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75766F" w:rsidRPr="00496665" w:rsidP="000852A8" w14:paraId="2830A0CC" w14:textId="2C0A9953">
      <w:pPr>
        <w:pStyle w:val="Header"/>
        <w:tabs>
          <w:tab w:val="left" w:pos="3555"/>
          <w:tab w:val="clear" w:pos="8640"/>
          <w:tab w:val="right" w:pos="9360"/>
        </w:tabs>
        <w:rPr>
          <w:b/>
          <w:kern w:val="0"/>
          <w:szCs w:val="22"/>
          <w:lang w:eastAsia="en-US"/>
        </w:rPr>
      </w:pPr>
      <w:r w:rsidRPr="00496665">
        <w:rPr>
          <w:b/>
          <w:kern w:val="0"/>
          <w:szCs w:val="22"/>
          <w:lang w:eastAsia="en-US"/>
        </w:rPr>
        <w:t>Part 4 of the Commission’s Rules Concerning</w:t>
      </w:r>
      <w:r w:rsidR="005E1E1C">
        <w:rPr>
          <w:b/>
          <w:kern w:val="0"/>
          <w:szCs w:val="22"/>
          <w:lang w:eastAsia="en-US"/>
        </w:rPr>
        <w:t xml:space="preserve"> </w:t>
      </w:r>
      <w:r w:rsidRPr="00496665">
        <w:rPr>
          <w:b/>
          <w:kern w:val="0"/>
          <w:szCs w:val="22"/>
          <w:lang w:eastAsia="en-US"/>
        </w:rPr>
        <w:tab/>
        <w:t>3060-0484</w:t>
      </w:r>
    </w:p>
    <w:p w:rsidR="0075766F" w:rsidRPr="00496665" w:rsidP="000852A8" w14:paraId="6C9568F4" w14:textId="6655B7C6">
      <w:pPr>
        <w:tabs>
          <w:tab w:val="left" w:pos="720"/>
          <w:tab w:val="left" w:pos="1440"/>
          <w:tab w:val="left" w:pos="2160"/>
          <w:tab w:val="left" w:pos="2880"/>
          <w:tab w:val="left" w:pos="3600"/>
          <w:tab w:val="left" w:pos="4320"/>
          <w:tab w:val="left" w:pos="5040"/>
          <w:tab w:val="left" w:pos="5760"/>
          <w:tab w:val="left" w:pos="6480"/>
          <w:tab w:val="right" w:pos="9360"/>
        </w:tabs>
        <w:rPr>
          <w:b/>
          <w:kern w:val="0"/>
          <w:szCs w:val="22"/>
          <w:lang w:eastAsia="en-US"/>
        </w:rPr>
      </w:pPr>
      <w:r w:rsidRPr="00496665">
        <w:rPr>
          <w:b/>
          <w:kern w:val="0"/>
          <w:szCs w:val="22"/>
          <w:lang w:eastAsia="en-US"/>
        </w:rPr>
        <w:t>Disruptions to Communications</w:t>
      </w:r>
      <w:r w:rsidRPr="00496665">
        <w:rPr>
          <w:b/>
          <w:kern w:val="0"/>
          <w:szCs w:val="22"/>
          <w:lang w:eastAsia="en-US"/>
        </w:rPr>
        <w:tab/>
      </w:r>
      <w:r w:rsidRPr="00496665">
        <w:rPr>
          <w:b/>
          <w:kern w:val="0"/>
          <w:szCs w:val="22"/>
          <w:lang w:eastAsia="en-US"/>
        </w:rPr>
        <w:tab/>
      </w:r>
      <w:r w:rsidRPr="00496665">
        <w:rPr>
          <w:b/>
          <w:kern w:val="0"/>
          <w:szCs w:val="22"/>
          <w:lang w:eastAsia="en-US"/>
        </w:rPr>
        <w:tab/>
      </w:r>
      <w:r w:rsidRPr="00496665">
        <w:rPr>
          <w:b/>
          <w:kern w:val="0"/>
          <w:szCs w:val="22"/>
          <w:lang w:eastAsia="en-US"/>
        </w:rPr>
        <w:tab/>
      </w:r>
      <w:r w:rsidRPr="00496665">
        <w:rPr>
          <w:b/>
          <w:kern w:val="0"/>
          <w:szCs w:val="22"/>
          <w:lang w:eastAsia="en-US"/>
        </w:rPr>
        <w:tab/>
      </w:r>
      <w:r w:rsidRPr="00496665">
        <w:rPr>
          <w:b/>
          <w:kern w:val="0"/>
          <w:szCs w:val="22"/>
          <w:lang w:eastAsia="en-US"/>
        </w:rPr>
        <w:tab/>
      </w:r>
      <w:r w:rsidR="00470D5C">
        <w:rPr>
          <w:b/>
          <w:kern w:val="0"/>
          <w:szCs w:val="22"/>
          <w:lang w:eastAsia="en-US"/>
        </w:rPr>
        <w:t xml:space="preserve">August </w:t>
      </w:r>
      <w:r w:rsidRPr="00496665">
        <w:rPr>
          <w:b/>
          <w:kern w:val="0"/>
          <w:szCs w:val="22"/>
          <w:lang w:eastAsia="en-US"/>
        </w:rPr>
        <w:t>202</w:t>
      </w:r>
      <w:r w:rsidR="00C32247">
        <w:rPr>
          <w:b/>
          <w:kern w:val="0"/>
          <w:szCs w:val="22"/>
          <w:lang w:eastAsia="en-US"/>
        </w:rPr>
        <w:t>4</w:t>
      </w:r>
    </w:p>
    <w:p w:rsidR="0075766F" w:rsidRPr="00496665" w:rsidP="0002474B" w14:paraId="748B92AC" w14:textId="77777777">
      <w:pPr>
        <w:jc w:val="center"/>
        <w:rPr>
          <w:b/>
          <w:szCs w:val="22"/>
        </w:rPr>
      </w:pPr>
    </w:p>
    <w:p w:rsidR="0002474B" w:rsidRPr="00496665" w:rsidP="0002474B" w14:paraId="7FB83067" w14:textId="6FF06625">
      <w:pPr>
        <w:jc w:val="center"/>
        <w:rPr>
          <w:b/>
          <w:szCs w:val="22"/>
        </w:rPr>
      </w:pPr>
      <w:r w:rsidRPr="00496665">
        <w:rPr>
          <w:b/>
          <w:szCs w:val="22"/>
        </w:rPr>
        <w:t>SUPPORTING STATEMENT</w:t>
      </w:r>
    </w:p>
    <w:p w:rsidR="00D42FF3" w:rsidRPr="00496665" w:rsidP="0083695D" w14:paraId="5825DC8C" w14:textId="77777777">
      <w:pPr>
        <w:rPr>
          <w:szCs w:val="22"/>
        </w:rPr>
      </w:pPr>
    </w:p>
    <w:p w:rsidR="00D42FF3" w:rsidRPr="00496665" w:rsidP="0083695D" w14:paraId="3F8ACDE3" w14:textId="77777777">
      <w:pPr>
        <w:rPr>
          <w:b/>
          <w:szCs w:val="22"/>
        </w:rPr>
      </w:pPr>
      <w:r w:rsidRPr="00496665">
        <w:rPr>
          <w:b/>
          <w:szCs w:val="22"/>
        </w:rPr>
        <w:t>A.</w:t>
      </w:r>
      <w:r w:rsidRPr="00496665">
        <w:rPr>
          <w:b/>
          <w:szCs w:val="22"/>
        </w:rPr>
        <w:tab/>
        <w:t>Justification:</w:t>
      </w:r>
    </w:p>
    <w:p w:rsidR="00D42FF3" w:rsidRPr="00496665" w:rsidP="0083695D" w14:paraId="4B094DF0" w14:textId="77777777">
      <w:pPr>
        <w:rPr>
          <w:szCs w:val="22"/>
        </w:rPr>
      </w:pPr>
    </w:p>
    <w:p w:rsidR="00016677" w:rsidRPr="00496665" w:rsidP="0083695D" w14:paraId="3EFFCD2D" w14:textId="77777777">
      <w:pPr>
        <w:rPr>
          <w:b/>
          <w:szCs w:val="22"/>
        </w:rPr>
      </w:pPr>
      <w:r w:rsidRPr="00496665">
        <w:rPr>
          <w:b/>
          <w:szCs w:val="22"/>
        </w:rPr>
        <w:t>1.  Explain the circumstances that make the collection of information necessary.  Identify any legal or administrative requirements that necessitate the collection.</w:t>
      </w:r>
    </w:p>
    <w:p w:rsidR="00496644" w:rsidRPr="00496665" w:rsidP="00496644" w14:paraId="766EFA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Cs w:val="22"/>
          <w:shd w:val="clear" w:color="auto" w:fill="FFFFFF"/>
        </w:rPr>
      </w:pPr>
    </w:p>
    <w:p w:rsidR="00707B4E" w:rsidRPr="00496665" w:rsidP="00953262" w14:paraId="1A97B6C8" w14:textId="77777777">
      <w:pPr>
        <w:autoSpaceDE w:val="0"/>
        <w:autoSpaceDN w:val="0"/>
        <w:adjustRightInd w:val="0"/>
        <w:spacing w:after="120"/>
        <w:rPr>
          <w:b/>
          <w:iCs/>
          <w:szCs w:val="22"/>
          <w:u w:val="single"/>
        </w:rPr>
      </w:pPr>
      <w:r w:rsidRPr="00496665">
        <w:rPr>
          <w:b/>
          <w:iCs/>
          <w:szCs w:val="22"/>
          <w:u w:val="single"/>
        </w:rPr>
        <w:t>Revisions to Information Collection Requirements Which Require OMB Approval</w:t>
      </w:r>
    </w:p>
    <w:p w:rsidR="00873105" w:rsidRPr="003E0759" w:rsidP="007768CF" w14:paraId="3EDF6E6A" w14:textId="1E98AB99">
      <w:pPr>
        <w:spacing w:after="120"/>
        <w:ind w:firstLine="720"/>
        <w:rPr>
          <w:b/>
          <w:bCs/>
          <w:iCs/>
          <w:szCs w:val="22"/>
          <w:u w:val="single"/>
          <w:shd w:val="clear" w:color="auto" w:fill="FFFFFF"/>
        </w:rPr>
      </w:pPr>
      <w:r w:rsidRPr="003E0759">
        <w:rPr>
          <w:szCs w:val="22"/>
          <w:shd w:val="clear" w:color="auto" w:fill="FFFFFF"/>
        </w:rPr>
        <w:t xml:space="preserve">The Federal Communications Commission (FCC or Commission) is requesting Office of Management and Budget (OMB) approval </w:t>
      </w:r>
      <w:r w:rsidRPr="003E0759" w:rsidR="00DD7442">
        <w:rPr>
          <w:szCs w:val="22"/>
          <w:shd w:val="clear" w:color="auto" w:fill="FFFFFF"/>
        </w:rPr>
        <w:t xml:space="preserve">of </w:t>
      </w:r>
      <w:r w:rsidRPr="003E0759">
        <w:rPr>
          <w:szCs w:val="22"/>
          <w:shd w:val="clear" w:color="auto" w:fill="FFFFFF"/>
        </w:rPr>
        <w:t>a revision of this information collection</w:t>
      </w:r>
      <w:r w:rsidRPr="003E0759" w:rsidR="00541193">
        <w:rPr>
          <w:szCs w:val="22"/>
          <w:shd w:val="clear" w:color="auto" w:fill="FFFFFF"/>
        </w:rPr>
        <w:t>,</w:t>
      </w:r>
      <w:r w:rsidRPr="003E0759" w:rsidR="00707B4E">
        <w:rPr>
          <w:szCs w:val="22"/>
          <w:shd w:val="clear" w:color="auto" w:fill="FFFFFF"/>
        </w:rPr>
        <w:t xml:space="preserve"> which is associated with the Commission’s outage reporting rules</w:t>
      </w:r>
      <w:r w:rsidRPr="003E0759" w:rsidR="00DA7599">
        <w:rPr>
          <w:szCs w:val="22"/>
          <w:shd w:val="clear" w:color="auto" w:fill="FFFFFF"/>
        </w:rPr>
        <w:t>.</w:t>
      </w:r>
      <w:r w:rsidRPr="003E0759" w:rsidR="00E0606B">
        <w:rPr>
          <w:szCs w:val="22"/>
          <w:shd w:val="clear" w:color="auto" w:fill="FFFFFF"/>
        </w:rPr>
        <w:t xml:space="preserve"> </w:t>
      </w:r>
      <w:r w:rsidRPr="003E0759" w:rsidR="003F304F">
        <w:rPr>
          <w:szCs w:val="22"/>
          <w:shd w:val="clear" w:color="auto" w:fill="FFFFFF"/>
        </w:rPr>
        <w:t xml:space="preserve"> </w:t>
      </w:r>
      <w:r w:rsidR="00370125">
        <w:t>As part of this revision, the Commission updates the title of this collection from “</w:t>
      </w:r>
      <w:r w:rsidRPr="0094460A" w:rsidR="00370125">
        <w:t>Section 4.9, Part 4 of the Commission's Rules Concerning Disruptions to Communications”</w:t>
      </w:r>
      <w:r w:rsidR="00370125">
        <w:t xml:space="preserve"> to “</w:t>
      </w:r>
      <w:r w:rsidRPr="0094460A" w:rsidR="00370125">
        <w:t>Part 4 of the Commission’s Rules Concerning Disruptions to Communications.</w:t>
      </w:r>
      <w:r w:rsidR="00370125">
        <w:t xml:space="preserve">” </w:t>
      </w:r>
      <w:r w:rsidRPr="003E0759" w:rsidR="003F304F">
        <w:rPr>
          <w:szCs w:val="22"/>
          <w:shd w:val="clear" w:color="auto" w:fill="FFFFFF"/>
        </w:rPr>
        <w:t xml:space="preserve">The Commission seeks to revise this collection to reflect changes to these rules adopted by the Commission in a </w:t>
      </w:r>
      <w:r w:rsidRPr="003E0759" w:rsidR="003F304F">
        <w:rPr>
          <w:i/>
          <w:szCs w:val="22"/>
          <w:shd w:val="clear" w:color="auto" w:fill="FFFFFF"/>
        </w:rPr>
        <w:t>Second Report and Order</w:t>
      </w:r>
      <w:r w:rsidRPr="003E0759" w:rsidR="003F304F">
        <w:rPr>
          <w:szCs w:val="22"/>
          <w:shd w:val="clear" w:color="auto" w:fill="FFFFFF"/>
        </w:rPr>
        <w:t xml:space="preserve"> on November 18, 2022</w:t>
      </w:r>
      <w:r w:rsidRPr="003E0759" w:rsidR="000E1E19">
        <w:rPr>
          <w:szCs w:val="22"/>
          <w:shd w:val="clear" w:color="auto" w:fill="FFFFFF"/>
        </w:rPr>
        <w:t xml:space="preserve"> (harmonizing its existing </w:t>
      </w:r>
      <w:r w:rsidR="007D3E06">
        <w:rPr>
          <w:szCs w:val="22"/>
          <w:shd w:val="clear" w:color="auto" w:fill="FFFFFF"/>
        </w:rPr>
        <w:t xml:space="preserve">911 </w:t>
      </w:r>
      <w:r w:rsidRPr="003E0759" w:rsidR="000E1E19">
        <w:rPr>
          <w:szCs w:val="22"/>
          <w:shd w:val="clear" w:color="auto" w:fill="FFFFFF"/>
        </w:rPr>
        <w:t>outage notification rules</w:t>
      </w:r>
      <w:r w:rsidR="00B243F8">
        <w:rPr>
          <w:szCs w:val="22"/>
          <w:shd w:val="clear" w:color="auto" w:fill="FFFFFF"/>
        </w:rPr>
        <w:t xml:space="preserve"> for originating service providers and covered 911 service providers</w:t>
      </w:r>
      <w:r w:rsidRPr="003E0759" w:rsidR="000E1E19">
        <w:rPr>
          <w:szCs w:val="22"/>
          <w:shd w:val="clear" w:color="auto" w:fill="FFFFFF"/>
        </w:rPr>
        <w:t>)</w:t>
      </w:r>
      <w:r w:rsidRPr="003E0759" w:rsidR="003F304F">
        <w:rPr>
          <w:szCs w:val="22"/>
          <w:shd w:val="clear" w:color="auto" w:fill="FFFFFF"/>
        </w:rPr>
        <w:t>,</w:t>
      </w:r>
      <w:r>
        <w:rPr>
          <w:rStyle w:val="FootnoteReference"/>
          <w:szCs w:val="22"/>
          <w:shd w:val="clear" w:color="auto" w:fill="FFFFFF"/>
        </w:rPr>
        <w:footnoteReference w:id="3"/>
      </w:r>
      <w:r w:rsidRPr="003E0759" w:rsidR="000E1E19">
        <w:rPr>
          <w:szCs w:val="22"/>
          <w:shd w:val="clear" w:color="auto" w:fill="FFFFFF"/>
        </w:rPr>
        <w:t xml:space="preserve"> and in a </w:t>
      </w:r>
      <w:r w:rsidRPr="003E0759" w:rsidR="000E1E19">
        <w:rPr>
          <w:i/>
          <w:iCs/>
          <w:szCs w:val="22"/>
          <w:shd w:val="clear" w:color="auto" w:fill="FFFFFF"/>
        </w:rPr>
        <w:t xml:space="preserve">Report and Order </w:t>
      </w:r>
      <w:r w:rsidRPr="003E0759" w:rsidR="000E1E19">
        <w:rPr>
          <w:szCs w:val="22"/>
          <w:shd w:val="clear" w:color="auto" w:fill="FFFFFF"/>
        </w:rPr>
        <w:t>on July 20, 2023 (extending outage reporting and notification requirements to outages affecting 988 special facilities)</w:t>
      </w:r>
      <w:r w:rsidRPr="003E0759" w:rsidR="007768CF">
        <w:rPr>
          <w:szCs w:val="22"/>
          <w:shd w:val="clear" w:color="auto" w:fill="FFFFFF"/>
        </w:rPr>
        <w:t>.</w:t>
      </w:r>
      <w:r>
        <w:rPr>
          <w:rStyle w:val="FootnoteReference"/>
          <w:szCs w:val="22"/>
          <w:shd w:val="clear" w:color="auto" w:fill="FFFFFF"/>
        </w:rPr>
        <w:footnoteReference w:id="4"/>
      </w:r>
      <w:r w:rsidR="00663B0C">
        <w:rPr>
          <w:szCs w:val="22"/>
          <w:shd w:val="clear" w:color="auto" w:fill="FFFFFF"/>
        </w:rPr>
        <w:t xml:space="preserve"> </w:t>
      </w:r>
    </w:p>
    <w:p w:rsidR="0084381A" w:rsidRPr="003E0759" w:rsidP="007B37F1" w14:paraId="26099035" w14:textId="52E5562F">
      <w:pPr>
        <w:spacing w:after="120"/>
        <w:ind w:firstLine="720"/>
        <w:rPr>
          <w:szCs w:val="22"/>
        </w:rPr>
      </w:pPr>
      <w:r w:rsidRPr="003E0759">
        <w:rPr>
          <w:szCs w:val="22"/>
          <w:shd w:val="clear" w:color="auto" w:fill="FFFFFF"/>
        </w:rPr>
        <w:t>When covered 911 service providers or originating service providers (OSPs) experience an outage that potentially affects 911, the Commission’s 911 special facility outage notification rules require them to notify 911 special facilities that could potentially be affected.</w:t>
      </w:r>
      <w:r>
        <w:rPr>
          <w:szCs w:val="22"/>
          <w:shd w:val="clear" w:color="auto" w:fill="FFFFFF"/>
          <w:vertAlign w:val="superscript"/>
        </w:rPr>
        <w:footnoteReference w:id="5"/>
      </w:r>
      <w:r w:rsidRPr="003E0759">
        <w:rPr>
          <w:szCs w:val="22"/>
          <w:shd w:val="clear" w:color="auto" w:fill="FFFFFF"/>
        </w:rPr>
        <w:t xml:space="preserve">  </w:t>
      </w:r>
      <w:r w:rsidRPr="003E0759" w:rsidR="008D436A">
        <w:rPr>
          <w:szCs w:val="22"/>
          <w:shd w:val="clear" w:color="auto" w:fill="FFFFFF"/>
        </w:rPr>
        <w:t>T</w:t>
      </w:r>
      <w:r w:rsidRPr="003E0759" w:rsidR="00A11ED6">
        <w:rPr>
          <w:szCs w:val="22"/>
          <w:shd w:val="clear" w:color="auto" w:fill="FFFFFF"/>
        </w:rPr>
        <w:t xml:space="preserve">he </w:t>
      </w:r>
      <w:r w:rsidRPr="003E0759" w:rsidR="00B30EED">
        <w:rPr>
          <w:i/>
          <w:iCs/>
          <w:szCs w:val="22"/>
          <w:shd w:val="clear" w:color="auto" w:fill="FFFFFF"/>
        </w:rPr>
        <w:t xml:space="preserve">2022 </w:t>
      </w:r>
      <w:r w:rsidRPr="003E0759" w:rsidR="00A11ED6">
        <w:rPr>
          <w:i/>
          <w:iCs/>
          <w:szCs w:val="22"/>
          <w:shd w:val="clear" w:color="auto" w:fill="FFFFFF"/>
        </w:rPr>
        <w:t>Second Report and Order</w:t>
      </w:r>
      <w:r w:rsidRPr="003E0759" w:rsidR="00A11ED6">
        <w:rPr>
          <w:szCs w:val="22"/>
          <w:shd w:val="clear" w:color="auto" w:fill="FFFFFF"/>
        </w:rPr>
        <w:t xml:space="preserve"> adopted </w:t>
      </w:r>
      <w:r w:rsidRPr="003E0759" w:rsidR="001903A6">
        <w:rPr>
          <w:szCs w:val="22"/>
          <w:shd w:val="clear" w:color="auto" w:fill="FFFFFF"/>
        </w:rPr>
        <w:t xml:space="preserve">a 911 special facility notification process </w:t>
      </w:r>
      <w:r w:rsidRPr="003E0759" w:rsidR="007C2DEA">
        <w:rPr>
          <w:szCs w:val="22"/>
          <w:shd w:val="clear" w:color="auto" w:fill="FFFFFF"/>
        </w:rPr>
        <w:t>where</w:t>
      </w:r>
      <w:r w:rsidRPr="003E0759" w:rsidR="00A11ED6">
        <w:rPr>
          <w:szCs w:val="22"/>
          <w:shd w:val="clear" w:color="auto" w:fill="FFFFFF"/>
        </w:rPr>
        <w:t xml:space="preserve"> outage notifications from</w:t>
      </w:r>
      <w:r w:rsidRPr="003E0759" w:rsidR="007C2DEA">
        <w:rPr>
          <w:szCs w:val="22"/>
          <w:shd w:val="clear" w:color="auto" w:fill="FFFFFF"/>
        </w:rPr>
        <w:t xml:space="preserve"> </w:t>
      </w:r>
      <w:r w:rsidRPr="003E0759" w:rsidR="00216609">
        <w:rPr>
          <w:szCs w:val="22"/>
          <w:shd w:val="clear" w:color="auto" w:fill="FFFFFF"/>
        </w:rPr>
        <w:t>covered 911 service providers</w:t>
      </w:r>
      <w:r w:rsidRPr="003E0759" w:rsidR="007C2DEA">
        <w:rPr>
          <w:szCs w:val="22"/>
          <w:shd w:val="clear" w:color="auto" w:fill="FFFFFF"/>
        </w:rPr>
        <w:t xml:space="preserve"> and OSPs </w:t>
      </w:r>
      <w:r w:rsidRPr="003E0759" w:rsidR="003B50E9">
        <w:rPr>
          <w:szCs w:val="22"/>
          <w:shd w:val="clear" w:color="auto" w:fill="FFFFFF"/>
        </w:rPr>
        <w:t xml:space="preserve">will </w:t>
      </w:r>
      <w:r w:rsidRPr="003E0759" w:rsidR="002E762A">
        <w:rPr>
          <w:szCs w:val="22"/>
          <w:shd w:val="clear" w:color="auto" w:fill="FFFFFF"/>
        </w:rPr>
        <w:t xml:space="preserve">include the same notification </w:t>
      </w:r>
      <w:r w:rsidRPr="003E0759" w:rsidR="000A772D">
        <w:rPr>
          <w:szCs w:val="22"/>
          <w:shd w:val="clear" w:color="auto" w:fill="FFFFFF"/>
        </w:rPr>
        <w:t>content</w:t>
      </w:r>
      <w:r w:rsidRPr="003E0759" w:rsidR="002E762A">
        <w:rPr>
          <w:szCs w:val="22"/>
          <w:shd w:val="clear" w:color="auto" w:fill="FFFFFF"/>
        </w:rPr>
        <w:t xml:space="preserve">, </w:t>
      </w:r>
      <w:r w:rsidRPr="003E0759" w:rsidR="00BF6977">
        <w:rPr>
          <w:szCs w:val="22"/>
          <w:shd w:val="clear" w:color="auto" w:fill="FFFFFF"/>
        </w:rPr>
        <w:t xml:space="preserve">be transmitted </w:t>
      </w:r>
      <w:r w:rsidRPr="003E0759" w:rsidR="002E762A">
        <w:rPr>
          <w:szCs w:val="22"/>
          <w:shd w:val="clear" w:color="auto" w:fill="FFFFFF"/>
        </w:rPr>
        <w:t>by the same means</w:t>
      </w:r>
      <w:r w:rsidRPr="003E0759" w:rsidR="00BF6977">
        <w:rPr>
          <w:szCs w:val="22"/>
          <w:shd w:val="clear" w:color="auto" w:fill="FFFFFF"/>
        </w:rPr>
        <w:t>,</w:t>
      </w:r>
      <w:r w:rsidRPr="003E0759" w:rsidR="002E762A">
        <w:rPr>
          <w:szCs w:val="22"/>
          <w:shd w:val="clear" w:color="auto" w:fill="FFFFFF"/>
        </w:rPr>
        <w:t xml:space="preserve"> a</w:t>
      </w:r>
      <w:r w:rsidRPr="003E0759" w:rsidR="00BF6977">
        <w:rPr>
          <w:szCs w:val="22"/>
          <w:shd w:val="clear" w:color="auto" w:fill="FFFFFF"/>
        </w:rPr>
        <w:t>s well as</w:t>
      </w:r>
      <w:r w:rsidRPr="003E0759" w:rsidR="002E762A">
        <w:rPr>
          <w:szCs w:val="22"/>
          <w:shd w:val="clear" w:color="auto" w:fill="FFFFFF"/>
        </w:rPr>
        <w:t xml:space="preserve"> with the same timing and frequency.</w:t>
      </w:r>
      <w:r>
        <w:rPr>
          <w:rStyle w:val="FootnoteReference"/>
          <w:szCs w:val="22"/>
          <w:shd w:val="clear" w:color="auto" w:fill="FFFFFF"/>
        </w:rPr>
        <w:footnoteReference w:id="6"/>
      </w:r>
      <w:r w:rsidRPr="003E0759" w:rsidR="0042439B">
        <w:rPr>
          <w:szCs w:val="22"/>
          <w:shd w:val="clear" w:color="auto" w:fill="FFFFFF"/>
        </w:rPr>
        <w:t xml:space="preserve">  </w:t>
      </w:r>
      <w:r w:rsidR="00FC798E">
        <w:rPr>
          <w:szCs w:val="22"/>
          <w:shd w:val="clear" w:color="auto" w:fill="FFFFFF"/>
        </w:rPr>
        <w:t>In addition, t</w:t>
      </w:r>
      <w:r w:rsidRPr="003E0759" w:rsidR="00181177">
        <w:rPr>
          <w:szCs w:val="22"/>
          <w:shd w:val="clear" w:color="auto" w:fill="FFFFFF"/>
        </w:rPr>
        <w:t xml:space="preserve">he </w:t>
      </w:r>
      <w:r w:rsidRPr="003E0759" w:rsidR="00B30EED">
        <w:rPr>
          <w:i/>
          <w:iCs/>
          <w:szCs w:val="22"/>
          <w:shd w:val="clear" w:color="auto" w:fill="FFFFFF"/>
        </w:rPr>
        <w:t xml:space="preserve">2022 </w:t>
      </w:r>
      <w:r w:rsidRPr="003E0759" w:rsidR="00181177">
        <w:rPr>
          <w:i/>
          <w:iCs/>
          <w:szCs w:val="22"/>
          <w:shd w:val="clear" w:color="auto" w:fill="FFFFFF"/>
        </w:rPr>
        <w:t>Second Report and Order</w:t>
      </w:r>
      <w:r w:rsidRPr="003E0759" w:rsidR="00181177">
        <w:rPr>
          <w:szCs w:val="22"/>
          <w:shd w:val="clear" w:color="auto" w:fill="FFFFFF"/>
        </w:rPr>
        <w:t xml:space="preserve"> </w:t>
      </w:r>
      <w:r w:rsidRPr="003E0759" w:rsidR="00B42E0F">
        <w:rPr>
          <w:szCs w:val="22"/>
          <w:shd w:val="clear" w:color="auto" w:fill="FFFFFF"/>
        </w:rPr>
        <w:t>align</w:t>
      </w:r>
      <w:r w:rsidRPr="003E0759" w:rsidR="007228A4">
        <w:rPr>
          <w:szCs w:val="22"/>
          <w:shd w:val="clear" w:color="auto" w:fill="FFFFFF"/>
        </w:rPr>
        <w:t>s</w:t>
      </w:r>
      <w:r w:rsidRPr="003E0759" w:rsidR="00B42E0F">
        <w:rPr>
          <w:szCs w:val="22"/>
          <w:shd w:val="clear" w:color="auto" w:fill="FFFFFF"/>
        </w:rPr>
        <w:t xml:space="preserve"> </w:t>
      </w:r>
      <w:r w:rsidRPr="003E0759" w:rsidR="00B235B5">
        <w:rPr>
          <w:szCs w:val="22"/>
          <w:shd w:val="clear" w:color="auto" w:fill="FFFFFF"/>
        </w:rPr>
        <w:t xml:space="preserve">the content of 911 special facilities outage notifications </w:t>
      </w:r>
      <w:r w:rsidRPr="003E0759" w:rsidR="00B42E0F">
        <w:rPr>
          <w:szCs w:val="22"/>
          <w:shd w:val="clear" w:color="auto" w:fill="FFFFFF"/>
        </w:rPr>
        <w:t xml:space="preserve">with the </w:t>
      </w:r>
      <w:r w:rsidRPr="003E0759" w:rsidR="00C90582">
        <w:rPr>
          <w:szCs w:val="22"/>
        </w:rPr>
        <w:t>template developed by the Alliance for Telecommunications Industry Solutions’ (ATIS) Network Reliability Steering Committee (NRSC) Situational Awareness for 9-1-1 Outages Task Force Subcommittee (NRSC Task Force)</w:t>
      </w:r>
      <w:r w:rsidRPr="003E0759" w:rsidR="00BF6977">
        <w:rPr>
          <w:szCs w:val="22"/>
        </w:rPr>
        <w:t>.</w:t>
      </w:r>
      <w:r>
        <w:rPr>
          <w:rStyle w:val="FootnoteReference"/>
          <w:szCs w:val="22"/>
        </w:rPr>
        <w:footnoteReference w:id="7"/>
      </w:r>
    </w:p>
    <w:p w:rsidR="00104CE8" w:rsidRPr="003E0759" w:rsidP="007B37F1" w14:paraId="084D0841" w14:textId="52427A26">
      <w:pPr>
        <w:spacing w:after="120"/>
        <w:ind w:firstLine="720"/>
        <w:rPr>
          <w:szCs w:val="22"/>
          <w:shd w:val="clear" w:color="auto" w:fill="FFFFFF"/>
        </w:rPr>
      </w:pPr>
      <w:r w:rsidRPr="008B2471">
        <w:rPr>
          <w:i/>
          <w:iCs/>
          <w:szCs w:val="22"/>
          <w:shd w:val="clear" w:color="auto" w:fill="FFFFFF"/>
        </w:rPr>
        <w:t>Standardiz</w:t>
      </w:r>
      <w:r w:rsidR="00BF6C6D">
        <w:rPr>
          <w:i/>
          <w:iCs/>
          <w:szCs w:val="22"/>
          <w:shd w:val="clear" w:color="auto" w:fill="FFFFFF"/>
        </w:rPr>
        <w:t>ing</w:t>
      </w:r>
      <w:r w:rsidRPr="008B2471">
        <w:rPr>
          <w:i/>
          <w:iCs/>
          <w:szCs w:val="22"/>
          <w:shd w:val="clear" w:color="auto" w:fill="FFFFFF"/>
        </w:rPr>
        <w:t xml:space="preserve"> </w:t>
      </w:r>
      <w:r w:rsidRPr="008B2471" w:rsidR="00B35759">
        <w:rPr>
          <w:i/>
          <w:iCs/>
          <w:szCs w:val="22"/>
          <w:shd w:val="clear" w:color="auto" w:fill="FFFFFF"/>
        </w:rPr>
        <w:t xml:space="preserve">Content for </w:t>
      </w:r>
      <w:r w:rsidR="00DB2AD8">
        <w:rPr>
          <w:i/>
          <w:iCs/>
          <w:szCs w:val="22"/>
          <w:shd w:val="clear" w:color="auto" w:fill="FFFFFF"/>
        </w:rPr>
        <w:t xml:space="preserve">911 </w:t>
      </w:r>
      <w:r w:rsidRPr="008B2471" w:rsidR="00B35759">
        <w:rPr>
          <w:i/>
          <w:iCs/>
          <w:szCs w:val="22"/>
          <w:shd w:val="clear" w:color="auto" w:fill="FFFFFF"/>
        </w:rPr>
        <w:t>Outage Notifications</w:t>
      </w:r>
      <w:r w:rsidR="00B35759">
        <w:rPr>
          <w:szCs w:val="22"/>
          <w:shd w:val="clear" w:color="auto" w:fill="FFFFFF"/>
        </w:rPr>
        <w:t xml:space="preserve">.  </w:t>
      </w:r>
      <w:r w:rsidR="00256781">
        <w:rPr>
          <w:szCs w:val="22"/>
          <w:shd w:val="clear" w:color="auto" w:fill="FFFFFF"/>
        </w:rPr>
        <w:t xml:space="preserve">As a result of the </w:t>
      </w:r>
      <w:r w:rsidRPr="008B2471" w:rsidR="00256781">
        <w:rPr>
          <w:i/>
          <w:iCs/>
          <w:szCs w:val="22"/>
          <w:shd w:val="clear" w:color="auto" w:fill="FFFFFF"/>
        </w:rPr>
        <w:t xml:space="preserve">2022 </w:t>
      </w:r>
      <w:r w:rsidR="00256781">
        <w:rPr>
          <w:i/>
          <w:iCs/>
          <w:szCs w:val="22"/>
          <w:shd w:val="clear" w:color="auto" w:fill="FFFFFF"/>
        </w:rPr>
        <w:t xml:space="preserve">Second </w:t>
      </w:r>
      <w:r w:rsidRPr="008B2471" w:rsidR="00256781">
        <w:rPr>
          <w:i/>
          <w:iCs/>
          <w:szCs w:val="22"/>
          <w:shd w:val="clear" w:color="auto" w:fill="FFFFFF"/>
        </w:rPr>
        <w:t>Report and Order</w:t>
      </w:r>
      <w:r w:rsidR="00256781">
        <w:rPr>
          <w:szCs w:val="22"/>
          <w:shd w:val="clear" w:color="auto" w:fill="FFFFFF"/>
        </w:rPr>
        <w:t>, c</w:t>
      </w:r>
      <w:r w:rsidRPr="003E0759" w:rsidR="00216609">
        <w:rPr>
          <w:szCs w:val="22"/>
          <w:shd w:val="clear" w:color="auto" w:fill="FFFFFF"/>
        </w:rPr>
        <w:t>overed 911 service providers</w:t>
      </w:r>
      <w:r w:rsidRPr="003E0759" w:rsidR="00216609">
        <w:rPr>
          <w:szCs w:val="22"/>
          <w:shd w:val="clear" w:color="auto" w:fill="FFFFFF"/>
        </w:rPr>
        <w:t xml:space="preserve"> </w:t>
      </w:r>
      <w:r w:rsidRPr="003E0759" w:rsidR="00A9192F">
        <w:rPr>
          <w:szCs w:val="22"/>
          <w:shd w:val="clear" w:color="auto" w:fill="FFFFFF"/>
        </w:rPr>
        <w:t xml:space="preserve">and OSPs will both be required to provide </w:t>
      </w:r>
      <w:r w:rsidRPr="003E0759" w:rsidR="00E81203">
        <w:rPr>
          <w:szCs w:val="22"/>
          <w:shd w:val="clear" w:color="auto" w:fill="FFFFFF"/>
        </w:rPr>
        <w:t xml:space="preserve">specific </w:t>
      </w:r>
      <w:r w:rsidRPr="003E0759" w:rsidR="008442B4">
        <w:rPr>
          <w:szCs w:val="22"/>
          <w:shd w:val="clear" w:color="auto" w:fill="FFFFFF"/>
        </w:rPr>
        <w:t xml:space="preserve">itemized </w:t>
      </w:r>
      <w:r w:rsidRPr="003E0759" w:rsidR="00E81203">
        <w:rPr>
          <w:szCs w:val="22"/>
          <w:shd w:val="clear" w:color="auto" w:fill="FFFFFF"/>
        </w:rPr>
        <w:t xml:space="preserve">data elements in their outage notification to 911 special facilities. </w:t>
      </w:r>
      <w:r w:rsidRPr="003E0759" w:rsidR="00023D6A">
        <w:rPr>
          <w:szCs w:val="22"/>
          <w:shd w:val="clear" w:color="auto" w:fill="FFFFFF"/>
        </w:rPr>
        <w:t xml:space="preserve"> </w:t>
      </w:r>
      <w:r w:rsidRPr="003E0759" w:rsidR="00F525D3">
        <w:rPr>
          <w:szCs w:val="22"/>
          <w:shd w:val="clear" w:color="auto" w:fill="FFFFFF"/>
        </w:rPr>
        <w:t xml:space="preserve">In addition to </w:t>
      </w:r>
      <w:r w:rsidRPr="003E0759" w:rsidR="0049160E">
        <w:rPr>
          <w:szCs w:val="22"/>
          <w:shd w:val="clear" w:color="auto" w:fill="FFFFFF"/>
        </w:rPr>
        <w:t>th</w:t>
      </w:r>
      <w:r w:rsidRPr="003E0759" w:rsidR="008442B4">
        <w:rPr>
          <w:szCs w:val="22"/>
          <w:shd w:val="clear" w:color="auto" w:fill="FFFFFF"/>
        </w:rPr>
        <w:t>is</w:t>
      </w:r>
      <w:r w:rsidRPr="003E0759" w:rsidR="004B5C08">
        <w:rPr>
          <w:szCs w:val="22"/>
          <w:shd w:val="clear" w:color="auto" w:fill="FFFFFF"/>
        </w:rPr>
        <w:t xml:space="preserve"> supplemental</w:t>
      </w:r>
      <w:r w:rsidRPr="003E0759" w:rsidR="0049160E">
        <w:rPr>
          <w:szCs w:val="22"/>
          <w:shd w:val="clear" w:color="auto" w:fill="FFFFFF"/>
        </w:rPr>
        <w:t xml:space="preserve"> content required </w:t>
      </w:r>
      <w:r w:rsidRPr="003E0759" w:rsidR="007C549A">
        <w:rPr>
          <w:szCs w:val="22"/>
          <w:shd w:val="clear" w:color="auto" w:fill="FFFFFF"/>
        </w:rPr>
        <w:t>by the new template</w:t>
      </w:r>
      <w:r w:rsidRPr="003E0759" w:rsidR="0049160E">
        <w:rPr>
          <w:szCs w:val="22"/>
          <w:shd w:val="clear" w:color="auto" w:fill="FFFFFF"/>
        </w:rPr>
        <w:t>, OSPs will be req</w:t>
      </w:r>
      <w:r w:rsidRPr="003E0759" w:rsidR="00074AF7">
        <w:rPr>
          <w:szCs w:val="22"/>
          <w:shd w:val="clear" w:color="auto" w:fill="FFFFFF"/>
        </w:rPr>
        <w:t xml:space="preserve">uired to </w:t>
      </w:r>
      <w:r w:rsidRPr="003E0759" w:rsidR="00623981">
        <w:rPr>
          <w:szCs w:val="22"/>
          <w:shd w:val="clear" w:color="auto" w:fill="FFFFFF"/>
        </w:rPr>
        <w:t>“</w:t>
      </w:r>
      <w:r w:rsidRPr="003E0759" w:rsidR="00074AF7">
        <w:rPr>
          <w:szCs w:val="22"/>
          <w:shd w:val="clear" w:color="auto" w:fill="FFFFFF"/>
        </w:rPr>
        <w:t>notify 911 special facilities by telephone and in writing by electronic means</w:t>
      </w:r>
      <w:r w:rsidRPr="003E0759" w:rsidR="00623981">
        <w:rPr>
          <w:szCs w:val="22"/>
          <w:shd w:val="clear" w:color="auto" w:fill="FFFFFF"/>
        </w:rPr>
        <w:t>”</w:t>
      </w:r>
      <w:r w:rsidRPr="003E0759" w:rsidR="004530C8">
        <w:rPr>
          <w:szCs w:val="22"/>
          <w:shd w:val="clear" w:color="auto" w:fill="FFFFFF"/>
        </w:rPr>
        <w:t xml:space="preserve"> as </w:t>
      </w:r>
      <w:r w:rsidRPr="003E0759" w:rsidR="00216609">
        <w:rPr>
          <w:szCs w:val="22"/>
          <w:shd w:val="clear" w:color="auto" w:fill="FFFFFF"/>
        </w:rPr>
        <w:t>covered 911 service providers</w:t>
      </w:r>
      <w:r w:rsidRPr="003E0759" w:rsidR="004530C8">
        <w:rPr>
          <w:szCs w:val="22"/>
          <w:shd w:val="clear" w:color="auto" w:fill="FFFFFF"/>
        </w:rPr>
        <w:t xml:space="preserve"> </w:t>
      </w:r>
      <w:r w:rsidRPr="003E0759" w:rsidR="009E3262">
        <w:rPr>
          <w:szCs w:val="22"/>
          <w:shd w:val="clear" w:color="auto" w:fill="FFFFFF"/>
        </w:rPr>
        <w:t>already do</w:t>
      </w:r>
      <w:r w:rsidRPr="003E0759" w:rsidR="00623981">
        <w:rPr>
          <w:szCs w:val="22"/>
          <w:shd w:val="clear" w:color="auto" w:fill="FFFFFF"/>
        </w:rPr>
        <w:t xml:space="preserve">, </w:t>
      </w:r>
      <w:r w:rsidRPr="003E0759" w:rsidR="003753E8">
        <w:rPr>
          <w:szCs w:val="22"/>
          <w:shd w:val="clear" w:color="auto" w:fill="FFFFFF"/>
        </w:rPr>
        <w:t xml:space="preserve">unless an OSP and a 911 special facility mutually agree to an alternative </w:t>
      </w:r>
      <w:r w:rsidRPr="003E0759" w:rsidR="003E09E4">
        <w:rPr>
          <w:szCs w:val="22"/>
          <w:shd w:val="clear" w:color="auto" w:fill="FFFFFF"/>
        </w:rPr>
        <w:t xml:space="preserve">means </w:t>
      </w:r>
      <w:r w:rsidRPr="003E0759" w:rsidR="003753E8">
        <w:rPr>
          <w:szCs w:val="22"/>
          <w:shd w:val="clear" w:color="auto" w:fill="FFFFFF"/>
        </w:rPr>
        <w:t>of notification</w:t>
      </w:r>
      <w:r w:rsidRPr="003E0759" w:rsidR="003E09E4">
        <w:rPr>
          <w:szCs w:val="22"/>
          <w:shd w:val="clear" w:color="auto" w:fill="FFFFFF"/>
        </w:rPr>
        <w:t>.</w:t>
      </w:r>
      <w:r>
        <w:rPr>
          <w:rStyle w:val="FootnoteReference"/>
          <w:szCs w:val="22"/>
          <w:shd w:val="clear" w:color="auto" w:fill="FFFFFF"/>
        </w:rPr>
        <w:footnoteReference w:id="8"/>
      </w:r>
      <w:r w:rsidRPr="003E0759" w:rsidR="00D72F4C">
        <w:rPr>
          <w:szCs w:val="22"/>
          <w:shd w:val="clear" w:color="auto" w:fill="FFFFFF"/>
        </w:rPr>
        <w:t xml:space="preserve"> </w:t>
      </w:r>
      <w:r w:rsidRPr="003E0759" w:rsidR="00091032">
        <w:rPr>
          <w:szCs w:val="22"/>
          <w:shd w:val="clear" w:color="auto" w:fill="FFFFFF"/>
        </w:rPr>
        <w:t xml:space="preserve"> </w:t>
      </w:r>
      <w:r w:rsidRPr="003E0759" w:rsidR="006E4933">
        <w:rPr>
          <w:szCs w:val="22"/>
          <w:shd w:val="clear" w:color="auto" w:fill="FFFFFF"/>
        </w:rPr>
        <w:t xml:space="preserve">OSPs </w:t>
      </w:r>
      <w:r w:rsidRPr="003E0759" w:rsidR="009E3262">
        <w:rPr>
          <w:szCs w:val="22"/>
          <w:shd w:val="clear" w:color="auto" w:fill="FFFFFF"/>
        </w:rPr>
        <w:t xml:space="preserve">also </w:t>
      </w:r>
      <w:r w:rsidRPr="003E0759" w:rsidR="006E4933">
        <w:rPr>
          <w:szCs w:val="22"/>
          <w:shd w:val="clear" w:color="auto" w:fill="FFFFFF"/>
        </w:rPr>
        <w:t xml:space="preserve">must provide that outage notification </w:t>
      </w:r>
      <w:r w:rsidRPr="003E0759" w:rsidR="007625B2">
        <w:rPr>
          <w:szCs w:val="22"/>
          <w:shd w:val="clear" w:color="auto" w:fill="FFFFFF"/>
        </w:rPr>
        <w:t xml:space="preserve">to the 911 special facility </w:t>
      </w:r>
      <w:r w:rsidRPr="003E0759" w:rsidR="006E4933">
        <w:rPr>
          <w:szCs w:val="22"/>
          <w:shd w:val="clear" w:color="auto" w:fill="FFFFFF"/>
        </w:rPr>
        <w:t>within 30 minutes of discovery of the outage</w:t>
      </w:r>
      <w:r w:rsidRPr="003E0759" w:rsidR="009E3262">
        <w:rPr>
          <w:szCs w:val="22"/>
          <w:shd w:val="clear" w:color="auto" w:fill="FFFFFF"/>
        </w:rPr>
        <w:t xml:space="preserve">, as </w:t>
      </w:r>
      <w:r w:rsidRPr="003E0759" w:rsidR="00216609">
        <w:rPr>
          <w:szCs w:val="22"/>
          <w:shd w:val="clear" w:color="auto" w:fill="FFFFFF"/>
        </w:rPr>
        <w:t>covered 911 service providers</w:t>
      </w:r>
      <w:r w:rsidRPr="003E0759" w:rsidR="009E3262">
        <w:rPr>
          <w:szCs w:val="22"/>
          <w:shd w:val="clear" w:color="auto" w:fill="FFFFFF"/>
        </w:rPr>
        <w:t xml:space="preserve"> already do</w:t>
      </w:r>
      <w:r w:rsidRPr="003E0759" w:rsidR="006E4933">
        <w:rPr>
          <w:szCs w:val="22"/>
          <w:shd w:val="clear" w:color="auto" w:fill="FFFFFF"/>
        </w:rPr>
        <w:t>.</w:t>
      </w:r>
      <w:r>
        <w:rPr>
          <w:rStyle w:val="FootnoteReference"/>
          <w:szCs w:val="22"/>
          <w:shd w:val="clear" w:color="auto" w:fill="FFFFFF"/>
        </w:rPr>
        <w:footnoteReference w:id="9"/>
      </w:r>
      <w:r w:rsidRPr="003E0759" w:rsidR="008661D2">
        <w:rPr>
          <w:szCs w:val="22"/>
          <w:shd w:val="clear" w:color="auto" w:fill="FFFFFF"/>
        </w:rPr>
        <w:t xml:space="preserve">  </w:t>
      </w:r>
      <w:r w:rsidRPr="003E0759" w:rsidR="009E3262">
        <w:rPr>
          <w:szCs w:val="22"/>
          <w:shd w:val="clear" w:color="auto" w:fill="FFFFFF"/>
        </w:rPr>
        <w:t xml:space="preserve">After that initial notification, </w:t>
      </w:r>
      <w:r w:rsidRPr="003E0759" w:rsidR="00F2147E">
        <w:rPr>
          <w:szCs w:val="22"/>
          <w:shd w:val="clear" w:color="auto" w:fill="FFFFFF"/>
        </w:rPr>
        <w:t xml:space="preserve">OSPs </w:t>
      </w:r>
      <w:r w:rsidRPr="003E0759" w:rsidR="009E3262">
        <w:rPr>
          <w:szCs w:val="22"/>
          <w:shd w:val="clear" w:color="auto" w:fill="FFFFFF"/>
        </w:rPr>
        <w:t xml:space="preserve">and </w:t>
      </w:r>
      <w:r w:rsidRPr="003E0759" w:rsidR="00216609">
        <w:rPr>
          <w:szCs w:val="22"/>
          <w:shd w:val="clear" w:color="auto" w:fill="FFFFFF"/>
        </w:rPr>
        <w:t>covered 911 service providers</w:t>
      </w:r>
      <w:r w:rsidRPr="003E0759" w:rsidR="009E3262">
        <w:rPr>
          <w:szCs w:val="22"/>
          <w:shd w:val="clear" w:color="auto" w:fill="FFFFFF"/>
        </w:rPr>
        <w:t xml:space="preserve"> </w:t>
      </w:r>
      <w:r w:rsidRPr="003E0759" w:rsidR="00B3363F">
        <w:rPr>
          <w:szCs w:val="22"/>
          <w:shd w:val="clear" w:color="auto" w:fill="FFFFFF"/>
        </w:rPr>
        <w:t xml:space="preserve">must provide </w:t>
      </w:r>
      <w:r w:rsidRPr="003E0759" w:rsidR="009E3262">
        <w:rPr>
          <w:szCs w:val="22"/>
          <w:shd w:val="clear" w:color="auto" w:fill="FFFFFF"/>
        </w:rPr>
        <w:t xml:space="preserve">material </w:t>
      </w:r>
      <w:r w:rsidRPr="003E0759" w:rsidR="00B3363F">
        <w:rPr>
          <w:szCs w:val="22"/>
          <w:shd w:val="clear" w:color="auto" w:fill="FFFFFF"/>
        </w:rPr>
        <w:t xml:space="preserve">information </w:t>
      </w:r>
      <w:r w:rsidRPr="003E0759" w:rsidR="009E3262">
        <w:rPr>
          <w:szCs w:val="22"/>
          <w:shd w:val="clear" w:color="auto" w:fill="FFFFFF"/>
        </w:rPr>
        <w:t xml:space="preserve">to 911 special facilities as soon as it becomes available </w:t>
      </w:r>
      <w:r w:rsidRPr="003E0759" w:rsidR="004A69B4">
        <w:rPr>
          <w:szCs w:val="22"/>
          <w:shd w:val="clear" w:color="auto" w:fill="FFFFFF"/>
        </w:rPr>
        <w:t>for the duration of the outage</w:t>
      </w:r>
      <w:r w:rsidRPr="003E0759" w:rsidR="009E3262">
        <w:rPr>
          <w:szCs w:val="22"/>
          <w:shd w:val="clear" w:color="auto" w:fill="FFFFFF"/>
        </w:rPr>
        <w:t>.</w:t>
      </w:r>
      <w:r w:rsidRPr="003E0759" w:rsidR="004A69B4">
        <w:rPr>
          <w:szCs w:val="22"/>
          <w:shd w:val="clear" w:color="auto" w:fill="FFFFFF"/>
        </w:rPr>
        <w:t xml:space="preserve"> </w:t>
      </w:r>
      <w:r w:rsidRPr="003E0759" w:rsidR="004C01FA">
        <w:rPr>
          <w:szCs w:val="22"/>
          <w:shd w:val="clear" w:color="auto" w:fill="FFFFFF"/>
        </w:rPr>
        <w:t xml:space="preserve"> </w:t>
      </w:r>
      <w:r w:rsidRPr="003E0759" w:rsidR="009E3262">
        <w:rPr>
          <w:szCs w:val="22"/>
          <w:shd w:val="clear" w:color="auto" w:fill="FFFFFF"/>
        </w:rPr>
        <w:t>I</w:t>
      </w:r>
      <w:r w:rsidRPr="003E0759" w:rsidR="00B3363F">
        <w:rPr>
          <w:szCs w:val="22"/>
          <w:shd w:val="clear" w:color="auto" w:fill="FFFFFF"/>
        </w:rPr>
        <w:t xml:space="preserve">n any event, </w:t>
      </w:r>
      <w:r w:rsidRPr="003E0759" w:rsidR="009E3262">
        <w:rPr>
          <w:szCs w:val="22"/>
          <w:shd w:val="clear" w:color="auto" w:fill="FFFFFF"/>
        </w:rPr>
        <w:t xml:space="preserve">OSPs are required to </w:t>
      </w:r>
      <w:r w:rsidRPr="003E0759" w:rsidR="00B43452">
        <w:rPr>
          <w:szCs w:val="22"/>
          <w:shd w:val="clear" w:color="auto" w:fill="FFFFFF"/>
        </w:rPr>
        <w:t xml:space="preserve">provide an </w:t>
      </w:r>
      <w:r w:rsidRPr="003E0759" w:rsidR="009E3262">
        <w:rPr>
          <w:szCs w:val="22"/>
          <w:shd w:val="clear" w:color="auto" w:fill="FFFFFF"/>
        </w:rPr>
        <w:t xml:space="preserve">911 special facilities with an </w:t>
      </w:r>
      <w:r w:rsidRPr="003E0759" w:rsidR="00B43452">
        <w:rPr>
          <w:szCs w:val="22"/>
          <w:shd w:val="clear" w:color="auto" w:fill="FFFFFF"/>
        </w:rPr>
        <w:t xml:space="preserve">update </w:t>
      </w:r>
      <w:r w:rsidRPr="003E0759" w:rsidR="00B3363F">
        <w:rPr>
          <w:szCs w:val="22"/>
          <w:shd w:val="clear" w:color="auto" w:fill="FFFFFF"/>
        </w:rPr>
        <w:t xml:space="preserve">no later than two hours </w:t>
      </w:r>
      <w:r w:rsidRPr="003E0759" w:rsidR="00FC78D0">
        <w:rPr>
          <w:szCs w:val="22"/>
          <w:shd w:val="clear" w:color="auto" w:fill="FFFFFF"/>
        </w:rPr>
        <w:t>following delivery of the initial notification</w:t>
      </w:r>
      <w:r w:rsidRPr="003E0759" w:rsidR="009E3262">
        <w:rPr>
          <w:szCs w:val="22"/>
          <w:shd w:val="clear" w:color="auto" w:fill="FFFFFF"/>
        </w:rPr>
        <w:t xml:space="preserve">, as </w:t>
      </w:r>
      <w:r w:rsidRPr="003E0759" w:rsidR="00216609">
        <w:rPr>
          <w:szCs w:val="22"/>
          <w:shd w:val="clear" w:color="auto" w:fill="FFFFFF"/>
        </w:rPr>
        <w:t>covered 911 service providers</w:t>
      </w:r>
      <w:r w:rsidRPr="003E0759" w:rsidR="009E3262">
        <w:rPr>
          <w:szCs w:val="22"/>
          <w:shd w:val="clear" w:color="auto" w:fill="FFFFFF"/>
        </w:rPr>
        <w:t xml:space="preserve"> already do</w:t>
      </w:r>
      <w:r w:rsidRPr="003E0759" w:rsidR="00FC78D0">
        <w:rPr>
          <w:szCs w:val="22"/>
          <w:shd w:val="clear" w:color="auto" w:fill="FFFFFF"/>
        </w:rPr>
        <w:t>.</w:t>
      </w:r>
      <w:r>
        <w:rPr>
          <w:rStyle w:val="FootnoteReference"/>
          <w:szCs w:val="22"/>
          <w:shd w:val="clear" w:color="auto" w:fill="FFFFFF"/>
        </w:rPr>
        <w:footnoteReference w:id="10"/>
      </w:r>
      <w:r w:rsidRPr="003E0759" w:rsidR="001804C0">
        <w:rPr>
          <w:szCs w:val="22"/>
          <w:shd w:val="clear" w:color="auto" w:fill="FFFFFF"/>
        </w:rPr>
        <w:t xml:space="preserve">  We believe that </w:t>
      </w:r>
      <w:r w:rsidRPr="003E0759" w:rsidR="00B924E5">
        <w:rPr>
          <w:szCs w:val="22"/>
          <w:shd w:val="clear" w:color="auto" w:fill="FFFFFF"/>
        </w:rPr>
        <w:t xml:space="preserve">harmonizing and standardizing 911 outage reporting </w:t>
      </w:r>
      <w:r w:rsidRPr="003E0759" w:rsidR="00E0087A">
        <w:rPr>
          <w:szCs w:val="22"/>
          <w:shd w:val="clear" w:color="auto" w:fill="FFFFFF"/>
        </w:rPr>
        <w:t>assists 911 special facilities in receiving and responding to service outage notification</w:t>
      </w:r>
      <w:r w:rsidR="007A2C0C">
        <w:rPr>
          <w:szCs w:val="22"/>
          <w:shd w:val="clear" w:color="auto" w:fill="FFFFFF"/>
        </w:rPr>
        <w:t>s</w:t>
      </w:r>
      <w:r w:rsidRPr="003E0759" w:rsidR="00E0087A">
        <w:rPr>
          <w:szCs w:val="22"/>
          <w:shd w:val="clear" w:color="auto" w:fill="FFFFFF"/>
        </w:rPr>
        <w:t xml:space="preserve">, </w:t>
      </w:r>
      <w:r w:rsidRPr="003E0759" w:rsidR="006D5197">
        <w:rPr>
          <w:szCs w:val="22"/>
          <w:shd w:val="clear" w:color="auto" w:fill="FFFFFF"/>
        </w:rPr>
        <w:t xml:space="preserve">and the information we are requiring to be contained in the reports will improve the speed and accuracy of </w:t>
      </w:r>
      <w:r w:rsidRPr="003E0759" w:rsidR="0092658F">
        <w:rPr>
          <w:szCs w:val="22"/>
          <w:shd w:val="clear" w:color="auto" w:fill="FFFFFF"/>
        </w:rPr>
        <w:t>responses to service outages by 911 service providers</w:t>
      </w:r>
      <w:r w:rsidRPr="003E0759" w:rsidR="0052182C">
        <w:rPr>
          <w:szCs w:val="22"/>
          <w:shd w:val="clear" w:color="auto" w:fill="FFFFFF"/>
        </w:rPr>
        <w:t>, which promotes public safety.</w:t>
      </w:r>
    </w:p>
    <w:p w:rsidR="00322217" w:rsidRPr="003E0759" w:rsidP="007B37F1" w14:paraId="01ABB771" w14:textId="64C3D2CB">
      <w:pPr>
        <w:spacing w:after="120"/>
        <w:ind w:firstLine="720"/>
        <w:rPr>
          <w:szCs w:val="22"/>
          <w:shd w:val="clear" w:color="auto" w:fill="FFFFFF"/>
        </w:rPr>
      </w:pPr>
      <w:r>
        <w:rPr>
          <w:i/>
          <w:iCs/>
          <w:szCs w:val="22"/>
          <w:shd w:val="clear" w:color="auto" w:fill="FFFFFF"/>
        </w:rPr>
        <w:t xml:space="preserve">Maintaining Accurate </w:t>
      </w:r>
      <w:r w:rsidRPr="00D0695A" w:rsidR="00B35759">
        <w:rPr>
          <w:i/>
          <w:iCs/>
          <w:szCs w:val="22"/>
          <w:shd w:val="clear" w:color="auto" w:fill="FFFFFF"/>
        </w:rPr>
        <w:t xml:space="preserve">Contact Information for </w:t>
      </w:r>
      <w:r w:rsidR="008A39FB">
        <w:rPr>
          <w:i/>
          <w:iCs/>
          <w:szCs w:val="22"/>
          <w:shd w:val="clear" w:color="auto" w:fill="FFFFFF"/>
        </w:rPr>
        <w:t>911 Special Facilities</w:t>
      </w:r>
      <w:r w:rsidR="00B35759">
        <w:rPr>
          <w:szCs w:val="22"/>
          <w:shd w:val="clear" w:color="auto" w:fill="FFFFFF"/>
        </w:rPr>
        <w:t xml:space="preserve">.  </w:t>
      </w:r>
      <w:r w:rsidRPr="003E0759" w:rsidR="00DD5C2C">
        <w:rPr>
          <w:szCs w:val="22"/>
          <w:shd w:val="clear" w:color="auto" w:fill="FFFFFF"/>
        </w:rPr>
        <w:t xml:space="preserve">The </w:t>
      </w:r>
      <w:r w:rsidRPr="003E0759" w:rsidR="00247D2B">
        <w:rPr>
          <w:i/>
          <w:iCs/>
          <w:szCs w:val="22"/>
          <w:shd w:val="clear" w:color="auto" w:fill="FFFFFF"/>
        </w:rPr>
        <w:t xml:space="preserve">2022 </w:t>
      </w:r>
      <w:r w:rsidRPr="003E0759" w:rsidR="00DD5C2C">
        <w:rPr>
          <w:i/>
          <w:iCs/>
          <w:szCs w:val="22"/>
          <w:shd w:val="clear" w:color="auto" w:fill="FFFFFF"/>
        </w:rPr>
        <w:t>Second Report and Order</w:t>
      </w:r>
      <w:r w:rsidRPr="003E0759" w:rsidR="00DD5C2C">
        <w:rPr>
          <w:szCs w:val="22"/>
          <w:shd w:val="clear" w:color="auto" w:fill="FFFFFF"/>
        </w:rPr>
        <w:t xml:space="preserve"> requires </w:t>
      </w:r>
      <w:r w:rsidRPr="003E0759" w:rsidR="00216609">
        <w:rPr>
          <w:szCs w:val="22"/>
          <w:shd w:val="clear" w:color="auto" w:fill="FFFFFF"/>
        </w:rPr>
        <w:t>covered 911 service providers</w:t>
      </w:r>
      <w:r w:rsidRPr="003E0759" w:rsidR="00DD5C2C">
        <w:rPr>
          <w:szCs w:val="22"/>
          <w:shd w:val="clear" w:color="auto" w:fill="FFFFFF"/>
        </w:rPr>
        <w:t xml:space="preserve"> </w:t>
      </w:r>
      <w:r w:rsidRPr="003E0759" w:rsidR="007C420B">
        <w:rPr>
          <w:szCs w:val="22"/>
          <w:shd w:val="clear" w:color="auto" w:fill="FFFFFF"/>
        </w:rPr>
        <w:t xml:space="preserve">and OSPs </w:t>
      </w:r>
      <w:r w:rsidRPr="003E0759" w:rsidR="00DD5C2C">
        <w:rPr>
          <w:szCs w:val="22"/>
          <w:shd w:val="clear" w:color="auto" w:fill="FFFFFF"/>
        </w:rPr>
        <w:t xml:space="preserve">to </w:t>
      </w:r>
      <w:r w:rsidRPr="003E0759" w:rsidR="00B96707">
        <w:rPr>
          <w:szCs w:val="22"/>
          <w:shd w:val="clear" w:color="auto" w:fill="FFFFFF"/>
        </w:rPr>
        <w:t>obtain accurate contact information for each 911 special facility it serves, and to</w:t>
      </w:r>
      <w:r w:rsidRPr="003E0759" w:rsidR="007C420B">
        <w:rPr>
          <w:szCs w:val="22"/>
          <w:shd w:val="clear" w:color="auto" w:fill="FFFFFF"/>
        </w:rPr>
        <w:t xml:space="preserve"> verify and update that information </w:t>
      </w:r>
      <w:r w:rsidRPr="003E0759" w:rsidR="008851AE">
        <w:rPr>
          <w:szCs w:val="22"/>
          <w:shd w:val="clear" w:color="auto" w:fill="FFFFFF"/>
        </w:rPr>
        <w:t>annually.</w:t>
      </w:r>
      <w:r w:rsidRPr="003E0759" w:rsidR="000F22AC">
        <w:rPr>
          <w:szCs w:val="22"/>
          <w:shd w:val="clear" w:color="auto" w:fill="FFFFFF"/>
        </w:rPr>
        <w:t xml:space="preserve">  We have observed situations where providers have been unable to notify 911 special facilities they serve of service outages because the provider lacked accurate contact information for the 911 special facility.  </w:t>
      </w:r>
      <w:r w:rsidRPr="003E0759" w:rsidR="009E74E1">
        <w:rPr>
          <w:szCs w:val="22"/>
          <w:shd w:val="clear" w:color="auto" w:fill="FFFFFF"/>
        </w:rPr>
        <w:t xml:space="preserve">Accurately reporting service outages to 911 special facilities </w:t>
      </w:r>
      <w:r w:rsidRPr="003E0759" w:rsidR="001B7BA2">
        <w:rPr>
          <w:szCs w:val="22"/>
          <w:shd w:val="clear" w:color="auto" w:fill="FFFFFF"/>
        </w:rPr>
        <w:t xml:space="preserve">is imperative because when someone dials 911 it is often for an emergency where time is of the essence.  </w:t>
      </w:r>
      <w:r w:rsidRPr="003E0759" w:rsidR="002C05E9">
        <w:rPr>
          <w:szCs w:val="22"/>
          <w:shd w:val="clear" w:color="auto" w:fill="FFFFFF"/>
        </w:rPr>
        <w:t xml:space="preserve">Requiring </w:t>
      </w:r>
      <w:r w:rsidRPr="003E0759" w:rsidR="00216609">
        <w:rPr>
          <w:szCs w:val="22"/>
          <w:shd w:val="clear" w:color="auto" w:fill="FFFFFF"/>
        </w:rPr>
        <w:t>covered 911 service providers</w:t>
      </w:r>
      <w:r w:rsidRPr="003E0759" w:rsidR="00216609">
        <w:rPr>
          <w:szCs w:val="22"/>
          <w:shd w:val="clear" w:color="auto" w:fill="FFFFFF"/>
        </w:rPr>
        <w:t xml:space="preserve"> </w:t>
      </w:r>
      <w:r w:rsidRPr="003E0759" w:rsidR="002C05E9">
        <w:rPr>
          <w:szCs w:val="22"/>
          <w:shd w:val="clear" w:color="auto" w:fill="FFFFFF"/>
        </w:rPr>
        <w:t xml:space="preserve">and OSPs to utilize </w:t>
      </w:r>
      <w:r w:rsidRPr="003E0759" w:rsidR="00175AC3">
        <w:rPr>
          <w:szCs w:val="22"/>
          <w:shd w:val="clear" w:color="auto" w:fill="FFFFFF"/>
        </w:rPr>
        <w:t>“</w:t>
      </w:r>
      <w:r w:rsidRPr="003E0759" w:rsidR="002C05E9">
        <w:rPr>
          <w:szCs w:val="22"/>
          <w:shd w:val="clear" w:color="auto" w:fill="FFFFFF"/>
        </w:rPr>
        <w:t>special diligence</w:t>
      </w:r>
      <w:r w:rsidRPr="003E0759" w:rsidR="00175AC3">
        <w:rPr>
          <w:szCs w:val="22"/>
          <w:shd w:val="clear" w:color="auto" w:fill="FFFFFF"/>
        </w:rPr>
        <w:t>”</w:t>
      </w:r>
      <w:r>
        <w:rPr>
          <w:rStyle w:val="FootnoteReference"/>
          <w:szCs w:val="22"/>
          <w:shd w:val="clear" w:color="auto" w:fill="FFFFFF"/>
        </w:rPr>
        <w:footnoteReference w:id="11"/>
      </w:r>
      <w:r w:rsidRPr="003E0759" w:rsidR="002C05E9">
        <w:rPr>
          <w:szCs w:val="22"/>
          <w:shd w:val="clear" w:color="auto" w:fill="FFFFFF"/>
        </w:rPr>
        <w:t xml:space="preserve"> to obtain and maintain </w:t>
      </w:r>
      <w:r w:rsidRPr="003E0759" w:rsidR="00BF1027">
        <w:rPr>
          <w:szCs w:val="22"/>
          <w:shd w:val="clear" w:color="auto" w:fill="FFFFFF"/>
        </w:rPr>
        <w:t xml:space="preserve">correct contact information for the 911 special facilities they serve will reduce the number of preventable delays that </w:t>
      </w:r>
      <w:r w:rsidRPr="003E0759" w:rsidR="000B398C">
        <w:rPr>
          <w:szCs w:val="22"/>
          <w:shd w:val="clear" w:color="auto" w:fill="FFFFFF"/>
        </w:rPr>
        <w:t>customers experience when dialing 911.</w:t>
      </w:r>
      <w:r>
        <w:rPr>
          <w:rStyle w:val="FootnoteReference"/>
          <w:szCs w:val="22"/>
          <w:shd w:val="clear" w:color="auto" w:fill="FFFFFF"/>
        </w:rPr>
        <w:footnoteReference w:id="12"/>
      </w:r>
    </w:p>
    <w:p w:rsidR="000E1E19" w:rsidRPr="003E0759" w:rsidP="000E1E19" w14:paraId="5D1D09C3" w14:textId="36655AB1">
      <w:pPr>
        <w:spacing w:after="120"/>
        <w:ind w:firstLine="720"/>
        <w:rPr>
          <w:szCs w:val="22"/>
          <w:shd w:val="clear" w:color="auto" w:fill="FFFFFF"/>
        </w:rPr>
      </w:pPr>
      <w:r w:rsidRPr="003E0759">
        <w:rPr>
          <w:szCs w:val="22"/>
          <w:shd w:val="clear" w:color="auto" w:fill="FFFFFF"/>
        </w:rPr>
        <w:t xml:space="preserve">The </w:t>
      </w:r>
      <w:r w:rsidRPr="003E0759">
        <w:rPr>
          <w:i/>
          <w:iCs/>
          <w:szCs w:val="22"/>
          <w:shd w:val="clear" w:color="auto" w:fill="FFFFFF"/>
        </w:rPr>
        <w:t>2023 Report and Order</w:t>
      </w:r>
      <w:r w:rsidRPr="003E0759">
        <w:rPr>
          <w:szCs w:val="22"/>
          <w:shd w:val="clear" w:color="auto" w:fill="FFFFFF"/>
        </w:rPr>
        <w:t xml:space="preserve"> adopts rules designed to ensure that </w:t>
      </w:r>
      <w:r w:rsidRPr="003E0759" w:rsidR="004338F1">
        <w:rPr>
          <w:szCs w:val="22"/>
          <w:shd w:val="clear" w:color="auto" w:fill="FFFFFF"/>
        </w:rPr>
        <w:t xml:space="preserve">officials responsible for overseeing the </w:t>
      </w:r>
      <w:r w:rsidRPr="003E0759" w:rsidR="004338F1">
        <w:t xml:space="preserve">988 Suicide &amp; Crisis Lifeline (988 Lifeline), which is a 24/7 hotline available to people in suicidal crisis and mental health distress, </w:t>
      </w:r>
      <w:r w:rsidRPr="003E0759">
        <w:rPr>
          <w:szCs w:val="22"/>
          <w:shd w:val="clear" w:color="auto" w:fill="FFFFFF"/>
        </w:rPr>
        <w:t>receive timely and actionable information about 988 service outages.  The</w:t>
      </w:r>
      <w:r w:rsidRPr="003E0759" w:rsidR="004338F1">
        <w:rPr>
          <w:szCs w:val="22"/>
          <w:shd w:val="clear" w:color="auto" w:fill="FFFFFF"/>
        </w:rPr>
        <w:t xml:space="preserve"> rules </w:t>
      </w:r>
      <w:r w:rsidRPr="003E0759">
        <w:rPr>
          <w:szCs w:val="22"/>
          <w:shd w:val="clear" w:color="auto" w:fill="FFFFFF"/>
        </w:rPr>
        <w:t xml:space="preserve">require </w:t>
      </w:r>
      <w:r w:rsidRPr="003E0759" w:rsidR="005E52BB">
        <w:rPr>
          <w:szCs w:val="22"/>
          <w:shd w:val="clear" w:color="auto" w:fill="FFFFFF"/>
        </w:rPr>
        <w:t>OSPs</w:t>
      </w:r>
      <w:r w:rsidRPr="003E0759">
        <w:rPr>
          <w:szCs w:val="22"/>
          <w:shd w:val="clear" w:color="auto" w:fill="FFFFFF"/>
        </w:rPr>
        <w:t xml:space="preserve"> and a new category of “covered 988 service providers” to report outages that potentially affect the 988 Lifeline to the Commission’s N</w:t>
      </w:r>
      <w:r w:rsidRPr="003E0759" w:rsidR="004338F1">
        <w:rPr>
          <w:szCs w:val="22"/>
          <w:shd w:val="clear" w:color="auto" w:fill="FFFFFF"/>
        </w:rPr>
        <w:t>etwork Outage Reporting System (NORS)</w:t>
      </w:r>
      <w:r w:rsidRPr="003E0759">
        <w:rPr>
          <w:szCs w:val="22"/>
          <w:shd w:val="clear" w:color="auto" w:fill="FFFFFF"/>
        </w:rPr>
        <w:t>, similar to the Commission’s existing rules that require the reporting of outages that potentially affect 911.</w:t>
      </w:r>
      <w:r>
        <w:rPr>
          <w:rStyle w:val="FootnoteReference"/>
          <w:szCs w:val="22"/>
          <w:shd w:val="clear" w:color="auto" w:fill="FFFFFF"/>
        </w:rPr>
        <w:footnoteReference w:id="13"/>
      </w:r>
      <w:r w:rsidRPr="003E0759">
        <w:rPr>
          <w:szCs w:val="22"/>
          <w:shd w:val="clear" w:color="auto" w:fill="FFFFFF"/>
        </w:rPr>
        <w:t xml:space="preserve">  </w:t>
      </w:r>
      <w:r w:rsidRPr="003E0759" w:rsidR="004338F1">
        <w:rPr>
          <w:szCs w:val="22"/>
          <w:shd w:val="clear" w:color="auto" w:fill="FFFFFF"/>
        </w:rPr>
        <w:t>O</w:t>
      </w:r>
      <w:r w:rsidRPr="003E0759">
        <w:rPr>
          <w:szCs w:val="22"/>
          <w:shd w:val="clear" w:color="auto" w:fill="FFFFFF"/>
        </w:rPr>
        <w:t xml:space="preserve">utages that potentially affect a 988 special facility </w:t>
      </w:r>
      <w:r w:rsidRPr="003E0759" w:rsidR="004338F1">
        <w:rPr>
          <w:szCs w:val="22"/>
          <w:shd w:val="clear" w:color="auto" w:fill="FFFFFF"/>
        </w:rPr>
        <w:t xml:space="preserve">are defined </w:t>
      </w:r>
      <w:r w:rsidRPr="003E0759">
        <w:rPr>
          <w:szCs w:val="22"/>
          <w:shd w:val="clear" w:color="auto" w:fill="FFFFFF"/>
        </w:rPr>
        <w:t xml:space="preserve">as events that result in the loss of </w:t>
      </w:r>
      <w:r w:rsidRPr="003E0759">
        <w:rPr>
          <w:szCs w:val="22"/>
          <w:shd w:val="clear" w:color="auto" w:fill="FFFFFF"/>
        </w:rPr>
        <w:t>the ability of the 988 Lifeline to receive, process, or forward calls, potentially affecting at least 900,000 user-minutes and lasting at least 30 minutes duration.</w:t>
      </w:r>
      <w:r>
        <w:rPr>
          <w:rStyle w:val="FootnoteReference"/>
          <w:szCs w:val="22"/>
          <w:shd w:val="clear" w:color="auto" w:fill="FFFFFF"/>
        </w:rPr>
        <w:footnoteReference w:id="14"/>
      </w:r>
    </w:p>
    <w:p w:rsidR="000E1E19" w:rsidRPr="003E0759" w:rsidP="000E1E19" w14:paraId="3E0C562E" w14:textId="492D04F2">
      <w:pPr>
        <w:spacing w:after="120"/>
        <w:ind w:firstLine="720"/>
        <w:rPr>
          <w:szCs w:val="22"/>
          <w:shd w:val="clear" w:color="auto" w:fill="FFFFFF"/>
        </w:rPr>
      </w:pPr>
      <w:r w:rsidRPr="003E0759">
        <w:rPr>
          <w:szCs w:val="22"/>
          <w:shd w:val="clear" w:color="auto" w:fill="FFFFFF"/>
        </w:rPr>
        <w:t xml:space="preserve">The </w:t>
      </w:r>
      <w:r w:rsidRPr="003E0759" w:rsidR="00216609">
        <w:rPr>
          <w:i/>
          <w:iCs/>
          <w:szCs w:val="22"/>
          <w:shd w:val="clear" w:color="auto" w:fill="FFFFFF"/>
        </w:rPr>
        <w:t>2023 Report and Order</w:t>
      </w:r>
      <w:r w:rsidRPr="003E0759">
        <w:rPr>
          <w:szCs w:val="22"/>
          <w:shd w:val="clear" w:color="auto" w:fill="FFFFFF"/>
        </w:rPr>
        <w:t xml:space="preserve"> also requires that these providers provide notice to </w:t>
      </w:r>
      <w:r w:rsidRPr="003E0759" w:rsidR="004338F1">
        <w:t>the Department of Health and Human Services’ Substance Abuse and Mental Health Services Administration (</w:t>
      </w:r>
      <w:r w:rsidRPr="003E0759" w:rsidR="004338F1">
        <w:rPr>
          <w:szCs w:val="22"/>
          <w:shd w:val="clear" w:color="auto" w:fill="FFFFFF"/>
        </w:rPr>
        <w:t xml:space="preserve">SAMHSA), the </w:t>
      </w:r>
      <w:r w:rsidRPr="003E0759" w:rsidR="004338F1">
        <w:t>Department of Veterans Affairs (VA)</w:t>
      </w:r>
      <w:r w:rsidRPr="003E0759" w:rsidR="004338F1">
        <w:rPr>
          <w:szCs w:val="22"/>
          <w:shd w:val="clear" w:color="auto" w:fill="FFFFFF"/>
        </w:rPr>
        <w:t xml:space="preserve">, and the 988 Lifeline administrator </w:t>
      </w:r>
      <w:r w:rsidRPr="003E0759">
        <w:rPr>
          <w:szCs w:val="22"/>
          <w:shd w:val="clear" w:color="auto" w:fill="FFFFFF"/>
        </w:rPr>
        <w:t>when an outage that potentially affects a 988 special facility occurs.</w:t>
      </w:r>
      <w:r>
        <w:rPr>
          <w:rStyle w:val="FootnoteReference"/>
          <w:szCs w:val="22"/>
          <w:shd w:val="clear" w:color="auto" w:fill="FFFFFF"/>
        </w:rPr>
        <w:footnoteReference w:id="15"/>
      </w:r>
      <w:r w:rsidRPr="003E0759">
        <w:rPr>
          <w:szCs w:val="22"/>
          <w:shd w:val="clear" w:color="auto" w:fill="FFFFFF"/>
        </w:rPr>
        <w:t xml:space="preserve">  For outages lasting longer than 2 hours, the providers </w:t>
      </w:r>
      <w:r w:rsidRPr="003E0759" w:rsidR="004338F1">
        <w:rPr>
          <w:szCs w:val="22"/>
          <w:shd w:val="clear" w:color="auto" w:fill="FFFFFF"/>
        </w:rPr>
        <w:t>must</w:t>
      </w:r>
      <w:r w:rsidRPr="003E0759">
        <w:rPr>
          <w:szCs w:val="22"/>
          <w:shd w:val="clear" w:color="auto" w:fill="FFFFFF"/>
        </w:rPr>
        <w:t xml:space="preserve"> follow-up with subsequent notifications of material information as soon as possible after discovery of the new material information, and continue providing additional material information until the outage is completely repaired and service is fully restored.  These service providers </w:t>
      </w:r>
      <w:r w:rsidRPr="003E0759" w:rsidR="004338F1">
        <w:rPr>
          <w:szCs w:val="22"/>
          <w:shd w:val="clear" w:color="auto" w:fill="FFFFFF"/>
        </w:rPr>
        <w:t>are a</w:t>
      </w:r>
      <w:r w:rsidRPr="003E0759">
        <w:rPr>
          <w:szCs w:val="22"/>
          <w:shd w:val="clear" w:color="auto" w:fill="FFFFFF"/>
        </w:rPr>
        <w:t>lso required to maintain up</w:t>
      </w:r>
      <w:r w:rsidRPr="003E0759" w:rsidR="004338F1">
        <w:rPr>
          <w:szCs w:val="22"/>
          <w:shd w:val="clear" w:color="auto" w:fill="FFFFFF"/>
        </w:rPr>
        <w:t>-</w:t>
      </w:r>
      <w:r w:rsidRPr="003E0759">
        <w:rPr>
          <w:szCs w:val="22"/>
          <w:shd w:val="clear" w:color="auto" w:fill="FFFFFF"/>
        </w:rPr>
        <w:t>to</w:t>
      </w:r>
      <w:r w:rsidRPr="003E0759" w:rsidR="004338F1">
        <w:rPr>
          <w:szCs w:val="22"/>
          <w:shd w:val="clear" w:color="auto" w:fill="FFFFFF"/>
        </w:rPr>
        <w:t>-</w:t>
      </w:r>
      <w:r w:rsidRPr="003E0759">
        <w:rPr>
          <w:szCs w:val="22"/>
          <w:shd w:val="clear" w:color="auto" w:fill="FFFFFF"/>
        </w:rPr>
        <w:t>date contact information for those individuals identified by SAMHSA, the VA, and the 988 Lifeline administrator to receive outage notifications.</w:t>
      </w:r>
      <w:r>
        <w:rPr>
          <w:rStyle w:val="FootnoteReference"/>
          <w:szCs w:val="22"/>
          <w:shd w:val="clear" w:color="auto" w:fill="FFFFFF"/>
        </w:rPr>
        <w:footnoteReference w:id="16"/>
      </w:r>
    </w:p>
    <w:p w:rsidR="004127EC" w:rsidRPr="003E0759" w:rsidP="004127EC" w14:paraId="2EFED108" w14:textId="7FF2C6DC">
      <w:pPr>
        <w:spacing w:after="120"/>
      </w:pPr>
      <w:r w:rsidRPr="003E0759">
        <w:rPr>
          <w:b/>
          <w:u w:val="single"/>
        </w:rPr>
        <w:t>Current Information Collection Requirements Previously Approved by OMB:</w:t>
      </w:r>
    </w:p>
    <w:p w:rsidR="000C3917" w:rsidRPr="003E0759" w:rsidP="000C3917" w14:paraId="5B89DB5A" w14:textId="263EEC76">
      <w:pPr>
        <w:spacing w:after="120"/>
        <w:ind w:firstLine="720"/>
        <w:rPr>
          <w:iCs/>
          <w:szCs w:val="22"/>
          <w:u w:val="single"/>
          <w:shd w:val="clear" w:color="auto" w:fill="FFFFFF"/>
        </w:rPr>
      </w:pPr>
      <w:r w:rsidRPr="003E0759">
        <w:rPr>
          <w:szCs w:val="22"/>
          <w:shd w:val="clear" w:color="auto" w:fill="FFFFFF"/>
        </w:rPr>
        <w:t>Th</w:t>
      </w:r>
      <w:r w:rsidR="008B6860">
        <w:rPr>
          <w:szCs w:val="22"/>
          <w:shd w:val="clear" w:color="auto" w:fill="FFFFFF"/>
        </w:rPr>
        <w:t>e current</w:t>
      </w:r>
      <w:r w:rsidR="00F07D91">
        <w:rPr>
          <w:szCs w:val="22"/>
          <w:shd w:val="clear" w:color="auto" w:fill="FFFFFF"/>
        </w:rPr>
        <w:t xml:space="preserve"> approved</w:t>
      </w:r>
      <w:r w:rsidRPr="003E0759">
        <w:rPr>
          <w:szCs w:val="22"/>
          <w:shd w:val="clear" w:color="auto" w:fill="FFFFFF"/>
        </w:rPr>
        <w:t xml:space="preserve"> information collection is associated with the Commission’s outage reporting rules that historically have required a set of communication service providers to report to the Commission when they experience a service disruption, or “outage” in their respective networks.</w:t>
      </w:r>
      <w:r>
        <w:rPr>
          <w:rStyle w:val="FootnoteReference"/>
          <w:szCs w:val="22"/>
          <w:shd w:val="clear" w:color="auto" w:fill="FFFFFF"/>
        </w:rPr>
        <w:footnoteReference w:id="17"/>
      </w:r>
      <w:r w:rsidRPr="003E0759">
        <w:rPr>
          <w:szCs w:val="22"/>
          <w:shd w:val="clear" w:color="auto" w:fill="FFFFFF"/>
        </w:rPr>
        <w:t xml:space="preserve">  In 2004, the Commission replaced its original outage reporting requirements from the 1990s</w:t>
      </w:r>
      <w:r>
        <w:rPr>
          <w:rStyle w:val="FootnoteReference"/>
          <w:szCs w:val="22"/>
          <w:shd w:val="clear" w:color="auto" w:fill="FFFFFF"/>
        </w:rPr>
        <w:footnoteReference w:id="18"/>
      </w:r>
      <w:r w:rsidRPr="003E0759">
        <w:rPr>
          <w:szCs w:val="22"/>
          <w:shd w:val="clear" w:color="auto" w:fill="FFFFFF"/>
        </w:rPr>
        <w:t xml:space="preserve"> with outage reporting requirements for service providers of wireline, wireless, satellite, cable, interexchange, local exchange, and SS7 service.</w:t>
      </w:r>
      <w:r>
        <w:rPr>
          <w:rStyle w:val="FootnoteReference"/>
          <w:szCs w:val="22"/>
          <w:shd w:val="clear" w:color="auto" w:fill="FFFFFF"/>
        </w:rPr>
        <w:footnoteReference w:id="19"/>
      </w:r>
      <w:r w:rsidRPr="003E0759">
        <w:rPr>
          <w:szCs w:val="22"/>
          <w:shd w:val="clear" w:color="auto" w:fill="FFFFFF"/>
        </w:rPr>
        <w:t xml:space="preserve">  Then, i</w:t>
      </w:r>
      <w:r w:rsidRPr="003E0759">
        <w:rPr>
          <w:szCs w:val="22"/>
        </w:rPr>
        <w:t>n 2012, the Commission further expanded the requirements to include interconnected voice over Internet protocol (interconnected VoIP) service providers.</w:t>
      </w:r>
      <w:r>
        <w:rPr>
          <w:rStyle w:val="FootnoteReference"/>
          <w:szCs w:val="22"/>
        </w:rPr>
        <w:footnoteReference w:id="20"/>
      </w:r>
      <w:r w:rsidRPr="003E0759">
        <w:rPr>
          <w:szCs w:val="22"/>
        </w:rPr>
        <w:t xml:space="preserve">  </w:t>
      </w:r>
      <w:r w:rsidR="00147553">
        <w:rPr>
          <w:szCs w:val="22"/>
        </w:rPr>
        <w:t xml:space="preserve">In 2013, </w:t>
      </w:r>
      <w:r w:rsidRPr="003E0759" w:rsidR="00147553">
        <w:rPr>
          <w:szCs w:val="22"/>
          <w:shd w:val="clear" w:color="auto" w:fill="FFFFFF"/>
        </w:rPr>
        <w:t>the Commission require</w:t>
      </w:r>
      <w:r w:rsidR="00147553">
        <w:rPr>
          <w:szCs w:val="22"/>
          <w:shd w:val="clear" w:color="auto" w:fill="FFFFFF"/>
        </w:rPr>
        <w:t>d</w:t>
      </w:r>
      <w:r w:rsidRPr="003E0759" w:rsidR="00147553">
        <w:rPr>
          <w:szCs w:val="22"/>
          <w:shd w:val="clear" w:color="auto" w:fill="FFFFFF"/>
        </w:rPr>
        <w:t xml:space="preserve"> covered 911 service providers to provide notifications </w:t>
      </w:r>
      <w:r w:rsidR="00147553">
        <w:rPr>
          <w:szCs w:val="22"/>
          <w:shd w:val="clear" w:color="auto" w:fill="FFFFFF"/>
        </w:rPr>
        <w:t xml:space="preserve">of outages affecting 911 service </w:t>
      </w:r>
      <w:r w:rsidRPr="003E0759" w:rsidR="00147553">
        <w:rPr>
          <w:szCs w:val="22"/>
          <w:shd w:val="clear" w:color="auto" w:fill="FFFFFF"/>
        </w:rPr>
        <w:t xml:space="preserve">to </w:t>
      </w:r>
      <w:r w:rsidR="00147553">
        <w:rPr>
          <w:szCs w:val="22"/>
          <w:shd w:val="clear" w:color="auto" w:fill="FFFFFF"/>
        </w:rPr>
        <w:t xml:space="preserve">PSAPs they serve within </w:t>
      </w:r>
      <w:r w:rsidRPr="003E0759" w:rsidR="00147553">
        <w:rPr>
          <w:szCs w:val="22"/>
          <w:shd w:val="clear" w:color="auto" w:fill="FFFFFF"/>
        </w:rPr>
        <w:t>30 minutes of discover</w:t>
      </w:r>
      <w:r w:rsidR="00147553">
        <w:rPr>
          <w:szCs w:val="22"/>
          <w:shd w:val="clear" w:color="auto" w:fill="FFFFFF"/>
        </w:rPr>
        <w:t xml:space="preserve">ing the </w:t>
      </w:r>
      <w:r w:rsidRPr="003E0759" w:rsidR="00147553">
        <w:rPr>
          <w:szCs w:val="22"/>
          <w:shd w:val="clear" w:color="auto" w:fill="FFFFFF"/>
        </w:rPr>
        <w:t>outage</w:t>
      </w:r>
      <w:r w:rsidR="00B96D53">
        <w:rPr>
          <w:szCs w:val="22"/>
          <w:shd w:val="clear" w:color="auto" w:fill="FFFFFF"/>
        </w:rPr>
        <w:t xml:space="preserve"> and also required </w:t>
      </w:r>
      <w:r w:rsidR="00881072">
        <w:rPr>
          <w:szCs w:val="22"/>
          <w:shd w:val="clear" w:color="auto" w:fill="FFFFFF"/>
        </w:rPr>
        <w:t xml:space="preserve">the filing of </w:t>
      </w:r>
      <w:r w:rsidR="00B96D53">
        <w:rPr>
          <w:szCs w:val="22"/>
          <w:shd w:val="clear" w:color="auto" w:fill="FFFFFF"/>
        </w:rPr>
        <w:t>outage</w:t>
      </w:r>
      <w:r w:rsidR="00881072">
        <w:rPr>
          <w:szCs w:val="22"/>
          <w:shd w:val="clear" w:color="auto" w:fill="FFFFFF"/>
        </w:rPr>
        <w:t xml:space="preserve"> reports </w:t>
      </w:r>
      <w:r w:rsidR="00B96D53">
        <w:rPr>
          <w:szCs w:val="22"/>
          <w:shd w:val="clear" w:color="auto" w:fill="FFFFFF"/>
        </w:rPr>
        <w:t>in NORS</w:t>
      </w:r>
      <w:r w:rsidRPr="003E0759" w:rsidR="00147553">
        <w:rPr>
          <w:szCs w:val="22"/>
          <w:shd w:val="clear" w:color="auto" w:fill="FFFFFF"/>
        </w:rPr>
        <w:t>.</w:t>
      </w:r>
      <w:r>
        <w:rPr>
          <w:rStyle w:val="FootnoteReference"/>
          <w:szCs w:val="22"/>
          <w:shd w:val="clear" w:color="auto" w:fill="FFFFFF"/>
        </w:rPr>
        <w:footnoteReference w:id="21"/>
      </w:r>
      <w:r w:rsidRPr="00B96D53" w:rsidR="00B96D53">
        <w:rPr>
          <w:szCs w:val="22"/>
          <w:shd w:val="clear" w:color="auto" w:fill="FFFFFF"/>
        </w:rPr>
        <w:t xml:space="preserve"> </w:t>
      </w:r>
      <w:r w:rsidR="004579E7">
        <w:rPr>
          <w:szCs w:val="22"/>
          <w:shd w:val="clear" w:color="auto" w:fill="FFFFFF"/>
        </w:rPr>
        <w:t xml:space="preserve"> </w:t>
      </w:r>
      <w:r w:rsidRPr="003E0759">
        <w:rPr>
          <w:szCs w:val="22"/>
        </w:rPr>
        <w:t xml:space="preserve">Finally, in 2016, the Commission adopted a set of </w:t>
      </w:r>
      <w:r w:rsidRPr="003E0759">
        <w:rPr>
          <w:szCs w:val="22"/>
          <w:shd w:val="clear" w:color="auto" w:fill="FFFFFF"/>
        </w:rPr>
        <w:t xml:space="preserve">improvements to these rules in the </w:t>
      </w:r>
      <w:r w:rsidRPr="003E0759">
        <w:rPr>
          <w:i/>
          <w:szCs w:val="22"/>
          <w:shd w:val="clear" w:color="auto" w:fill="FFFFFF"/>
        </w:rPr>
        <w:t>2016 Part 4 Report and Order and Order on Reconsideration</w:t>
      </w:r>
      <w:r w:rsidRPr="003E0759">
        <w:rPr>
          <w:szCs w:val="22"/>
          <w:shd w:val="clear" w:color="auto" w:fill="FFFFFF"/>
        </w:rPr>
        <w:t>.</w:t>
      </w:r>
      <w:r>
        <w:rPr>
          <w:rStyle w:val="FootnoteReference"/>
          <w:szCs w:val="22"/>
          <w:shd w:val="clear" w:color="auto" w:fill="FFFFFF"/>
        </w:rPr>
        <w:footnoteReference w:id="22"/>
      </w:r>
    </w:p>
    <w:p w:rsidR="00EC6F6B" w:rsidRPr="0030566C" w:rsidP="0030566C" w14:paraId="539F95C3" w14:textId="5702424F">
      <w:pPr>
        <w:spacing w:after="120"/>
        <w:ind w:firstLine="720"/>
        <w:rPr>
          <w:shd w:val="clear" w:color="auto" w:fill="FFFFFF"/>
          <w:vertAlign w:val="superscript"/>
        </w:rPr>
      </w:pPr>
      <w:r w:rsidRPr="00C46EF3">
        <w:rPr>
          <w:i/>
          <w:iCs/>
          <w:szCs w:val="22"/>
          <w:shd w:val="clear" w:color="auto" w:fill="FFFFFF"/>
        </w:rPr>
        <w:t>N</w:t>
      </w:r>
      <w:r w:rsidR="00303736">
        <w:rPr>
          <w:i/>
          <w:iCs/>
          <w:szCs w:val="22"/>
          <w:shd w:val="clear" w:color="auto" w:fill="FFFFFF"/>
        </w:rPr>
        <w:t xml:space="preserve">etwork Outage </w:t>
      </w:r>
      <w:r w:rsidRPr="00C46EF3">
        <w:rPr>
          <w:i/>
          <w:iCs/>
          <w:szCs w:val="22"/>
          <w:shd w:val="clear" w:color="auto" w:fill="FFFFFF"/>
        </w:rPr>
        <w:t>R</w:t>
      </w:r>
      <w:r w:rsidR="00303736">
        <w:rPr>
          <w:i/>
          <w:iCs/>
          <w:szCs w:val="22"/>
          <w:shd w:val="clear" w:color="auto" w:fill="FFFFFF"/>
        </w:rPr>
        <w:t xml:space="preserve">eporting </w:t>
      </w:r>
      <w:r w:rsidRPr="00C46EF3">
        <w:rPr>
          <w:i/>
          <w:iCs/>
          <w:szCs w:val="22"/>
          <w:shd w:val="clear" w:color="auto" w:fill="FFFFFF"/>
        </w:rPr>
        <w:t>S</w:t>
      </w:r>
      <w:r w:rsidR="00303736">
        <w:rPr>
          <w:i/>
          <w:iCs/>
          <w:szCs w:val="22"/>
          <w:shd w:val="clear" w:color="auto" w:fill="FFFFFF"/>
        </w:rPr>
        <w:t>ystem</w:t>
      </w:r>
      <w:r>
        <w:rPr>
          <w:szCs w:val="22"/>
          <w:shd w:val="clear" w:color="auto" w:fill="FFFFFF"/>
        </w:rPr>
        <w:t xml:space="preserve">.  </w:t>
      </w:r>
      <w:r w:rsidRPr="003E0759" w:rsidR="000C3917">
        <w:rPr>
          <w:szCs w:val="22"/>
          <w:shd w:val="clear" w:color="auto" w:fill="FFFFFF"/>
        </w:rPr>
        <w:t>In 2004, to facilitate the process when service providers file in accordance to the outage reporting requirements, the Commission created NORS, a web-based filing system.</w:t>
      </w:r>
      <w:r>
        <w:rPr>
          <w:rStyle w:val="FootnoteReference"/>
          <w:szCs w:val="22"/>
          <w:shd w:val="clear" w:color="auto" w:fill="FFFFFF"/>
        </w:rPr>
        <w:footnoteReference w:id="23"/>
      </w:r>
      <w:r w:rsidRPr="003E0759" w:rsidR="000C3917">
        <w:rPr>
          <w:szCs w:val="22"/>
          <w:shd w:val="clear" w:color="auto" w:fill="FFFFFF"/>
        </w:rPr>
        <w:t xml:space="preserve">  NORS uses an electronic form to promote ease of reporting and encryption technology to ensure the security of the information filed.  Providers submit into NORS three types of filings, (1) Notifications, (2) Initial Reports (for non-interconnected VoIP outages), and (3) Final Reports.  These filings contain sensitive information about service disruption or outages that, among other things, include: reason the event is reportable, incident date/time and location details, states affected, number of potentially affected customers, and whether E911 was impacted.</w:t>
      </w:r>
      <w:r>
        <w:rPr>
          <w:szCs w:val="22"/>
          <w:shd w:val="clear" w:color="auto" w:fill="FFFFFF"/>
          <w:vertAlign w:val="superscript"/>
        </w:rPr>
        <w:footnoteReference w:id="24"/>
      </w:r>
    </w:p>
    <w:p w:rsidR="00544297" w:rsidRPr="003E0759" w:rsidP="00CC28CB" w14:paraId="19BDBEEE" w14:textId="523AE20B">
      <w:pPr>
        <w:spacing w:after="120"/>
        <w:ind w:firstLine="720"/>
        <w:rPr>
          <w:szCs w:val="22"/>
          <w:shd w:val="clear" w:color="auto" w:fill="FFFFFF"/>
        </w:rPr>
      </w:pPr>
      <w:r>
        <w:rPr>
          <w:i/>
          <w:iCs/>
          <w:szCs w:val="22"/>
          <w:shd w:val="clear" w:color="auto" w:fill="FFFFFF"/>
        </w:rPr>
        <w:t>Participating Agencies Access to NORS</w:t>
      </w:r>
      <w:r w:rsidR="00CE7155">
        <w:rPr>
          <w:szCs w:val="22"/>
          <w:shd w:val="clear" w:color="auto" w:fill="FFFFFF"/>
        </w:rPr>
        <w:t xml:space="preserve">.  </w:t>
      </w:r>
      <w:r w:rsidRPr="003E0759" w:rsidR="009D49F2">
        <w:rPr>
          <w:szCs w:val="22"/>
          <w:shd w:val="clear" w:color="auto" w:fill="FFFFFF"/>
        </w:rPr>
        <w:t xml:space="preserve">In 2021, the Commission adopted </w:t>
      </w:r>
      <w:r w:rsidRPr="003E0759" w:rsidR="00EC6F6B">
        <w:rPr>
          <w:szCs w:val="22"/>
          <w:shd w:val="clear" w:color="auto" w:fill="FFFFFF"/>
        </w:rPr>
        <w:t xml:space="preserve">rules </w:t>
      </w:r>
      <w:r w:rsidRPr="003E0759" w:rsidR="009D49F2">
        <w:rPr>
          <w:szCs w:val="22"/>
          <w:shd w:val="clear" w:color="auto" w:fill="FFFFFF"/>
        </w:rPr>
        <w:t xml:space="preserve">allowing certain </w:t>
      </w:r>
      <w:r w:rsidRPr="003E0759" w:rsidR="00EC6F6B">
        <w:rPr>
          <w:szCs w:val="22"/>
          <w:shd w:val="clear" w:color="auto" w:fill="FFFFFF"/>
        </w:rPr>
        <w:t>federal, state, territorial, and Tribal Nations agencies</w:t>
      </w:r>
      <w:r w:rsidRPr="003E0759" w:rsidR="009D49F2">
        <w:rPr>
          <w:szCs w:val="22"/>
          <w:shd w:val="clear" w:color="auto" w:fill="FFFFFF"/>
        </w:rPr>
        <w:t xml:space="preserve"> with a “need to know” </w:t>
      </w:r>
      <w:r w:rsidRPr="003E0759" w:rsidR="00EC6F6B">
        <w:rPr>
          <w:szCs w:val="22"/>
          <w:shd w:val="clear" w:color="auto" w:fill="FFFFFF"/>
        </w:rPr>
        <w:t xml:space="preserve">(“Participating Agencies”) </w:t>
      </w:r>
      <w:r w:rsidRPr="003E0759" w:rsidR="009D49F2">
        <w:rPr>
          <w:szCs w:val="22"/>
          <w:shd w:val="clear" w:color="auto" w:fill="FFFFFF"/>
        </w:rPr>
        <w:t>direct access to geographically relevant outage reports filed in NORS and DIRS.</w:t>
      </w:r>
      <w:r>
        <w:rPr>
          <w:szCs w:val="22"/>
          <w:shd w:val="clear" w:color="auto" w:fill="FFFFFF"/>
          <w:vertAlign w:val="superscript"/>
        </w:rPr>
        <w:footnoteReference w:id="25"/>
      </w:r>
      <w:r w:rsidRPr="003E0759" w:rsidR="009D49F2">
        <w:rPr>
          <w:szCs w:val="22"/>
          <w:shd w:val="clear" w:color="auto" w:fill="FFFFFF"/>
        </w:rPr>
        <w:t xml:space="preserve">  The information collection and record keeping requirements imposed on Participating Agencies that desire access to NORS and DIRS</w:t>
      </w:r>
      <w:r>
        <w:rPr>
          <w:rStyle w:val="FootnoteReference"/>
          <w:szCs w:val="22"/>
          <w:shd w:val="clear" w:color="auto" w:fill="FFFFFF"/>
        </w:rPr>
        <w:footnoteReference w:id="26"/>
      </w:r>
      <w:r w:rsidRPr="003E0759" w:rsidR="009D49F2">
        <w:rPr>
          <w:szCs w:val="22"/>
          <w:shd w:val="clear" w:color="auto" w:fill="FFFFFF"/>
        </w:rPr>
        <w:t xml:space="preserve"> reports are contained in Section 4.2 of the Commission’s Rules.</w:t>
      </w:r>
      <w:r>
        <w:rPr>
          <w:szCs w:val="22"/>
          <w:shd w:val="clear" w:color="auto" w:fill="FFFFFF"/>
          <w:vertAlign w:val="superscript"/>
        </w:rPr>
        <w:footnoteReference w:id="27"/>
      </w:r>
    </w:p>
    <w:p w:rsidR="004B439A" w:rsidRPr="003E0759" w:rsidP="00953262" w14:paraId="006CF2C4" w14:textId="1299F9BF">
      <w:pPr>
        <w:spacing w:after="120"/>
        <w:ind w:firstLine="720"/>
        <w:rPr>
          <w:szCs w:val="22"/>
        </w:rPr>
      </w:pPr>
      <w:r w:rsidRPr="003E0759">
        <w:rPr>
          <w:szCs w:val="22"/>
        </w:rPr>
        <w:t xml:space="preserve">Statutory authority for this collection of information is contained in sections </w:t>
      </w:r>
      <w:r w:rsidRPr="003E0759" w:rsidR="00C24C7B">
        <w:rPr>
          <w:szCs w:val="22"/>
        </w:rPr>
        <w:t xml:space="preserve">1, 4(i), 4(j), </w:t>
      </w:r>
      <w:r w:rsidRPr="003E0759" w:rsidR="00D23DB2">
        <w:rPr>
          <w:szCs w:val="22"/>
        </w:rPr>
        <w:t xml:space="preserve">4(n), </w:t>
      </w:r>
      <w:r w:rsidRPr="003E0759" w:rsidR="00C24C7B">
        <w:rPr>
          <w:szCs w:val="22"/>
        </w:rPr>
        <w:t xml:space="preserve">4(o), </w:t>
      </w:r>
      <w:r w:rsidRPr="003E0759" w:rsidR="008535B3">
        <w:t xml:space="preserve">201(b), 214, 218, </w:t>
      </w:r>
      <w:r w:rsidRPr="003E0759" w:rsidR="005244B4">
        <w:rPr>
          <w:szCs w:val="22"/>
        </w:rPr>
        <w:t xml:space="preserve">251(e)(3), </w:t>
      </w:r>
      <w:r w:rsidRPr="003E0759" w:rsidR="001935E8">
        <w:t xml:space="preserve">251(e)(4), </w:t>
      </w:r>
      <w:r w:rsidRPr="003E0759" w:rsidR="00F60DC5">
        <w:rPr>
          <w:szCs w:val="22"/>
        </w:rPr>
        <w:t xml:space="preserve">254, </w:t>
      </w:r>
      <w:r w:rsidRPr="003E0759" w:rsidR="005244B4">
        <w:rPr>
          <w:szCs w:val="22"/>
        </w:rPr>
        <w:t xml:space="preserve">301, 303(b), 303(g), 303(r), 307, 309(a), </w:t>
      </w:r>
      <w:r w:rsidRPr="003E0759" w:rsidR="00F60DC5">
        <w:rPr>
          <w:szCs w:val="22"/>
        </w:rPr>
        <w:t xml:space="preserve">309(j), </w:t>
      </w:r>
      <w:r w:rsidRPr="003E0759" w:rsidR="005244B4">
        <w:rPr>
          <w:szCs w:val="22"/>
        </w:rPr>
        <w:t xml:space="preserve">316, 332, </w:t>
      </w:r>
      <w:r w:rsidRPr="003E0759" w:rsidR="00F60DC5">
        <w:rPr>
          <w:szCs w:val="22"/>
        </w:rPr>
        <w:t xml:space="preserve">and </w:t>
      </w:r>
      <w:r w:rsidRPr="003E0759" w:rsidR="005244B4">
        <w:rPr>
          <w:szCs w:val="22"/>
        </w:rPr>
        <w:t>403</w:t>
      </w:r>
      <w:r w:rsidRPr="003E0759" w:rsidR="00F60DC5">
        <w:rPr>
          <w:szCs w:val="22"/>
        </w:rPr>
        <w:t xml:space="preserve"> of the Communications Act of 1934, as amended, and section 706 of the Telecommunications Act of 1996, 47 U.S.C. 151, 154(i)-(j)</w:t>
      </w:r>
      <w:r w:rsidRPr="003E0759" w:rsidR="001935E8">
        <w:rPr>
          <w:szCs w:val="22"/>
        </w:rPr>
        <w:t>, (n),</w:t>
      </w:r>
      <w:r w:rsidRPr="003E0759" w:rsidR="00F60DC5">
        <w:rPr>
          <w:szCs w:val="22"/>
        </w:rPr>
        <w:t xml:space="preserve"> &amp; (o), </w:t>
      </w:r>
      <w:r w:rsidRPr="003E0759" w:rsidR="00F11CEB">
        <w:t xml:space="preserve">201(b), 214, 218, </w:t>
      </w:r>
      <w:r w:rsidRPr="003E0759" w:rsidR="00F60DC5">
        <w:rPr>
          <w:szCs w:val="22"/>
        </w:rPr>
        <w:t xml:space="preserve">251(e)(3), </w:t>
      </w:r>
      <w:r w:rsidRPr="003E0759" w:rsidR="004960AE">
        <w:t xml:space="preserve">251(e)(4), </w:t>
      </w:r>
      <w:r w:rsidRPr="003E0759" w:rsidR="00F60DC5">
        <w:rPr>
          <w:szCs w:val="22"/>
        </w:rPr>
        <w:t>254, 301, 303(b), 303(g), 303</w:t>
      </w:r>
      <w:r w:rsidRPr="003E0759" w:rsidR="00F348F1">
        <w:rPr>
          <w:szCs w:val="22"/>
        </w:rPr>
        <w:t>(r)</w:t>
      </w:r>
      <w:r w:rsidRPr="003E0759" w:rsidR="00F60DC5">
        <w:rPr>
          <w:szCs w:val="22"/>
        </w:rPr>
        <w:t xml:space="preserve">, </w:t>
      </w:r>
      <w:r w:rsidRPr="003E0759" w:rsidR="00E870A6">
        <w:rPr>
          <w:szCs w:val="22"/>
        </w:rPr>
        <w:t xml:space="preserve">307, 309(a), </w:t>
      </w:r>
      <w:r w:rsidRPr="003E0759" w:rsidR="00F60DC5">
        <w:rPr>
          <w:szCs w:val="22"/>
        </w:rPr>
        <w:t xml:space="preserve">332, 403, </w:t>
      </w:r>
      <w:r w:rsidRPr="003E0759" w:rsidR="009D5BDC">
        <w:rPr>
          <w:kern w:val="0"/>
          <w:szCs w:val="22"/>
        </w:rPr>
        <w:t xml:space="preserve">615, 615a-1, </w:t>
      </w:r>
      <w:r w:rsidRPr="003E0759" w:rsidR="00F60DC5">
        <w:rPr>
          <w:szCs w:val="22"/>
        </w:rPr>
        <w:t>and 1302.</w:t>
      </w:r>
    </w:p>
    <w:p w:rsidR="004B439A" w:rsidRPr="003E0759" w:rsidP="00953262" w14:paraId="6EA9F4F5" w14:textId="77777777">
      <w:pPr>
        <w:spacing w:after="120"/>
        <w:ind w:firstLine="720"/>
        <w:rPr>
          <w:szCs w:val="22"/>
          <w:shd w:val="clear" w:color="auto" w:fill="FFFFFF"/>
        </w:rPr>
      </w:pPr>
      <w:r w:rsidRPr="003E0759">
        <w:rPr>
          <w:szCs w:val="22"/>
        </w:rPr>
        <w:t>Th</w:t>
      </w:r>
      <w:r w:rsidRPr="003E0759">
        <w:rPr>
          <w:szCs w:val="22"/>
        </w:rPr>
        <w:t>is information collection does not affect individuals or households; thus, there are no impacts under the Privacy Act.</w:t>
      </w:r>
    </w:p>
    <w:p w:rsidR="00D42FF3" w:rsidRPr="003E0759" w:rsidP="00953262" w14:paraId="09275E35" w14:textId="7E274FF6">
      <w:pPr>
        <w:spacing w:after="120"/>
        <w:rPr>
          <w:b/>
          <w:szCs w:val="22"/>
          <w:shd w:val="clear" w:color="auto" w:fill="FFFFFF"/>
        </w:rPr>
      </w:pPr>
      <w:r w:rsidRPr="003E0759">
        <w:rPr>
          <w:b/>
          <w:szCs w:val="22"/>
          <w:shd w:val="clear" w:color="auto" w:fill="FFFFFF"/>
        </w:rPr>
        <w:t xml:space="preserve">2.  Indicate how, by whom and </w:t>
      </w:r>
      <w:r w:rsidRPr="003E0759" w:rsidR="00711127">
        <w:rPr>
          <w:b/>
          <w:szCs w:val="22"/>
          <w:shd w:val="clear" w:color="auto" w:fill="FFFFFF"/>
        </w:rPr>
        <w:t>for what</w:t>
      </w:r>
      <w:r w:rsidRPr="003E0759">
        <w:rPr>
          <w:b/>
          <w:szCs w:val="22"/>
          <w:shd w:val="clear" w:color="auto" w:fill="FFFFFF"/>
        </w:rPr>
        <w:t xml:space="preserve"> purpose the information is to be used.  Except for a new collection, indicate the actual use the agency has made of the information received from the current collection.</w:t>
      </w:r>
    </w:p>
    <w:p w:rsidR="0034279B" w:rsidRPr="003E0759" w:rsidP="0074737A" w14:paraId="589E5884" w14:textId="28207A6E">
      <w:pPr>
        <w:spacing w:after="120"/>
        <w:ind w:firstLine="720"/>
        <w:rPr>
          <w:szCs w:val="22"/>
          <w:shd w:val="clear" w:color="auto" w:fill="FFFFFF"/>
        </w:rPr>
      </w:pPr>
      <w:r w:rsidRPr="003E0759">
        <w:rPr>
          <w:szCs w:val="22"/>
          <w:shd w:val="clear" w:color="auto" w:fill="FFFFFF"/>
        </w:rPr>
        <w:t>T</w:t>
      </w:r>
      <w:r w:rsidRPr="003E0759" w:rsidR="0074737A">
        <w:rPr>
          <w:szCs w:val="22"/>
          <w:shd w:val="clear" w:color="auto" w:fill="FFFFFF"/>
        </w:rPr>
        <w:t>he general purpose of the Commission’s Part 4 rules is to gather sufficient information regarding service disruptions to telecommunications.  Through this information collection, data received facilitates the Commission’s monitoring, analysis, and investigation of the reliability and security of voice, paging, and interconnected VoIP communications services.  Data received through this information collection also helps the Commission identify and act on potential threats to our Nation’s telecommunications infrastructure.  Moreover, the Commission uses this information collection to identify the duration, magnitude, root causes, contributing factors with respect to significant outages</w:t>
      </w:r>
      <w:r w:rsidRPr="003E0759" w:rsidR="00352D60">
        <w:rPr>
          <w:szCs w:val="22"/>
          <w:shd w:val="clear" w:color="auto" w:fill="FFFFFF"/>
        </w:rPr>
        <w:t>;</w:t>
      </w:r>
      <w:r w:rsidRPr="003E0759" w:rsidR="0074737A">
        <w:rPr>
          <w:szCs w:val="22"/>
          <w:shd w:val="clear" w:color="auto" w:fill="FFFFFF"/>
        </w:rPr>
        <w:t xml:space="preserve"> and to identify outage trends; support service restoration efforts; and help coordinate with public safety officials during times of crisis.</w:t>
      </w:r>
    </w:p>
    <w:p w:rsidR="00EC6F6B" w:rsidRPr="003E0759" w:rsidP="00EC6F6B" w14:paraId="12A2D962" w14:textId="6A41F3E4">
      <w:pPr>
        <w:spacing w:before="120"/>
        <w:ind w:firstLine="720"/>
        <w:rPr>
          <w:szCs w:val="22"/>
          <w:shd w:val="clear" w:color="auto" w:fill="FFFFFF"/>
        </w:rPr>
      </w:pPr>
      <w:r w:rsidRPr="003E0759">
        <w:rPr>
          <w:szCs w:val="22"/>
          <w:shd w:val="clear" w:color="auto" w:fill="FFFFFF"/>
        </w:rPr>
        <w:t xml:space="preserve">The Commission also maintains an ongoing dialogue with reporting service providers, </w:t>
      </w:r>
      <w:r w:rsidRPr="003E0759" w:rsidR="00E7091C">
        <w:rPr>
          <w:szCs w:val="22"/>
          <w:shd w:val="clear" w:color="auto" w:fill="FFFFFF"/>
        </w:rPr>
        <w:t xml:space="preserve">the public safety community, and </w:t>
      </w:r>
      <w:r w:rsidRPr="003E0759">
        <w:rPr>
          <w:szCs w:val="22"/>
          <w:shd w:val="clear" w:color="auto" w:fill="FFFFFF"/>
        </w:rPr>
        <w:t xml:space="preserve">the telecommunications industry at large.  </w:t>
      </w:r>
      <w:r w:rsidRPr="003E0759">
        <w:rPr>
          <w:szCs w:val="22"/>
          <w:shd w:val="clear" w:color="auto" w:fill="FFFFFF"/>
        </w:rPr>
        <w:t>T</w:t>
      </w:r>
      <w:r w:rsidRPr="003E0759">
        <w:rPr>
          <w:szCs w:val="22"/>
          <w:shd w:val="clear" w:color="auto" w:fill="FFFFFF"/>
        </w:rPr>
        <w:t xml:space="preserve">he Commission uses the information collection to draw lessons learned in order to foster a better understanding of significant outages’ root causes, and to explore preventive measures in the future so as to mitigate the potential scale and impact of such outages.  </w:t>
      </w:r>
      <w:r w:rsidRPr="003E0759">
        <w:rPr>
          <w:szCs w:val="22"/>
          <w:shd w:val="clear" w:color="auto" w:fill="FFFFFF"/>
        </w:rPr>
        <w:t xml:space="preserve">The Commission shares information contained in those reports </w:t>
      </w:r>
      <w:r w:rsidRPr="003E0759" w:rsidR="00CE5397">
        <w:rPr>
          <w:szCs w:val="22"/>
          <w:shd w:val="clear" w:color="auto" w:fill="FFFFFF"/>
        </w:rPr>
        <w:t>with Participating Agencies to</w:t>
      </w:r>
      <w:r w:rsidRPr="003E0759">
        <w:rPr>
          <w:szCs w:val="22"/>
          <w:shd w:val="clear" w:color="auto" w:fill="FFFFFF"/>
        </w:rPr>
        <w:t xml:space="preserve"> help improve situational awareness during and after disasters to the entities closest to the disasters and to help those </w:t>
      </w:r>
      <w:r w:rsidRPr="003E0759" w:rsidR="00CE5397">
        <w:rPr>
          <w:szCs w:val="22"/>
          <w:shd w:val="clear" w:color="auto" w:fill="FFFFFF"/>
        </w:rPr>
        <w:t>agencies</w:t>
      </w:r>
      <w:r w:rsidRPr="003E0759">
        <w:rPr>
          <w:szCs w:val="22"/>
          <w:shd w:val="clear" w:color="auto" w:fill="FFFFFF"/>
        </w:rPr>
        <w:t xml:space="preserve"> better assess the public’s ability to access emergency communications and assist with the coordination of emergency response efforts.  To enable the Commission to ensure that only qualifying agencies that agree to follow the information sharing requirements are permitted to access NORS, Participating Agencies that voluntarily seek access </w:t>
      </w:r>
      <w:r w:rsidRPr="003E0759" w:rsidR="00CE5397">
        <w:rPr>
          <w:szCs w:val="22"/>
          <w:shd w:val="clear" w:color="auto" w:fill="FFFFFF"/>
        </w:rPr>
        <w:t>are</w:t>
      </w:r>
      <w:r w:rsidRPr="003E0759">
        <w:rPr>
          <w:szCs w:val="22"/>
          <w:shd w:val="clear" w:color="auto" w:fill="FFFFFF"/>
        </w:rPr>
        <w:t xml:space="preserve"> required</w:t>
      </w:r>
      <w:r w:rsidRPr="003E0759" w:rsidR="00CE5397">
        <w:rPr>
          <w:szCs w:val="22"/>
          <w:shd w:val="clear" w:color="auto" w:fill="FFFFFF"/>
        </w:rPr>
        <w:t xml:space="preserve"> to submit an application and sign a</w:t>
      </w:r>
      <w:r w:rsidRPr="003E0759">
        <w:rPr>
          <w:szCs w:val="22"/>
          <w:shd w:val="clear" w:color="auto" w:fill="FFFFFF"/>
        </w:rPr>
        <w:t xml:space="preserve"> Certification Form</w:t>
      </w:r>
      <w:r w:rsidRPr="003E0759" w:rsidR="00CE5397">
        <w:rPr>
          <w:szCs w:val="22"/>
          <w:shd w:val="clear" w:color="auto" w:fill="FFFFFF"/>
        </w:rPr>
        <w:t xml:space="preserve"> that agrees to certain reporting and recordkeeping requirements that are necessary to protect the confidential data from inappropriate disclosure</w:t>
      </w:r>
      <w:r w:rsidRPr="003E0759">
        <w:rPr>
          <w:szCs w:val="22"/>
          <w:shd w:val="clear" w:color="auto" w:fill="FFFFFF"/>
        </w:rPr>
        <w:t>.</w:t>
      </w:r>
    </w:p>
    <w:p w:rsidR="00C75107" w:rsidRPr="003E0759" w:rsidP="00271E65" w14:paraId="55A41851" w14:textId="5693E37C">
      <w:pPr>
        <w:spacing w:before="120"/>
        <w:ind w:firstLine="720"/>
        <w:rPr>
          <w:szCs w:val="22"/>
          <w:shd w:val="clear" w:color="auto" w:fill="FFFFFF"/>
        </w:rPr>
      </w:pPr>
      <w:r w:rsidRPr="003E0759">
        <w:rPr>
          <w:szCs w:val="22"/>
          <w:shd w:val="clear" w:color="auto" w:fill="FFFFFF"/>
        </w:rPr>
        <w:t xml:space="preserve">The </w:t>
      </w:r>
      <w:r w:rsidRPr="003E0759">
        <w:rPr>
          <w:szCs w:val="22"/>
          <w:shd w:val="clear" w:color="auto" w:fill="FFFFFF"/>
        </w:rPr>
        <w:t xml:space="preserve">existing </w:t>
      </w:r>
      <w:r w:rsidRPr="003E0759">
        <w:rPr>
          <w:szCs w:val="22"/>
          <w:shd w:val="clear" w:color="auto" w:fill="FFFFFF"/>
        </w:rPr>
        <w:t xml:space="preserve">requirement that </w:t>
      </w:r>
      <w:r w:rsidRPr="003E0759" w:rsidR="00216609">
        <w:rPr>
          <w:szCs w:val="22"/>
          <w:shd w:val="clear" w:color="auto" w:fill="FFFFFF"/>
        </w:rPr>
        <w:t>covered 911 service providers</w:t>
      </w:r>
      <w:r w:rsidRPr="003E0759">
        <w:rPr>
          <w:szCs w:val="22"/>
          <w:shd w:val="clear" w:color="auto" w:fill="FFFFFF"/>
        </w:rPr>
        <w:t xml:space="preserve"> and </w:t>
      </w:r>
      <w:r w:rsidRPr="003E0759" w:rsidR="000D16A0">
        <w:rPr>
          <w:szCs w:val="22"/>
          <w:shd w:val="clear" w:color="auto" w:fill="FFFFFF"/>
        </w:rPr>
        <w:t>OSPs</w:t>
      </w:r>
      <w:r w:rsidRPr="003E0759" w:rsidR="00D27B16">
        <w:rPr>
          <w:szCs w:val="22"/>
          <w:shd w:val="clear" w:color="auto" w:fill="FFFFFF"/>
        </w:rPr>
        <w:t xml:space="preserve"> </w:t>
      </w:r>
      <w:r w:rsidRPr="003E0759">
        <w:rPr>
          <w:szCs w:val="22"/>
          <w:shd w:val="clear" w:color="auto" w:fill="FFFFFF"/>
        </w:rPr>
        <w:t>notify 9</w:t>
      </w:r>
      <w:r w:rsidRPr="003E0759" w:rsidR="00822F20">
        <w:rPr>
          <w:szCs w:val="22"/>
          <w:shd w:val="clear" w:color="auto" w:fill="FFFFFF"/>
        </w:rPr>
        <w:t>11</w:t>
      </w:r>
      <w:r w:rsidRPr="003E0759">
        <w:rPr>
          <w:szCs w:val="22"/>
          <w:shd w:val="clear" w:color="auto" w:fill="FFFFFF"/>
        </w:rPr>
        <w:t xml:space="preserve"> special facilities (including PSAPs) about outages that potentially affect them affords emergency responders immediate and accurate situational awareness regarding the status of incoming communications and allows them to quickly take any necessary corrective action to provide the public with access to their </w:t>
      </w:r>
      <w:r w:rsidRPr="003E0759" w:rsidR="00631AB6">
        <w:rPr>
          <w:szCs w:val="22"/>
          <w:shd w:val="clear" w:color="auto" w:fill="FFFFFF"/>
        </w:rPr>
        <w:t>emergency services</w:t>
      </w:r>
      <w:r w:rsidRPr="003E0759">
        <w:rPr>
          <w:szCs w:val="22"/>
          <w:shd w:val="clear" w:color="auto" w:fill="FFFFFF"/>
        </w:rPr>
        <w:t xml:space="preserve"> (</w:t>
      </w:r>
      <w:r w:rsidRPr="003E0759">
        <w:rPr>
          <w:i/>
          <w:iCs/>
          <w:szCs w:val="22"/>
          <w:shd w:val="clear" w:color="auto" w:fill="FFFFFF"/>
        </w:rPr>
        <w:t>e.g.</w:t>
      </w:r>
      <w:r w:rsidRPr="003E0759">
        <w:rPr>
          <w:szCs w:val="22"/>
          <w:shd w:val="clear" w:color="auto" w:fill="FFFFFF"/>
        </w:rPr>
        <w:t xml:space="preserve">, by publicizing local 10-digit numbers for emergency service access while the 911 </w:t>
      </w:r>
      <w:r w:rsidRPr="003E0759" w:rsidR="00271E65">
        <w:rPr>
          <w:szCs w:val="22"/>
          <w:shd w:val="clear" w:color="auto" w:fill="FFFFFF"/>
        </w:rPr>
        <w:t xml:space="preserve">calling </w:t>
      </w:r>
      <w:r w:rsidRPr="003E0759">
        <w:rPr>
          <w:szCs w:val="22"/>
          <w:shd w:val="clear" w:color="auto" w:fill="FFFFFF"/>
        </w:rPr>
        <w:t xml:space="preserve">is </w:t>
      </w:r>
      <w:r w:rsidRPr="003E0759" w:rsidR="00271E65">
        <w:rPr>
          <w:szCs w:val="22"/>
          <w:shd w:val="clear" w:color="auto" w:fill="FFFFFF"/>
        </w:rPr>
        <w:t>unavailable</w:t>
      </w:r>
      <w:r w:rsidRPr="003E0759">
        <w:rPr>
          <w:szCs w:val="22"/>
          <w:shd w:val="clear" w:color="auto" w:fill="FFFFFF"/>
        </w:rPr>
        <w:t>).</w:t>
      </w:r>
    </w:p>
    <w:p w:rsidR="00271E65" w:rsidP="00271E65" w14:paraId="12B85CF6" w14:textId="23C67475">
      <w:pPr>
        <w:spacing w:before="120"/>
        <w:ind w:firstLine="720"/>
        <w:rPr>
          <w:szCs w:val="22"/>
          <w:shd w:val="clear" w:color="auto" w:fill="FFFFFF"/>
        </w:rPr>
      </w:pPr>
      <w:r w:rsidRPr="003E0759">
        <w:rPr>
          <w:szCs w:val="22"/>
          <w:shd w:val="clear" w:color="auto" w:fill="FFFFFF"/>
        </w:rPr>
        <w:t>H</w:t>
      </w:r>
      <w:r w:rsidRPr="003E0759" w:rsidR="003E6485">
        <w:rPr>
          <w:szCs w:val="22"/>
          <w:shd w:val="clear" w:color="auto" w:fill="FFFFFF"/>
        </w:rPr>
        <w:t xml:space="preserve">armonizing the </w:t>
      </w:r>
      <w:r w:rsidRPr="003E0759">
        <w:rPr>
          <w:szCs w:val="22"/>
          <w:shd w:val="clear" w:color="auto" w:fill="FFFFFF"/>
        </w:rPr>
        <w:t xml:space="preserve">existing </w:t>
      </w:r>
      <w:r w:rsidRPr="003E0759" w:rsidR="003E6485">
        <w:rPr>
          <w:szCs w:val="22"/>
          <w:shd w:val="clear" w:color="auto" w:fill="FFFFFF"/>
        </w:rPr>
        <w:t xml:space="preserve">notification requirements </w:t>
      </w:r>
      <w:r w:rsidRPr="003E0759" w:rsidR="00BA1B3A">
        <w:rPr>
          <w:szCs w:val="22"/>
          <w:shd w:val="clear" w:color="auto" w:fill="FFFFFF"/>
        </w:rPr>
        <w:t xml:space="preserve">for </w:t>
      </w:r>
      <w:r w:rsidRPr="003E0759" w:rsidR="00216609">
        <w:rPr>
          <w:szCs w:val="22"/>
          <w:shd w:val="clear" w:color="auto" w:fill="FFFFFF"/>
        </w:rPr>
        <w:t>covered 911 service providers</w:t>
      </w:r>
      <w:r w:rsidRPr="003E0759" w:rsidR="003E6485">
        <w:rPr>
          <w:szCs w:val="22"/>
          <w:shd w:val="clear" w:color="auto" w:fill="FFFFFF"/>
        </w:rPr>
        <w:t xml:space="preserve"> and OSPs</w:t>
      </w:r>
      <w:r w:rsidRPr="003E0759">
        <w:rPr>
          <w:szCs w:val="22"/>
          <w:shd w:val="clear" w:color="auto" w:fill="FFFFFF"/>
        </w:rPr>
        <w:t xml:space="preserve"> </w:t>
      </w:r>
      <w:r w:rsidRPr="003E0759">
        <w:rPr>
          <w:szCs w:val="22"/>
        </w:rPr>
        <w:t>will simplify compliance for providers and reduce confusion for 911 special facilities.</w:t>
      </w:r>
      <w:r w:rsidRPr="003E0759" w:rsidR="00C75107">
        <w:rPr>
          <w:szCs w:val="22"/>
        </w:rPr>
        <w:t xml:space="preserve">  </w:t>
      </w:r>
      <w:r w:rsidRPr="003E0759">
        <w:rPr>
          <w:szCs w:val="22"/>
        </w:rPr>
        <w:t xml:space="preserve">Among other harmonization requirements, </w:t>
      </w:r>
      <w:r w:rsidRPr="003E0759" w:rsidR="00BA1B3A">
        <w:rPr>
          <w:szCs w:val="22"/>
          <w:shd w:val="clear" w:color="auto" w:fill="FFFFFF"/>
        </w:rPr>
        <w:t xml:space="preserve">OSPs will be required to provide outage notification to potentially affected 911 special facilities within 30 minutes.  </w:t>
      </w:r>
      <w:r w:rsidRPr="003E0759" w:rsidR="00293B48">
        <w:rPr>
          <w:szCs w:val="22"/>
          <w:shd w:val="clear" w:color="auto" w:fill="FFFFFF"/>
        </w:rPr>
        <w:t>These initial notifications are intended to provide preliminary notice of a potential problem to a 911 special facility so that the 911 special facility can, as quickly as possible, mitigate the impacts of the outage</w:t>
      </w:r>
      <w:r w:rsidRPr="003E0759">
        <w:rPr>
          <w:szCs w:val="22"/>
          <w:shd w:val="clear" w:color="auto" w:fill="FFFFFF"/>
        </w:rPr>
        <w:t>, and</w:t>
      </w:r>
      <w:r w:rsidRPr="003E0759" w:rsidR="00293B48">
        <w:rPr>
          <w:szCs w:val="22"/>
          <w:shd w:val="clear" w:color="auto" w:fill="FFFFFF"/>
        </w:rPr>
        <w:t xml:space="preserve"> alert the public to alternative means of </w:t>
      </w:r>
      <w:r w:rsidRPr="003E0759">
        <w:rPr>
          <w:szCs w:val="22"/>
          <w:shd w:val="clear" w:color="auto" w:fill="FFFFFF"/>
        </w:rPr>
        <w:t>emergency services</w:t>
      </w:r>
      <w:r w:rsidRPr="003E0759" w:rsidR="00293B48">
        <w:rPr>
          <w:szCs w:val="22"/>
          <w:shd w:val="clear" w:color="auto" w:fill="FFFFFF"/>
        </w:rPr>
        <w:t xml:space="preserve">. </w:t>
      </w:r>
      <w:r w:rsidRPr="003E0759" w:rsidR="004C01FA">
        <w:rPr>
          <w:szCs w:val="22"/>
          <w:shd w:val="clear" w:color="auto" w:fill="FFFFFF"/>
        </w:rPr>
        <w:t xml:space="preserve"> </w:t>
      </w:r>
      <w:r w:rsidRPr="003E0759" w:rsidR="00293B48">
        <w:rPr>
          <w:szCs w:val="22"/>
          <w:shd w:val="clear" w:color="auto" w:fill="FFFFFF"/>
        </w:rPr>
        <w:t xml:space="preserve">If a 911 special facility does not receive timely outage notification, it cannot effectively initiate alternate means of communications and provide access for those populations </w:t>
      </w:r>
      <w:r w:rsidRPr="003E0759">
        <w:rPr>
          <w:szCs w:val="22"/>
          <w:shd w:val="clear" w:color="auto" w:fill="FFFFFF"/>
        </w:rPr>
        <w:t xml:space="preserve">affected </w:t>
      </w:r>
      <w:r w:rsidRPr="003E0759" w:rsidR="00293B48">
        <w:rPr>
          <w:szCs w:val="22"/>
          <w:shd w:val="clear" w:color="auto" w:fill="FFFFFF"/>
        </w:rPr>
        <w:t xml:space="preserve">by the outage.  A notification’s utility to a PSAP </w:t>
      </w:r>
      <w:r w:rsidRPr="003E0759" w:rsidR="009B2513">
        <w:rPr>
          <w:szCs w:val="22"/>
          <w:shd w:val="clear" w:color="auto" w:fill="FFFFFF"/>
        </w:rPr>
        <w:t xml:space="preserve">is </w:t>
      </w:r>
      <w:r w:rsidRPr="003E0759" w:rsidR="00293B48">
        <w:rPr>
          <w:szCs w:val="22"/>
          <w:shd w:val="clear" w:color="auto" w:fill="FFFFFF"/>
        </w:rPr>
        <w:t xml:space="preserve">diminished significantly as time passes.  </w:t>
      </w:r>
      <w:r w:rsidRPr="003E0759">
        <w:rPr>
          <w:szCs w:val="22"/>
          <w:shd w:val="clear" w:color="auto" w:fill="FFFFFF"/>
        </w:rPr>
        <w:t>Adopting</w:t>
      </w:r>
      <w:r w:rsidRPr="003E0759" w:rsidR="00854B87">
        <w:rPr>
          <w:szCs w:val="22"/>
          <w:shd w:val="clear" w:color="auto" w:fill="FFFFFF"/>
        </w:rPr>
        <w:t xml:space="preserve"> </w:t>
      </w:r>
      <w:r w:rsidRPr="003E0759" w:rsidR="00184D6F">
        <w:rPr>
          <w:szCs w:val="22"/>
          <w:shd w:val="clear" w:color="auto" w:fill="FFFFFF"/>
        </w:rPr>
        <w:t>the</w:t>
      </w:r>
      <w:r w:rsidRPr="003E0759" w:rsidR="00854B87">
        <w:rPr>
          <w:szCs w:val="22"/>
          <w:shd w:val="clear" w:color="auto" w:fill="FFFFFF"/>
        </w:rPr>
        <w:t xml:space="preserve"> 30</w:t>
      </w:r>
      <w:r w:rsidRPr="003E0759" w:rsidR="00585784">
        <w:rPr>
          <w:szCs w:val="22"/>
          <w:shd w:val="clear" w:color="auto" w:fill="FFFFFF"/>
        </w:rPr>
        <w:t>-</w:t>
      </w:r>
      <w:r w:rsidRPr="003E0759" w:rsidR="00854B87">
        <w:rPr>
          <w:szCs w:val="22"/>
          <w:shd w:val="clear" w:color="auto" w:fill="FFFFFF"/>
        </w:rPr>
        <w:t xml:space="preserve">minute </w:t>
      </w:r>
      <w:r w:rsidRPr="003E0759">
        <w:rPr>
          <w:szCs w:val="22"/>
          <w:shd w:val="clear" w:color="auto" w:fill="FFFFFF"/>
        </w:rPr>
        <w:t xml:space="preserve">reporting requirement </w:t>
      </w:r>
      <w:r w:rsidRPr="003E0759" w:rsidR="004D5A1E">
        <w:rPr>
          <w:szCs w:val="22"/>
          <w:shd w:val="clear" w:color="auto" w:fill="FFFFFF"/>
        </w:rPr>
        <w:t xml:space="preserve">balanced the interest of </w:t>
      </w:r>
      <w:r w:rsidRPr="003E0759" w:rsidR="00813670">
        <w:rPr>
          <w:szCs w:val="22"/>
          <w:shd w:val="clear" w:color="auto" w:fill="FFFFFF"/>
        </w:rPr>
        <w:t xml:space="preserve">emergency management professionals who </w:t>
      </w:r>
      <w:r w:rsidRPr="003E0759" w:rsidR="005B3AB4">
        <w:rPr>
          <w:szCs w:val="22"/>
          <w:shd w:val="clear" w:color="auto" w:fill="FFFFFF"/>
        </w:rPr>
        <w:t xml:space="preserve">advocated </w:t>
      </w:r>
      <w:r w:rsidRPr="003E0759" w:rsidR="002D0753">
        <w:rPr>
          <w:szCs w:val="22"/>
          <w:shd w:val="clear" w:color="auto" w:fill="FFFFFF"/>
        </w:rPr>
        <w:t xml:space="preserve">for </w:t>
      </w:r>
      <w:r w:rsidRPr="003E0759" w:rsidR="00483D52">
        <w:rPr>
          <w:szCs w:val="22"/>
          <w:shd w:val="clear" w:color="auto" w:fill="FFFFFF"/>
        </w:rPr>
        <w:t>a shorter (</w:t>
      </w:r>
      <w:r w:rsidRPr="003E0759" w:rsidR="00602271">
        <w:rPr>
          <w:i/>
          <w:iCs/>
          <w:szCs w:val="22"/>
          <w:shd w:val="clear" w:color="auto" w:fill="FFFFFF"/>
        </w:rPr>
        <w:t>i.e</w:t>
      </w:r>
      <w:r w:rsidRPr="003E0759" w:rsidR="00602271">
        <w:rPr>
          <w:szCs w:val="22"/>
          <w:shd w:val="clear" w:color="auto" w:fill="FFFFFF"/>
        </w:rPr>
        <w:t>.,</w:t>
      </w:r>
      <w:r w:rsidRPr="003E0759" w:rsidR="00483D52">
        <w:rPr>
          <w:szCs w:val="22"/>
          <w:shd w:val="clear" w:color="auto" w:fill="FFFFFF"/>
        </w:rPr>
        <w:t xml:space="preserve"> 15</w:t>
      </w:r>
      <w:r w:rsidRPr="003E0759">
        <w:rPr>
          <w:szCs w:val="22"/>
          <w:shd w:val="clear" w:color="auto" w:fill="FFFFFF"/>
        </w:rPr>
        <w:t>-</w:t>
      </w:r>
      <w:r w:rsidRPr="003E0759" w:rsidR="00602271">
        <w:rPr>
          <w:szCs w:val="22"/>
          <w:shd w:val="clear" w:color="auto" w:fill="FFFFFF"/>
        </w:rPr>
        <w:t>minute</w:t>
      </w:r>
      <w:r w:rsidRPr="003E0759">
        <w:rPr>
          <w:szCs w:val="22"/>
          <w:shd w:val="clear" w:color="auto" w:fill="FFFFFF"/>
        </w:rPr>
        <w:t xml:space="preserve">) reporting period </w:t>
      </w:r>
      <w:r w:rsidRPr="003E0759" w:rsidR="004D5A1E">
        <w:rPr>
          <w:szCs w:val="22"/>
          <w:shd w:val="clear" w:color="auto" w:fill="FFFFFF"/>
        </w:rPr>
        <w:t xml:space="preserve">against </w:t>
      </w:r>
      <w:r w:rsidRPr="003E0759">
        <w:rPr>
          <w:szCs w:val="22"/>
          <w:shd w:val="clear" w:color="auto" w:fill="FFFFFF"/>
        </w:rPr>
        <w:t>the interest</w:t>
      </w:r>
      <w:r w:rsidRPr="003E0759" w:rsidR="004D5A1E">
        <w:rPr>
          <w:szCs w:val="22"/>
          <w:shd w:val="clear" w:color="auto" w:fill="FFFFFF"/>
        </w:rPr>
        <w:t xml:space="preserve"> of OSPs </w:t>
      </w:r>
      <w:r w:rsidRPr="003E0759" w:rsidR="002D0753">
        <w:rPr>
          <w:szCs w:val="22"/>
          <w:shd w:val="clear" w:color="auto" w:fill="FFFFFF"/>
        </w:rPr>
        <w:t xml:space="preserve">who advocated </w:t>
      </w:r>
      <w:r w:rsidRPr="003E0759">
        <w:rPr>
          <w:szCs w:val="22"/>
          <w:shd w:val="clear" w:color="auto" w:fill="FFFFFF"/>
        </w:rPr>
        <w:t xml:space="preserve">that </w:t>
      </w:r>
      <w:r w:rsidRPr="003E0759" w:rsidR="007C7330">
        <w:rPr>
          <w:szCs w:val="22"/>
          <w:shd w:val="clear" w:color="auto" w:fill="FFFFFF"/>
        </w:rPr>
        <w:t xml:space="preserve">outages </w:t>
      </w:r>
      <w:r w:rsidRPr="003E0759">
        <w:rPr>
          <w:szCs w:val="22"/>
          <w:shd w:val="clear" w:color="auto" w:fill="FFFFFF"/>
        </w:rPr>
        <w:t xml:space="preserve">be reported </w:t>
      </w:r>
      <w:r w:rsidRPr="003E0759" w:rsidR="007C7330">
        <w:rPr>
          <w:szCs w:val="22"/>
          <w:shd w:val="clear" w:color="auto" w:fill="FFFFFF"/>
        </w:rPr>
        <w:t>as soon as possible.</w:t>
      </w:r>
      <w:r w:rsidRPr="003E0759" w:rsidR="00874BBB">
        <w:rPr>
          <w:szCs w:val="22"/>
          <w:shd w:val="clear" w:color="auto" w:fill="FFFFFF"/>
        </w:rPr>
        <w:t xml:space="preserve">  </w:t>
      </w:r>
      <w:r w:rsidRPr="003E0759">
        <w:rPr>
          <w:szCs w:val="22"/>
          <w:shd w:val="clear" w:color="auto" w:fill="FFFFFF"/>
        </w:rPr>
        <w:t xml:space="preserve">In addition, the Commission required </w:t>
      </w:r>
      <w:r w:rsidRPr="003E0759" w:rsidR="00216609">
        <w:rPr>
          <w:szCs w:val="22"/>
          <w:shd w:val="clear" w:color="auto" w:fill="FFFFFF"/>
        </w:rPr>
        <w:t>covered 911 service providers</w:t>
      </w:r>
      <w:r w:rsidRPr="003E0759">
        <w:rPr>
          <w:szCs w:val="22"/>
          <w:shd w:val="clear" w:color="auto" w:fill="FFFFFF"/>
        </w:rPr>
        <w:t xml:space="preserve"> and OSPs to obtain accurate contact information for the 911 special facilities they serve</w:t>
      </w:r>
      <w:r w:rsidRPr="003E0759" w:rsidR="003B2BBF">
        <w:rPr>
          <w:szCs w:val="22"/>
          <w:shd w:val="clear" w:color="auto" w:fill="FFFFFF"/>
        </w:rPr>
        <w:t>,</w:t>
      </w:r>
      <w:r w:rsidRPr="003E0759">
        <w:rPr>
          <w:szCs w:val="22"/>
          <w:shd w:val="clear" w:color="auto" w:fill="FFFFFF"/>
        </w:rPr>
        <w:t xml:space="preserve"> and then at least annually, verify the continued accuracy of that contact information.  </w:t>
      </w:r>
      <w:r w:rsidRPr="003E0759" w:rsidR="003B2BBF">
        <w:rPr>
          <w:szCs w:val="22"/>
          <w:shd w:val="clear" w:color="auto" w:fill="FFFFFF"/>
        </w:rPr>
        <w:t xml:space="preserve">This information will be used by </w:t>
      </w:r>
      <w:r w:rsidRPr="003E0759" w:rsidR="00216609">
        <w:rPr>
          <w:szCs w:val="22"/>
          <w:shd w:val="clear" w:color="auto" w:fill="FFFFFF"/>
        </w:rPr>
        <w:t>covered 911 service providers</w:t>
      </w:r>
      <w:r w:rsidRPr="003E0759" w:rsidR="003B2BBF">
        <w:rPr>
          <w:szCs w:val="22"/>
          <w:shd w:val="clear" w:color="auto" w:fill="FFFFFF"/>
        </w:rPr>
        <w:t xml:space="preserve"> and OSPs to ensure they can successfully reach 911 special facilities with their outage notifications so that those facilities can effectively respond to those outages.</w:t>
      </w:r>
    </w:p>
    <w:p w:rsidR="00A94B90" w:rsidRPr="003E0759" w:rsidP="00271E65" w14:paraId="0E955814" w14:textId="028AF4A7">
      <w:pPr>
        <w:spacing w:before="120"/>
        <w:ind w:firstLine="720"/>
        <w:rPr>
          <w:szCs w:val="22"/>
          <w:shd w:val="clear" w:color="auto" w:fill="FFFFFF"/>
        </w:rPr>
      </w:pPr>
      <w:r w:rsidRPr="003E0759">
        <w:rPr>
          <w:szCs w:val="22"/>
          <w:shd w:val="clear" w:color="auto" w:fill="FFFFFF"/>
        </w:rPr>
        <w:t>The new requirement that covered 988 service providers and OSPs notify 988 special facilities about outages that potentially affect them serves these same purposes with respect to the availability of the 988 Lifeline</w:t>
      </w:r>
      <w:r w:rsidR="009D784B">
        <w:rPr>
          <w:szCs w:val="22"/>
          <w:shd w:val="clear" w:color="auto" w:fill="FFFFFF"/>
        </w:rPr>
        <w:t xml:space="preserve">, including </w:t>
      </w:r>
      <w:r w:rsidRPr="003E0759" w:rsidR="00C903C0">
        <w:rPr>
          <w:szCs w:val="22"/>
          <w:shd w:val="clear" w:color="auto" w:fill="FFFFFF"/>
        </w:rPr>
        <w:t>provid</w:t>
      </w:r>
      <w:r w:rsidR="009D784B">
        <w:rPr>
          <w:szCs w:val="22"/>
          <w:shd w:val="clear" w:color="auto" w:fill="FFFFFF"/>
        </w:rPr>
        <w:t>ing</w:t>
      </w:r>
      <w:r w:rsidRPr="003E0759" w:rsidR="00C903C0">
        <w:rPr>
          <w:szCs w:val="22"/>
          <w:shd w:val="clear" w:color="auto" w:fill="FFFFFF"/>
        </w:rPr>
        <w:t xml:space="preserve"> notice to SAMHSA, </w:t>
      </w:r>
      <w:r w:rsidR="009D784B">
        <w:rPr>
          <w:szCs w:val="22"/>
          <w:shd w:val="clear" w:color="auto" w:fill="FFFFFF"/>
        </w:rPr>
        <w:t>the</w:t>
      </w:r>
      <w:r w:rsidRPr="003E0759" w:rsidR="00C903C0">
        <w:t xml:space="preserve"> VA</w:t>
      </w:r>
      <w:r w:rsidRPr="003E0759" w:rsidR="00C903C0">
        <w:rPr>
          <w:szCs w:val="22"/>
          <w:shd w:val="clear" w:color="auto" w:fill="FFFFFF"/>
        </w:rPr>
        <w:t>, and the 988 Lifeline administrator when an outage that potentially affects a 988 special facility occurs</w:t>
      </w:r>
      <w:r w:rsidR="009D784B">
        <w:rPr>
          <w:szCs w:val="22"/>
          <w:shd w:val="clear" w:color="auto" w:fill="FFFFFF"/>
        </w:rPr>
        <w:t>.</w:t>
      </w:r>
    </w:p>
    <w:p w:rsidR="00D42FF3" w:rsidRPr="003E0759" w:rsidP="00037E73" w14:paraId="3474DDA4" w14:textId="55D1A84F">
      <w:pPr>
        <w:spacing w:before="120" w:after="120"/>
        <w:rPr>
          <w:b/>
          <w:szCs w:val="22"/>
          <w:shd w:val="clear" w:color="auto" w:fill="FFFFFF"/>
        </w:rPr>
      </w:pPr>
      <w:r w:rsidRPr="003E0759">
        <w:rPr>
          <w:b/>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sidRPr="003E0759" w:rsidR="00824E1C">
        <w:rPr>
          <w:b/>
          <w:szCs w:val="22"/>
          <w:shd w:val="clear" w:color="auto" w:fill="FFFFFF"/>
        </w:rPr>
        <w:t>e.g.,</w:t>
      </w:r>
      <w:r w:rsidRPr="003E0759">
        <w:rPr>
          <w:b/>
          <w:szCs w:val="22"/>
          <w:shd w:val="clear" w:color="auto" w:fill="FFFFFF"/>
        </w:rPr>
        <w:t xml:space="preserve"> permitting electronic submission of responses, and the basis for the decision for adopting this means of collection.  Also describe any consideration of using information technology to reduce burden.</w:t>
      </w:r>
    </w:p>
    <w:p w:rsidR="008A2D82" w:rsidRPr="003E0759" w:rsidP="00953262" w14:paraId="0267BB71" w14:textId="57CDAD74">
      <w:pPr>
        <w:spacing w:after="120"/>
        <w:ind w:firstLine="720"/>
        <w:rPr>
          <w:szCs w:val="22"/>
          <w:shd w:val="clear" w:color="auto" w:fill="FFFFFF"/>
        </w:rPr>
      </w:pPr>
      <w:r w:rsidRPr="003E0759">
        <w:rPr>
          <w:szCs w:val="22"/>
          <w:shd w:val="clear" w:color="auto" w:fill="FFFFFF"/>
        </w:rPr>
        <w:t xml:space="preserve">The </w:t>
      </w:r>
      <w:r w:rsidRPr="003E0759" w:rsidR="00D14C22">
        <w:rPr>
          <w:szCs w:val="22"/>
          <w:shd w:val="clear" w:color="auto" w:fill="FFFFFF"/>
        </w:rPr>
        <w:t>Commission’s</w:t>
      </w:r>
      <w:r w:rsidRPr="003E0759" w:rsidR="00200B90">
        <w:rPr>
          <w:szCs w:val="22"/>
          <w:shd w:val="clear" w:color="auto" w:fill="FFFFFF"/>
        </w:rPr>
        <w:t xml:space="preserve"> </w:t>
      </w:r>
      <w:r w:rsidRPr="003E0759">
        <w:rPr>
          <w:szCs w:val="22"/>
          <w:shd w:val="clear" w:color="auto" w:fill="FFFFFF"/>
        </w:rPr>
        <w:t>P</w:t>
      </w:r>
      <w:r w:rsidR="00374418">
        <w:rPr>
          <w:szCs w:val="22"/>
          <w:shd w:val="clear" w:color="auto" w:fill="FFFFFF"/>
        </w:rPr>
        <w:t xml:space="preserve">ublic </w:t>
      </w:r>
      <w:r w:rsidRPr="003E0759">
        <w:rPr>
          <w:szCs w:val="22"/>
          <w:shd w:val="clear" w:color="auto" w:fill="FFFFFF"/>
        </w:rPr>
        <w:t>S</w:t>
      </w:r>
      <w:r w:rsidR="00374418">
        <w:rPr>
          <w:szCs w:val="22"/>
          <w:shd w:val="clear" w:color="auto" w:fill="FFFFFF"/>
        </w:rPr>
        <w:t>afety and Homeland Security Bureau (PS</w:t>
      </w:r>
      <w:r w:rsidRPr="003E0759">
        <w:rPr>
          <w:szCs w:val="22"/>
          <w:shd w:val="clear" w:color="auto" w:fill="FFFFFF"/>
        </w:rPr>
        <w:t>HSB</w:t>
      </w:r>
      <w:r w:rsidR="00375A14">
        <w:rPr>
          <w:szCs w:val="22"/>
          <w:shd w:val="clear" w:color="auto" w:fill="FFFFFF"/>
        </w:rPr>
        <w:t>)</w:t>
      </w:r>
      <w:r w:rsidRPr="003E0759">
        <w:rPr>
          <w:szCs w:val="22"/>
          <w:shd w:val="clear" w:color="auto" w:fill="FFFFFF"/>
        </w:rPr>
        <w:t xml:space="preserve"> maintains the NORS web-based portal for the electronic submission of NORS filings.</w:t>
      </w:r>
      <w:r>
        <w:rPr>
          <w:rStyle w:val="FootnoteReference"/>
          <w:szCs w:val="22"/>
          <w:shd w:val="clear" w:color="auto" w:fill="FFFFFF"/>
        </w:rPr>
        <w:footnoteReference w:id="28"/>
      </w:r>
      <w:r w:rsidRPr="003E0759">
        <w:rPr>
          <w:szCs w:val="22"/>
          <w:shd w:val="clear" w:color="auto" w:fill="FFFFFF"/>
        </w:rPr>
        <w:t xml:space="preserve">  To facilitate compliance with the reporting requirements, the Commission developed web-based templates that it makes available on the NORS web portal.  Service providers use the templates to </w:t>
      </w:r>
      <w:r w:rsidRPr="003E0759" w:rsidR="00E67F83">
        <w:rPr>
          <w:szCs w:val="22"/>
          <w:shd w:val="clear" w:color="auto" w:fill="FFFFFF"/>
        </w:rPr>
        <w:t xml:space="preserve">simplify and standardize the process of </w:t>
      </w:r>
      <w:r w:rsidRPr="003E0759">
        <w:rPr>
          <w:szCs w:val="22"/>
          <w:shd w:val="clear" w:color="auto" w:fill="FFFFFF"/>
        </w:rPr>
        <w:t>enter</w:t>
      </w:r>
      <w:r w:rsidRPr="003E0759" w:rsidR="00E67F83">
        <w:rPr>
          <w:szCs w:val="22"/>
          <w:shd w:val="clear" w:color="auto" w:fill="FFFFFF"/>
        </w:rPr>
        <w:t>ing</w:t>
      </w:r>
      <w:r w:rsidRPr="003E0759">
        <w:rPr>
          <w:szCs w:val="22"/>
          <w:shd w:val="clear" w:color="auto" w:fill="FFFFFF"/>
        </w:rPr>
        <w:t xml:space="preserve"> information about outages experienced in their networks.  These submissions are then made available to Commission staff in real time in the NORS web-based portal.</w:t>
      </w:r>
    </w:p>
    <w:p w:rsidR="00526BDD" w:rsidRPr="003E0759" w:rsidP="00953262" w14:paraId="23E17848" w14:textId="620571D6">
      <w:pPr>
        <w:spacing w:after="120"/>
        <w:ind w:firstLine="720"/>
        <w:rPr>
          <w:szCs w:val="22"/>
          <w:shd w:val="clear" w:color="auto" w:fill="FFFFFF"/>
        </w:rPr>
      </w:pPr>
      <w:r w:rsidRPr="003E0759">
        <w:rPr>
          <w:szCs w:val="22"/>
          <w:shd w:val="clear" w:color="auto" w:fill="FFFFFF"/>
        </w:rPr>
        <w:t>For ease of administration, each service provider may request credentials for NORS for two types of accounts.  A user account with two levels of privileges: (a) filings submi</w:t>
      </w:r>
      <w:r w:rsidRPr="003E0759" w:rsidR="00865972">
        <w:rPr>
          <w:szCs w:val="22"/>
          <w:shd w:val="clear" w:color="auto" w:fill="FFFFFF"/>
        </w:rPr>
        <w:t>tted</w:t>
      </w:r>
      <w:r w:rsidRPr="003E0759">
        <w:rPr>
          <w:szCs w:val="22"/>
          <w:shd w:val="clear" w:color="auto" w:fill="FFFFFF"/>
        </w:rPr>
        <w:t xml:space="preserve"> on behalf of the service provider; and (b) filings access to all submissions filed on behalf of the service provider, including filings submitted by others acting on behalf of the service provider.  Further, other user accounts with a more limited role to submit and view only their respective filings for the service provider</w:t>
      </w:r>
      <w:r w:rsidRPr="003E0759" w:rsidR="0049418E">
        <w:rPr>
          <w:szCs w:val="22"/>
          <w:shd w:val="clear" w:color="auto" w:fill="FFFFFF"/>
        </w:rPr>
        <w:t xml:space="preserve"> are available</w:t>
      </w:r>
      <w:r w:rsidRPr="003E0759">
        <w:rPr>
          <w:szCs w:val="22"/>
          <w:shd w:val="clear" w:color="auto" w:fill="FFFFFF"/>
        </w:rPr>
        <w:t>.  To further facilitate ease of use, users may draw from previously submitted information in a Notification or an Initial Report to submit a Final Report for the same event.  For the service providers with automatic filing systems, NORS is equipped with an interface to accept outage filings via automatic filing systems.</w:t>
      </w:r>
    </w:p>
    <w:p w:rsidR="00E95476" w:rsidRPr="003E0759" w:rsidP="00E95476" w14:paraId="028BEE67" w14:textId="10015E77">
      <w:pPr>
        <w:spacing w:after="120"/>
        <w:ind w:firstLine="720"/>
        <w:rPr>
          <w:szCs w:val="22"/>
          <w:shd w:val="clear" w:color="auto" w:fill="FFFFFF"/>
        </w:rPr>
      </w:pPr>
      <w:r w:rsidRPr="003E0759">
        <w:rPr>
          <w:szCs w:val="22"/>
          <w:shd w:val="clear" w:color="auto" w:fill="FFFFFF"/>
        </w:rPr>
        <w:t xml:space="preserve">Participating Agencies’ requests to access NORS information (including required accompanying materials) and any required notifications </w:t>
      </w:r>
      <w:r w:rsidR="00CB6FDB">
        <w:rPr>
          <w:szCs w:val="22"/>
          <w:shd w:val="clear" w:color="auto" w:fill="FFFFFF"/>
        </w:rPr>
        <w:t>are</w:t>
      </w:r>
      <w:r w:rsidRPr="003E0759">
        <w:rPr>
          <w:szCs w:val="22"/>
          <w:shd w:val="clear" w:color="auto" w:fill="FFFFFF"/>
        </w:rPr>
        <w:t xml:space="preserve"> submitted to the Commission electronically via a dedicated e-mail address.  Required follow-up will also be conducted electronically.  This method reduces the burden on </w:t>
      </w:r>
      <w:r w:rsidR="00607352">
        <w:rPr>
          <w:szCs w:val="22"/>
          <w:shd w:val="clear" w:color="auto" w:fill="FFFFFF"/>
        </w:rPr>
        <w:t xml:space="preserve">the </w:t>
      </w:r>
      <w:r w:rsidRPr="003E0759">
        <w:rPr>
          <w:szCs w:val="22"/>
          <w:shd w:val="clear" w:color="auto" w:fill="FFFFFF"/>
        </w:rPr>
        <w:t>agency and Commission staff as forms and correspondence will be stored and accessed electronically.</w:t>
      </w:r>
      <w:r w:rsidRPr="003E0759" w:rsidR="00620E94">
        <w:rPr>
          <w:szCs w:val="22"/>
          <w:shd w:val="clear" w:color="auto" w:fill="FFFFFF"/>
        </w:rPr>
        <w:t xml:space="preserve">  </w:t>
      </w:r>
      <w:r w:rsidRPr="003E0759">
        <w:rPr>
          <w:szCs w:val="22"/>
          <w:shd w:val="clear" w:color="auto" w:fill="FFFFFF"/>
        </w:rPr>
        <w:t>Once the request for access is approved, the Participating Agencies will be able to access a web page maintained by PSHSB that will permit access to the NORS report database</w:t>
      </w:r>
      <w:r w:rsidRPr="003E0759" w:rsidR="00620E94">
        <w:rPr>
          <w:szCs w:val="22"/>
          <w:shd w:val="clear" w:color="auto" w:fill="FFFFFF"/>
        </w:rPr>
        <w:t>.</w:t>
      </w:r>
    </w:p>
    <w:p w:rsidR="00055188" w:rsidRPr="003E0759" w:rsidP="00620E94" w14:paraId="7E878D87" w14:textId="189E56FC">
      <w:pPr>
        <w:spacing w:after="120"/>
        <w:ind w:firstLine="720"/>
        <w:rPr>
          <w:szCs w:val="22"/>
          <w:shd w:val="clear" w:color="auto" w:fill="FFFFFF"/>
        </w:rPr>
      </w:pPr>
      <w:r w:rsidRPr="003E0759">
        <w:rPr>
          <w:szCs w:val="22"/>
          <w:shd w:val="clear" w:color="auto" w:fill="FFFFFF"/>
        </w:rPr>
        <w:t xml:space="preserve">The </w:t>
      </w:r>
      <w:r w:rsidRPr="003E0759" w:rsidR="005D351B">
        <w:rPr>
          <w:i/>
          <w:iCs/>
          <w:szCs w:val="22"/>
          <w:shd w:val="clear" w:color="auto" w:fill="FFFFFF"/>
        </w:rPr>
        <w:t xml:space="preserve">2022 </w:t>
      </w:r>
      <w:r w:rsidRPr="003E0759" w:rsidR="00B55094">
        <w:rPr>
          <w:i/>
          <w:szCs w:val="22"/>
          <w:shd w:val="clear" w:color="auto" w:fill="FFFFFF"/>
        </w:rPr>
        <w:t>Second Report and Order</w:t>
      </w:r>
      <w:r w:rsidRPr="003E0759" w:rsidR="00214893">
        <w:rPr>
          <w:i/>
          <w:szCs w:val="22"/>
          <w:shd w:val="clear" w:color="auto" w:fill="FFFFFF"/>
        </w:rPr>
        <w:t xml:space="preserve"> </w:t>
      </w:r>
      <w:r w:rsidRPr="003E0759" w:rsidR="00751D9E">
        <w:rPr>
          <w:szCs w:val="22"/>
          <w:shd w:val="clear" w:color="auto" w:fill="FFFFFF"/>
        </w:rPr>
        <w:t xml:space="preserve">revised the means by which OSPs are required to notify 911 special facilities from “by telephone </w:t>
      </w:r>
      <w:r w:rsidRPr="003E0759" w:rsidR="00751D9E">
        <w:rPr>
          <w:i/>
          <w:iCs/>
          <w:szCs w:val="22"/>
          <w:shd w:val="clear" w:color="auto" w:fill="FFFFFF"/>
        </w:rPr>
        <w:t>or</w:t>
      </w:r>
      <w:r w:rsidRPr="003E0759" w:rsidR="00751D9E">
        <w:rPr>
          <w:szCs w:val="22"/>
          <w:shd w:val="clear" w:color="auto" w:fill="FFFFFF"/>
        </w:rPr>
        <w:t xml:space="preserve"> in writing via electronic means” to</w:t>
      </w:r>
      <w:r w:rsidRPr="003E0759" w:rsidR="00CB2321">
        <w:rPr>
          <w:szCs w:val="22"/>
          <w:shd w:val="clear" w:color="auto" w:fill="FFFFFF"/>
        </w:rPr>
        <w:t xml:space="preserve"> </w:t>
      </w:r>
      <w:r w:rsidRPr="003E0759" w:rsidR="000875C2">
        <w:rPr>
          <w:szCs w:val="22"/>
          <w:shd w:val="clear" w:color="auto" w:fill="FFFFFF"/>
        </w:rPr>
        <w:t xml:space="preserve">“by telephone </w:t>
      </w:r>
      <w:r w:rsidRPr="003E0759" w:rsidR="000875C2">
        <w:rPr>
          <w:i/>
          <w:iCs/>
          <w:szCs w:val="22"/>
          <w:shd w:val="clear" w:color="auto" w:fill="FFFFFF"/>
        </w:rPr>
        <w:t>and</w:t>
      </w:r>
      <w:r w:rsidRPr="003E0759" w:rsidR="000875C2">
        <w:rPr>
          <w:szCs w:val="22"/>
          <w:shd w:val="clear" w:color="auto" w:fill="FFFFFF"/>
        </w:rPr>
        <w:t xml:space="preserve"> in writing via electronic means </w:t>
      </w:r>
      <w:r w:rsidRPr="003E0759" w:rsidR="003F24ED">
        <w:rPr>
          <w:szCs w:val="22"/>
          <w:shd w:val="clear" w:color="auto" w:fill="FFFFFF"/>
        </w:rPr>
        <w:t>in the absence of another method mutually agreed upon in writing.”</w:t>
      </w:r>
      <w:r>
        <w:rPr>
          <w:rStyle w:val="FootnoteReference"/>
          <w:szCs w:val="22"/>
          <w:shd w:val="clear" w:color="auto" w:fill="FFFFFF"/>
        </w:rPr>
        <w:footnoteReference w:id="29"/>
      </w:r>
      <w:r w:rsidRPr="003E0759" w:rsidR="003F24ED">
        <w:rPr>
          <w:szCs w:val="22"/>
          <w:shd w:val="clear" w:color="auto" w:fill="FFFFFF"/>
        </w:rPr>
        <w:t xml:space="preserve"> </w:t>
      </w:r>
      <w:r w:rsidRPr="003E0759" w:rsidR="00A81C9C">
        <w:rPr>
          <w:szCs w:val="22"/>
          <w:shd w:val="clear" w:color="auto" w:fill="FFFFFF"/>
        </w:rPr>
        <w:t xml:space="preserve"> </w:t>
      </w:r>
      <w:r w:rsidRPr="003E0759" w:rsidR="0056155E">
        <w:rPr>
          <w:szCs w:val="22"/>
          <w:shd w:val="clear" w:color="auto" w:fill="FFFFFF"/>
        </w:rPr>
        <w:t xml:space="preserve">In recognition of the fact </w:t>
      </w:r>
      <w:r w:rsidRPr="003E0759" w:rsidR="00E33BA4">
        <w:rPr>
          <w:szCs w:val="22"/>
          <w:shd w:val="clear" w:color="auto" w:fill="FFFFFF"/>
        </w:rPr>
        <w:t xml:space="preserve">that </w:t>
      </w:r>
      <w:r w:rsidRPr="003E0759" w:rsidR="002656D4">
        <w:rPr>
          <w:szCs w:val="22"/>
          <w:shd w:val="clear" w:color="auto" w:fill="FFFFFF"/>
        </w:rPr>
        <w:t>s</w:t>
      </w:r>
      <w:r w:rsidRPr="003E0759" w:rsidR="00C235C2">
        <w:rPr>
          <w:szCs w:val="22"/>
          <w:shd w:val="clear" w:color="auto" w:fill="FFFFFF"/>
        </w:rPr>
        <w:t>maller OSPs and 911 special facilities</w:t>
      </w:r>
      <w:r w:rsidRPr="003E0759" w:rsidR="009123DA">
        <w:rPr>
          <w:szCs w:val="22"/>
          <w:shd w:val="clear" w:color="auto" w:fill="FFFFFF"/>
        </w:rPr>
        <w:t xml:space="preserve"> may have varying degrees of staff resources and </w:t>
      </w:r>
      <w:r w:rsidRPr="003E0759" w:rsidR="0056155E">
        <w:rPr>
          <w:szCs w:val="22"/>
          <w:shd w:val="clear" w:color="auto" w:fill="FFFFFF"/>
        </w:rPr>
        <w:t>degrees</w:t>
      </w:r>
      <w:r w:rsidRPr="003E0759" w:rsidR="009123DA">
        <w:rPr>
          <w:szCs w:val="22"/>
          <w:shd w:val="clear" w:color="auto" w:fill="FFFFFF"/>
        </w:rPr>
        <w:t xml:space="preserve"> of </w:t>
      </w:r>
      <w:r w:rsidRPr="003E0759" w:rsidR="0056155E">
        <w:rPr>
          <w:szCs w:val="22"/>
          <w:shd w:val="clear" w:color="auto" w:fill="FFFFFF"/>
        </w:rPr>
        <w:t>technological</w:t>
      </w:r>
      <w:r w:rsidRPr="003E0759" w:rsidR="009123DA">
        <w:rPr>
          <w:szCs w:val="22"/>
          <w:shd w:val="clear" w:color="auto" w:fill="FFFFFF"/>
        </w:rPr>
        <w:t xml:space="preserve"> </w:t>
      </w:r>
      <w:r w:rsidRPr="003E0759" w:rsidR="0056155E">
        <w:rPr>
          <w:szCs w:val="22"/>
          <w:shd w:val="clear" w:color="auto" w:fill="FFFFFF"/>
        </w:rPr>
        <w:t>sophistication,</w:t>
      </w:r>
      <w:r w:rsidRPr="003E0759" w:rsidR="00DD7176">
        <w:rPr>
          <w:szCs w:val="22"/>
          <w:shd w:val="clear" w:color="auto" w:fill="FFFFFF"/>
        </w:rPr>
        <w:t xml:space="preserve"> our rules allow for these parties to mutually agree upon alternative means of notification.</w:t>
      </w:r>
      <w:r w:rsidRPr="003E0759" w:rsidR="0056155E">
        <w:rPr>
          <w:szCs w:val="22"/>
          <w:shd w:val="clear" w:color="auto" w:fill="FFFFFF"/>
        </w:rPr>
        <w:t xml:space="preserve"> </w:t>
      </w:r>
      <w:r w:rsidRPr="003E0759" w:rsidR="00C235C2">
        <w:rPr>
          <w:szCs w:val="22"/>
          <w:shd w:val="clear" w:color="auto" w:fill="FFFFFF"/>
        </w:rPr>
        <w:t xml:space="preserve"> </w:t>
      </w:r>
      <w:r w:rsidRPr="003E0759" w:rsidR="005C2D02">
        <w:rPr>
          <w:szCs w:val="22"/>
          <w:shd w:val="clear" w:color="auto" w:fill="FFFFFF"/>
        </w:rPr>
        <w:t>F</w:t>
      </w:r>
      <w:r w:rsidRPr="003E0759" w:rsidR="00627EB6">
        <w:rPr>
          <w:szCs w:val="22"/>
          <w:shd w:val="clear" w:color="auto" w:fill="FFFFFF"/>
        </w:rPr>
        <w:t xml:space="preserve">or example, </w:t>
      </w:r>
      <w:r w:rsidRPr="003E0759" w:rsidR="005C2D02">
        <w:rPr>
          <w:szCs w:val="22"/>
          <w:shd w:val="clear" w:color="auto" w:fill="FFFFFF"/>
        </w:rPr>
        <w:t xml:space="preserve">if an </w:t>
      </w:r>
      <w:r w:rsidRPr="003E0759" w:rsidR="00627EB6">
        <w:rPr>
          <w:szCs w:val="22"/>
          <w:shd w:val="clear" w:color="auto" w:fill="FFFFFF"/>
        </w:rPr>
        <w:t xml:space="preserve">OSP and a 911 special facility </w:t>
      </w:r>
      <w:r w:rsidRPr="003E0759" w:rsidR="00255C4C">
        <w:rPr>
          <w:szCs w:val="22"/>
          <w:shd w:val="clear" w:color="auto" w:fill="FFFFFF"/>
        </w:rPr>
        <w:t xml:space="preserve">agree to transmit and receive </w:t>
      </w:r>
      <w:r w:rsidRPr="003E0759" w:rsidR="00627EB6">
        <w:rPr>
          <w:szCs w:val="22"/>
          <w:shd w:val="clear" w:color="auto" w:fill="FFFFFF"/>
        </w:rPr>
        <w:t xml:space="preserve">outage notifications by text only, the parties can agree to </w:t>
      </w:r>
      <w:r w:rsidRPr="003E0759" w:rsidR="00255C4C">
        <w:rPr>
          <w:szCs w:val="22"/>
          <w:shd w:val="clear" w:color="auto" w:fill="FFFFFF"/>
        </w:rPr>
        <w:t>that</w:t>
      </w:r>
      <w:r w:rsidRPr="003E0759" w:rsidR="007D4166">
        <w:rPr>
          <w:szCs w:val="22"/>
          <w:shd w:val="clear" w:color="auto" w:fill="FFFFFF"/>
        </w:rPr>
        <w:t>, likely reducing both parties burden in complying with this collection.</w:t>
      </w:r>
      <w:r w:rsidRPr="003E0759" w:rsidR="00C235C2">
        <w:rPr>
          <w:szCs w:val="22"/>
          <w:shd w:val="clear" w:color="auto" w:fill="FFFFFF"/>
        </w:rPr>
        <w:t xml:space="preserve"> </w:t>
      </w:r>
      <w:r w:rsidRPr="003E0759" w:rsidR="007D4166">
        <w:rPr>
          <w:szCs w:val="22"/>
          <w:shd w:val="clear" w:color="auto" w:fill="FFFFFF"/>
        </w:rPr>
        <w:t xml:space="preserve"> </w:t>
      </w:r>
      <w:r w:rsidRPr="003E0759" w:rsidR="00C26855">
        <w:rPr>
          <w:szCs w:val="22"/>
          <w:shd w:val="clear" w:color="auto" w:fill="FFFFFF"/>
        </w:rPr>
        <w:t>The Commissio</w:t>
      </w:r>
      <w:r w:rsidRPr="003E0759" w:rsidR="00974BAC">
        <w:rPr>
          <w:szCs w:val="22"/>
          <w:shd w:val="clear" w:color="auto" w:fill="FFFFFF"/>
        </w:rPr>
        <w:t xml:space="preserve">n </w:t>
      </w:r>
      <w:r w:rsidRPr="003E0759" w:rsidR="00C26855">
        <w:rPr>
          <w:szCs w:val="22"/>
          <w:shd w:val="clear" w:color="auto" w:fill="FFFFFF"/>
        </w:rPr>
        <w:t xml:space="preserve">does not require </w:t>
      </w:r>
      <w:r w:rsidRPr="003E0759" w:rsidR="00216609">
        <w:rPr>
          <w:szCs w:val="22"/>
          <w:shd w:val="clear" w:color="auto" w:fill="FFFFFF"/>
        </w:rPr>
        <w:t>covered 911 service providers</w:t>
      </w:r>
      <w:r w:rsidRPr="003E0759" w:rsidR="00155E87">
        <w:rPr>
          <w:szCs w:val="22"/>
          <w:shd w:val="clear" w:color="auto" w:fill="FFFFFF"/>
        </w:rPr>
        <w:t>, covered 988 service providers,</w:t>
      </w:r>
      <w:r w:rsidRPr="003E0759" w:rsidR="00C26855">
        <w:rPr>
          <w:szCs w:val="22"/>
          <w:shd w:val="clear" w:color="auto" w:fill="FFFFFF"/>
        </w:rPr>
        <w:t xml:space="preserve"> and OSPs to automate notification</w:t>
      </w:r>
      <w:r w:rsidRPr="003E0759" w:rsidR="00974BAC">
        <w:rPr>
          <w:szCs w:val="22"/>
          <w:shd w:val="clear" w:color="auto" w:fill="FFFFFF"/>
        </w:rPr>
        <w:t xml:space="preserve">, but believes that some </w:t>
      </w:r>
      <w:r w:rsidRPr="003E0759" w:rsidR="00216609">
        <w:rPr>
          <w:szCs w:val="22"/>
          <w:shd w:val="clear" w:color="auto" w:fill="FFFFFF"/>
        </w:rPr>
        <w:t>providers</w:t>
      </w:r>
      <w:r w:rsidRPr="003E0759" w:rsidR="00974BAC">
        <w:rPr>
          <w:szCs w:val="22"/>
          <w:shd w:val="clear" w:color="auto" w:fill="FFFFFF"/>
        </w:rPr>
        <w:t xml:space="preserve"> </w:t>
      </w:r>
      <w:r w:rsidRPr="003E0759" w:rsidR="00155E87">
        <w:rPr>
          <w:szCs w:val="22"/>
          <w:shd w:val="clear" w:color="auto" w:fill="FFFFFF"/>
        </w:rPr>
        <w:t>will (or already do)</w:t>
      </w:r>
      <w:r w:rsidRPr="003E0759" w:rsidR="00974BAC">
        <w:rPr>
          <w:szCs w:val="22"/>
          <w:shd w:val="clear" w:color="auto" w:fill="FFFFFF"/>
        </w:rPr>
        <w:t xml:space="preserve"> automate this process</w:t>
      </w:r>
      <w:r w:rsidRPr="003E0759" w:rsidR="00C26855">
        <w:rPr>
          <w:szCs w:val="22"/>
          <w:shd w:val="clear" w:color="auto" w:fill="FFFFFF"/>
        </w:rPr>
        <w:t xml:space="preserve"> as a means of mitigating </w:t>
      </w:r>
      <w:r w:rsidRPr="003E0759" w:rsidR="00974BAC">
        <w:rPr>
          <w:szCs w:val="22"/>
          <w:shd w:val="clear" w:color="auto" w:fill="FFFFFF"/>
        </w:rPr>
        <w:t>burdens.</w:t>
      </w:r>
      <w:r w:rsidRPr="003E0759" w:rsidR="00620E94">
        <w:rPr>
          <w:szCs w:val="22"/>
          <w:shd w:val="clear" w:color="auto" w:fill="FFFFFF"/>
        </w:rPr>
        <w:t xml:space="preserve">  With regard to the requirement to </w:t>
      </w:r>
      <w:r w:rsidRPr="003E0759" w:rsidR="0083590D">
        <w:rPr>
          <w:szCs w:val="22"/>
          <w:shd w:val="clear" w:color="auto" w:fill="FFFFFF"/>
        </w:rPr>
        <w:t xml:space="preserve">obtain accurate contact information for 911 </w:t>
      </w:r>
      <w:r w:rsidRPr="003E0759" w:rsidR="00155E87">
        <w:rPr>
          <w:szCs w:val="22"/>
          <w:shd w:val="clear" w:color="auto" w:fill="FFFFFF"/>
        </w:rPr>
        <w:t xml:space="preserve">and 988 </w:t>
      </w:r>
      <w:r w:rsidRPr="003E0759" w:rsidR="0083590D">
        <w:rPr>
          <w:szCs w:val="22"/>
          <w:shd w:val="clear" w:color="auto" w:fill="FFFFFF"/>
        </w:rPr>
        <w:t>special facilities they serve</w:t>
      </w:r>
      <w:r w:rsidRPr="003E0759" w:rsidR="00620E94">
        <w:rPr>
          <w:szCs w:val="22"/>
          <w:shd w:val="clear" w:color="auto" w:fill="FFFFFF"/>
        </w:rPr>
        <w:t>, w</w:t>
      </w:r>
      <w:r w:rsidRPr="003E0759" w:rsidR="0083590D">
        <w:rPr>
          <w:szCs w:val="22"/>
          <w:shd w:val="clear" w:color="auto" w:fill="FFFFFF"/>
        </w:rPr>
        <w:t xml:space="preserve">e anticipate that providers will utilize an email </w:t>
      </w:r>
      <w:r w:rsidR="00FE78B5">
        <w:rPr>
          <w:szCs w:val="22"/>
          <w:shd w:val="clear" w:color="auto" w:fill="FFFFFF"/>
        </w:rPr>
        <w:t xml:space="preserve">or web-based </w:t>
      </w:r>
      <w:r w:rsidRPr="003E0759" w:rsidR="0083590D">
        <w:rPr>
          <w:szCs w:val="22"/>
          <w:shd w:val="clear" w:color="auto" w:fill="FFFFFF"/>
        </w:rPr>
        <w:t xml:space="preserve">survey to reach out to </w:t>
      </w:r>
      <w:r w:rsidRPr="003E0759" w:rsidR="00155E87">
        <w:rPr>
          <w:szCs w:val="22"/>
          <w:shd w:val="clear" w:color="auto" w:fill="FFFFFF"/>
        </w:rPr>
        <w:t>those</w:t>
      </w:r>
      <w:r w:rsidRPr="003E0759" w:rsidR="0083590D">
        <w:rPr>
          <w:szCs w:val="22"/>
          <w:shd w:val="clear" w:color="auto" w:fill="FFFFFF"/>
        </w:rPr>
        <w:t xml:space="preserve"> facilities</w:t>
      </w:r>
      <w:r w:rsidRPr="003E0759" w:rsidR="00586773">
        <w:rPr>
          <w:szCs w:val="22"/>
          <w:shd w:val="clear" w:color="auto" w:fill="FFFFFF"/>
        </w:rPr>
        <w:t>.</w:t>
      </w:r>
    </w:p>
    <w:p w:rsidR="00D42FF3" w:rsidRPr="003E0759" w:rsidP="00953262" w14:paraId="1BD01F13" w14:textId="77777777">
      <w:pPr>
        <w:spacing w:after="120"/>
        <w:rPr>
          <w:b/>
          <w:szCs w:val="22"/>
          <w:shd w:val="clear" w:color="auto" w:fill="FFFFFF"/>
        </w:rPr>
      </w:pPr>
      <w:r w:rsidRPr="003E0759">
        <w:rPr>
          <w:b/>
          <w:szCs w:val="22"/>
          <w:shd w:val="clear" w:color="auto" w:fill="FFFFFF"/>
        </w:rPr>
        <w:t>4.</w:t>
      </w:r>
      <w:r w:rsidRPr="003E0759">
        <w:rPr>
          <w:szCs w:val="22"/>
          <w:shd w:val="clear" w:color="auto" w:fill="FFFFFF"/>
        </w:rPr>
        <w:t xml:space="preserve">  </w:t>
      </w:r>
      <w:r w:rsidRPr="003E0759">
        <w:rPr>
          <w:b/>
          <w:szCs w:val="22"/>
          <w:shd w:val="clear" w:color="auto" w:fill="FFFFFF"/>
        </w:rPr>
        <w:t>Describe efforts to identify duplication.  Show specifically why any similar information already available cannot be used or modified for use for the purposes described in item 2 above.</w:t>
      </w:r>
    </w:p>
    <w:p w:rsidR="00F5654B" w:rsidRPr="003E0759" w:rsidP="00953262" w14:paraId="1A44E93B" w14:textId="198BE213">
      <w:pPr>
        <w:spacing w:after="120"/>
        <w:ind w:firstLine="720"/>
        <w:rPr>
          <w:szCs w:val="22"/>
        </w:rPr>
      </w:pPr>
      <w:r w:rsidRPr="003E0759">
        <w:rPr>
          <w:szCs w:val="22"/>
          <w:shd w:val="clear" w:color="auto" w:fill="FFFFFF"/>
        </w:rPr>
        <w:t>The information collected is not duplicative of other information received by the Commission.  With regard to outage notifications that are required to be provided to 911 special facilities, t</w:t>
      </w:r>
      <w:r w:rsidRPr="003E0759" w:rsidR="00450F62">
        <w:rPr>
          <w:szCs w:val="22"/>
          <w:shd w:val="clear" w:color="auto" w:fill="FFFFFF"/>
        </w:rPr>
        <w:t xml:space="preserve">he requirements set forth in the </w:t>
      </w:r>
      <w:r w:rsidRPr="003E0759" w:rsidR="00450F62">
        <w:rPr>
          <w:i/>
          <w:iCs/>
          <w:szCs w:val="22"/>
          <w:shd w:val="clear" w:color="auto" w:fill="FFFFFF"/>
        </w:rPr>
        <w:t>2022 Second Report and Order</w:t>
      </w:r>
      <w:r w:rsidRPr="003E0759">
        <w:rPr>
          <w:i/>
          <w:szCs w:val="22"/>
          <w:shd w:val="clear" w:color="auto" w:fill="FFFFFF"/>
        </w:rPr>
        <w:t xml:space="preserve"> </w:t>
      </w:r>
      <w:r w:rsidRPr="003E0759">
        <w:rPr>
          <w:szCs w:val="22"/>
          <w:shd w:val="clear" w:color="auto" w:fill="FFFFFF"/>
        </w:rPr>
        <w:t xml:space="preserve">harmonize existing outage notification requirements across service providers that previously differed in content, means, timing, and frequency. </w:t>
      </w:r>
      <w:r w:rsidRPr="003E0759" w:rsidR="00FE6938">
        <w:rPr>
          <w:szCs w:val="22"/>
          <w:shd w:val="clear" w:color="auto" w:fill="FFFFFF"/>
        </w:rPr>
        <w:t xml:space="preserve"> </w:t>
      </w:r>
      <w:r w:rsidRPr="003E0759" w:rsidR="00530C06">
        <w:rPr>
          <w:szCs w:val="22"/>
          <w:shd w:val="clear" w:color="auto" w:fill="FFFFFF"/>
        </w:rPr>
        <w:t>In doing so, the Commission avoids duplication by modifying existing notification requirements.</w:t>
      </w:r>
      <w:r w:rsidRPr="003E0759" w:rsidR="00155E87">
        <w:rPr>
          <w:szCs w:val="22"/>
          <w:shd w:val="clear" w:color="auto" w:fill="FFFFFF"/>
        </w:rPr>
        <w:t xml:space="preserve">  With regard to outage notifications that are required to be provided to </w:t>
      </w:r>
      <w:r w:rsidRPr="003E0759" w:rsidR="00F370D6">
        <w:rPr>
          <w:szCs w:val="22"/>
          <w:shd w:val="clear" w:color="auto" w:fill="FFFFFF"/>
        </w:rPr>
        <w:t>988</w:t>
      </w:r>
      <w:r w:rsidRPr="003E0759" w:rsidR="00155E87">
        <w:rPr>
          <w:szCs w:val="22"/>
          <w:shd w:val="clear" w:color="auto" w:fill="FFFFFF"/>
        </w:rPr>
        <w:t xml:space="preserve"> special facilities, the Commission recognized that </w:t>
      </w:r>
      <w:r w:rsidR="00F340B5">
        <w:rPr>
          <w:szCs w:val="22"/>
          <w:shd w:val="clear" w:color="auto" w:fill="FFFFFF"/>
        </w:rPr>
        <w:t>OSPs</w:t>
      </w:r>
      <w:r w:rsidRPr="003E0759" w:rsidR="00155E87">
        <w:rPr>
          <w:szCs w:val="22"/>
          <w:shd w:val="clear" w:color="auto" w:fill="FFFFFF"/>
        </w:rPr>
        <w:t xml:space="preserve"> are already required to report voice service outages in NORS, regardless of a call’s destination and would not be required to</w:t>
      </w:r>
      <w:r w:rsidRPr="003E0759" w:rsidR="00371EAB">
        <w:rPr>
          <w:szCs w:val="22"/>
          <w:shd w:val="clear" w:color="auto" w:fill="FFFFFF"/>
        </w:rPr>
        <w:t xml:space="preserve"> submit</w:t>
      </w:r>
      <w:r w:rsidRPr="003E0759" w:rsidR="00155E87">
        <w:rPr>
          <w:szCs w:val="22"/>
          <w:shd w:val="clear" w:color="auto" w:fill="FFFFFF"/>
        </w:rPr>
        <w:t xml:space="preserve"> duplicative reports for those outages.</w:t>
      </w:r>
      <w:r>
        <w:rPr>
          <w:rStyle w:val="FootnoteReference"/>
          <w:szCs w:val="22"/>
          <w:shd w:val="clear" w:color="auto" w:fill="FFFFFF"/>
        </w:rPr>
        <w:footnoteReference w:id="30"/>
      </w:r>
    </w:p>
    <w:p w:rsidR="00D42FF3" w:rsidRPr="003E0759" w:rsidP="00953262" w14:paraId="60B4414B" w14:textId="0D6E6463">
      <w:pPr>
        <w:spacing w:after="120"/>
        <w:rPr>
          <w:b/>
          <w:szCs w:val="22"/>
          <w:shd w:val="clear" w:color="auto" w:fill="FFFFFF"/>
        </w:rPr>
      </w:pPr>
      <w:r w:rsidRPr="003E0759">
        <w:rPr>
          <w:b/>
          <w:szCs w:val="22"/>
          <w:shd w:val="clear" w:color="auto" w:fill="FFFFFF"/>
        </w:rPr>
        <w:t>5.</w:t>
      </w:r>
      <w:r w:rsidRPr="003E0759">
        <w:rPr>
          <w:szCs w:val="22"/>
          <w:shd w:val="clear" w:color="auto" w:fill="FFFFFF"/>
        </w:rPr>
        <w:t xml:space="preserve"> </w:t>
      </w:r>
      <w:r w:rsidRPr="003E0759">
        <w:rPr>
          <w:b/>
          <w:szCs w:val="22"/>
          <w:shd w:val="clear" w:color="auto" w:fill="FFFFFF"/>
        </w:rPr>
        <w:t>If the collection of information impacts small businesses or other small entities, describe any methods used to minimize burden.</w:t>
      </w:r>
    </w:p>
    <w:p w:rsidR="00DC2FE5" w:rsidP="00953262" w14:paraId="72D0904A" w14:textId="27D84DA9">
      <w:pPr>
        <w:spacing w:after="120"/>
        <w:ind w:firstLine="720"/>
        <w:rPr>
          <w:szCs w:val="22"/>
        </w:rPr>
      </w:pPr>
      <w:r w:rsidRPr="003E0759">
        <w:rPr>
          <w:szCs w:val="22"/>
          <w:shd w:val="clear" w:color="auto" w:fill="FFFFFF"/>
        </w:rPr>
        <w:t xml:space="preserve">The Commission does not relieve small </w:t>
      </w:r>
      <w:r w:rsidRPr="003E0759" w:rsidR="00530C06">
        <w:rPr>
          <w:szCs w:val="22"/>
          <w:shd w:val="clear" w:color="auto" w:fill="FFFFFF"/>
        </w:rPr>
        <w:t>entities</w:t>
      </w:r>
      <w:r w:rsidRPr="003E0759">
        <w:rPr>
          <w:szCs w:val="22"/>
          <w:shd w:val="clear" w:color="auto" w:fill="FFFFFF"/>
        </w:rPr>
        <w:t>, in whole or in part, from the outage reporting</w:t>
      </w:r>
      <w:r w:rsidRPr="003E0759" w:rsidR="00383BCE">
        <w:rPr>
          <w:szCs w:val="22"/>
          <w:shd w:val="clear" w:color="auto" w:fill="FFFFFF"/>
        </w:rPr>
        <w:t xml:space="preserve"> obligations</w:t>
      </w:r>
      <w:r w:rsidRPr="003E0759" w:rsidR="002B2AAB">
        <w:rPr>
          <w:szCs w:val="22"/>
          <w:shd w:val="clear" w:color="auto" w:fill="FFFFFF"/>
        </w:rPr>
        <w:t>,</w:t>
      </w:r>
      <w:r w:rsidRPr="003E0759" w:rsidR="002F4A9C">
        <w:rPr>
          <w:szCs w:val="22"/>
          <w:shd w:val="clear" w:color="auto" w:fill="FFFFFF"/>
        </w:rPr>
        <w:t xml:space="preserve"> </w:t>
      </w:r>
      <w:r w:rsidRPr="003E0759" w:rsidR="00216234">
        <w:rPr>
          <w:szCs w:val="22"/>
          <w:shd w:val="clear" w:color="auto" w:fill="FFFFFF"/>
        </w:rPr>
        <w:t xml:space="preserve">911 </w:t>
      </w:r>
      <w:r w:rsidRPr="003E0759" w:rsidR="00383BCE">
        <w:rPr>
          <w:szCs w:val="22"/>
          <w:shd w:val="clear" w:color="auto" w:fill="FFFFFF"/>
        </w:rPr>
        <w:t xml:space="preserve">and 988 </w:t>
      </w:r>
      <w:r w:rsidRPr="003E0759" w:rsidR="00216234">
        <w:rPr>
          <w:szCs w:val="22"/>
          <w:shd w:val="clear" w:color="auto" w:fill="FFFFFF"/>
        </w:rPr>
        <w:t xml:space="preserve">special facility notification </w:t>
      </w:r>
      <w:r w:rsidRPr="003E0759">
        <w:rPr>
          <w:szCs w:val="22"/>
          <w:shd w:val="clear" w:color="auto" w:fill="FFFFFF"/>
        </w:rPr>
        <w:t>obligations</w:t>
      </w:r>
      <w:r w:rsidRPr="003E0759" w:rsidR="002B2AAB">
        <w:rPr>
          <w:szCs w:val="22"/>
          <w:shd w:val="clear" w:color="auto" w:fill="FFFFFF"/>
        </w:rPr>
        <w:t xml:space="preserve">, </w:t>
      </w:r>
      <w:r w:rsidRPr="003E0759" w:rsidR="00530C06">
        <w:rPr>
          <w:szCs w:val="22"/>
          <w:shd w:val="clear" w:color="auto" w:fill="FFFFFF"/>
        </w:rPr>
        <w:t xml:space="preserve">or </w:t>
      </w:r>
      <w:r w:rsidRPr="003E0759" w:rsidR="002B2AAB">
        <w:rPr>
          <w:szCs w:val="22"/>
          <w:shd w:val="clear" w:color="auto" w:fill="FFFFFF"/>
        </w:rPr>
        <w:t>NORS-DIRS information sharing obligations</w:t>
      </w:r>
      <w:r w:rsidRPr="003E0759">
        <w:rPr>
          <w:szCs w:val="22"/>
          <w:shd w:val="clear" w:color="auto" w:fill="FFFFFF"/>
        </w:rPr>
        <w:t xml:space="preserve">.  </w:t>
      </w:r>
      <w:r w:rsidRPr="003E0759" w:rsidR="00530C06">
        <w:rPr>
          <w:szCs w:val="22"/>
          <w:shd w:val="clear" w:color="auto" w:fill="FFFFFF"/>
        </w:rPr>
        <w:t xml:space="preserve">However, the Commission explained in the </w:t>
      </w:r>
      <w:r w:rsidRPr="003E0759" w:rsidR="00530C06">
        <w:rPr>
          <w:szCs w:val="22"/>
        </w:rPr>
        <w:t xml:space="preserve">Final Regulatory Flexibility Analysis (FRFA) that accompanied the </w:t>
      </w:r>
      <w:r w:rsidRPr="003E0759" w:rsidR="00530C06">
        <w:rPr>
          <w:i/>
          <w:szCs w:val="22"/>
        </w:rPr>
        <w:t>Report and Order</w:t>
      </w:r>
      <w:r w:rsidRPr="003E0759" w:rsidR="00530C06">
        <w:rPr>
          <w:szCs w:val="22"/>
          <w:shd w:val="clear" w:color="auto" w:fill="FFFFFF"/>
        </w:rPr>
        <w:t xml:space="preserve"> and </w:t>
      </w:r>
      <w:r w:rsidRPr="003E0759" w:rsidR="00530C06">
        <w:rPr>
          <w:i/>
          <w:szCs w:val="22"/>
          <w:shd w:val="clear" w:color="auto" w:fill="FFFFFF"/>
        </w:rPr>
        <w:t>Order on Reconsideration</w:t>
      </w:r>
      <w:r w:rsidRPr="003E0759" w:rsidR="00530C06">
        <w:rPr>
          <w:szCs w:val="22"/>
          <w:shd w:val="clear" w:color="auto" w:fill="FFFFFF"/>
        </w:rPr>
        <w:t xml:space="preserve"> adopted in 2016, that the agency </w:t>
      </w:r>
      <w:r w:rsidRPr="003E0759" w:rsidR="00530C06">
        <w:rPr>
          <w:szCs w:val="22"/>
        </w:rPr>
        <w:t>believed that the “outage reporting triggers are set sufficiently high as to make it unlikely that small businesses would be impacted significantly by the final rules.”</w:t>
      </w:r>
      <w:r>
        <w:rPr>
          <w:rStyle w:val="FootnoteReference"/>
          <w:szCs w:val="22"/>
        </w:rPr>
        <w:footnoteReference w:id="31"/>
      </w:r>
      <w:r w:rsidRPr="003E0759" w:rsidR="00530C06">
        <w:t xml:space="preserve">  </w:t>
      </w:r>
      <w:r w:rsidRPr="003E0759" w:rsidR="00530C06">
        <w:rPr>
          <w:szCs w:val="22"/>
          <w:shd w:val="clear" w:color="auto" w:fill="FFFFFF"/>
        </w:rPr>
        <w:t>T</w:t>
      </w:r>
      <w:r w:rsidRPr="003E0759">
        <w:rPr>
          <w:szCs w:val="22"/>
          <w:shd w:val="clear" w:color="auto" w:fill="FFFFFF"/>
        </w:rPr>
        <w:t xml:space="preserve">he Commission </w:t>
      </w:r>
      <w:r w:rsidRPr="003E0759" w:rsidR="00530C06">
        <w:rPr>
          <w:szCs w:val="22"/>
          <w:shd w:val="clear" w:color="auto" w:fill="FFFFFF"/>
        </w:rPr>
        <w:t xml:space="preserve">also </w:t>
      </w:r>
      <w:r w:rsidRPr="003E0759">
        <w:rPr>
          <w:szCs w:val="22"/>
          <w:shd w:val="clear" w:color="auto" w:fill="FFFFFF"/>
        </w:rPr>
        <w:t xml:space="preserve">explained in the </w:t>
      </w:r>
      <w:r w:rsidRPr="003E0759">
        <w:rPr>
          <w:szCs w:val="22"/>
        </w:rPr>
        <w:t>Final Regulatory Flexibility Analys</w:t>
      </w:r>
      <w:r w:rsidRPr="003E0759" w:rsidR="00383BCE">
        <w:rPr>
          <w:szCs w:val="22"/>
        </w:rPr>
        <w:t>e</w:t>
      </w:r>
      <w:r w:rsidRPr="003E0759">
        <w:rPr>
          <w:szCs w:val="22"/>
        </w:rPr>
        <w:t>s (FRFA</w:t>
      </w:r>
      <w:r w:rsidRPr="003E0759" w:rsidR="00383BCE">
        <w:rPr>
          <w:szCs w:val="22"/>
        </w:rPr>
        <w:t>s</w:t>
      </w:r>
      <w:r w:rsidRPr="003E0759">
        <w:rPr>
          <w:szCs w:val="22"/>
        </w:rPr>
        <w:t xml:space="preserve">) that accompanied </w:t>
      </w:r>
      <w:r w:rsidRPr="003E0759" w:rsidR="00383BCE">
        <w:rPr>
          <w:szCs w:val="22"/>
        </w:rPr>
        <w:t xml:space="preserve">both </w:t>
      </w:r>
      <w:r w:rsidRPr="003E0759">
        <w:rPr>
          <w:szCs w:val="22"/>
        </w:rPr>
        <w:t xml:space="preserve">the </w:t>
      </w:r>
      <w:r w:rsidRPr="003E0759" w:rsidR="00277BE9">
        <w:rPr>
          <w:i/>
          <w:szCs w:val="22"/>
        </w:rPr>
        <w:t xml:space="preserve">2022 </w:t>
      </w:r>
      <w:r w:rsidRPr="003E0759" w:rsidR="00CA1B3C">
        <w:rPr>
          <w:i/>
          <w:szCs w:val="22"/>
        </w:rPr>
        <w:t xml:space="preserve">Second </w:t>
      </w:r>
      <w:r w:rsidRPr="003E0759">
        <w:rPr>
          <w:i/>
          <w:szCs w:val="22"/>
        </w:rPr>
        <w:t>Report and Order</w:t>
      </w:r>
      <w:r w:rsidRPr="003E0759">
        <w:rPr>
          <w:szCs w:val="22"/>
          <w:shd w:val="clear" w:color="auto" w:fill="FFFFFF"/>
        </w:rPr>
        <w:t xml:space="preserve"> </w:t>
      </w:r>
      <w:r w:rsidRPr="003E0759" w:rsidR="00383BCE">
        <w:rPr>
          <w:szCs w:val="22"/>
          <w:shd w:val="clear" w:color="auto" w:fill="FFFFFF"/>
        </w:rPr>
        <w:t xml:space="preserve">and the </w:t>
      </w:r>
      <w:r w:rsidRPr="003E0759" w:rsidR="00383BCE">
        <w:rPr>
          <w:i/>
          <w:iCs/>
          <w:szCs w:val="22"/>
          <w:shd w:val="clear" w:color="auto" w:fill="FFFFFF"/>
        </w:rPr>
        <w:t>2023 Report and Order</w:t>
      </w:r>
      <w:r w:rsidRPr="003E0759" w:rsidR="00383BCE">
        <w:rPr>
          <w:szCs w:val="22"/>
          <w:shd w:val="clear" w:color="auto" w:fill="FFFFFF"/>
        </w:rPr>
        <w:t xml:space="preserve"> </w:t>
      </w:r>
      <w:r w:rsidRPr="003E0759" w:rsidR="008D6C4F">
        <w:rPr>
          <w:szCs w:val="22"/>
          <w:shd w:val="clear" w:color="auto" w:fill="FFFFFF"/>
        </w:rPr>
        <w:t xml:space="preserve">that it is </w:t>
      </w:r>
      <w:r w:rsidRPr="003E0759" w:rsidR="00E02F05">
        <w:rPr>
          <w:szCs w:val="22"/>
        </w:rPr>
        <w:t xml:space="preserve">not in a position to determine whether these new rules will require small entities to hire attorneys, engineers, consultants, or other professionals, but note that </w:t>
      </w:r>
      <w:r w:rsidRPr="003E0759" w:rsidR="00383BCE">
        <w:rPr>
          <w:szCs w:val="22"/>
        </w:rPr>
        <w:t xml:space="preserve">some </w:t>
      </w:r>
      <w:r w:rsidRPr="003E0759" w:rsidR="00E02F05">
        <w:rPr>
          <w:szCs w:val="22"/>
        </w:rPr>
        <w:t>service providers already perform measures that contribute to their ability to comply with these requirements.</w:t>
      </w:r>
      <w:r>
        <w:rPr>
          <w:rStyle w:val="FootnoteReference"/>
          <w:szCs w:val="22"/>
        </w:rPr>
        <w:footnoteReference w:id="32"/>
      </w:r>
      <w:r w:rsidRPr="003E0759" w:rsidR="00E02F05">
        <w:rPr>
          <w:szCs w:val="22"/>
        </w:rPr>
        <w:t xml:space="preserve"> </w:t>
      </w:r>
      <w:r w:rsidRPr="003E0759" w:rsidR="002D70EF">
        <w:rPr>
          <w:szCs w:val="22"/>
        </w:rPr>
        <w:t xml:space="preserve"> </w:t>
      </w:r>
      <w:r w:rsidR="005436B1">
        <w:rPr>
          <w:szCs w:val="22"/>
        </w:rPr>
        <w:t xml:space="preserve">In addition, </w:t>
      </w:r>
      <w:r w:rsidR="002F485D">
        <w:rPr>
          <w:szCs w:val="22"/>
        </w:rPr>
        <w:t xml:space="preserve">as noted by </w:t>
      </w:r>
      <w:r w:rsidR="005436B1">
        <w:rPr>
          <w:szCs w:val="22"/>
        </w:rPr>
        <w:t xml:space="preserve">the Commission </w:t>
      </w:r>
      <w:r w:rsidR="00C93BE7">
        <w:rPr>
          <w:szCs w:val="22"/>
        </w:rPr>
        <w:t xml:space="preserve">in the </w:t>
      </w:r>
      <w:r w:rsidRPr="003D6D15" w:rsidR="00272C67">
        <w:rPr>
          <w:i/>
          <w:iCs/>
          <w:szCs w:val="22"/>
        </w:rPr>
        <w:t>2024 Order on Reconsideration</w:t>
      </w:r>
      <w:r w:rsidR="00272C67">
        <w:rPr>
          <w:szCs w:val="22"/>
        </w:rPr>
        <w:t xml:space="preserve">, </w:t>
      </w:r>
      <w:r w:rsidR="00C93BE7">
        <w:rPr>
          <w:szCs w:val="22"/>
        </w:rPr>
        <w:t xml:space="preserve">outage notification reconsideration order that the burden on smaller carriers to provide notifications is </w:t>
      </w:r>
      <w:r w:rsidR="001A06E8">
        <w:rPr>
          <w:szCs w:val="22"/>
        </w:rPr>
        <w:t xml:space="preserve">likely to be less than for larger carriers because the notification requirement is based </w:t>
      </w:r>
      <w:r w:rsidR="00893B29">
        <w:rPr>
          <w:szCs w:val="22"/>
        </w:rPr>
        <w:t xml:space="preserve">in part on </w:t>
      </w:r>
      <w:r w:rsidR="001A06E8">
        <w:rPr>
          <w:szCs w:val="22"/>
        </w:rPr>
        <w:t xml:space="preserve">the potential user minutes impacted.  </w:t>
      </w:r>
      <w:r w:rsidR="0099140C">
        <w:rPr>
          <w:szCs w:val="22"/>
        </w:rPr>
        <w:t>Because s</w:t>
      </w:r>
      <w:r w:rsidR="001A06E8">
        <w:rPr>
          <w:szCs w:val="22"/>
        </w:rPr>
        <w:t xml:space="preserve">maller carriers </w:t>
      </w:r>
      <w:r w:rsidR="00205411">
        <w:rPr>
          <w:szCs w:val="22"/>
        </w:rPr>
        <w:t xml:space="preserve">serve few customers, </w:t>
      </w:r>
      <w:r w:rsidR="002F485D">
        <w:rPr>
          <w:szCs w:val="22"/>
        </w:rPr>
        <w:t>they would need to experience a longer outage to reach the user-minute threshold required for notification, which provides the carrier with more time to investigate the outage before it is reportable.</w:t>
      </w:r>
      <w:r>
        <w:rPr>
          <w:rStyle w:val="FootnoteReference"/>
          <w:szCs w:val="22"/>
        </w:rPr>
        <w:footnoteReference w:id="33"/>
      </w:r>
    </w:p>
    <w:p w:rsidR="004103E1" w:rsidRPr="003E0759" w:rsidP="00953262" w14:paraId="3169D29A" w14:textId="29C553EA">
      <w:pPr>
        <w:spacing w:after="120"/>
        <w:ind w:firstLine="720"/>
        <w:rPr>
          <w:szCs w:val="22"/>
        </w:rPr>
      </w:pPr>
      <w:r>
        <w:rPr>
          <w:szCs w:val="22"/>
        </w:rPr>
        <w:t xml:space="preserve">We </w:t>
      </w:r>
      <w:r w:rsidR="0016056F">
        <w:rPr>
          <w:szCs w:val="22"/>
        </w:rPr>
        <w:t>note that</w:t>
      </w:r>
      <w:r w:rsidR="00DC2FE5">
        <w:rPr>
          <w:szCs w:val="22"/>
        </w:rPr>
        <w:t xml:space="preserve"> </w:t>
      </w:r>
      <w:r w:rsidRPr="003E0759" w:rsidR="00831440">
        <w:rPr>
          <w:szCs w:val="22"/>
        </w:rPr>
        <w:t xml:space="preserve">the requirement </w:t>
      </w:r>
      <w:r w:rsidRPr="003E0759" w:rsidR="000A016D">
        <w:rPr>
          <w:szCs w:val="22"/>
        </w:rPr>
        <w:t>to notify 911 special facilities of outages</w:t>
      </w:r>
      <w:r w:rsidRPr="003E0759" w:rsidR="00974BAC">
        <w:rPr>
          <w:szCs w:val="22"/>
        </w:rPr>
        <w:t xml:space="preserve"> </w:t>
      </w:r>
      <w:r w:rsidRPr="003E0759" w:rsidR="000A016D">
        <w:rPr>
          <w:szCs w:val="22"/>
        </w:rPr>
        <w:t>w</w:t>
      </w:r>
      <w:r w:rsidRPr="003E0759" w:rsidR="00974BAC">
        <w:rPr>
          <w:szCs w:val="22"/>
        </w:rPr>
        <w:t>as</w:t>
      </w:r>
      <w:r w:rsidRPr="003E0759" w:rsidR="000A016D">
        <w:rPr>
          <w:szCs w:val="22"/>
        </w:rPr>
        <w:t xml:space="preserve"> </w:t>
      </w:r>
      <w:r w:rsidRPr="003E0759" w:rsidR="00831440">
        <w:rPr>
          <w:szCs w:val="22"/>
        </w:rPr>
        <w:t>already in place</w:t>
      </w:r>
      <w:r w:rsidRPr="003E0759" w:rsidR="00F10EDF">
        <w:rPr>
          <w:szCs w:val="22"/>
        </w:rPr>
        <w:t xml:space="preserve">, and therefore, </w:t>
      </w:r>
      <w:r w:rsidRPr="003E0759" w:rsidR="007945F1">
        <w:rPr>
          <w:szCs w:val="22"/>
        </w:rPr>
        <w:t xml:space="preserve">small entity providers </w:t>
      </w:r>
      <w:r w:rsidRPr="003E0759" w:rsidR="00F10EDF">
        <w:rPr>
          <w:color w:val="000000"/>
          <w:szCs w:val="22"/>
        </w:rPr>
        <w:t>should be familiar with the existing requirements and have comparable operational processes and procedures already in place</w:t>
      </w:r>
      <w:r w:rsidRPr="003E0759" w:rsidR="000A016D">
        <w:rPr>
          <w:szCs w:val="22"/>
        </w:rPr>
        <w:t xml:space="preserve">.  </w:t>
      </w:r>
      <w:r w:rsidRPr="003E0759" w:rsidR="00E411BA">
        <w:rPr>
          <w:szCs w:val="22"/>
        </w:rPr>
        <w:t>S</w:t>
      </w:r>
      <w:r w:rsidRPr="003E0759" w:rsidR="007945F1">
        <w:rPr>
          <w:szCs w:val="22"/>
        </w:rPr>
        <w:t xml:space="preserve">ome OSPs may already offer follow-up notifications to 911 special facilities and may regularly elicit and verify 911 special facility contact information to make their outage notifications more </w:t>
      </w:r>
      <w:r w:rsidRPr="003E0759" w:rsidR="00A67AF4">
        <w:rPr>
          <w:szCs w:val="22"/>
        </w:rPr>
        <w:t xml:space="preserve">timely and </w:t>
      </w:r>
      <w:r w:rsidRPr="003E0759" w:rsidR="007945F1">
        <w:rPr>
          <w:szCs w:val="22"/>
        </w:rPr>
        <w:t xml:space="preserve">accurate.  </w:t>
      </w:r>
      <w:r w:rsidRPr="003E0759">
        <w:t xml:space="preserve">The elements for 911 special facility outage notifications largely track the NRSC Task Force’s template.  Therefore, to the extent small entities have or will implement the ATIS NRSC Task Force’s template, compliance with the Commission’s rules should not impose significant additional costs.  The adopted approach establishes a baseline expectation of shared information while otherwise preserving flexibility for service providers to determine the means by which they present this information to 911 special facilities.  </w:t>
      </w:r>
      <w:r w:rsidRPr="003E0759" w:rsidR="00422400">
        <w:rPr>
          <w:szCs w:val="22"/>
        </w:rPr>
        <w:t xml:space="preserve">To the extent that small businesses and entities already satisfy the new requirements, there will be no additional burden. </w:t>
      </w:r>
      <w:r w:rsidRPr="003E0759" w:rsidR="00326217">
        <w:rPr>
          <w:szCs w:val="22"/>
        </w:rPr>
        <w:t xml:space="preserve"> </w:t>
      </w:r>
      <w:r w:rsidRPr="003E0759" w:rsidR="000A016D">
        <w:rPr>
          <w:szCs w:val="22"/>
        </w:rPr>
        <w:t>T</w:t>
      </w:r>
      <w:r w:rsidRPr="003E0759" w:rsidR="00831440">
        <w:rPr>
          <w:szCs w:val="22"/>
        </w:rPr>
        <w:t>he nom</w:t>
      </w:r>
      <w:r w:rsidRPr="003E0759" w:rsidR="000A6172">
        <w:rPr>
          <w:szCs w:val="22"/>
        </w:rPr>
        <w:t xml:space="preserve">inal increase in the level of detail required for </w:t>
      </w:r>
      <w:r w:rsidRPr="003E0759" w:rsidR="002B4E91">
        <w:rPr>
          <w:szCs w:val="22"/>
        </w:rPr>
        <w:t xml:space="preserve">certain aspects of these notifications will not </w:t>
      </w:r>
      <w:r w:rsidRPr="003E0759" w:rsidR="002B4E91">
        <w:rPr>
          <w:szCs w:val="22"/>
        </w:rPr>
        <w:t xml:space="preserve">unduly burden small entities.  </w:t>
      </w:r>
      <w:r w:rsidRPr="003E0759">
        <w:rPr>
          <w:szCs w:val="22"/>
        </w:rPr>
        <w:t>Lastly, t</w:t>
      </w:r>
      <w:r w:rsidRPr="003E0759">
        <w:t>he Commission does not specify the particular procedures that service providers must develop or follow to elicit 911 special facility contact information</w:t>
      </w:r>
      <w:r w:rsidR="00B61C27">
        <w:t>.</w:t>
      </w:r>
    </w:p>
    <w:p w:rsidR="00383BCE" w:rsidRPr="003E0759" w:rsidP="00953262" w14:paraId="4E0FD85E" w14:textId="46BF3BE6">
      <w:pPr>
        <w:spacing w:after="120"/>
        <w:ind w:firstLine="720"/>
        <w:rPr>
          <w:szCs w:val="22"/>
        </w:rPr>
      </w:pPr>
      <w:r w:rsidRPr="003E0759">
        <w:rPr>
          <w:szCs w:val="22"/>
        </w:rPr>
        <w:t xml:space="preserve">For the rules adopted in the </w:t>
      </w:r>
      <w:r w:rsidRPr="003E0759">
        <w:rPr>
          <w:i/>
          <w:iCs/>
          <w:szCs w:val="22"/>
        </w:rPr>
        <w:t>2023 Report and Order</w:t>
      </w:r>
      <w:r w:rsidRPr="003E0759">
        <w:rPr>
          <w:szCs w:val="22"/>
        </w:rPr>
        <w:t xml:space="preserve">, the Commission adopted </w:t>
      </w:r>
      <w:r w:rsidRPr="003E0759">
        <w:t>requirements that closely track existing requirements related to 911 outage reporting and notification</w:t>
      </w:r>
      <w:r w:rsidRPr="003E0759" w:rsidR="0057152F">
        <w:t>,</w:t>
      </w:r>
      <w:r w:rsidRPr="003E0759">
        <w:t xml:space="preserve"> which should minimize some economic impact of compliance for small entities.  The Commission also minimized the economic impact for small entities </w:t>
      </w:r>
      <w:r w:rsidRPr="003E0759" w:rsidR="001A3F91">
        <w:t xml:space="preserve">by </w:t>
      </w:r>
      <w:r w:rsidRPr="003E0759">
        <w:t>allowing additional time for compliance for those covered 988 service providers that may not have existing NORS filing or outage notification obligations.</w:t>
      </w:r>
    </w:p>
    <w:p w:rsidR="00D66B3F" w:rsidRPr="003E0759" w:rsidP="007745D1" w14:paraId="71EDE57B" w14:textId="633EAE5A">
      <w:pPr>
        <w:pStyle w:val="ParaNum"/>
        <w:widowControl/>
        <w:numPr>
          <w:ilvl w:val="0"/>
          <w:numId w:val="0"/>
        </w:numPr>
        <w:ind w:firstLine="720"/>
        <w:rPr>
          <w:color w:val="000000"/>
        </w:rPr>
      </w:pPr>
      <w:r w:rsidRPr="003E0759">
        <w:rPr>
          <w:szCs w:val="22"/>
        </w:rPr>
        <w:t xml:space="preserve">With regard to </w:t>
      </w:r>
      <w:r w:rsidRPr="003E0759">
        <w:t>Participating Agencies, the Commission maximizes flexibility and reduces potential costs of compliance by allowing agencies to develop their own training program or rely on an outside training program that covers, at a minimum, each of the required “program elements,” and providing agencies with a single form to make the required certifications and acknowledgments required for direct access to NORS.</w:t>
      </w:r>
    </w:p>
    <w:p w:rsidR="00D42FF3" w:rsidRPr="003E0759" w:rsidP="00953262" w14:paraId="35D69033" w14:textId="77777777">
      <w:pPr>
        <w:spacing w:after="120"/>
        <w:rPr>
          <w:b/>
          <w:szCs w:val="22"/>
          <w:shd w:val="clear" w:color="auto" w:fill="FFFFFF"/>
        </w:rPr>
      </w:pPr>
      <w:r w:rsidRPr="003E0759">
        <w:rPr>
          <w:b/>
          <w:szCs w:val="22"/>
          <w:shd w:val="clear" w:color="auto" w:fill="FFFFFF"/>
        </w:rPr>
        <w:t>6.  Describe the consequence</w:t>
      </w:r>
      <w:r w:rsidRPr="003E0759" w:rsidR="00B460D9">
        <w:rPr>
          <w:b/>
          <w:szCs w:val="22"/>
          <w:shd w:val="clear" w:color="auto" w:fill="FFFFFF"/>
        </w:rPr>
        <w:t>s</w:t>
      </w:r>
      <w:r w:rsidRPr="003E0759">
        <w:rPr>
          <w:b/>
          <w:szCs w:val="22"/>
          <w:shd w:val="clear" w:color="auto" w:fill="FFFFFF"/>
        </w:rPr>
        <w:t xml:space="preserve"> to </w:t>
      </w:r>
      <w:r w:rsidRPr="003E0759" w:rsidR="00B460D9">
        <w:rPr>
          <w:b/>
          <w:szCs w:val="22"/>
          <w:shd w:val="clear" w:color="auto" w:fill="FFFFFF"/>
        </w:rPr>
        <w:t xml:space="preserve">a </w:t>
      </w:r>
      <w:r w:rsidRPr="003E0759">
        <w:rPr>
          <w:b/>
          <w:szCs w:val="22"/>
          <w:shd w:val="clear" w:color="auto" w:fill="FFFFFF"/>
        </w:rPr>
        <w:t>Fede</w:t>
      </w:r>
      <w:r w:rsidRPr="003E0759" w:rsidR="00B460D9">
        <w:rPr>
          <w:b/>
          <w:szCs w:val="22"/>
          <w:shd w:val="clear" w:color="auto" w:fill="FFFFFF"/>
        </w:rPr>
        <w:t>ral program or policy activity,</w:t>
      </w:r>
      <w:r w:rsidRPr="003E0759">
        <w:rPr>
          <w:b/>
          <w:szCs w:val="22"/>
          <w:shd w:val="clear" w:color="auto" w:fill="FFFFFF"/>
        </w:rPr>
        <w:t xml:space="preserve"> if the collection is not conducted or is conducted less frequently, as well as any technica</w:t>
      </w:r>
      <w:r w:rsidRPr="003E0759" w:rsidR="00B460D9">
        <w:rPr>
          <w:b/>
          <w:szCs w:val="22"/>
          <w:shd w:val="clear" w:color="auto" w:fill="FFFFFF"/>
        </w:rPr>
        <w:t>l or legal obstacles to reduce</w:t>
      </w:r>
      <w:r w:rsidRPr="003E0759">
        <w:rPr>
          <w:b/>
          <w:szCs w:val="22"/>
          <w:shd w:val="clear" w:color="auto" w:fill="FFFFFF"/>
        </w:rPr>
        <w:t xml:space="preserve"> burden.</w:t>
      </w:r>
    </w:p>
    <w:p w:rsidR="005E6A8D" w:rsidP="006539B0" w14:paraId="05F50BB1" w14:textId="53C9AC61">
      <w:pPr>
        <w:ind w:firstLine="720"/>
        <w:rPr>
          <w:szCs w:val="22"/>
        </w:rPr>
      </w:pPr>
      <w:r w:rsidRPr="003E0759">
        <w:rPr>
          <w:szCs w:val="22"/>
        </w:rPr>
        <w:t xml:space="preserve">The </w:t>
      </w:r>
      <w:r w:rsidRPr="003E0759" w:rsidR="00507262">
        <w:rPr>
          <w:szCs w:val="22"/>
        </w:rPr>
        <w:t>Commission</w:t>
      </w:r>
      <w:r w:rsidRPr="003E0759">
        <w:rPr>
          <w:szCs w:val="22"/>
        </w:rPr>
        <w:t xml:space="preserve"> has a statutory mandate to “promot[e] the safety of life and property through the use of wire and radio communications,”</w:t>
      </w:r>
      <w:r>
        <w:rPr>
          <w:rStyle w:val="FootnoteReference"/>
          <w:szCs w:val="22"/>
        </w:rPr>
        <w:footnoteReference w:id="34"/>
      </w:r>
      <w:r w:rsidRPr="003E0759">
        <w:rPr>
          <w:szCs w:val="22"/>
        </w:rPr>
        <w:t xml:space="preserve"> and Congress has delegated to the Commission specific responsibilities to “designate 911 as the universal emergency telephone number for reporting an emergency to appropriate authorities and requesting assistance.”</w:t>
      </w:r>
      <w:r>
        <w:rPr>
          <w:rStyle w:val="FootnoteReference"/>
          <w:szCs w:val="22"/>
        </w:rPr>
        <w:footnoteReference w:id="35"/>
      </w:r>
      <w:r w:rsidRPr="003E0759">
        <w:rPr>
          <w:szCs w:val="22"/>
        </w:rPr>
        <w:t xml:space="preserve">  </w:t>
      </w:r>
      <w:r w:rsidRPr="003E0759" w:rsidR="001A3F91">
        <w:rPr>
          <w:szCs w:val="22"/>
        </w:rPr>
        <w:t xml:space="preserve">Similarly, </w:t>
      </w:r>
      <w:r w:rsidRPr="003E0759" w:rsidR="001A3F91">
        <w:t>Congress has also amended section 251 of the Communications Act of 1934 to specify 988 as the universal telephone number for the National Suicide Prevention Lifeline.</w:t>
      </w:r>
      <w:r>
        <w:rPr>
          <w:rStyle w:val="FootnoteReference"/>
        </w:rPr>
        <w:footnoteReference w:id="36"/>
      </w:r>
      <w:r w:rsidRPr="003E0759" w:rsidR="001A3F91">
        <w:t xml:space="preserve">  </w:t>
      </w:r>
      <w:r w:rsidRPr="000C602B" w:rsidR="000C602B">
        <w:rPr>
          <w:szCs w:val="22"/>
        </w:rPr>
        <w:t>Outage reporting</w:t>
      </w:r>
      <w:r w:rsidR="00E926D0">
        <w:rPr>
          <w:szCs w:val="22"/>
        </w:rPr>
        <w:t xml:space="preserve"> via NORS</w:t>
      </w:r>
      <w:r w:rsidRPr="000C602B" w:rsidR="000C602B">
        <w:rPr>
          <w:szCs w:val="22"/>
        </w:rPr>
        <w:t xml:space="preserve">, information sharing, and notification to special facilities are critical and inter-related components of the Commission’s efforts to protect public safety by ensuring that 911 and 988 communications are as reliable and resilient as possible. </w:t>
      </w:r>
      <w:r w:rsidR="006539B0">
        <w:rPr>
          <w:szCs w:val="22"/>
        </w:rPr>
        <w:t xml:space="preserve"> </w:t>
      </w:r>
      <w:r w:rsidRPr="000C602B" w:rsidR="000C602B">
        <w:rPr>
          <w:szCs w:val="22"/>
        </w:rPr>
        <w:t xml:space="preserve"> </w:t>
      </w:r>
      <w:r w:rsidRPr="000C602B" w:rsidR="000C602B">
        <w:rPr>
          <w:szCs w:val="22"/>
          <w:shd w:val="clear" w:color="auto" w:fill="FFFFFF"/>
        </w:rPr>
        <w:t>If no reporting of outages</w:t>
      </w:r>
      <w:r w:rsidR="007E12E4">
        <w:rPr>
          <w:szCs w:val="22"/>
          <w:shd w:val="clear" w:color="auto" w:fill="FFFFFF"/>
        </w:rPr>
        <w:t xml:space="preserve"> via NORS</w:t>
      </w:r>
      <w:r w:rsidRPr="000C602B" w:rsidR="000C602B">
        <w:rPr>
          <w:szCs w:val="22"/>
          <w:shd w:val="clear" w:color="auto" w:fill="FFFFFF"/>
        </w:rPr>
        <w:t xml:space="preserve"> were to be required, the Commission would be impeded from fulfilling </w:t>
      </w:r>
      <w:r w:rsidRPr="000C602B" w:rsidR="000C602B">
        <w:rPr>
          <w:szCs w:val="22"/>
        </w:rPr>
        <w:t>its statutory obligations under the Communications Act to promote the reliability and security of the nation’s 911 networks for the benefit of all Americans.</w:t>
      </w:r>
      <w:r w:rsidR="007E12E4">
        <w:rPr>
          <w:szCs w:val="22"/>
        </w:rPr>
        <w:t xml:space="preserve">  </w:t>
      </w:r>
      <w:r w:rsidRPr="003E0759" w:rsidR="00381C83">
        <w:rPr>
          <w:szCs w:val="22"/>
        </w:rPr>
        <w:t>Outage reporting</w:t>
      </w:r>
      <w:r w:rsidRPr="003E0759" w:rsidR="00997324">
        <w:rPr>
          <w:szCs w:val="22"/>
        </w:rPr>
        <w:t xml:space="preserve"> via NORS</w:t>
      </w:r>
      <w:r w:rsidRPr="003E0759" w:rsidR="00381C83">
        <w:rPr>
          <w:szCs w:val="22"/>
        </w:rPr>
        <w:t xml:space="preserve"> provides the Commission with timely and reliable data that enables </w:t>
      </w:r>
      <w:r w:rsidRPr="003E0759" w:rsidR="00062C0C">
        <w:rPr>
          <w:szCs w:val="22"/>
        </w:rPr>
        <w:t xml:space="preserve">the Commission </w:t>
      </w:r>
      <w:r w:rsidRPr="003E0759" w:rsidR="00381C83">
        <w:rPr>
          <w:szCs w:val="22"/>
        </w:rPr>
        <w:t xml:space="preserve">to monitor the reliability of these networks. </w:t>
      </w:r>
      <w:r w:rsidRPr="003E0759" w:rsidR="00234275">
        <w:rPr>
          <w:szCs w:val="22"/>
        </w:rPr>
        <w:t xml:space="preserve"> </w:t>
      </w:r>
      <w:r w:rsidRPr="003E0759" w:rsidR="00070FB8">
        <w:rPr>
          <w:szCs w:val="22"/>
        </w:rPr>
        <w:t>Therefore, the information is collected throughout the year.</w:t>
      </w:r>
    </w:p>
    <w:p w:rsidR="007E12E4" w:rsidP="00EB661B" w14:paraId="1F1FE21F" w14:textId="77777777">
      <w:pPr>
        <w:rPr>
          <w:szCs w:val="22"/>
        </w:rPr>
      </w:pPr>
    </w:p>
    <w:p w:rsidR="00E91689" w:rsidRPr="003E0759" w:rsidP="00953262" w14:paraId="0366C1B5" w14:textId="66B65A30">
      <w:pPr>
        <w:spacing w:after="120"/>
        <w:ind w:firstLine="720"/>
        <w:rPr>
          <w:szCs w:val="22"/>
        </w:rPr>
      </w:pPr>
      <w:r>
        <w:t xml:space="preserve">Regarding Participating Agencies’ access to </w:t>
      </w:r>
      <w:r w:rsidR="00C27078">
        <w:t xml:space="preserve">provider information filed in </w:t>
      </w:r>
      <w:r>
        <w:t>NORS, i</w:t>
      </w:r>
      <w:r w:rsidRPr="003E0759" w:rsidR="00E2337E">
        <w:rPr>
          <w:szCs w:val="22"/>
        </w:rPr>
        <w:t xml:space="preserve">f this information was not collected, it would </w:t>
      </w:r>
      <w:r w:rsidRPr="003E0759" w:rsidR="00E2337E">
        <w:t>be unavailable to state, federal, local, Tribal Nation, and territorial partners a</w:t>
      </w:r>
      <w:r w:rsidR="00F30706">
        <w:t>s well as SAMHSA</w:t>
      </w:r>
      <w:r w:rsidR="00175577">
        <w:t xml:space="preserve">, the VA, and </w:t>
      </w:r>
      <w:r w:rsidRPr="003E0759" w:rsidR="00175577">
        <w:rPr>
          <w:szCs w:val="22"/>
          <w:shd w:val="clear" w:color="auto" w:fill="FFFFFF"/>
        </w:rPr>
        <w:t>the 988 Lifeline administrator</w:t>
      </w:r>
      <w:r w:rsidR="00175577">
        <w:rPr>
          <w:szCs w:val="22"/>
          <w:shd w:val="clear" w:color="auto" w:fill="FFFFFF"/>
        </w:rPr>
        <w:t>, a</w:t>
      </w:r>
      <w:r w:rsidRPr="003E0759" w:rsidR="00E2337E">
        <w:t xml:space="preserve">nd would in turn reduce their </w:t>
      </w:r>
      <w:r w:rsidRPr="003E0759" w:rsidR="00E2337E">
        <w:rPr>
          <w:szCs w:val="22"/>
          <w:shd w:val="clear" w:color="auto" w:fill="FFFFFF"/>
        </w:rPr>
        <w:t>situational awareness and ability to make informed decisions on how to direct resources in the most timely, accurate, and efficient manner possible.</w:t>
      </w:r>
      <w:r w:rsidRPr="003E0759" w:rsidR="00E2337E">
        <w:t xml:space="preserve">  I</w:t>
      </w:r>
      <w:r w:rsidR="005A2E44">
        <w:t>n addition, i</w:t>
      </w:r>
      <w:r w:rsidRPr="003E0759" w:rsidR="00E2337E">
        <w:t xml:space="preserve">f the Commission did not collect application, certification, and notification information from Participating </w:t>
      </w:r>
      <w:r w:rsidR="001A609F">
        <w:t>A</w:t>
      </w:r>
      <w:r w:rsidRPr="003E0759" w:rsidR="00E2337E">
        <w:t>gencies, there would be a greater likelihood that the sensitive information contained in NORS filings would be shared, disclosed, or used beyond what is permitted by the information sharing framework</w:t>
      </w:r>
      <w:r w:rsidRPr="003E0759" w:rsidR="005F65F3">
        <w:t>.</w:t>
      </w:r>
    </w:p>
    <w:p w:rsidR="00E2337E" w:rsidRPr="003E0759" w:rsidP="00953262" w14:paraId="640D2E0D" w14:textId="33B0F1CD">
      <w:pPr>
        <w:spacing w:after="120"/>
        <w:ind w:firstLine="720"/>
        <w:rPr>
          <w:szCs w:val="22"/>
          <w:shd w:val="clear" w:color="auto" w:fill="FFFFFF"/>
        </w:rPr>
      </w:pPr>
      <w:r>
        <w:rPr>
          <w:szCs w:val="22"/>
        </w:rPr>
        <w:t>Regarding outage notifications to special facilities, i</w:t>
      </w:r>
      <w:r w:rsidRPr="003E0759">
        <w:rPr>
          <w:szCs w:val="22"/>
        </w:rPr>
        <w:t>f</w:t>
      </w:r>
      <w:r w:rsidRPr="003E0759" w:rsidR="00ED6BE9">
        <w:rPr>
          <w:szCs w:val="22"/>
          <w:shd w:val="clear" w:color="auto" w:fill="FFFFFF"/>
        </w:rPr>
        <w:t xml:space="preserve"> </w:t>
      </w:r>
      <w:r w:rsidRPr="003E0759">
        <w:rPr>
          <w:szCs w:val="22"/>
          <w:shd w:val="clear" w:color="auto" w:fill="FFFFFF"/>
        </w:rPr>
        <w:t xml:space="preserve">911 special facilities (including PSAPs) </w:t>
      </w:r>
      <w:r w:rsidRPr="003E0759" w:rsidR="001A3F91">
        <w:rPr>
          <w:szCs w:val="22"/>
          <w:shd w:val="clear" w:color="auto" w:fill="FFFFFF"/>
        </w:rPr>
        <w:t xml:space="preserve">and 988 special facilities </w:t>
      </w:r>
      <w:r w:rsidRPr="003E0759">
        <w:rPr>
          <w:szCs w:val="22"/>
          <w:shd w:val="clear" w:color="auto" w:fill="FFFFFF"/>
        </w:rPr>
        <w:t>were notified about outages that potentially affect them less frequently</w:t>
      </w:r>
      <w:r w:rsidRPr="003E0759" w:rsidR="002A0571">
        <w:rPr>
          <w:szCs w:val="22"/>
          <w:shd w:val="clear" w:color="auto" w:fill="FFFFFF"/>
        </w:rPr>
        <w:t xml:space="preserve">, </w:t>
      </w:r>
      <w:r w:rsidRPr="003E0759">
        <w:rPr>
          <w:szCs w:val="22"/>
          <w:shd w:val="clear" w:color="auto" w:fill="FFFFFF"/>
        </w:rPr>
        <w:t xml:space="preserve">they would not have </w:t>
      </w:r>
      <w:r w:rsidRPr="003E0759" w:rsidR="004A5F4A">
        <w:rPr>
          <w:szCs w:val="22"/>
          <w:shd w:val="clear" w:color="auto" w:fill="FFFFFF"/>
        </w:rPr>
        <w:t xml:space="preserve">timely and accurate information </w:t>
      </w:r>
      <w:r w:rsidRPr="003E0759">
        <w:rPr>
          <w:szCs w:val="22"/>
          <w:shd w:val="clear" w:color="auto" w:fill="FFFFFF"/>
        </w:rPr>
        <w:t xml:space="preserve">about those outages.  </w:t>
      </w:r>
      <w:r w:rsidRPr="003E0759" w:rsidR="00C00B3E">
        <w:rPr>
          <w:szCs w:val="22"/>
          <w:shd w:val="clear" w:color="auto" w:fill="FFFFFF"/>
        </w:rPr>
        <w:t xml:space="preserve">This would significantly disrupt, if not eliminate, their ability to quickly take any necessary corrective action to provide the public with access to </w:t>
      </w:r>
      <w:r w:rsidRPr="003E0759" w:rsidR="001A3F91">
        <w:rPr>
          <w:szCs w:val="22"/>
          <w:shd w:val="clear" w:color="auto" w:fill="FFFFFF"/>
        </w:rPr>
        <w:t xml:space="preserve">lifesaving </w:t>
      </w:r>
      <w:r w:rsidRPr="003E0759" w:rsidR="00C00B3E">
        <w:rPr>
          <w:szCs w:val="22"/>
          <w:shd w:val="clear" w:color="auto" w:fill="FFFFFF"/>
        </w:rPr>
        <w:t>services.</w:t>
      </w:r>
    </w:p>
    <w:p w:rsidR="00D42FF3" w:rsidRPr="003E0759" w:rsidP="00953262" w14:paraId="0A81C12C" w14:textId="77777777">
      <w:pPr>
        <w:spacing w:after="120"/>
        <w:rPr>
          <w:b/>
          <w:szCs w:val="22"/>
          <w:shd w:val="clear" w:color="auto" w:fill="FFFFFF"/>
        </w:rPr>
      </w:pPr>
      <w:r w:rsidRPr="003E0759">
        <w:rPr>
          <w:b/>
          <w:szCs w:val="22"/>
          <w:shd w:val="clear" w:color="auto" w:fill="FFFFFF"/>
        </w:rPr>
        <w:t xml:space="preserve">7.  Explain any special circumstances that would cause an information collection to be conducted in a manner inconsistent with the criteria listed in </w:t>
      </w:r>
      <w:r w:rsidRPr="003E0759" w:rsidR="00B460D9">
        <w:rPr>
          <w:b/>
          <w:szCs w:val="22"/>
          <w:shd w:val="clear" w:color="auto" w:fill="FFFFFF"/>
        </w:rPr>
        <w:t>supporting statement</w:t>
      </w:r>
      <w:r w:rsidRPr="003E0759" w:rsidR="006379AC">
        <w:rPr>
          <w:b/>
          <w:szCs w:val="22"/>
          <w:shd w:val="clear" w:color="auto" w:fill="FFFFFF"/>
        </w:rPr>
        <w:t>.</w:t>
      </w:r>
    </w:p>
    <w:p w:rsidR="00C00B3E" w:rsidRPr="003E0759" w:rsidP="00037E73" w14:paraId="41C88745" w14:textId="561D796C">
      <w:pPr>
        <w:spacing w:after="120"/>
        <w:ind w:firstLine="720"/>
        <w:rPr>
          <w:b/>
          <w:szCs w:val="22"/>
          <w:shd w:val="clear" w:color="auto" w:fill="FFFFFF"/>
        </w:rPr>
      </w:pPr>
      <w:r w:rsidRPr="003E0759">
        <w:rPr>
          <w:szCs w:val="22"/>
          <w:shd w:val="clear" w:color="auto" w:fill="FFFFFF"/>
        </w:rPr>
        <w:t>This revised information collection is consistent with the requirements of 5 CFR § 1320 and the criteria listed in this Supporting Statement.  While the information collection requires service provider respondents to submit information at short intervals after the respondent discovers that it is experiencing an outage in its network, these respondents already monitor their networks for these service disruptions and submitting this information is accounted for in this statement.  Moreover, these respondents may submit proprietary or other sensitive information as a result of this information collection, however, the Commission treats submissions and the information contained therein as presumptively confidential.  The Commission does not anticipate circumstances that would result in a collection of information in an inconsistent manner.</w:t>
      </w:r>
    </w:p>
    <w:p w:rsidR="00AC2027" w:rsidRPr="003E0759" w:rsidP="0099701A" w14:paraId="076C65AE" w14:textId="17DFE39A">
      <w:pPr>
        <w:spacing w:after="120"/>
        <w:rPr>
          <w:b/>
          <w:szCs w:val="22"/>
          <w:shd w:val="clear" w:color="auto" w:fill="FFFFFF"/>
        </w:rPr>
      </w:pPr>
      <w:r w:rsidRPr="003E0759">
        <w:rPr>
          <w:b/>
          <w:szCs w:val="22"/>
          <w:shd w:val="clear" w:color="auto" w:fill="FFFFFF"/>
        </w:rPr>
        <w:t>8.</w:t>
      </w:r>
      <w:r w:rsidRPr="003E0759">
        <w:rPr>
          <w:szCs w:val="22"/>
          <w:shd w:val="clear" w:color="auto" w:fill="FFFFFF"/>
        </w:rPr>
        <w:t xml:space="preserve">  </w:t>
      </w:r>
      <w:r w:rsidRPr="003E0759">
        <w:rPr>
          <w:b/>
          <w:szCs w:val="22"/>
          <w:shd w:val="clear" w:color="auto" w:fill="FFFFFF"/>
        </w:rPr>
        <w:t xml:space="preserve">If applicable, provide a copy and identify the date and page number of publication in the Federal Register of the agency’s </w:t>
      </w:r>
      <w:r w:rsidRPr="003E0759" w:rsidR="009920C5">
        <w:rPr>
          <w:b/>
          <w:szCs w:val="22"/>
          <w:shd w:val="clear" w:color="auto" w:fill="FFFFFF"/>
        </w:rPr>
        <w:t>Report and Order</w:t>
      </w:r>
      <w:r w:rsidRPr="003E0759">
        <w:rPr>
          <w:b/>
          <w:szCs w:val="22"/>
          <w:shd w:val="clear" w:color="auto" w:fill="FFFFFF"/>
        </w:rPr>
        <w:t>, required by 5 CFR 1320.8(d), soliciting comments on the information prior to submission to OMB.</w:t>
      </w:r>
    </w:p>
    <w:p w:rsidR="0075213F" w:rsidRPr="003E0759" w:rsidP="00BF6CEA" w14:paraId="66ACB552" w14:textId="5A12F94C">
      <w:pPr>
        <w:spacing w:after="120"/>
        <w:rPr>
          <w:b/>
          <w:szCs w:val="22"/>
          <w:shd w:val="clear" w:color="auto" w:fill="FFFFFF"/>
        </w:rPr>
      </w:pPr>
      <w:r w:rsidRPr="003E0759">
        <w:rPr>
          <w:b/>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F7CEC" w:rsidRPr="00575B34" w:rsidP="0099701A" w14:paraId="0AB4F51E" w14:textId="285460E1">
      <w:pPr>
        <w:ind w:firstLine="720"/>
        <w:rPr>
          <w:szCs w:val="22"/>
        </w:rPr>
      </w:pPr>
      <w:r w:rsidRPr="003E0759">
        <w:rPr>
          <w:szCs w:val="22"/>
        </w:rPr>
        <w:t>The Commis</w:t>
      </w:r>
      <w:r w:rsidRPr="003E0759" w:rsidR="0087376B">
        <w:rPr>
          <w:szCs w:val="22"/>
        </w:rPr>
        <w:t>si</w:t>
      </w:r>
      <w:r w:rsidRPr="003E0759">
        <w:rPr>
          <w:szCs w:val="22"/>
        </w:rPr>
        <w:t xml:space="preserve">on </w:t>
      </w:r>
      <w:bookmarkStart w:id="2" w:name="_Hlk10011847"/>
      <w:r w:rsidRPr="003E0759">
        <w:rPr>
          <w:szCs w:val="22"/>
        </w:rPr>
        <w:t>publish</w:t>
      </w:r>
      <w:r w:rsidRPr="003E0759" w:rsidR="00C931C3">
        <w:rPr>
          <w:szCs w:val="22"/>
        </w:rPr>
        <w:t>ed</w:t>
      </w:r>
      <w:r w:rsidRPr="003E0759">
        <w:rPr>
          <w:szCs w:val="22"/>
        </w:rPr>
        <w:t xml:space="preserve"> a 60-day notice in the Federal Register</w:t>
      </w:r>
      <w:r w:rsidRPr="003E0759" w:rsidR="000044F4">
        <w:rPr>
          <w:szCs w:val="22"/>
        </w:rPr>
        <w:t xml:space="preserve"> </w:t>
      </w:r>
      <w:r w:rsidRPr="003E0759" w:rsidR="00C931C3">
        <w:rPr>
          <w:szCs w:val="22"/>
        </w:rPr>
        <w:t xml:space="preserve">on </w:t>
      </w:r>
      <w:r w:rsidRPr="003E0759" w:rsidR="001007B3">
        <w:rPr>
          <w:szCs w:val="22"/>
        </w:rPr>
        <w:t>November 8</w:t>
      </w:r>
      <w:r w:rsidRPr="003E0759" w:rsidR="00C931C3">
        <w:rPr>
          <w:szCs w:val="22"/>
        </w:rPr>
        <w:t>, 2023 (</w:t>
      </w:r>
      <w:r w:rsidRPr="003E0759" w:rsidR="001007B3">
        <w:rPr>
          <w:szCs w:val="22"/>
        </w:rPr>
        <w:t>88</w:t>
      </w:r>
      <w:r w:rsidRPr="003E0759" w:rsidR="00C931C3">
        <w:rPr>
          <w:szCs w:val="22"/>
        </w:rPr>
        <w:t xml:space="preserve"> FR </w:t>
      </w:r>
      <w:r w:rsidRPr="003E0759" w:rsidR="001007B3">
        <w:rPr>
          <w:szCs w:val="22"/>
        </w:rPr>
        <w:t>77093-94</w:t>
      </w:r>
      <w:r w:rsidR="00607352">
        <w:rPr>
          <w:szCs w:val="22"/>
        </w:rPr>
        <w:t xml:space="preserve">). </w:t>
      </w:r>
      <w:r w:rsidRPr="003E0759" w:rsidR="00BC636C">
        <w:rPr>
          <w:szCs w:val="22"/>
        </w:rPr>
        <w:t>T</w:t>
      </w:r>
      <w:r w:rsidR="004C48FF">
        <w:rPr>
          <w:szCs w:val="22"/>
        </w:rPr>
        <w:t>he Commission received t</w:t>
      </w:r>
      <w:r w:rsidRPr="003E0759" w:rsidR="00BC636C">
        <w:rPr>
          <w:szCs w:val="22"/>
        </w:rPr>
        <w:t xml:space="preserve">wo </w:t>
      </w:r>
      <w:r w:rsidRPr="003E0759" w:rsidR="00C931C3">
        <w:rPr>
          <w:szCs w:val="22"/>
        </w:rPr>
        <w:t xml:space="preserve">PRA comments </w:t>
      </w:r>
      <w:r w:rsidRPr="003E0759" w:rsidR="000044F4">
        <w:rPr>
          <w:szCs w:val="22"/>
        </w:rPr>
        <w:t xml:space="preserve">as </w:t>
      </w:r>
      <w:r w:rsidRPr="003E0759" w:rsidR="00C931C3">
        <w:rPr>
          <w:szCs w:val="22"/>
        </w:rPr>
        <w:t xml:space="preserve">a result of this notice. </w:t>
      </w:r>
      <w:bookmarkEnd w:id="2"/>
      <w:r w:rsidRPr="003E0759" w:rsidR="00F910F7">
        <w:rPr>
          <w:szCs w:val="22"/>
        </w:rPr>
        <w:t xml:space="preserve"> Intrado Life &amp; Safety, Inc. (Intrado)</w:t>
      </w:r>
      <w:r w:rsidRPr="003E0759" w:rsidR="003F469B">
        <w:rPr>
          <w:szCs w:val="22"/>
        </w:rPr>
        <w:t xml:space="preserve"> filed comments on its own behalf</w:t>
      </w:r>
      <w:r>
        <w:rPr>
          <w:rStyle w:val="FootnoteReference"/>
          <w:szCs w:val="22"/>
        </w:rPr>
        <w:footnoteReference w:id="37"/>
      </w:r>
      <w:r w:rsidRPr="003E0759" w:rsidR="00991C1C">
        <w:rPr>
          <w:szCs w:val="22"/>
        </w:rPr>
        <w:t xml:space="preserve"> </w:t>
      </w:r>
      <w:r w:rsidRPr="003E0759" w:rsidR="003F469B">
        <w:rPr>
          <w:szCs w:val="22"/>
        </w:rPr>
        <w:t>and ACA Connects – America’s Communications Association (ACA Connects), Competitive Carriers Association (CCA), CTIA, NCTA – The Internet &amp; Television Association (NCTA), and USTelecom – The Broadband Association (USTelecom), (together, the Associations)</w:t>
      </w:r>
      <w:r w:rsidRPr="003E0759" w:rsidR="00323B7E">
        <w:rPr>
          <w:szCs w:val="22"/>
        </w:rPr>
        <w:t xml:space="preserve"> filed joint comments.</w:t>
      </w:r>
      <w:r>
        <w:rPr>
          <w:rStyle w:val="FootnoteReference"/>
          <w:szCs w:val="22"/>
        </w:rPr>
        <w:footnoteReference w:id="38"/>
      </w:r>
    </w:p>
    <w:p w:rsidR="0037565B" w:rsidRPr="0037565B" w:rsidP="0037565B" w14:paraId="44DB55FC" w14:textId="77777777">
      <w:pPr>
        <w:suppressAutoHyphens w:val="0"/>
        <w:autoSpaceDE w:val="0"/>
        <w:autoSpaceDN w:val="0"/>
        <w:adjustRightInd w:val="0"/>
        <w:rPr>
          <w:kern w:val="0"/>
          <w:szCs w:val="22"/>
          <w:lang w:eastAsia="en-US"/>
        </w:rPr>
      </w:pPr>
    </w:p>
    <w:p w:rsidR="00B15942" w:rsidRPr="003E0759" w:rsidP="00B15942" w14:paraId="0F6AE962" w14:textId="07D1DF61">
      <w:pPr>
        <w:suppressAutoHyphens w:val="0"/>
        <w:spacing w:after="120"/>
        <w:ind w:firstLine="720"/>
        <w:rPr>
          <w:szCs w:val="22"/>
        </w:rPr>
      </w:pPr>
      <w:r w:rsidRPr="003E0759">
        <w:rPr>
          <w:i/>
          <w:iCs/>
          <w:szCs w:val="22"/>
        </w:rPr>
        <w:t xml:space="preserve">30-minute Notification Requirement.  </w:t>
      </w:r>
      <w:r w:rsidRPr="003E0759" w:rsidR="00637D07">
        <w:rPr>
          <w:szCs w:val="22"/>
        </w:rPr>
        <w:t>Intrado and the Associations contend the 30-minute notification requirement will result in OSPs over-reporting outages</w:t>
      </w:r>
      <w:r w:rsidRPr="003E0759" w:rsidR="00A76C4D">
        <w:rPr>
          <w:szCs w:val="22"/>
        </w:rPr>
        <w:t xml:space="preserve">, </w:t>
      </w:r>
      <w:r w:rsidRPr="003E0759" w:rsidR="00637D07">
        <w:rPr>
          <w:szCs w:val="22"/>
        </w:rPr>
        <w:t>over-notifying special facilities</w:t>
      </w:r>
      <w:r w:rsidRPr="003E0759" w:rsidR="00A76C4D">
        <w:rPr>
          <w:szCs w:val="22"/>
        </w:rPr>
        <w:t>, and providing less accurate notifications</w:t>
      </w:r>
      <w:r w:rsidRPr="003E0759" w:rsidR="00637D07">
        <w:rPr>
          <w:szCs w:val="22"/>
        </w:rPr>
        <w:t xml:space="preserve"> in an attempt to avoid non-compliance.</w:t>
      </w:r>
      <w:r>
        <w:rPr>
          <w:rStyle w:val="FootnoteReference"/>
          <w:szCs w:val="22"/>
        </w:rPr>
        <w:footnoteReference w:id="39"/>
      </w:r>
      <w:r w:rsidRPr="003E0759" w:rsidR="00637D07">
        <w:rPr>
          <w:szCs w:val="22"/>
        </w:rPr>
        <w:t xml:space="preserve">  </w:t>
      </w:r>
      <w:r w:rsidRPr="003E0759">
        <w:rPr>
          <w:szCs w:val="22"/>
        </w:rPr>
        <w:t xml:space="preserve">The Commission has </w:t>
      </w:r>
      <w:r w:rsidRPr="003E0759" w:rsidR="002B2A56">
        <w:rPr>
          <w:szCs w:val="22"/>
        </w:rPr>
        <w:t xml:space="preserve">addressed </w:t>
      </w:r>
      <w:r w:rsidR="004C48FF">
        <w:rPr>
          <w:szCs w:val="22"/>
        </w:rPr>
        <w:t>and resolved</w:t>
      </w:r>
      <w:r w:rsidRPr="003E0759" w:rsidR="002B2A56">
        <w:rPr>
          <w:szCs w:val="22"/>
        </w:rPr>
        <w:t xml:space="preserve"> these concerns</w:t>
      </w:r>
      <w:r w:rsidRPr="003E0759">
        <w:rPr>
          <w:szCs w:val="22"/>
        </w:rPr>
        <w:t xml:space="preserve"> in both its </w:t>
      </w:r>
      <w:r w:rsidRPr="003E0759">
        <w:rPr>
          <w:i/>
          <w:iCs/>
        </w:rPr>
        <w:t>2022</w:t>
      </w:r>
      <w:r w:rsidRPr="003E0759">
        <w:t xml:space="preserve"> </w:t>
      </w:r>
      <w:r w:rsidRPr="003E0759">
        <w:rPr>
          <w:i/>
          <w:iCs/>
        </w:rPr>
        <w:t xml:space="preserve">Second Report and Order </w:t>
      </w:r>
      <w:r w:rsidRPr="003E0759">
        <w:t xml:space="preserve">and its </w:t>
      </w:r>
      <w:r w:rsidRPr="003E0759">
        <w:rPr>
          <w:i/>
          <w:iCs/>
          <w:szCs w:val="22"/>
        </w:rPr>
        <w:t>2024</w:t>
      </w:r>
      <w:r w:rsidRPr="003E0759">
        <w:rPr>
          <w:szCs w:val="22"/>
        </w:rPr>
        <w:t xml:space="preserve"> </w:t>
      </w:r>
      <w:r w:rsidRPr="003E0759">
        <w:rPr>
          <w:i/>
          <w:iCs/>
          <w:szCs w:val="22"/>
        </w:rPr>
        <w:t>Order on Reconsideration</w:t>
      </w:r>
      <w:r>
        <w:rPr>
          <w:rStyle w:val="FootnoteReference"/>
          <w:szCs w:val="22"/>
        </w:rPr>
        <w:footnoteReference w:id="40"/>
      </w:r>
      <w:r w:rsidRPr="003E0759">
        <w:rPr>
          <w:szCs w:val="22"/>
        </w:rPr>
        <w:t xml:space="preserve"> </w:t>
      </w:r>
      <w:r w:rsidR="004C48FF">
        <w:rPr>
          <w:szCs w:val="22"/>
        </w:rPr>
        <w:t xml:space="preserve">and Intrado and the Associations raise no new issues here. </w:t>
      </w:r>
      <w:r w:rsidRPr="003E0759">
        <w:rPr>
          <w:szCs w:val="22"/>
        </w:rPr>
        <w:t xml:space="preserve"> </w:t>
      </w:r>
      <w:r w:rsidR="004C48FF">
        <w:rPr>
          <w:szCs w:val="22"/>
        </w:rPr>
        <w:t>Specifically,</w:t>
      </w:r>
      <w:r w:rsidRPr="003E0759">
        <w:rPr>
          <w:szCs w:val="22"/>
        </w:rPr>
        <w:t xml:space="preserve"> the 30-minute notification requirement</w:t>
      </w:r>
      <w:r w:rsidR="004C48FF">
        <w:rPr>
          <w:szCs w:val="22"/>
        </w:rPr>
        <w:t xml:space="preserve"> represents an appropriate balance between</w:t>
      </w:r>
      <w:r w:rsidRPr="003E0759">
        <w:rPr>
          <w:szCs w:val="22"/>
        </w:rPr>
        <w:t xml:space="preserve"> </w:t>
      </w:r>
      <w:r w:rsidRPr="003E0759" w:rsidR="007F6A76">
        <w:t xml:space="preserve">the need for timely and actionable 911 outage information and </w:t>
      </w:r>
      <w:r w:rsidR="004C48FF">
        <w:t xml:space="preserve">risks associated with the limited potential for </w:t>
      </w:r>
      <w:r w:rsidRPr="003E0759" w:rsidR="004C48FF">
        <w:rPr>
          <w:szCs w:val="22"/>
        </w:rPr>
        <w:t>over-reporting</w:t>
      </w:r>
      <w:r w:rsidRPr="003E0759" w:rsidR="007F6A76">
        <w:t xml:space="preserve"> of </w:t>
      </w:r>
      <w:r w:rsidRPr="003E0759" w:rsidR="004C48FF">
        <w:rPr>
          <w:szCs w:val="22"/>
        </w:rPr>
        <w:t>outages, over-notifying special facilities, and providing less accurate notifications</w:t>
      </w:r>
      <w:r w:rsidRPr="003E0759">
        <w:rPr>
          <w:szCs w:val="22"/>
        </w:rPr>
        <w:t>.</w:t>
      </w:r>
      <w:r>
        <w:rPr>
          <w:rStyle w:val="FootnoteReference"/>
          <w:szCs w:val="22"/>
        </w:rPr>
        <w:footnoteReference w:id="41"/>
      </w:r>
      <w:r w:rsidRPr="003E0759">
        <w:rPr>
          <w:szCs w:val="22"/>
        </w:rPr>
        <w:t xml:space="preserve">  </w:t>
      </w:r>
      <w:r w:rsidR="004C48FF">
        <w:rPr>
          <w:szCs w:val="22"/>
        </w:rPr>
        <w:t>The need for timely and actionable 911 outage</w:t>
      </w:r>
      <w:r w:rsidRPr="003E0759" w:rsidR="007F6A76">
        <w:t xml:space="preserve"> information</w:t>
      </w:r>
      <w:r w:rsidR="004C48FF">
        <w:rPr>
          <w:szCs w:val="22"/>
        </w:rPr>
        <w:t xml:space="preserve"> is evident.</w:t>
      </w:r>
      <w:r w:rsidRPr="003E0759">
        <w:rPr>
          <w:szCs w:val="22"/>
        </w:rPr>
        <w:t xml:space="preserve">  </w:t>
      </w:r>
      <w:r w:rsidRPr="003E0759" w:rsidR="007F6A76">
        <w:t>If a 911 special facility does not receive timely outage notification, it cannot effectively initiate alternate means of communications and provide access for those populations impacted by the outage.</w:t>
      </w:r>
      <w:r>
        <w:rPr>
          <w:rStyle w:val="FootnoteReference"/>
        </w:rPr>
        <w:footnoteReference w:id="42"/>
      </w:r>
      <w:r w:rsidRPr="003E0759" w:rsidR="007F6A76">
        <w:t xml:space="preserve">  </w:t>
      </w:r>
      <w:r w:rsidR="004C48FF">
        <w:t xml:space="preserve">Moreover, as </w:t>
      </w:r>
      <w:r w:rsidR="004C48FF">
        <w:rPr>
          <w:szCs w:val="22"/>
        </w:rPr>
        <w:t>t</w:t>
      </w:r>
      <w:r w:rsidRPr="003E0759">
        <w:rPr>
          <w:szCs w:val="22"/>
        </w:rPr>
        <w:t>he Commission confirms</w:t>
      </w:r>
      <w:r w:rsidR="007044E6">
        <w:rPr>
          <w:szCs w:val="22"/>
        </w:rPr>
        <w:t>,</w:t>
      </w:r>
      <w:r w:rsidRPr="003E0759">
        <w:rPr>
          <w:szCs w:val="22"/>
        </w:rPr>
        <w:t xml:space="preserve"> </w:t>
      </w:r>
      <w:r w:rsidR="004C48FF">
        <w:rPr>
          <w:szCs w:val="22"/>
        </w:rPr>
        <w:t>in the absence of a specific</w:t>
      </w:r>
      <w:r w:rsidRPr="003E0759">
        <w:rPr>
          <w:szCs w:val="22"/>
        </w:rPr>
        <w:t xml:space="preserve"> time limit, </w:t>
      </w:r>
      <w:r w:rsidRPr="003E0759">
        <w:rPr>
          <w:snapToGrid w:val="0"/>
          <w:kern w:val="28"/>
          <w:szCs w:val="22"/>
          <w:lang w:eastAsia="en-US"/>
        </w:rPr>
        <w:t xml:space="preserve">the “as soon as possible” standard </w:t>
      </w:r>
      <w:r w:rsidR="007044E6">
        <w:rPr>
          <w:snapToGrid w:val="0"/>
          <w:kern w:val="28"/>
          <w:szCs w:val="22"/>
          <w:lang w:eastAsia="en-US"/>
        </w:rPr>
        <w:t>is insufficient to</w:t>
      </w:r>
      <w:r w:rsidRPr="003E0759">
        <w:rPr>
          <w:snapToGrid w:val="0"/>
          <w:kern w:val="28"/>
          <w:szCs w:val="22"/>
          <w:lang w:eastAsia="en-US"/>
        </w:rPr>
        <w:t xml:space="preserve"> incentivize </w:t>
      </w:r>
      <w:r w:rsidRPr="003E0759" w:rsidR="002B2A56">
        <w:rPr>
          <w:snapToGrid w:val="0"/>
          <w:kern w:val="28"/>
          <w:szCs w:val="22"/>
          <w:lang w:eastAsia="en-US"/>
        </w:rPr>
        <w:t>OSPs</w:t>
      </w:r>
      <w:r w:rsidRPr="003E0759">
        <w:rPr>
          <w:snapToGrid w:val="0"/>
          <w:kern w:val="28"/>
          <w:szCs w:val="22"/>
          <w:lang w:eastAsia="en-US"/>
        </w:rPr>
        <w:t xml:space="preserve"> to provide timely outage </w:t>
      </w:r>
      <w:r w:rsidRPr="003E0759">
        <w:rPr>
          <w:snapToGrid w:val="0"/>
          <w:kern w:val="28"/>
          <w:szCs w:val="22"/>
          <w:lang w:eastAsia="en-US"/>
        </w:rPr>
        <w:t xml:space="preserve">notifications, but instead </w:t>
      </w:r>
      <w:r w:rsidR="007044E6">
        <w:rPr>
          <w:snapToGrid w:val="0"/>
          <w:kern w:val="28"/>
          <w:szCs w:val="22"/>
          <w:lang w:eastAsia="en-US"/>
        </w:rPr>
        <w:t>creates an</w:t>
      </w:r>
      <w:r w:rsidRPr="003E0759">
        <w:rPr>
          <w:snapToGrid w:val="0"/>
          <w:kern w:val="28"/>
          <w:szCs w:val="22"/>
          <w:lang w:eastAsia="en-US"/>
        </w:rPr>
        <w:t xml:space="preserve"> </w:t>
      </w:r>
      <w:r w:rsidR="007044E6">
        <w:rPr>
          <w:snapToGrid w:val="0"/>
          <w:kern w:val="28"/>
          <w:szCs w:val="22"/>
          <w:lang w:eastAsia="en-US"/>
        </w:rPr>
        <w:t>incentive for</w:t>
      </w:r>
      <w:r w:rsidRPr="003E0759">
        <w:rPr>
          <w:snapToGrid w:val="0"/>
          <w:kern w:val="28"/>
          <w:szCs w:val="22"/>
          <w:lang w:eastAsia="en-US"/>
        </w:rPr>
        <w:t xml:space="preserve"> them to take a passive approach to monitoring and detecting outages.</w:t>
      </w:r>
      <w:r>
        <w:rPr>
          <w:snapToGrid w:val="0"/>
          <w:kern w:val="28"/>
          <w:szCs w:val="22"/>
          <w:vertAlign w:val="superscript"/>
          <w:lang w:eastAsia="en-US"/>
        </w:rPr>
        <w:footnoteReference w:id="43"/>
      </w:r>
      <w:r w:rsidRPr="003E0759">
        <w:rPr>
          <w:snapToGrid w:val="0"/>
          <w:kern w:val="28"/>
          <w:szCs w:val="22"/>
          <w:lang w:eastAsia="en-US"/>
        </w:rPr>
        <w:t xml:space="preserve">  This could “</w:t>
      </w:r>
      <w:r w:rsidRPr="003E0759">
        <w:rPr>
          <w:snapToGrid w:val="0"/>
          <w:kern w:val="0"/>
          <w:szCs w:val="22"/>
          <w:lang w:eastAsia="en-US"/>
        </w:rPr>
        <w:t>allow service providers . . . to delay outage notifications for hours after discovery,” and “would not serve the public safety purposes of the rule.”</w:t>
      </w:r>
      <w:r>
        <w:rPr>
          <w:snapToGrid w:val="0"/>
          <w:kern w:val="0"/>
          <w:szCs w:val="22"/>
          <w:vertAlign w:val="superscript"/>
          <w:lang w:eastAsia="en-US"/>
        </w:rPr>
        <w:footnoteReference w:id="44"/>
      </w:r>
      <w:r w:rsidRPr="003E0759">
        <w:rPr>
          <w:snapToGrid w:val="0"/>
          <w:kern w:val="0"/>
          <w:szCs w:val="22"/>
          <w:lang w:eastAsia="en-US"/>
        </w:rPr>
        <w:t xml:space="preserve">  </w:t>
      </w:r>
      <w:r w:rsidRPr="003E0759">
        <w:rPr>
          <w:snapToGrid w:val="0"/>
          <w:kern w:val="28"/>
          <w:szCs w:val="22"/>
          <w:lang w:eastAsia="en-US"/>
        </w:rPr>
        <w:t xml:space="preserve">Delaying the receipt of outage notifications would undermine the ability of PSAPs to provide timely information to the public when an outage impacts 911 service and reverting to a notification standard with </w:t>
      </w:r>
      <w:r w:rsidRPr="003E0759">
        <w:rPr>
          <w:snapToGrid w:val="0"/>
          <w:kern w:val="0"/>
          <w:szCs w:val="22"/>
          <w:lang w:eastAsia="en-US"/>
        </w:rPr>
        <w:t>no time limit would exacerbate the very harm the rule was adopted to address.</w:t>
      </w:r>
      <w:r>
        <w:rPr>
          <w:rStyle w:val="FootnoteReference"/>
          <w:snapToGrid w:val="0"/>
          <w:kern w:val="0"/>
          <w:szCs w:val="22"/>
          <w:lang w:eastAsia="en-US"/>
        </w:rPr>
        <w:footnoteReference w:id="45"/>
      </w:r>
      <w:r w:rsidRPr="003E0759" w:rsidR="007F6A76">
        <w:rPr>
          <w:snapToGrid w:val="0"/>
          <w:kern w:val="0"/>
          <w:szCs w:val="22"/>
          <w:lang w:eastAsia="en-US"/>
        </w:rPr>
        <w:t xml:space="preserve">  </w:t>
      </w:r>
      <w:r w:rsidR="007044E6">
        <w:rPr>
          <w:snapToGrid w:val="0"/>
          <w:kern w:val="0"/>
          <w:szCs w:val="22"/>
          <w:lang w:eastAsia="en-US"/>
        </w:rPr>
        <w:t xml:space="preserve">Any potential risk of </w:t>
      </w:r>
      <w:r w:rsidRPr="003E0759" w:rsidR="007044E6">
        <w:rPr>
          <w:szCs w:val="22"/>
        </w:rPr>
        <w:t xml:space="preserve">over-reporting </w:t>
      </w:r>
      <w:r w:rsidR="007044E6">
        <w:rPr>
          <w:szCs w:val="22"/>
        </w:rPr>
        <w:t xml:space="preserve">of </w:t>
      </w:r>
      <w:r w:rsidRPr="003E0759" w:rsidR="007044E6">
        <w:rPr>
          <w:szCs w:val="22"/>
        </w:rPr>
        <w:t>outages, over-notifying special facilities, and providing less accurate notifications</w:t>
      </w:r>
      <w:r w:rsidR="007044E6">
        <w:rPr>
          <w:szCs w:val="22"/>
        </w:rPr>
        <w:t xml:space="preserve"> does not overcome the critical importance of ensuring the timely availability of 911 outage information.  </w:t>
      </w:r>
      <w:r w:rsidR="001748EF">
        <w:rPr>
          <w:szCs w:val="22"/>
        </w:rPr>
        <w:t xml:space="preserve">The </w:t>
      </w:r>
      <w:r w:rsidRPr="003E0759" w:rsidR="007F6A76">
        <w:rPr>
          <w:snapToGrid w:val="0"/>
          <w:kern w:val="0"/>
          <w:szCs w:val="22"/>
          <w:lang w:eastAsia="en-US"/>
        </w:rPr>
        <w:t>Commission has rejected arguments that notifications sent within</w:t>
      </w:r>
      <w:r w:rsidRPr="003E0759" w:rsidR="00B77265">
        <w:rPr>
          <w:snapToGrid w:val="0"/>
          <w:kern w:val="0"/>
          <w:szCs w:val="22"/>
          <w:lang w:eastAsia="en-US"/>
        </w:rPr>
        <w:t xml:space="preserve"> a</w:t>
      </w:r>
      <w:r w:rsidRPr="003E0759" w:rsidR="007F6A76">
        <w:rPr>
          <w:snapToGrid w:val="0"/>
          <w:kern w:val="0"/>
          <w:szCs w:val="22"/>
          <w:lang w:eastAsia="en-US"/>
        </w:rPr>
        <w:t xml:space="preserve"> 30-minute deadline will lack meaningful information and will confuse or mislead PSAPs.</w:t>
      </w:r>
      <w:r>
        <w:rPr>
          <w:rStyle w:val="FootnoteReference"/>
          <w:snapToGrid w:val="0"/>
          <w:kern w:val="0"/>
          <w:szCs w:val="22"/>
          <w:lang w:eastAsia="en-US"/>
        </w:rPr>
        <w:footnoteReference w:id="46"/>
      </w:r>
      <w:r w:rsidRPr="003E0759" w:rsidR="007F6A76">
        <w:rPr>
          <w:snapToGrid w:val="0"/>
          <w:kern w:val="0"/>
          <w:szCs w:val="22"/>
          <w:lang w:eastAsia="en-US"/>
        </w:rPr>
        <w:t xml:space="preserve">  </w:t>
      </w:r>
      <w:r w:rsidRPr="003E0759" w:rsidR="00A76C4D">
        <w:rPr>
          <w:snapToGrid w:val="0"/>
          <w:kern w:val="0"/>
          <w:szCs w:val="22"/>
          <w:lang w:eastAsia="en-US"/>
        </w:rPr>
        <w:t>T</w:t>
      </w:r>
      <w:r w:rsidRPr="003E0759" w:rsidR="002B2A56">
        <w:rPr>
          <w:kern w:val="0"/>
          <w:szCs w:val="22"/>
        </w:rPr>
        <w:t>he Commission has noted that the purpose of the initial notification is not to provide complete information about the outage, but to serve as a “preliminary notice of a potential problem to a 911 special facility.”</w:t>
      </w:r>
      <w:r>
        <w:rPr>
          <w:kern w:val="0"/>
          <w:sz w:val="20"/>
          <w:szCs w:val="22"/>
          <w:vertAlign w:val="superscript"/>
        </w:rPr>
        <w:footnoteReference w:id="47"/>
      </w:r>
      <w:r w:rsidRPr="003E0759" w:rsidR="002B2A56">
        <w:rPr>
          <w:kern w:val="0"/>
          <w:szCs w:val="22"/>
        </w:rPr>
        <w:t xml:space="preserve">  </w:t>
      </w:r>
      <w:r w:rsidRPr="003E0759" w:rsidR="00A76C4D">
        <w:rPr>
          <w:snapToGrid w:val="0"/>
          <w:kern w:val="0"/>
          <w:szCs w:val="22"/>
          <w:lang w:eastAsia="en-US"/>
        </w:rPr>
        <w:t xml:space="preserve">As a practical matter of how the deadline is calculated, OSPs will have at least an hour, and potentially more, </w:t>
      </w:r>
      <w:r w:rsidRPr="003E0759" w:rsidR="00A76C4D">
        <w:t>from the start of any outage to gather information to include in the initial outage notifications to PSAPs.</w:t>
      </w:r>
      <w:r>
        <w:rPr>
          <w:rStyle w:val="FootnoteReference"/>
        </w:rPr>
        <w:footnoteReference w:id="48"/>
      </w:r>
      <w:r w:rsidR="00167C20">
        <w:t xml:space="preserve">Further, and as discussed below, the Commission </w:t>
      </w:r>
      <w:r w:rsidR="00167C20">
        <w:rPr>
          <w:szCs w:val="22"/>
        </w:rPr>
        <w:t>previously concluded that</w:t>
      </w:r>
      <w:r w:rsidRPr="003E0759" w:rsidR="00167C20">
        <w:rPr>
          <w:szCs w:val="22"/>
        </w:rPr>
        <w:t xml:space="preserve"> proper application of the</w:t>
      </w:r>
      <w:r w:rsidR="00167C20">
        <w:rPr>
          <w:szCs w:val="22"/>
        </w:rPr>
        <w:t xml:space="preserve"> 30-minute notification</w:t>
      </w:r>
      <w:r w:rsidRPr="003E0759" w:rsidR="00167C20">
        <w:rPr>
          <w:szCs w:val="22"/>
        </w:rPr>
        <w:t xml:space="preserve"> rule </w:t>
      </w:r>
      <w:r w:rsidR="008008BA">
        <w:rPr>
          <w:szCs w:val="22"/>
        </w:rPr>
        <w:t xml:space="preserve">(e.g., </w:t>
      </w:r>
      <w:r w:rsidR="006A725E">
        <w:rPr>
          <w:szCs w:val="22"/>
        </w:rPr>
        <w:t xml:space="preserve">notification of </w:t>
      </w:r>
      <w:r w:rsidR="008008BA">
        <w:rPr>
          <w:szCs w:val="22"/>
        </w:rPr>
        <w:t xml:space="preserve">outages that meet </w:t>
      </w:r>
      <w:r w:rsidR="006A725E">
        <w:rPr>
          <w:szCs w:val="22"/>
        </w:rPr>
        <w:t xml:space="preserve">reporting </w:t>
      </w:r>
      <w:r w:rsidR="00586C60">
        <w:rPr>
          <w:szCs w:val="22"/>
        </w:rPr>
        <w:t xml:space="preserve">thresholds) </w:t>
      </w:r>
      <w:r w:rsidRPr="003E0759" w:rsidR="00167C20">
        <w:rPr>
          <w:szCs w:val="22"/>
        </w:rPr>
        <w:t>should limit the risk of over-notification</w:t>
      </w:r>
      <w:r w:rsidR="00167C20">
        <w:rPr>
          <w:szCs w:val="22"/>
        </w:rPr>
        <w:t xml:space="preserve"> and the commenters do not persuasively contradict this conclusion.</w:t>
      </w:r>
      <w:r>
        <w:rPr>
          <w:rStyle w:val="FootnoteReference"/>
          <w:szCs w:val="22"/>
        </w:rPr>
        <w:footnoteReference w:id="49"/>
      </w:r>
    </w:p>
    <w:p w:rsidR="00167C20" w:rsidP="00167C20" w14:paraId="2721F064" w14:textId="47F8B7B0">
      <w:pPr>
        <w:pStyle w:val="ParaNum"/>
        <w:numPr>
          <w:ilvl w:val="0"/>
          <w:numId w:val="0"/>
        </w:numPr>
        <w:ind w:firstLine="720"/>
        <w:rPr>
          <w:szCs w:val="22"/>
        </w:rPr>
      </w:pPr>
      <w:r>
        <w:rPr>
          <w:kern w:val="0"/>
          <w:szCs w:val="22"/>
        </w:rPr>
        <w:t xml:space="preserve">Intrado and </w:t>
      </w:r>
      <w:r w:rsidRPr="003E0759" w:rsidR="00D41CC5">
        <w:rPr>
          <w:kern w:val="0"/>
          <w:szCs w:val="22"/>
        </w:rPr>
        <w:t xml:space="preserve">the Associations </w:t>
      </w:r>
      <w:r>
        <w:rPr>
          <w:kern w:val="0"/>
          <w:szCs w:val="22"/>
        </w:rPr>
        <w:t>also contend</w:t>
      </w:r>
      <w:r w:rsidRPr="003E0759" w:rsidR="00D41CC5">
        <w:rPr>
          <w:kern w:val="0"/>
          <w:szCs w:val="22"/>
        </w:rPr>
        <w:t xml:space="preserve"> </w:t>
      </w:r>
      <w:r w:rsidRPr="003E0759" w:rsidR="00F76C96">
        <w:rPr>
          <w:kern w:val="0"/>
          <w:szCs w:val="22"/>
        </w:rPr>
        <w:t xml:space="preserve">that </w:t>
      </w:r>
      <w:r>
        <w:rPr>
          <w:kern w:val="0"/>
          <w:szCs w:val="22"/>
        </w:rPr>
        <w:t>the Commission</w:t>
      </w:r>
      <w:r w:rsidRPr="003E0759" w:rsidR="00A76C4D">
        <w:rPr>
          <w:kern w:val="0"/>
          <w:szCs w:val="22"/>
        </w:rPr>
        <w:t xml:space="preserve"> has</w:t>
      </w:r>
      <w:r w:rsidRPr="003E0759" w:rsidR="00F76C96">
        <w:rPr>
          <w:kern w:val="0"/>
          <w:szCs w:val="22"/>
        </w:rPr>
        <w:t xml:space="preserve"> not provide</w:t>
      </w:r>
      <w:r w:rsidRPr="003E0759" w:rsidR="00A76C4D">
        <w:rPr>
          <w:kern w:val="0"/>
          <w:szCs w:val="22"/>
        </w:rPr>
        <w:t>d</w:t>
      </w:r>
      <w:r w:rsidRPr="003E0759" w:rsidR="00F76C96">
        <w:rPr>
          <w:kern w:val="0"/>
          <w:szCs w:val="22"/>
        </w:rPr>
        <w:t xml:space="preserve"> objective support for its estimated cost of complying with the 30-minute notification requirement.</w:t>
      </w:r>
      <w:r>
        <w:rPr>
          <w:rStyle w:val="FootnoteReference"/>
          <w:kern w:val="0"/>
          <w:szCs w:val="22"/>
        </w:rPr>
        <w:footnoteReference w:id="50"/>
      </w:r>
      <w:r w:rsidRPr="003E0759" w:rsidR="00F76C96">
        <w:rPr>
          <w:kern w:val="0"/>
          <w:szCs w:val="22"/>
        </w:rPr>
        <w:t xml:space="preserve"> </w:t>
      </w:r>
      <w:r w:rsidRPr="003E0759" w:rsidR="005A7000">
        <w:rPr>
          <w:kern w:val="0"/>
          <w:szCs w:val="22"/>
        </w:rPr>
        <w:t xml:space="preserve"> </w:t>
      </w:r>
      <w:r>
        <w:rPr>
          <w:kern w:val="0"/>
          <w:szCs w:val="22"/>
        </w:rPr>
        <w:t>To the contrary, the Commission’s cost estimates are objectively supported as required by the PRA.</w:t>
      </w:r>
      <w:r>
        <w:rPr>
          <w:rStyle w:val="FootnoteReference"/>
          <w:kern w:val="0"/>
          <w:szCs w:val="22"/>
        </w:rPr>
        <w:footnoteReference w:id="51"/>
      </w:r>
      <w:r>
        <w:rPr>
          <w:kern w:val="0"/>
          <w:szCs w:val="22"/>
        </w:rPr>
        <w:t xml:space="preserve">  </w:t>
      </w:r>
      <w:r>
        <w:rPr>
          <w:kern w:val="0"/>
          <w:szCs w:val="22"/>
        </w:rPr>
        <w:t>In t</w:t>
      </w:r>
      <w:r w:rsidRPr="003E0759" w:rsidR="005A7000">
        <w:rPr>
          <w:kern w:val="0"/>
          <w:szCs w:val="22"/>
        </w:rPr>
        <w:t xml:space="preserve">he </w:t>
      </w:r>
      <w:r w:rsidRPr="003E0759" w:rsidR="005A7000">
        <w:rPr>
          <w:i/>
          <w:iCs/>
          <w:kern w:val="0"/>
          <w:szCs w:val="22"/>
        </w:rPr>
        <w:t>2022 Second Report and Order</w:t>
      </w:r>
      <w:r>
        <w:rPr>
          <w:kern w:val="0"/>
          <w:szCs w:val="22"/>
        </w:rPr>
        <w:t>, the Commission</w:t>
      </w:r>
      <w:r w:rsidRPr="00F000A5" w:rsidR="005A7000">
        <w:rPr>
          <w:kern w:val="0"/>
        </w:rPr>
        <w:t xml:space="preserve"> </w:t>
      </w:r>
      <w:r w:rsidRPr="003E0759" w:rsidR="005A7000">
        <w:rPr>
          <w:kern w:val="0"/>
          <w:szCs w:val="22"/>
        </w:rPr>
        <w:t>based its cost estimates on an estimated wage</w:t>
      </w:r>
      <w:r w:rsidRPr="003E0759" w:rsidR="00DD2A04">
        <w:rPr>
          <w:kern w:val="0"/>
          <w:szCs w:val="22"/>
        </w:rPr>
        <w:t xml:space="preserve"> derived from</w:t>
      </w:r>
      <w:r w:rsidRPr="003E0759" w:rsidR="005A7000">
        <w:rPr>
          <w:szCs w:val="22"/>
        </w:rPr>
        <w:t xml:space="preserve"> the Bureau of Labor Statistics’ </w:t>
      </w:r>
      <w:r w:rsidRPr="003E0759" w:rsidR="005A7000">
        <w:t xml:space="preserve">job category of “Communications Equipment Operators, All Other;” </w:t>
      </w:r>
      <w:r w:rsidRPr="003E0759" w:rsidR="0012687D">
        <w:t xml:space="preserve">an estimate of 2,890 providers, which it based on Commission data and analysis; </w:t>
      </w:r>
      <w:r w:rsidRPr="003E0759" w:rsidR="005A7000">
        <w:t>an estimate of 37,000 outages requiring notifications per year, which it based on the number of outages potentially affecting 911 special facilities reported in the Commission’s NORS database in 2020; and an estimate of one hour per outage to send out two notifications.</w:t>
      </w:r>
      <w:r>
        <w:rPr>
          <w:rStyle w:val="FootnoteReference"/>
        </w:rPr>
        <w:footnoteReference w:id="52"/>
      </w:r>
      <w:r w:rsidRPr="003E0759" w:rsidR="005A7000">
        <w:t xml:space="preserve">  </w:t>
      </w:r>
      <w:r>
        <w:t>Further, t</w:t>
      </w:r>
      <w:r w:rsidRPr="003E0759" w:rsidR="005A7000">
        <w:t xml:space="preserve">he Commission sought comment on the accuracy of these estimates in its </w:t>
      </w:r>
      <w:r w:rsidRPr="003E0759" w:rsidR="0012687D">
        <w:rPr>
          <w:i/>
          <w:iCs/>
          <w:szCs w:val="22"/>
        </w:rPr>
        <w:t>Third Notice</w:t>
      </w:r>
      <w:r w:rsidRPr="003E0759" w:rsidR="0012687D">
        <w:rPr>
          <w:szCs w:val="22"/>
        </w:rPr>
        <w:t>,</w:t>
      </w:r>
      <w:r>
        <w:rPr>
          <w:rStyle w:val="FootnoteReference"/>
          <w:szCs w:val="22"/>
        </w:rPr>
        <w:footnoteReference w:id="53"/>
      </w:r>
      <w:r w:rsidRPr="003E0759" w:rsidR="0012687D">
        <w:rPr>
          <w:szCs w:val="22"/>
        </w:rPr>
        <w:t xml:space="preserve"> and </w:t>
      </w:r>
      <w:r>
        <w:rPr>
          <w:szCs w:val="22"/>
        </w:rPr>
        <w:t>received no</w:t>
      </w:r>
      <w:r w:rsidRPr="003E0759" w:rsidR="0012687D">
        <w:rPr>
          <w:szCs w:val="22"/>
        </w:rPr>
        <w:t xml:space="preserve"> persuasive objections or alternative calculations in response. </w:t>
      </w:r>
      <w:r w:rsidRPr="003E0759" w:rsidR="00FE4F79">
        <w:rPr>
          <w:szCs w:val="22"/>
        </w:rPr>
        <w:t xml:space="preserve"> </w:t>
      </w:r>
      <w:r w:rsidR="00F846F1">
        <w:t xml:space="preserve">The Commission’s estimate of the burden on providers calculated below </w:t>
      </w:r>
      <w:r w:rsidR="002B10C2">
        <w:t xml:space="preserve">is based upon updated </w:t>
      </w:r>
      <w:r w:rsidR="002B10C2">
        <w:t xml:space="preserve">figures as provided in the </w:t>
      </w:r>
      <w:r w:rsidR="00811B27">
        <w:rPr>
          <w:i/>
          <w:iCs/>
        </w:rPr>
        <w:t>2023 Third Report and Order</w:t>
      </w:r>
      <w:r w:rsidR="00F846F1">
        <w:t>.</w:t>
      </w:r>
      <w:r>
        <w:rPr>
          <w:rStyle w:val="FootnoteReference"/>
        </w:rPr>
        <w:footnoteReference w:id="54"/>
      </w:r>
    </w:p>
    <w:p w:rsidR="00DD306D" w:rsidRPr="003E0759" w:rsidP="00106FCA" w14:paraId="7A4C1AE5" w14:textId="61F111F2">
      <w:pPr>
        <w:pStyle w:val="ParaNum"/>
        <w:numPr>
          <w:ilvl w:val="0"/>
          <w:numId w:val="0"/>
        </w:numPr>
        <w:ind w:firstLine="720"/>
        <w:rPr>
          <w:szCs w:val="22"/>
        </w:rPr>
      </w:pPr>
      <w:r>
        <w:rPr>
          <w:szCs w:val="22"/>
        </w:rPr>
        <w:t>Now, however,</w:t>
      </w:r>
      <w:r w:rsidRPr="003E0759" w:rsidR="00FE4F79">
        <w:rPr>
          <w:szCs w:val="22"/>
        </w:rPr>
        <w:t xml:space="preserve"> the Associations argue that the burden estimate </w:t>
      </w:r>
      <w:r w:rsidRPr="003E0759" w:rsidR="006B7F4A">
        <w:rPr>
          <w:szCs w:val="22"/>
        </w:rPr>
        <w:t>for</w:t>
      </w:r>
      <w:r w:rsidRPr="003E0759" w:rsidR="00FE4F79">
        <w:rPr>
          <w:szCs w:val="22"/>
        </w:rPr>
        <w:t xml:space="preserve"> </w:t>
      </w:r>
      <w:r w:rsidR="006E7BFD">
        <w:rPr>
          <w:szCs w:val="22"/>
        </w:rPr>
        <w:t xml:space="preserve">OSPs to meet </w:t>
      </w:r>
      <w:r w:rsidRPr="003E0759" w:rsidR="00FE4F79">
        <w:rPr>
          <w:szCs w:val="22"/>
        </w:rPr>
        <w:t xml:space="preserve">the 30-minute notification requirement </w:t>
      </w:r>
      <w:r w:rsidRPr="003E0759" w:rsidR="006B7F4A">
        <w:rPr>
          <w:szCs w:val="22"/>
        </w:rPr>
        <w:t>fail</w:t>
      </w:r>
      <w:r>
        <w:rPr>
          <w:szCs w:val="22"/>
        </w:rPr>
        <w:t>s</w:t>
      </w:r>
      <w:r w:rsidRPr="003E0759" w:rsidR="006B7F4A">
        <w:rPr>
          <w:szCs w:val="22"/>
        </w:rPr>
        <w:t xml:space="preserve"> to include an </w:t>
      </w:r>
      <w:r w:rsidRPr="003E0759" w:rsidR="00FE4F79">
        <w:rPr>
          <w:szCs w:val="22"/>
        </w:rPr>
        <w:t xml:space="preserve">increase in the number </w:t>
      </w:r>
      <w:r w:rsidRPr="003E0759" w:rsidR="006B7F4A">
        <w:rPr>
          <w:szCs w:val="22"/>
        </w:rPr>
        <w:t>of outage notifications that will be necessary under the rules</w:t>
      </w:r>
      <w:r w:rsidRPr="003E0759" w:rsidR="00FE4F79">
        <w:rPr>
          <w:szCs w:val="22"/>
        </w:rPr>
        <w:t xml:space="preserve">, as </w:t>
      </w:r>
      <w:r w:rsidRPr="003E0759" w:rsidR="002B2A56">
        <w:rPr>
          <w:szCs w:val="22"/>
        </w:rPr>
        <w:t>OSPs</w:t>
      </w:r>
      <w:r w:rsidRPr="003E0759" w:rsidR="00FE4F79">
        <w:rPr>
          <w:szCs w:val="22"/>
        </w:rPr>
        <w:t xml:space="preserve"> “are likely to incur unnecessary costs to produce more outage notifications that may or may not be relevant or may not require changes to special facilities operations.”</w:t>
      </w:r>
      <w:r>
        <w:rPr>
          <w:rStyle w:val="FootnoteReference"/>
          <w:szCs w:val="22"/>
        </w:rPr>
        <w:footnoteReference w:id="55"/>
      </w:r>
      <w:r w:rsidRPr="003E0759" w:rsidR="00FE4F79">
        <w:rPr>
          <w:szCs w:val="22"/>
        </w:rPr>
        <w:t xml:space="preserve">  </w:t>
      </w:r>
      <w:r w:rsidR="005778C7">
        <w:rPr>
          <w:szCs w:val="22"/>
        </w:rPr>
        <w:t xml:space="preserve">The Associations’ argument is not convincing. </w:t>
      </w:r>
      <w:r w:rsidRPr="003E0759" w:rsidR="00FE4F79">
        <w:rPr>
          <w:szCs w:val="22"/>
        </w:rPr>
        <w:t xml:space="preserve"> Because the Commission’s rules only require </w:t>
      </w:r>
      <w:r w:rsidRPr="003E0759" w:rsidR="002B2A56">
        <w:rPr>
          <w:szCs w:val="22"/>
        </w:rPr>
        <w:t>OSPs</w:t>
      </w:r>
      <w:r w:rsidRPr="003E0759" w:rsidR="00FE4F79">
        <w:rPr>
          <w:szCs w:val="22"/>
        </w:rPr>
        <w:t xml:space="preserve"> to notify 911 special facilities about </w:t>
      </w:r>
      <w:r w:rsidRPr="003E0759" w:rsidR="006B7F4A">
        <w:rPr>
          <w:szCs w:val="22"/>
        </w:rPr>
        <w:t xml:space="preserve">those </w:t>
      </w:r>
      <w:r w:rsidRPr="003E0759" w:rsidR="00FE4F79">
        <w:rPr>
          <w:szCs w:val="22"/>
        </w:rPr>
        <w:t xml:space="preserve">outages that potentially affect them, it would be inappropriate for the Commission’s burden estimate to include additional notifications that its rules do not </w:t>
      </w:r>
      <w:r w:rsidRPr="003E0759" w:rsidR="006B7F4A">
        <w:rPr>
          <w:szCs w:val="22"/>
        </w:rPr>
        <w:t xml:space="preserve">require, that no party to its proceedings </w:t>
      </w:r>
      <w:r w:rsidRPr="003E0759" w:rsidR="00B77265">
        <w:rPr>
          <w:szCs w:val="22"/>
        </w:rPr>
        <w:t>h</w:t>
      </w:r>
      <w:r w:rsidRPr="003E0759" w:rsidR="006B7F4A">
        <w:rPr>
          <w:szCs w:val="22"/>
        </w:rPr>
        <w:t>as attempted to quantify,</w:t>
      </w:r>
      <w:r w:rsidRPr="003E0759" w:rsidR="00C05AA9">
        <w:rPr>
          <w:szCs w:val="22"/>
        </w:rPr>
        <w:t xml:space="preserve"> and that </w:t>
      </w:r>
      <w:r w:rsidRPr="003E0759" w:rsidR="006B7F4A">
        <w:rPr>
          <w:szCs w:val="22"/>
        </w:rPr>
        <w:t>would</w:t>
      </w:r>
      <w:r w:rsidRPr="003E0759" w:rsidR="00C05AA9">
        <w:rPr>
          <w:szCs w:val="22"/>
        </w:rPr>
        <w:t xml:space="preserve"> be the result of provider</w:t>
      </w:r>
      <w:r w:rsidRPr="003E0759" w:rsidR="004A4D81">
        <w:rPr>
          <w:szCs w:val="22"/>
        </w:rPr>
        <w:t>s</w:t>
      </w:r>
      <w:r w:rsidRPr="003E0759" w:rsidR="00C05AA9">
        <w:rPr>
          <w:szCs w:val="22"/>
        </w:rPr>
        <w:t>’ choices to implement the rule in an overinclusive and uncoordinated manner</w:t>
      </w:r>
      <w:r w:rsidRPr="003E0759" w:rsidR="00FE4F79">
        <w:rPr>
          <w:szCs w:val="22"/>
        </w:rPr>
        <w:t>.</w:t>
      </w:r>
      <w:r>
        <w:rPr>
          <w:rStyle w:val="FootnoteReference"/>
          <w:szCs w:val="22"/>
        </w:rPr>
        <w:footnoteReference w:id="56"/>
      </w:r>
      <w:r w:rsidRPr="003E0759" w:rsidR="00FE4F79">
        <w:rPr>
          <w:szCs w:val="22"/>
        </w:rPr>
        <w:t xml:space="preserve">  </w:t>
      </w:r>
      <w:r w:rsidRPr="003E0759" w:rsidR="00C05AA9">
        <w:rPr>
          <w:szCs w:val="22"/>
        </w:rPr>
        <w:t xml:space="preserve">As </w:t>
      </w:r>
      <w:r>
        <w:rPr>
          <w:szCs w:val="22"/>
        </w:rPr>
        <w:t>noted,</w:t>
      </w:r>
      <w:r w:rsidRPr="003E0759" w:rsidR="00C05AA9">
        <w:rPr>
          <w:szCs w:val="22"/>
        </w:rPr>
        <w:t xml:space="preserve"> the Commission has already found</w:t>
      </w:r>
      <w:r>
        <w:rPr>
          <w:szCs w:val="22"/>
        </w:rPr>
        <w:t xml:space="preserve"> that</w:t>
      </w:r>
      <w:r w:rsidRPr="003E0759" w:rsidR="00C05AA9">
        <w:rPr>
          <w:szCs w:val="22"/>
        </w:rPr>
        <w:t xml:space="preserve"> the proper application of the rule should limit the risk of over-notification.</w:t>
      </w:r>
      <w:r>
        <w:rPr>
          <w:rStyle w:val="FootnoteReference"/>
          <w:szCs w:val="22"/>
        </w:rPr>
        <w:footnoteReference w:id="57"/>
      </w:r>
      <w:r w:rsidRPr="003E0759" w:rsidR="00C05AA9">
        <w:rPr>
          <w:szCs w:val="22"/>
        </w:rPr>
        <w:t xml:space="preserve"> </w:t>
      </w:r>
      <w:r w:rsidR="006C3A49">
        <w:rPr>
          <w:szCs w:val="22"/>
        </w:rPr>
        <w:t xml:space="preserve"> </w:t>
      </w:r>
      <w:r w:rsidRPr="007E3DC8" w:rsidR="007E3DC8">
        <w:rPr>
          <w:szCs w:val="22"/>
        </w:rPr>
        <w:t xml:space="preserve">The Associations </w:t>
      </w:r>
      <w:r w:rsidR="00D94CC4">
        <w:rPr>
          <w:szCs w:val="22"/>
        </w:rPr>
        <w:t xml:space="preserve">also </w:t>
      </w:r>
      <w:r w:rsidRPr="007E3DC8" w:rsidR="007E3DC8">
        <w:rPr>
          <w:szCs w:val="22"/>
        </w:rPr>
        <w:t>speculate that PSAPs will face an increased burden because they will be receiving additional notifications</w:t>
      </w:r>
      <w:r w:rsidR="00B91B99">
        <w:rPr>
          <w:szCs w:val="22"/>
        </w:rPr>
        <w:t xml:space="preserve"> and may be over-notified</w:t>
      </w:r>
      <w:r w:rsidRPr="007E3DC8" w:rsidR="007E3DC8">
        <w:rPr>
          <w:szCs w:val="22"/>
        </w:rPr>
        <w:t>.  This conjecture, however, is contradicted by the record in this matter.  The public safety commenters did not identify nor quantify any additional burdens they expect to bear as a result of this collection.  To the contrary, public safety commenters have indicated that the problem with 911 special facility outage notification they face today is not too many notifications, but too few.</w:t>
      </w:r>
      <w:r>
        <w:rPr>
          <w:rStyle w:val="FootnoteReference"/>
          <w:szCs w:val="22"/>
        </w:rPr>
        <w:footnoteReference w:id="58"/>
      </w:r>
      <w:r w:rsidRPr="007E3DC8" w:rsidR="007E3DC8">
        <w:rPr>
          <w:szCs w:val="22"/>
        </w:rPr>
        <w:t xml:space="preserve">  Regardless, the Commission believes that the use to which PSAPs put these notifications, and the amount of time they will spend reviewing them, falls outside of the scope of this information collection and need not be incorporated into the Commission’s burden analysis here.</w:t>
      </w:r>
    </w:p>
    <w:p w:rsidR="00DD306D" w:rsidRPr="00167C20" w:rsidP="00167C20" w14:paraId="11E5A6CE" w14:textId="3CA3A1A0">
      <w:pPr>
        <w:pStyle w:val="ParaNum"/>
        <w:numPr>
          <w:ilvl w:val="0"/>
          <w:numId w:val="0"/>
        </w:numPr>
        <w:ind w:firstLine="720"/>
      </w:pPr>
      <w:r w:rsidRPr="003E0759">
        <w:rPr>
          <w:szCs w:val="22"/>
        </w:rPr>
        <w:t>Intrado</w:t>
      </w:r>
      <w:r w:rsidR="005778C7">
        <w:rPr>
          <w:szCs w:val="22"/>
        </w:rPr>
        <w:t>’s</w:t>
      </w:r>
      <w:r w:rsidRPr="003E0759">
        <w:rPr>
          <w:szCs w:val="22"/>
        </w:rPr>
        <w:t xml:space="preserve"> </w:t>
      </w:r>
      <w:r w:rsidR="009263A2">
        <w:rPr>
          <w:szCs w:val="22"/>
        </w:rPr>
        <w:t xml:space="preserve">speculation that the </w:t>
      </w:r>
      <w:r w:rsidRPr="003E0759">
        <w:rPr>
          <w:szCs w:val="22"/>
        </w:rPr>
        <w:t xml:space="preserve">Commission’s </w:t>
      </w:r>
      <w:r w:rsidR="005778C7">
        <w:rPr>
          <w:szCs w:val="22"/>
        </w:rPr>
        <w:t xml:space="preserve">burden </w:t>
      </w:r>
      <w:r w:rsidRPr="003E0759">
        <w:rPr>
          <w:szCs w:val="22"/>
        </w:rPr>
        <w:t>estimate</w:t>
      </w:r>
      <w:r w:rsidR="005778C7">
        <w:rPr>
          <w:szCs w:val="22"/>
        </w:rPr>
        <w:t xml:space="preserve"> for the 30-minute notification requirement </w:t>
      </w:r>
      <w:r w:rsidRPr="003E0759">
        <w:rPr>
          <w:szCs w:val="22"/>
        </w:rPr>
        <w:t>is based “just on the physical act of sending out a notification by e-mail</w:t>
      </w:r>
      <w:r w:rsidR="009C1C8A">
        <w:rPr>
          <w:szCs w:val="22"/>
        </w:rPr>
        <w:t>”</w:t>
      </w:r>
      <w:r>
        <w:rPr>
          <w:rStyle w:val="FootnoteReference"/>
          <w:szCs w:val="22"/>
        </w:rPr>
        <w:footnoteReference w:id="59"/>
      </w:r>
      <w:r w:rsidR="005778C7">
        <w:rPr>
          <w:szCs w:val="22"/>
        </w:rPr>
        <w:t xml:space="preserve"> is likewise un</w:t>
      </w:r>
      <w:r w:rsidR="009263A2">
        <w:rPr>
          <w:szCs w:val="22"/>
        </w:rPr>
        <w:t>founded</w:t>
      </w:r>
      <w:r w:rsidR="005778C7">
        <w:rPr>
          <w:szCs w:val="22"/>
        </w:rPr>
        <w:t>.  Intrado offer</w:t>
      </w:r>
      <w:r w:rsidR="009263A2">
        <w:rPr>
          <w:szCs w:val="22"/>
        </w:rPr>
        <w:t>s</w:t>
      </w:r>
      <w:r w:rsidR="005778C7">
        <w:rPr>
          <w:szCs w:val="22"/>
        </w:rPr>
        <w:t xml:space="preserve"> </w:t>
      </w:r>
      <w:r w:rsidR="009263A2">
        <w:rPr>
          <w:szCs w:val="22"/>
        </w:rPr>
        <w:t>no</w:t>
      </w:r>
      <w:r w:rsidR="005778C7">
        <w:rPr>
          <w:szCs w:val="22"/>
        </w:rPr>
        <w:t xml:space="preserve"> support </w:t>
      </w:r>
      <w:r w:rsidR="009263A2">
        <w:rPr>
          <w:szCs w:val="22"/>
        </w:rPr>
        <w:t>for this conjecture</w:t>
      </w:r>
      <w:r w:rsidR="005778C7">
        <w:rPr>
          <w:szCs w:val="22"/>
        </w:rPr>
        <w:t xml:space="preserve">.  </w:t>
      </w:r>
      <w:r w:rsidR="007A7DAF">
        <w:rPr>
          <w:szCs w:val="22"/>
        </w:rPr>
        <w:t xml:space="preserve">To the contrary, the estimate includes all </w:t>
      </w:r>
      <w:r w:rsidR="006D537E">
        <w:rPr>
          <w:szCs w:val="22"/>
        </w:rPr>
        <w:t xml:space="preserve">of the activities associated with </w:t>
      </w:r>
      <w:r w:rsidR="009244D2">
        <w:rPr>
          <w:szCs w:val="22"/>
        </w:rPr>
        <w:t xml:space="preserve">preparing and transmitting </w:t>
      </w:r>
      <w:r w:rsidR="00714BEB">
        <w:rPr>
          <w:szCs w:val="22"/>
        </w:rPr>
        <w:t xml:space="preserve">required </w:t>
      </w:r>
      <w:r w:rsidR="009244D2">
        <w:rPr>
          <w:szCs w:val="22"/>
        </w:rPr>
        <w:t>notifications</w:t>
      </w:r>
      <w:r w:rsidR="000F53A0">
        <w:rPr>
          <w:szCs w:val="22"/>
        </w:rPr>
        <w:t xml:space="preserve"> </w:t>
      </w:r>
      <w:r w:rsidR="00447C90">
        <w:rPr>
          <w:szCs w:val="22"/>
        </w:rPr>
        <w:t xml:space="preserve">including </w:t>
      </w:r>
      <w:r w:rsidR="00E73F81">
        <w:rPr>
          <w:szCs w:val="22"/>
        </w:rPr>
        <w:t xml:space="preserve">obtaining and </w:t>
      </w:r>
      <w:r w:rsidR="00E412FC">
        <w:rPr>
          <w:szCs w:val="22"/>
        </w:rPr>
        <w:t>maintaining a list of 911 special facilities and 988 special facilities,</w:t>
      </w:r>
      <w:r w:rsidR="00691142">
        <w:rPr>
          <w:szCs w:val="22"/>
        </w:rPr>
        <w:t xml:space="preserve"> up to date contact information,</w:t>
      </w:r>
      <w:r w:rsidR="00E412FC">
        <w:rPr>
          <w:szCs w:val="22"/>
        </w:rPr>
        <w:t xml:space="preserve"> </w:t>
      </w:r>
      <w:r w:rsidR="0090540C">
        <w:rPr>
          <w:szCs w:val="22"/>
        </w:rPr>
        <w:t xml:space="preserve">preparing and transmitting </w:t>
      </w:r>
      <w:r w:rsidR="00447C90">
        <w:rPr>
          <w:szCs w:val="22"/>
        </w:rPr>
        <w:t xml:space="preserve">the </w:t>
      </w:r>
      <w:r w:rsidR="002204CC">
        <w:rPr>
          <w:szCs w:val="22"/>
        </w:rPr>
        <w:t>initial notification to 911 and/or 988 special facilities of the outage and providing a more detailed follow-up</w:t>
      </w:r>
      <w:r w:rsidR="009244D2">
        <w:rPr>
          <w:szCs w:val="22"/>
        </w:rPr>
        <w:t>.</w:t>
      </w:r>
      <w:r w:rsidR="00A04D2D">
        <w:rPr>
          <w:szCs w:val="22"/>
        </w:rPr>
        <w:t xml:space="preserve">  In addition, the </w:t>
      </w:r>
      <w:r w:rsidR="00A67749">
        <w:rPr>
          <w:szCs w:val="22"/>
        </w:rPr>
        <w:t xml:space="preserve">actual </w:t>
      </w:r>
      <w:r w:rsidR="00A04D2D">
        <w:rPr>
          <w:szCs w:val="22"/>
        </w:rPr>
        <w:t xml:space="preserve">burden may actually be less than </w:t>
      </w:r>
      <w:r w:rsidR="00A67749">
        <w:rPr>
          <w:szCs w:val="22"/>
        </w:rPr>
        <w:t>the estimated burden as some OSPs may have automated their PSAP outage notification processes</w:t>
      </w:r>
      <w:r w:rsidR="00E412FC">
        <w:rPr>
          <w:szCs w:val="22"/>
        </w:rPr>
        <w:t>.</w:t>
      </w:r>
    </w:p>
    <w:p w:rsidR="00F76C96" w:rsidRPr="003E0759" w:rsidP="00DD306D" w14:paraId="4FE5FFD6" w14:textId="0AEE0A56">
      <w:pPr>
        <w:pStyle w:val="ParaNum"/>
        <w:numPr>
          <w:ilvl w:val="0"/>
          <w:numId w:val="0"/>
        </w:numPr>
        <w:ind w:firstLine="720"/>
        <w:rPr>
          <w:kern w:val="0"/>
          <w:szCs w:val="22"/>
        </w:rPr>
      </w:pPr>
      <w:r w:rsidRPr="003E0759">
        <w:rPr>
          <w:szCs w:val="22"/>
        </w:rPr>
        <w:t xml:space="preserve">Intrado’s view that </w:t>
      </w:r>
      <w:r w:rsidRPr="003E0759" w:rsidR="00DD306D">
        <w:rPr>
          <w:szCs w:val="22"/>
        </w:rPr>
        <w:t>OSPs and 911 vendors will need to upgrade their networks and services and “completely redo their current incident identification and response systems” to comply with the 30-minute notification requirement</w:t>
      </w:r>
      <w:r w:rsidR="005778C7">
        <w:rPr>
          <w:szCs w:val="22"/>
        </w:rPr>
        <w:t xml:space="preserve"> is not correct</w:t>
      </w:r>
      <w:r w:rsidRPr="003E0759" w:rsidR="00DD306D">
        <w:rPr>
          <w:szCs w:val="22"/>
        </w:rPr>
        <w:t>.</w:t>
      </w:r>
      <w:r>
        <w:rPr>
          <w:rStyle w:val="FootnoteReference"/>
          <w:szCs w:val="22"/>
        </w:rPr>
        <w:footnoteReference w:id="60"/>
      </w:r>
      <w:r w:rsidRPr="003E0759" w:rsidR="00DD306D">
        <w:rPr>
          <w:szCs w:val="22"/>
        </w:rPr>
        <w:t xml:space="preserve">  As the Commission notes in its </w:t>
      </w:r>
      <w:r w:rsidRPr="003E0759" w:rsidR="00DD306D">
        <w:rPr>
          <w:i/>
          <w:iCs/>
        </w:rPr>
        <w:t>2022</w:t>
      </w:r>
      <w:r w:rsidRPr="003E0759" w:rsidR="00DD306D">
        <w:t xml:space="preserve"> </w:t>
      </w:r>
      <w:r w:rsidRPr="003E0759" w:rsidR="00DD306D">
        <w:rPr>
          <w:i/>
          <w:iCs/>
        </w:rPr>
        <w:t>Second Report and Order</w:t>
      </w:r>
      <w:r w:rsidRPr="003E0759" w:rsidR="00DD306D">
        <w:t xml:space="preserve">, the Commission’s rules already require </w:t>
      </w:r>
      <w:r w:rsidRPr="003E0759" w:rsidR="002B2A56">
        <w:t>OSPs</w:t>
      </w:r>
      <w:r w:rsidRPr="003E0759" w:rsidR="00DD306D">
        <w:t xml:space="preserve"> to send 911 outage notifications “as soon as possible”</w:t>
      </w:r>
      <w:r w:rsidRPr="003E0759" w:rsidR="00901BFE">
        <w:t xml:space="preserve"> and </w:t>
      </w:r>
      <w:r w:rsidRPr="003E0759" w:rsidR="006B7F4A">
        <w:t xml:space="preserve">require </w:t>
      </w:r>
      <w:r w:rsidRPr="003E0759" w:rsidR="00901BFE">
        <w:t xml:space="preserve">covered 911 service providers to send those notifications “as soon as possible, but </w:t>
      </w:r>
      <w:r w:rsidRPr="003E0759" w:rsidR="00901BFE">
        <w:t>no later than 30 minutes after discovering the outage.”</w:t>
      </w:r>
      <w:r>
        <w:rPr>
          <w:rStyle w:val="FootnoteReference"/>
        </w:rPr>
        <w:footnoteReference w:id="61"/>
      </w:r>
      <w:r w:rsidRPr="003E0759" w:rsidR="00DF61A3">
        <w:t xml:space="preserve">  As a result, </w:t>
      </w:r>
      <w:r w:rsidR="005778C7">
        <w:t>we expect that</w:t>
      </w:r>
      <w:r w:rsidRPr="003E0759" w:rsidR="00DF61A3">
        <w:t xml:space="preserve"> </w:t>
      </w:r>
      <w:r w:rsidRPr="003E0759" w:rsidR="002B2A56">
        <w:t>OSPs</w:t>
      </w:r>
      <w:r w:rsidRPr="003E0759" w:rsidR="00523B9A">
        <w:t>,</w:t>
      </w:r>
      <w:r w:rsidRPr="003E0759" w:rsidR="00DF61A3">
        <w:t xml:space="preserve"> </w:t>
      </w:r>
      <w:r w:rsidRPr="003E0759" w:rsidR="00901BFE">
        <w:t>covered 911 service providers</w:t>
      </w:r>
      <w:r w:rsidRPr="003E0759" w:rsidR="00523B9A">
        <w:t>, and their third-party vendors</w:t>
      </w:r>
      <w:r w:rsidRPr="003E0759" w:rsidR="00DF61A3">
        <w:t xml:space="preserve"> already have the capability to detect outages that potentially affect 911 special facilities in an amount of time that is commensurate to the public safety risk that they pose</w:t>
      </w:r>
      <w:r w:rsidRPr="003E0759" w:rsidR="00E17426">
        <w:t>.</w:t>
      </w:r>
      <w:r>
        <w:rPr>
          <w:rStyle w:val="FootnoteReference"/>
        </w:rPr>
        <w:footnoteReference w:id="62"/>
      </w:r>
      <w:r w:rsidRPr="003E0759" w:rsidR="00E17426">
        <w:t xml:space="preserve">  </w:t>
      </w:r>
      <w:r w:rsidRPr="003E0759" w:rsidR="00523B9A">
        <w:t xml:space="preserve">Because Intrado itself provides both covered 911 services and vendor services to other covered 911 service providers that are </w:t>
      </w:r>
      <w:r w:rsidRPr="003E0759" w:rsidR="006B7F4A">
        <w:t xml:space="preserve">both </w:t>
      </w:r>
      <w:r w:rsidRPr="003E0759" w:rsidR="00523B9A">
        <w:t xml:space="preserve">already subject </w:t>
      </w:r>
      <w:r w:rsidR="000F0515">
        <w:t>to</w:t>
      </w:r>
      <w:r w:rsidRPr="003E0759" w:rsidR="00523B9A">
        <w:t xml:space="preserve"> the 30-minute notification requirement,</w:t>
      </w:r>
      <w:r w:rsidR="008B4E61">
        <w:t xml:space="preserve"> </w:t>
      </w:r>
      <w:r w:rsidR="00CA72E2">
        <w:t>extending</w:t>
      </w:r>
      <w:r w:rsidRPr="003E0759" w:rsidR="00523B9A">
        <w:t xml:space="preserve"> this requirement to </w:t>
      </w:r>
      <w:r w:rsidRPr="003E0759" w:rsidR="006B7F4A">
        <w:t>OSPs</w:t>
      </w:r>
      <w:r w:rsidRPr="003E0759" w:rsidR="00523B9A">
        <w:t xml:space="preserve"> </w:t>
      </w:r>
      <w:r w:rsidR="00CA72E2">
        <w:t>should not</w:t>
      </w:r>
      <w:r w:rsidRPr="003E0759" w:rsidR="00523B9A">
        <w:t xml:space="preserve"> require </w:t>
      </w:r>
      <w:r w:rsidR="00915366">
        <w:t xml:space="preserve">OSPs nor their vendors, such as </w:t>
      </w:r>
      <w:r w:rsidRPr="003E0759" w:rsidR="00523B9A">
        <w:t>Intrado</w:t>
      </w:r>
      <w:r w:rsidR="00915366">
        <w:t>,</w:t>
      </w:r>
      <w:r w:rsidRPr="003E0759" w:rsidR="00523B9A">
        <w:t xml:space="preserve"> to </w:t>
      </w:r>
      <w:r w:rsidRPr="003E0759" w:rsidR="008A7573">
        <w:t>make</w:t>
      </w:r>
      <w:r w:rsidRPr="003E0759" w:rsidR="00523B9A">
        <w:t xml:space="preserve"> substantial network </w:t>
      </w:r>
      <w:r w:rsidRPr="003E0759" w:rsidR="008A7573">
        <w:t>investments</w:t>
      </w:r>
      <w:r w:rsidRPr="003E0759" w:rsidR="00523B9A">
        <w:t>.</w:t>
      </w:r>
      <w:r w:rsidRPr="003E0759" w:rsidR="008A7573">
        <w:t xml:space="preserve">  To the extent that providers would need to </w:t>
      </w:r>
      <w:r w:rsidRPr="003E0759" w:rsidR="006B7F4A">
        <w:t>dedicate additional labor hours</w:t>
      </w:r>
      <w:r w:rsidRPr="003E0759" w:rsidR="008A7573">
        <w:t xml:space="preserve"> to comply with these requirements, those costs are already included in the Commission’s burden estimate.</w:t>
      </w:r>
    </w:p>
    <w:p w:rsidR="00CA72E2" w:rsidP="00F5595D" w14:paraId="6A5FF017" w14:textId="74DBE719">
      <w:pPr>
        <w:pStyle w:val="ParaNum"/>
        <w:numPr>
          <w:ilvl w:val="0"/>
          <w:numId w:val="0"/>
        </w:numPr>
        <w:ind w:firstLine="720"/>
      </w:pPr>
      <w:r w:rsidRPr="003E0759">
        <w:rPr>
          <w:i/>
          <w:iCs/>
          <w:szCs w:val="22"/>
        </w:rPr>
        <w:t xml:space="preserve">Maintaining a Contact List.  </w:t>
      </w:r>
      <w:r>
        <w:rPr>
          <w:szCs w:val="22"/>
        </w:rPr>
        <w:t xml:space="preserve">With respect to the </w:t>
      </w:r>
      <w:r w:rsidR="00CB1A1A">
        <w:rPr>
          <w:szCs w:val="22"/>
        </w:rPr>
        <w:t>requirement</w:t>
      </w:r>
      <w:r>
        <w:rPr>
          <w:szCs w:val="22"/>
        </w:rPr>
        <w:t xml:space="preserve"> to maintain an updated PSAP contact list, I</w:t>
      </w:r>
      <w:r w:rsidRPr="003E0759" w:rsidR="00716CD7">
        <w:rPr>
          <w:szCs w:val="22"/>
        </w:rPr>
        <w:t>ntrado</w:t>
      </w:r>
      <w:r>
        <w:rPr>
          <w:szCs w:val="22"/>
        </w:rPr>
        <w:t xml:space="preserve"> argues</w:t>
      </w:r>
      <w:r w:rsidRPr="003E0759" w:rsidR="00716CD7">
        <w:rPr>
          <w:szCs w:val="22"/>
        </w:rPr>
        <w:t xml:space="preserve"> that </w:t>
      </w:r>
      <w:r w:rsidRPr="003E0759" w:rsidR="007308E2">
        <w:rPr>
          <w:szCs w:val="22"/>
        </w:rPr>
        <w:t xml:space="preserve">the </w:t>
      </w:r>
      <w:r w:rsidRPr="003E0759" w:rsidR="00E03436">
        <w:rPr>
          <w:szCs w:val="22"/>
        </w:rPr>
        <w:t>Commission incorrectly estimated the time it will take to create the initial PSAP contact list, the time needed to keep the list updated, and the average hourly rate of employees assigned these tasks.</w:t>
      </w:r>
      <w:r>
        <w:rPr>
          <w:rStyle w:val="FootnoteReference"/>
          <w:szCs w:val="22"/>
        </w:rPr>
        <w:footnoteReference w:id="63"/>
      </w:r>
      <w:r w:rsidRPr="003E0759" w:rsidR="00E03436">
        <w:rPr>
          <w:szCs w:val="22"/>
        </w:rPr>
        <w:t xml:space="preserve">  </w:t>
      </w:r>
      <w:r>
        <w:rPr>
          <w:szCs w:val="22"/>
        </w:rPr>
        <w:t xml:space="preserve">Intrado’s argument is unconvincing.  As to the average hourly rate of employees calculated by the Commission, </w:t>
      </w:r>
      <w:r w:rsidRPr="003E0759" w:rsidR="007E465C">
        <w:rPr>
          <w:szCs w:val="22"/>
        </w:rPr>
        <w:t xml:space="preserve">Intrado </w:t>
      </w:r>
      <w:r>
        <w:rPr>
          <w:szCs w:val="22"/>
        </w:rPr>
        <w:t>is simply</w:t>
      </w:r>
      <w:r w:rsidRPr="003E0759" w:rsidR="007E465C">
        <w:rPr>
          <w:szCs w:val="22"/>
        </w:rPr>
        <w:t xml:space="preserve"> incorrect to assert that the Commission provided no information on how it arrived at the average hourly rate</w:t>
      </w:r>
      <w:r>
        <w:rPr>
          <w:szCs w:val="22"/>
        </w:rPr>
        <w:t>.</w:t>
      </w:r>
      <w:r w:rsidRPr="003E0759" w:rsidR="007E465C">
        <w:rPr>
          <w:szCs w:val="22"/>
        </w:rPr>
        <w:t xml:space="preserve">  In its </w:t>
      </w:r>
      <w:r w:rsidRPr="003E0759" w:rsidR="000D6E1A">
        <w:rPr>
          <w:i/>
          <w:iCs/>
          <w:szCs w:val="22"/>
        </w:rPr>
        <w:t>Third Notice</w:t>
      </w:r>
      <w:r w:rsidRPr="003E0759" w:rsidR="000D6E1A">
        <w:rPr>
          <w:szCs w:val="22"/>
        </w:rPr>
        <w:t xml:space="preserve">, the Commission </w:t>
      </w:r>
      <w:r w:rsidRPr="003E0759">
        <w:rPr>
          <w:szCs w:val="22"/>
        </w:rPr>
        <w:t xml:space="preserve"> </w:t>
      </w:r>
      <w:r w:rsidRPr="003E0759" w:rsidR="000D6E1A">
        <w:rPr>
          <w:szCs w:val="22"/>
        </w:rPr>
        <w:t>sought comment</w:t>
      </w:r>
      <w:r w:rsidR="00B573B7">
        <w:rPr>
          <w:szCs w:val="22"/>
        </w:rPr>
        <w:t xml:space="preserve"> on</w:t>
      </w:r>
      <w:r w:rsidRPr="003E0759" w:rsidR="000D6E1A">
        <w:rPr>
          <w:szCs w:val="22"/>
        </w:rPr>
        <w:t xml:space="preserve"> whether an accurate wage estimate </w:t>
      </w:r>
      <w:r w:rsidRPr="003E0759" w:rsidR="00DD2A04">
        <w:rPr>
          <w:szCs w:val="22"/>
        </w:rPr>
        <w:t>should be derived from</w:t>
      </w:r>
      <w:r w:rsidRPr="003E0759" w:rsidR="000D6E1A">
        <w:rPr>
          <w:szCs w:val="22"/>
        </w:rPr>
        <w:t xml:space="preserve"> the Bureau of Labor Statistics’ </w:t>
      </w:r>
      <w:r w:rsidRPr="003E0759" w:rsidR="000D6E1A">
        <w:t>job category of “Communications Equipment Operators, All Other,” which the Commission used specifically to avoid under-estimating labor costs for tasks that are likely performed by lower-paid workers.</w:t>
      </w:r>
      <w:r>
        <w:rPr>
          <w:rStyle w:val="FootnoteReference"/>
          <w:szCs w:val="22"/>
        </w:rPr>
        <w:footnoteReference w:id="64"/>
      </w:r>
      <w:r w:rsidRPr="003E0759" w:rsidR="000D6E1A">
        <w:t xml:space="preserve">  </w:t>
      </w:r>
      <w:r>
        <w:t>N</w:t>
      </w:r>
      <w:r w:rsidRPr="003E0759" w:rsidR="00B06F20">
        <w:t xml:space="preserve">o commenters </w:t>
      </w:r>
      <w:r w:rsidRPr="003E0759" w:rsidR="00D6433B">
        <w:t xml:space="preserve">to its rulemaking proceeding </w:t>
      </w:r>
      <w:r w:rsidRPr="003E0759" w:rsidR="00B06F20">
        <w:t xml:space="preserve">opposed this wage estimate, </w:t>
      </w:r>
      <w:r>
        <w:t xml:space="preserve">and </w:t>
      </w:r>
      <w:r w:rsidRPr="003E0759" w:rsidR="00B06F20">
        <w:t>t</w:t>
      </w:r>
      <w:r w:rsidRPr="003E0759" w:rsidR="000D6E1A">
        <w:t xml:space="preserve">he Commission </w:t>
      </w:r>
      <w:r>
        <w:t>thus</w:t>
      </w:r>
      <w:r w:rsidRPr="003E0759" w:rsidR="000D6E1A">
        <w:t xml:space="preserve"> </w:t>
      </w:r>
      <w:r w:rsidRPr="003E0759" w:rsidR="00D6433B">
        <w:t xml:space="preserve">reasonably </w:t>
      </w:r>
      <w:r w:rsidRPr="003E0759" w:rsidR="000D6E1A">
        <w:t xml:space="preserve">relied upon </w:t>
      </w:r>
      <w:r w:rsidRPr="003E0759" w:rsidR="004873AB">
        <w:t>this estimate</w:t>
      </w:r>
      <w:r w:rsidRPr="003E0759" w:rsidR="00B06F20">
        <w:t xml:space="preserve"> in</w:t>
      </w:r>
      <w:r w:rsidRPr="003E0759" w:rsidR="000D6E1A">
        <w:t xml:space="preserve"> its </w:t>
      </w:r>
      <w:r w:rsidRPr="003E0759" w:rsidR="000D6E1A">
        <w:rPr>
          <w:i/>
          <w:iCs/>
        </w:rPr>
        <w:t>Second Report and Order</w:t>
      </w:r>
      <w:r w:rsidRPr="003E0759" w:rsidR="000D6E1A">
        <w:t>.</w:t>
      </w:r>
      <w:r>
        <w:rPr>
          <w:rStyle w:val="FootnoteReference"/>
        </w:rPr>
        <w:footnoteReference w:id="65"/>
      </w:r>
    </w:p>
    <w:p w:rsidR="007E465C" w:rsidRPr="003E0759" w:rsidP="00F5595D" w14:paraId="152B906D" w14:textId="4D7EC459">
      <w:pPr>
        <w:pStyle w:val="ParaNum"/>
        <w:numPr>
          <w:ilvl w:val="0"/>
          <w:numId w:val="0"/>
        </w:numPr>
        <w:ind w:firstLine="720"/>
        <w:rPr>
          <w:szCs w:val="22"/>
        </w:rPr>
      </w:pPr>
      <w:r w:rsidRPr="003E0759">
        <w:t xml:space="preserve">Intrado also confuses </w:t>
      </w:r>
      <w:r w:rsidRPr="003E0759" w:rsidR="00D6433B">
        <w:t>the</w:t>
      </w:r>
      <w:r w:rsidRPr="003E0759">
        <w:t xml:space="preserve"> elements of the Commission’s cost estimates.</w:t>
      </w:r>
      <w:r w:rsidRPr="003E0759" w:rsidR="0014647A">
        <w:t xml:space="preserve">  </w:t>
      </w:r>
      <w:r w:rsidRPr="003E0759" w:rsidR="00AB1658">
        <w:t xml:space="preserve">While </w:t>
      </w:r>
      <w:r w:rsidRPr="003E0759" w:rsidR="00D6433B">
        <w:t>Intrado</w:t>
      </w:r>
      <w:r w:rsidRPr="003E0759" w:rsidR="0014647A">
        <w:t xml:space="preserve"> </w:t>
      </w:r>
      <w:r w:rsidRPr="003E0759" w:rsidR="00AB1658">
        <w:t xml:space="preserve">acknowledges that </w:t>
      </w:r>
      <w:r w:rsidRPr="003E0759" w:rsidR="0014647A">
        <w:t xml:space="preserve">the one-time cost of creating a PSAP contact list </w:t>
      </w:r>
      <w:r w:rsidRPr="003E0759" w:rsidR="00AB1658">
        <w:t xml:space="preserve">encompasses the costs of creating an e-mail survey and harmonizing outage notification templates, </w:t>
      </w:r>
      <w:r w:rsidRPr="003E0759" w:rsidR="00D6433B">
        <w:t>it</w:t>
      </w:r>
      <w:r w:rsidRPr="003E0759" w:rsidR="00AB1658">
        <w:t xml:space="preserve"> argues that this cost estimate is too low because it underestimates the costs of </w:t>
      </w:r>
      <w:r w:rsidRPr="003E0759" w:rsidR="00786089">
        <w:t>following up with PSAPs that do not respond.</w:t>
      </w:r>
      <w:r>
        <w:rPr>
          <w:rStyle w:val="FootnoteReference"/>
        </w:rPr>
        <w:footnoteReference w:id="66"/>
      </w:r>
      <w:r w:rsidRPr="003E0759" w:rsidR="00786089">
        <w:t xml:space="preserve">  However, the Commission has </w:t>
      </w:r>
      <w:r w:rsidRPr="003E0759" w:rsidR="00E93620">
        <w:t xml:space="preserve">properly considered </w:t>
      </w:r>
      <w:r w:rsidRPr="003E0759" w:rsidR="00445A29">
        <w:t xml:space="preserve">as part of its estimate of annual costs </w:t>
      </w:r>
      <w:r w:rsidRPr="003E0759" w:rsidR="00E93620">
        <w:t xml:space="preserve">the </w:t>
      </w:r>
      <w:r w:rsidR="00A67077">
        <w:t xml:space="preserve">potential need for follow-up with PSAPS that do not respond </w:t>
      </w:r>
      <w:r w:rsidRPr="003E0759" w:rsidR="00786089">
        <w:t>.</w:t>
      </w:r>
      <w:r>
        <w:rPr>
          <w:rStyle w:val="FootnoteReference"/>
        </w:rPr>
        <w:footnoteReference w:id="67"/>
      </w:r>
      <w:r w:rsidRPr="003E0759" w:rsidR="007951DB">
        <w:t xml:space="preserve">  </w:t>
      </w:r>
      <w:r w:rsidR="008506E7">
        <w:t xml:space="preserve">Furthermore, as discussed below, the Commission has </w:t>
      </w:r>
      <w:r w:rsidR="007B4FF9">
        <w:t xml:space="preserve">upwardly </w:t>
      </w:r>
      <w:r w:rsidR="00D26168">
        <w:rPr>
          <w:szCs w:val="22"/>
        </w:rPr>
        <w:t xml:space="preserve">adjusted </w:t>
      </w:r>
      <w:r w:rsidR="007B4FF9">
        <w:rPr>
          <w:szCs w:val="22"/>
        </w:rPr>
        <w:t xml:space="preserve">the </w:t>
      </w:r>
      <w:r w:rsidRPr="003E0759" w:rsidR="00D26168">
        <w:rPr>
          <w:szCs w:val="22"/>
        </w:rPr>
        <w:t xml:space="preserve">burden estimate </w:t>
      </w:r>
      <w:r w:rsidR="008506E7">
        <w:t xml:space="preserve">to reflect the </w:t>
      </w:r>
      <w:r w:rsidRPr="003E0759" w:rsidR="000958F6">
        <w:rPr>
          <w:szCs w:val="22"/>
        </w:rPr>
        <w:t>cost estimates submitted to the Commission by AT&amp;T</w:t>
      </w:r>
      <w:r w:rsidR="007B4FF9">
        <w:rPr>
          <w:szCs w:val="22"/>
        </w:rPr>
        <w:t>.</w:t>
      </w:r>
    </w:p>
    <w:p w:rsidR="007E465C" w:rsidRPr="003E0759" w:rsidP="00F5595D" w14:paraId="0FD8754E" w14:textId="77777777">
      <w:pPr>
        <w:pStyle w:val="ParaNum"/>
        <w:numPr>
          <w:ilvl w:val="0"/>
          <w:numId w:val="0"/>
        </w:numPr>
        <w:ind w:firstLine="720"/>
        <w:rPr>
          <w:szCs w:val="22"/>
        </w:rPr>
      </w:pPr>
      <w:r w:rsidRPr="003E0759">
        <w:t>Intrado</w:t>
      </w:r>
      <w:r w:rsidR="00CA72E2">
        <w:t>’s</w:t>
      </w:r>
      <w:r w:rsidRPr="003E0759">
        <w:t xml:space="preserve"> </w:t>
      </w:r>
      <w:r w:rsidR="00CA72E2">
        <w:t>argument that</w:t>
      </w:r>
      <w:r w:rsidRPr="003E0759" w:rsidR="00CA72E2">
        <w:t xml:space="preserve"> </w:t>
      </w:r>
      <w:r w:rsidRPr="003E0759">
        <w:t xml:space="preserve">the one-time cost analyses in the Commission’s </w:t>
      </w:r>
      <w:r w:rsidRPr="003E0759">
        <w:rPr>
          <w:i/>
          <w:iCs/>
        </w:rPr>
        <w:t xml:space="preserve">Second Report and Order </w:t>
      </w:r>
      <w:r w:rsidR="00CA72E2">
        <w:t>is in conflict with the Commission’s</w:t>
      </w:r>
      <w:r w:rsidRPr="003E0759">
        <w:t xml:space="preserve"> Final Regulatory Flexibility Analysis </w:t>
      </w:r>
      <w:r w:rsidR="00CA72E2">
        <w:t>is also without merit</w:t>
      </w:r>
      <w:r w:rsidRPr="003E0759">
        <w:t>.</w:t>
      </w:r>
      <w:r>
        <w:rPr>
          <w:rStyle w:val="FootnoteReference"/>
        </w:rPr>
        <w:footnoteReference w:id="68"/>
      </w:r>
      <w:r w:rsidRPr="003E0759">
        <w:t xml:space="preserve">  </w:t>
      </w:r>
      <w:r w:rsidR="00CA72E2">
        <w:t>Intrado did not identify specific differences in these analyses and</w:t>
      </w:r>
      <w:r w:rsidRPr="003E0759">
        <w:t xml:space="preserve"> </w:t>
      </w:r>
      <w:r w:rsidRPr="003E0759" w:rsidR="006B7F4A">
        <w:t>the Commission</w:t>
      </w:r>
      <w:r w:rsidR="00CA72E2">
        <w:t xml:space="preserve"> itself has been </w:t>
      </w:r>
      <w:r w:rsidRPr="003E0759">
        <w:t xml:space="preserve">unable to </w:t>
      </w:r>
      <w:r w:rsidR="00CA72E2">
        <w:t xml:space="preserve">discern any such differences.  The one-time cost analyses in the </w:t>
      </w:r>
      <w:r w:rsidR="00CA72E2">
        <w:rPr>
          <w:i/>
        </w:rPr>
        <w:t xml:space="preserve">Second Report and Order </w:t>
      </w:r>
      <w:r w:rsidR="00CA72E2">
        <w:rPr>
          <w:iCs/>
        </w:rPr>
        <w:t xml:space="preserve">and the Final Regulatory Flexibility Analysis </w:t>
      </w:r>
      <w:r w:rsidRPr="003E0759">
        <w:t>capture the same costs.</w:t>
      </w:r>
      <w:r>
        <w:rPr>
          <w:rStyle w:val="FootnoteReference"/>
        </w:rPr>
        <w:footnoteReference w:id="69"/>
      </w:r>
    </w:p>
    <w:p w:rsidR="009263A2" w:rsidP="002A328B" w14:paraId="69E200C5" w14:textId="5F5308EC">
      <w:pPr>
        <w:pStyle w:val="ParaNum"/>
        <w:numPr>
          <w:ilvl w:val="0"/>
          <w:numId w:val="0"/>
        </w:numPr>
        <w:ind w:firstLine="720"/>
        <w:rPr>
          <w:szCs w:val="22"/>
        </w:rPr>
      </w:pPr>
      <w:r>
        <w:rPr>
          <w:szCs w:val="22"/>
        </w:rPr>
        <w:t xml:space="preserve">To the extent that </w:t>
      </w:r>
      <w:r w:rsidRPr="003E0759" w:rsidR="00B35E57">
        <w:rPr>
          <w:szCs w:val="22"/>
        </w:rPr>
        <w:t xml:space="preserve">Intrado and the </w:t>
      </w:r>
      <w:r w:rsidRPr="003E0759" w:rsidR="00E03436">
        <w:rPr>
          <w:szCs w:val="22"/>
        </w:rPr>
        <w:t>Associations</w:t>
      </w:r>
      <w:r w:rsidRPr="003E0759" w:rsidR="00D6433B">
        <w:rPr>
          <w:szCs w:val="22"/>
        </w:rPr>
        <w:t xml:space="preserve"> </w:t>
      </w:r>
      <w:r>
        <w:rPr>
          <w:szCs w:val="22"/>
        </w:rPr>
        <w:t>both argue</w:t>
      </w:r>
      <w:r w:rsidRPr="003E0759" w:rsidR="00D6433B">
        <w:rPr>
          <w:szCs w:val="22"/>
        </w:rPr>
        <w:t xml:space="preserve"> </w:t>
      </w:r>
      <w:r w:rsidRPr="003E0759" w:rsidR="00491307">
        <w:rPr>
          <w:szCs w:val="22"/>
        </w:rPr>
        <w:t xml:space="preserve">that </w:t>
      </w:r>
      <w:r w:rsidRPr="003E0759" w:rsidR="00E03436">
        <w:rPr>
          <w:szCs w:val="22"/>
        </w:rPr>
        <w:t xml:space="preserve">the Commission’s estimated burden for OSPs to maintain the PSAP contact information is </w:t>
      </w:r>
      <w:r w:rsidRPr="003E0759" w:rsidR="00D6433B">
        <w:rPr>
          <w:szCs w:val="22"/>
        </w:rPr>
        <w:t xml:space="preserve">too low, the Commission </w:t>
      </w:r>
      <w:r w:rsidRPr="003E0759" w:rsidR="001B2AE1">
        <w:rPr>
          <w:szCs w:val="22"/>
        </w:rPr>
        <w:t xml:space="preserve">has </w:t>
      </w:r>
      <w:r w:rsidRPr="003E0759" w:rsidR="00D6433B">
        <w:rPr>
          <w:szCs w:val="22"/>
        </w:rPr>
        <w:t>revised its</w:t>
      </w:r>
      <w:r w:rsidRPr="003E0759" w:rsidR="002A328B">
        <w:rPr>
          <w:szCs w:val="22"/>
        </w:rPr>
        <w:t xml:space="preserve"> cost estimates</w:t>
      </w:r>
      <w:r>
        <w:rPr>
          <w:szCs w:val="22"/>
        </w:rPr>
        <w:t xml:space="preserve"> as appropriate</w:t>
      </w:r>
      <w:r w:rsidRPr="003E0759" w:rsidR="002A328B">
        <w:rPr>
          <w:szCs w:val="22"/>
        </w:rPr>
        <w:t>.</w:t>
      </w:r>
      <w:r>
        <w:rPr>
          <w:rStyle w:val="FootnoteReference"/>
          <w:szCs w:val="22"/>
        </w:rPr>
        <w:footnoteReference w:id="70"/>
      </w:r>
      <w:r w:rsidRPr="003E0759" w:rsidR="00B35E57">
        <w:rPr>
          <w:szCs w:val="22"/>
        </w:rPr>
        <w:t xml:space="preserve">  </w:t>
      </w:r>
      <w:r w:rsidRPr="003E0759" w:rsidR="00D6433B">
        <w:rPr>
          <w:szCs w:val="22"/>
        </w:rPr>
        <w:t xml:space="preserve">The </w:t>
      </w:r>
      <w:r w:rsidRPr="003E0759" w:rsidR="001B2AE1">
        <w:rPr>
          <w:szCs w:val="22"/>
        </w:rPr>
        <w:t xml:space="preserve">Commission has </w:t>
      </w:r>
      <w:r>
        <w:rPr>
          <w:szCs w:val="22"/>
        </w:rPr>
        <w:t xml:space="preserve">adjusted </w:t>
      </w:r>
      <w:r w:rsidRPr="003E0759" w:rsidR="001B2AE1">
        <w:rPr>
          <w:szCs w:val="22"/>
        </w:rPr>
        <w:t>the</w:t>
      </w:r>
      <w:r w:rsidRPr="003E0759" w:rsidR="00D6433B">
        <w:rPr>
          <w:szCs w:val="22"/>
        </w:rPr>
        <w:t xml:space="preserve"> burden estimate </w:t>
      </w:r>
      <w:r w:rsidR="009A18C1">
        <w:rPr>
          <w:szCs w:val="22"/>
        </w:rPr>
        <w:t>to</w:t>
      </w:r>
      <w:r w:rsidRPr="003E0759" w:rsidR="00D6433B">
        <w:rPr>
          <w:szCs w:val="22"/>
        </w:rPr>
        <w:t xml:space="preserve"> reflect </w:t>
      </w:r>
      <w:r w:rsidRPr="003E0759" w:rsidR="001B2AE1">
        <w:rPr>
          <w:szCs w:val="22"/>
        </w:rPr>
        <w:t xml:space="preserve">the </w:t>
      </w:r>
      <w:r w:rsidRPr="003E0759" w:rsidR="00D6433B">
        <w:rPr>
          <w:szCs w:val="22"/>
        </w:rPr>
        <w:t>cost</w:t>
      </w:r>
      <w:r w:rsidRPr="003E0759" w:rsidR="001B2AE1">
        <w:rPr>
          <w:szCs w:val="22"/>
        </w:rPr>
        <w:t xml:space="preserve"> estimates</w:t>
      </w:r>
      <w:r w:rsidRPr="003E0759" w:rsidR="00D6433B">
        <w:rPr>
          <w:szCs w:val="22"/>
        </w:rPr>
        <w:t xml:space="preserve"> submitted </w:t>
      </w:r>
      <w:r w:rsidRPr="003E0759" w:rsidR="001B2AE1">
        <w:rPr>
          <w:szCs w:val="22"/>
        </w:rPr>
        <w:t xml:space="preserve">to the Commission </w:t>
      </w:r>
      <w:r w:rsidRPr="003E0759" w:rsidR="00D6433B">
        <w:rPr>
          <w:szCs w:val="22"/>
        </w:rPr>
        <w:t>by AT&amp;T</w:t>
      </w:r>
      <w:r w:rsidR="009A18C1">
        <w:rPr>
          <w:szCs w:val="22"/>
        </w:rPr>
        <w:t>,</w:t>
      </w:r>
      <w:r>
        <w:rPr>
          <w:szCs w:val="22"/>
        </w:rPr>
        <w:t xml:space="preserve"> as recommended by the Associations</w:t>
      </w:r>
      <w:r w:rsidRPr="003E0759" w:rsidR="001B2AE1">
        <w:rPr>
          <w:szCs w:val="22"/>
        </w:rPr>
        <w:t>.</w:t>
      </w:r>
      <w:r>
        <w:rPr>
          <w:rStyle w:val="FootnoteReference"/>
          <w:szCs w:val="22"/>
        </w:rPr>
        <w:footnoteReference w:id="71"/>
      </w:r>
      <w:r w:rsidRPr="003E0759" w:rsidR="004873AB">
        <w:rPr>
          <w:szCs w:val="22"/>
        </w:rPr>
        <w:t xml:space="preserve">  </w:t>
      </w:r>
      <w:r>
        <w:rPr>
          <w:szCs w:val="22"/>
        </w:rPr>
        <w:t>On the other hand,</w:t>
      </w:r>
      <w:r w:rsidRPr="003E0759" w:rsidR="001B2AE1">
        <w:rPr>
          <w:szCs w:val="22"/>
        </w:rPr>
        <w:t xml:space="preserve"> the Commission </w:t>
      </w:r>
      <w:r w:rsidRPr="003E0759" w:rsidR="004873AB">
        <w:rPr>
          <w:szCs w:val="22"/>
        </w:rPr>
        <w:t xml:space="preserve">is not persuaded by </w:t>
      </w:r>
      <w:r>
        <w:rPr>
          <w:szCs w:val="22"/>
        </w:rPr>
        <w:t>Intrado’s</w:t>
      </w:r>
      <w:r w:rsidRPr="003E0759" w:rsidR="004873AB">
        <w:rPr>
          <w:szCs w:val="22"/>
        </w:rPr>
        <w:t xml:space="preserve"> alternative cost estimates</w:t>
      </w:r>
      <w:r w:rsidRPr="003E0759" w:rsidR="00EE5184">
        <w:rPr>
          <w:szCs w:val="22"/>
        </w:rPr>
        <w:t xml:space="preserve">, which are </w:t>
      </w:r>
      <w:r w:rsidRPr="003E0759" w:rsidR="001B2AE1">
        <w:rPr>
          <w:szCs w:val="22"/>
        </w:rPr>
        <w:t>not supported by</w:t>
      </w:r>
      <w:r w:rsidRPr="003E0759" w:rsidR="00EE5184">
        <w:rPr>
          <w:szCs w:val="22"/>
        </w:rPr>
        <w:t xml:space="preserve"> evidence and do not take into </w:t>
      </w:r>
      <w:r w:rsidRPr="003E0759" w:rsidR="001B2AE1">
        <w:rPr>
          <w:szCs w:val="22"/>
        </w:rPr>
        <w:t>consideration the fact</w:t>
      </w:r>
      <w:r w:rsidRPr="003E0759" w:rsidR="00EE5184">
        <w:rPr>
          <w:szCs w:val="22"/>
        </w:rPr>
        <w:t xml:space="preserve"> that burdens would differ for providers of different sizes.</w:t>
      </w:r>
      <w:r>
        <w:rPr>
          <w:rStyle w:val="FootnoteReference"/>
          <w:szCs w:val="22"/>
        </w:rPr>
        <w:footnoteReference w:id="72"/>
      </w:r>
      <w:r w:rsidRPr="003E0759" w:rsidR="00C57748">
        <w:rPr>
          <w:szCs w:val="22"/>
        </w:rPr>
        <w:t xml:space="preserve">  </w:t>
      </w:r>
      <w:r>
        <w:rPr>
          <w:szCs w:val="22"/>
        </w:rPr>
        <w:t>Accordingly,</w:t>
      </w:r>
      <w:r w:rsidRPr="003E0759" w:rsidR="00C57748">
        <w:rPr>
          <w:szCs w:val="22"/>
        </w:rPr>
        <w:t xml:space="preserve"> the </w:t>
      </w:r>
      <w:r>
        <w:rPr>
          <w:szCs w:val="22"/>
        </w:rPr>
        <w:t xml:space="preserve">Commission did not adjust its cost estimate in response to Intrado’s comments.  </w:t>
      </w:r>
      <w:r w:rsidRPr="003E0759">
        <w:rPr>
          <w:szCs w:val="22"/>
        </w:rPr>
        <w:t>The adjusted cost estimate, which the Commission believes is reasonable and accurate, is reflected below.</w:t>
      </w:r>
    </w:p>
    <w:p w:rsidR="00F5595D" w:rsidRPr="003E0759" w:rsidP="0004741E" w14:paraId="332E6D93" w14:textId="7E1B0FF6">
      <w:pPr>
        <w:pStyle w:val="ParaNum"/>
        <w:numPr>
          <w:ilvl w:val="0"/>
          <w:numId w:val="0"/>
        </w:numPr>
        <w:ind w:firstLine="720"/>
        <w:rPr>
          <w:szCs w:val="22"/>
        </w:rPr>
      </w:pPr>
      <w:r w:rsidRPr="003E0759">
        <w:rPr>
          <w:szCs w:val="22"/>
        </w:rPr>
        <w:t xml:space="preserve">Intrado and the Associations both argue the burdens </w:t>
      </w:r>
      <w:r w:rsidR="00261874">
        <w:rPr>
          <w:szCs w:val="22"/>
        </w:rPr>
        <w:t>of maintain</w:t>
      </w:r>
      <w:r w:rsidR="00C54EB6">
        <w:rPr>
          <w:szCs w:val="22"/>
        </w:rPr>
        <w:t>ing</w:t>
      </w:r>
      <w:r w:rsidR="00261874">
        <w:rPr>
          <w:szCs w:val="22"/>
        </w:rPr>
        <w:t xml:space="preserve"> PSAP contact lists</w:t>
      </w:r>
      <w:r w:rsidRPr="003E0759">
        <w:rPr>
          <w:szCs w:val="22"/>
        </w:rPr>
        <w:t xml:space="preserve"> could have been reduced </w:t>
      </w:r>
      <w:r w:rsidRPr="003E0759" w:rsidR="0004741E">
        <w:rPr>
          <w:szCs w:val="22"/>
        </w:rPr>
        <w:t xml:space="preserve">further </w:t>
      </w:r>
      <w:r w:rsidRPr="003E0759">
        <w:rPr>
          <w:szCs w:val="22"/>
        </w:rPr>
        <w:t xml:space="preserve">if the FCC had </w:t>
      </w:r>
      <w:r w:rsidRPr="003E0759" w:rsidR="001B2AE1">
        <w:rPr>
          <w:szCs w:val="22"/>
        </w:rPr>
        <w:t xml:space="preserve">opted to </w:t>
      </w:r>
      <w:r w:rsidRPr="003E0759">
        <w:rPr>
          <w:szCs w:val="22"/>
        </w:rPr>
        <w:t xml:space="preserve">create a centralized database </w:t>
      </w:r>
      <w:r w:rsidRPr="003E0759" w:rsidR="0004741E">
        <w:rPr>
          <w:szCs w:val="22"/>
        </w:rPr>
        <w:t xml:space="preserve">for PSAP contact information </w:t>
      </w:r>
      <w:r w:rsidRPr="003E0759">
        <w:rPr>
          <w:szCs w:val="22"/>
        </w:rPr>
        <w:t>rather than requiring OSPs to create and maintain a PSAP contact list.</w:t>
      </w:r>
      <w:r>
        <w:rPr>
          <w:rStyle w:val="FootnoteReference"/>
          <w:szCs w:val="22"/>
        </w:rPr>
        <w:footnoteReference w:id="73"/>
      </w:r>
      <w:r w:rsidRPr="003E0759">
        <w:rPr>
          <w:szCs w:val="22"/>
        </w:rPr>
        <w:t xml:space="preserve">  Intrado</w:t>
      </w:r>
      <w:r w:rsidRPr="003E0759" w:rsidR="0004741E">
        <w:rPr>
          <w:szCs w:val="22"/>
        </w:rPr>
        <w:t xml:space="preserve"> </w:t>
      </w:r>
      <w:r w:rsidRPr="003E0759" w:rsidR="00491307">
        <w:rPr>
          <w:szCs w:val="22"/>
        </w:rPr>
        <w:t>maintains that</w:t>
      </w:r>
      <w:r w:rsidRPr="003E0759">
        <w:rPr>
          <w:szCs w:val="22"/>
        </w:rPr>
        <w:t xml:space="preserve"> the </w:t>
      </w:r>
      <w:r w:rsidRPr="003E0759" w:rsidR="0004741E">
        <w:rPr>
          <w:szCs w:val="22"/>
        </w:rPr>
        <w:t xml:space="preserve">creation of a database was widely supported and that the </w:t>
      </w:r>
      <w:r w:rsidRPr="003E0759">
        <w:rPr>
          <w:szCs w:val="22"/>
        </w:rPr>
        <w:t xml:space="preserve">Commission rejected the </w:t>
      </w:r>
      <w:r w:rsidRPr="003E0759" w:rsidR="0004741E">
        <w:rPr>
          <w:szCs w:val="22"/>
        </w:rPr>
        <w:t>possibility of creating a database without explaining why it did so.</w:t>
      </w:r>
      <w:r>
        <w:rPr>
          <w:rStyle w:val="FootnoteReference"/>
          <w:szCs w:val="22"/>
        </w:rPr>
        <w:footnoteReference w:id="74"/>
      </w:r>
      <w:r w:rsidRPr="003E0759" w:rsidR="0004741E">
        <w:rPr>
          <w:szCs w:val="22"/>
        </w:rPr>
        <w:t xml:space="preserve">  Intrado’s assertion is false, as the Commission found in its </w:t>
      </w:r>
      <w:r w:rsidRPr="003E0759" w:rsidR="0004741E">
        <w:rPr>
          <w:i/>
          <w:iCs/>
        </w:rPr>
        <w:t>2022</w:t>
      </w:r>
      <w:r w:rsidRPr="003E0759" w:rsidR="0004741E">
        <w:t xml:space="preserve"> </w:t>
      </w:r>
      <w:r w:rsidRPr="003E0759" w:rsidR="0004741E">
        <w:rPr>
          <w:i/>
          <w:iCs/>
        </w:rPr>
        <w:t xml:space="preserve">Second Report and Order </w:t>
      </w:r>
      <w:r w:rsidRPr="003E0759" w:rsidR="0004741E">
        <w:t>that there was conflicting evidence in the record about the potential costs and benefits of differing database proposals and deferred the issue for later consideration</w:t>
      </w:r>
      <w:r w:rsidRPr="003E0759" w:rsidR="0004741E">
        <w:rPr>
          <w:szCs w:val="22"/>
        </w:rPr>
        <w:t>.</w:t>
      </w:r>
      <w:r>
        <w:rPr>
          <w:rStyle w:val="FootnoteReference"/>
          <w:szCs w:val="22"/>
        </w:rPr>
        <w:footnoteReference w:id="75"/>
      </w:r>
      <w:r w:rsidRPr="003E0759" w:rsidR="0004741E">
        <w:rPr>
          <w:szCs w:val="22"/>
        </w:rPr>
        <w:t xml:space="preserve">  </w:t>
      </w:r>
      <w:r w:rsidRPr="003E0759" w:rsidR="002F5D2C">
        <w:rPr>
          <w:szCs w:val="22"/>
        </w:rPr>
        <w:t>In any event, the Commission noted that any entity is free to establish and maintain a centralized contact database for 911 special facilities if it ch</w:t>
      </w:r>
      <w:r w:rsidR="007F43F4">
        <w:rPr>
          <w:szCs w:val="22"/>
        </w:rPr>
        <w:t>o</w:t>
      </w:r>
      <w:r w:rsidRPr="003E0759" w:rsidR="002F5D2C">
        <w:rPr>
          <w:szCs w:val="22"/>
        </w:rPr>
        <w:t>ose</w:t>
      </w:r>
      <w:r w:rsidR="007F43F4">
        <w:rPr>
          <w:szCs w:val="22"/>
        </w:rPr>
        <w:t>s</w:t>
      </w:r>
      <w:r w:rsidRPr="003E0759" w:rsidR="002F5D2C">
        <w:rPr>
          <w:szCs w:val="22"/>
        </w:rPr>
        <w:t xml:space="preserve"> to do so.</w:t>
      </w:r>
      <w:r>
        <w:rPr>
          <w:rStyle w:val="FootnoteReference"/>
          <w:szCs w:val="22"/>
        </w:rPr>
        <w:footnoteReference w:id="76"/>
      </w:r>
      <w:r w:rsidRPr="003E0759" w:rsidR="002F5D2C">
        <w:rPr>
          <w:szCs w:val="22"/>
        </w:rPr>
        <w:t xml:space="preserve">  In other words, the Commission</w:t>
      </w:r>
      <w:r w:rsidR="00261874">
        <w:rPr>
          <w:szCs w:val="22"/>
        </w:rPr>
        <w:t>’s</w:t>
      </w:r>
      <w:r w:rsidRPr="003E0759" w:rsidR="002F5D2C">
        <w:rPr>
          <w:szCs w:val="22"/>
        </w:rPr>
        <w:t xml:space="preserve"> requirement </w:t>
      </w:r>
      <w:r w:rsidR="00261874">
        <w:rPr>
          <w:szCs w:val="22"/>
        </w:rPr>
        <w:t>is</w:t>
      </w:r>
      <w:r w:rsidRPr="003E0759" w:rsidR="002F5D2C">
        <w:rPr>
          <w:szCs w:val="22"/>
        </w:rPr>
        <w:t xml:space="preserve"> appropriate to achieve </w:t>
      </w:r>
      <w:r w:rsidR="00261874">
        <w:rPr>
          <w:szCs w:val="22"/>
        </w:rPr>
        <w:t>the Commission’s</w:t>
      </w:r>
      <w:r w:rsidRPr="003E0759" w:rsidR="002F5D2C">
        <w:rPr>
          <w:szCs w:val="22"/>
        </w:rPr>
        <w:t xml:space="preserve"> objectives </w:t>
      </w:r>
      <w:r w:rsidR="00261874">
        <w:rPr>
          <w:szCs w:val="22"/>
        </w:rPr>
        <w:t>while allowing</w:t>
      </w:r>
      <w:r w:rsidRPr="003E0759" w:rsidR="002F5D2C">
        <w:rPr>
          <w:szCs w:val="22"/>
        </w:rPr>
        <w:t xml:space="preserve"> respondents </w:t>
      </w:r>
      <w:r w:rsidRPr="003E0759" w:rsidR="00DD2A04">
        <w:rPr>
          <w:szCs w:val="22"/>
        </w:rPr>
        <w:t xml:space="preserve">flexibility </w:t>
      </w:r>
      <w:r w:rsidRPr="003E0759" w:rsidR="002F5D2C">
        <w:rPr>
          <w:szCs w:val="22"/>
        </w:rPr>
        <w:t>to decide the most cost-effective way to comply with that requirement (whether that be via creating an individual contact list or collaborating on a database solution).</w:t>
      </w:r>
      <w:r>
        <w:rPr>
          <w:rStyle w:val="FootnoteReference"/>
          <w:szCs w:val="22"/>
        </w:rPr>
        <w:footnoteReference w:id="77"/>
      </w:r>
      <w:r w:rsidRPr="003E0759" w:rsidR="002F5D2C">
        <w:rPr>
          <w:szCs w:val="22"/>
        </w:rPr>
        <w:t xml:space="preserve"> </w:t>
      </w:r>
      <w:r w:rsidRPr="003E0759" w:rsidR="0004741E">
        <w:rPr>
          <w:szCs w:val="22"/>
        </w:rPr>
        <w:t xml:space="preserve"> </w:t>
      </w:r>
      <w:r w:rsidRPr="003E0759" w:rsidR="002F5D2C">
        <w:rPr>
          <w:szCs w:val="22"/>
        </w:rPr>
        <w:t xml:space="preserve">Further, </w:t>
      </w:r>
      <w:r w:rsidRPr="003E0759" w:rsidR="002B2A56">
        <w:rPr>
          <w:szCs w:val="22"/>
        </w:rPr>
        <w:t>OSPs</w:t>
      </w:r>
      <w:r w:rsidRPr="003E0759" w:rsidR="002F5D2C">
        <w:rPr>
          <w:szCs w:val="22"/>
        </w:rPr>
        <w:t xml:space="preserve"> are already required to contact PSAPs when an outage occurs, which requires them to already have current PSAP contact information</w:t>
      </w:r>
      <w:r w:rsidRPr="003E0759" w:rsidR="00822845">
        <w:rPr>
          <w:szCs w:val="22"/>
        </w:rPr>
        <w:t xml:space="preserve"> </w:t>
      </w:r>
      <w:r w:rsidRPr="003E0759" w:rsidR="002F5D2C">
        <w:rPr>
          <w:szCs w:val="22"/>
        </w:rPr>
        <w:t>that they</w:t>
      </w:r>
      <w:r w:rsidR="001E71B4">
        <w:rPr>
          <w:szCs w:val="22"/>
        </w:rPr>
        <w:t xml:space="preserve"> may</w:t>
      </w:r>
      <w:r w:rsidRPr="003E0759" w:rsidR="002F5D2C">
        <w:rPr>
          <w:szCs w:val="22"/>
        </w:rPr>
        <w:t xml:space="preserve"> </w:t>
      </w:r>
      <w:r w:rsidR="00957F64">
        <w:rPr>
          <w:szCs w:val="22"/>
        </w:rPr>
        <w:t>obtain</w:t>
      </w:r>
      <w:r w:rsidRPr="003E0759" w:rsidR="00822845">
        <w:rPr>
          <w:szCs w:val="22"/>
        </w:rPr>
        <w:t xml:space="preserve"> through various sources.</w:t>
      </w:r>
      <w:r>
        <w:rPr>
          <w:rStyle w:val="FootnoteReference"/>
          <w:szCs w:val="22"/>
        </w:rPr>
        <w:footnoteReference w:id="78"/>
      </w:r>
      <w:r w:rsidRPr="003E0759" w:rsidR="00822845">
        <w:rPr>
          <w:szCs w:val="22"/>
        </w:rPr>
        <w:t xml:space="preserve">  </w:t>
      </w:r>
      <w:r w:rsidRPr="003E0759" w:rsidR="00F425C2">
        <w:rPr>
          <w:szCs w:val="22"/>
        </w:rPr>
        <w:t>In light of these existing resources and the flexibility provided to providers as to their method of compliance, the Commission has taken reasonable steps to minimize the burdens associated with this collection.</w:t>
      </w:r>
    </w:p>
    <w:p w:rsidR="00374872" w:rsidRPr="003E0759" w:rsidP="0097554C" w14:paraId="628752EC" w14:textId="1A3963F5">
      <w:pPr>
        <w:pStyle w:val="ParaNum"/>
        <w:numPr>
          <w:ilvl w:val="0"/>
          <w:numId w:val="0"/>
        </w:numPr>
        <w:ind w:firstLine="720"/>
        <w:rPr>
          <w:szCs w:val="22"/>
        </w:rPr>
      </w:pPr>
      <w:r w:rsidRPr="003E0759">
        <w:rPr>
          <w:i/>
          <w:iCs/>
          <w:szCs w:val="22"/>
        </w:rPr>
        <w:t xml:space="preserve">Special Diligence.  </w:t>
      </w:r>
      <w:r w:rsidRPr="003E0759" w:rsidR="00125FFE">
        <w:rPr>
          <w:szCs w:val="22"/>
        </w:rPr>
        <w:t xml:space="preserve">Intrado and the Associations </w:t>
      </w:r>
      <w:r w:rsidRPr="003E0759">
        <w:rPr>
          <w:szCs w:val="22"/>
        </w:rPr>
        <w:t>c</w:t>
      </w:r>
      <w:r w:rsidRPr="003E0759" w:rsidR="00125FFE">
        <w:rPr>
          <w:szCs w:val="22"/>
        </w:rPr>
        <w:t xml:space="preserve">laim the Commission’s requirement that OSPs exercise “special diligence” to maintain the contact list is ambiguous and </w:t>
      </w:r>
      <w:r w:rsidRPr="003E0759" w:rsidR="00DD2A04">
        <w:rPr>
          <w:szCs w:val="22"/>
        </w:rPr>
        <w:t xml:space="preserve">that </w:t>
      </w:r>
      <w:r w:rsidRPr="003E0759" w:rsidR="00125FFE">
        <w:rPr>
          <w:szCs w:val="22"/>
        </w:rPr>
        <w:t xml:space="preserve">the Commission failed to provide OSPs with a way to understand what level of diligence satisfies the rule.  </w:t>
      </w:r>
      <w:r w:rsidRPr="003E0759">
        <w:rPr>
          <w:szCs w:val="22"/>
        </w:rPr>
        <w:t>Th</w:t>
      </w:r>
      <w:r w:rsidR="00261874">
        <w:rPr>
          <w:szCs w:val="22"/>
        </w:rPr>
        <w:t>is argument is unpersuasive.</w:t>
      </w:r>
      <w:r w:rsidRPr="003E0759">
        <w:rPr>
          <w:szCs w:val="22"/>
        </w:rPr>
        <w:t xml:space="preserve">  </w:t>
      </w:r>
      <w:r w:rsidRPr="003E0759" w:rsidR="0097554C">
        <w:rPr>
          <w:szCs w:val="22"/>
        </w:rPr>
        <w:t xml:space="preserve">The </w:t>
      </w:r>
      <w:r w:rsidRPr="003E0759" w:rsidR="0097554C">
        <w:rPr>
          <w:i/>
          <w:iCs/>
          <w:szCs w:val="22"/>
        </w:rPr>
        <w:t>2022</w:t>
      </w:r>
      <w:r w:rsidRPr="003E0759" w:rsidR="0097554C">
        <w:rPr>
          <w:szCs w:val="22"/>
        </w:rPr>
        <w:t xml:space="preserve"> </w:t>
      </w:r>
      <w:r w:rsidRPr="003E0759" w:rsidR="0097554C">
        <w:rPr>
          <w:i/>
          <w:iCs/>
          <w:szCs w:val="22"/>
        </w:rPr>
        <w:t>Second Report and Order</w:t>
      </w:r>
      <w:r w:rsidRPr="003E0759" w:rsidR="0097554C">
        <w:rPr>
          <w:szCs w:val="22"/>
        </w:rPr>
        <w:t xml:space="preserve"> fully explains the special diligence standard, which is defined as “</w:t>
      </w:r>
      <w:r w:rsidRPr="003E0759" w:rsidR="0097554C">
        <w:rPr>
          <w:kern w:val="0"/>
          <w:szCs w:val="22"/>
        </w:rPr>
        <w:t>the diligence expected from a person practicing in a particular field of specialty under circumstances like those at issue,” and provides an example of what special diligence may require</w:t>
      </w:r>
      <w:r w:rsidRPr="003E0759" w:rsidR="004A030F">
        <w:rPr>
          <w:kern w:val="0"/>
          <w:szCs w:val="22"/>
        </w:rPr>
        <w:t>—</w:t>
      </w:r>
      <w:r w:rsidRPr="003E0759" w:rsidR="004A030F">
        <w:rPr>
          <w:kern w:val="0"/>
        </w:rPr>
        <w:t xml:space="preserve"> actively seeking to confirm the accuracy of contact information and not relying on the absence of a response</w:t>
      </w:r>
      <w:r w:rsidRPr="003E0759" w:rsidR="0097554C">
        <w:rPr>
          <w:szCs w:val="22"/>
        </w:rPr>
        <w:t>.</w:t>
      </w:r>
      <w:r>
        <w:rPr>
          <w:rStyle w:val="FootnoteReference"/>
          <w:szCs w:val="22"/>
        </w:rPr>
        <w:footnoteReference w:id="79"/>
      </w:r>
      <w:r w:rsidRPr="003E0759" w:rsidR="0097554C">
        <w:rPr>
          <w:szCs w:val="22"/>
        </w:rPr>
        <w:t xml:space="preserve">  </w:t>
      </w:r>
      <w:r w:rsidRPr="003E0759" w:rsidR="002E14D8">
        <w:rPr>
          <w:szCs w:val="22"/>
        </w:rPr>
        <w:t xml:space="preserve">In the </w:t>
      </w:r>
      <w:r w:rsidRPr="003E0759" w:rsidR="002E14D8">
        <w:rPr>
          <w:i/>
          <w:iCs/>
          <w:szCs w:val="22"/>
        </w:rPr>
        <w:t>2024 Order on Reconsideration</w:t>
      </w:r>
      <w:r w:rsidRPr="003E0759" w:rsidR="002E14D8">
        <w:rPr>
          <w:szCs w:val="22"/>
        </w:rPr>
        <w:t>, the Commission expressly rejected the view that the special diligence standard failed to provide certainty.</w:t>
      </w:r>
      <w:r>
        <w:rPr>
          <w:rStyle w:val="FootnoteReference"/>
          <w:szCs w:val="22"/>
        </w:rPr>
        <w:footnoteReference w:id="80"/>
      </w:r>
      <w:r w:rsidRPr="003E0759" w:rsidR="002E14D8">
        <w:rPr>
          <w:szCs w:val="22"/>
        </w:rPr>
        <w:t xml:space="preserve">  </w:t>
      </w:r>
      <w:r w:rsidRPr="003E0759" w:rsidR="00DD2A04">
        <w:rPr>
          <w:szCs w:val="22"/>
        </w:rPr>
        <w:t>T</w:t>
      </w:r>
      <w:r w:rsidRPr="003E0759" w:rsidR="002E14D8">
        <w:rPr>
          <w:szCs w:val="22"/>
        </w:rPr>
        <w:t>he Commission noted that it had properly rejected commenters’ proposed alternatives to the special diligence standard, including the proposal that that three attempts to contact 911 special facilities would be sufficient to satisfy the requirement.</w:t>
      </w:r>
      <w:r>
        <w:rPr>
          <w:rStyle w:val="FootnoteReference"/>
          <w:szCs w:val="22"/>
        </w:rPr>
        <w:footnoteReference w:id="81"/>
      </w:r>
      <w:r w:rsidRPr="003E0759" w:rsidR="002E14D8">
        <w:rPr>
          <w:szCs w:val="22"/>
        </w:rPr>
        <w:t xml:space="preserve">  In doing so, the Commission made clear that approaches that would “allow 911 service providers and OSPs to satisfy their obligations . . . by simply reaching out to what may well be an outdated point of contact” would not satisfy the special diligence </w:t>
      </w:r>
      <w:r w:rsidRPr="003E0759" w:rsidR="004A030F">
        <w:rPr>
          <w:szCs w:val="22"/>
        </w:rPr>
        <w:t>standard</w:t>
      </w:r>
      <w:r w:rsidRPr="003E0759" w:rsidR="002E14D8">
        <w:rPr>
          <w:szCs w:val="22"/>
        </w:rPr>
        <w:t>.</w:t>
      </w:r>
      <w:r>
        <w:rPr>
          <w:rStyle w:val="FootnoteReference"/>
          <w:szCs w:val="22"/>
        </w:rPr>
        <w:footnoteReference w:id="82"/>
      </w:r>
      <w:r w:rsidRPr="003E0759" w:rsidR="004A030F">
        <w:rPr>
          <w:szCs w:val="22"/>
        </w:rPr>
        <w:t xml:space="preserve">  In </w:t>
      </w:r>
      <w:r w:rsidR="00261874">
        <w:rPr>
          <w:szCs w:val="22"/>
        </w:rPr>
        <w:t>short</w:t>
      </w:r>
      <w:r w:rsidRPr="003E0759" w:rsidR="004A030F">
        <w:rPr>
          <w:szCs w:val="22"/>
        </w:rPr>
        <w:t>, the Commission has provided a plain, coherent, and unambiguous explanation as to what is required of respondents</w:t>
      </w:r>
      <w:r w:rsidRPr="003E0759" w:rsidR="00DD2A04">
        <w:rPr>
          <w:szCs w:val="22"/>
        </w:rPr>
        <w:t xml:space="preserve"> to </w:t>
      </w:r>
      <w:r w:rsidR="00261874">
        <w:rPr>
          <w:szCs w:val="22"/>
        </w:rPr>
        <w:t>exercise special diligence in maintaining a PSAP contact list</w:t>
      </w:r>
      <w:r w:rsidRPr="003E0759" w:rsidR="004A030F">
        <w:rPr>
          <w:szCs w:val="22"/>
        </w:rPr>
        <w:t>.</w:t>
      </w:r>
    </w:p>
    <w:p w:rsidR="00D42FF3" w:rsidRPr="003E0759" w:rsidP="00BF6CEA" w14:paraId="5B2C29B5" w14:textId="77777777">
      <w:pPr>
        <w:spacing w:after="120"/>
        <w:rPr>
          <w:b/>
          <w:szCs w:val="22"/>
          <w:shd w:val="clear" w:color="auto" w:fill="FFFFFF"/>
        </w:rPr>
      </w:pPr>
      <w:r w:rsidRPr="003E0759">
        <w:rPr>
          <w:b/>
          <w:szCs w:val="22"/>
          <w:shd w:val="clear" w:color="auto" w:fill="FFFFFF"/>
        </w:rPr>
        <w:t>9.</w:t>
      </w:r>
      <w:r w:rsidRPr="003E0759">
        <w:rPr>
          <w:szCs w:val="22"/>
          <w:shd w:val="clear" w:color="auto" w:fill="FFFFFF"/>
        </w:rPr>
        <w:t xml:space="preserve">  </w:t>
      </w:r>
      <w:r w:rsidRPr="003E0759">
        <w:rPr>
          <w:b/>
          <w:szCs w:val="22"/>
          <w:shd w:val="clear" w:color="auto" w:fill="FFFFFF"/>
        </w:rPr>
        <w:t>Explain any decision to provide any payment or gift to respondents, other than remuneration of contractors or grantees.</w:t>
      </w:r>
    </w:p>
    <w:p w:rsidR="00D42FF3" w:rsidRPr="003E0759" w:rsidP="00BF6CEA" w14:paraId="4848EC3B" w14:textId="77777777">
      <w:pPr>
        <w:spacing w:after="120"/>
        <w:ind w:firstLine="720"/>
        <w:rPr>
          <w:szCs w:val="22"/>
          <w:shd w:val="clear" w:color="auto" w:fill="FFFFFF"/>
        </w:rPr>
      </w:pPr>
      <w:r w:rsidRPr="003E0759">
        <w:rPr>
          <w:szCs w:val="22"/>
          <w:shd w:val="clear" w:color="auto" w:fill="FFFFFF"/>
        </w:rPr>
        <w:t>No payment or gift to respondents has been or will be made</w:t>
      </w:r>
      <w:r w:rsidRPr="003E0759" w:rsidR="003B40FD">
        <w:rPr>
          <w:szCs w:val="22"/>
          <w:shd w:val="clear" w:color="auto" w:fill="FFFFFF"/>
        </w:rPr>
        <w:t xml:space="preserve"> in connection to this information collection</w:t>
      </w:r>
      <w:r w:rsidRPr="003E0759">
        <w:rPr>
          <w:szCs w:val="22"/>
          <w:shd w:val="clear" w:color="auto" w:fill="FFFFFF"/>
        </w:rPr>
        <w:t>.</w:t>
      </w:r>
    </w:p>
    <w:p w:rsidR="00D42FF3" w:rsidRPr="003E0759" w:rsidP="00BF6CEA" w14:paraId="309B675B" w14:textId="77777777">
      <w:pPr>
        <w:spacing w:after="120"/>
        <w:rPr>
          <w:b/>
          <w:szCs w:val="22"/>
          <w:shd w:val="clear" w:color="auto" w:fill="FFFFFF"/>
        </w:rPr>
      </w:pPr>
      <w:r w:rsidRPr="003E0759">
        <w:rPr>
          <w:b/>
          <w:szCs w:val="22"/>
          <w:shd w:val="clear" w:color="auto" w:fill="FFFFFF"/>
        </w:rPr>
        <w:t>10.  Describe any assurance of confidentiality provided to respondents and the basis for the assurance in statute, regulation, or agency policy.</w:t>
      </w:r>
    </w:p>
    <w:p w:rsidR="004B01C9" w:rsidRPr="003E0759" w:rsidP="00BF6CEA" w14:paraId="1D09597A" w14:textId="7D53690F">
      <w:pPr>
        <w:spacing w:after="120"/>
        <w:ind w:firstLine="720"/>
        <w:rPr>
          <w:szCs w:val="22"/>
        </w:rPr>
      </w:pPr>
      <w:r w:rsidRPr="003E0759">
        <w:rPr>
          <w:szCs w:val="22"/>
          <w:shd w:val="clear" w:color="auto" w:fill="FFFFFF"/>
        </w:rPr>
        <w:t xml:space="preserve">Outage reports filed </w:t>
      </w:r>
      <w:r w:rsidRPr="003E0759" w:rsidR="007E4B09">
        <w:rPr>
          <w:szCs w:val="22"/>
          <w:shd w:val="clear" w:color="auto" w:fill="FFFFFF"/>
        </w:rPr>
        <w:t xml:space="preserve">with the Commission </w:t>
      </w:r>
      <w:r w:rsidRPr="003E0759">
        <w:rPr>
          <w:szCs w:val="22"/>
          <w:shd w:val="clear" w:color="auto" w:fill="FFFFFF"/>
        </w:rPr>
        <w:t xml:space="preserve">pursuant to </w:t>
      </w:r>
      <w:r w:rsidRPr="003E0759" w:rsidR="001A3F91">
        <w:rPr>
          <w:szCs w:val="22"/>
          <w:shd w:val="clear" w:color="auto" w:fill="FFFFFF"/>
        </w:rPr>
        <w:t>p</w:t>
      </w:r>
      <w:r w:rsidRPr="003E0759">
        <w:rPr>
          <w:szCs w:val="22"/>
          <w:shd w:val="clear" w:color="auto" w:fill="FFFFFF"/>
        </w:rPr>
        <w:t>art 4</w:t>
      </w:r>
      <w:r w:rsidRPr="003E0759" w:rsidR="001A3F91">
        <w:rPr>
          <w:szCs w:val="22"/>
          <w:shd w:val="clear" w:color="auto" w:fill="FFFFFF"/>
        </w:rPr>
        <w:t xml:space="preserve"> of its rules</w:t>
      </w:r>
      <w:r w:rsidRPr="003E0759" w:rsidR="000854BD">
        <w:rPr>
          <w:szCs w:val="22"/>
          <w:shd w:val="clear" w:color="auto" w:fill="FFFFFF"/>
        </w:rPr>
        <w:t>, and the information contained therein,</w:t>
      </w:r>
      <w:r w:rsidRPr="003E0759">
        <w:rPr>
          <w:szCs w:val="22"/>
          <w:shd w:val="clear" w:color="auto" w:fill="FFFFFF"/>
        </w:rPr>
        <w:t xml:space="preserve"> are presumed </w:t>
      </w:r>
      <w:r w:rsidR="00423FA3">
        <w:rPr>
          <w:szCs w:val="22"/>
          <w:shd w:val="clear" w:color="auto" w:fill="FFFFFF"/>
        </w:rPr>
        <w:t xml:space="preserve">to be </w:t>
      </w:r>
      <w:r w:rsidRPr="003E0759">
        <w:rPr>
          <w:szCs w:val="22"/>
          <w:shd w:val="clear" w:color="auto" w:fill="FFFFFF"/>
        </w:rPr>
        <w:t>confidential</w:t>
      </w:r>
      <w:r w:rsidR="00423FA3">
        <w:rPr>
          <w:szCs w:val="22"/>
          <w:shd w:val="clear" w:color="auto" w:fill="FFFFFF"/>
        </w:rPr>
        <w:t xml:space="preserve"> and are not routinely available for public inspection</w:t>
      </w:r>
      <w:r w:rsidRPr="003E0759" w:rsidR="00D42FF3">
        <w:rPr>
          <w:szCs w:val="22"/>
          <w:shd w:val="clear" w:color="auto" w:fill="FFFFFF"/>
        </w:rPr>
        <w:t>.</w:t>
      </w:r>
      <w:r>
        <w:rPr>
          <w:rStyle w:val="FootnoteReference"/>
          <w:szCs w:val="22"/>
          <w:shd w:val="clear" w:color="auto" w:fill="FFFFFF"/>
        </w:rPr>
        <w:footnoteReference w:id="83"/>
      </w:r>
      <w:r w:rsidRPr="003E0759" w:rsidR="00D42FF3">
        <w:rPr>
          <w:szCs w:val="22"/>
          <w:shd w:val="clear" w:color="auto" w:fill="FFFFFF"/>
        </w:rPr>
        <w:t xml:space="preserve">  </w:t>
      </w:r>
      <w:r w:rsidRPr="003E0759" w:rsidR="003D1D9D">
        <w:rPr>
          <w:szCs w:val="22"/>
          <w:shd w:val="clear" w:color="auto" w:fill="FFFFFF"/>
        </w:rPr>
        <w:t>T</w:t>
      </w:r>
      <w:r w:rsidRPr="003E0759" w:rsidR="00781A5E">
        <w:rPr>
          <w:szCs w:val="22"/>
          <w:shd w:val="clear" w:color="auto" w:fill="FFFFFF"/>
        </w:rPr>
        <w:t xml:space="preserve">hese outage reports </w:t>
      </w:r>
      <w:r w:rsidRPr="003E0759" w:rsidR="003D1D9D">
        <w:rPr>
          <w:szCs w:val="22"/>
          <w:shd w:val="clear" w:color="auto" w:fill="FFFFFF"/>
        </w:rPr>
        <w:t xml:space="preserve">may </w:t>
      </w:r>
      <w:r w:rsidRPr="003E0759" w:rsidR="00781A5E">
        <w:rPr>
          <w:szCs w:val="22"/>
          <w:shd w:val="clear" w:color="auto" w:fill="FFFFFF"/>
        </w:rPr>
        <w:t>discuss issues affecting national security and commercial competitiveness.</w:t>
      </w:r>
      <w:r>
        <w:rPr>
          <w:rStyle w:val="FootnoteReference"/>
          <w:szCs w:val="22"/>
          <w:shd w:val="clear" w:color="auto" w:fill="FFFFFF"/>
        </w:rPr>
        <w:footnoteReference w:id="84"/>
      </w:r>
      <w:r w:rsidRPr="003E0759" w:rsidR="00781A5E">
        <w:rPr>
          <w:szCs w:val="22"/>
          <w:shd w:val="clear" w:color="auto" w:fill="FFFFFF"/>
        </w:rPr>
        <w:t xml:space="preserve">  </w:t>
      </w:r>
      <w:r w:rsidRPr="003E0759" w:rsidR="00D42FF3">
        <w:rPr>
          <w:szCs w:val="22"/>
          <w:shd w:val="clear" w:color="auto" w:fill="FFFFFF"/>
        </w:rPr>
        <w:t xml:space="preserve">The filings </w:t>
      </w:r>
      <w:r w:rsidRPr="003E0759" w:rsidR="000854BD">
        <w:rPr>
          <w:szCs w:val="22"/>
          <w:shd w:val="clear" w:color="auto" w:fill="FFFFFF"/>
        </w:rPr>
        <w:t>are</w:t>
      </w:r>
      <w:r w:rsidRPr="003E0759" w:rsidR="00D42FF3">
        <w:rPr>
          <w:szCs w:val="22"/>
          <w:shd w:val="clear" w:color="auto" w:fill="FFFFFF"/>
        </w:rPr>
        <w:t xml:space="preserve"> shared with </w:t>
      </w:r>
      <w:r w:rsidRPr="003E0759" w:rsidR="00C00B3E">
        <w:rPr>
          <w:szCs w:val="22"/>
          <w:shd w:val="clear" w:color="auto" w:fill="FFFFFF"/>
        </w:rPr>
        <w:t>Participating Agencies consistent with the requirements set forth in Section 4.2 of the Commission’s rules</w:t>
      </w:r>
      <w:r w:rsidRPr="003E0759" w:rsidR="00D42FF3">
        <w:rPr>
          <w:szCs w:val="22"/>
          <w:shd w:val="clear" w:color="auto" w:fill="FFFFFF"/>
        </w:rPr>
        <w:t xml:space="preserve">. </w:t>
      </w:r>
      <w:r w:rsidRPr="003E0759" w:rsidR="004627E1">
        <w:rPr>
          <w:szCs w:val="22"/>
          <w:shd w:val="clear" w:color="auto" w:fill="FFFFFF"/>
        </w:rPr>
        <w:t xml:space="preserve"> </w:t>
      </w:r>
      <w:r w:rsidRPr="003E0759" w:rsidR="00C00B3E">
        <w:t xml:space="preserve">To protect the confidentiality of the NORS and DIRS information disclosed to these Participating Agencies, the Commission limited the access to only those agencies who complete the registration process and then limits by geographic area the reports available to each Participating Agency.  The Commission also adopted safeguards to protect the data accessed by Participating Agencies from manipulation and from distribution to unauthorized recipients.  </w:t>
      </w:r>
      <w:r w:rsidRPr="003E0759" w:rsidR="00D42FF3">
        <w:rPr>
          <w:szCs w:val="22"/>
          <w:shd w:val="clear" w:color="auto" w:fill="FFFFFF"/>
        </w:rPr>
        <w:t xml:space="preserve">Other persons seeking disclosure must </w:t>
      </w:r>
      <w:r w:rsidRPr="003E0759" w:rsidR="00D42FF3">
        <w:rPr>
          <w:szCs w:val="22"/>
          <w:shd w:val="clear" w:color="auto" w:fill="FFFFFF"/>
        </w:rPr>
        <w:t>follow the procedures delineated in 47 C</w:t>
      </w:r>
      <w:r w:rsidRPr="003E0759" w:rsidR="0066154E">
        <w:rPr>
          <w:szCs w:val="22"/>
          <w:shd w:val="clear" w:color="auto" w:fill="FFFFFF"/>
        </w:rPr>
        <w:t>.</w:t>
      </w:r>
      <w:r w:rsidRPr="003E0759" w:rsidR="00D42FF3">
        <w:rPr>
          <w:szCs w:val="22"/>
          <w:shd w:val="clear" w:color="auto" w:fill="FFFFFF"/>
        </w:rPr>
        <w:t>F</w:t>
      </w:r>
      <w:r w:rsidRPr="003E0759" w:rsidR="0066154E">
        <w:rPr>
          <w:szCs w:val="22"/>
          <w:shd w:val="clear" w:color="auto" w:fill="FFFFFF"/>
        </w:rPr>
        <w:t>.</w:t>
      </w:r>
      <w:r w:rsidRPr="003E0759" w:rsidR="00D42FF3">
        <w:rPr>
          <w:szCs w:val="22"/>
          <w:shd w:val="clear" w:color="auto" w:fill="FFFFFF"/>
        </w:rPr>
        <w:t>R</w:t>
      </w:r>
      <w:r w:rsidRPr="003E0759" w:rsidR="0066154E">
        <w:rPr>
          <w:szCs w:val="22"/>
          <w:shd w:val="clear" w:color="auto" w:fill="FFFFFF"/>
        </w:rPr>
        <w:t>.</w:t>
      </w:r>
      <w:r w:rsidRPr="003E0759" w:rsidR="00D42FF3">
        <w:rPr>
          <w:szCs w:val="22"/>
          <w:shd w:val="clear" w:color="auto" w:fill="FFFFFF"/>
        </w:rPr>
        <w:t xml:space="preserve"> Sections 0.457 and 0.459 of the Commission's rules</w:t>
      </w:r>
      <w:r w:rsidRPr="003E0759" w:rsidR="00E47C8A">
        <w:rPr>
          <w:szCs w:val="22"/>
          <w:shd w:val="clear" w:color="auto" w:fill="FFFFFF"/>
        </w:rPr>
        <w:t xml:space="preserve"> for requests for and disclosure of information</w:t>
      </w:r>
      <w:r w:rsidRPr="003E0759" w:rsidR="00D42FF3">
        <w:rPr>
          <w:szCs w:val="22"/>
          <w:shd w:val="clear" w:color="auto" w:fill="FFFFFF"/>
        </w:rPr>
        <w:t>.</w:t>
      </w:r>
    </w:p>
    <w:p w:rsidR="00076113" w:rsidRPr="003E0759" w:rsidP="00076113" w14:paraId="6BB3F7EE" w14:textId="77777777">
      <w:pPr>
        <w:spacing w:after="120"/>
        <w:rPr>
          <w:b/>
          <w:szCs w:val="22"/>
          <w:shd w:val="clear" w:color="auto" w:fill="FFFFFF"/>
        </w:rPr>
      </w:pPr>
      <w:r w:rsidRPr="003E0759">
        <w:rPr>
          <w:b/>
          <w:szCs w:val="22"/>
          <w:shd w:val="clear" w:color="auto" w:fill="FFFFFF"/>
        </w:rPr>
        <w:t>11.</w:t>
      </w:r>
      <w:r w:rsidRPr="003E0759">
        <w:rPr>
          <w:szCs w:val="22"/>
          <w:shd w:val="clear" w:color="auto" w:fill="FFFFFF"/>
        </w:rPr>
        <w:t xml:space="preserve"> </w:t>
      </w:r>
      <w:r w:rsidRPr="003E0759">
        <w:rPr>
          <w:b/>
          <w:szCs w:val="22"/>
          <w:shd w:val="clear" w:color="auto" w:fill="FFFFFF"/>
        </w:rPr>
        <w:t>Provide additional justification for any questions of a sensitive nature.</w:t>
      </w:r>
    </w:p>
    <w:p w:rsidR="00F616B0" w:rsidRPr="003E0759" w:rsidP="00037E73" w14:paraId="34C81176" w14:textId="77777777">
      <w:pPr>
        <w:spacing w:after="120"/>
        <w:ind w:firstLine="720"/>
        <w:rPr>
          <w:b/>
          <w:szCs w:val="22"/>
          <w:shd w:val="clear" w:color="auto" w:fill="FFFFFF"/>
        </w:rPr>
      </w:pPr>
      <w:r w:rsidRPr="003E0759">
        <w:rPr>
          <w:szCs w:val="22"/>
          <w:shd w:val="clear" w:color="auto" w:fill="FFFFFF"/>
        </w:rPr>
        <w:t>This collection of information does not address any matters of a sensitive nature.</w:t>
      </w:r>
    </w:p>
    <w:p w:rsidR="00D42FF3" w:rsidRPr="003E0759" w:rsidP="00BF6CEA" w14:paraId="3584E134" w14:textId="132A6C73">
      <w:pPr>
        <w:spacing w:after="120"/>
        <w:rPr>
          <w:szCs w:val="22"/>
          <w:shd w:val="clear" w:color="auto" w:fill="FFFFFF"/>
        </w:rPr>
      </w:pPr>
      <w:r w:rsidRPr="003E0759">
        <w:rPr>
          <w:b/>
          <w:szCs w:val="22"/>
          <w:shd w:val="clear" w:color="auto" w:fill="FFFFFF"/>
        </w:rPr>
        <w:t xml:space="preserve">12. </w:t>
      </w:r>
      <w:r w:rsidRPr="003E0759">
        <w:rPr>
          <w:b/>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64414" w:rsidRPr="003E0759" w:rsidP="00BF6CEA" w14:paraId="1F3DF1C6" w14:textId="259DE242">
      <w:pPr>
        <w:spacing w:after="120"/>
        <w:rPr>
          <w:b/>
          <w:bCs/>
          <w:szCs w:val="22"/>
          <w:shd w:val="clear" w:color="auto" w:fill="FFFFFF"/>
        </w:rPr>
      </w:pPr>
      <w:r w:rsidRPr="003E0759">
        <w:rPr>
          <w:b/>
          <w:bCs/>
          <w:szCs w:val="22"/>
          <w:shd w:val="clear" w:color="auto" w:fill="FFFFFF"/>
        </w:rPr>
        <w:t>Burden Estimate for Providers</w:t>
      </w:r>
    </w:p>
    <w:p w:rsidR="00466FA1" w:rsidRPr="003E0759" w:rsidP="00C33D4E" w14:paraId="7C926138" w14:textId="329B8F4E">
      <w:pPr>
        <w:suppressAutoHyphens w:val="0"/>
        <w:autoSpaceDE w:val="0"/>
        <w:autoSpaceDN w:val="0"/>
        <w:adjustRightInd w:val="0"/>
        <w:spacing w:after="120"/>
        <w:ind w:firstLine="720"/>
        <w:rPr>
          <w:szCs w:val="22"/>
        </w:rPr>
      </w:pPr>
      <w:r w:rsidRPr="003E0759">
        <w:rPr>
          <w:b/>
          <w:szCs w:val="22"/>
        </w:rPr>
        <w:t>Number of Respondents:</w:t>
      </w:r>
      <w:r w:rsidRPr="003E0759">
        <w:rPr>
          <w:szCs w:val="22"/>
        </w:rPr>
        <w:t xml:space="preserve"> The Commission estimates that </w:t>
      </w:r>
      <w:r w:rsidRPr="003E0759" w:rsidR="00C47B81">
        <w:rPr>
          <w:szCs w:val="22"/>
        </w:rPr>
        <w:t>3,124</w:t>
      </w:r>
      <w:r w:rsidRPr="003E0759" w:rsidR="00644F85">
        <w:rPr>
          <w:szCs w:val="22"/>
        </w:rPr>
        <w:t xml:space="preserve"> providers (OSPs plus</w:t>
      </w:r>
      <w:r w:rsidRPr="003E0759" w:rsidR="000909C2">
        <w:rPr>
          <w:szCs w:val="22"/>
        </w:rPr>
        <w:t xml:space="preserve"> </w:t>
      </w:r>
      <w:r w:rsidRPr="003E0759" w:rsidR="00216609">
        <w:rPr>
          <w:szCs w:val="22"/>
          <w:shd w:val="clear" w:color="auto" w:fill="FFFFFF"/>
        </w:rPr>
        <w:t>covered 911 service providers</w:t>
      </w:r>
      <w:r w:rsidRPr="003E0759" w:rsidR="00D70524">
        <w:rPr>
          <w:szCs w:val="22"/>
          <w:shd w:val="clear" w:color="auto" w:fill="FFFFFF"/>
        </w:rPr>
        <w:t>,</w:t>
      </w:r>
      <w:r w:rsidRPr="003E0759" w:rsidR="00EC16A3">
        <w:rPr>
          <w:szCs w:val="22"/>
          <w:shd w:val="clear" w:color="auto" w:fill="FFFFFF"/>
        </w:rPr>
        <w:t xml:space="preserve"> and covered 988 service providers</w:t>
      </w:r>
      <w:r w:rsidRPr="003E0759" w:rsidR="00644F85">
        <w:rPr>
          <w:szCs w:val="22"/>
        </w:rPr>
        <w:t xml:space="preserve">) </w:t>
      </w:r>
      <w:r w:rsidRPr="003E0759">
        <w:rPr>
          <w:szCs w:val="22"/>
        </w:rPr>
        <w:t xml:space="preserve">will be required to </w:t>
      </w:r>
      <w:r w:rsidRPr="003E0759" w:rsidR="0017566A">
        <w:rPr>
          <w:szCs w:val="22"/>
        </w:rPr>
        <w:t xml:space="preserve">submit information </w:t>
      </w:r>
      <w:r w:rsidRPr="003E0759" w:rsidR="005954E1">
        <w:rPr>
          <w:szCs w:val="22"/>
        </w:rPr>
        <w:t xml:space="preserve">under </w:t>
      </w:r>
      <w:r w:rsidRPr="003E0759" w:rsidR="00D8046F">
        <w:rPr>
          <w:szCs w:val="22"/>
        </w:rPr>
        <w:t>its</w:t>
      </w:r>
      <w:r w:rsidRPr="003E0759" w:rsidR="005954E1">
        <w:rPr>
          <w:szCs w:val="22"/>
        </w:rPr>
        <w:t xml:space="preserve"> </w:t>
      </w:r>
      <w:r w:rsidRPr="003E0759" w:rsidR="00D8046F">
        <w:rPr>
          <w:szCs w:val="22"/>
        </w:rPr>
        <w:t>p</w:t>
      </w:r>
      <w:r w:rsidRPr="003E0759" w:rsidR="005954E1">
        <w:rPr>
          <w:szCs w:val="22"/>
        </w:rPr>
        <w:t xml:space="preserve">art 4 </w:t>
      </w:r>
      <w:r w:rsidRPr="003E0759" w:rsidR="00D8046F">
        <w:rPr>
          <w:szCs w:val="22"/>
        </w:rPr>
        <w:t xml:space="preserve">outage </w:t>
      </w:r>
      <w:r w:rsidRPr="003E0759" w:rsidR="005954E1">
        <w:rPr>
          <w:szCs w:val="22"/>
        </w:rPr>
        <w:t xml:space="preserve">rules, which will include </w:t>
      </w:r>
      <w:r w:rsidR="00186800">
        <w:rPr>
          <w:szCs w:val="22"/>
        </w:rPr>
        <w:t xml:space="preserve">(1) </w:t>
      </w:r>
      <w:r w:rsidRPr="003E0759" w:rsidR="005954E1">
        <w:rPr>
          <w:szCs w:val="22"/>
        </w:rPr>
        <w:t xml:space="preserve">filing outage reports in </w:t>
      </w:r>
      <w:r w:rsidRPr="003E0759" w:rsidR="002D53BC">
        <w:rPr>
          <w:szCs w:val="22"/>
        </w:rPr>
        <w:t xml:space="preserve">the FCC’s </w:t>
      </w:r>
      <w:r w:rsidRPr="003E0759" w:rsidR="005954E1">
        <w:rPr>
          <w:szCs w:val="22"/>
        </w:rPr>
        <w:t xml:space="preserve">NORS, </w:t>
      </w:r>
      <w:r w:rsidR="00186800">
        <w:rPr>
          <w:szCs w:val="22"/>
        </w:rPr>
        <w:t xml:space="preserve">(2) </w:t>
      </w:r>
      <w:r w:rsidRPr="003E0759" w:rsidR="005954E1">
        <w:rPr>
          <w:szCs w:val="22"/>
        </w:rPr>
        <w:t>providing outage notification</w:t>
      </w:r>
      <w:r w:rsidRPr="003E0759" w:rsidR="00B256C2">
        <w:rPr>
          <w:szCs w:val="22"/>
        </w:rPr>
        <w:t xml:space="preserve">s to 911 </w:t>
      </w:r>
      <w:r w:rsidRPr="003E0759" w:rsidR="00D8046F">
        <w:rPr>
          <w:szCs w:val="22"/>
        </w:rPr>
        <w:t xml:space="preserve">and 988 </w:t>
      </w:r>
      <w:r w:rsidRPr="003E0759" w:rsidR="00B256C2">
        <w:rPr>
          <w:szCs w:val="22"/>
        </w:rPr>
        <w:t xml:space="preserve">special facilities, and </w:t>
      </w:r>
      <w:r w:rsidR="00186800">
        <w:rPr>
          <w:szCs w:val="22"/>
        </w:rPr>
        <w:t xml:space="preserve">(3) </w:t>
      </w:r>
      <w:r w:rsidRPr="003E0759" w:rsidR="005D3852">
        <w:rPr>
          <w:szCs w:val="22"/>
        </w:rPr>
        <w:t>obtain</w:t>
      </w:r>
      <w:r w:rsidRPr="003E0759" w:rsidR="00B256C2">
        <w:rPr>
          <w:szCs w:val="22"/>
        </w:rPr>
        <w:t>ing</w:t>
      </w:r>
      <w:r w:rsidRPr="003E0759" w:rsidR="005D3852">
        <w:rPr>
          <w:szCs w:val="22"/>
        </w:rPr>
        <w:t xml:space="preserve"> and maintain</w:t>
      </w:r>
      <w:r w:rsidRPr="003E0759" w:rsidR="00B256C2">
        <w:rPr>
          <w:szCs w:val="22"/>
        </w:rPr>
        <w:t>ing</w:t>
      </w:r>
      <w:r w:rsidRPr="003E0759" w:rsidR="005D3852">
        <w:rPr>
          <w:szCs w:val="22"/>
        </w:rPr>
        <w:t xml:space="preserve"> a list of the 911 </w:t>
      </w:r>
      <w:r w:rsidRPr="003E0759" w:rsidR="00D8046F">
        <w:rPr>
          <w:szCs w:val="22"/>
        </w:rPr>
        <w:t xml:space="preserve">and 988 </w:t>
      </w:r>
      <w:r w:rsidRPr="003E0759" w:rsidR="005D3852">
        <w:rPr>
          <w:szCs w:val="22"/>
        </w:rPr>
        <w:t>special facilities they serve</w:t>
      </w:r>
      <w:r w:rsidRPr="003E0759">
        <w:rPr>
          <w:szCs w:val="22"/>
        </w:rPr>
        <w:t>.</w:t>
      </w:r>
      <w:r w:rsidRPr="003E0759" w:rsidR="00E9076D">
        <w:rPr>
          <w:szCs w:val="22"/>
        </w:rPr>
        <w:t xml:space="preserve">  </w:t>
      </w:r>
      <w:r w:rsidRPr="003E0759" w:rsidR="000E6ED6">
        <w:rPr>
          <w:szCs w:val="22"/>
        </w:rPr>
        <w:t xml:space="preserve">This adjustment increases the number of respondents by </w:t>
      </w:r>
      <w:r w:rsidRPr="003E0759" w:rsidR="00A235CC">
        <w:rPr>
          <w:szCs w:val="22"/>
        </w:rPr>
        <w:t xml:space="preserve">approximately </w:t>
      </w:r>
      <w:r w:rsidRPr="003E0759" w:rsidR="008A5929">
        <w:rPr>
          <w:szCs w:val="22"/>
        </w:rPr>
        <w:t>2,159</w:t>
      </w:r>
      <w:r w:rsidRPr="003E0759" w:rsidR="000E6ED6">
        <w:rPr>
          <w:szCs w:val="22"/>
        </w:rPr>
        <w:t xml:space="preserve"> from the last time this number was </w:t>
      </w:r>
      <w:r w:rsidRPr="003E0759" w:rsidR="0056230E">
        <w:rPr>
          <w:szCs w:val="22"/>
        </w:rPr>
        <w:t>estimated for this collection</w:t>
      </w:r>
      <w:r w:rsidRPr="003E0759" w:rsidR="000E6ED6">
        <w:rPr>
          <w:szCs w:val="22"/>
        </w:rPr>
        <w:t>.</w:t>
      </w:r>
      <w:r>
        <w:rPr>
          <w:rStyle w:val="FootnoteReference"/>
          <w:szCs w:val="22"/>
        </w:rPr>
        <w:footnoteReference w:id="85"/>
      </w:r>
      <w:r w:rsidRPr="003E0759" w:rsidR="000E6ED6">
        <w:rPr>
          <w:szCs w:val="22"/>
        </w:rPr>
        <w:t xml:space="preserve"> </w:t>
      </w:r>
      <w:r w:rsidRPr="003E0759" w:rsidR="003A378F">
        <w:rPr>
          <w:szCs w:val="22"/>
        </w:rPr>
        <w:t xml:space="preserve"> </w:t>
      </w:r>
      <w:r w:rsidRPr="003E0759" w:rsidR="00E9076D">
        <w:rPr>
          <w:szCs w:val="22"/>
        </w:rPr>
        <w:t xml:space="preserve">There are also </w:t>
      </w:r>
      <w:r w:rsidRPr="003E0759" w:rsidR="00491A30">
        <w:rPr>
          <w:szCs w:val="22"/>
        </w:rPr>
        <w:t xml:space="preserve">approximately </w:t>
      </w:r>
      <w:r w:rsidRPr="003E0759" w:rsidR="00E9076D">
        <w:rPr>
          <w:szCs w:val="22"/>
        </w:rPr>
        <w:t xml:space="preserve">100 eligible Participating Agencies as </w:t>
      </w:r>
      <w:r w:rsidRPr="003E0759" w:rsidR="00390D18">
        <w:rPr>
          <w:szCs w:val="22"/>
        </w:rPr>
        <w:t xml:space="preserve">discussed in the </w:t>
      </w:r>
      <w:r w:rsidRPr="003E0759" w:rsidR="00390D18">
        <w:rPr>
          <w:i/>
          <w:szCs w:val="22"/>
        </w:rPr>
        <w:t>NORS-DIRS Information Sharing Order</w:t>
      </w:r>
      <w:r w:rsidRPr="003E0759" w:rsidR="00B764B9">
        <w:rPr>
          <w:szCs w:val="22"/>
        </w:rPr>
        <w:t xml:space="preserve"> </w:t>
      </w:r>
      <w:r w:rsidRPr="003E0759" w:rsidR="00C54D91">
        <w:rPr>
          <w:szCs w:val="22"/>
        </w:rPr>
        <w:t>that are respondents for purposes of this information collection</w:t>
      </w:r>
      <w:r w:rsidRPr="003E0759" w:rsidR="00390D18">
        <w:rPr>
          <w:szCs w:val="22"/>
        </w:rPr>
        <w:t>.</w:t>
      </w:r>
      <w:r>
        <w:rPr>
          <w:rStyle w:val="FootnoteReference"/>
          <w:szCs w:val="22"/>
        </w:rPr>
        <w:footnoteReference w:id="86"/>
      </w:r>
      <w:r w:rsidRPr="003E0759" w:rsidR="00900B0C">
        <w:rPr>
          <w:szCs w:val="22"/>
        </w:rPr>
        <w:t xml:space="preserve"> </w:t>
      </w:r>
      <w:r w:rsidRPr="003E0759" w:rsidR="00041B06">
        <w:rPr>
          <w:szCs w:val="22"/>
        </w:rPr>
        <w:t xml:space="preserve"> As a result, there are </w:t>
      </w:r>
      <w:r w:rsidRPr="003E0759" w:rsidR="00860E63">
        <w:rPr>
          <w:szCs w:val="22"/>
        </w:rPr>
        <w:t>3,</w:t>
      </w:r>
      <w:r w:rsidRPr="003E0759" w:rsidR="001021DD">
        <w:rPr>
          <w:szCs w:val="22"/>
        </w:rPr>
        <w:t>22</w:t>
      </w:r>
      <w:r w:rsidRPr="003E0759" w:rsidR="00A8570E">
        <w:rPr>
          <w:szCs w:val="22"/>
        </w:rPr>
        <w:t>4</w:t>
      </w:r>
      <w:r w:rsidRPr="003E0759" w:rsidR="001B5BCC">
        <w:rPr>
          <w:szCs w:val="22"/>
        </w:rPr>
        <w:t xml:space="preserve"> </w:t>
      </w:r>
      <w:r w:rsidRPr="003E0759" w:rsidR="0056230E">
        <w:rPr>
          <w:szCs w:val="22"/>
        </w:rPr>
        <w:t xml:space="preserve">total </w:t>
      </w:r>
      <w:r w:rsidRPr="003E0759" w:rsidR="001B5BCC">
        <w:rPr>
          <w:szCs w:val="22"/>
        </w:rPr>
        <w:t>respondents to this collection.</w:t>
      </w:r>
    </w:p>
    <w:p w:rsidR="002251E8" w:rsidRPr="003E0759" w:rsidP="00667313" w14:paraId="6739F2A9" w14:textId="60711785">
      <w:pPr>
        <w:spacing w:after="120"/>
        <w:ind w:firstLine="720"/>
        <w:rPr>
          <w:szCs w:val="22"/>
        </w:rPr>
      </w:pPr>
      <w:r w:rsidRPr="003E0759">
        <w:rPr>
          <w:b/>
          <w:bCs/>
          <w:szCs w:val="22"/>
        </w:rPr>
        <w:t>Frequency of Response:</w:t>
      </w:r>
      <w:r w:rsidRPr="003E0759" w:rsidR="00756A20">
        <w:rPr>
          <w:szCs w:val="22"/>
        </w:rPr>
        <w:t xml:space="preserve"> </w:t>
      </w:r>
      <w:r w:rsidRPr="003E0759" w:rsidR="00E313EB">
        <w:rPr>
          <w:szCs w:val="22"/>
        </w:rPr>
        <w:t>The Comm</w:t>
      </w:r>
      <w:r w:rsidRPr="003E0759" w:rsidR="00B937B1">
        <w:rPr>
          <w:szCs w:val="22"/>
        </w:rPr>
        <w:t xml:space="preserve">ission estimates that </w:t>
      </w:r>
      <w:r w:rsidRPr="003E0759" w:rsidR="00396CDB">
        <w:rPr>
          <w:szCs w:val="22"/>
        </w:rPr>
        <w:t>39,000</w:t>
      </w:r>
      <w:r w:rsidRPr="003E0759" w:rsidR="00631C77">
        <w:rPr>
          <w:szCs w:val="22"/>
        </w:rPr>
        <w:t xml:space="preserve"> o</w:t>
      </w:r>
      <w:r w:rsidRPr="003E0759" w:rsidR="008F312D">
        <w:rPr>
          <w:szCs w:val="22"/>
        </w:rPr>
        <w:t xml:space="preserve">utages </w:t>
      </w:r>
      <w:r w:rsidRPr="003E0759" w:rsidR="000B536E">
        <w:rPr>
          <w:szCs w:val="22"/>
        </w:rPr>
        <w:t xml:space="preserve">will be </w:t>
      </w:r>
      <w:r w:rsidRPr="003E0759" w:rsidR="00531DD4">
        <w:rPr>
          <w:szCs w:val="22"/>
        </w:rPr>
        <w:t>reported in NORS annually</w:t>
      </w:r>
      <w:r w:rsidRPr="003E0759" w:rsidR="008A7F73">
        <w:rPr>
          <w:szCs w:val="22"/>
        </w:rPr>
        <w:t>.</w:t>
      </w:r>
      <w:r>
        <w:rPr>
          <w:rStyle w:val="FootnoteReference"/>
          <w:szCs w:val="22"/>
        </w:rPr>
        <w:footnoteReference w:id="87"/>
      </w:r>
      <w:r w:rsidRPr="003E0759" w:rsidR="008A7F73">
        <w:rPr>
          <w:szCs w:val="22"/>
        </w:rPr>
        <w:t xml:space="preserve"> </w:t>
      </w:r>
      <w:r w:rsidRPr="003E0759" w:rsidR="0056230E">
        <w:rPr>
          <w:szCs w:val="22"/>
        </w:rPr>
        <w:t xml:space="preserve"> </w:t>
      </w:r>
      <w:r w:rsidRPr="003E0759" w:rsidR="00B72166">
        <w:rPr>
          <w:szCs w:val="22"/>
        </w:rPr>
        <w:t xml:space="preserve">This is an </w:t>
      </w:r>
      <w:r w:rsidRPr="003E0759" w:rsidR="007B0575">
        <w:rPr>
          <w:szCs w:val="22"/>
        </w:rPr>
        <w:t xml:space="preserve">upward adjustment from the previously reported </w:t>
      </w:r>
      <w:r w:rsidRPr="003E0759" w:rsidR="005276D1">
        <w:rPr>
          <w:szCs w:val="22"/>
        </w:rPr>
        <w:t>26,</w:t>
      </w:r>
      <w:r w:rsidRPr="003E0759" w:rsidR="00D42D9D">
        <w:rPr>
          <w:szCs w:val="22"/>
        </w:rPr>
        <w:t>7</w:t>
      </w:r>
      <w:r w:rsidRPr="003E0759" w:rsidR="005276D1">
        <w:rPr>
          <w:szCs w:val="22"/>
        </w:rPr>
        <w:t>95</w:t>
      </w:r>
      <w:r w:rsidRPr="003E0759" w:rsidR="007B0575">
        <w:rPr>
          <w:szCs w:val="22"/>
        </w:rPr>
        <w:t xml:space="preserve"> </w:t>
      </w:r>
      <w:r w:rsidRPr="003E0759" w:rsidR="00357AF6">
        <w:rPr>
          <w:szCs w:val="22"/>
        </w:rPr>
        <w:t xml:space="preserve">annual </w:t>
      </w:r>
      <w:r w:rsidRPr="003E0759" w:rsidR="007B0575">
        <w:rPr>
          <w:szCs w:val="22"/>
        </w:rPr>
        <w:t>outage</w:t>
      </w:r>
      <w:r w:rsidRPr="003E0759" w:rsidR="00357AF6">
        <w:rPr>
          <w:szCs w:val="22"/>
        </w:rPr>
        <w:t xml:space="preserve"> total</w:t>
      </w:r>
      <w:r w:rsidRPr="003E0759" w:rsidR="00AB71A5">
        <w:rPr>
          <w:szCs w:val="22"/>
        </w:rPr>
        <w:t xml:space="preserve">.  </w:t>
      </w:r>
      <w:r w:rsidRPr="003E0759" w:rsidR="00667313">
        <w:rPr>
          <w:szCs w:val="22"/>
        </w:rPr>
        <w:t xml:space="preserve">Our estimate of </w:t>
      </w:r>
      <w:r w:rsidRPr="003E0759" w:rsidR="007C44EC">
        <w:rPr>
          <w:szCs w:val="22"/>
        </w:rPr>
        <w:t>39,000</w:t>
      </w:r>
      <w:r w:rsidRPr="003E0759" w:rsidR="00667313">
        <w:rPr>
          <w:szCs w:val="22"/>
        </w:rPr>
        <w:t xml:space="preserve"> outages is based on the incidence of outages that potentially affected 911 in NORS reports during</w:t>
      </w:r>
      <w:r w:rsidRPr="003E0759" w:rsidR="00B65F8E">
        <w:rPr>
          <w:szCs w:val="22"/>
        </w:rPr>
        <w:t xml:space="preserve"> </w:t>
      </w:r>
      <w:r w:rsidRPr="003E0759" w:rsidR="00F67AC4">
        <w:rPr>
          <w:szCs w:val="22"/>
        </w:rPr>
        <w:t>2021</w:t>
      </w:r>
      <w:r w:rsidRPr="003E0759" w:rsidR="007B0575">
        <w:rPr>
          <w:szCs w:val="22"/>
        </w:rPr>
        <w:t>.</w:t>
      </w:r>
      <w:r>
        <w:rPr>
          <w:rStyle w:val="FootnoteReference"/>
          <w:szCs w:val="22"/>
        </w:rPr>
        <w:footnoteReference w:id="88"/>
      </w:r>
      <w:r w:rsidRPr="003E0759" w:rsidR="007B0575">
        <w:rPr>
          <w:szCs w:val="22"/>
        </w:rPr>
        <w:t xml:space="preserve"> </w:t>
      </w:r>
      <w:r w:rsidRPr="003E0759" w:rsidR="008A7F73">
        <w:rPr>
          <w:szCs w:val="22"/>
        </w:rPr>
        <w:t xml:space="preserve"> </w:t>
      </w:r>
      <w:r w:rsidRPr="003E0759" w:rsidR="007C2880">
        <w:rPr>
          <w:szCs w:val="22"/>
        </w:rPr>
        <w:t xml:space="preserve">We estimate that each of </w:t>
      </w:r>
      <w:r w:rsidRPr="003E0759" w:rsidR="00C26CE6">
        <w:rPr>
          <w:szCs w:val="22"/>
        </w:rPr>
        <w:t>those outages</w:t>
      </w:r>
      <w:r w:rsidRPr="003E0759" w:rsidR="007C2880">
        <w:rPr>
          <w:szCs w:val="22"/>
        </w:rPr>
        <w:t xml:space="preserve"> will require service providers </w:t>
      </w:r>
      <w:r w:rsidRPr="003E0759" w:rsidR="000B536E">
        <w:rPr>
          <w:szCs w:val="22"/>
        </w:rPr>
        <w:t xml:space="preserve">to </w:t>
      </w:r>
      <w:r w:rsidRPr="003E0759" w:rsidR="00687B31">
        <w:rPr>
          <w:szCs w:val="22"/>
        </w:rPr>
        <w:t xml:space="preserve">file in </w:t>
      </w:r>
      <w:r w:rsidRPr="003E0759" w:rsidR="00687B31">
        <w:rPr>
          <w:szCs w:val="22"/>
        </w:rPr>
        <w:t xml:space="preserve">NORS and </w:t>
      </w:r>
      <w:r w:rsidRPr="003E0759" w:rsidR="007C2880">
        <w:rPr>
          <w:szCs w:val="22"/>
        </w:rPr>
        <w:t xml:space="preserve">to notify </w:t>
      </w:r>
      <w:r w:rsidRPr="003E0759" w:rsidR="00644CFF">
        <w:rPr>
          <w:szCs w:val="22"/>
        </w:rPr>
        <w:t>potentially affected 911 special facilities</w:t>
      </w:r>
      <w:r w:rsidRPr="003E0759" w:rsidR="00AD31EC">
        <w:rPr>
          <w:szCs w:val="22"/>
        </w:rPr>
        <w:t xml:space="preserve"> and </w:t>
      </w:r>
      <w:r w:rsidRPr="003E0759" w:rsidR="00F67AC4">
        <w:rPr>
          <w:szCs w:val="22"/>
        </w:rPr>
        <w:t xml:space="preserve">potentially affected </w:t>
      </w:r>
      <w:r w:rsidRPr="003E0759" w:rsidR="00AD31EC">
        <w:rPr>
          <w:szCs w:val="22"/>
        </w:rPr>
        <w:t>988 special facilities</w:t>
      </w:r>
      <w:r w:rsidRPr="003E0759" w:rsidR="00644CFF">
        <w:rPr>
          <w:szCs w:val="22"/>
        </w:rPr>
        <w:t xml:space="preserve">.  </w:t>
      </w:r>
      <w:r w:rsidRPr="003E0759" w:rsidR="00663681">
        <w:rPr>
          <w:szCs w:val="22"/>
        </w:rPr>
        <w:t>This represents a</w:t>
      </w:r>
      <w:r w:rsidRPr="003E0759" w:rsidR="005B4A9F">
        <w:rPr>
          <w:szCs w:val="22"/>
        </w:rPr>
        <w:t xml:space="preserve"> </w:t>
      </w:r>
      <w:r w:rsidRPr="003E0759" w:rsidR="0096081F">
        <w:rPr>
          <w:szCs w:val="22"/>
        </w:rPr>
        <w:t>12,205</w:t>
      </w:r>
      <w:r w:rsidRPr="003E0759" w:rsidR="005B4A9F">
        <w:rPr>
          <w:szCs w:val="22"/>
        </w:rPr>
        <w:t xml:space="preserve"> increase </w:t>
      </w:r>
      <w:r w:rsidRPr="003E0759" w:rsidR="000B536E">
        <w:rPr>
          <w:szCs w:val="22"/>
        </w:rPr>
        <w:t xml:space="preserve">in the </w:t>
      </w:r>
      <w:r w:rsidRPr="003E0759" w:rsidR="00CD09B5">
        <w:rPr>
          <w:szCs w:val="22"/>
        </w:rPr>
        <w:t xml:space="preserve">estimated </w:t>
      </w:r>
      <w:r w:rsidRPr="003E0759" w:rsidR="000B536E">
        <w:rPr>
          <w:szCs w:val="22"/>
        </w:rPr>
        <w:t xml:space="preserve">number </w:t>
      </w:r>
      <w:r w:rsidRPr="003E0759" w:rsidR="00663681">
        <w:rPr>
          <w:szCs w:val="22"/>
        </w:rPr>
        <w:t>of responses</w:t>
      </w:r>
      <w:r w:rsidRPr="003E0759" w:rsidR="00CD09B5">
        <w:rPr>
          <w:szCs w:val="22"/>
        </w:rPr>
        <w:t xml:space="preserve"> transmitted annually</w:t>
      </w:r>
      <w:r w:rsidRPr="003E0759" w:rsidR="00683608">
        <w:rPr>
          <w:szCs w:val="22"/>
        </w:rPr>
        <w:t>.</w:t>
      </w:r>
      <w:r>
        <w:rPr>
          <w:rStyle w:val="FootnoteReference"/>
          <w:szCs w:val="22"/>
        </w:rPr>
        <w:footnoteReference w:id="89"/>
      </w:r>
    </w:p>
    <w:p w:rsidR="003C1B9D" w:rsidRPr="003E0759" w:rsidP="00BF6CEA" w14:paraId="4E6842CA" w14:textId="4C877710">
      <w:pPr>
        <w:spacing w:after="120"/>
        <w:ind w:firstLine="720"/>
        <w:rPr>
          <w:szCs w:val="22"/>
        </w:rPr>
      </w:pPr>
      <w:r w:rsidRPr="003E0759">
        <w:rPr>
          <w:b/>
          <w:szCs w:val="22"/>
        </w:rPr>
        <w:t>Annual Hour Burden:</w:t>
      </w:r>
      <w:r w:rsidRPr="003E0759">
        <w:rPr>
          <w:szCs w:val="22"/>
        </w:rPr>
        <w:t xml:space="preserve">  </w:t>
      </w:r>
      <w:r w:rsidRPr="003E0759" w:rsidR="00ED03A8">
        <w:rPr>
          <w:szCs w:val="22"/>
        </w:rPr>
        <w:t xml:space="preserve">Each of the </w:t>
      </w:r>
      <w:r w:rsidRPr="003E0759" w:rsidR="00DE1C78">
        <w:rPr>
          <w:szCs w:val="22"/>
        </w:rPr>
        <w:t>3,124</w:t>
      </w:r>
      <w:r w:rsidRPr="003E0759" w:rsidR="00A1201E">
        <w:rPr>
          <w:szCs w:val="22"/>
        </w:rPr>
        <w:t xml:space="preserve"> providers will spend </w:t>
      </w:r>
      <w:r w:rsidRPr="003E0759" w:rsidR="00CA76BB">
        <w:rPr>
          <w:szCs w:val="22"/>
        </w:rPr>
        <w:t>time on each of these tasks as follows:</w:t>
      </w:r>
    </w:p>
    <w:p w:rsidR="00A42CC5" w:rsidRPr="003E0759" w:rsidP="000B1586" w14:paraId="3871950D" w14:textId="2E7CE816">
      <w:pPr>
        <w:spacing w:after="120"/>
        <w:ind w:firstLine="720"/>
      </w:pPr>
      <w:r w:rsidRPr="003E0759">
        <w:rPr>
          <w:b/>
          <w:bCs/>
          <w:iCs/>
          <w:szCs w:val="22"/>
          <w:u w:val="single"/>
        </w:rPr>
        <w:t xml:space="preserve">911 </w:t>
      </w:r>
      <w:r w:rsidRPr="003E0759">
        <w:rPr>
          <w:b/>
          <w:bCs/>
          <w:iCs/>
          <w:szCs w:val="22"/>
          <w:u w:val="single"/>
        </w:rPr>
        <w:t xml:space="preserve">and 988 </w:t>
      </w:r>
      <w:r w:rsidRPr="003E0759" w:rsidR="00F2576C">
        <w:rPr>
          <w:b/>
          <w:bCs/>
          <w:iCs/>
          <w:szCs w:val="22"/>
          <w:u w:val="single"/>
        </w:rPr>
        <w:t>Outage Reporting</w:t>
      </w:r>
      <w:r w:rsidRPr="003E0759" w:rsidR="007D4305">
        <w:rPr>
          <w:b/>
          <w:bCs/>
          <w:iCs/>
          <w:szCs w:val="22"/>
          <w:u w:val="single"/>
        </w:rPr>
        <w:t xml:space="preserve"> in NORS</w:t>
      </w:r>
      <w:r w:rsidRPr="003E0759" w:rsidR="00F2576C">
        <w:rPr>
          <w:szCs w:val="22"/>
        </w:rPr>
        <w:t xml:space="preserve">:  </w:t>
      </w:r>
      <w:r w:rsidRPr="003E0759" w:rsidR="00A03946">
        <w:rPr>
          <w:szCs w:val="22"/>
        </w:rPr>
        <w:t>The existing information collection already approved by OMB includes three components:  a Notification that an outage event has occurred, an Initial Report containing detailed information on the outage event and a Final Report containing detailed information on the outage event and how the event was resolved</w:t>
      </w:r>
      <w:r w:rsidRPr="003E0759" w:rsidR="00D32C0F">
        <w:rPr>
          <w:szCs w:val="22"/>
        </w:rPr>
        <w:t xml:space="preserve">, except for VoIP providers </w:t>
      </w:r>
      <w:r w:rsidRPr="003E0759" w:rsidR="005337A0">
        <w:rPr>
          <w:szCs w:val="22"/>
        </w:rPr>
        <w:t>that file Notifications and Final Reports only</w:t>
      </w:r>
      <w:r w:rsidRPr="003E0759" w:rsidR="00A03946">
        <w:rPr>
          <w:szCs w:val="22"/>
        </w:rPr>
        <w:t>.  The Commission has previously estimated that reporting entities will require 15 minutes to file a Notification with the Commission, and that the more detailed Initial Report (for non-interconnected VoIP service providers) will ordinarily not take more than 45 minutes to complete and submit to the Commission.  The Commission further estimated that respondents will ordinarily not need more than one hour to complete and submit electronically a Final Report to the Commission within 30 days after the outage was discovered.</w:t>
      </w:r>
      <w:r>
        <w:rPr>
          <w:rStyle w:val="FootnoteReference"/>
        </w:rPr>
        <w:footnoteReference w:id="90"/>
      </w:r>
    </w:p>
    <w:p w:rsidR="00DF695D" w:rsidRPr="003E0759" w:rsidP="000B1586" w14:paraId="470625F3" w14:textId="6433F602">
      <w:pPr>
        <w:ind w:firstLine="720"/>
        <w:rPr>
          <w:szCs w:val="22"/>
        </w:rPr>
      </w:pPr>
      <w:r w:rsidRPr="003E0759">
        <w:rPr>
          <w:szCs w:val="22"/>
        </w:rPr>
        <w:t>Thus, the total time needed to submit all filings pertinent to each outage that meets or exceeds the reporting threshold criteria has been estimated to be less than two (2) hours as follows:</w:t>
      </w:r>
    </w:p>
    <w:p w:rsidR="00C86C4E" w:rsidRPr="003E0759" w:rsidP="00413E42" w14:paraId="119FF8A1" w14:textId="77777777">
      <w:pPr>
        <w:ind w:right="720"/>
        <w:jc w:val="both"/>
        <w:rPr>
          <w:szCs w:val="22"/>
        </w:rPr>
      </w:pPr>
    </w:p>
    <w:p w:rsidR="00DF695D" w:rsidRPr="003E0759" w:rsidP="00AB0BDF" w14:paraId="51EAC081" w14:textId="77777777">
      <w:pPr>
        <w:ind w:left="720" w:right="720"/>
        <w:jc w:val="center"/>
        <w:rPr>
          <w:szCs w:val="22"/>
        </w:rPr>
      </w:pPr>
      <w:r w:rsidRPr="003E0759">
        <w:rPr>
          <w:szCs w:val="22"/>
        </w:rPr>
        <w:t>15 minutes [Notification] + 45 minutes [Initial Report] + 1 hour [Final Report]</w:t>
      </w:r>
    </w:p>
    <w:p w:rsidR="00111D77" w:rsidRPr="003E0759" w:rsidP="00AB0BDF" w14:paraId="48FAA095" w14:textId="0800D4D7">
      <w:pPr>
        <w:ind w:left="720" w:right="720"/>
        <w:jc w:val="center"/>
        <w:rPr>
          <w:szCs w:val="22"/>
        </w:rPr>
      </w:pPr>
      <w:r w:rsidRPr="003E0759">
        <w:rPr>
          <w:szCs w:val="22"/>
        </w:rPr>
        <w:t>= 2 hours maximum for each outage</w:t>
      </w:r>
      <w:r w:rsidRPr="003E0759" w:rsidR="001F5F8B">
        <w:rPr>
          <w:szCs w:val="22"/>
        </w:rPr>
        <w:t xml:space="preserve"> </w:t>
      </w:r>
      <w:r w:rsidRPr="003E0759" w:rsidR="00D42E9C">
        <w:rPr>
          <w:szCs w:val="22"/>
        </w:rPr>
        <w:t xml:space="preserve">* </w:t>
      </w:r>
      <w:r w:rsidRPr="003E0759" w:rsidR="00670A9F">
        <w:rPr>
          <w:szCs w:val="22"/>
        </w:rPr>
        <w:t>39,000</w:t>
      </w:r>
      <w:r w:rsidRPr="003E0759" w:rsidR="00D42E9C">
        <w:rPr>
          <w:szCs w:val="22"/>
        </w:rPr>
        <w:t xml:space="preserve"> outages =</w:t>
      </w:r>
      <w:r w:rsidRPr="003E0759" w:rsidR="00BE1417">
        <w:rPr>
          <w:szCs w:val="22"/>
        </w:rPr>
        <w:t xml:space="preserve"> </w:t>
      </w:r>
      <w:r w:rsidRPr="003E0759" w:rsidR="00950961">
        <w:rPr>
          <w:szCs w:val="22"/>
        </w:rPr>
        <w:t>78,000</w:t>
      </w:r>
      <w:r w:rsidRPr="003E0759" w:rsidR="001C302C">
        <w:rPr>
          <w:szCs w:val="22"/>
        </w:rPr>
        <w:t xml:space="preserve"> hours</w:t>
      </w:r>
      <w:r w:rsidRPr="003E0759" w:rsidR="005E7944">
        <w:rPr>
          <w:szCs w:val="22"/>
        </w:rPr>
        <w:t xml:space="preserve"> annually</w:t>
      </w:r>
      <w:r w:rsidRPr="003E0759">
        <w:rPr>
          <w:szCs w:val="22"/>
        </w:rPr>
        <w:t>.</w:t>
      </w:r>
      <w:r>
        <w:rPr>
          <w:rStyle w:val="FootnoteReference"/>
          <w:szCs w:val="22"/>
        </w:rPr>
        <w:footnoteReference w:id="91"/>
      </w:r>
    </w:p>
    <w:p w:rsidR="00111D77" w:rsidRPr="003E0759" w:rsidP="0007296D" w14:paraId="57C91AF4" w14:textId="77777777">
      <w:pPr>
        <w:rPr>
          <w:szCs w:val="22"/>
        </w:rPr>
      </w:pPr>
    </w:p>
    <w:p w:rsidR="00DF695D" w:rsidRPr="003E0759" w:rsidP="000B1586" w14:paraId="35E7FDEA" w14:textId="36DD4AD9">
      <w:pPr>
        <w:spacing w:after="120"/>
        <w:rPr>
          <w:szCs w:val="22"/>
        </w:rPr>
      </w:pPr>
      <w:r w:rsidRPr="003E0759">
        <w:rPr>
          <w:szCs w:val="22"/>
        </w:rPr>
        <w:t xml:space="preserve">This represents an upward adjustment of </w:t>
      </w:r>
      <w:r w:rsidRPr="003E0759" w:rsidR="00FD698D">
        <w:rPr>
          <w:szCs w:val="22"/>
        </w:rPr>
        <w:t>24,410</w:t>
      </w:r>
      <w:r w:rsidRPr="003E0759" w:rsidR="00EF2ABB">
        <w:rPr>
          <w:szCs w:val="22"/>
        </w:rPr>
        <w:t xml:space="preserve"> hours because of the increas</w:t>
      </w:r>
      <w:r w:rsidRPr="003E0759" w:rsidR="00B610D1">
        <w:rPr>
          <w:szCs w:val="22"/>
        </w:rPr>
        <w:t>ed number of outages annually.</w:t>
      </w:r>
      <w:r>
        <w:rPr>
          <w:rStyle w:val="FootnoteReference"/>
          <w:szCs w:val="22"/>
        </w:rPr>
        <w:footnoteReference w:id="92"/>
      </w:r>
    </w:p>
    <w:p w:rsidR="00B9091E" w:rsidRPr="003E0759" w:rsidP="000B1586" w14:paraId="3DFCF13C" w14:textId="3F6E6C6E">
      <w:pPr>
        <w:spacing w:before="120" w:after="120"/>
        <w:ind w:firstLine="720"/>
        <w:rPr>
          <w:szCs w:val="22"/>
        </w:rPr>
      </w:pPr>
      <w:r w:rsidRPr="003E0759">
        <w:rPr>
          <w:szCs w:val="22"/>
        </w:rPr>
        <w:t xml:space="preserve">The Commission believes </w:t>
      </w:r>
      <w:r w:rsidRPr="003E0759" w:rsidR="00730AD0">
        <w:rPr>
          <w:szCs w:val="22"/>
        </w:rPr>
        <w:t>that the time estimates for completing the NORS No</w:t>
      </w:r>
      <w:r w:rsidRPr="003E0759" w:rsidR="004B4748">
        <w:rPr>
          <w:szCs w:val="22"/>
        </w:rPr>
        <w:t>tification, Initial Report, and Final Report remain valid</w:t>
      </w:r>
      <w:r w:rsidRPr="003E0759">
        <w:rPr>
          <w:szCs w:val="22"/>
        </w:rPr>
        <w:t xml:space="preserve">.  Indeed, the Commission noted previously that the two-hour estimate was conservative, and that time required to file the information for each outage was, </w:t>
      </w:r>
      <w:r w:rsidRPr="003E0759">
        <w:rPr>
          <w:szCs w:val="22"/>
          <w:shd w:val="clear" w:color="auto" w:fill="FFFFFF"/>
        </w:rPr>
        <w:t>more likely estimated to be approximately 1 to 1.5 hours</w:t>
      </w:r>
      <w:r w:rsidRPr="003E0759">
        <w:rPr>
          <w:szCs w:val="22"/>
        </w:rPr>
        <w:t>.  The Commission assumes that for purposes of this calculation that each outage event will require a submission of a Notification, an Initial Report, and a Final Report</w:t>
      </w:r>
      <w:r w:rsidRPr="003E0759" w:rsidR="00C72936">
        <w:rPr>
          <w:szCs w:val="22"/>
        </w:rPr>
        <w:t>.</w:t>
      </w:r>
    </w:p>
    <w:p w:rsidR="005D597A" w:rsidRPr="003E0759" w:rsidP="000B1586" w14:paraId="4DC27C71" w14:textId="3C5A172A">
      <w:pPr>
        <w:spacing w:after="120"/>
        <w:ind w:firstLine="720"/>
        <w:rPr>
          <w:szCs w:val="22"/>
        </w:rPr>
      </w:pPr>
      <w:r w:rsidRPr="003E0759">
        <w:rPr>
          <w:b/>
          <w:bCs/>
          <w:iCs/>
          <w:szCs w:val="22"/>
          <w:u w:val="single"/>
        </w:rPr>
        <w:t xml:space="preserve">Outage </w:t>
      </w:r>
      <w:r w:rsidRPr="003E0759" w:rsidR="00207F81">
        <w:rPr>
          <w:b/>
          <w:bCs/>
          <w:iCs/>
          <w:szCs w:val="22"/>
          <w:u w:val="single"/>
        </w:rPr>
        <w:t xml:space="preserve">Notification </w:t>
      </w:r>
      <w:r w:rsidRPr="003E0759">
        <w:rPr>
          <w:b/>
          <w:bCs/>
          <w:iCs/>
          <w:szCs w:val="22"/>
          <w:u w:val="single"/>
        </w:rPr>
        <w:t>to 911 Special Facilities</w:t>
      </w:r>
      <w:r w:rsidRPr="003E0759" w:rsidR="00D80315">
        <w:rPr>
          <w:b/>
          <w:bCs/>
          <w:iCs/>
          <w:szCs w:val="22"/>
          <w:u w:val="single"/>
        </w:rPr>
        <w:t xml:space="preserve"> and 988 Special Facilities</w:t>
      </w:r>
      <w:r w:rsidRPr="003E0759" w:rsidR="0015696E">
        <w:rPr>
          <w:i/>
          <w:szCs w:val="22"/>
          <w:u w:val="single"/>
        </w:rPr>
        <w:t>:</w:t>
      </w:r>
      <w:r w:rsidRPr="003E0759" w:rsidR="001C302C">
        <w:rPr>
          <w:szCs w:val="22"/>
        </w:rPr>
        <w:t xml:space="preserve">  </w:t>
      </w:r>
      <w:r w:rsidRPr="003E0759" w:rsidR="004E69DA">
        <w:rPr>
          <w:szCs w:val="22"/>
        </w:rPr>
        <w:t>Similar to filing a</w:t>
      </w:r>
      <w:r w:rsidRPr="003E0759" w:rsidR="00207F81">
        <w:rPr>
          <w:szCs w:val="22"/>
        </w:rPr>
        <w:t xml:space="preserve">n outage report </w:t>
      </w:r>
      <w:r w:rsidRPr="003E0759" w:rsidR="004E69DA">
        <w:rPr>
          <w:szCs w:val="22"/>
        </w:rPr>
        <w:t>in NORS, the Commission</w:t>
      </w:r>
      <w:r w:rsidRPr="003E0759" w:rsidR="0077359D">
        <w:rPr>
          <w:szCs w:val="22"/>
        </w:rPr>
        <w:t xml:space="preserve"> </w:t>
      </w:r>
      <w:r w:rsidRPr="003E0759" w:rsidR="002F5A1A">
        <w:rPr>
          <w:szCs w:val="22"/>
        </w:rPr>
        <w:t>believe</w:t>
      </w:r>
      <w:r w:rsidRPr="003E0759" w:rsidR="00967761">
        <w:rPr>
          <w:szCs w:val="22"/>
        </w:rPr>
        <w:t xml:space="preserve">s </w:t>
      </w:r>
      <w:r w:rsidRPr="003E0759" w:rsidR="0077359D">
        <w:rPr>
          <w:szCs w:val="22"/>
        </w:rPr>
        <w:t>that OSPs</w:t>
      </w:r>
      <w:r w:rsidRPr="003E0759" w:rsidR="00B00EE3">
        <w:rPr>
          <w:szCs w:val="22"/>
        </w:rPr>
        <w:t>,</w:t>
      </w:r>
      <w:r w:rsidRPr="003E0759" w:rsidR="0077359D">
        <w:rPr>
          <w:szCs w:val="22"/>
        </w:rPr>
        <w:t xml:space="preserve"> </w:t>
      </w:r>
      <w:r w:rsidRPr="003E0759" w:rsidR="00216609">
        <w:rPr>
          <w:szCs w:val="22"/>
          <w:shd w:val="clear" w:color="auto" w:fill="FFFFFF"/>
        </w:rPr>
        <w:t>covered 911 service providers</w:t>
      </w:r>
      <w:r w:rsidRPr="003E0759" w:rsidR="007B7F95">
        <w:rPr>
          <w:szCs w:val="22"/>
          <w:shd w:val="clear" w:color="auto" w:fill="FFFFFF"/>
        </w:rPr>
        <w:t>,</w:t>
      </w:r>
      <w:r w:rsidRPr="003E0759" w:rsidR="0077359D">
        <w:rPr>
          <w:szCs w:val="22"/>
        </w:rPr>
        <w:t xml:space="preserve"> </w:t>
      </w:r>
      <w:r w:rsidRPr="003E0759" w:rsidR="00B00EE3">
        <w:rPr>
          <w:szCs w:val="22"/>
        </w:rPr>
        <w:t xml:space="preserve">and covered 988 service providers </w:t>
      </w:r>
      <w:r w:rsidRPr="003E0759" w:rsidR="0077359D">
        <w:rPr>
          <w:szCs w:val="22"/>
        </w:rPr>
        <w:t xml:space="preserve">will spend </w:t>
      </w:r>
      <w:r w:rsidRPr="003E0759" w:rsidR="00207F81">
        <w:rPr>
          <w:szCs w:val="22"/>
        </w:rPr>
        <w:t>a total of one</w:t>
      </w:r>
      <w:r w:rsidRPr="003E0759" w:rsidR="0077359D">
        <w:rPr>
          <w:szCs w:val="22"/>
        </w:rPr>
        <w:t xml:space="preserve"> hour notifying 911</w:t>
      </w:r>
      <w:r w:rsidRPr="003E0759" w:rsidR="007B7F95">
        <w:rPr>
          <w:szCs w:val="22"/>
        </w:rPr>
        <w:t xml:space="preserve"> and 988</w:t>
      </w:r>
      <w:r w:rsidRPr="003E0759" w:rsidR="0077359D">
        <w:rPr>
          <w:szCs w:val="22"/>
        </w:rPr>
        <w:t xml:space="preserve"> special facilities </w:t>
      </w:r>
      <w:r w:rsidRPr="003E0759" w:rsidR="00833622">
        <w:rPr>
          <w:szCs w:val="22"/>
        </w:rPr>
        <w:t xml:space="preserve">of discovering </w:t>
      </w:r>
      <w:r w:rsidRPr="003E0759" w:rsidR="00833622">
        <w:rPr>
          <w:szCs w:val="22"/>
        </w:rPr>
        <w:t xml:space="preserve">an outage </w:t>
      </w:r>
      <w:r w:rsidRPr="003E0759" w:rsidR="00E64284">
        <w:rPr>
          <w:szCs w:val="22"/>
        </w:rPr>
        <w:t xml:space="preserve">and then </w:t>
      </w:r>
      <w:r w:rsidRPr="003E0759" w:rsidR="00207F81">
        <w:rPr>
          <w:szCs w:val="22"/>
        </w:rPr>
        <w:t xml:space="preserve">later </w:t>
      </w:r>
      <w:r w:rsidRPr="003E0759" w:rsidR="00E64284">
        <w:rPr>
          <w:szCs w:val="22"/>
        </w:rPr>
        <w:t>providing a more detailed follow-up</w:t>
      </w:r>
      <w:r w:rsidRPr="003E0759" w:rsidR="00AB0BDF">
        <w:rPr>
          <w:szCs w:val="22"/>
        </w:rPr>
        <w:t xml:space="preserve">. </w:t>
      </w:r>
      <w:r w:rsidRPr="003E0759" w:rsidR="004F2751">
        <w:rPr>
          <w:szCs w:val="22"/>
        </w:rPr>
        <w:t xml:space="preserve"> </w:t>
      </w:r>
      <w:r w:rsidRPr="003E0759" w:rsidR="0077359D">
        <w:rPr>
          <w:szCs w:val="22"/>
        </w:rPr>
        <w:t>Th</w:t>
      </w:r>
      <w:r w:rsidRPr="003E0759" w:rsidR="00AE3F91">
        <w:rPr>
          <w:szCs w:val="22"/>
        </w:rPr>
        <w:t xml:space="preserve">e actual amount of time required may be substantially lower than our estimate because, among other things, some </w:t>
      </w:r>
      <w:r w:rsidRPr="003E0759" w:rsidR="007B7F95">
        <w:rPr>
          <w:szCs w:val="22"/>
        </w:rPr>
        <w:t>OSPs</w:t>
      </w:r>
      <w:r w:rsidRPr="003E0759" w:rsidR="00AE3F91">
        <w:rPr>
          <w:szCs w:val="22"/>
        </w:rPr>
        <w:t xml:space="preserve"> may have automated their PSAP outage notification processes</w:t>
      </w:r>
      <w:r w:rsidRPr="003E0759" w:rsidR="0077359D">
        <w:rPr>
          <w:szCs w:val="22"/>
        </w:rPr>
        <w:t>.</w:t>
      </w:r>
      <w:r>
        <w:rPr>
          <w:rStyle w:val="FootnoteReference"/>
          <w:szCs w:val="22"/>
        </w:rPr>
        <w:footnoteReference w:id="93"/>
      </w:r>
      <w:r w:rsidRPr="003E0759" w:rsidR="0077359D">
        <w:rPr>
          <w:szCs w:val="22"/>
        </w:rPr>
        <w:t xml:space="preserve">  </w:t>
      </w:r>
      <w:r w:rsidRPr="003E0759" w:rsidR="00C34DC7">
        <w:rPr>
          <w:szCs w:val="22"/>
        </w:rPr>
        <w:t xml:space="preserve">Using our </w:t>
      </w:r>
      <w:r w:rsidRPr="003E0759" w:rsidR="0077359D">
        <w:rPr>
          <w:szCs w:val="22"/>
        </w:rPr>
        <w:t xml:space="preserve">estimate </w:t>
      </w:r>
      <w:r w:rsidRPr="003E0759" w:rsidR="00C34DC7">
        <w:rPr>
          <w:szCs w:val="22"/>
        </w:rPr>
        <w:t xml:space="preserve">of </w:t>
      </w:r>
      <w:r w:rsidRPr="003E0759" w:rsidR="001F4336">
        <w:rPr>
          <w:szCs w:val="22"/>
        </w:rPr>
        <w:t>39,000</w:t>
      </w:r>
      <w:r w:rsidRPr="003E0759" w:rsidR="0077359D">
        <w:rPr>
          <w:szCs w:val="22"/>
        </w:rPr>
        <w:t xml:space="preserve"> outages </w:t>
      </w:r>
      <w:r w:rsidRPr="003E0759" w:rsidR="00F012E9">
        <w:rPr>
          <w:szCs w:val="22"/>
        </w:rPr>
        <w:t>annually</w:t>
      </w:r>
      <w:r w:rsidRPr="003E0759" w:rsidR="00C539B9">
        <w:rPr>
          <w:szCs w:val="22"/>
        </w:rPr>
        <w:t>,</w:t>
      </w:r>
      <w:r w:rsidRPr="003E0759" w:rsidR="00F012E9">
        <w:rPr>
          <w:szCs w:val="22"/>
        </w:rPr>
        <w:t xml:space="preserve"> </w:t>
      </w:r>
      <w:r w:rsidRPr="003E0759" w:rsidR="00C539B9">
        <w:rPr>
          <w:szCs w:val="22"/>
        </w:rPr>
        <w:t>w</w:t>
      </w:r>
      <w:r w:rsidRPr="003E0759" w:rsidR="009B1CA0">
        <w:rPr>
          <w:szCs w:val="22"/>
        </w:rPr>
        <w:t xml:space="preserve">e </w:t>
      </w:r>
      <w:r w:rsidRPr="003E0759" w:rsidR="001D4AFD">
        <w:rPr>
          <w:szCs w:val="22"/>
        </w:rPr>
        <w:t xml:space="preserve">project </w:t>
      </w:r>
      <w:r w:rsidRPr="003E0759" w:rsidR="009B1CA0">
        <w:rPr>
          <w:szCs w:val="22"/>
        </w:rPr>
        <w:t xml:space="preserve">the total annual hourly burden for this notification </w:t>
      </w:r>
      <w:r w:rsidRPr="003E0759" w:rsidR="00C35CA5">
        <w:rPr>
          <w:szCs w:val="22"/>
        </w:rPr>
        <w:t xml:space="preserve">and follow-up </w:t>
      </w:r>
      <w:r w:rsidRPr="003E0759" w:rsidR="009B1CA0">
        <w:rPr>
          <w:szCs w:val="22"/>
        </w:rPr>
        <w:t>to be:</w:t>
      </w:r>
    </w:p>
    <w:p w:rsidR="00F83D9B" w:rsidRPr="003E0759" w:rsidP="000B1586" w14:paraId="0EDD78A0" w14:textId="0026C59F">
      <w:pPr>
        <w:ind w:left="720" w:right="720"/>
        <w:jc w:val="both"/>
        <w:rPr>
          <w:szCs w:val="22"/>
        </w:rPr>
      </w:pPr>
      <w:r w:rsidRPr="003E0759">
        <w:rPr>
          <w:szCs w:val="22"/>
        </w:rPr>
        <w:t>(</w:t>
      </w:r>
      <w:r w:rsidRPr="003E0759" w:rsidR="00AE3F91">
        <w:rPr>
          <w:szCs w:val="22"/>
        </w:rPr>
        <w:t>1 hour</w:t>
      </w:r>
      <w:r w:rsidRPr="003E0759" w:rsidR="00215AB3">
        <w:rPr>
          <w:szCs w:val="22"/>
        </w:rPr>
        <w:t xml:space="preserve"> [</w:t>
      </w:r>
      <w:r w:rsidRPr="003E0759" w:rsidR="006C0DB4">
        <w:rPr>
          <w:szCs w:val="22"/>
        </w:rPr>
        <w:t xml:space="preserve">Initial </w:t>
      </w:r>
      <w:r w:rsidRPr="003E0759" w:rsidR="00215AB3">
        <w:rPr>
          <w:szCs w:val="22"/>
        </w:rPr>
        <w:t>Notification</w:t>
      </w:r>
      <w:r w:rsidRPr="003E0759" w:rsidR="00302515">
        <w:rPr>
          <w:szCs w:val="22"/>
        </w:rPr>
        <w:t xml:space="preserve"> + follow-up</w:t>
      </w:r>
      <w:r w:rsidRPr="003E0759" w:rsidR="00215AB3">
        <w:rPr>
          <w:szCs w:val="22"/>
        </w:rPr>
        <w:t xml:space="preserve">] * </w:t>
      </w:r>
      <w:r w:rsidRPr="003E0759" w:rsidR="008D2E2C">
        <w:rPr>
          <w:szCs w:val="22"/>
        </w:rPr>
        <w:t>39,000</w:t>
      </w:r>
      <w:r w:rsidRPr="003E0759" w:rsidR="00215AB3">
        <w:rPr>
          <w:szCs w:val="22"/>
        </w:rPr>
        <w:t xml:space="preserve"> outages </w:t>
      </w:r>
      <w:r w:rsidRPr="003E0759">
        <w:rPr>
          <w:szCs w:val="22"/>
        </w:rPr>
        <w:t xml:space="preserve">potentially affecting 911 special facilities) + (1 hour [Initial Notification + follow-up] * 39,000 outages potentially affecting 988 special facilities)  </w:t>
      </w:r>
      <w:r w:rsidRPr="003E0759" w:rsidR="00215AB3">
        <w:rPr>
          <w:szCs w:val="22"/>
        </w:rPr>
        <w:t xml:space="preserve">= </w:t>
      </w:r>
      <w:r w:rsidRPr="003E0759">
        <w:rPr>
          <w:szCs w:val="22"/>
        </w:rPr>
        <w:t>78</w:t>
      </w:r>
      <w:r w:rsidRPr="003E0759" w:rsidR="009C2370">
        <w:rPr>
          <w:szCs w:val="22"/>
        </w:rPr>
        <w:t>,</w:t>
      </w:r>
      <w:r w:rsidRPr="003E0759" w:rsidR="00AE3F91">
        <w:rPr>
          <w:szCs w:val="22"/>
        </w:rPr>
        <w:t>0</w:t>
      </w:r>
      <w:r w:rsidRPr="003E0759" w:rsidR="009C2370">
        <w:rPr>
          <w:szCs w:val="22"/>
        </w:rPr>
        <w:t>00</w:t>
      </w:r>
      <w:r w:rsidRPr="003E0759" w:rsidR="00215AB3">
        <w:rPr>
          <w:szCs w:val="22"/>
        </w:rPr>
        <w:t xml:space="preserve"> hours</w:t>
      </w:r>
      <w:r w:rsidRPr="003E0759" w:rsidR="005E7944">
        <w:rPr>
          <w:szCs w:val="22"/>
        </w:rPr>
        <w:t xml:space="preserve"> annually</w:t>
      </w:r>
      <w:r>
        <w:rPr>
          <w:rStyle w:val="FootnoteReference"/>
          <w:szCs w:val="22"/>
        </w:rPr>
        <w:footnoteReference w:id="94"/>
      </w:r>
    </w:p>
    <w:p w:rsidR="00215AB3" w:rsidRPr="003E0759" w:rsidP="00215AB3" w14:paraId="4F993CA3" w14:textId="5CC0CED5">
      <w:pPr>
        <w:rPr>
          <w:szCs w:val="22"/>
        </w:rPr>
      </w:pPr>
    </w:p>
    <w:p w:rsidR="00D1079B" w:rsidRPr="003E0759" w:rsidP="00D1079B" w14:paraId="405CCD71" w14:textId="3F83BAC9">
      <w:pPr>
        <w:spacing w:after="120"/>
        <w:ind w:firstLine="720"/>
        <w:rPr>
          <w:szCs w:val="22"/>
        </w:rPr>
      </w:pPr>
      <w:r w:rsidRPr="003E0759">
        <w:rPr>
          <w:b/>
          <w:bCs/>
          <w:iCs/>
          <w:szCs w:val="22"/>
          <w:u w:val="single"/>
        </w:rPr>
        <w:t xml:space="preserve">Maintaining a </w:t>
      </w:r>
      <w:r w:rsidRPr="003E0759" w:rsidR="00C2190F">
        <w:rPr>
          <w:b/>
          <w:bCs/>
          <w:iCs/>
          <w:szCs w:val="22"/>
          <w:u w:val="single"/>
        </w:rPr>
        <w:t>List of 911 Special Facilities</w:t>
      </w:r>
      <w:r w:rsidRPr="003E0759" w:rsidR="008A18EC">
        <w:rPr>
          <w:b/>
          <w:bCs/>
          <w:iCs/>
          <w:szCs w:val="22"/>
          <w:u w:val="single"/>
        </w:rPr>
        <w:t xml:space="preserve"> and 988 Special Facilities</w:t>
      </w:r>
      <w:r w:rsidRPr="003E0759" w:rsidR="00C2190F">
        <w:rPr>
          <w:i/>
          <w:szCs w:val="22"/>
          <w:u w:val="single"/>
        </w:rPr>
        <w:t>:</w:t>
      </w:r>
      <w:r w:rsidRPr="003E0759" w:rsidR="00C2190F">
        <w:rPr>
          <w:szCs w:val="22"/>
        </w:rPr>
        <w:t xml:space="preserve"> </w:t>
      </w:r>
      <w:r w:rsidRPr="003E0759" w:rsidR="002F7BE7">
        <w:rPr>
          <w:szCs w:val="22"/>
        </w:rPr>
        <w:t xml:space="preserve"> </w:t>
      </w:r>
      <w:r w:rsidRPr="003E0759">
        <w:rPr>
          <w:szCs w:val="22"/>
        </w:rPr>
        <w:t xml:space="preserve">We estimate that each of the 3,124 providers will spend two hours annually </w:t>
      </w:r>
      <w:r w:rsidRPr="003E0759" w:rsidR="00EA343B">
        <w:rPr>
          <w:szCs w:val="22"/>
        </w:rPr>
        <w:t xml:space="preserve">(for a total of 6,248 hours annually) </w:t>
      </w:r>
      <w:r w:rsidRPr="003E0759">
        <w:rPr>
          <w:szCs w:val="22"/>
        </w:rPr>
        <w:t>identifying 911 special facilities that could potentially be affected by a service outage.</w:t>
      </w:r>
      <w:r>
        <w:rPr>
          <w:rStyle w:val="FootnoteReference"/>
          <w:szCs w:val="22"/>
        </w:rPr>
        <w:footnoteReference w:id="95"/>
      </w:r>
      <w:r w:rsidRPr="003E0759">
        <w:rPr>
          <w:szCs w:val="22"/>
        </w:rPr>
        <w:t xml:space="preserve">  We do not expect any costs to be incurred related to identifying the 988 special facilities as we require the same three identified 988 special facilities to be notified regardless of the geographic area affected by the outage.</w:t>
      </w:r>
      <w:r>
        <w:rPr>
          <w:rStyle w:val="FootnoteReference"/>
          <w:szCs w:val="22"/>
        </w:rPr>
        <w:footnoteReference w:id="96"/>
      </w:r>
    </w:p>
    <w:p w:rsidR="00F13D3F" w:rsidRPr="003E0759" w:rsidP="00F13D3F" w14:paraId="0128CD2C" w14:textId="12372F77">
      <w:pPr>
        <w:spacing w:after="120"/>
        <w:ind w:firstLine="720"/>
        <w:rPr>
          <w:snapToGrid w:val="0"/>
          <w:kern w:val="28"/>
          <w:szCs w:val="22"/>
          <w:lang w:eastAsia="en-US"/>
        </w:rPr>
      </w:pPr>
      <w:r w:rsidRPr="003E0759">
        <w:rPr>
          <w:snapToGrid w:val="0"/>
          <w:kern w:val="28"/>
          <w:szCs w:val="22"/>
          <w:lang w:eastAsia="en-US"/>
        </w:rPr>
        <w:t>We estimate the total annual cost of obtaining and maintaining up-to-date PSAP contact information across the United States by all carriers would be approximately $8.42 million</w:t>
      </w:r>
      <w:r w:rsidRPr="003E0759" w:rsidR="00EA343B">
        <w:rPr>
          <w:snapToGrid w:val="0"/>
          <w:kern w:val="28"/>
          <w:szCs w:val="22"/>
          <w:lang w:eastAsia="en-US"/>
        </w:rPr>
        <w:t xml:space="preserve"> (representing </w:t>
      </w:r>
      <w:r w:rsidRPr="003E0759" w:rsidR="00EA343B">
        <w:rPr>
          <w:szCs w:val="22"/>
        </w:rPr>
        <w:t>23</w:t>
      </w:r>
      <w:r w:rsidRPr="003E0759" w:rsidR="00727E26">
        <w:rPr>
          <w:szCs w:val="22"/>
        </w:rPr>
        <w:t>3</w:t>
      </w:r>
      <w:r w:rsidRPr="003E0759" w:rsidR="00EA343B">
        <w:rPr>
          <w:szCs w:val="22"/>
        </w:rPr>
        <w:t>,</w:t>
      </w:r>
      <w:r w:rsidRPr="003E0759" w:rsidR="00727E26">
        <w:rPr>
          <w:szCs w:val="22"/>
        </w:rPr>
        <w:t>765</w:t>
      </w:r>
      <w:r w:rsidRPr="003E0759" w:rsidR="00EA343B">
        <w:rPr>
          <w:szCs w:val="22"/>
        </w:rPr>
        <w:t xml:space="preserve"> annual hours in aggregate)</w:t>
      </w:r>
      <w:r w:rsidRPr="003E0759">
        <w:rPr>
          <w:snapToGrid w:val="0"/>
          <w:kern w:val="28"/>
          <w:szCs w:val="22"/>
          <w:lang w:eastAsia="en-US"/>
        </w:rPr>
        <w:t>, including $3.52 million for wireless providers, $4.8 million for switched access, cable, and interconnected VoIP providers, and $102,120 for satellite providers</w:t>
      </w:r>
      <w:r w:rsidRPr="003E0759">
        <w:rPr>
          <w:rFonts w:eastAsia="Calibri"/>
          <w:kern w:val="28"/>
          <w:szCs w:val="22"/>
          <w:lang w:eastAsia="en-US"/>
        </w:rPr>
        <w:t>.</w:t>
      </w:r>
      <w:r>
        <w:rPr>
          <w:rStyle w:val="FootnoteReference"/>
          <w:rFonts w:eastAsia="Calibri"/>
          <w:kern w:val="28"/>
          <w:szCs w:val="22"/>
          <w:lang w:eastAsia="en-US"/>
        </w:rPr>
        <w:footnoteReference w:id="97"/>
      </w:r>
      <w:r w:rsidRPr="003E0759">
        <w:rPr>
          <w:rFonts w:eastAsia="Calibri"/>
          <w:kern w:val="28"/>
          <w:szCs w:val="22"/>
          <w:lang w:eastAsia="en-US"/>
        </w:rPr>
        <w:t xml:space="preserve">  We calculate this cost as the product of (1) the cost to a single OSP or covered 911 service provider for obtaining and maintaining up-to-date contact information for a single PSAP; and (2) our estimate of the total number of PSAPs in the service areas of each individual OSP and </w:t>
      </w:r>
      <w:r w:rsidRPr="003E0759">
        <w:rPr>
          <w:snapToGrid w:val="0"/>
          <w:kern w:val="28"/>
          <w:szCs w:val="22"/>
          <w:lang w:eastAsia="en-US"/>
        </w:rPr>
        <w:t>covered 911 service provider</w:t>
      </w:r>
      <w:r w:rsidRPr="003E0759">
        <w:rPr>
          <w:rFonts w:eastAsia="Calibri"/>
          <w:kern w:val="28"/>
          <w:szCs w:val="22"/>
          <w:lang w:eastAsia="en-US"/>
        </w:rPr>
        <w:t xml:space="preserve">, summed across providers.  </w:t>
      </w:r>
      <w:r w:rsidRPr="003E0759">
        <w:rPr>
          <w:snapToGrid w:val="0"/>
          <w:kern w:val="28"/>
          <w:szCs w:val="22"/>
          <w:lang w:eastAsia="en-US"/>
        </w:rPr>
        <w:t>To calculate the cost of obtaining and maintaining up-to-date contact information for a single PSAP, we use estimates provided by AT&amp;T as their annual estimated cost of compliance for this requirement.  AT&amp;T reports that personnel spend on “average 20 hours per week for approximately 46 weeks per year validating, updating and maintaining” PSAP contact information</w:t>
      </w:r>
      <w:r w:rsidRPr="003E0759" w:rsidR="005E46FA">
        <w:rPr>
          <w:snapToGrid w:val="0"/>
          <w:kern w:val="28"/>
          <w:szCs w:val="22"/>
          <w:lang w:eastAsia="en-US"/>
        </w:rPr>
        <w:t>.</w:t>
      </w:r>
      <w:r>
        <w:rPr>
          <w:rFonts w:eastAsia="Calibri"/>
          <w:kern w:val="2"/>
          <w:sz w:val="20"/>
          <w:szCs w:val="22"/>
          <w:vertAlign w:val="superscript"/>
          <w:lang w:eastAsia="en-US"/>
        </w:rPr>
        <w:footnoteReference w:id="98"/>
      </w:r>
      <w:r w:rsidRPr="003E0759">
        <w:rPr>
          <w:snapToGrid w:val="0"/>
          <w:kern w:val="28"/>
          <w:szCs w:val="22"/>
          <w:lang w:eastAsia="en-US"/>
        </w:rPr>
        <w:t xml:space="preserve">  Therefore, we find that </w:t>
      </w:r>
      <w:r w:rsidRPr="003E0759" w:rsidR="00A42A3F">
        <w:rPr>
          <w:snapToGrid w:val="0"/>
          <w:kern w:val="28"/>
          <w:szCs w:val="22"/>
          <w:lang w:eastAsia="en-US"/>
        </w:rPr>
        <w:t xml:space="preserve">a </w:t>
      </w:r>
      <w:r w:rsidRPr="003E0759">
        <w:rPr>
          <w:snapToGrid w:val="0"/>
          <w:kern w:val="28"/>
          <w:szCs w:val="22"/>
          <w:lang w:eastAsia="en-US"/>
        </w:rPr>
        <w:t xml:space="preserve">covered 911 service provider or OSP that must obtain </w:t>
      </w:r>
      <w:r w:rsidRPr="003E0759" w:rsidR="000740D0">
        <w:rPr>
          <w:snapToGrid w:val="0"/>
          <w:kern w:val="28"/>
          <w:szCs w:val="22"/>
          <w:lang w:eastAsia="en-US"/>
        </w:rPr>
        <w:t xml:space="preserve">and maintain </w:t>
      </w:r>
      <w:r w:rsidRPr="003E0759">
        <w:rPr>
          <w:snapToGrid w:val="0"/>
          <w:kern w:val="28"/>
          <w:szCs w:val="22"/>
          <w:lang w:eastAsia="en-US"/>
        </w:rPr>
        <w:t xml:space="preserve">updated PSAP contact information for </w:t>
      </w:r>
      <w:r w:rsidRPr="003E0759">
        <w:rPr>
          <w:i/>
          <w:iCs/>
          <w:snapToGrid w:val="0"/>
          <w:kern w:val="28"/>
          <w:szCs w:val="22"/>
          <w:lang w:eastAsia="en-US"/>
        </w:rPr>
        <w:t>all</w:t>
      </w:r>
      <w:r w:rsidRPr="003E0759">
        <w:rPr>
          <w:snapToGrid w:val="0"/>
          <w:kern w:val="28"/>
          <w:szCs w:val="22"/>
          <w:lang w:eastAsia="en-US"/>
        </w:rPr>
        <w:t xml:space="preserve"> </w:t>
      </w:r>
      <w:r w:rsidRPr="003E0759" w:rsidR="000740D0">
        <w:rPr>
          <w:snapToGrid w:val="0"/>
          <w:kern w:val="28"/>
          <w:szCs w:val="22"/>
          <w:lang w:eastAsia="en-US"/>
        </w:rPr>
        <w:t xml:space="preserve">5,748 primary and secondary </w:t>
      </w:r>
      <w:r w:rsidRPr="003E0759">
        <w:rPr>
          <w:snapToGrid w:val="0"/>
          <w:kern w:val="28"/>
          <w:szCs w:val="22"/>
          <w:lang w:eastAsia="en-US"/>
        </w:rPr>
        <w:t>PSAPs in the country</w:t>
      </w:r>
      <w:r w:rsidRPr="003E0759" w:rsidR="00A42A3F">
        <w:rPr>
          <w:snapToGrid w:val="0"/>
          <w:kern w:val="28"/>
          <w:szCs w:val="22"/>
          <w:lang w:eastAsia="en-US"/>
        </w:rPr>
        <w:t xml:space="preserve"> would spend 920 hours</w:t>
      </w:r>
      <w:r w:rsidRPr="003E0759" w:rsidR="000740D0">
        <w:rPr>
          <w:snapToGrid w:val="0"/>
          <w:kern w:val="28"/>
          <w:szCs w:val="22"/>
          <w:lang w:eastAsia="en-US"/>
        </w:rPr>
        <w:t xml:space="preserve"> </w:t>
      </w:r>
      <w:r w:rsidRPr="003E0759" w:rsidR="00A434A4">
        <w:rPr>
          <w:snapToGrid w:val="0"/>
          <w:kern w:val="28"/>
          <w:szCs w:val="22"/>
          <w:lang w:eastAsia="en-US"/>
        </w:rPr>
        <w:t xml:space="preserve">at an </w:t>
      </w:r>
      <w:r w:rsidRPr="003E0759">
        <w:rPr>
          <w:snapToGrid w:val="0"/>
          <w:kern w:val="28"/>
          <w:szCs w:val="22"/>
          <w:lang w:eastAsia="en-US"/>
        </w:rPr>
        <w:t>annual cost of $34,040.</w:t>
      </w:r>
      <w:r>
        <w:rPr>
          <w:snapToGrid w:val="0"/>
          <w:kern w:val="28"/>
          <w:sz w:val="20"/>
          <w:szCs w:val="22"/>
          <w:shd w:val="clear" w:color="auto" w:fill="FFFFFF"/>
          <w:vertAlign w:val="superscript"/>
          <w:lang w:eastAsia="en-US"/>
        </w:rPr>
        <w:footnoteReference w:id="99"/>
      </w:r>
      <w:r w:rsidRPr="003E0759">
        <w:rPr>
          <w:snapToGrid w:val="0"/>
          <w:kern w:val="28"/>
          <w:szCs w:val="22"/>
          <w:lang w:eastAsia="en-US"/>
        </w:rPr>
        <w:t xml:space="preserve">  Since AT&amp;T is a nationwide carrier, AT&amp;T’s estimate of the total </w:t>
      </w:r>
      <w:r w:rsidRPr="003E0759">
        <w:rPr>
          <w:snapToGrid w:val="0"/>
          <w:kern w:val="28"/>
          <w:szCs w:val="22"/>
          <w:lang w:eastAsia="en-US"/>
        </w:rPr>
        <w:t>cost is premised on its need to contact all 5,748 primary and secondary PSAPs in the U.S.; thus, we divide AT&amp;T’s annual cost by 5,748 to arrive at a per-PSAP annual cost of $6</w:t>
      </w:r>
      <w:r w:rsidRPr="003E0759" w:rsidR="000820BA">
        <w:rPr>
          <w:snapToGrid w:val="0"/>
          <w:kern w:val="28"/>
          <w:szCs w:val="22"/>
          <w:lang w:eastAsia="en-US"/>
        </w:rPr>
        <w:t xml:space="preserve"> and a per-PSAP </w:t>
      </w:r>
      <w:r w:rsidRPr="003E0759" w:rsidR="00EF451B">
        <w:rPr>
          <w:snapToGrid w:val="0"/>
          <w:kern w:val="28"/>
          <w:szCs w:val="22"/>
          <w:lang w:eastAsia="en-US"/>
        </w:rPr>
        <w:t xml:space="preserve">annual </w:t>
      </w:r>
      <w:r w:rsidRPr="003E0759" w:rsidR="000820BA">
        <w:rPr>
          <w:snapToGrid w:val="0"/>
          <w:kern w:val="28"/>
          <w:szCs w:val="22"/>
          <w:lang w:eastAsia="en-US"/>
        </w:rPr>
        <w:t xml:space="preserve">burden of </w:t>
      </w:r>
      <w:r w:rsidRPr="003E0759" w:rsidR="007B0DF3">
        <w:rPr>
          <w:snapToGrid w:val="0"/>
          <w:kern w:val="28"/>
          <w:szCs w:val="22"/>
          <w:lang w:eastAsia="en-US"/>
        </w:rPr>
        <w:t>10</w:t>
      </w:r>
      <w:r w:rsidRPr="003E0759" w:rsidR="000820BA">
        <w:rPr>
          <w:snapToGrid w:val="0"/>
          <w:kern w:val="28"/>
          <w:szCs w:val="22"/>
          <w:lang w:eastAsia="en-US"/>
        </w:rPr>
        <w:t xml:space="preserve"> minutes.</w:t>
      </w:r>
      <w:r>
        <w:rPr>
          <w:snapToGrid w:val="0"/>
          <w:kern w:val="28"/>
          <w:sz w:val="20"/>
          <w:szCs w:val="22"/>
          <w:shd w:val="clear" w:color="auto" w:fill="FFFFFF"/>
          <w:vertAlign w:val="superscript"/>
          <w:lang w:eastAsia="en-US"/>
        </w:rPr>
        <w:footnoteReference w:id="100"/>
      </w:r>
    </w:p>
    <w:p w:rsidR="00F13D3F" w:rsidRPr="003E0759" w:rsidP="00F13D3F" w14:paraId="1553B900" w14:textId="77777777">
      <w:pPr>
        <w:widowControl w:val="0"/>
        <w:tabs>
          <w:tab w:val="num" w:pos="1440"/>
        </w:tabs>
        <w:suppressAutoHyphens w:val="0"/>
        <w:spacing w:after="120"/>
        <w:ind w:firstLine="720"/>
        <w:rPr>
          <w:rFonts w:eastAsia="Calibri"/>
          <w:kern w:val="28"/>
          <w:szCs w:val="22"/>
          <w:lang w:eastAsia="en-US"/>
        </w:rPr>
      </w:pPr>
      <w:r w:rsidRPr="003E0759">
        <w:rPr>
          <w:snapToGrid w:val="0"/>
          <w:kern w:val="28"/>
          <w:szCs w:val="22"/>
          <w:lang w:eastAsia="en-US"/>
        </w:rPr>
        <w:t>To estimate the number of PSAPs served by all individual covered 911 service providers and OSPs, we use disaggregated provider data for wireless, wireline, cable, interconnected Voice-over Internet Protocol (VoIP), and satellite communications providers.  For facilities-based wireless service providers, as well as for switched access (wireline), cable, and interconnected VoIP providers, we rely on Form 477 and/or information from the Broadband Data Collection.</w:t>
      </w:r>
      <w:r>
        <w:rPr>
          <w:snapToGrid w:val="0"/>
          <w:kern w:val="28"/>
          <w:sz w:val="20"/>
          <w:szCs w:val="22"/>
          <w:vertAlign w:val="superscript"/>
          <w:lang w:eastAsia="en-US"/>
        </w:rPr>
        <w:footnoteReference w:id="101"/>
      </w:r>
      <w:r w:rsidRPr="003E0759">
        <w:rPr>
          <w:snapToGrid w:val="0"/>
          <w:kern w:val="28"/>
          <w:szCs w:val="22"/>
          <w:lang w:eastAsia="en-US"/>
        </w:rPr>
        <w:t xml:space="preserve">  For wireless Mobile Virtual Network Operators (MVNOs), we rely on Form 499 data concerning the states that each MVNO serves.</w:t>
      </w:r>
      <w:r>
        <w:rPr>
          <w:snapToGrid w:val="0"/>
          <w:kern w:val="28"/>
          <w:sz w:val="20"/>
          <w:szCs w:val="22"/>
          <w:vertAlign w:val="superscript"/>
          <w:lang w:eastAsia="en-US"/>
        </w:rPr>
        <w:footnoteReference w:id="102"/>
      </w:r>
      <w:r w:rsidRPr="003E0759">
        <w:rPr>
          <w:snapToGrid w:val="0"/>
          <w:kern w:val="28"/>
          <w:szCs w:val="22"/>
          <w:lang w:eastAsia="en-US"/>
        </w:rPr>
        <w:t xml:space="preserve">  For satellite providers, we rely on information from the Broadband Data Collection.</w:t>
      </w:r>
      <w:r>
        <w:rPr>
          <w:snapToGrid w:val="0"/>
          <w:kern w:val="28"/>
          <w:sz w:val="20"/>
          <w:szCs w:val="22"/>
          <w:vertAlign w:val="superscript"/>
          <w:lang w:eastAsia="en-US"/>
        </w:rPr>
        <w:footnoteReference w:id="103"/>
      </w:r>
    </w:p>
    <w:p w:rsidR="00F82BB2" w:rsidRPr="003E0759" w:rsidP="005E1E1C" w14:paraId="798EE8D9" w14:textId="00594AFC">
      <w:pPr>
        <w:widowControl w:val="0"/>
        <w:tabs>
          <w:tab w:val="num" w:pos="1440"/>
        </w:tabs>
        <w:suppressAutoHyphens w:val="0"/>
        <w:spacing w:after="120"/>
        <w:ind w:firstLine="720"/>
        <w:rPr>
          <w:rFonts w:eastAsia="Calibri"/>
          <w:i/>
          <w:iCs/>
          <w:kern w:val="28"/>
          <w:szCs w:val="22"/>
          <w:lang w:eastAsia="en-US"/>
        </w:rPr>
      </w:pPr>
      <w:r w:rsidRPr="003E0759">
        <w:rPr>
          <w:rFonts w:eastAsia="Calibri"/>
          <w:i/>
          <w:iCs/>
          <w:kern w:val="28"/>
          <w:szCs w:val="22"/>
          <w:lang w:eastAsia="en-US"/>
        </w:rPr>
        <w:t>Wireless Calculation.</w:t>
      </w:r>
      <w:r w:rsidRPr="003E0759">
        <w:rPr>
          <w:rFonts w:eastAsia="Calibri"/>
          <w:kern w:val="28"/>
          <w:szCs w:val="22"/>
          <w:lang w:eastAsia="en-US"/>
        </w:rPr>
        <w:t xml:space="preserve">  We calculate the cost to wireless providers separately from facilities-based providers and MVNOs.  For the three nationwide facilities-based providers, we assume that the annual cost to obtain and maintain up-to-date PSAP contact information is the same as for AT&amp;T [$</w:t>
      </w:r>
      <w:r w:rsidRPr="003E0759">
        <w:rPr>
          <w:rFonts w:eastAsia="Calibri"/>
          <w:snapToGrid w:val="0"/>
          <w:kern w:val="28"/>
          <w:szCs w:val="22"/>
          <w:lang w:eastAsia="en-US"/>
        </w:rPr>
        <w:t>34,040</w:t>
      </w:r>
      <w:r w:rsidRPr="003E0759" w:rsidR="00685AB1">
        <w:rPr>
          <w:rFonts w:eastAsia="Calibri"/>
          <w:snapToGrid w:val="0"/>
          <w:kern w:val="28"/>
          <w:szCs w:val="22"/>
          <w:lang w:eastAsia="en-US"/>
        </w:rPr>
        <w:t xml:space="preserve"> over 920 hours</w:t>
      </w:r>
      <w:r w:rsidRPr="003E0759">
        <w:rPr>
          <w:rFonts w:eastAsia="Calibri"/>
          <w:kern w:val="28"/>
          <w:szCs w:val="22"/>
          <w:lang w:eastAsia="en-US"/>
        </w:rPr>
        <w:t xml:space="preserve">].  We assume that </w:t>
      </w:r>
      <w:r w:rsidRPr="003E0759">
        <w:rPr>
          <w:snapToGrid w:val="0"/>
          <w:kern w:val="28"/>
          <w:szCs w:val="22"/>
          <w:lang w:eastAsia="en-US"/>
        </w:rPr>
        <w:t>the remaining facilities-based providers collectively must maintain contact information for the full national set of 5,748 PSAPs.</w:t>
      </w:r>
      <w:r>
        <w:rPr>
          <w:snapToGrid w:val="0"/>
          <w:kern w:val="28"/>
          <w:sz w:val="20"/>
          <w:szCs w:val="22"/>
          <w:shd w:val="clear" w:color="auto" w:fill="FFFFFF"/>
          <w:vertAlign w:val="superscript"/>
          <w:lang w:eastAsia="en-US"/>
        </w:rPr>
        <w:footnoteReference w:id="104"/>
      </w:r>
      <w:r w:rsidRPr="003E0759">
        <w:rPr>
          <w:snapToGrid w:val="0"/>
          <w:kern w:val="28"/>
          <w:szCs w:val="22"/>
          <w:lang w:eastAsia="en-US"/>
        </w:rPr>
        <w:t xml:space="preserve">  </w:t>
      </w:r>
      <w:r w:rsidRPr="003E0759">
        <w:rPr>
          <w:rFonts w:eastAsia="Calibri"/>
          <w:kern w:val="28"/>
          <w:szCs w:val="22"/>
          <w:lang w:eastAsia="en-US"/>
        </w:rPr>
        <w:t>This results in an estimated combined cost of $</w:t>
      </w:r>
      <w:r w:rsidRPr="003E0759">
        <w:rPr>
          <w:rFonts w:eastAsia="Calibri"/>
          <w:snapToGrid w:val="0"/>
          <w:kern w:val="28"/>
          <w:szCs w:val="22"/>
          <w:lang w:eastAsia="en-US"/>
        </w:rPr>
        <w:t>136,160</w:t>
      </w:r>
      <w:r w:rsidRPr="003E0759">
        <w:rPr>
          <w:rFonts w:eastAsia="Calibri"/>
          <w:kern w:val="28"/>
          <w:szCs w:val="22"/>
          <w:lang w:eastAsia="en-US"/>
        </w:rPr>
        <w:t xml:space="preserve"> </w:t>
      </w:r>
      <w:r w:rsidRPr="003E0759">
        <w:rPr>
          <w:rFonts w:eastAsia="Calibri"/>
          <w:kern w:val="28"/>
          <w:szCs w:val="22"/>
          <w:lang w:eastAsia="en-US"/>
        </w:rPr>
        <w:t>[= $</w:t>
      </w:r>
      <w:r w:rsidRPr="003E0759">
        <w:rPr>
          <w:rFonts w:eastAsia="Calibri"/>
          <w:snapToGrid w:val="0"/>
          <w:kern w:val="28"/>
          <w:szCs w:val="22"/>
          <w:lang w:eastAsia="en-US"/>
        </w:rPr>
        <w:t>34,040</w:t>
      </w:r>
      <w:r w:rsidRPr="003E0759">
        <w:rPr>
          <w:rFonts w:eastAsia="Calibri"/>
          <w:kern w:val="28"/>
          <w:szCs w:val="22"/>
          <w:lang w:eastAsia="en-US"/>
        </w:rPr>
        <w:t xml:space="preserve"> × 4]</w:t>
      </w:r>
      <w:r w:rsidRPr="003E0759" w:rsidR="00685AB1">
        <w:rPr>
          <w:rFonts w:eastAsia="Calibri"/>
          <w:kern w:val="28"/>
          <w:szCs w:val="22"/>
          <w:lang w:eastAsia="en-US"/>
        </w:rPr>
        <w:t xml:space="preserve"> and estimated combined burden of 3,680 hours [= 920 hours × 4]</w:t>
      </w:r>
      <w:r w:rsidRPr="003E0759">
        <w:rPr>
          <w:rFonts w:eastAsia="Calibri"/>
          <w:kern w:val="28"/>
          <w:szCs w:val="22"/>
          <w:lang w:eastAsia="en-US"/>
        </w:rPr>
        <w:t>.  For MVNOs, we first calculate the number of PSAPs that each MVNO would need to reach to obtain and maintain contact information.  We calculate this by summing state-level PSAP counts across all states in which an individual MVNO reports providing service based on Form 499.</w:t>
      </w:r>
      <w:r>
        <w:rPr>
          <w:rFonts w:eastAsia="Calibri"/>
          <w:kern w:val="28"/>
          <w:sz w:val="20"/>
          <w:szCs w:val="22"/>
          <w:vertAlign w:val="superscript"/>
          <w:lang w:eastAsia="en-US"/>
        </w:rPr>
        <w:footnoteReference w:id="105"/>
      </w:r>
      <w:r w:rsidRPr="003E0759">
        <w:rPr>
          <w:rFonts w:eastAsia="Calibri"/>
          <w:kern w:val="28"/>
          <w:szCs w:val="22"/>
          <w:lang w:eastAsia="en-US"/>
        </w:rPr>
        <w:t xml:space="preserve">  In doing so, we assume that </w:t>
      </w:r>
      <w:r w:rsidRPr="003E0759">
        <w:rPr>
          <w:rFonts w:eastAsia="Calibri"/>
          <w:kern w:val="28"/>
          <w:szCs w:val="22"/>
          <w:lang w:eastAsia="en-US"/>
        </w:rPr>
        <w:t>if an MVNO reports providing service in a state, then it must reach out to all PSAPs in that state.</w:t>
      </w:r>
      <w:r>
        <w:rPr>
          <w:snapToGrid w:val="0"/>
          <w:kern w:val="28"/>
          <w:sz w:val="20"/>
          <w:szCs w:val="22"/>
          <w:shd w:val="clear" w:color="auto" w:fill="FFFFFF"/>
          <w:vertAlign w:val="superscript"/>
          <w:lang w:eastAsia="en-US"/>
        </w:rPr>
        <w:footnoteReference w:id="106"/>
      </w:r>
      <w:r w:rsidRPr="003E0759">
        <w:rPr>
          <w:rFonts w:eastAsia="Calibri"/>
          <w:kern w:val="28"/>
          <w:szCs w:val="22"/>
          <w:lang w:eastAsia="en-US"/>
        </w:rPr>
        <w:t xml:space="preserve">  Following this methodology, we estimate that MVNOs would make 563,944 contacts with PSAPs, leading to a cost of $3.</w:t>
      </w:r>
      <w:r w:rsidRPr="003E0759">
        <w:rPr>
          <w:rFonts w:eastAsia="Calibri"/>
          <w:snapToGrid w:val="0"/>
          <w:kern w:val="28"/>
          <w:szCs w:val="22"/>
          <w:lang w:eastAsia="en-US"/>
        </w:rPr>
        <w:t>38</w:t>
      </w:r>
      <w:r w:rsidRPr="003E0759">
        <w:rPr>
          <w:rFonts w:eastAsia="Calibri"/>
          <w:kern w:val="28"/>
          <w:szCs w:val="22"/>
          <w:lang w:eastAsia="en-US"/>
        </w:rPr>
        <w:t xml:space="preserve"> million [563,944 </w:t>
      </w:r>
      <w:r w:rsidRPr="003E0759" w:rsidR="00685AB1">
        <w:rPr>
          <w:rFonts w:eastAsia="Calibri"/>
          <w:kern w:val="28"/>
          <w:szCs w:val="22"/>
          <w:lang w:eastAsia="en-US"/>
        </w:rPr>
        <w:t xml:space="preserve">contacts </w:t>
      </w:r>
      <w:r w:rsidRPr="003E0759">
        <w:rPr>
          <w:rFonts w:eastAsia="Calibri"/>
          <w:snapToGrid w:val="0"/>
          <w:kern w:val="28"/>
          <w:szCs w:val="22"/>
          <w:bdr w:val="none" w:sz="0" w:space="0" w:color="auto" w:frame="1"/>
          <w:lang w:eastAsia="en-US"/>
        </w:rPr>
        <w:t>×</w:t>
      </w:r>
      <w:r w:rsidRPr="003E0759">
        <w:rPr>
          <w:rFonts w:eastAsia="Calibri"/>
          <w:kern w:val="28"/>
          <w:szCs w:val="22"/>
          <w:lang w:eastAsia="en-US"/>
        </w:rPr>
        <w:t xml:space="preserve"> </w:t>
      </w:r>
      <w:r w:rsidRPr="003E0759">
        <w:rPr>
          <w:rFonts w:eastAsia="Calibri"/>
          <w:snapToGrid w:val="0"/>
          <w:kern w:val="28"/>
          <w:szCs w:val="22"/>
          <w:lang w:eastAsia="en-US"/>
        </w:rPr>
        <w:t>$</w:t>
      </w:r>
      <w:r w:rsidRPr="003E0759">
        <w:rPr>
          <w:rFonts w:eastAsia="Calibri"/>
          <w:kern w:val="28"/>
          <w:szCs w:val="22"/>
          <w:lang w:eastAsia="en-US"/>
        </w:rPr>
        <w:t>6</w:t>
      </w:r>
      <w:r w:rsidRPr="003E0759" w:rsidR="00685AB1">
        <w:rPr>
          <w:rFonts w:eastAsia="Calibri"/>
          <w:kern w:val="28"/>
          <w:szCs w:val="22"/>
          <w:lang w:eastAsia="en-US"/>
        </w:rPr>
        <w:t xml:space="preserve"> per contact</w:t>
      </w:r>
      <w:r w:rsidRPr="003E0759">
        <w:rPr>
          <w:rFonts w:eastAsia="Calibri"/>
          <w:kern w:val="28"/>
          <w:szCs w:val="22"/>
          <w:lang w:eastAsia="en-US"/>
        </w:rPr>
        <w:t>].</w:t>
      </w:r>
      <w:r>
        <w:rPr>
          <w:rFonts w:eastAsia="Calibri"/>
          <w:kern w:val="28"/>
          <w:sz w:val="20"/>
          <w:szCs w:val="22"/>
          <w:vertAlign w:val="superscript"/>
          <w:lang w:eastAsia="en-US"/>
        </w:rPr>
        <w:footnoteReference w:id="107"/>
      </w:r>
      <w:r w:rsidRPr="003E0759">
        <w:rPr>
          <w:rFonts w:eastAsia="Calibri"/>
          <w:kern w:val="28"/>
          <w:szCs w:val="22"/>
          <w:lang w:eastAsia="en-US"/>
        </w:rPr>
        <w:t xml:space="preserve">  The overall estimated cost for wireless providers would therefore be approximately $3.</w:t>
      </w:r>
      <w:r w:rsidRPr="003E0759">
        <w:rPr>
          <w:rFonts w:eastAsia="Calibri"/>
          <w:snapToGrid w:val="0"/>
          <w:kern w:val="28"/>
          <w:szCs w:val="22"/>
          <w:lang w:eastAsia="en-US"/>
        </w:rPr>
        <w:t>52</w:t>
      </w:r>
      <w:r w:rsidRPr="003E0759">
        <w:rPr>
          <w:rFonts w:eastAsia="Calibri"/>
          <w:kern w:val="28"/>
          <w:szCs w:val="22"/>
          <w:lang w:eastAsia="en-US"/>
        </w:rPr>
        <w:t xml:space="preserve"> million [=$3.</w:t>
      </w:r>
      <w:r w:rsidRPr="003E0759">
        <w:rPr>
          <w:rFonts w:eastAsia="Calibri"/>
          <w:snapToGrid w:val="0"/>
          <w:kern w:val="28"/>
          <w:szCs w:val="22"/>
          <w:lang w:eastAsia="en-US"/>
        </w:rPr>
        <w:t>38</w:t>
      </w:r>
      <w:r w:rsidRPr="003E0759">
        <w:rPr>
          <w:rFonts w:eastAsia="Calibri"/>
          <w:kern w:val="28"/>
          <w:szCs w:val="22"/>
          <w:lang w:eastAsia="en-US"/>
        </w:rPr>
        <w:t xml:space="preserve"> million + $</w:t>
      </w:r>
      <w:r w:rsidRPr="003E0759">
        <w:rPr>
          <w:rFonts w:eastAsia="Calibri"/>
          <w:snapToGrid w:val="0"/>
          <w:kern w:val="28"/>
          <w:szCs w:val="22"/>
          <w:lang w:eastAsia="en-US"/>
        </w:rPr>
        <w:t>136,160</w:t>
      </w:r>
      <w:r w:rsidRPr="003E0759">
        <w:rPr>
          <w:rFonts w:eastAsia="Calibri"/>
          <w:kern w:val="28"/>
          <w:szCs w:val="22"/>
          <w:lang w:eastAsia="en-US"/>
        </w:rPr>
        <w:t>].</w:t>
      </w:r>
      <w:r w:rsidRPr="003E0759" w:rsidR="00685AB1">
        <w:rPr>
          <w:rFonts w:eastAsia="Calibri"/>
          <w:kern w:val="28"/>
          <w:szCs w:val="22"/>
          <w:lang w:eastAsia="en-US"/>
        </w:rPr>
        <w:t xml:space="preserve">  The overall estimated burden is </w:t>
      </w:r>
      <w:r w:rsidRPr="003E0759" w:rsidR="00C52CB3">
        <w:rPr>
          <w:rFonts w:eastAsia="Calibri"/>
          <w:kern w:val="28"/>
          <w:szCs w:val="22"/>
          <w:lang w:eastAsia="en-US"/>
        </w:rPr>
        <w:t>9</w:t>
      </w:r>
      <w:r w:rsidRPr="003E0759" w:rsidR="007B0DF3">
        <w:rPr>
          <w:rFonts w:eastAsia="Calibri"/>
          <w:kern w:val="28"/>
          <w:szCs w:val="22"/>
          <w:lang w:eastAsia="en-US"/>
        </w:rPr>
        <w:t>3</w:t>
      </w:r>
      <w:r w:rsidRPr="003E0759" w:rsidR="00C52CB3">
        <w:rPr>
          <w:rFonts w:eastAsia="Calibri"/>
          <w:kern w:val="28"/>
          <w:szCs w:val="22"/>
          <w:lang w:eastAsia="en-US"/>
        </w:rPr>
        <w:t>,</w:t>
      </w:r>
      <w:r w:rsidRPr="003E0759" w:rsidR="007B0DF3">
        <w:rPr>
          <w:rFonts w:eastAsia="Calibri"/>
          <w:kern w:val="28"/>
          <w:szCs w:val="22"/>
          <w:lang w:eastAsia="en-US"/>
        </w:rPr>
        <w:t>991</w:t>
      </w:r>
      <w:r w:rsidRPr="003E0759" w:rsidR="00C52CB3">
        <w:rPr>
          <w:rFonts w:eastAsia="Calibri"/>
          <w:kern w:val="28"/>
          <w:szCs w:val="22"/>
          <w:lang w:eastAsia="en-US"/>
        </w:rPr>
        <w:t xml:space="preserve"> </w:t>
      </w:r>
      <w:r w:rsidRPr="003E0759" w:rsidR="00685AB1">
        <w:rPr>
          <w:rFonts w:eastAsia="Calibri"/>
          <w:kern w:val="28"/>
          <w:szCs w:val="22"/>
          <w:lang w:eastAsia="en-US"/>
        </w:rPr>
        <w:t xml:space="preserve">[563,944 contacts </w:t>
      </w:r>
      <w:r w:rsidRPr="003E0759" w:rsidR="00685AB1">
        <w:rPr>
          <w:rFonts w:eastAsia="Calibri"/>
          <w:snapToGrid w:val="0"/>
          <w:kern w:val="28"/>
          <w:szCs w:val="22"/>
          <w:bdr w:val="none" w:sz="0" w:space="0" w:color="auto" w:frame="1"/>
          <w:lang w:eastAsia="en-US"/>
        </w:rPr>
        <w:t>×</w:t>
      </w:r>
      <w:r w:rsidRPr="003E0759" w:rsidR="00685AB1">
        <w:rPr>
          <w:rFonts w:eastAsia="Calibri"/>
          <w:kern w:val="28"/>
          <w:szCs w:val="22"/>
          <w:lang w:eastAsia="en-US"/>
        </w:rPr>
        <w:t xml:space="preserve"> </w:t>
      </w:r>
      <w:r w:rsidRPr="003E0759" w:rsidR="007B0DF3">
        <w:rPr>
          <w:rFonts w:eastAsia="Calibri"/>
          <w:snapToGrid w:val="0"/>
          <w:kern w:val="28"/>
          <w:szCs w:val="22"/>
          <w:lang w:eastAsia="en-US"/>
        </w:rPr>
        <w:t>10</w:t>
      </w:r>
      <w:r w:rsidRPr="003E0759" w:rsidR="00685AB1">
        <w:rPr>
          <w:rFonts w:eastAsia="Calibri"/>
          <w:snapToGrid w:val="0"/>
          <w:kern w:val="28"/>
          <w:szCs w:val="22"/>
          <w:lang w:eastAsia="en-US"/>
        </w:rPr>
        <w:t xml:space="preserve"> minutes per contact / 60 minutes per hour</w:t>
      </w:r>
      <w:r w:rsidRPr="003E0759" w:rsidR="00685AB1">
        <w:rPr>
          <w:rFonts w:eastAsia="Calibri"/>
          <w:kern w:val="28"/>
          <w:szCs w:val="22"/>
          <w:lang w:eastAsia="en-US"/>
        </w:rPr>
        <w:t>]</w:t>
      </w:r>
      <w:r w:rsidRPr="003E0759" w:rsidR="00C52CB3">
        <w:rPr>
          <w:rFonts w:eastAsia="Calibri"/>
          <w:kern w:val="28"/>
          <w:szCs w:val="22"/>
          <w:lang w:eastAsia="en-US"/>
        </w:rPr>
        <w:t>.</w:t>
      </w:r>
    </w:p>
    <w:p w:rsidR="00F13D3F" w:rsidRPr="003E0759" w:rsidP="00F13D3F" w14:paraId="30AB8EFE" w14:textId="7B5462FA">
      <w:pPr>
        <w:widowControl w:val="0"/>
        <w:tabs>
          <w:tab w:val="num" w:pos="1440"/>
        </w:tabs>
        <w:suppressAutoHyphens w:val="0"/>
        <w:spacing w:after="120"/>
        <w:ind w:firstLine="720"/>
        <w:rPr>
          <w:rFonts w:eastAsia="Calibri"/>
          <w:kern w:val="28"/>
          <w:szCs w:val="22"/>
          <w:lang w:eastAsia="en-US"/>
        </w:rPr>
      </w:pPr>
      <w:r w:rsidRPr="003E0759">
        <w:rPr>
          <w:rFonts w:eastAsia="Calibri"/>
          <w:i/>
          <w:iCs/>
          <w:kern w:val="28"/>
          <w:szCs w:val="22"/>
          <w:lang w:eastAsia="en-US"/>
        </w:rPr>
        <w:t>Switched Access (Wireline), Cable, and Interconnected VoIP Calculation</w:t>
      </w:r>
      <w:r w:rsidRPr="003E0759">
        <w:rPr>
          <w:rFonts w:eastAsia="Calibri"/>
          <w:kern w:val="28"/>
          <w:szCs w:val="22"/>
          <w:lang w:eastAsia="en-US"/>
        </w:rPr>
        <w:t>.  To calculate costs for this category, we rely on county-level data on the number of providers per county.  We calculate costs by first estimating the number of PSAPs in each county, and then multiplying this by the number of providers in that county.</w:t>
      </w:r>
      <w:r>
        <w:rPr>
          <w:snapToGrid w:val="0"/>
          <w:kern w:val="28"/>
          <w:sz w:val="20"/>
          <w:szCs w:val="22"/>
          <w:shd w:val="clear" w:color="auto" w:fill="FFFFFF"/>
          <w:vertAlign w:val="superscript"/>
          <w:lang w:eastAsia="en-US"/>
        </w:rPr>
        <w:footnoteReference w:id="108"/>
      </w:r>
      <w:r w:rsidRPr="003E0759">
        <w:rPr>
          <w:rFonts w:eastAsia="Calibri"/>
          <w:kern w:val="28"/>
          <w:szCs w:val="22"/>
          <w:lang w:eastAsia="en-US"/>
        </w:rPr>
        <w:t xml:space="preserve">  We conservatively assume that every provider in a county serves the entire county, and would therefore be required to contact all PSAPs in that county.  In doing so, we likely overestimate the costs of obtaining and maintaining contact information.</w:t>
      </w:r>
      <w:r>
        <w:rPr>
          <w:snapToGrid w:val="0"/>
          <w:kern w:val="28"/>
          <w:sz w:val="20"/>
          <w:szCs w:val="22"/>
          <w:shd w:val="clear" w:color="auto" w:fill="FFFFFF"/>
          <w:vertAlign w:val="superscript"/>
          <w:lang w:eastAsia="en-US"/>
        </w:rPr>
        <w:footnoteReference w:id="109"/>
      </w:r>
      <w:r w:rsidRPr="003E0759">
        <w:rPr>
          <w:rFonts w:eastAsia="Calibri"/>
          <w:kern w:val="28"/>
          <w:szCs w:val="22"/>
          <w:lang w:eastAsia="en-US"/>
        </w:rPr>
        <w:t xml:space="preserve">  Conversely, while in principle, our approach could understate costs if voice providers serving different counties each needed to maintain the information of PSAPs serving these counties, we find that we are more likely to overestimate than to underestimate costs.</w:t>
      </w:r>
      <w:r>
        <w:rPr>
          <w:rFonts w:eastAsia="Calibri"/>
          <w:kern w:val="28"/>
          <w:sz w:val="20"/>
          <w:szCs w:val="22"/>
          <w:vertAlign w:val="superscript"/>
          <w:lang w:eastAsia="en-US"/>
        </w:rPr>
        <w:footnoteReference w:id="110"/>
      </w:r>
      <w:r w:rsidRPr="003E0759">
        <w:rPr>
          <w:rFonts w:eastAsia="Calibri"/>
          <w:kern w:val="28"/>
          <w:szCs w:val="22"/>
          <w:lang w:eastAsia="en-US"/>
        </w:rPr>
        <w:t xml:space="preserve">  Multiplying the PSAP-provider product by the per-PSAP cost and adding across counties, we estimate a combined cost of $4.8 million for all providers of switched access, cable, and interconnected VoIP.</w:t>
      </w:r>
      <w:r w:rsidRPr="003E0759" w:rsidR="00AE3179">
        <w:rPr>
          <w:rFonts w:eastAsia="Calibri"/>
          <w:kern w:val="28"/>
          <w:szCs w:val="22"/>
          <w:lang w:eastAsia="en-US"/>
        </w:rPr>
        <w:t xml:space="preserve">  Using this methodology, we estimate a combined annual burden of </w:t>
      </w:r>
      <w:r w:rsidRPr="003E0759" w:rsidR="00C52CB3">
        <w:rPr>
          <w:rFonts w:eastAsia="Calibri"/>
          <w:kern w:val="28"/>
          <w:szCs w:val="22"/>
          <w:lang w:eastAsia="en-US"/>
        </w:rPr>
        <w:t>1</w:t>
      </w:r>
      <w:r w:rsidRPr="003E0759" w:rsidR="00C211E3">
        <w:rPr>
          <w:rFonts w:eastAsia="Calibri"/>
          <w:kern w:val="28"/>
          <w:szCs w:val="22"/>
          <w:lang w:eastAsia="en-US"/>
        </w:rPr>
        <w:t>33</w:t>
      </w:r>
      <w:r w:rsidRPr="003E0759" w:rsidR="00C52CB3">
        <w:rPr>
          <w:rFonts w:eastAsia="Calibri"/>
          <w:kern w:val="28"/>
          <w:szCs w:val="22"/>
          <w:lang w:eastAsia="en-US"/>
        </w:rPr>
        <w:t>,</w:t>
      </w:r>
      <w:r w:rsidRPr="003E0759" w:rsidR="00C211E3">
        <w:rPr>
          <w:rFonts w:eastAsia="Calibri"/>
          <w:kern w:val="28"/>
          <w:szCs w:val="22"/>
          <w:lang w:eastAsia="en-US"/>
        </w:rPr>
        <w:t>334</w:t>
      </w:r>
      <w:r w:rsidRPr="003E0759" w:rsidR="00C52CB3">
        <w:rPr>
          <w:rFonts w:eastAsia="Calibri"/>
          <w:kern w:val="28"/>
          <w:szCs w:val="22"/>
          <w:lang w:eastAsia="en-US"/>
        </w:rPr>
        <w:t xml:space="preserve"> hours</w:t>
      </w:r>
      <w:r w:rsidRPr="003E0759" w:rsidR="00AE3179">
        <w:rPr>
          <w:rFonts w:eastAsia="Calibri"/>
          <w:kern w:val="28"/>
          <w:szCs w:val="22"/>
          <w:lang w:eastAsia="en-US"/>
        </w:rPr>
        <w:t>.</w:t>
      </w:r>
    </w:p>
    <w:p w:rsidR="00F13D3F" w:rsidRPr="003E0759" w:rsidP="00F13D3F" w14:paraId="409983DC" w14:textId="2BB2FDDE">
      <w:pPr>
        <w:widowControl w:val="0"/>
        <w:tabs>
          <w:tab w:val="num" w:pos="1440"/>
        </w:tabs>
        <w:suppressAutoHyphens w:val="0"/>
        <w:spacing w:after="120"/>
        <w:ind w:firstLine="720"/>
        <w:rPr>
          <w:rFonts w:eastAsia="Calibri"/>
          <w:kern w:val="28"/>
          <w:szCs w:val="22"/>
          <w:lang w:eastAsia="en-US"/>
        </w:rPr>
      </w:pPr>
      <w:r w:rsidRPr="003E0759">
        <w:rPr>
          <w:rFonts w:eastAsia="Calibri"/>
          <w:i/>
          <w:iCs/>
          <w:kern w:val="28"/>
          <w:szCs w:val="22"/>
          <w:lang w:eastAsia="en-US"/>
        </w:rPr>
        <w:t>Satellite Calculation</w:t>
      </w:r>
      <w:r w:rsidRPr="003E0759">
        <w:rPr>
          <w:rFonts w:eastAsia="Calibri"/>
          <w:kern w:val="28"/>
          <w:szCs w:val="22"/>
          <w:lang w:eastAsia="en-US"/>
        </w:rPr>
        <w:t xml:space="preserve">.  Our analysis of information from the Broadband Data Collection indicates that there are three nationwide satellite communications providers.  Assuming that each of these providers needs to obtain and maintain contact information for all PSAPs nationwide, we estimate an annual cost of </w:t>
      </w:r>
      <w:r w:rsidRPr="003E0759">
        <w:rPr>
          <w:rFonts w:eastAsia="Calibri"/>
          <w:kern w:val="28"/>
          <w:szCs w:val="22"/>
          <w:lang w:eastAsia="en-US"/>
        </w:rPr>
        <w:t>$102,120 [= $34,040 × 3].</w:t>
      </w:r>
      <w:r>
        <w:rPr>
          <w:snapToGrid w:val="0"/>
          <w:kern w:val="28"/>
          <w:szCs w:val="22"/>
          <w:shd w:val="clear" w:color="auto" w:fill="FFFFFF"/>
          <w:vertAlign w:val="superscript"/>
          <w:lang w:eastAsia="en-US"/>
        </w:rPr>
        <w:footnoteReference w:id="111"/>
      </w:r>
      <w:r w:rsidRPr="003E0759" w:rsidR="00AE3179">
        <w:rPr>
          <w:rFonts w:eastAsia="Calibri"/>
          <w:kern w:val="28"/>
          <w:szCs w:val="22"/>
          <w:lang w:eastAsia="en-US"/>
        </w:rPr>
        <w:t xml:space="preserve">  We also estimate a</w:t>
      </w:r>
      <w:r w:rsidRPr="003E0759" w:rsidR="00535F94">
        <w:rPr>
          <w:rFonts w:eastAsia="Calibri"/>
          <w:kern w:val="28"/>
          <w:szCs w:val="22"/>
          <w:lang w:eastAsia="en-US"/>
        </w:rPr>
        <w:t>n</w:t>
      </w:r>
      <w:r w:rsidRPr="003E0759" w:rsidR="00AE3179">
        <w:rPr>
          <w:rFonts w:eastAsia="Calibri"/>
          <w:kern w:val="28"/>
          <w:szCs w:val="22"/>
          <w:lang w:eastAsia="en-US"/>
        </w:rPr>
        <w:t xml:space="preserve"> annual hourly burden of </w:t>
      </w:r>
      <w:r w:rsidRPr="003E0759" w:rsidR="00EF2224">
        <w:rPr>
          <w:rFonts w:eastAsia="Calibri"/>
          <w:kern w:val="28"/>
          <w:szCs w:val="22"/>
          <w:lang w:eastAsia="en-US"/>
        </w:rPr>
        <w:t xml:space="preserve">2,760 hours </w:t>
      </w:r>
      <w:r w:rsidRPr="003E0759" w:rsidR="00535F94">
        <w:rPr>
          <w:rFonts w:eastAsia="Calibri"/>
          <w:kern w:val="28"/>
          <w:szCs w:val="22"/>
          <w:lang w:eastAsia="en-US"/>
        </w:rPr>
        <w:t>[</w:t>
      </w:r>
      <w:r w:rsidRPr="003E0759" w:rsidR="00EF2224">
        <w:rPr>
          <w:rFonts w:eastAsia="Calibri"/>
          <w:kern w:val="28"/>
          <w:szCs w:val="22"/>
          <w:lang w:eastAsia="en-US"/>
        </w:rPr>
        <w:t>=</w:t>
      </w:r>
      <w:r w:rsidRPr="003E0759" w:rsidR="00D40A4E">
        <w:rPr>
          <w:rFonts w:eastAsia="Calibri"/>
          <w:kern w:val="28"/>
          <w:szCs w:val="22"/>
          <w:lang w:eastAsia="en-US"/>
        </w:rPr>
        <w:t xml:space="preserve"> </w:t>
      </w:r>
      <w:r w:rsidRPr="003E0759" w:rsidR="00535F94">
        <w:rPr>
          <w:rFonts w:eastAsia="Calibri"/>
          <w:kern w:val="28"/>
          <w:szCs w:val="22"/>
          <w:lang w:eastAsia="en-US"/>
        </w:rPr>
        <w:t xml:space="preserve">920 hours </w:t>
      </w:r>
      <w:r w:rsidRPr="003E0759" w:rsidR="00EF2224">
        <w:rPr>
          <w:rFonts w:eastAsia="Calibri"/>
          <w:kern w:val="28"/>
          <w:szCs w:val="22"/>
          <w:lang w:eastAsia="en-US"/>
        </w:rPr>
        <w:t xml:space="preserve">× </w:t>
      </w:r>
      <w:r w:rsidRPr="003E0759" w:rsidR="00535F94">
        <w:rPr>
          <w:rFonts w:eastAsia="Calibri"/>
          <w:kern w:val="28"/>
          <w:szCs w:val="22"/>
          <w:lang w:eastAsia="en-US"/>
        </w:rPr>
        <w:t>3].</w:t>
      </w:r>
    </w:p>
    <w:p w:rsidR="00F13D3F" w:rsidRPr="003E0759" w:rsidP="004D0509" w14:paraId="4253C1AA" w14:textId="0E598C69">
      <w:pPr>
        <w:tabs>
          <w:tab w:val="num" w:pos="1440"/>
        </w:tabs>
        <w:suppressAutoHyphens w:val="0"/>
        <w:snapToGrid w:val="0"/>
        <w:spacing w:after="120"/>
        <w:ind w:firstLine="720"/>
        <w:rPr>
          <w:snapToGrid w:val="0"/>
          <w:spacing w:val="-2"/>
          <w:kern w:val="28"/>
          <w:lang w:eastAsia="en-US"/>
        </w:rPr>
      </w:pPr>
      <w:r w:rsidRPr="003E0759">
        <w:rPr>
          <w:rFonts w:eastAsia="Calibri"/>
          <w:kern w:val="28"/>
          <w:szCs w:val="22"/>
          <w:lang w:eastAsia="en-US"/>
        </w:rPr>
        <w:t>As discussed above, we believe that OSPs and covered 911 service</w:t>
      </w:r>
      <w:r w:rsidRPr="003E0759">
        <w:rPr>
          <w:snapToGrid w:val="0"/>
          <w:kern w:val="28"/>
          <w:szCs w:val="22"/>
          <w:lang w:eastAsia="en-US"/>
        </w:rPr>
        <w:t xml:space="preserve"> </w:t>
      </w:r>
      <w:r w:rsidRPr="003E0759">
        <w:rPr>
          <w:rFonts w:eastAsia="Calibri"/>
          <w:kern w:val="28"/>
          <w:szCs w:val="22"/>
          <w:lang w:eastAsia="en-US"/>
        </w:rPr>
        <w:t>providers</w:t>
      </w:r>
      <w:r w:rsidRPr="003E0759">
        <w:rPr>
          <w:snapToGrid w:val="0"/>
          <w:kern w:val="28"/>
          <w:szCs w:val="22"/>
          <w:lang w:eastAsia="en-US"/>
        </w:rPr>
        <w:t xml:space="preserve"> </w:t>
      </w:r>
      <w:r w:rsidRPr="003E0759">
        <w:rPr>
          <w:rFonts w:eastAsia="Calibri"/>
          <w:kern w:val="28"/>
          <w:szCs w:val="22"/>
          <w:lang w:eastAsia="en-US"/>
        </w:rPr>
        <w:t>across</w:t>
      </w:r>
      <w:r w:rsidRPr="003E0759">
        <w:rPr>
          <w:snapToGrid w:val="0"/>
          <w:kern w:val="28"/>
          <w:szCs w:val="22"/>
          <w:lang w:eastAsia="en-US"/>
        </w:rPr>
        <w:t xml:space="preserve"> </w:t>
      </w:r>
      <w:r w:rsidRPr="003E0759">
        <w:rPr>
          <w:rFonts w:eastAsia="Calibri"/>
          <w:kern w:val="28"/>
          <w:szCs w:val="22"/>
          <w:lang w:eastAsia="en-US"/>
        </w:rPr>
        <w:t>the</w:t>
      </w:r>
      <w:r w:rsidRPr="003E0759">
        <w:rPr>
          <w:snapToGrid w:val="0"/>
          <w:kern w:val="28"/>
          <w:szCs w:val="22"/>
          <w:lang w:eastAsia="en-US"/>
        </w:rPr>
        <w:t xml:space="preserve"> </w:t>
      </w:r>
      <w:r w:rsidRPr="003E0759">
        <w:rPr>
          <w:rFonts w:eastAsia="Calibri"/>
          <w:kern w:val="28"/>
          <w:szCs w:val="22"/>
          <w:lang w:eastAsia="en-US"/>
        </w:rPr>
        <w:t>country</w:t>
      </w:r>
      <w:r w:rsidRPr="003E0759">
        <w:rPr>
          <w:snapToGrid w:val="0"/>
          <w:kern w:val="28"/>
          <w:szCs w:val="22"/>
          <w:lang w:eastAsia="en-US"/>
        </w:rPr>
        <w:t xml:space="preserve"> </w:t>
      </w:r>
      <w:r w:rsidRPr="003E0759">
        <w:rPr>
          <w:rFonts w:eastAsia="Calibri"/>
          <w:kern w:val="28"/>
          <w:szCs w:val="22"/>
          <w:lang w:eastAsia="en-US"/>
        </w:rPr>
        <w:t>actually would incur annual costs that are substantially less than the estimated cost calculated using the methodology described above (</w:t>
      </w:r>
      <w:r w:rsidRPr="003E0759">
        <w:rPr>
          <w:snapToGrid w:val="0"/>
          <w:kern w:val="28"/>
          <w:szCs w:val="22"/>
          <w:lang w:eastAsia="en-US"/>
        </w:rPr>
        <w:t xml:space="preserve">$8.42 </w:t>
      </w:r>
      <w:r w:rsidRPr="003E0759">
        <w:rPr>
          <w:rFonts w:eastAsia="Calibri"/>
          <w:kern w:val="28"/>
          <w:szCs w:val="22"/>
          <w:lang w:eastAsia="en-US"/>
        </w:rPr>
        <w:t>million).  But, even if this cost estimate were accurate, we believe it is far exceeded by the benefits of ensuring that PSAPs receive timely information about outages in their jurisdictions that threaten residents’ ability to reach 911.</w:t>
      </w:r>
      <w:r>
        <w:rPr>
          <w:rStyle w:val="FootnoteReference"/>
          <w:rFonts w:eastAsia="Calibri"/>
          <w:kern w:val="28"/>
          <w:szCs w:val="22"/>
          <w:lang w:eastAsia="en-US"/>
        </w:rPr>
        <w:footnoteReference w:id="112"/>
      </w:r>
    </w:p>
    <w:p w:rsidR="001250FD" w:rsidRPr="003E0759" w:rsidP="000930AA" w14:paraId="75BA7BCF" w14:textId="613A4C08">
      <w:pPr>
        <w:tabs>
          <w:tab w:val="num" w:pos="1440"/>
        </w:tabs>
        <w:suppressAutoHyphens w:val="0"/>
        <w:snapToGrid w:val="0"/>
        <w:spacing w:after="120"/>
        <w:ind w:firstLine="720"/>
        <w:rPr>
          <w:szCs w:val="22"/>
        </w:rPr>
      </w:pPr>
      <w:r w:rsidRPr="003E0759">
        <w:rPr>
          <w:szCs w:val="22"/>
        </w:rPr>
        <w:t>W</w:t>
      </w:r>
      <w:r w:rsidRPr="003E0759" w:rsidR="00ED13F0">
        <w:rPr>
          <w:szCs w:val="22"/>
        </w:rPr>
        <w:t xml:space="preserve">e </w:t>
      </w:r>
      <w:r w:rsidRPr="003E0759" w:rsidR="006D2A51">
        <w:rPr>
          <w:szCs w:val="22"/>
        </w:rPr>
        <w:t xml:space="preserve">also </w:t>
      </w:r>
      <w:r w:rsidRPr="003E0759" w:rsidR="00ED13F0">
        <w:rPr>
          <w:rFonts w:eastAsia="Calibri"/>
          <w:kern w:val="28"/>
          <w:szCs w:val="22"/>
          <w:lang w:eastAsia="en-US"/>
        </w:rPr>
        <w:t>estimate</w:t>
      </w:r>
      <w:r w:rsidRPr="003E0759" w:rsidR="00ED13F0">
        <w:rPr>
          <w:szCs w:val="22"/>
        </w:rPr>
        <w:t xml:space="preserve"> that each provider will spend no more than </w:t>
      </w:r>
      <w:r w:rsidRPr="003E0759" w:rsidR="000D262E">
        <w:rPr>
          <w:szCs w:val="22"/>
        </w:rPr>
        <w:t xml:space="preserve">15 minutes annually </w:t>
      </w:r>
      <w:r w:rsidRPr="003E0759" w:rsidR="00EA343B">
        <w:rPr>
          <w:szCs w:val="22"/>
        </w:rPr>
        <w:t xml:space="preserve">(for a total of 781 hours annually) </w:t>
      </w:r>
      <w:r w:rsidRPr="003E0759" w:rsidR="000D262E">
        <w:rPr>
          <w:szCs w:val="22"/>
        </w:rPr>
        <w:t>updating 988 special facility contact information from the email surveys they receive from the three 988 special facilities</w:t>
      </w:r>
      <w:r w:rsidRPr="003E0759" w:rsidR="006A3F93">
        <w:rPr>
          <w:szCs w:val="22"/>
        </w:rPr>
        <w:t xml:space="preserve"> identified by the Commission</w:t>
      </w:r>
      <w:r w:rsidRPr="003E0759" w:rsidR="000D262E">
        <w:rPr>
          <w:szCs w:val="22"/>
        </w:rPr>
        <w:t>.</w:t>
      </w:r>
      <w:r>
        <w:rPr>
          <w:rStyle w:val="FootnoteReference"/>
          <w:szCs w:val="22"/>
        </w:rPr>
        <w:footnoteReference w:id="113"/>
      </w:r>
    </w:p>
    <w:p w:rsidR="00AE4813" w:rsidRPr="003E0759" w:rsidP="00BF6CEA" w14:paraId="79A4E0EF" w14:textId="718148D1">
      <w:pPr>
        <w:spacing w:after="120"/>
        <w:ind w:firstLine="720"/>
        <w:rPr>
          <w:szCs w:val="22"/>
        </w:rPr>
      </w:pPr>
      <w:r w:rsidRPr="003E0759">
        <w:rPr>
          <w:b/>
          <w:bCs/>
          <w:iCs/>
          <w:szCs w:val="22"/>
          <w:u w:val="single"/>
        </w:rPr>
        <w:t>Total Annua</w:t>
      </w:r>
      <w:r w:rsidRPr="003E0759" w:rsidR="00480C85">
        <w:rPr>
          <w:b/>
          <w:bCs/>
          <w:iCs/>
          <w:szCs w:val="22"/>
          <w:u w:val="single"/>
        </w:rPr>
        <w:t>l</w:t>
      </w:r>
      <w:r w:rsidRPr="003E0759">
        <w:rPr>
          <w:b/>
          <w:bCs/>
          <w:iCs/>
          <w:szCs w:val="22"/>
          <w:u w:val="single"/>
        </w:rPr>
        <w:t xml:space="preserve"> Hourly Burden for </w:t>
      </w:r>
      <w:r w:rsidRPr="003E0759" w:rsidR="00480C85">
        <w:rPr>
          <w:b/>
          <w:bCs/>
          <w:iCs/>
          <w:szCs w:val="22"/>
          <w:u w:val="single"/>
        </w:rPr>
        <w:t>Providers</w:t>
      </w:r>
      <w:r w:rsidRPr="003E0759" w:rsidR="00480C85">
        <w:rPr>
          <w:i/>
          <w:szCs w:val="22"/>
          <w:u w:val="single"/>
        </w:rPr>
        <w:t>:</w:t>
      </w:r>
      <w:r w:rsidRPr="003E0759" w:rsidR="00480C85">
        <w:rPr>
          <w:szCs w:val="22"/>
        </w:rPr>
        <w:t xml:space="preserve">  </w:t>
      </w:r>
      <w:r w:rsidRPr="003E0759" w:rsidR="00B55597">
        <w:rPr>
          <w:szCs w:val="22"/>
        </w:rPr>
        <w:t xml:space="preserve">We calculate the </w:t>
      </w:r>
      <w:r w:rsidRPr="003E0759" w:rsidR="00E37ADD">
        <w:rPr>
          <w:szCs w:val="22"/>
        </w:rPr>
        <w:t xml:space="preserve">sum </w:t>
      </w:r>
      <w:r w:rsidRPr="003E0759" w:rsidR="00AB3484">
        <w:rPr>
          <w:szCs w:val="22"/>
        </w:rPr>
        <w:t xml:space="preserve">of the </w:t>
      </w:r>
      <w:r w:rsidRPr="003E0759" w:rsidR="00C60A07">
        <w:rPr>
          <w:szCs w:val="22"/>
        </w:rPr>
        <w:t xml:space="preserve">annual hourly burden </w:t>
      </w:r>
      <w:r w:rsidRPr="003E0759" w:rsidR="000D3F4B">
        <w:rPr>
          <w:szCs w:val="22"/>
        </w:rPr>
        <w:t>as follows</w:t>
      </w:r>
      <w:r w:rsidRPr="003E0759">
        <w:rPr>
          <w:szCs w:val="22"/>
        </w:rPr>
        <w:t>:</w:t>
      </w:r>
    </w:p>
    <w:p w:rsidR="00B52365" w:rsidRPr="003E0759" w:rsidP="00BF6CEA" w14:paraId="26950106" w14:textId="72C5F823">
      <w:pPr>
        <w:spacing w:after="120"/>
        <w:ind w:firstLine="720"/>
        <w:rPr>
          <w:szCs w:val="22"/>
        </w:rPr>
      </w:pPr>
      <w:bookmarkStart w:id="3" w:name="_Hlk146284986"/>
      <w:bookmarkStart w:id="4" w:name="_Hlk141277011"/>
      <w:r w:rsidRPr="003E0759">
        <w:rPr>
          <w:szCs w:val="22"/>
        </w:rPr>
        <w:t xml:space="preserve">911 and 988 </w:t>
      </w:r>
      <w:r w:rsidRPr="003E0759" w:rsidR="00D30E95">
        <w:rPr>
          <w:szCs w:val="22"/>
        </w:rPr>
        <w:t>Outage Reporting in N</w:t>
      </w:r>
      <w:r w:rsidRPr="003E0759" w:rsidR="00802FC2">
        <w:rPr>
          <w:szCs w:val="22"/>
        </w:rPr>
        <w:t xml:space="preserve">ORS – </w:t>
      </w:r>
      <w:r w:rsidRPr="003E0759" w:rsidR="00602B13">
        <w:rPr>
          <w:szCs w:val="22"/>
        </w:rPr>
        <w:t xml:space="preserve">78,000 </w:t>
      </w:r>
      <w:r w:rsidRPr="003E0759" w:rsidR="00D30E95">
        <w:rPr>
          <w:szCs w:val="22"/>
        </w:rPr>
        <w:t>hours</w:t>
      </w:r>
      <w:r w:rsidRPr="003E0759" w:rsidR="00A318DA">
        <w:rPr>
          <w:szCs w:val="22"/>
        </w:rPr>
        <w:t>.</w:t>
      </w:r>
    </w:p>
    <w:p w:rsidR="00802FC2" w:rsidRPr="003E0759" w:rsidP="00BF6CEA" w14:paraId="3CF021C6" w14:textId="0D5EC95D">
      <w:pPr>
        <w:spacing w:after="120"/>
        <w:ind w:firstLine="720"/>
        <w:rPr>
          <w:szCs w:val="22"/>
        </w:rPr>
      </w:pPr>
      <w:r w:rsidRPr="003E0759">
        <w:rPr>
          <w:szCs w:val="22"/>
        </w:rPr>
        <w:t xml:space="preserve">Outage </w:t>
      </w:r>
      <w:r w:rsidRPr="003E0759" w:rsidR="00E9093B">
        <w:rPr>
          <w:szCs w:val="22"/>
        </w:rPr>
        <w:t xml:space="preserve">Notification </w:t>
      </w:r>
      <w:r w:rsidRPr="003E0759">
        <w:rPr>
          <w:szCs w:val="22"/>
        </w:rPr>
        <w:t xml:space="preserve">to 911 </w:t>
      </w:r>
      <w:r w:rsidRPr="003E0759" w:rsidR="00AE2263">
        <w:rPr>
          <w:szCs w:val="22"/>
        </w:rPr>
        <w:t xml:space="preserve">and 988 </w:t>
      </w:r>
      <w:r w:rsidRPr="003E0759">
        <w:rPr>
          <w:szCs w:val="22"/>
        </w:rPr>
        <w:t xml:space="preserve">Special Facilities – </w:t>
      </w:r>
      <w:r w:rsidRPr="003E0759" w:rsidR="001A777E">
        <w:rPr>
          <w:szCs w:val="22"/>
        </w:rPr>
        <w:t>78</w:t>
      </w:r>
      <w:r w:rsidRPr="003E0759" w:rsidR="00435D49">
        <w:rPr>
          <w:szCs w:val="22"/>
        </w:rPr>
        <w:t>,000</w:t>
      </w:r>
      <w:r w:rsidRPr="003E0759" w:rsidR="003C2322">
        <w:rPr>
          <w:szCs w:val="22"/>
        </w:rPr>
        <w:t xml:space="preserve"> hours.</w:t>
      </w:r>
    </w:p>
    <w:p w:rsidR="00707DE8" w:rsidRPr="003E0759" w:rsidP="00BF6CEA" w14:paraId="086F9514" w14:textId="725D7B67">
      <w:pPr>
        <w:spacing w:after="120"/>
        <w:ind w:firstLine="720"/>
        <w:rPr>
          <w:szCs w:val="22"/>
        </w:rPr>
      </w:pPr>
      <w:r w:rsidRPr="003E0759">
        <w:rPr>
          <w:szCs w:val="22"/>
        </w:rPr>
        <w:t>Maintaining</w:t>
      </w:r>
      <w:r w:rsidRPr="003E0759">
        <w:rPr>
          <w:szCs w:val="22"/>
        </w:rPr>
        <w:t xml:space="preserve"> a </w:t>
      </w:r>
      <w:r w:rsidRPr="003E0759" w:rsidR="00E9093B">
        <w:rPr>
          <w:szCs w:val="22"/>
        </w:rPr>
        <w:t xml:space="preserve">List of </w:t>
      </w:r>
      <w:r w:rsidRPr="003E0759" w:rsidR="009C0F1C">
        <w:rPr>
          <w:szCs w:val="22"/>
        </w:rPr>
        <w:t>PSAPs</w:t>
      </w:r>
      <w:r w:rsidRPr="003E0759">
        <w:rPr>
          <w:szCs w:val="22"/>
        </w:rPr>
        <w:t xml:space="preserve"> </w:t>
      </w:r>
      <w:r w:rsidRPr="003E0759" w:rsidR="001807D7">
        <w:rPr>
          <w:szCs w:val="22"/>
        </w:rPr>
        <w:t xml:space="preserve">and their contact information </w:t>
      </w:r>
      <w:r w:rsidRPr="003E0759">
        <w:rPr>
          <w:szCs w:val="22"/>
        </w:rPr>
        <w:t>–</w:t>
      </w:r>
      <w:r w:rsidRPr="003E0759">
        <w:rPr>
          <w:szCs w:val="22"/>
        </w:rPr>
        <w:t xml:space="preserve"> </w:t>
      </w:r>
      <w:r w:rsidRPr="003E0759" w:rsidR="0042781A">
        <w:rPr>
          <w:szCs w:val="22"/>
        </w:rPr>
        <w:t xml:space="preserve"> </w:t>
      </w:r>
      <w:r w:rsidRPr="003E0759" w:rsidR="00BE036B">
        <w:rPr>
          <w:szCs w:val="22"/>
        </w:rPr>
        <w:t>2</w:t>
      </w:r>
      <w:r w:rsidRPr="003E0759" w:rsidR="00727E26">
        <w:rPr>
          <w:szCs w:val="22"/>
        </w:rPr>
        <w:t>4</w:t>
      </w:r>
      <w:r w:rsidRPr="003E0759" w:rsidR="00BE036B">
        <w:rPr>
          <w:szCs w:val="22"/>
        </w:rPr>
        <w:t>0,0</w:t>
      </w:r>
      <w:r w:rsidRPr="003E0759" w:rsidR="00727E26">
        <w:rPr>
          <w:szCs w:val="22"/>
        </w:rPr>
        <w:t>13</w:t>
      </w:r>
      <w:r w:rsidRPr="003E0759" w:rsidR="007C66D6">
        <w:rPr>
          <w:szCs w:val="22"/>
        </w:rPr>
        <w:t xml:space="preserve"> </w:t>
      </w:r>
      <w:r w:rsidRPr="003E0759" w:rsidR="00775889">
        <w:rPr>
          <w:szCs w:val="22"/>
        </w:rPr>
        <w:t>hours</w:t>
      </w:r>
      <w:r w:rsidRPr="003E0759" w:rsidR="0056411E">
        <w:rPr>
          <w:szCs w:val="22"/>
        </w:rPr>
        <w:t xml:space="preserve"> [</w:t>
      </w:r>
      <w:r w:rsidRPr="003E0759" w:rsidR="00EA343B">
        <w:rPr>
          <w:szCs w:val="22"/>
        </w:rPr>
        <w:t xml:space="preserve">6,248 + </w:t>
      </w:r>
      <w:r w:rsidRPr="003E0759" w:rsidR="0056411E">
        <w:rPr>
          <w:szCs w:val="22"/>
        </w:rPr>
        <w:t xml:space="preserve">3,680 + 93,991 + </w:t>
      </w:r>
      <w:r w:rsidRPr="003E0759" w:rsidR="00BE036B">
        <w:rPr>
          <w:szCs w:val="22"/>
        </w:rPr>
        <w:t>133,334</w:t>
      </w:r>
      <w:r w:rsidRPr="003E0759" w:rsidR="0056411E">
        <w:rPr>
          <w:szCs w:val="22"/>
        </w:rPr>
        <w:t xml:space="preserve"> + 2,760]</w:t>
      </w:r>
      <w:r w:rsidRPr="003E0759" w:rsidR="00775889">
        <w:rPr>
          <w:szCs w:val="22"/>
        </w:rPr>
        <w:t>.</w:t>
      </w:r>
    </w:p>
    <w:p w:rsidR="001807D7" w:rsidRPr="003E0759" w:rsidP="00BF6CEA" w14:paraId="02650FA3" w14:textId="475F9F38">
      <w:pPr>
        <w:spacing w:after="120"/>
        <w:ind w:firstLine="720"/>
        <w:rPr>
          <w:szCs w:val="22"/>
        </w:rPr>
      </w:pPr>
      <w:r w:rsidRPr="003E0759">
        <w:rPr>
          <w:szCs w:val="22"/>
        </w:rPr>
        <w:t>Maintaining a List of 988 Special Facilities and their contact information – 781 hours.</w:t>
      </w:r>
    </w:p>
    <w:bookmarkEnd w:id="3"/>
    <w:p w:rsidR="00CA5897" w14:paraId="3D2904DC" w14:textId="624DF4A7">
      <w:pPr>
        <w:rPr>
          <w:szCs w:val="22"/>
        </w:rPr>
      </w:pPr>
      <w:r w:rsidRPr="003E0759">
        <w:rPr>
          <w:szCs w:val="22"/>
        </w:rPr>
        <w:t>Adding all the components</w:t>
      </w:r>
      <w:r w:rsidRPr="003E0759" w:rsidR="005B0E28">
        <w:rPr>
          <w:szCs w:val="22"/>
        </w:rPr>
        <w:t xml:space="preserve">, we estimate the total </w:t>
      </w:r>
      <w:r w:rsidRPr="003E0759" w:rsidR="002F7B2F">
        <w:rPr>
          <w:szCs w:val="22"/>
        </w:rPr>
        <w:t xml:space="preserve">annual </w:t>
      </w:r>
      <w:r w:rsidRPr="003E0759" w:rsidR="005B0E28">
        <w:rPr>
          <w:szCs w:val="22"/>
        </w:rPr>
        <w:t>burden for providers to be</w:t>
      </w:r>
      <w:r w:rsidRPr="003E0759" w:rsidR="002F3D07">
        <w:rPr>
          <w:szCs w:val="22"/>
        </w:rPr>
        <w:t xml:space="preserve"> </w:t>
      </w:r>
      <w:r w:rsidRPr="003E0759" w:rsidR="00BE036B">
        <w:rPr>
          <w:b/>
          <w:bCs/>
          <w:szCs w:val="22"/>
        </w:rPr>
        <w:t>3</w:t>
      </w:r>
      <w:r w:rsidRPr="003E0759" w:rsidR="00727E26">
        <w:rPr>
          <w:b/>
          <w:bCs/>
          <w:szCs w:val="22"/>
        </w:rPr>
        <w:t>9</w:t>
      </w:r>
      <w:r w:rsidRPr="003E0759" w:rsidR="00BE036B">
        <w:rPr>
          <w:b/>
          <w:bCs/>
          <w:szCs w:val="22"/>
        </w:rPr>
        <w:t>6</w:t>
      </w:r>
      <w:r w:rsidRPr="003E0759" w:rsidR="00727E26">
        <w:rPr>
          <w:b/>
          <w:bCs/>
          <w:szCs w:val="22"/>
        </w:rPr>
        <w:t>,794</w:t>
      </w:r>
      <w:r w:rsidRPr="003E0759" w:rsidR="00920990">
        <w:rPr>
          <w:b/>
          <w:bCs/>
          <w:szCs w:val="22"/>
        </w:rPr>
        <w:t xml:space="preserve"> </w:t>
      </w:r>
      <w:r w:rsidRPr="003E0759" w:rsidR="00321576">
        <w:rPr>
          <w:b/>
          <w:bCs/>
          <w:szCs w:val="22"/>
        </w:rPr>
        <w:t>hours</w:t>
      </w:r>
      <w:r w:rsidRPr="003E0759" w:rsidR="002F7B2F">
        <w:rPr>
          <w:szCs w:val="22"/>
        </w:rPr>
        <w:t>.</w:t>
      </w:r>
      <w:bookmarkStart w:id="5" w:name="_Hlk141278530"/>
      <w:bookmarkEnd w:id="4"/>
    </w:p>
    <w:p w:rsidR="006273A3" w:rsidRPr="003E0759" w:rsidP="000B5E5B" w14:paraId="77DD2167" w14:textId="77777777">
      <w:pPr>
        <w:rPr>
          <w:b/>
          <w:bCs/>
          <w:color w:val="000000"/>
          <w:szCs w:val="22"/>
        </w:rPr>
      </w:pPr>
    </w:p>
    <w:p w:rsidR="00466FA1" w:rsidRPr="003E0759" w:rsidP="00BF6CEA" w14:paraId="42AC206D" w14:textId="65A9C64A">
      <w:pPr>
        <w:spacing w:after="120"/>
        <w:ind w:firstLine="720"/>
        <w:rPr>
          <w:bCs/>
          <w:color w:val="000000"/>
          <w:szCs w:val="22"/>
        </w:rPr>
      </w:pPr>
      <w:r w:rsidRPr="003E0759">
        <w:rPr>
          <w:b/>
          <w:bCs/>
          <w:color w:val="000000"/>
          <w:szCs w:val="22"/>
        </w:rPr>
        <w:t>In-House</w:t>
      </w:r>
      <w:r w:rsidRPr="003E0759" w:rsidR="005E112E">
        <w:rPr>
          <w:b/>
          <w:bCs/>
          <w:color w:val="000000"/>
          <w:szCs w:val="22"/>
        </w:rPr>
        <w:t>, Recurring</w:t>
      </w:r>
      <w:r w:rsidRPr="003E0759">
        <w:rPr>
          <w:b/>
          <w:bCs/>
          <w:color w:val="000000"/>
          <w:szCs w:val="22"/>
        </w:rPr>
        <w:t xml:space="preserve"> Cost:</w:t>
      </w:r>
      <w:r w:rsidRPr="003E0759">
        <w:rPr>
          <w:bCs/>
          <w:color w:val="000000"/>
          <w:szCs w:val="22"/>
        </w:rPr>
        <w:t xml:space="preserve">  </w:t>
      </w:r>
      <w:r w:rsidRPr="003E0759" w:rsidR="00BB4A83">
        <w:rPr>
          <w:bCs/>
          <w:color w:val="000000"/>
          <w:szCs w:val="22"/>
        </w:rPr>
        <w:t xml:space="preserve">We estimate that the </w:t>
      </w:r>
      <w:r w:rsidRPr="003E0759" w:rsidR="0030553D">
        <w:rPr>
          <w:bCs/>
          <w:color w:val="000000"/>
          <w:szCs w:val="22"/>
        </w:rPr>
        <w:t>task of reporting outages in NORS can be accomplished</w:t>
      </w:r>
      <w:r w:rsidRPr="003E0759" w:rsidR="00BD50CF">
        <w:rPr>
          <w:bCs/>
          <w:color w:val="000000"/>
          <w:szCs w:val="22"/>
        </w:rPr>
        <w:t xml:space="preserve"> by a</w:t>
      </w:r>
      <w:r w:rsidRPr="003E0759" w:rsidR="008E75B4">
        <w:rPr>
          <w:bCs/>
          <w:color w:val="000000"/>
          <w:szCs w:val="22"/>
        </w:rPr>
        <w:t xml:space="preserve"> miscellaneous media and</w:t>
      </w:r>
      <w:r w:rsidRPr="003E0759" w:rsidR="0030553D">
        <w:rPr>
          <w:bCs/>
          <w:color w:val="000000"/>
          <w:szCs w:val="22"/>
        </w:rPr>
        <w:t xml:space="preserve"> </w:t>
      </w:r>
      <w:r w:rsidRPr="003E0759" w:rsidR="0029405F">
        <w:rPr>
          <w:bCs/>
          <w:color w:val="000000"/>
          <w:szCs w:val="22"/>
        </w:rPr>
        <w:t xml:space="preserve">communications </w:t>
      </w:r>
      <w:r w:rsidRPr="003E0759" w:rsidR="00077E72">
        <w:rPr>
          <w:bCs/>
          <w:color w:val="000000"/>
          <w:szCs w:val="22"/>
        </w:rPr>
        <w:t xml:space="preserve">worker </w:t>
      </w:r>
      <w:r w:rsidRPr="003E0759" w:rsidR="0029405F">
        <w:rPr>
          <w:bCs/>
          <w:color w:val="000000"/>
          <w:szCs w:val="22"/>
        </w:rPr>
        <w:t xml:space="preserve">at a </w:t>
      </w:r>
      <w:r w:rsidRPr="003E0759" w:rsidR="002B4C28">
        <w:rPr>
          <w:bCs/>
          <w:color w:val="000000"/>
          <w:szCs w:val="22"/>
        </w:rPr>
        <w:t xml:space="preserve">wage </w:t>
      </w:r>
      <w:r w:rsidRPr="003E0759" w:rsidR="0029405F">
        <w:rPr>
          <w:bCs/>
          <w:color w:val="000000"/>
          <w:szCs w:val="22"/>
        </w:rPr>
        <w:t>of $</w:t>
      </w:r>
      <w:r w:rsidRPr="003E0759" w:rsidR="00536293">
        <w:rPr>
          <w:bCs/>
          <w:color w:val="000000"/>
          <w:szCs w:val="22"/>
        </w:rPr>
        <w:t>43</w:t>
      </w:r>
      <w:r w:rsidRPr="003E0759" w:rsidR="0029405F">
        <w:rPr>
          <w:bCs/>
          <w:color w:val="000000"/>
          <w:szCs w:val="22"/>
        </w:rPr>
        <w:t xml:space="preserve"> per hour</w:t>
      </w:r>
      <w:r w:rsidRPr="003E0759" w:rsidR="009F2B8A">
        <w:rPr>
          <w:bCs/>
          <w:color w:val="000000"/>
          <w:szCs w:val="22"/>
        </w:rPr>
        <w:t xml:space="preserve"> multiplied by </w:t>
      </w:r>
      <w:r w:rsidRPr="003E0759" w:rsidR="00BD50CF">
        <w:rPr>
          <w:bCs/>
          <w:color w:val="000000"/>
          <w:szCs w:val="22"/>
        </w:rPr>
        <w:t>78,000</w:t>
      </w:r>
      <w:r w:rsidRPr="003E0759" w:rsidR="009F2B8A">
        <w:rPr>
          <w:bCs/>
          <w:color w:val="000000"/>
          <w:szCs w:val="22"/>
        </w:rPr>
        <w:t xml:space="preserve"> hours</w:t>
      </w:r>
      <w:r w:rsidRPr="003E0759" w:rsidR="00126E36">
        <w:rPr>
          <w:bCs/>
          <w:color w:val="000000"/>
          <w:szCs w:val="22"/>
        </w:rPr>
        <w:t xml:space="preserve"> yielding a total annual cost of </w:t>
      </w:r>
      <w:r w:rsidRPr="003E0759" w:rsidR="006C21F5">
        <w:rPr>
          <w:bCs/>
          <w:color w:val="000000"/>
          <w:szCs w:val="22"/>
        </w:rPr>
        <w:t>$</w:t>
      </w:r>
      <w:r w:rsidRPr="003E0759" w:rsidR="00F16212">
        <w:rPr>
          <w:bCs/>
          <w:color w:val="000000"/>
          <w:szCs w:val="22"/>
        </w:rPr>
        <w:t>3,354,000</w:t>
      </w:r>
      <w:r w:rsidRPr="003E0759" w:rsidR="006C000C">
        <w:rPr>
          <w:bCs/>
          <w:color w:val="000000"/>
          <w:szCs w:val="22"/>
        </w:rPr>
        <w:t>.</w:t>
      </w:r>
      <w:r>
        <w:rPr>
          <w:rStyle w:val="FootnoteReference"/>
          <w:bCs/>
          <w:color w:val="000000"/>
          <w:szCs w:val="22"/>
        </w:rPr>
        <w:footnoteReference w:id="114"/>
      </w:r>
    </w:p>
    <w:p w:rsidR="00AD7CA6" w:rsidRPr="003E0759" w:rsidP="00AD7CA6" w14:paraId="6C4AA9DA" w14:textId="4B812A9F">
      <w:pPr>
        <w:spacing w:after="120"/>
        <w:ind w:firstLine="720"/>
        <w:rPr>
          <w:bCs/>
          <w:color w:val="000000"/>
          <w:szCs w:val="22"/>
        </w:rPr>
      </w:pPr>
      <w:r w:rsidRPr="003E0759">
        <w:rPr>
          <w:bCs/>
          <w:color w:val="000000"/>
          <w:szCs w:val="22"/>
        </w:rPr>
        <w:t xml:space="preserve">We estimate that the task of </w:t>
      </w:r>
      <w:r w:rsidRPr="003E0759" w:rsidR="00C4436E">
        <w:rPr>
          <w:bCs/>
          <w:color w:val="000000"/>
          <w:szCs w:val="22"/>
        </w:rPr>
        <w:t xml:space="preserve">providing </w:t>
      </w:r>
      <w:r w:rsidRPr="003E0759" w:rsidR="007058DE">
        <w:rPr>
          <w:bCs/>
          <w:color w:val="000000"/>
          <w:szCs w:val="22"/>
        </w:rPr>
        <w:t>outage notification to</w:t>
      </w:r>
      <w:r w:rsidRPr="003E0759">
        <w:rPr>
          <w:bCs/>
          <w:color w:val="000000"/>
          <w:szCs w:val="22"/>
        </w:rPr>
        <w:t xml:space="preserve"> 911 </w:t>
      </w:r>
      <w:r w:rsidRPr="003E0759" w:rsidR="004356BD">
        <w:rPr>
          <w:bCs/>
          <w:color w:val="000000"/>
          <w:szCs w:val="22"/>
        </w:rPr>
        <w:t xml:space="preserve">and 988 </w:t>
      </w:r>
      <w:r w:rsidRPr="003E0759">
        <w:rPr>
          <w:bCs/>
          <w:color w:val="000000"/>
          <w:szCs w:val="22"/>
        </w:rPr>
        <w:t xml:space="preserve">special facilities </w:t>
      </w:r>
      <w:r w:rsidRPr="003E0759" w:rsidR="00E553A4">
        <w:rPr>
          <w:bCs/>
          <w:color w:val="000000"/>
          <w:szCs w:val="22"/>
        </w:rPr>
        <w:t>can be accomplished by</w:t>
      </w:r>
      <w:r w:rsidRPr="003E0759" w:rsidR="007058DE">
        <w:rPr>
          <w:bCs/>
          <w:color w:val="000000"/>
          <w:szCs w:val="22"/>
        </w:rPr>
        <w:t xml:space="preserve"> </w:t>
      </w:r>
      <w:r w:rsidRPr="003E0759" w:rsidR="003E11D3">
        <w:rPr>
          <w:bCs/>
          <w:color w:val="000000"/>
          <w:szCs w:val="22"/>
        </w:rPr>
        <w:t>a</w:t>
      </w:r>
      <w:r w:rsidRPr="003E0759" w:rsidR="008E1269">
        <w:rPr>
          <w:bCs/>
          <w:color w:val="000000"/>
          <w:szCs w:val="22"/>
        </w:rPr>
        <w:t xml:space="preserve"> communications</w:t>
      </w:r>
      <w:r w:rsidRPr="003E0759" w:rsidR="004713F1">
        <w:rPr>
          <w:bCs/>
          <w:color w:val="000000"/>
          <w:szCs w:val="22"/>
        </w:rPr>
        <w:t xml:space="preserve"> equipment operator </w:t>
      </w:r>
      <w:r w:rsidRPr="003E0759" w:rsidR="008E1269">
        <w:rPr>
          <w:bCs/>
          <w:color w:val="000000"/>
          <w:szCs w:val="22"/>
        </w:rPr>
        <w:t xml:space="preserve">at a </w:t>
      </w:r>
      <w:r w:rsidRPr="003E0759" w:rsidR="002B4C28">
        <w:rPr>
          <w:bCs/>
          <w:color w:val="000000"/>
          <w:szCs w:val="22"/>
        </w:rPr>
        <w:t xml:space="preserve">wage </w:t>
      </w:r>
      <w:r w:rsidRPr="003E0759" w:rsidR="008E1269">
        <w:rPr>
          <w:bCs/>
          <w:color w:val="000000"/>
          <w:szCs w:val="22"/>
        </w:rPr>
        <w:t>of $</w:t>
      </w:r>
      <w:r w:rsidRPr="003E0759" w:rsidR="00CD7E36">
        <w:rPr>
          <w:bCs/>
          <w:color w:val="000000"/>
          <w:szCs w:val="22"/>
        </w:rPr>
        <w:t>3</w:t>
      </w:r>
      <w:r w:rsidRPr="003E0759" w:rsidR="002B4C28">
        <w:rPr>
          <w:bCs/>
          <w:color w:val="000000"/>
          <w:szCs w:val="22"/>
        </w:rPr>
        <w:t>4</w:t>
      </w:r>
      <w:r w:rsidRPr="003E0759" w:rsidR="008E1269">
        <w:rPr>
          <w:bCs/>
          <w:color w:val="000000"/>
          <w:szCs w:val="22"/>
        </w:rPr>
        <w:t xml:space="preserve"> per hour multiplied b</w:t>
      </w:r>
      <w:r w:rsidRPr="003E0759" w:rsidR="007A42F5">
        <w:rPr>
          <w:bCs/>
          <w:color w:val="000000"/>
          <w:szCs w:val="22"/>
        </w:rPr>
        <w:t>y</w:t>
      </w:r>
      <w:r w:rsidRPr="003E0759" w:rsidR="008E1269">
        <w:rPr>
          <w:bCs/>
          <w:color w:val="000000"/>
          <w:szCs w:val="22"/>
        </w:rPr>
        <w:t xml:space="preserve"> </w:t>
      </w:r>
      <w:r w:rsidRPr="003E0759" w:rsidR="00725E05">
        <w:rPr>
          <w:bCs/>
          <w:color w:val="000000"/>
          <w:szCs w:val="22"/>
        </w:rPr>
        <w:t xml:space="preserve">78,000 </w:t>
      </w:r>
      <w:r w:rsidRPr="003E0759" w:rsidR="007A42F5">
        <w:rPr>
          <w:bCs/>
          <w:color w:val="000000"/>
          <w:szCs w:val="22"/>
        </w:rPr>
        <w:t xml:space="preserve">hours </w:t>
      </w:r>
      <w:r w:rsidRPr="003E0759" w:rsidR="006B4076">
        <w:rPr>
          <w:bCs/>
          <w:color w:val="000000"/>
          <w:szCs w:val="22"/>
        </w:rPr>
        <w:t>yielding</w:t>
      </w:r>
      <w:r w:rsidRPr="003E0759" w:rsidR="007A42F5">
        <w:rPr>
          <w:bCs/>
          <w:color w:val="000000"/>
          <w:szCs w:val="22"/>
        </w:rPr>
        <w:t xml:space="preserve"> a total annual cost of </w:t>
      </w:r>
      <w:r w:rsidRPr="003E0759" w:rsidR="006B4076">
        <w:rPr>
          <w:bCs/>
          <w:color w:val="000000"/>
          <w:szCs w:val="22"/>
        </w:rPr>
        <w:t>$</w:t>
      </w:r>
      <w:r w:rsidRPr="003E0759" w:rsidR="004356BD">
        <w:rPr>
          <w:bCs/>
          <w:color w:val="000000"/>
          <w:szCs w:val="22"/>
        </w:rPr>
        <w:t>2,652,000</w:t>
      </w:r>
      <w:r w:rsidRPr="003E0759" w:rsidR="006B4076">
        <w:rPr>
          <w:bCs/>
          <w:color w:val="000000"/>
          <w:szCs w:val="22"/>
        </w:rPr>
        <w:t>.</w:t>
      </w:r>
      <w:r>
        <w:rPr>
          <w:rStyle w:val="FootnoteReference"/>
          <w:bCs/>
          <w:color w:val="000000"/>
          <w:szCs w:val="22"/>
        </w:rPr>
        <w:footnoteReference w:id="115"/>
      </w:r>
    </w:p>
    <w:p w:rsidR="00892847" w:rsidRPr="003E0759" w:rsidP="00BF33FA" w14:paraId="3BF4C920" w14:textId="6018FBC5">
      <w:pPr>
        <w:spacing w:after="120"/>
        <w:ind w:firstLine="720"/>
        <w:rPr>
          <w:bCs/>
          <w:color w:val="000000"/>
          <w:szCs w:val="22"/>
        </w:rPr>
      </w:pPr>
      <w:r w:rsidRPr="003E0759">
        <w:rPr>
          <w:bCs/>
          <w:color w:val="000000"/>
          <w:szCs w:val="22"/>
        </w:rPr>
        <w:t>We estimate that the task of identifying 911 special facilities that could potentially be affected by a service outage can be accomplished by</w:t>
      </w:r>
      <w:r w:rsidRPr="003E0759" w:rsidR="00E553A4">
        <w:rPr>
          <w:bCs/>
          <w:color w:val="000000"/>
          <w:szCs w:val="22"/>
        </w:rPr>
        <w:t xml:space="preserve"> a miscellaneous media and communication worker at a </w:t>
      </w:r>
      <w:r w:rsidRPr="003E0759">
        <w:rPr>
          <w:bCs/>
          <w:color w:val="000000"/>
          <w:szCs w:val="22"/>
        </w:rPr>
        <w:t>wage</w:t>
      </w:r>
      <w:r w:rsidRPr="003E0759" w:rsidR="00E553A4">
        <w:rPr>
          <w:bCs/>
          <w:color w:val="000000"/>
          <w:szCs w:val="22"/>
        </w:rPr>
        <w:t xml:space="preserve"> of $</w:t>
      </w:r>
      <w:r w:rsidRPr="003E0759">
        <w:rPr>
          <w:bCs/>
          <w:color w:val="000000"/>
          <w:szCs w:val="22"/>
        </w:rPr>
        <w:t>34</w:t>
      </w:r>
      <w:r w:rsidRPr="003E0759" w:rsidR="00E553A4">
        <w:rPr>
          <w:bCs/>
          <w:color w:val="000000"/>
          <w:szCs w:val="22"/>
        </w:rPr>
        <w:t xml:space="preserve"> per hour multiplied by </w:t>
      </w:r>
      <w:r w:rsidRPr="003E0759">
        <w:rPr>
          <w:bCs/>
          <w:color w:val="000000"/>
          <w:szCs w:val="22"/>
        </w:rPr>
        <w:t xml:space="preserve">6,248 </w:t>
      </w:r>
      <w:r w:rsidRPr="003E0759" w:rsidR="00E553A4">
        <w:rPr>
          <w:bCs/>
          <w:color w:val="000000"/>
          <w:szCs w:val="22"/>
        </w:rPr>
        <w:t>hours yielding a total annual cost of $</w:t>
      </w:r>
      <w:r w:rsidRPr="003E0759">
        <w:rPr>
          <w:bCs/>
          <w:color w:val="000000"/>
          <w:szCs w:val="22"/>
        </w:rPr>
        <w:t>212,432</w:t>
      </w:r>
      <w:r w:rsidRPr="003E0759" w:rsidR="00E553A4">
        <w:rPr>
          <w:bCs/>
          <w:color w:val="000000"/>
          <w:szCs w:val="22"/>
        </w:rPr>
        <w:t>.</w:t>
      </w:r>
      <w:r>
        <w:rPr>
          <w:rStyle w:val="FootnoteReference"/>
          <w:bCs/>
          <w:color w:val="000000"/>
          <w:szCs w:val="22"/>
        </w:rPr>
        <w:footnoteReference w:id="116"/>
      </w:r>
      <w:r w:rsidRPr="003E0759" w:rsidR="00E553A4">
        <w:rPr>
          <w:bCs/>
          <w:color w:val="000000"/>
          <w:szCs w:val="22"/>
        </w:rPr>
        <w:t xml:space="preserve">  </w:t>
      </w:r>
      <w:r w:rsidRPr="003E0759" w:rsidR="00602E65">
        <w:rPr>
          <w:bCs/>
          <w:color w:val="000000"/>
          <w:szCs w:val="22"/>
        </w:rPr>
        <w:t xml:space="preserve">We estimate that the task of maintaining </w:t>
      </w:r>
      <w:r w:rsidRPr="003E0759" w:rsidR="00531B06">
        <w:rPr>
          <w:bCs/>
          <w:color w:val="000000"/>
          <w:szCs w:val="22"/>
        </w:rPr>
        <w:t xml:space="preserve">a list of the 911 special facilities served by a provider </w:t>
      </w:r>
      <w:r w:rsidRPr="003E0759" w:rsidR="00E00C41">
        <w:rPr>
          <w:bCs/>
          <w:color w:val="000000"/>
          <w:szCs w:val="22"/>
        </w:rPr>
        <w:t>will annually cost $</w:t>
      </w:r>
      <w:r w:rsidRPr="003E0759" w:rsidR="00E00C41">
        <w:rPr>
          <w:snapToGrid w:val="0"/>
          <w:kern w:val="28"/>
          <w:szCs w:val="22"/>
          <w:lang w:eastAsia="en-US"/>
        </w:rPr>
        <w:t>8.42 million, as calculated above</w:t>
      </w:r>
      <w:r w:rsidRPr="003E0759" w:rsidR="00E00C41">
        <w:rPr>
          <w:bCs/>
          <w:color w:val="000000"/>
          <w:szCs w:val="22"/>
        </w:rPr>
        <w:t xml:space="preserve">.  </w:t>
      </w:r>
      <w:r w:rsidRPr="003E0759" w:rsidR="00BF33FA">
        <w:rPr>
          <w:bCs/>
          <w:color w:val="000000"/>
          <w:szCs w:val="22"/>
        </w:rPr>
        <w:t xml:space="preserve">We estimate that the task of </w:t>
      </w:r>
      <w:r w:rsidRPr="003E0759" w:rsidR="00BF33FA">
        <w:rPr>
          <w:kern w:val="0"/>
          <w:szCs w:val="22"/>
          <w:lang w:eastAsia="en-US"/>
        </w:rPr>
        <w:t>soliciting appropriate contact information for 988 outage notification from 988 special facilities</w:t>
      </w:r>
      <w:r w:rsidRPr="003E0759" w:rsidR="00BF33FA">
        <w:rPr>
          <w:bCs/>
          <w:color w:val="000000"/>
          <w:szCs w:val="22"/>
        </w:rPr>
        <w:t xml:space="preserve"> can be accomplished by a communications equipment operator at a wage of $36 per hour multiplied by 0.25 hours yielding a total annual cost of $28,</w:t>
      </w:r>
      <w:r w:rsidRPr="003E0759" w:rsidR="00282C0F">
        <w:rPr>
          <w:bCs/>
          <w:color w:val="000000"/>
          <w:szCs w:val="22"/>
        </w:rPr>
        <w:t>116</w:t>
      </w:r>
      <w:r w:rsidRPr="003E0759" w:rsidR="00BF33FA">
        <w:rPr>
          <w:bCs/>
          <w:color w:val="000000"/>
          <w:szCs w:val="22"/>
        </w:rPr>
        <w:t>.</w:t>
      </w:r>
      <w:r>
        <w:rPr>
          <w:rStyle w:val="FootnoteReference"/>
          <w:kern w:val="0"/>
          <w:szCs w:val="22"/>
          <w:lang w:eastAsia="en-US"/>
        </w:rPr>
        <w:footnoteReference w:id="117"/>
      </w:r>
    </w:p>
    <w:p w:rsidR="00F323D6" w:rsidRPr="003E0759" w:rsidP="00BF6CEA" w14:paraId="0A436A83" w14:textId="28D8AA5A">
      <w:pPr>
        <w:spacing w:after="120"/>
        <w:ind w:firstLine="720"/>
        <w:rPr>
          <w:bCs/>
          <w:color w:val="000000"/>
          <w:szCs w:val="22"/>
        </w:rPr>
      </w:pPr>
      <w:bookmarkStart w:id="6" w:name="_Hlk146285866"/>
      <w:r w:rsidRPr="003E0759">
        <w:rPr>
          <w:bCs/>
          <w:color w:val="000000"/>
          <w:szCs w:val="22"/>
        </w:rPr>
        <w:t>These calculations yield an estimated annual in-house cost to providers for complying with this information c</w:t>
      </w:r>
      <w:r w:rsidRPr="003E0759" w:rsidR="00BB304E">
        <w:rPr>
          <w:bCs/>
          <w:color w:val="000000"/>
          <w:szCs w:val="22"/>
        </w:rPr>
        <w:t>ollection of $</w:t>
      </w:r>
      <w:r w:rsidRPr="003E0759" w:rsidR="007B0A26">
        <w:rPr>
          <w:bCs/>
          <w:color w:val="000000"/>
          <w:szCs w:val="22"/>
        </w:rPr>
        <w:t>3,354,000</w:t>
      </w:r>
      <w:r w:rsidRPr="003E0759" w:rsidR="00BB304E">
        <w:rPr>
          <w:bCs/>
          <w:color w:val="000000"/>
          <w:szCs w:val="22"/>
        </w:rPr>
        <w:t>+ $</w:t>
      </w:r>
      <w:r w:rsidRPr="003E0759" w:rsidR="00BF33FA">
        <w:rPr>
          <w:bCs/>
          <w:color w:val="000000"/>
          <w:szCs w:val="22"/>
        </w:rPr>
        <w:t>2,652,000</w:t>
      </w:r>
      <w:r w:rsidRPr="003E0759" w:rsidR="00375401">
        <w:rPr>
          <w:bCs/>
          <w:color w:val="000000"/>
          <w:szCs w:val="22"/>
        </w:rPr>
        <w:t xml:space="preserve">+ </w:t>
      </w:r>
      <w:r w:rsidRPr="003E0759" w:rsidR="00681BD5">
        <w:rPr>
          <w:bCs/>
          <w:color w:val="000000"/>
          <w:szCs w:val="22"/>
        </w:rPr>
        <w:t>$</w:t>
      </w:r>
      <w:r w:rsidRPr="003E0759" w:rsidR="00BE036B">
        <w:rPr>
          <w:snapToGrid w:val="0"/>
          <w:kern w:val="28"/>
          <w:szCs w:val="22"/>
          <w:lang w:eastAsia="en-US"/>
        </w:rPr>
        <w:t>8</w:t>
      </w:r>
      <w:r w:rsidRPr="003E0759" w:rsidR="00A618B7">
        <w:rPr>
          <w:snapToGrid w:val="0"/>
          <w:kern w:val="28"/>
          <w:szCs w:val="22"/>
          <w:lang w:eastAsia="en-US"/>
        </w:rPr>
        <w:t>,420,000</w:t>
      </w:r>
      <w:r w:rsidRPr="003E0759" w:rsidR="00BE036B">
        <w:rPr>
          <w:bCs/>
          <w:color w:val="000000"/>
          <w:szCs w:val="22"/>
        </w:rPr>
        <w:t xml:space="preserve"> </w:t>
      </w:r>
      <w:r w:rsidRPr="003E0759" w:rsidR="00681BD5">
        <w:rPr>
          <w:bCs/>
          <w:color w:val="000000"/>
          <w:szCs w:val="22"/>
        </w:rPr>
        <w:t>+ $</w:t>
      </w:r>
      <w:r w:rsidRPr="003E0759" w:rsidR="0052046E">
        <w:rPr>
          <w:bCs/>
          <w:color w:val="000000"/>
          <w:szCs w:val="22"/>
        </w:rPr>
        <w:t>212,432</w:t>
      </w:r>
      <w:r w:rsidRPr="003E0759" w:rsidR="00E00C41">
        <w:rPr>
          <w:bCs/>
          <w:color w:val="000000"/>
          <w:szCs w:val="22"/>
        </w:rPr>
        <w:t xml:space="preserve"> </w:t>
      </w:r>
      <w:r w:rsidRPr="003E0759" w:rsidR="0052046E">
        <w:rPr>
          <w:bCs/>
          <w:color w:val="000000"/>
          <w:szCs w:val="22"/>
        </w:rPr>
        <w:t>+</w:t>
      </w:r>
      <w:r w:rsidRPr="003E0759" w:rsidR="00E00C41">
        <w:rPr>
          <w:bCs/>
          <w:color w:val="000000"/>
          <w:szCs w:val="22"/>
        </w:rPr>
        <w:t xml:space="preserve"> </w:t>
      </w:r>
      <w:r w:rsidRPr="003E0759" w:rsidR="0052046E">
        <w:rPr>
          <w:bCs/>
          <w:color w:val="000000"/>
          <w:szCs w:val="22"/>
        </w:rPr>
        <w:t>$28,</w:t>
      </w:r>
      <w:r w:rsidRPr="003E0759" w:rsidR="00D51203">
        <w:rPr>
          <w:bCs/>
          <w:color w:val="000000"/>
          <w:szCs w:val="22"/>
        </w:rPr>
        <w:t>116</w:t>
      </w:r>
      <w:r w:rsidRPr="003E0759" w:rsidR="00BB304E">
        <w:rPr>
          <w:bCs/>
          <w:color w:val="000000"/>
          <w:szCs w:val="22"/>
        </w:rPr>
        <w:t xml:space="preserve">= </w:t>
      </w:r>
      <w:r w:rsidRPr="003E0759" w:rsidR="00246397">
        <w:rPr>
          <w:bCs/>
          <w:color w:val="000000"/>
          <w:szCs w:val="22"/>
        </w:rPr>
        <w:t>$</w:t>
      </w:r>
      <w:r w:rsidRPr="003E0759" w:rsidR="00BE036B">
        <w:rPr>
          <w:bCs/>
          <w:color w:val="000000"/>
          <w:szCs w:val="22"/>
        </w:rPr>
        <w:t>14,</w:t>
      </w:r>
      <w:r w:rsidRPr="003E0759" w:rsidR="00A618B7">
        <w:rPr>
          <w:bCs/>
          <w:color w:val="000000"/>
          <w:szCs w:val="22"/>
        </w:rPr>
        <w:t>666</w:t>
      </w:r>
      <w:r w:rsidRPr="003E0759" w:rsidR="00BE036B">
        <w:rPr>
          <w:bCs/>
          <w:color w:val="000000"/>
          <w:szCs w:val="22"/>
        </w:rPr>
        <w:t>,</w:t>
      </w:r>
      <w:r w:rsidRPr="003E0759" w:rsidR="00A618B7">
        <w:rPr>
          <w:bCs/>
          <w:color w:val="000000"/>
          <w:szCs w:val="22"/>
        </w:rPr>
        <w:t>548</w:t>
      </w:r>
      <w:r w:rsidRPr="003E0759" w:rsidR="00246397">
        <w:rPr>
          <w:bCs/>
          <w:color w:val="000000"/>
          <w:szCs w:val="22"/>
        </w:rPr>
        <w:t>.</w:t>
      </w:r>
    </w:p>
    <w:bookmarkEnd w:id="5"/>
    <w:bookmarkEnd w:id="6"/>
    <w:p w:rsidR="00F50967" w:rsidRPr="003E0759" w:rsidP="00BF6CEA" w14:paraId="5DFACA71" w14:textId="4FAD225A">
      <w:pPr>
        <w:spacing w:after="120"/>
        <w:ind w:firstLine="720"/>
        <w:rPr>
          <w:b/>
          <w:bCs/>
          <w:szCs w:val="22"/>
        </w:rPr>
      </w:pPr>
      <w:r w:rsidRPr="003E0759">
        <w:rPr>
          <w:b/>
          <w:bCs/>
          <w:szCs w:val="22"/>
        </w:rPr>
        <w:t xml:space="preserve">One-Time </w:t>
      </w:r>
      <w:r w:rsidRPr="003E0759" w:rsidR="006F1913">
        <w:rPr>
          <w:b/>
          <w:bCs/>
          <w:szCs w:val="22"/>
        </w:rPr>
        <w:t>Costs</w:t>
      </w:r>
      <w:r w:rsidRPr="003E0759">
        <w:rPr>
          <w:b/>
          <w:bCs/>
          <w:szCs w:val="22"/>
        </w:rPr>
        <w:t>:</w:t>
      </w:r>
    </w:p>
    <w:p w:rsidR="00F50967" w:rsidRPr="003E0759" w:rsidP="00BF6CEA" w14:paraId="14E1FD1A" w14:textId="0BF62210">
      <w:pPr>
        <w:spacing w:after="120"/>
        <w:ind w:firstLine="720"/>
        <w:rPr>
          <w:szCs w:val="22"/>
        </w:rPr>
      </w:pPr>
      <w:r w:rsidRPr="003E0759">
        <w:rPr>
          <w:szCs w:val="22"/>
        </w:rPr>
        <w:t xml:space="preserve">The Commission did not estimate </w:t>
      </w:r>
      <w:r w:rsidRPr="003E0759" w:rsidR="00EC496D">
        <w:rPr>
          <w:szCs w:val="22"/>
        </w:rPr>
        <w:t xml:space="preserve">any </w:t>
      </w:r>
      <w:r w:rsidRPr="003E0759">
        <w:rPr>
          <w:szCs w:val="22"/>
        </w:rPr>
        <w:t>one-time costs as being associated with its requirement to fil</w:t>
      </w:r>
      <w:r w:rsidRPr="003E0759" w:rsidR="00C14EA9">
        <w:rPr>
          <w:szCs w:val="22"/>
        </w:rPr>
        <w:t>e</w:t>
      </w:r>
      <w:r w:rsidRPr="003E0759">
        <w:rPr>
          <w:szCs w:val="22"/>
        </w:rPr>
        <w:t xml:space="preserve"> outage reports in NORS.</w:t>
      </w:r>
    </w:p>
    <w:p w:rsidR="005E6D98" w:rsidRPr="003E0759" w:rsidP="00394C3C" w14:paraId="31DD384C" w14:textId="408E6133">
      <w:pPr>
        <w:spacing w:after="120"/>
        <w:ind w:firstLine="720"/>
        <w:rPr>
          <w:kern w:val="0"/>
          <w:szCs w:val="22"/>
          <w:lang w:eastAsia="en-US"/>
        </w:rPr>
      </w:pPr>
      <w:r w:rsidRPr="003E0759">
        <w:rPr>
          <w:szCs w:val="22"/>
        </w:rPr>
        <w:t>The Commission estimates</w:t>
      </w:r>
      <w:r w:rsidRPr="003E0759" w:rsidR="001F155E">
        <w:rPr>
          <w:szCs w:val="22"/>
        </w:rPr>
        <w:t xml:space="preserve"> only minimal o</w:t>
      </w:r>
      <w:r w:rsidRPr="003E0759" w:rsidR="008B5A2E">
        <w:rPr>
          <w:szCs w:val="22"/>
        </w:rPr>
        <w:t>n</w:t>
      </w:r>
      <w:r w:rsidRPr="003E0759" w:rsidR="001F155E">
        <w:rPr>
          <w:szCs w:val="22"/>
        </w:rPr>
        <w:t xml:space="preserve">e-time implementation costs for </w:t>
      </w:r>
      <w:r w:rsidRPr="003E0759" w:rsidR="008B5A2E">
        <w:rPr>
          <w:szCs w:val="22"/>
        </w:rPr>
        <w:t>OSPs</w:t>
      </w:r>
      <w:r w:rsidRPr="003E0759" w:rsidR="00640EC5">
        <w:rPr>
          <w:szCs w:val="22"/>
        </w:rPr>
        <w:t>,</w:t>
      </w:r>
      <w:r w:rsidRPr="003E0759" w:rsidR="008B5A2E">
        <w:rPr>
          <w:szCs w:val="22"/>
        </w:rPr>
        <w:t xml:space="preserve"> </w:t>
      </w:r>
      <w:r w:rsidRPr="003E0759" w:rsidR="00216609">
        <w:rPr>
          <w:szCs w:val="22"/>
          <w:shd w:val="clear" w:color="auto" w:fill="FFFFFF"/>
        </w:rPr>
        <w:t>covered 911 service providers</w:t>
      </w:r>
      <w:r w:rsidRPr="003E0759" w:rsidR="00640EC5">
        <w:rPr>
          <w:szCs w:val="22"/>
          <w:shd w:val="clear" w:color="auto" w:fill="FFFFFF"/>
        </w:rPr>
        <w:t>, and covered 988 service providers</w:t>
      </w:r>
      <w:r w:rsidRPr="003E0759" w:rsidR="003335A9">
        <w:rPr>
          <w:szCs w:val="22"/>
        </w:rPr>
        <w:t xml:space="preserve"> to comply with the </w:t>
      </w:r>
      <w:r w:rsidRPr="003E0759" w:rsidR="00640EC5">
        <w:rPr>
          <w:szCs w:val="22"/>
        </w:rPr>
        <w:t xml:space="preserve">new and </w:t>
      </w:r>
      <w:r w:rsidRPr="003E0759" w:rsidR="003335A9">
        <w:rPr>
          <w:szCs w:val="22"/>
        </w:rPr>
        <w:t xml:space="preserve">modified </w:t>
      </w:r>
      <w:r w:rsidRPr="003E0759" w:rsidR="00C13E93">
        <w:rPr>
          <w:szCs w:val="22"/>
        </w:rPr>
        <w:t xml:space="preserve">notification </w:t>
      </w:r>
      <w:r w:rsidRPr="003E0759" w:rsidR="003335A9">
        <w:rPr>
          <w:szCs w:val="22"/>
        </w:rPr>
        <w:t>obligations.</w:t>
      </w:r>
      <w:r w:rsidRPr="003E0759">
        <w:rPr>
          <w:szCs w:val="22"/>
        </w:rPr>
        <w:t xml:space="preserve">  </w:t>
      </w:r>
      <w:r w:rsidRPr="003E0759" w:rsidR="00A85E89">
        <w:rPr>
          <w:szCs w:val="22"/>
        </w:rPr>
        <w:t>There will be a</w:t>
      </w:r>
      <w:r w:rsidRPr="003E0759" w:rsidR="00815FBF">
        <w:rPr>
          <w:szCs w:val="22"/>
        </w:rPr>
        <w:t>n</w:t>
      </w:r>
      <w:r w:rsidRPr="003E0759" w:rsidR="001317F5">
        <w:rPr>
          <w:szCs w:val="22"/>
        </w:rPr>
        <w:t xml:space="preserve"> estimated</w:t>
      </w:r>
      <w:r w:rsidRPr="003E0759" w:rsidR="00A85E89">
        <w:rPr>
          <w:szCs w:val="22"/>
        </w:rPr>
        <w:t xml:space="preserve"> </w:t>
      </w:r>
      <w:r w:rsidRPr="003E0759" w:rsidR="0027273A">
        <w:rPr>
          <w:szCs w:val="22"/>
        </w:rPr>
        <w:t>one-time</w:t>
      </w:r>
      <w:r w:rsidRPr="003E0759" w:rsidR="00A85E89">
        <w:rPr>
          <w:szCs w:val="22"/>
        </w:rPr>
        <w:t xml:space="preserve"> c</w:t>
      </w:r>
      <w:r w:rsidRPr="003E0759" w:rsidR="0027273A">
        <w:rPr>
          <w:szCs w:val="22"/>
        </w:rPr>
        <w:t>ost of $</w:t>
      </w:r>
      <w:r w:rsidRPr="003E0759" w:rsidR="0052046E">
        <w:rPr>
          <w:szCs w:val="22"/>
        </w:rPr>
        <w:t>106,</w:t>
      </w:r>
      <w:r w:rsidRPr="003E0759" w:rsidR="00282C0F">
        <w:rPr>
          <w:szCs w:val="22"/>
        </w:rPr>
        <w:t>216</w:t>
      </w:r>
      <w:r w:rsidRPr="003E0759" w:rsidR="0027273A">
        <w:rPr>
          <w:szCs w:val="22"/>
        </w:rPr>
        <w:t xml:space="preserve"> </w:t>
      </w:r>
      <w:r w:rsidRPr="003E0759" w:rsidR="00341251">
        <w:rPr>
          <w:szCs w:val="22"/>
        </w:rPr>
        <w:t xml:space="preserve">for a </w:t>
      </w:r>
      <w:r w:rsidRPr="003E0759" w:rsidR="00FF0CDC">
        <w:rPr>
          <w:szCs w:val="22"/>
        </w:rPr>
        <w:t xml:space="preserve">communications </w:t>
      </w:r>
      <w:r w:rsidRPr="003E0759" w:rsidR="00D80576">
        <w:rPr>
          <w:szCs w:val="22"/>
        </w:rPr>
        <w:t xml:space="preserve">equipment </w:t>
      </w:r>
      <w:r w:rsidRPr="003E0759" w:rsidR="00FF0CDC">
        <w:rPr>
          <w:szCs w:val="22"/>
        </w:rPr>
        <w:t xml:space="preserve">operator to update </w:t>
      </w:r>
      <w:r w:rsidRPr="003E0759" w:rsidR="00D81550">
        <w:rPr>
          <w:szCs w:val="22"/>
        </w:rPr>
        <w:t xml:space="preserve">the provider’s 911 special </w:t>
      </w:r>
      <w:r w:rsidRPr="003E0759" w:rsidR="004246FA">
        <w:rPr>
          <w:szCs w:val="22"/>
        </w:rPr>
        <w:t>facility</w:t>
      </w:r>
      <w:r w:rsidRPr="003E0759" w:rsidR="00D81550">
        <w:rPr>
          <w:szCs w:val="22"/>
        </w:rPr>
        <w:t xml:space="preserve"> outage </w:t>
      </w:r>
      <w:r w:rsidRPr="003E0759" w:rsidR="004246FA">
        <w:rPr>
          <w:szCs w:val="22"/>
        </w:rPr>
        <w:t xml:space="preserve">notification </w:t>
      </w:r>
      <w:r w:rsidRPr="003E0759" w:rsidR="00091F51">
        <w:rPr>
          <w:szCs w:val="22"/>
        </w:rPr>
        <w:t xml:space="preserve">template </w:t>
      </w:r>
      <w:r w:rsidRPr="003E0759" w:rsidR="00D81550">
        <w:rPr>
          <w:szCs w:val="22"/>
        </w:rPr>
        <w:t xml:space="preserve">to conform with </w:t>
      </w:r>
      <w:r w:rsidRPr="003E0759" w:rsidR="004246FA">
        <w:rPr>
          <w:szCs w:val="22"/>
        </w:rPr>
        <w:t xml:space="preserve">the requirements in the </w:t>
      </w:r>
      <w:r w:rsidRPr="003E0759" w:rsidR="004246FA">
        <w:rPr>
          <w:i/>
          <w:szCs w:val="22"/>
        </w:rPr>
        <w:t>2022 Second Report and Order</w:t>
      </w:r>
      <w:r w:rsidRPr="003E0759" w:rsidR="004246FA">
        <w:rPr>
          <w:szCs w:val="22"/>
        </w:rPr>
        <w:t>.</w:t>
      </w:r>
      <w:r>
        <w:rPr>
          <w:rStyle w:val="FootnoteReference"/>
          <w:szCs w:val="22"/>
        </w:rPr>
        <w:footnoteReference w:id="118"/>
      </w:r>
      <w:r w:rsidRPr="003E0759" w:rsidR="004246FA">
        <w:rPr>
          <w:szCs w:val="22"/>
        </w:rPr>
        <w:t xml:space="preserve">  </w:t>
      </w:r>
      <w:r w:rsidRPr="003E0759" w:rsidR="00793152">
        <w:rPr>
          <w:szCs w:val="22"/>
        </w:rPr>
        <w:t xml:space="preserve">For providers to </w:t>
      </w:r>
      <w:r w:rsidRPr="003E0759" w:rsidR="00BE0D52">
        <w:rPr>
          <w:szCs w:val="22"/>
        </w:rPr>
        <w:t>create the email survey to elicit contact information from the PSAPs they serve, t</w:t>
      </w:r>
      <w:r w:rsidRPr="003E0759" w:rsidR="000207A5">
        <w:rPr>
          <w:szCs w:val="22"/>
        </w:rPr>
        <w:t xml:space="preserve">here will </w:t>
      </w:r>
      <w:r w:rsidRPr="003E0759" w:rsidR="00793152">
        <w:rPr>
          <w:szCs w:val="22"/>
        </w:rPr>
        <w:t>be</w:t>
      </w:r>
      <w:r w:rsidRPr="003E0759" w:rsidR="000207A5">
        <w:rPr>
          <w:szCs w:val="22"/>
        </w:rPr>
        <w:t xml:space="preserve"> an additional one</w:t>
      </w:r>
      <w:r w:rsidR="004B5A0A">
        <w:rPr>
          <w:szCs w:val="22"/>
        </w:rPr>
        <w:t>-</w:t>
      </w:r>
      <w:r w:rsidRPr="003E0759" w:rsidR="000207A5">
        <w:rPr>
          <w:szCs w:val="22"/>
        </w:rPr>
        <w:t xml:space="preserve">time cost of </w:t>
      </w:r>
      <w:r w:rsidRPr="003E0759" w:rsidR="00793152">
        <w:rPr>
          <w:szCs w:val="22"/>
        </w:rPr>
        <w:t>$</w:t>
      </w:r>
      <w:r w:rsidRPr="003E0759" w:rsidR="00A23596">
        <w:rPr>
          <w:szCs w:val="22"/>
        </w:rPr>
        <w:t>53,108</w:t>
      </w:r>
      <w:r w:rsidRPr="003E0759" w:rsidR="000567D7">
        <w:rPr>
          <w:szCs w:val="22"/>
        </w:rPr>
        <w:t>.</w:t>
      </w:r>
      <w:r>
        <w:rPr>
          <w:rStyle w:val="FootnoteReference"/>
          <w:szCs w:val="22"/>
        </w:rPr>
        <w:footnoteReference w:id="119"/>
      </w:r>
      <w:r w:rsidRPr="003E0759" w:rsidR="00F72224">
        <w:rPr>
          <w:szCs w:val="22"/>
        </w:rPr>
        <w:t xml:space="preserve"> </w:t>
      </w:r>
      <w:r w:rsidRPr="003E0759" w:rsidR="00C5610F">
        <w:rPr>
          <w:szCs w:val="22"/>
        </w:rPr>
        <w:t xml:space="preserve"> </w:t>
      </w:r>
      <w:r w:rsidRPr="003E0759" w:rsidR="00272D20">
        <w:rPr>
          <w:szCs w:val="22"/>
        </w:rPr>
        <w:t xml:space="preserve">The Commission </w:t>
      </w:r>
      <w:r w:rsidRPr="003E0759" w:rsidR="00F665C2">
        <w:rPr>
          <w:szCs w:val="22"/>
        </w:rPr>
        <w:t xml:space="preserve">estimates </w:t>
      </w:r>
      <w:r w:rsidRPr="003E0759" w:rsidR="00272D20">
        <w:rPr>
          <w:szCs w:val="22"/>
        </w:rPr>
        <w:t xml:space="preserve">that </w:t>
      </w:r>
      <w:r w:rsidRPr="003E0759" w:rsidR="00F665C2">
        <w:rPr>
          <w:kern w:val="0"/>
          <w:szCs w:val="22"/>
          <w:lang w:eastAsia="en-US"/>
        </w:rPr>
        <w:t>the rules adopted requiring the notifying of 988 special facilities about outages will result in an industry-wide one-time compliance cost of $56,</w:t>
      </w:r>
      <w:r w:rsidRPr="003E0759" w:rsidR="000F67B6">
        <w:rPr>
          <w:kern w:val="0"/>
          <w:szCs w:val="22"/>
          <w:lang w:eastAsia="en-US"/>
        </w:rPr>
        <w:t>232</w:t>
      </w:r>
      <w:r w:rsidRPr="003E0759" w:rsidR="00437894">
        <w:rPr>
          <w:kern w:val="0"/>
          <w:szCs w:val="22"/>
          <w:lang w:eastAsia="en-US"/>
        </w:rPr>
        <w:t xml:space="preserve"> to create an e-mail survey to biannually solicit 988 special facility contact information.</w:t>
      </w:r>
      <w:r>
        <w:rPr>
          <w:rStyle w:val="FootnoteReference"/>
          <w:kern w:val="0"/>
          <w:szCs w:val="22"/>
          <w:lang w:eastAsia="en-US"/>
        </w:rPr>
        <w:footnoteReference w:id="120"/>
      </w:r>
    </w:p>
    <w:p w:rsidR="00394C3C" w:rsidRPr="003E0759" w:rsidP="00394C3C" w14:paraId="2E622226" w14:textId="3EADF001">
      <w:pPr>
        <w:spacing w:after="120"/>
        <w:ind w:firstLine="720"/>
        <w:rPr>
          <w:szCs w:val="22"/>
        </w:rPr>
      </w:pPr>
      <w:r w:rsidRPr="003E0759">
        <w:rPr>
          <w:b/>
          <w:szCs w:val="22"/>
        </w:rPr>
        <w:t>Method of Calculating Burden:</w:t>
      </w:r>
      <w:r w:rsidRPr="003E0759">
        <w:rPr>
          <w:szCs w:val="22"/>
        </w:rPr>
        <w:t xml:space="preserve">  The Commission explains above the calculation method to determine the impact on reporting burdens associated with the estimated responses expected.</w:t>
      </w:r>
    </w:p>
    <w:p w:rsidR="00394C3C" w:rsidRPr="003E0759" w:rsidP="00394C3C" w14:paraId="05C4C56E" w14:textId="7761BAE3">
      <w:pPr>
        <w:spacing w:after="120"/>
        <w:ind w:firstLine="720"/>
        <w:rPr>
          <w:szCs w:val="22"/>
        </w:rPr>
      </w:pPr>
      <w:r w:rsidRPr="003E0759">
        <w:rPr>
          <w:b/>
          <w:szCs w:val="22"/>
        </w:rPr>
        <w:t xml:space="preserve">Variance in Burden:  </w:t>
      </w:r>
      <w:r w:rsidRPr="003E0759">
        <w:rPr>
          <w:bCs/>
          <w:szCs w:val="22"/>
        </w:rPr>
        <w:t xml:space="preserve">While the burden will be </w:t>
      </w:r>
      <w:r w:rsidRPr="003E0759">
        <w:rPr>
          <w:szCs w:val="22"/>
        </w:rPr>
        <w:t xml:space="preserve">shared widely among entities that are subject to Part 4, we believe larger entities will continue to be more likely than smaller ones to experience outages of sufficient scale to trigger reporting and 911 </w:t>
      </w:r>
      <w:r w:rsidRPr="003E0759" w:rsidR="00303821">
        <w:rPr>
          <w:szCs w:val="22"/>
        </w:rPr>
        <w:t xml:space="preserve">and 988 </w:t>
      </w:r>
      <w:r w:rsidRPr="003E0759">
        <w:rPr>
          <w:szCs w:val="22"/>
        </w:rPr>
        <w:t>special facility notification obligations.</w:t>
      </w:r>
    </w:p>
    <w:p w:rsidR="005E7342" w:rsidRPr="003E0759" w:rsidP="005E7342" w14:paraId="2DA17928" w14:textId="094E8706">
      <w:pPr>
        <w:rPr>
          <w:b/>
          <w:bCs/>
          <w:szCs w:val="22"/>
          <w:u w:val="single"/>
          <w:shd w:val="clear" w:color="auto" w:fill="FFFFFF"/>
        </w:rPr>
      </w:pPr>
      <w:r w:rsidRPr="003E0759">
        <w:rPr>
          <w:b/>
          <w:bCs/>
          <w:szCs w:val="22"/>
          <w:u w:val="single"/>
          <w:shd w:val="clear" w:color="auto" w:fill="FFFFFF"/>
        </w:rPr>
        <w:t>Burden Estimate for Participating Agencies</w:t>
      </w:r>
    </w:p>
    <w:p w:rsidR="005E7342" w:rsidRPr="003E0759" w:rsidP="005E7342" w14:paraId="26B1CDBF" w14:textId="77777777">
      <w:pPr>
        <w:rPr>
          <w:szCs w:val="22"/>
          <w:shd w:val="clear" w:color="auto" w:fill="FFFFFF"/>
        </w:rPr>
      </w:pPr>
    </w:p>
    <w:p w:rsidR="005E7342" w:rsidRPr="003E0759" w:rsidP="005E7342" w14:paraId="0E2EE68A" w14:textId="4B70984D">
      <w:pPr>
        <w:spacing w:after="120"/>
        <w:ind w:firstLine="720"/>
        <w:rPr>
          <w:szCs w:val="22"/>
        </w:rPr>
      </w:pPr>
      <w:r w:rsidRPr="003E0759">
        <w:rPr>
          <w:b/>
          <w:szCs w:val="22"/>
        </w:rPr>
        <w:t>Number of Respondents:</w:t>
      </w:r>
      <w:r w:rsidRPr="003E0759">
        <w:rPr>
          <w:szCs w:val="22"/>
        </w:rPr>
        <w:t xml:space="preserve"> The Commission estimates that there will be approximately 100 state, federal, and Tribal Nation agencies that will request access to NORS information as Participating Agencies and be subject to the requirements of the information sharing framework.</w:t>
      </w:r>
    </w:p>
    <w:p w:rsidR="005E7342" w:rsidRPr="003E0759" w:rsidP="005E7342" w14:paraId="384F00EB" w14:textId="7D012964">
      <w:pPr>
        <w:spacing w:after="120"/>
        <w:ind w:firstLine="720"/>
        <w:rPr>
          <w:szCs w:val="22"/>
        </w:rPr>
      </w:pPr>
      <w:r w:rsidRPr="003E0759">
        <w:rPr>
          <w:b/>
          <w:szCs w:val="22"/>
        </w:rPr>
        <w:t>Frequency of Response:</w:t>
      </w:r>
      <w:r w:rsidRPr="003E0759">
        <w:rPr>
          <w:szCs w:val="22"/>
        </w:rPr>
        <w:t xml:space="preserve"> The initial request to access NORS information that must be filed electronically and reviewed by the FCC need only be filed once.  Annually thereafter, Participating Agencies are required to certify to their continued compliance with the requirements for participation in the Commission’s information sharing program. The Commission is unable to quantify the number of times that Participating Agencies would need to provide a notification to the Commission, as they would vary based on each agency’s particular circumstances (e.g., the number of requests or changes in law that would necessitate notifications, number of data breaches).  However, the number of notifications to be made annually per respondent is expected to be very low (i.e., less than five per respondent).</w:t>
      </w:r>
    </w:p>
    <w:p w:rsidR="005E7342" w:rsidRPr="003E0759" w:rsidP="005E7342" w14:paraId="49E30778" w14:textId="572103CB">
      <w:pPr>
        <w:spacing w:after="120"/>
        <w:ind w:firstLine="720"/>
        <w:rPr>
          <w:szCs w:val="22"/>
        </w:rPr>
      </w:pPr>
      <w:r w:rsidRPr="003E0759">
        <w:rPr>
          <w:b/>
          <w:szCs w:val="22"/>
        </w:rPr>
        <w:t>Annual Hour Burden:</w:t>
      </w:r>
      <w:r w:rsidRPr="003E0759">
        <w:rPr>
          <w:szCs w:val="22"/>
        </w:rPr>
        <w:t xml:space="preserve">  The Commission estimates that each Participating Agency will spend</w:t>
      </w:r>
      <w:r w:rsidRPr="003E0759" w:rsidR="00BF001C">
        <w:rPr>
          <w:szCs w:val="22"/>
        </w:rPr>
        <w:t xml:space="preserve"> 5</w:t>
      </w:r>
      <w:r w:rsidRPr="003E0759">
        <w:rPr>
          <w:szCs w:val="22"/>
        </w:rPr>
        <w:t xml:space="preserve"> hours preparing, reviewing, and submitting its initial request for NORS access to the FCC and a similar amount of time annually to re-certify their qualifications to access NORS in every year thereafter.  We further anticipate that Participating Agencies will require an average of 15 minutes to prepare and submit a required notification to the Commission, for an annual average total of </w:t>
      </w:r>
      <w:r w:rsidRPr="003E0759" w:rsidR="000B2830">
        <w:rPr>
          <w:szCs w:val="22"/>
        </w:rPr>
        <w:t>6</w:t>
      </w:r>
      <w:r w:rsidRPr="003E0759">
        <w:rPr>
          <w:szCs w:val="22"/>
        </w:rPr>
        <w:t>.25 hours of notifications per respondent.</w:t>
      </w:r>
    </w:p>
    <w:p w:rsidR="005E7342" w:rsidRPr="003E0759" w:rsidP="005E7342" w14:paraId="25A2671A" w14:textId="445B4B75">
      <w:pPr>
        <w:spacing w:after="120"/>
        <w:ind w:firstLine="720"/>
        <w:rPr>
          <w:szCs w:val="22"/>
          <w:shd w:val="clear" w:color="auto" w:fill="FFFFFF"/>
        </w:rPr>
      </w:pPr>
      <w:r w:rsidRPr="003E0759">
        <w:rPr>
          <w:b/>
          <w:bCs/>
          <w:color w:val="000000"/>
          <w:szCs w:val="22"/>
        </w:rPr>
        <w:t>Annual In-House Cost:</w:t>
      </w:r>
      <w:r w:rsidRPr="003E0759">
        <w:rPr>
          <w:bCs/>
          <w:color w:val="000000"/>
          <w:szCs w:val="22"/>
        </w:rPr>
        <w:t xml:space="preserve">  As the Commission noted in the</w:t>
      </w:r>
      <w:r w:rsidRPr="003E0759" w:rsidR="00DE3CC8">
        <w:rPr>
          <w:bCs/>
          <w:i/>
          <w:iCs/>
          <w:color w:val="000000"/>
          <w:szCs w:val="22"/>
        </w:rPr>
        <w:t xml:space="preserve"> </w:t>
      </w:r>
      <w:r w:rsidRPr="003E0759">
        <w:rPr>
          <w:bCs/>
          <w:i/>
          <w:iCs/>
          <w:color w:val="000000"/>
          <w:szCs w:val="22"/>
        </w:rPr>
        <w:t xml:space="preserve">Second Report and Order, </w:t>
      </w:r>
      <w:r w:rsidRPr="003E0759">
        <w:rPr>
          <w:bCs/>
          <w:color w:val="000000"/>
          <w:szCs w:val="22"/>
        </w:rPr>
        <w:t>it cannot quantify overall costs to Participating Agencies for implementing the information sharing framework, which would vary based on each participating agency’s particular circumstances, including the number of requests or changes in law that would necessitate notifications.</w:t>
      </w:r>
      <w:r>
        <w:rPr>
          <w:rStyle w:val="FootnoteReference"/>
          <w:bCs/>
          <w:color w:val="000000"/>
          <w:szCs w:val="22"/>
        </w:rPr>
        <w:footnoteReference w:id="121"/>
      </w:r>
      <w:r w:rsidRPr="003E0759">
        <w:rPr>
          <w:bCs/>
          <w:color w:val="000000"/>
          <w:szCs w:val="22"/>
        </w:rPr>
        <w:t xml:space="preserve">  However, the Commission’s best current estimate is that the in-house cost to Participating Agencies for the information collection elements described above would be based on the salary of the equivalent of an attorney (GS-13 Step 5) working 6.25 hours annually to submit its annual certification form and make any required notifications to the Commission.</w:t>
      </w:r>
      <w:r>
        <w:rPr>
          <w:rStyle w:val="FootnoteReference"/>
          <w:bCs/>
          <w:color w:val="000000"/>
          <w:szCs w:val="22"/>
        </w:rPr>
        <w:footnoteReference w:id="122"/>
      </w:r>
      <w:r w:rsidRPr="003E0759">
        <w:rPr>
          <w:bCs/>
          <w:color w:val="000000"/>
          <w:szCs w:val="22"/>
        </w:rPr>
        <w:t xml:space="preserve">  With 100 Participating Agencies spending 6.25 hours to complete the necessary annual requirements at a wage of </w:t>
      </w:r>
      <w:r w:rsidRPr="003E0759">
        <w:rPr>
          <w:szCs w:val="22"/>
          <w:shd w:val="clear" w:color="auto" w:fill="FFFFFF"/>
        </w:rPr>
        <w:t>$</w:t>
      </w:r>
      <w:r w:rsidR="00282BAC">
        <w:rPr>
          <w:szCs w:val="22"/>
          <w:shd w:val="clear" w:color="auto" w:fill="FFFFFF"/>
        </w:rPr>
        <w:t>64.06</w:t>
      </w:r>
      <w:r w:rsidRPr="003E0759">
        <w:rPr>
          <w:szCs w:val="22"/>
          <w:shd w:val="clear" w:color="auto" w:fill="FFFFFF"/>
        </w:rPr>
        <w:t xml:space="preserve"> per hour, the Commission estimates an in-house cost of $</w:t>
      </w:r>
      <w:r w:rsidR="001957C0">
        <w:rPr>
          <w:szCs w:val="22"/>
          <w:shd w:val="clear" w:color="auto" w:fill="FFFFFF"/>
        </w:rPr>
        <w:t>40,037.50</w:t>
      </w:r>
      <w:r w:rsidRPr="003E0759">
        <w:rPr>
          <w:szCs w:val="22"/>
          <w:shd w:val="clear" w:color="auto" w:fill="FFFFFF"/>
        </w:rPr>
        <w:t xml:space="preserve"> annually.</w:t>
      </w:r>
    </w:p>
    <w:p w:rsidR="00F36111" w:rsidRPr="003E0759" w:rsidP="005E7342" w14:paraId="76860CB8" w14:textId="202EC507">
      <w:pPr>
        <w:spacing w:after="120"/>
        <w:ind w:firstLine="720"/>
        <w:rPr>
          <w:szCs w:val="22"/>
          <w:shd w:val="clear" w:color="auto" w:fill="FFFFFF"/>
        </w:rPr>
      </w:pPr>
      <w:r w:rsidRPr="003E0759">
        <w:rPr>
          <w:szCs w:val="22"/>
          <w:shd w:val="clear" w:color="auto" w:fill="FFFFFF"/>
        </w:rPr>
        <w:t>100 Participating Agencies x 6.25 hours x $</w:t>
      </w:r>
      <w:r w:rsidR="007C5D3C">
        <w:rPr>
          <w:szCs w:val="22"/>
          <w:shd w:val="clear" w:color="auto" w:fill="FFFFFF"/>
        </w:rPr>
        <w:t>64.06</w:t>
      </w:r>
      <w:r w:rsidRPr="003E0759">
        <w:rPr>
          <w:szCs w:val="22"/>
          <w:shd w:val="clear" w:color="auto" w:fill="FFFFFF"/>
        </w:rPr>
        <w:t xml:space="preserve"> = </w:t>
      </w:r>
      <w:r w:rsidRPr="003E0759" w:rsidR="00C924CE">
        <w:rPr>
          <w:szCs w:val="22"/>
          <w:shd w:val="clear" w:color="auto" w:fill="FFFFFF"/>
        </w:rPr>
        <w:t>$</w:t>
      </w:r>
      <w:r w:rsidR="001957C0">
        <w:rPr>
          <w:szCs w:val="22"/>
          <w:shd w:val="clear" w:color="auto" w:fill="FFFFFF"/>
        </w:rPr>
        <w:t>40,037.50</w:t>
      </w:r>
      <w:r w:rsidRPr="003E0759" w:rsidR="00044457">
        <w:rPr>
          <w:szCs w:val="22"/>
          <w:shd w:val="clear" w:color="auto" w:fill="FFFFFF"/>
        </w:rPr>
        <w:t xml:space="preserve"> annually</w:t>
      </w:r>
    </w:p>
    <w:p w:rsidR="005E7342" w:rsidRPr="003E0759" w:rsidP="005E7342" w14:paraId="625A287C" w14:textId="20F581F7">
      <w:pPr>
        <w:spacing w:after="120"/>
        <w:ind w:firstLine="720"/>
        <w:rPr>
          <w:szCs w:val="22"/>
          <w:shd w:val="clear" w:color="auto" w:fill="FFFFFF"/>
        </w:rPr>
      </w:pPr>
      <w:r w:rsidRPr="003E0759">
        <w:rPr>
          <w:szCs w:val="22"/>
          <w:shd w:val="clear" w:color="auto" w:fill="FFFFFF"/>
        </w:rPr>
        <w:t>The Commission estimates that maintaining copies of all training material for Commission inspection upon request will require one hour of staff time annually; implementing the necessary records to ensure practical data protection will require five hours of staff time annually; and maintaining and making available for FCC inspection a list of all localities for which the agency has disclosed NORS data will require three hours of staff time annually.</w:t>
      </w:r>
      <w:r w:rsidRPr="003E0759">
        <w:rPr>
          <w:szCs w:val="22"/>
          <w:shd w:val="clear" w:color="auto" w:fill="FFFFFF"/>
        </w:rPr>
        <w:t xml:space="preserve"> </w:t>
      </w:r>
      <w:r w:rsidRPr="003E0759">
        <w:rPr>
          <w:szCs w:val="22"/>
          <w:shd w:val="clear" w:color="auto" w:fill="FFFFFF"/>
        </w:rPr>
        <w:t xml:space="preserve"> </w:t>
      </w:r>
      <w:r w:rsidRPr="003E0759">
        <w:rPr>
          <w:bCs/>
          <w:color w:val="000000"/>
          <w:szCs w:val="22"/>
        </w:rPr>
        <w:t xml:space="preserve">With 100 Participating Agencies spending 9 hours to complete the necessary annual recordkeeping requirements at a wage of </w:t>
      </w:r>
      <w:r w:rsidRPr="003E0759">
        <w:rPr>
          <w:szCs w:val="22"/>
          <w:shd w:val="clear" w:color="auto" w:fill="FFFFFF"/>
        </w:rPr>
        <w:t>$</w:t>
      </w:r>
      <w:r w:rsidR="007C5D3C">
        <w:rPr>
          <w:szCs w:val="22"/>
          <w:shd w:val="clear" w:color="auto" w:fill="FFFFFF"/>
        </w:rPr>
        <w:t>64.06</w:t>
      </w:r>
      <w:r w:rsidRPr="003E0759">
        <w:rPr>
          <w:szCs w:val="22"/>
          <w:shd w:val="clear" w:color="auto" w:fill="FFFFFF"/>
        </w:rPr>
        <w:t xml:space="preserve"> per hour (</w:t>
      </w:r>
      <w:r w:rsidRPr="003E0759">
        <w:rPr>
          <w:bCs/>
          <w:color w:val="000000"/>
          <w:szCs w:val="22"/>
        </w:rPr>
        <w:t>based on the salary of the equivalent of an attorney (GS-13 Step 5))</w:t>
      </w:r>
      <w:r w:rsidRPr="003E0759">
        <w:rPr>
          <w:szCs w:val="22"/>
          <w:shd w:val="clear" w:color="auto" w:fill="FFFFFF"/>
        </w:rPr>
        <w:t>, the Commission estimates a recordkeeping cost of $</w:t>
      </w:r>
      <w:r w:rsidR="007E2B2D">
        <w:rPr>
          <w:szCs w:val="22"/>
          <w:shd w:val="clear" w:color="auto" w:fill="FFFFFF"/>
        </w:rPr>
        <w:t>57,654</w:t>
      </w:r>
      <w:r w:rsidRPr="003E0759" w:rsidR="007E2B2D">
        <w:rPr>
          <w:szCs w:val="22"/>
          <w:shd w:val="clear" w:color="auto" w:fill="FFFFFF"/>
        </w:rPr>
        <w:t xml:space="preserve"> </w:t>
      </w:r>
      <w:r w:rsidRPr="003E0759">
        <w:rPr>
          <w:szCs w:val="22"/>
          <w:shd w:val="clear" w:color="auto" w:fill="FFFFFF"/>
        </w:rPr>
        <w:t>annually.</w:t>
      </w:r>
    </w:p>
    <w:p w:rsidR="00FE029E" w:rsidRPr="003E0759" w:rsidP="005E7342" w14:paraId="34D51E17" w14:textId="323A8591">
      <w:pPr>
        <w:spacing w:after="120"/>
        <w:ind w:firstLine="720"/>
        <w:rPr>
          <w:szCs w:val="22"/>
          <w:shd w:val="clear" w:color="auto" w:fill="FFFFFF"/>
        </w:rPr>
      </w:pPr>
      <w:r w:rsidRPr="003E0759">
        <w:rPr>
          <w:szCs w:val="22"/>
          <w:shd w:val="clear" w:color="auto" w:fill="FFFFFF"/>
        </w:rPr>
        <w:t>100 Participating Agencies  x 9 hours x $</w:t>
      </w:r>
      <w:r w:rsidR="007C5D3C">
        <w:rPr>
          <w:szCs w:val="22"/>
          <w:shd w:val="clear" w:color="auto" w:fill="FFFFFF"/>
        </w:rPr>
        <w:t>64.06</w:t>
      </w:r>
      <w:r w:rsidRPr="003E0759" w:rsidR="002C3695">
        <w:rPr>
          <w:szCs w:val="22"/>
          <w:shd w:val="clear" w:color="auto" w:fill="FFFFFF"/>
        </w:rPr>
        <w:t xml:space="preserve"> </w:t>
      </w:r>
      <w:r w:rsidRPr="003E0759">
        <w:rPr>
          <w:szCs w:val="22"/>
          <w:shd w:val="clear" w:color="auto" w:fill="FFFFFF"/>
        </w:rPr>
        <w:t>=</w:t>
      </w:r>
      <w:r w:rsidRPr="003E0759" w:rsidR="002C3695">
        <w:rPr>
          <w:szCs w:val="22"/>
          <w:shd w:val="clear" w:color="auto" w:fill="FFFFFF"/>
        </w:rPr>
        <w:t xml:space="preserve"> $</w:t>
      </w:r>
      <w:r w:rsidR="007E2B2D">
        <w:rPr>
          <w:szCs w:val="22"/>
          <w:shd w:val="clear" w:color="auto" w:fill="FFFFFF"/>
        </w:rPr>
        <w:t>57,654</w:t>
      </w:r>
      <w:r w:rsidRPr="003E0759" w:rsidR="002C3695">
        <w:rPr>
          <w:szCs w:val="22"/>
          <w:shd w:val="clear" w:color="auto" w:fill="FFFFFF"/>
        </w:rPr>
        <w:t xml:space="preserve"> annual cost</w:t>
      </w:r>
    </w:p>
    <w:p w:rsidR="005E7342" w:rsidRPr="003E0759" w:rsidP="005E7342" w14:paraId="37D0074C" w14:textId="78C5E638">
      <w:pPr>
        <w:spacing w:after="120"/>
        <w:ind w:firstLine="720"/>
        <w:rPr>
          <w:bCs/>
          <w:color w:val="000000"/>
          <w:szCs w:val="22"/>
        </w:rPr>
      </w:pPr>
      <w:r w:rsidRPr="003E0759">
        <w:rPr>
          <w:bCs/>
          <w:color w:val="000000"/>
          <w:szCs w:val="22"/>
        </w:rPr>
        <w:t xml:space="preserve">The Commission notes that the information sharing framework established in the </w:t>
      </w:r>
      <w:r w:rsidRPr="003E0759">
        <w:rPr>
          <w:bCs/>
          <w:i/>
          <w:iCs/>
          <w:color w:val="000000"/>
          <w:szCs w:val="22"/>
        </w:rPr>
        <w:t xml:space="preserve">Second Report and Order </w:t>
      </w:r>
      <w:r w:rsidRPr="003E0759">
        <w:rPr>
          <w:bCs/>
          <w:color w:val="000000"/>
          <w:szCs w:val="22"/>
        </w:rPr>
        <w:t xml:space="preserve">allows for access to be granted not only for NORS, but also to the Commission’s Disaster </w:t>
      </w:r>
      <w:r w:rsidRPr="003E0759">
        <w:rPr>
          <w:bCs/>
          <w:color w:val="000000"/>
          <w:szCs w:val="22"/>
        </w:rPr>
        <w:t xml:space="preserve">Information Reporting System (DIRS).  We note that the process and requirements for Participating Agencies under this framework are identical, regardless of whether they seek access to NORS, DIRS, or both.  Because the Commission anticipates that NORS and DIRS access will be requested together in most cases, it believes that the estimated costs for Participating Agencies associated with DIRS access are fully included in the </w:t>
      </w:r>
      <w:r w:rsidRPr="003E0759">
        <w:rPr>
          <w:szCs w:val="22"/>
          <w:shd w:val="clear" w:color="auto" w:fill="FFFFFF"/>
        </w:rPr>
        <w:t>estimates</w:t>
      </w:r>
      <w:r w:rsidRPr="003E0759" w:rsidR="00DC6040">
        <w:rPr>
          <w:szCs w:val="22"/>
          <w:shd w:val="clear" w:color="auto" w:fill="FFFFFF"/>
        </w:rPr>
        <w:t>.</w:t>
      </w:r>
    </w:p>
    <w:p w:rsidR="005E7342" w:rsidRPr="003E0759" w:rsidP="005E7342" w14:paraId="42B4B7D1" w14:textId="7504FD71">
      <w:pPr>
        <w:spacing w:after="120"/>
        <w:ind w:firstLine="720"/>
        <w:rPr>
          <w:szCs w:val="22"/>
        </w:rPr>
      </w:pPr>
      <w:r w:rsidRPr="003E0759">
        <w:rPr>
          <w:b/>
          <w:szCs w:val="22"/>
        </w:rPr>
        <w:t>Method of Calculating Burden:</w:t>
      </w:r>
      <w:r w:rsidRPr="003E0759">
        <w:rPr>
          <w:szCs w:val="22"/>
        </w:rPr>
        <w:t xml:space="preserve">  The Commission explains above the calculation method to determine the impact on reporting burdens associated with the estimated responses expected</w:t>
      </w:r>
      <w:r w:rsidRPr="003E0759" w:rsidR="00DA2D1A">
        <w:rPr>
          <w:szCs w:val="22"/>
        </w:rPr>
        <w:t xml:space="preserve"> for Participating Agencies</w:t>
      </w:r>
      <w:r w:rsidRPr="003E0759">
        <w:rPr>
          <w:szCs w:val="22"/>
        </w:rPr>
        <w:t>.</w:t>
      </w:r>
    </w:p>
    <w:p w:rsidR="00466FA1" w:rsidRPr="003E0759" w:rsidP="00466FA1" w14:paraId="2D8C604B" w14:textId="77777777">
      <w:pPr>
        <w:ind w:left="720"/>
        <w:rPr>
          <w:b/>
          <w:szCs w:val="22"/>
        </w:rPr>
      </w:pPr>
      <w:bookmarkStart w:id="7" w:name="_Hlk19800786"/>
      <w:r w:rsidRPr="003E0759">
        <w:rPr>
          <w:b/>
          <w:szCs w:val="22"/>
        </w:rPr>
        <w:t>Summary of Respondents and Burden:</w:t>
      </w:r>
    </w:p>
    <w:p w:rsidR="00466FA1" w:rsidRPr="003E0759" w:rsidP="00F57EC1" w14:paraId="7D56D9C9" w14:textId="77777777">
      <w:pPr>
        <w:rPr>
          <w:szCs w:val="22"/>
        </w:rPr>
      </w:pPr>
    </w:p>
    <w:p w:rsidR="00466FA1" w:rsidRPr="003E0759" w:rsidP="00466FA1" w14:paraId="07EDEB3C" w14:textId="6FFBDF44">
      <w:pPr>
        <w:ind w:left="720"/>
        <w:rPr>
          <w:szCs w:val="22"/>
        </w:rPr>
      </w:pPr>
      <w:r w:rsidRPr="003E0759">
        <w:rPr>
          <w:b/>
          <w:szCs w:val="22"/>
        </w:rPr>
        <w:t xml:space="preserve">Total Number of Respondents:  </w:t>
      </w:r>
      <w:r w:rsidRPr="003E0759" w:rsidR="00435D49">
        <w:rPr>
          <w:b/>
          <w:szCs w:val="22"/>
        </w:rPr>
        <w:t>3,22</w:t>
      </w:r>
      <w:r w:rsidRPr="003E0759" w:rsidR="00A95E2D">
        <w:rPr>
          <w:b/>
          <w:szCs w:val="22"/>
        </w:rPr>
        <w:t>4</w:t>
      </w:r>
      <w:r w:rsidRPr="003E0759" w:rsidR="00E428A3">
        <w:rPr>
          <w:b/>
          <w:szCs w:val="22"/>
        </w:rPr>
        <w:t xml:space="preserve"> total respondent</w:t>
      </w:r>
      <w:r w:rsidRPr="003E0759" w:rsidR="00E31182">
        <w:rPr>
          <w:b/>
          <w:szCs w:val="22"/>
        </w:rPr>
        <w:t>s</w:t>
      </w:r>
      <w:r w:rsidRPr="003E0759" w:rsidR="00AD55ED">
        <w:rPr>
          <w:b/>
          <w:szCs w:val="22"/>
        </w:rPr>
        <w:t xml:space="preserve">, </w:t>
      </w:r>
      <w:r w:rsidRPr="003E0759" w:rsidR="00AD55ED">
        <w:rPr>
          <w:bCs/>
          <w:szCs w:val="22"/>
        </w:rPr>
        <w:t>which is</w:t>
      </w:r>
      <w:r w:rsidRPr="003E0759" w:rsidR="009D5E19">
        <w:rPr>
          <w:szCs w:val="22"/>
        </w:rPr>
        <w:t xml:space="preserve"> </w:t>
      </w:r>
      <w:r w:rsidRPr="003E0759" w:rsidR="00435D49">
        <w:rPr>
          <w:szCs w:val="22"/>
        </w:rPr>
        <w:t>3,124</w:t>
      </w:r>
      <w:r w:rsidRPr="003E0759" w:rsidR="00E428A3">
        <w:rPr>
          <w:szCs w:val="22"/>
        </w:rPr>
        <w:t xml:space="preserve"> providers + </w:t>
      </w:r>
      <w:r w:rsidRPr="003E0759" w:rsidR="00BE7A6F">
        <w:rPr>
          <w:szCs w:val="22"/>
        </w:rPr>
        <w:t>10</w:t>
      </w:r>
      <w:r w:rsidRPr="003E0759" w:rsidR="00A95E2D">
        <w:rPr>
          <w:szCs w:val="22"/>
        </w:rPr>
        <w:t>0</w:t>
      </w:r>
      <w:r w:rsidRPr="003E0759" w:rsidR="00BE7A6F">
        <w:rPr>
          <w:szCs w:val="22"/>
        </w:rPr>
        <w:t xml:space="preserve"> </w:t>
      </w:r>
      <w:r w:rsidRPr="003E0759" w:rsidR="00E428A3">
        <w:rPr>
          <w:szCs w:val="22"/>
        </w:rPr>
        <w:t>Participating Agencies</w:t>
      </w:r>
      <w:r w:rsidRPr="003E0759">
        <w:rPr>
          <w:szCs w:val="22"/>
        </w:rPr>
        <w:t>.</w:t>
      </w:r>
    </w:p>
    <w:p w:rsidR="00466FA1" w:rsidRPr="003E0759" w:rsidP="00F57EC1" w14:paraId="4D660FF9" w14:textId="77777777">
      <w:pPr>
        <w:rPr>
          <w:szCs w:val="22"/>
        </w:rPr>
      </w:pPr>
    </w:p>
    <w:p w:rsidR="00A81B52" w:rsidRPr="003E0759" w:rsidP="00466FA1" w14:paraId="20909068" w14:textId="2C3312EC">
      <w:pPr>
        <w:ind w:left="720"/>
        <w:rPr>
          <w:b/>
          <w:szCs w:val="22"/>
        </w:rPr>
      </w:pPr>
      <w:r w:rsidRPr="003E0759">
        <w:rPr>
          <w:b/>
          <w:szCs w:val="22"/>
        </w:rPr>
        <w:t xml:space="preserve">Total Number of Annual Responses:  </w:t>
      </w:r>
      <w:r w:rsidRPr="003E0759" w:rsidR="004873E8">
        <w:rPr>
          <w:b/>
          <w:szCs w:val="22"/>
        </w:rPr>
        <w:t>201,</w:t>
      </w:r>
      <w:r w:rsidRPr="003E0759" w:rsidR="00A95E2D">
        <w:rPr>
          <w:b/>
          <w:szCs w:val="22"/>
        </w:rPr>
        <w:t>848</w:t>
      </w:r>
      <w:r w:rsidRPr="003E0759" w:rsidR="00AD55ED">
        <w:rPr>
          <w:b/>
          <w:szCs w:val="22"/>
        </w:rPr>
        <w:t>,</w:t>
      </w:r>
      <w:r w:rsidRPr="003E0759" w:rsidR="00B0767C">
        <w:rPr>
          <w:b/>
          <w:szCs w:val="22"/>
        </w:rPr>
        <w:t xml:space="preserve"> </w:t>
      </w:r>
      <w:r w:rsidRPr="003E0759" w:rsidR="001375B0">
        <w:rPr>
          <w:bCs/>
          <w:szCs w:val="22"/>
        </w:rPr>
        <w:t>which is</w:t>
      </w:r>
      <w:r w:rsidRPr="003E0759" w:rsidR="00B07A1A">
        <w:rPr>
          <w:bCs/>
          <w:szCs w:val="22"/>
        </w:rPr>
        <w:t xml:space="preserve"> </w:t>
      </w:r>
      <w:r w:rsidRPr="003E0759" w:rsidR="00BC37D0">
        <w:rPr>
          <w:bCs/>
          <w:szCs w:val="22"/>
        </w:rPr>
        <w:t>117,000</w:t>
      </w:r>
      <w:r w:rsidRPr="003E0759" w:rsidR="009F3C67">
        <w:rPr>
          <w:bCs/>
          <w:szCs w:val="22"/>
        </w:rPr>
        <w:t xml:space="preserve"> + </w:t>
      </w:r>
      <w:r w:rsidRPr="003E0759" w:rsidR="001F44F1">
        <w:rPr>
          <w:bCs/>
          <w:szCs w:val="22"/>
        </w:rPr>
        <w:t>78,000</w:t>
      </w:r>
      <w:r w:rsidRPr="003E0759" w:rsidR="009F3C67">
        <w:rPr>
          <w:bCs/>
          <w:szCs w:val="22"/>
        </w:rPr>
        <w:t xml:space="preserve"> + </w:t>
      </w:r>
      <w:r w:rsidRPr="003E0759" w:rsidR="00435D49">
        <w:rPr>
          <w:bCs/>
          <w:szCs w:val="22"/>
        </w:rPr>
        <w:t>3,124</w:t>
      </w:r>
      <w:r w:rsidRPr="003E0759" w:rsidR="006A4778">
        <w:rPr>
          <w:bCs/>
          <w:szCs w:val="22"/>
        </w:rPr>
        <w:t xml:space="preserve"> + </w:t>
      </w:r>
      <w:r w:rsidRPr="003E0759" w:rsidR="00435D49">
        <w:rPr>
          <w:bCs/>
          <w:szCs w:val="22"/>
        </w:rPr>
        <w:t>3,124</w:t>
      </w:r>
      <w:r w:rsidRPr="003E0759" w:rsidR="008E1F9F">
        <w:rPr>
          <w:bCs/>
          <w:szCs w:val="22"/>
        </w:rPr>
        <w:t xml:space="preserve"> +</w:t>
      </w:r>
      <w:r w:rsidRPr="003E0759" w:rsidR="00A95E2D">
        <w:rPr>
          <w:bCs/>
          <w:szCs w:val="22"/>
        </w:rPr>
        <w:t>600</w:t>
      </w:r>
      <w:r w:rsidRPr="003E0759" w:rsidR="003F1668">
        <w:rPr>
          <w:bCs/>
          <w:szCs w:val="22"/>
        </w:rPr>
        <w:t>.</w:t>
      </w:r>
      <w:r>
        <w:rPr>
          <w:rStyle w:val="FootnoteReference"/>
          <w:bCs/>
          <w:szCs w:val="22"/>
        </w:rPr>
        <w:footnoteReference w:id="123"/>
      </w:r>
    </w:p>
    <w:p w:rsidR="00466FA1" w:rsidRPr="003E0759" w:rsidP="00F57EC1" w14:paraId="3E1B5A46" w14:textId="77777777">
      <w:pPr>
        <w:rPr>
          <w:szCs w:val="22"/>
        </w:rPr>
      </w:pPr>
    </w:p>
    <w:p w:rsidR="00466FA1" w:rsidRPr="003E0759" w:rsidP="00466FA1" w14:paraId="3A62FC28" w14:textId="10559EE4">
      <w:pPr>
        <w:ind w:left="720"/>
        <w:rPr>
          <w:szCs w:val="22"/>
        </w:rPr>
      </w:pPr>
      <w:r w:rsidRPr="003E0759">
        <w:rPr>
          <w:b/>
          <w:szCs w:val="22"/>
        </w:rPr>
        <w:t xml:space="preserve">Total Annual Burden Hours:  </w:t>
      </w:r>
      <w:r w:rsidRPr="003E0759" w:rsidR="00A618B7">
        <w:rPr>
          <w:b/>
          <w:szCs w:val="22"/>
        </w:rPr>
        <w:t>398,319</w:t>
      </w:r>
      <w:r w:rsidRPr="003E0759" w:rsidR="00AD55ED">
        <w:rPr>
          <w:b/>
          <w:szCs w:val="22"/>
        </w:rPr>
        <w:t>,</w:t>
      </w:r>
      <w:r w:rsidRPr="003E0759" w:rsidR="00BF706B">
        <w:rPr>
          <w:szCs w:val="22"/>
        </w:rPr>
        <w:t xml:space="preserve"> which is </w:t>
      </w:r>
      <w:r w:rsidRPr="003E0759" w:rsidR="001F44F1">
        <w:rPr>
          <w:szCs w:val="22"/>
        </w:rPr>
        <w:t>78,000</w:t>
      </w:r>
      <w:r w:rsidRPr="003E0759" w:rsidR="00E73045">
        <w:rPr>
          <w:szCs w:val="22"/>
        </w:rPr>
        <w:t xml:space="preserve"> + </w:t>
      </w:r>
      <w:r w:rsidRPr="003E0759" w:rsidR="009308F2">
        <w:rPr>
          <w:szCs w:val="22"/>
        </w:rPr>
        <w:t>78</w:t>
      </w:r>
      <w:r w:rsidRPr="003E0759" w:rsidR="00435D49">
        <w:rPr>
          <w:szCs w:val="22"/>
        </w:rPr>
        <w:t>,000</w:t>
      </w:r>
      <w:r w:rsidRPr="003E0759" w:rsidR="00E73045">
        <w:rPr>
          <w:szCs w:val="22"/>
        </w:rPr>
        <w:t xml:space="preserve"> + </w:t>
      </w:r>
      <w:r w:rsidRPr="003E0759" w:rsidR="00736079">
        <w:rPr>
          <w:szCs w:val="22"/>
        </w:rPr>
        <w:t>2</w:t>
      </w:r>
      <w:r w:rsidRPr="003E0759" w:rsidR="00727E26">
        <w:rPr>
          <w:szCs w:val="22"/>
        </w:rPr>
        <w:t>4</w:t>
      </w:r>
      <w:r w:rsidRPr="003E0759" w:rsidR="00736079">
        <w:rPr>
          <w:szCs w:val="22"/>
        </w:rPr>
        <w:t>0,0</w:t>
      </w:r>
      <w:r w:rsidRPr="003E0759" w:rsidR="00727E26">
        <w:rPr>
          <w:szCs w:val="22"/>
        </w:rPr>
        <w:t>13</w:t>
      </w:r>
      <w:r w:rsidRPr="003E0759" w:rsidR="00E73045">
        <w:rPr>
          <w:szCs w:val="22"/>
        </w:rPr>
        <w:t xml:space="preserve"> </w:t>
      </w:r>
      <w:r w:rsidRPr="003E0759" w:rsidR="00740706">
        <w:rPr>
          <w:szCs w:val="22"/>
        </w:rPr>
        <w:t xml:space="preserve">+ </w:t>
      </w:r>
      <w:r w:rsidRPr="003E0759" w:rsidR="009308F2">
        <w:rPr>
          <w:szCs w:val="22"/>
        </w:rPr>
        <w:t xml:space="preserve">781 + </w:t>
      </w:r>
      <w:r w:rsidRPr="003E0759" w:rsidR="009A2909">
        <w:rPr>
          <w:szCs w:val="22"/>
        </w:rPr>
        <w:t>1</w:t>
      </w:r>
      <w:r w:rsidRPr="003E0759" w:rsidR="005130C6">
        <w:rPr>
          <w:szCs w:val="22"/>
        </w:rPr>
        <w:t>,</w:t>
      </w:r>
      <w:r w:rsidRPr="003E0759" w:rsidR="009A2909">
        <w:rPr>
          <w:szCs w:val="22"/>
        </w:rPr>
        <w:t>525</w:t>
      </w:r>
      <w:r w:rsidRPr="003E0759" w:rsidR="00A107E9">
        <w:rPr>
          <w:szCs w:val="22"/>
        </w:rPr>
        <w:t>.</w:t>
      </w:r>
      <w:r>
        <w:rPr>
          <w:rStyle w:val="FootnoteReference"/>
          <w:szCs w:val="22"/>
        </w:rPr>
        <w:footnoteReference w:id="124"/>
      </w:r>
    </w:p>
    <w:p w:rsidR="00466FA1" w:rsidRPr="003E0759" w:rsidP="00F57EC1" w14:paraId="02706460" w14:textId="77777777">
      <w:pPr>
        <w:rPr>
          <w:szCs w:val="22"/>
        </w:rPr>
      </w:pPr>
    </w:p>
    <w:p w:rsidR="00466FA1" w:rsidP="00466FA1" w14:paraId="2CC7622F" w14:textId="49EF221A">
      <w:pPr>
        <w:ind w:left="720"/>
        <w:rPr>
          <w:szCs w:val="22"/>
        </w:rPr>
      </w:pPr>
      <w:r w:rsidRPr="003E0759">
        <w:rPr>
          <w:b/>
          <w:szCs w:val="22"/>
        </w:rPr>
        <w:t>Total Annual In-House Costs:</w:t>
      </w:r>
      <w:r w:rsidRPr="003E0759" w:rsidR="00626059">
        <w:rPr>
          <w:bCs/>
          <w:color w:val="000000"/>
          <w:szCs w:val="22"/>
        </w:rPr>
        <w:t xml:space="preserve"> $</w:t>
      </w:r>
      <w:r w:rsidRPr="003E0759" w:rsidR="00145818">
        <w:rPr>
          <w:bCs/>
          <w:color w:val="000000"/>
          <w:szCs w:val="22"/>
        </w:rPr>
        <w:t>3,354,000</w:t>
      </w:r>
      <w:r w:rsidRPr="003E0759" w:rsidR="005B0903">
        <w:rPr>
          <w:bCs/>
          <w:color w:val="000000"/>
          <w:szCs w:val="22"/>
        </w:rPr>
        <w:t xml:space="preserve"> </w:t>
      </w:r>
      <w:r w:rsidRPr="003E0759" w:rsidR="00626059">
        <w:rPr>
          <w:bCs/>
          <w:color w:val="000000"/>
          <w:szCs w:val="22"/>
        </w:rPr>
        <w:t xml:space="preserve"> + $</w:t>
      </w:r>
      <w:r w:rsidRPr="003E0759" w:rsidR="009308F2">
        <w:t>2,652,000</w:t>
      </w:r>
      <w:r w:rsidRPr="003E0759" w:rsidR="00394C3C">
        <w:rPr>
          <w:bCs/>
          <w:color w:val="000000"/>
          <w:szCs w:val="22"/>
        </w:rPr>
        <w:t xml:space="preserve"> </w:t>
      </w:r>
      <w:r w:rsidRPr="003E0759" w:rsidR="00626059">
        <w:rPr>
          <w:bCs/>
          <w:color w:val="000000"/>
          <w:szCs w:val="22"/>
        </w:rPr>
        <w:t>+ $</w:t>
      </w:r>
      <w:r w:rsidRPr="003E0759" w:rsidR="00A618B7">
        <w:rPr>
          <w:bCs/>
          <w:color w:val="000000"/>
          <w:szCs w:val="22"/>
        </w:rPr>
        <w:t>8,420,000</w:t>
      </w:r>
      <w:r w:rsidRPr="003E0759" w:rsidR="00145818">
        <w:rPr>
          <w:bCs/>
          <w:color w:val="000000"/>
          <w:szCs w:val="22"/>
        </w:rPr>
        <w:t xml:space="preserve"> </w:t>
      </w:r>
      <w:r w:rsidRPr="003E0759" w:rsidR="00DA1962">
        <w:rPr>
          <w:bCs/>
          <w:color w:val="000000"/>
          <w:szCs w:val="22"/>
        </w:rPr>
        <w:t xml:space="preserve"> + </w:t>
      </w:r>
      <w:r w:rsidRPr="003E0759" w:rsidR="00394C3C">
        <w:rPr>
          <w:bCs/>
          <w:color w:val="000000"/>
          <w:szCs w:val="22"/>
        </w:rPr>
        <w:t>$</w:t>
      </w:r>
      <w:r w:rsidRPr="003E0759" w:rsidR="009308F2">
        <w:rPr>
          <w:bCs/>
          <w:color w:val="000000"/>
          <w:szCs w:val="22"/>
        </w:rPr>
        <w:t xml:space="preserve">212,432 </w:t>
      </w:r>
      <w:r w:rsidRPr="003E0759" w:rsidR="00394C3C">
        <w:rPr>
          <w:bCs/>
          <w:color w:val="000000"/>
          <w:szCs w:val="22"/>
        </w:rPr>
        <w:t xml:space="preserve">+ </w:t>
      </w:r>
      <w:r w:rsidRPr="003E0759" w:rsidR="009308F2">
        <w:rPr>
          <w:bCs/>
          <w:color w:val="000000"/>
          <w:szCs w:val="22"/>
        </w:rPr>
        <w:t>$28,</w:t>
      </w:r>
      <w:r w:rsidRPr="003E0759" w:rsidR="00A618B7">
        <w:rPr>
          <w:bCs/>
          <w:color w:val="000000"/>
          <w:szCs w:val="22"/>
        </w:rPr>
        <w:t>116</w:t>
      </w:r>
      <w:r w:rsidRPr="003E0759" w:rsidR="009308F2">
        <w:rPr>
          <w:bCs/>
          <w:color w:val="000000"/>
          <w:szCs w:val="22"/>
        </w:rPr>
        <w:t xml:space="preserve"> + </w:t>
      </w:r>
      <w:r w:rsidRPr="003E0759" w:rsidR="006E2D21">
        <w:rPr>
          <w:bCs/>
          <w:color w:val="000000"/>
          <w:szCs w:val="22"/>
        </w:rPr>
        <w:t>$92,765.75</w:t>
      </w:r>
      <w:r w:rsidRPr="003E0759" w:rsidR="00A54031">
        <w:rPr>
          <w:bCs/>
          <w:color w:val="000000"/>
          <w:szCs w:val="22"/>
        </w:rPr>
        <w:t xml:space="preserve"> = </w:t>
      </w:r>
      <w:r w:rsidRPr="003E0759">
        <w:rPr>
          <w:b/>
          <w:szCs w:val="22"/>
        </w:rPr>
        <w:t>$</w:t>
      </w:r>
      <w:r w:rsidRPr="003E0759" w:rsidR="00A618B7">
        <w:rPr>
          <w:b/>
          <w:szCs w:val="22"/>
        </w:rPr>
        <w:t>14,759,313.75</w:t>
      </w:r>
      <w:r w:rsidRPr="003E0759">
        <w:rPr>
          <w:szCs w:val="22"/>
        </w:rPr>
        <w:t>.</w:t>
      </w:r>
    </w:p>
    <w:p w:rsidR="00D825DA" w:rsidP="00466FA1" w14:paraId="2263F01B" w14:textId="77777777">
      <w:pPr>
        <w:ind w:left="720"/>
        <w:rPr>
          <w:szCs w:val="22"/>
        </w:rPr>
      </w:pPr>
    </w:p>
    <w:p w:rsidR="002D11E0" w:rsidRPr="003E0759" w:rsidP="00D825DA" w14:paraId="1394805F" w14:textId="3FFF09A2">
      <w:pPr>
        <w:ind w:left="720"/>
        <w:rPr>
          <w:szCs w:val="22"/>
        </w:rPr>
      </w:pPr>
      <w:r w:rsidRPr="005C37D1">
        <w:rPr>
          <w:b/>
          <w:bCs/>
          <w:szCs w:val="22"/>
        </w:rPr>
        <w:t>Total One-Time Costs:</w:t>
      </w:r>
      <w:r>
        <w:rPr>
          <w:szCs w:val="22"/>
        </w:rPr>
        <w:t xml:space="preserve"> $53,108 + $56,232 = </w:t>
      </w:r>
      <w:r w:rsidRPr="005C37D1">
        <w:rPr>
          <w:b/>
          <w:bCs/>
          <w:szCs w:val="22"/>
        </w:rPr>
        <w:t>$109,340</w:t>
      </w:r>
    </w:p>
    <w:p w:rsidR="00783BAC" w:rsidRPr="003E0759" w:rsidP="00F57EC1" w14:paraId="780E7E77" w14:textId="77777777">
      <w:pPr>
        <w:rPr>
          <w:szCs w:val="22"/>
        </w:rPr>
      </w:pPr>
    </w:p>
    <w:bookmarkEnd w:id="7"/>
    <w:p w:rsidR="006615FA" w:rsidRPr="003E0759" w:rsidP="007720C6" w14:paraId="4596F446" w14:textId="77777777">
      <w:pPr>
        <w:spacing w:after="120"/>
        <w:rPr>
          <w:b/>
          <w:szCs w:val="22"/>
          <w:shd w:val="clear" w:color="auto" w:fill="FFFFFF"/>
        </w:rPr>
      </w:pPr>
      <w:r w:rsidRPr="003E0759">
        <w:rPr>
          <w:b/>
          <w:szCs w:val="22"/>
          <w:shd w:val="clear" w:color="auto" w:fill="FFFFFF"/>
        </w:rPr>
        <w:t>13.  Provide estimate for the total annual cost burden to respondents or record</w:t>
      </w:r>
      <w:r w:rsidRPr="003E0759" w:rsidR="00126303">
        <w:rPr>
          <w:b/>
          <w:szCs w:val="22"/>
          <w:shd w:val="clear" w:color="auto" w:fill="FFFFFF"/>
        </w:rPr>
        <w:t xml:space="preserve"> </w:t>
      </w:r>
      <w:r w:rsidRPr="003E0759">
        <w:rPr>
          <w:b/>
          <w:szCs w:val="22"/>
          <w:shd w:val="clear" w:color="auto" w:fill="FFFFFF"/>
        </w:rPr>
        <w:t>keepers resulting from the collection of information.  (Do not include the cost of any hour burden shown in items 12 and 14).</w:t>
      </w:r>
    </w:p>
    <w:p w:rsidR="00B02D09" w:rsidRPr="003E0759" w:rsidP="00B71C1E" w14:paraId="04041301" w14:textId="77777777">
      <w:pPr>
        <w:spacing w:after="120"/>
        <w:ind w:firstLine="720"/>
        <w:rPr>
          <w:szCs w:val="22"/>
          <w:shd w:val="clear" w:color="auto" w:fill="FFFFFF"/>
        </w:rPr>
      </w:pPr>
      <w:r w:rsidRPr="003E0759">
        <w:rPr>
          <w:szCs w:val="22"/>
          <w:shd w:val="clear" w:color="auto" w:fill="FFFFFF"/>
        </w:rPr>
        <w:t>The Commission estimates no purchases of additional equipment, or operation</w:t>
      </w:r>
      <w:r w:rsidRPr="003E0759" w:rsidR="00E1537C">
        <w:rPr>
          <w:szCs w:val="22"/>
          <w:shd w:val="clear" w:color="auto" w:fill="FFFFFF"/>
        </w:rPr>
        <w:t>, maintenance</w:t>
      </w:r>
      <w:r w:rsidRPr="003E0759" w:rsidR="006954A6">
        <w:rPr>
          <w:szCs w:val="22"/>
          <w:shd w:val="clear" w:color="auto" w:fill="FFFFFF"/>
        </w:rPr>
        <w:t xml:space="preserve"> </w:t>
      </w:r>
      <w:r w:rsidRPr="003E0759" w:rsidR="00E1537C">
        <w:rPr>
          <w:szCs w:val="22"/>
          <w:shd w:val="clear" w:color="auto" w:fill="FFFFFF"/>
        </w:rPr>
        <w:t xml:space="preserve">or new services will </w:t>
      </w:r>
      <w:r w:rsidRPr="003E0759" w:rsidR="00160D16">
        <w:rPr>
          <w:szCs w:val="22"/>
          <w:shd w:val="clear" w:color="auto" w:fill="FFFFFF"/>
        </w:rPr>
        <w:t>result from the</w:t>
      </w:r>
      <w:r w:rsidRPr="003E0759" w:rsidR="006954A6">
        <w:rPr>
          <w:szCs w:val="22"/>
          <w:shd w:val="clear" w:color="auto" w:fill="FFFFFF"/>
        </w:rPr>
        <w:t>se</w:t>
      </w:r>
      <w:r w:rsidRPr="003E0759" w:rsidR="00160D16">
        <w:rPr>
          <w:szCs w:val="22"/>
          <w:shd w:val="clear" w:color="auto" w:fill="FFFFFF"/>
        </w:rPr>
        <w:t xml:space="preserve"> modifications to th</w:t>
      </w:r>
      <w:r w:rsidRPr="003E0759" w:rsidR="006954A6">
        <w:rPr>
          <w:szCs w:val="22"/>
          <w:shd w:val="clear" w:color="auto" w:fill="FFFFFF"/>
        </w:rPr>
        <w:t xml:space="preserve">e existing Part 4 </w:t>
      </w:r>
      <w:r w:rsidRPr="003E0759" w:rsidR="00160D16">
        <w:rPr>
          <w:szCs w:val="22"/>
          <w:shd w:val="clear" w:color="auto" w:fill="FFFFFF"/>
        </w:rPr>
        <w:t>information collection</w:t>
      </w:r>
      <w:r w:rsidRPr="003E0759">
        <w:rPr>
          <w:szCs w:val="22"/>
          <w:shd w:val="clear" w:color="auto" w:fill="FFFFFF"/>
        </w:rPr>
        <w:t>.</w:t>
      </w:r>
    </w:p>
    <w:p w:rsidR="006615FA" w:rsidRPr="003E0759" w:rsidP="003520A8" w14:paraId="0C0B4D65" w14:textId="4FAB91C5">
      <w:pPr>
        <w:spacing w:after="120"/>
        <w:rPr>
          <w:b/>
          <w:szCs w:val="22"/>
          <w:shd w:val="clear" w:color="auto" w:fill="FFFFFF"/>
        </w:rPr>
      </w:pPr>
      <w:r w:rsidRPr="003E0759">
        <w:rPr>
          <w:b/>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0764BA" w:rsidRPr="003E0759" w:rsidP="007720C6" w14:paraId="09037CC2" w14:textId="0C9C1B80">
      <w:pPr>
        <w:spacing w:after="120"/>
        <w:ind w:firstLine="720"/>
        <w:rPr>
          <w:szCs w:val="22"/>
          <w:shd w:val="clear" w:color="auto" w:fill="FFFFFF"/>
        </w:rPr>
      </w:pPr>
      <w:r w:rsidRPr="003E0759">
        <w:rPr>
          <w:szCs w:val="22"/>
          <w:shd w:val="clear" w:color="auto" w:fill="FFFFFF"/>
        </w:rPr>
        <w:t>The Commission estimates that the total annual cost to the Federal Government to be as follows, based on the salaries</w:t>
      </w:r>
      <w:r>
        <w:rPr>
          <w:rStyle w:val="FootnoteReference"/>
          <w:szCs w:val="22"/>
          <w:shd w:val="clear" w:color="auto" w:fill="FFFFFF"/>
        </w:rPr>
        <w:footnoteReference w:id="125"/>
      </w:r>
      <w:r w:rsidRPr="003E0759">
        <w:rPr>
          <w:szCs w:val="22"/>
          <w:shd w:val="clear" w:color="auto" w:fill="FFFFFF"/>
        </w:rPr>
        <w:t xml:space="preserve"> of </w:t>
      </w:r>
      <w:r w:rsidRPr="003E0759" w:rsidR="006924D1">
        <w:rPr>
          <w:szCs w:val="22"/>
          <w:shd w:val="clear" w:color="auto" w:fill="FFFFFF"/>
        </w:rPr>
        <w:t>four</w:t>
      </w:r>
      <w:r w:rsidRPr="003E0759">
        <w:rPr>
          <w:szCs w:val="22"/>
          <w:shd w:val="clear" w:color="auto" w:fill="FFFFFF"/>
        </w:rPr>
        <w:t xml:space="preserve"> engineers (GS-15 step 5), </w:t>
      </w:r>
      <w:r w:rsidRPr="003E0759" w:rsidR="001D7D58">
        <w:rPr>
          <w:szCs w:val="22"/>
          <w:shd w:val="clear" w:color="auto" w:fill="FFFFFF"/>
        </w:rPr>
        <w:t xml:space="preserve"> three</w:t>
      </w:r>
      <w:r w:rsidRPr="003E0759">
        <w:rPr>
          <w:szCs w:val="22"/>
          <w:shd w:val="clear" w:color="auto" w:fill="FFFFFF"/>
        </w:rPr>
        <w:t xml:space="preserve"> engineers (GS-14 step 5), </w:t>
      </w:r>
      <w:r w:rsidRPr="003E0759" w:rsidR="00F76B63">
        <w:rPr>
          <w:szCs w:val="22"/>
          <w:shd w:val="clear" w:color="auto" w:fill="FFFFFF"/>
        </w:rPr>
        <w:t xml:space="preserve"> t</w:t>
      </w:r>
      <w:r w:rsidRPr="003E0759" w:rsidR="001771C3">
        <w:rPr>
          <w:szCs w:val="22"/>
          <w:shd w:val="clear" w:color="auto" w:fill="FFFFFF"/>
        </w:rPr>
        <w:t>w</w:t>
      </w:r>
      <w:r w:rsidRPr="003E0759" w:rsidR="00F76B63">
        <w:rPr>
          <w:szCs w:val="22"/>
          <w:shd w:val="clear" w:color="auto" w:fill="FFFFFF"/>
        </w:rPr>
        <w:t>o</w:t>
      </w:r>
      <w:r w:rsidRPr="003E0759">
        <w:rPr>
          <w:szCs w:val="22"/>
          <w:shd w:val="clear" w:color="auto" w:fill="FFFFFF"/>
        </w:rPr>
        <w:t xml:space="preserve"> IT </w:t>
      </w:r>
      <w:r w:rsidRPr="003E0759">
        <w:rPr>
          <w:szCs w:val="22"/>
          <w:shd w:val="clear" w:color="auto" w:fill="FFFFFF"/>
        </w:rPr>
        <w:t>Developer (GS-15 step 5), each spending approximately ½ (or 1</w:t>
      </w:r>
      <w:r w:rsidRPr="003E0759" w:rsidR="008B0F2E">
        <w:rPr>
          <w:szCs w:val="22"/>
          <w:shd w:val="clear" w:color="auto" w:fill="FFFFFF"/>
        </w:rPr>
        <w:t>,</w:t>
      </w:r>
      <w:r w:rsidRPr="003E0759">
        <w:rPr>
          <w:szCs w:val="22"/>
          <w:shd w:val="clear" w:color="auto" w:fill="FFFFFF"/>
        </w:rPr>
        <w:t xml:space="preserve">040 hours) of their work time each year on the information collected, and </w:t>
      </w:r>
      <w:r w:rsidRPr="003E0759" w:rsidR="00F76B63">
        <w:rPr>
          <w:szCs w:val="22"/>
          <w:shd w:val="clear" w:color="auto" w:fill="FFFFFF"/>
        </w:rPr>
        <w:t>three</w:t>
      </w:r>
      <w:r w:rsidRPr="003E0759">
        <w:rPr>
          <w:szCs w:val="22"/>
          <w:shd w:val="clear" w:color="auto" w:fill="FFFFFF"/>
        </w:rPr>
        <w:t xml:space="preserve"> attorneys (GS-13 step 5) spending approximately ¼ (or 520 hours) of their work time each year on the information collection:</w:t>
      </w:r>
    </w:p>
    <w:p w:rsidR="005E3B57" w:rsidRPr="003E0759" w:rsidP="00D02E92" w14:paraId="57F11C2B" w14:textId="77777777">
      <w:pPr>
        <w:rPr>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080"/>
        <w:gridCol w:w="1799"/>
        <w:gridCol w:w="2071"/>
        <w:gridCol w:w="540"/>
        <w:gridCol w:w="1705"/>
      </w:tblGrid>
      <w:tr w14:paraId="00BDA9A2" w14:textId="77777777" w:rsidTr="008F1D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5" w:type="dxa"/>
            <w:shd w:val="clear" w:color="auto" w:fill="auto"/>
          </w:tcPr>
          <w:p w:rsidR="005E3B57" w:rsidRPr="003E0759" w:rsidP="008F1DE1" w14:paraId="57D2828C" w14:textId="1778E57B">
            <w:pPr>
              <w:rPr>
                <w:szCs w:val="22"/>
                <w:shd w:val="clear" w:color="auto" w:fill="FFFFFF"/>
              </w:rPr>
            </w:pPr>
            <w:r w:rsidRPr="003E0759">
              <w:rPr>
                <w:szCs w:val="22"/>
                <w:shd w:val="clear" w:color="auto" w:fill="FFFFFF"/>
              </w:rPr>
              <w:t>(</w:t>
            </w:r>
            <w:r w:rsidRPr="003E0759" w:rsidR="00EE4D48">
              <w:rPr>
                <w:szCs w:val="22"/>
                <w:shd w:val="clear" w:color="auto" w:fill="FFFFFF"/>
              </w:rPr>
              <w:t>Four</w:t>
            </w:r>
            <w:r w:rsidRPr="003E0759">
              <w:rPr>
                <w:szCs w:val="22"/>
                <w:shd w:val="clear" w:color="auto" w:fill="FFFFFF"/>
              </w:rPr>
              <w:t>) Engineers</w:t>
            </w:r>
          </w:p>
        </w:tc>
        <w:tc>
          <w:tcPr>
            <w:tcW w:w="1080" w:type="dxa"/>
            <w:shd w:val="clear" w:color="auto" w:fill="auto"/>
          </w:tcPr>
          <w:p w:rsidR="005E3B57" w:rsidRPr="003E0759" w:rsidP="008F1DE1" w14:paraId="41E72866" w14:textId="77777777">
            <w:pPr>
              <w:rPr>
                <w:szCs w:val="22"/>
                <w:shd w:val="clear" w:color="auto" w:fill="FFFFFF"/>
              </w:rPr>
            </w:pPr>
            <w:r w:rsidRPr="003E0759">
              <w:rPr>
                <w:szCs w:val="22"/>
                <w:shd w:val="clear" w:color="auto" w:fill="FFFFFF"/>
              </w:rPr>
              <w:t>GS-15 step 5</w:t>
            </w:r>
          </w:p>
        </w:tc>
        <w:tc>
          <w:tcPr>
            <w:tcW w:w="1799" w:type="dxa"/>
            <w:shd w:val="clear" w:color="auto" w:fill="auto"/>
          </w:tcPr>
          <w:p w:rsidR="005E3B57" w:rsidRPr="003E0759" w:rsidP="008F1DE1" w14:paraId="5C05AE57" w14:textId="21915F31">
            <w:pPr>
              <w:rPr>
                <w:szCs w:val="22"/>
                <w:shd w:val="clear" w:color="auto" w:fill="FFFFFF"/>
              </w:rPr>
            </w:pPr>
            <w:r w:rsidRPr="003E0759">
              <w:rPr>
                <w:szCs w:val="22"/>
                <w:shd w:val="clear" w:color="auto" w:fill="FFFFFF"/>
              </w:rPr>
              <w:t>A</w:t>
            </w:r>
            <w:r w:rsidRPr="003E0759">
              <w:rPr>
                <w:szCs w:val="22"/>
                <w:shd w:val="clear" w:color="auto" w:fill="FFFFFF"/>
              </w:rPr>
              <w:t>t $</w:t>
            </w:r>
            <w:r w:rsidRPr="003E0759" w:rsidR="00007C8A">
              <w:rPr>
                <w:szCs w:val="22"/>
                <w:shd w:val="clear" w:color="auto" w:fill="FFFFFF"/>
              </w:rPr>
              <w:t>8</w:t>
            </w:r>
            <w:r w:rsidR="00EF003B">
              <w:rPr>
                <w:szCs w:val="22"/>
                <w:shd w:val="clear" w:color="auto" w:fill="FFFFFF"/>
              </w:rPr>
              <w:t>9.04</w:t>
            </w:r>
            <w:r w:rsidRPr="003E0759">
              <w:rPr>
                <w:szCs w:val="22"/>
                <w:shd w:val="clear" w:color="auto" w:fill="FFFFFF"/>
              </w:rPr>
              <w:t>/h</w:t>
            </w:r>
            <w:r w:rsidRPr="003E0759" w:rsidR="001B3D6E">
              <w:rPr>
                <w:szCs w:val="22"/>
                <w:shd w:val="clear" w:color="auto" w:fill="FFFFFF"/>
              </w:rPr>
              <w:t>ou</w:t>
            </w:r>
            <w:r w:rsidRPr="003E0759">
              <w:rPr>
                <w:szCs w:val="22"/>
                <w:shd w:val="clear" w:color="auto" w:fill="FFFFFF"/>
              </w:rPr>
              <w:t>r wage</w:t>
            </w:r>
          </w:p>
        </w:tc>
        <w:tc>
          <w:tcPr>
            <w:tcW w:w="2071" w:type="dxa"/>
            <w:shd w:val="clear" w:color="auto" w:fill="auto"/>
          </w:tcPr>
          <w:p w:rsidR="005E3B57" w:rsidRPr="003E0759" w:rsidP="008F1DE1" w14:paraId="60FE1EEA" w14:textId="0D787830">
            <w:pPr>
              <w:rPr>
                <w:szCs w:val="22"/>
                <w:shd w:val="clear" w:color="auto" w:fill="FFFFFF"/>
              </w:rPr>
            </w:pPr>
            <w:r w:rsidRPr="003E0759">
              <w:rPr>
                <w:szCs w:val="22"/>
                <w:shd w:val="clear" w:color="auto" w:fill="FFFFFF"/>
              </w:rPr>
              <w:t>$</w:t>
            </w:r>
            <w:r w:rsidRPr="003E0759" w:rsidR="00007C8A">
              <w:rPr>
                <w:szCs w:val="22"/>
                <w:shd w:val="clear" w:color="auto" w:fill="FFFFFF"/>
              </w:rPr>
              <w:t>8</w:t>
            </w:r>
            <w:r w:rsidR="00EF003B">
              <w:rPr>
                <w:szCs w:val="22"/>
                <w:shd w:val="clear" w:color="auto" w:fill="FFFFFF"/>
              </w:rPr>
              <w:t>9.04</w:t>
            </w:r>
            <w:r w:rsidRPr="003E0759">
              <w:rPr>
                <w:szCs w:val="22"/>
                <w:shd w:val="clear" w:color="auto" w:fill="FFFFFF"/>
              </w:rPr>
              <w:t xml:space="preserve"> x 1,040 hours</w:t>
            </w:r>
          </w:p>
        </w:tc>
        <w:tc>
          <w:tcPr>
            <w:tcW w:w="540" w:type="dxa"/>
            <w:shd w:val="clear" w:color="auto" w:fill="auto"/>
          </w:tcPr>
          <w:p w:rsidR="005E3B57" w:rsidRPr="003E0759" w:rsidP="008F1DE1" w14:paraId="0FF4D2A6" w14:textId="49884C9F">
            <w:pPr>
              <w:rPr>
                <w:szCs w:val="22"/>
                <w:shd w:val="clear" w:color="auto" w:fill="FFFFFF"/>
              </w:rPr>
            </w:pPr>
            <w:r w:rsidRPr="003E0759">
              <w:rPr>
                <w:szCs w:val="22"/>
                <w:shd w:val="clear" w:color="auto" w:fill="FFFFFF"/>
              </w:rPr>
              <w:t xml:space="preserve">x </w:t>
            </w:r>
            <w:r w:rsidRPr="003E0759" w:rsidR="00402E5A">
              <w:rPr>
                <w:szCs w:val="22"/>
                <w:shd w:val="clear" w:color="auto" w:fill="FFFFFF"/>
              </w:rPr>
              <w:t>4</w:t>
            </w:r>
          </w:p>
        </w:tc>
        <w:tc>
          <w:tcPr>
            <w:tcW w:w="1705" w:type="dxa"/>
            <w:shd w:val="clear" w:color="auto" w:fill="auto"/>
          </w:tcPr>
          <w:p w:rsidR="005E3B57" w:rsidRPr="003E0759" w:rsidP="008F1DE1" w14:paraId="3E41E367" w14:textId="40EDE7C2">
            <w:pPr>
              <w:rPr>
                <w:szCs w:val="22"/>
                <w:shd w:val="clear" w:color="auto" w:fill="FFFFFF"/>
              </w:rPr>
            </w:pPr>
            <w:r w:rsidRPr="003E0759">
              <w:rPr>
                <w:szCs w:val="22"/>
                <w:shd w:val="clear" w:color="auto" w:fill="FFFFFF"/>
              </w:rPr>
              <w:t>= $</w:t>
            </w:r>
            <w:r w:rsidRPr="003E0759" w:rsidR="00B00DF6">
              <w:rPr>
                <w:szCs w:val="22"/>
                <w:shd w:val="clear" w:color="auto" w:fill="FFFFFF"/>
              </w:rPr>
              <w:t>3</w:t>
            </w:r>
            <w:r w:rsidR="00B00DF6">
              <w:rPr>
                <w:szCs w:val="22"/>
                <w:shd w:val="clear" w:color="auto" w:fill="FFFFFF"/>
              </w:rPr>
              <w:t>70,406.40</w:t>
            </w:r>
          </w:p>
        </w:tc>
      </w:tr>
      <w:tr w14:paraId="4EEBAA21" w14:textId="77777777" w:rsidTr="008F1DE1">
        <w:tblPrEx>
          <w:tblW w:w="0" w:type="auto"/>
          <w:tblLook w:val="04A0"/>
        </w:tblPrEx>
        <w:tc>
          <w:tcPr>
            <w:tcW w:w="1435" w:type="dxa"/>
            <w:shd w:val="clear" w:color="auto" w:fill="auto"/>
          </w:tcPr>
          <w:p w:rsidR="005E3B57" w:rsidRPr="003E0759" w:rsidP="008F1DE1" w14:paraId="07215CB5" w14:textId="1B4A5EE9">
            <w:pPr>
              <w:rPr>
                <w:szCs w:val="22"/>
                <w:shd w:val="clear" w:color="auto" w:fill="FFFFFF"/>
              </w:rPr>
            </w:pPr>
            <w:r w:rsidRPr="003E0759">
              <w:rPr>
                <w:szCs w:val="22"/>
                <w:shd w:val="clear" w:color="auto" w:fill="FFFFFF"/>
              </w:rPr>
              <w:t>(</w:t>
            </w:r>
            <w:r w:rsidRPr="003E0759" w:rsidR="00682783">
              <w:rPr>
                <w:szCs w:val="22"/>
                <w:shd w:val="clear" w:color="auto" w:fill="FFFFFF"/>
              </w:rPr>
              <w:t>Three</w:t>
            </w:r>
            <w:r w:rsidRPr="003E0759">
              <w:rPr>
                <w:szCs w:val="22"/>
                <w:shd w:val="clear" w:color="auto" w:fill="FFFFFF"/>
              </w:rPr>
              <w:t>) Engineers</w:t>
            </w:r>
          </w:p>
        </w:tc>
        <w:tc>
          <w:tcPr>
            <w:tcW w:w="1080" w:type="dxa"/>
            <w:shd w:val="clear" w:color="auto" w:fill="auto"/>
          </w:tcPr>
          <w:p w:rsidR="005E3B57" w:rsidRPr="003E0759" w:rsidP="008F1DE1" w14:paraId="25EE4FB8" w14:textId="77777777">
            <w:pPr>
              <w:rPr>
                <w:szCs w:val="22"/>
                <w:shd w:val="clear" w:color="auto" w:fill="FFFFFF"/>
              </w:rPr>
            </w:pPr>
            <w:r w:rsidRPr="003E0759">
              <w:rPr>
                <w:szCs w:val="22"/>
                <w:shd w:val="clear" w:color="auto" w:fill="FFFFFF"/>
              </w:rPr>
              <w:t>GS-14 step 5</w:t>
            </w:r>
          </w:p>
        </w:tc>
        <w:tc>
          <w:tcPr>
            <w:tcW w:w="1799" w:type="dxa"/>
            <w:shd w:val="clear" w:color="auto" w:fill="auto"/>
          </w:tcPr>
          <w:p w:rsidR="005E3B57" w:rsidRPr="003E0759" w:rsidP="008F1DE1" w14:paraId="4274FB28" w14:textId="534201F7">
            <w:pPr>
              <w:rPr>
                <w:szCs w:val="22"/>
                <w:shd w:val="clear" w:color="auto" w:fill="FFFFFF"/>
              </w:rPr>
            </w:pPr>
            <w:r w:rsidRPr="003E0759">
              <w:rPr>
                <w:szCs w:val="22"/>
                <w:shd w:val="clear" w:color="auto" w:fill="FFFFFF"/>
              </w:rPr>
              <w:t>A</w:t>
            </w:r>
            <w:r w:rsidRPr="003E0759">
              <w:rPr>
                <w:szCs w:val="22"/>
                <w:shd w:val="clear" w:color="auto" w:fill="FFFFFF"/>
              </w:rPr>
              <w:t>t</w:t>
            </w:r>
            <w:r w:rsidRPr="003E0759">
              <w:rPr>
                <w:szCs w:val="22"/>
                <w:shd w:val="clear" w:color="auto" w:fill="FFFFFF"/>
              </w:rPr>
              <w:t xml:space="preserve"> </w:t>
            </w:r>
            <w:r w:rsidRPr="003E0759">
              <w:rPr>
                <w:szCs w:val="22"/>
                <w:shd w:val="clear" w:color="auto" w:fill="FFFFFF"/>
              </w:rPr>
              <w:t>$</w:t>
            </w:r>
            <w:r w:rsidRPr="003E0759" w:rsidR="00AF2C50">
              <w:rPr>
                <w:szCs w:val="22"/>
                <w:shd w:val="clear" w:color="auto" w:fill="FFFFFF"/>
              </w:rPr>
              <w:t>7</w:t>
            </w:r>
            <w:r w:rsidR="00AF2C50">
              <w:rPr>
                <w:szCs w:val="22"/>
                <w:shd w:val="clear" w:color="auto" w:fill="FFFFFF"/>
              </w:rPr>
              <w:t>5.70</w:t>
            </w:r>
            <w:r w:rsidRPr="003E0759">
              <w:rPr>
                <w:szCs w:val="22"/>
                <w:shd w:val="clear" w:color="auto" w:fill="FFFFFF"/>
              </w:rPr>
              <w:t>/h</w:t>
            </w:r>
            <w:r w:rsidRPr="003E0759" w:rsidR="008E66B1">
              <w:rPr>
                <w:szCs w:val="22"/>
                <w:shd w:val="clear" w:color="auto" w:fill="FFFFFF"/>
              </w:rPr>
              <w:t>ou</w:t>
            </w:r>
            <w:r w:rsidRPr="003E0759">
              <w:rPr>
                <w:szCs w:val="22"/>
                <w:shd w:val="clear" w:color="auto" w:fill="FFFFFF"/>
              </w:rPr>
              <w:t>r wage</w:t>
            </w:r>
          </w:p>
        </w:tc>
        <w:tc>
          <w:tcPr>
            <w:tcW w:w="2071" w:type="dxa"/>
            <w:shd w:val="clear" w:color="auto" w:fill="auto"/>
          </w:tcPr>
          <w:p w:rsidR="005E3B57" w:rsidRPr="003E0759" w:rsidP="008F1DE1" w14:paraId="1CD3FD4B" w14:textId="649F3553">
            <w:pPr>
              <w:rPr>
                <w:szCs w:val="22"/>
                <w:shd w:val="clear" w:color="auto" w:fill="FFFFFF"/>
              </w:rPr>
            </w:pPr>
            <w:r w:rsidRPr="003E0759">
              <w:rPr>
                <w:szCs w:val="22"/>
                <w:shd w:val="clear" w:color="auto" w:fill="FFFFFF"/>
              </w:rPr>
              <w:t>$</w:t>
            </w:r>
            <w:r w:rsidRPr="003E0759" w:rsidR="00AF2C50">
              <w:rPr>
                <w:szCs w:val="22"/>
                <w:shd w:val="clear" w:color="auto" w:fill="FFFFFF"/>
              </w:rPr>
              <w:t>7</w:t>
            </w:r>
            <w:r w:rsidR="00AF2C50">
              <w:rPr>
                <w:szCs w:val="22"/>
                <w:shd w:val="clear" w:color="auto" w:fill="FFFFFF"/>
              </w:rPr>
              <w:t>5.70</w:t>
            </w:r>
            <w:r w:rsidR="0080010C">
              <w:rPr>
                <w:szCs w:val="22"/>
                <w:shd w:val="clear" w:color="auto" w:fill="FFFFFF"/>
              </w:rPr>
              <w:t xml:space="preserve"> </w:t>
            </w:r>
            <w:r w:rsidRPr="003E0759">
              <w:rPr>
                <w:szCs w:val="22"/>
                <w:shd w:val="clear" w:color="auto" w:fill="FFFFFF"/>
              </w:rPr>
              <w:t>x 1,040 hours</w:t>
            </w:r>
          </w:p>
        </w:tc>
        <w:tc>
          <w:tcPr>
            <w:tcW w:w="540" w:type="dxa"/>
            <w:shd w:val="clear" w:color="auto" w:fill="auto"/>
          </w:tcPr>
          <w:p w:rsidR="005E3B57" w:rsidRPr="003E0759" w:rsidP="008F1DE1" w14:paraId="0BA8FA9E" w14:textId="32961F8A">
            <w:pPr>
              <w:rPr>
                <w:szCs w:val="22"/>
                <w:shd w:val="clear" w:color="auto" w:fill="FFFFFF"/>
              </w:rPr>
            </w:pPr>
            <w:r w:rsidRPr="003E0759">
              <w:rPr>
                <w:szCs w:val="22"/>
                <w:shd w:val="clear" w:color="auto" w:fill="FFFFFF"/>
              </w:rPr>
              <w:t xml:space="preserve">x </w:t>
            </w:r>
            <w:r w:rsidRPr="003E0759" w:rsidR="00402E5A">
              <w:rPr>
                <w:szCs w:val="22"/>
                <w:shd w:val="clear" w:color="auto" w:fill="FFFFFF"/>
              </w:rPr>
              <w:t>3</w:t>
            </w:r>
          </w:p>
        </w:tc>
        <w:tc>
          <w:tcPr>
            <w:tcW w:w="1705" w:type="dxa"/>
            <w:shd w:val="clear" w:color="auto" w:fill="auto"/>
          </w:tcPr>
          <w:p w:rsidR="005E3B57" w:rsidRPr="003E0759" w:rsidP="008F1DE1" w14:paraId="6CA3471A" w14:textId="1C90EFD8">
            <w:pPr>
              <w:rPr>
                <w:szCs w:val="22"/>
                <w:shd w:val="clear" w:color="auto" w:fill="FFFFFF"/>
              </w:rPr>
            </w:pPr>
            <w:r w:rsidRPr="003E0759">
              <w:rPr>
                <w:szCs w:val="22"/>
                <w:shd w:val="clear" w:color="auto" w:fill="FFFFFF"/>
              </w:rPr>
              <w:t>= $</w:t>
            </w:r>
            <w:r w:rsidRPr="003E0759" w:rsidR="004037FE">
              <w:rPr>
                <w:szCs w:val="22"/>
                <w:shd w:val="clear" w:color="auto" w:fill="FFFFFF"/>
              </w:rPr>
              <w:t>2</w:t>
            </w:r>
            <w:r w:rsidR="004037FE">
              <w:rPr>
                <w:szCs w:val="22"/>
                <w:shd w:val="clear" w:color="auto" w:fill="FFFFFF"/>
              </w:rPr>
              <w:t>36,184.00</w:t>
            </w:r>
          </w:p>
        </w:tc>
      </w:tr>
      <w:tr w14:paraId="757520B6" w14:textId="77777777" w:rsidTr="008F1DE1">
        <w:tblPrEx>
          <w:tblW w:w="0" w:type="auto"/>
          <w:tblLook w:val="04A0"/>
        </w:tblPrEx>
        <w:tc>
          <w:tcPr>
            <w:tcW w:w="1435" w:type="dxa"/>
            <w:shd w:val="clear" w:color="auto" w:fill="auto"/>
          </w:tcPr>
          <w:p w:rsidR="005E3B57" w:rsidRPr="003E0759" w:rsidP="008F1DE1" w14:paraId="41EA8D3A" w14:textId="2394689C">
            <w:pPr>
              <w:rPr>
                <w:szCs w:val="22"/>
                <w:shd w:val="clear" w:color="auto" w:fill="FFFFFF"/>
              </w:rPr>
            </w:pPr>
            <w:r w:rsidRPr="003E0759">
              <w:rPr>
                <w:szCs w:val="22"/>
                <w:shd w:val="clear" w:color="auto" w:fill="FFFFFF"/>
              </w:rPr>
              <w:t>(</w:t>
            </w:r>
            <w:r w:rsidRPr="003E0759" w:rsidR="00D75CED">
              <w:rPr>
                <w:szCs w:val="22"/>
                <w:shd w:val="clear" w:color="auto" w:fill="FFFFFF"/>
              </w:rPr>
              <w:t>Two</w:t>
            </w:r>
            <w:r w:rsidRPr="003E0759">
              <w:rPr>
                <w:szCs w:val="22"/>
                <w:shd w:val="clear" w:color="auto" w:fill="FFFFFF"/>
              </w:rPr>
              <w:t>) IT Developer</w:t>
            </w:r>
            <w:r w:rsidRPr="003E0759" w:rsidR="00D75CED">
              <w:rPr>
                <w:szCs w:val="22"/>
                <w:shd w:val="clear" w:color="auto" w:fill="FFFFFF"/>
              </w:rPr>
              <w:t>s</w:t>
            </w:r>
          </w:p>
        </w:tc>
        <w:tc>
          <w:tcPr>
            <w:tcW w:w="1080" w:type="dxa"/>
            <w:shd w:val="clear" w:color="auto" w:fill="auto"/>
          </w:tcPr>
          <w:p w:rsidR="005E3B57" w:rsidRPr="003E0759" w:rsidP="008F1DE1" w14:paraId="5E38D0B8" w14:textId="77777777">
            <w:pPr>
              <w:rPr>
                <w:szCs w:val="22"/>
                <w:shd w:val="clear" w:color="auto" w:fill="FFFFFF"/>
              </w:rPr>
            </w:pPr>
            <w:r w:rsidRPr="003E0759">
              <w:rPr>
                <w:szCs w:val="22"/>
                <w:shd w:val="clear" w:color="auto" w:fill="FFFFFF"/>
              </w:rPr>
              <w:t>GS-15 step 5</w:t>
            </w:r>
          </w:p>
        </w:tc>
        <w:tc>
          <w:tcPr>
            <w:tcW w:w="1799" w:type="dxa"/>
            <w:shd w:val="clear" w:color="auto" w:fill="auto"/>
          </w:tcPr>
          <w:p w:rsidR="005E3B57" w:rsidRPr="003E0759" w:rsidP="008F1DE1" w14:paraId="44AC1D34" w14:textId="2543D139">
            <w:pPr>
              <w:rPr>
                <w:szCs w:val="22"/>
                <w:shd w:val="clear" w:color="auto" w:fill="FFFFFF"/>
              </w:rPr>
            </w:pPr>
            <w:r w:rsidRPr="003E0759">
              <w:rPr>
                <w:szCs w:val="22"/>
                <w:shd w:val="clear" w:color="auto" w:fill="FFFFFF"/>
              </w:rPr>
              <w:t>A</w:t>
            </w:r>
            <w:r w:rsidRPr="003E0759">
              <w:rPr>
                <w:szCs w:val="22"/>
                <w:shd w:val="clear" w:color="auto" w:fill="FFFFFF"/>
              </w:rPr>
              <w:t>t $</w:t>
            </w:r>
            <w:r w:rsidR="00A73D7B">
              <w:rPr>
                <w:szCs w:val="22"/>
                <w:shd w:val="clear" w:color="auto" w:fill="FFFFFF"/>
              </w:rPr>
              <w:t>89.04</w:t>
            </w:r>
            <w:r w:rsidRPr="003E0759">
              <w:rPr>
                <w:szCs w:val="22"/>
                <w:shd w:val="clear" w:color="auto" w:fill="FFFFFF"/>
              </w:rPr>
              <w:t>/h</w:t>
            </w:r>
            <w:r w:rsidRPr="003E0759" w:rsidR="00666E12">
              <w:rPr>
                <w:szCs w:val="22"/>
                <w:shd w:val="clear" w:color="auto" w:fill="FFFFFF"/>
              </w:rPr>
              <w:t>our</w:t>
            </w:r>
            <w:r w:rsidRPr="003E0759">
              <w:rPr>
                <w:szCs w:val="22"/>
                <w:shd w:val="clear" w:color="auto" w:fill="FFFFFF"/>
              </w:rPr>
              <w:t xml:space="preserve"> wage</w:t>
            </w:r>
          </w:p>
        </w:tc>
        <w:tc>
          <w:tcPr>
            <w:tcW w:w="2071" w:type="dxa"/>
            <w:shd w:val="clear" w:color="auto" w:fill="auto"/>
          </w:tcPr>
          <w:p w:rsidR="005E3B57" w:rsidRPr="003E0759" w:rsidP="008F1DE1" w14:paraId="19E91F1F" w14:textId="19B280EE">
            <w:pPr>
              <w:rPr>
                <w:szCs w:val="22"/>
                <w:shd w:val="clear" w:color="auto" w:fill="FFFFFF"/>
              </w:rPr>
            </w:pPr>
            <w:r w:rsidRPr="003E0759">
              <w:rPr>
                <w:szCs w:val="22"/>
                <w:shd w:val="clear" w:color="auto" w:fill="FFFFFF"/>
              </w:rPr>
              <w:t>$</w:t>
            </w:r>
            <w:r w:rsidR="00A73D7B">
              <w:rPr>
                <w:szCs w:val="22"/>
                <w:shd w:val="clear" w:color="auto" w:fill="FFFFFF"/>
              </w:rPr>
              <w:t>89.04</w:t>
            </w:r>
            <w:r w:rsidR="00990946">
              <w:rPr>
                <w:szCs w:val="22"/>
                <w:shd w:val="clear" w:color="auto" w:fill="FFFFFF"/>
              </w:rPr>
              <w:t xml:space="preserve"> </w:t>
            </w:r>
            <w:r w:rsidRPr="003E0759">
              <w:rPr>
                <w:szCs w:val="22"/>
                <w:shd w:val="clear" w:color="auto" w:fill="FFFFFF"/>
              </w:rPr>
              <w:t>x 1,040 hours</w:t>
            </w:r>
          </w:p>
        </w:tc>
        <w:tc>
          <w:tcPr>
            <w:tcW w:w="540" w:type="dxa"/>
            <w:shd w:val="clear" w:color="auto" w:fill="auto"/>
          </w:tcPr>
          <w:p w:rsidR="005E3B57" w:rsidRPr="003E0759" w:rsidP="008F1DE1" w14:paraId="1F5BA9D4" w14:textId="0D21FDD4">
            <w:pPr>
              <w:rPr>
                <w:szCs w:val="22"/>
                <w:shd w:val="clear" w:color="auto" w:fill="FFFFFF"/>
              </w:rPr>
            </w:pPr>
            <w:r w:rsidRPr="003E0759">
              <w:rPr>
                <w:szCs w:val="22"/>
                <w:shd w:val="clear" w:color="auto" w:fill="FFFFFF"/>
              </w:rPr>
              <w:t xml:space="preserve">x </w:t>
            </w:r>
            <w:r w:rsidRPr="003E0759" w:rsidR="005F38E1">
              <w:rPr>
                <w:szCs w:val="22"/>
                <w:shd w:val="clear" w:color="auto" w:fill="FFFFFF"/>
              </w:rPr>
              <w:t>2</w:t>
            </w:r>
          </w:p>
        </w:tc>
        <w:tc>
          <w:tcPr>
            <w:tcW w:w="1705" w:type="dxa"/>
            <w:shd w:val="clear" w:color="auto" w:fill="auto"/>
          </w:tcPr>
          <w:p w:rsidR="005E3B57" w:rsidRPr="003E0759" w:rsidP="008F1DE1" w14:paraId="1A8EDB05" w14:textId="4AC8520D">
            <w:pPr>
              <w:rPr>
                <w:szCs w:val="22"/>
                <w:shd w:val="clear" w:color="auto" w:fill="FFFFFF"/>
              </w:rPr>
            </w:pPr>
            <w:r w:rsidRPr="003E0759">
              <w:rPr>
                <w:szCs w:val="22"/>
                <w:shd w:val="clear" w:color="auto" w:fill="FFFFFF"/>
              </w:rPr>
              <w:t>= $</w:t>
            </w:r>
            <w:r w:rsidRPr="003E0759" w:rsidR="00AF72ED">
              <w:rPr>
                <w:szCs w:val="22"/>
                <w:shd w:val="clear" w:color="auto" w:fill="FFFFFF"/>
              </w:rPr>
              <w:t>1</w:t>
            </w:r>
            <w:r w:rsidR="00AF72ED">
              <w:rPr>
                <w:szCs w:val="22"/>
                <w:shd w:val="clear" w:color="auto" w:fill="FFFFFF"/>
              </w:rPr>
              <w:t>85,203.20</w:t>
            </w:r>
          </w:p>
        </w:tc>
      </w:tr>
      <w:tr w14:paraId="0A0BBDED" w14:textId="77777777" w:rsidTr="008F1DE1">
        <w:tblPrEx>
          <w:tblW w:w="0" w:type="auto"/>
          <w:tblLook w:val="04A0"/>
        </w:tblPrEx>
        <w:tc>
          <w:tcPr>
            <w:tcW w:w="1435" w:type="dxa"/>
            <w:shd w:val="clear" w:color="auto" w:fill="auto"/>
          </w:tcPr>
          <w:p w:rsidR="005E3B57" w:rsidRPr="003E0759" w:rsidP="008F1DE1" w14:paraId="2974D46A" w14:textId="0F7DE571">
            <w:pPr>
              <w:rPr>
                <w:szCs w:val="22"/>
                <w:shd w:val="clear" w:color="auto" w:fill="FFFFFF"/>
              </w:rPr>
            </w:pPr>
            <w:r w:rsidRPr="003E0759">
              <w:rPr>
                <w:szCs w:val="22"/>
                <w:shd w:val="clear" w:color="auto" w:fill="FFFFFF"/>
              </w:rPr>
              <w:t>(</w:t>
            </w:r>
            <w:r w:rsidRPr="003E0759" w:rsidR="00FA2583">
              <w:rPr>
                <w:szCs w:val="22"/>
                <w:shd w:val="clear" w:color="auto" w:fill="FFFFFF"/>
              </w:rPr>
              <w:t>Three</w:t>
            </w:r>
            <w:r w:rsidRPr="003E0759">
              <w:rPr>
                <w:szCs w:val="22"/>
                <w:shd w:val="clear" w:color="auto" w:fill="FFFFFF"/>
              </w:rPr>
              <w:t>) Attorneys</w:t>
            </w:r>
          </w:p>
        </w:tc>
        <w:tc>
          <w:tcPr>
            <w:tcW w:w="1080" w:type="dxa"/>
            <w:shd w:val="clear" w:color="auto" w:fill="auto"/>
          </w:tcPr>
          <w:p w:rsidR="005E3B57" w:rsidRPr="003E0759" w:rsidP="008F1DE1" w14:paraId="0205A860" w14:textId="77777777">
            <w:pPr>
              <w:rPr>
                <w:szCs w:val="22"/>
                <w:shd w:val="clear" w:color="auto" w:fill="FFFFFF"/>
              </w:rPr>
            </w:pPr>
            <w:r w:rsidRPr="003E0759">
              <w:rPr>
                <w:szCs w:val="22"/>
                <w:shd w:val="clear" w:color="auto" w:fill="FFFFFF"/>
              </w:rPr>
              <w:t>GS-13 step 5</w:t>
            </w:r>
          </w:p>
        </w:tc>
        <w:tc>
          <w:tcPr>
            <w:tcW w:w="1799" w:type="dxa"/>
            <w:shd w:val="clear" w:color="auto" w:fill="auto"/>
          </w:tcPr>
          <w:p w:rsidR="005E3B57" w:rsidRPr="003E0759" w:rsidP="008F1DE1" w14:paraId="2E191164" w14:textId="3E6B393D">
            <w:pPr>
              <w:rPr>
                <w:szCs w:val="22"/>
                <w:shd w:val="clear" w:color="auto" w:fill="FFFFFF"/>
              </w:rPr>
            </w:pPr>
            <w:r w:rsidRPr="003E0759">
              <w:rPr>
                <w:szCs w:val="22"/>
                <w:shd w:val="clear" w:color="auto" w:fill="FFFFFF"/>
              </w:rPr>
              <w:t>A</w:t>
            </w:r>
            <w:r w:rsidRPr="003E0759">
              <w:rPr>
                <w:szCs w:val="22"/>
                <w:shd w:val="clear" w:color="auto" w:fill="FFFFFF"/>
              </w:rPr>
              <w:t>t $</w:t>
            </w:r>
            <w:r w:rsidR="007C5D3C">
              <w:rPr>
                <w:szCs w:val="22"/>
                <w:shd w:val="clear" w:color="auto" w:fill="FFFFFF"/>
              </w:rPr>
              <w:t>64.06</w:t>
            </w:r>
            <w:r w:rsidRPr="003E0759">
              <w:rPr>
                <w:szCs w:val="22"/>
                <w:shd w:val="clear" w:color="auto" w:fill="FFFFFF"/>
              </w:rPr>
              <w:t>/h</w:t>
            </w:r>
            <w:r w:rsidRPr="003E0759">
              <w:rPr>
                <w:szCs w:val="22"/>
                <w:shd w:val="clear" w:color="auto" w:fill="FFFFFF"/>
              </w:rPr>
              <w:t>ou</w:t>
            </w:r>
            <w:r w:rsidRPr="003E0759">
              <w:rPr>
                <w:szCs w:val="22"/>
                <w:shd w:val="clear" w:color="auto" w:fill="FFFFFF"/>
              </w:rPr>
              <w:t>r wage</w:t>
            </w:r>
          </w:p>
        </w:tc>
        <w:tc>
          <w:tcPr>
            <w:tcW w:w="2071" w:type="dxa"/>
            <w:shd w:val="clear" w:color="auto" w:fill="auto"/>
          </w:tcPr>
          <w:p w:rsidR="005E3B57" w:rsidRPr="003E0759" w:rsidP="008F1DE1" w14:paraId="12BCEABF" w14:textId="416C7D17">
            <w:pPr>
              <w:rPr>
                <w:szCs w:val="22"/>
                <w:shd w:val="clear" w:color="auto" w:fill="FFFFFF"/>
              </w:rPr>
            </w:pPr>
            <w:r w:rsidRPr="003E0759">
              <w:rPr>
                <w:szCs w:val="22"/>
                <w:shd w:val="clear" w:color="auto" w:fill="FFFFFF"/>
              </w:rPr>
              <w:t>$</w:t>
            </w:r>
            <w:r w:rsidR="007C5D3C">
              <w:rPr>
                <w:szCs w:val="22"/>
                <w:shd w:val="clear" w:color="auto" w:fill="FFFFFF"/>
              </w:rPr>
              <w:t>64.06</w:t>
            </w:r>
            <w:r w:rsidRPr="003E0759">
              <w:rPr>
                <w:szCs w:val="22"/>
                <w:shd w:val="clear" w:color="auto" w:fill="FFFFFF"/>
              </w:rPr>
              <w:t xml:space="preserve"> x 520 hours</w:t>
            </w:r>
          </w:p>
        </w:tc>
        <w:tc>
          <w:tcPr>
            <w:tcW w:w="540" w:type="dxa"/>
            <w:shd w:val="clear" w:color="auto" w:fill="auto"/>
          </w:tcPr>
          <w:p w:rsidR="005E3B57" w:rsidRPr="003E0759" w:rsidP="008F1DE1" w14:paraId="74865B74" w14:textId="3B13575A">
            <w:pPr>
              <w:rPr>
                <w:szCs w:val="22"/>
                <w:shd w:val="clear" w:color="auto" w:fill="FFFFFF"/>
              </w:rPr>
            </w:pPr>
            <w:r w:rsidRPr="003E0759">
              <w:rPr>
                <w:szCs w:val="22"/>
                <w:shd w:val="clear" w:color="auto" w:fill="FFFFFF"/>
              </w:rPr>
              <w:t xml:space="preserve">x </w:t>
            </w:r>
            <w:r w:rsidRPr="003E0759" w:rsidR="00E90D80">
              <w:rPr>
                <w:szCs w:val="22"/>
                <w:shd w:val="clear" w:color="auto" w:fill="FFFFFF"/>
              </w:rPr>
              <w:t>3</w:t>
            </w:r>
          </w:p>
        </w:tc>
        <w:tc>
          <w:tcPr>
            <w:tcW w:w="1705" w:type="dxa"/>
            <w:shd w:val="clear" w:color="auto" w:fill="auto"/>
          </w:tcPr>
          <w:p w:rsidR="005E3B57" w:rsidRPr="003E0759" w:rsidP="008F1DE1" w14:paraId="616F6893" w14:textId="4723F768">
            <w:pPr>
              <w:rPr>
                <w:szCs w:val="22"/>
                <w:shd w:val="clear" w:color="auto" w:fill="FFFFFF"/>
              </w:rPr>
            </w:pPr>
            <w:r w:rsidRPr="003E0759">
              <w:rPr>
                <w:szCs w:val="22"/>
                <w:shd w:val="clear" w:color="auto" w:fill="FFFFFF"/>
              </w:rPr>
              <w:t>= $</w:t>
            </w:r>
            <w:r w:rsidRPr="003E0759" w:rsidR="00416BD4">
              <w:rPr>
                <w:szCs w:val="22"/>
                <w:shd w:val="clear" w:color="auto" w:fill="FFFFFF"/>
              </w:rPr>
              <w:t xml:space="preserve"> </w:t>
            </w:r>
            <w:r w:rsidRPr="003E0759" w:rsidR="006A5785">
              <w:rPr>
                <w:szCs w:val="22"/>
                <w:shd w:val="clear" w:color="auto" w:fill="FFFFFF"/>
              </w:rPr>
              <w:t>9</w:t>
            </w:r>
            <w:r w:rsidR="006A5785">
              <w:rPr>
                <w:szCs w:val="22"/>
                <w:shd w:val="clear" w:color="auto" w:fill="FFFFFF"/>
              </w:rPr>
              <w:t>9,933</w:t>
            </w:r>
            <w:r w:rsidRPr="003E0759" w:rsidR="006A5785">
              <w:rPr>
                <w:szCs w:val="22"/>
                <w:shd w:val="clear" w:color="auto" w:fill="FFFFFF"/>
              </w:rPr>
              <w:t>.</w:t>
            </w:r>
            <w:r w:rsidR="006A5785">
              <w:rPr>
                <w:szCs w:val="22"/>
                <w:shd w:val="clear" w:color="auto" w:fill="FFFFFF"/>
              </w:rPr>
              <w:t>6</w:t>
            </w:r>
            <w:r w:rsidRPr="003E0759" w:rsidR="006A5785">
              <w:rPr>
                <w:szCs w:val="22"/>
                <w:shd w:val="clear" w:color="auto" w:fill="FFFFFF"/>
              </w:rPr>
              <w:t>0</w:t>
            </w:r>
          </w:p>
        </w:tc>
      </w:tr>
      <w:tr w14:paraId="190071DA" w14:textId="77777777" w:rsidTr="008F1DE1">
        <w:tblPrEx>
          <w:tblW w:w="0" w:type="auto"/>
          <w:tblLook w:val="04A0"/>
        </w:tblPrEx>
        <w:tc>
          <w:tcPr>
            <w:tcW w:w="6925" w:type="dxa"/>
            <w:gridSpan w:val="5"/>
            <w:shd w:val="clear" w:color="auto" w:fill="auto"/>
          </w:tcPr>
          <w:p w:rsidR="005E3B57" w:rsidRPr="003E0759" w:rsidP="008F1DE1" w14:paraId="7F81DD7F" w14:textId="77777777">
            <w:pPr>
              <w:jc w:val="right"/>
              <w:rPr>
                <w:szCs w:val="22"/>
                <w:shd w:val="clear" w:color="auto" w:fill="FFFFFF"/>
              </w:rPr>
            </w:pPr>
            <w:r w:rsidRPr="003E0759">
              <w:rPr>
                <w:szCs w:val="22"/>
                <w:shd w:val="clear" w:color="auto" w:fill="FFFFFF"/>
              </w:rPr>
              <w:t>TOTAL</w:t>
            </w:r>
          </w:p>
        </w:tc>
        <w:tc>
          <w:tcPr>
            <w:tcW w:w="1705" w:type="dxa"/>
            <w:shd w:val="clear" w:color="auto" w:fill="auto"/>
          </w:tcPr>
          <w:p w:rsidR="005E3B57" w:rsidRPr="003E0759" w:rsidP="008F1DE1" w14:paraId="341B5E61" w14:textId="67526199">
            <w:pPr>
              <w:rPr>
                <w:szCs w:val="22"/>
                <w:shd w:val="clear" w:color="auto" w:fill="FFFFFF"/>
              </w:rPr>
            </w:pPr>
            <w:r w:rsidRPr="003E0759">
              <w:rPr>
                <w:szCs w:val="22"/>
                <w:shd w:val="clear" w:color="auto" w:fill="FFFFFF"/>
              </w:rPr>
              <w:t>= $</w:t>
            </w:r>
            <w:r w:rsidRPr="003E0759" w:rsidR="00917929">
              <w:rPr>
                <w:szCs w:val="22"/>
                <w:shd w:val="clear" w:color="auto" w:fill="FFFFFF"/>
              </w:rPr>
              <w:t>8</w:t>
            </w:r>
            <w:r w:rsidR="00917929">
              <w:rPr>
                <w:szCs w:val="22"/>
                <w:shd w:val="clear" w:color="auto" w:fill="FFFFFF"/>
              </w:rPr>
              <w:t>91</w:t>
            </w:r>
            <w:r w:rsidRPr="003E0759" w:rsidR="00917929">
              <w:rPr>
                <w:szCs w:val="22"/>
                <w:shd w:val="clear" w:color="auto" w:fill="FFFFFF"/>
              </w:rPr>
              <w:t>,7</w:t>
            </w:r>
            <w:r w:rsidR="00917929">
              <w:rPr>
                <w:szCs w:val="22"/>
                <w:shd w:val="clear" w:color="auto" w:fill="FFFFFF"/>
              </w:rPr>
              <w:t>27</w:t>
            </w:r>
            <w:r w:rsidRPr="003E0759" w:rsidR="00917929">
              <w:rPr>
                <w:szCs w:val="22"/>
                <w:shd w:val="clear" w:color="auto" w:fill="FFFFFF"/>
              </w:rPr>
              <w:t>.</w:t>
            </w:r>
            <w:r w:rsidR="00917929">
              <w:rPr>
                <w:szCs w:val="22"/>
                <w:shd w:val="clear" w:color="auto" w:fill="FFFFFF"/>
              </w:rPr>
              <w:t>2</w:t>
            </w:r>
            <w:r w:rsidRPr="003E0759" w:rsidR="00917929">
              <w:rPr>
                <w:szCs w:val="22"/>
                <w:shd w:val="clear" w:color="auto" w:fill="FFFFFF"/>
              </w:rPr>
              <w:t>0</w:t>
            </w:r>
          </w:p>
        </w:tc>
      </w:tr>
    </w:tbl>
    <w:p w:rsidR="005E3B57" w:rsidRPr="003E0759" w:rsidP="005E3B57" w14:paraId="411C7E07" w14:textId="77777777">
      <w:pPr>
        <w:rPr>
          <w:szCs w:val="22"/>
          <w:shd w:val="clear" w:color="auto" w:fill="FFFFFF"/>
        </w:rPr>
      </w:pPr>
    </w:p>
    <w:p w:rsidR="004F5FF5" w:rsidRPr="003E0759" w:rsidP="004F5FF5" w14:paraId="7D1BB778" w14:textId="5E1F45F7">
      <w:pPr>
        <w:rPr>
          <w:iCs/>
          <w:szCs w:val="22"/>
          <w:u w:val="single"/>
          <w:shd w:val="clear" w:color="auto" w:fill="FFFFFF"/>
        </w:rPr>
      </w:pPr>
      <w:r w:rsidRPr="003E0759">
        <w:rPr>
          <w:b/>
          <w:iCs/>
          <w:szCs w:val="22"/>
          <w:u w:val="single"/>
          <w:shd w:val="clear" w:color="auto" w:fill="FFFFFF"/>
        </w:rPr>
        <w:t>Total Annual Cost to the Federal Government</w:t>
      </w:r>
      <w:r w:rsidRPr="000B5E5B">
        <w:rPr>
          <w:b/>
          <w:iCs/>
          <w:szCs w:val="22"/>
          <w:shd w:val="clear" w:color="auto" w:fill="FFFFFF"/>
        </w:rPr>
        <w:t xml:space="preserve">:  </w:t>
      </w:r>
      <w:r w:rsidRPr="000B5E5B" w:rsidR="00766DEE">
        <w:rPr>
          <w:iCs/>
          <w:szCs w:val="22"/>
          <w:shd w:val="clear" w:color="auto" w:fill="FFFFFF"/>
        </w:rPr>
        <w:t>$</w:t>
      </w:r>
      <w:r w:rsidRPr="0043531F" w:rsidR="0043531F">
        <w:rPr>
          <w:szCs w:val="22"/>
          <w:shd w:val="clear" w:color="auto" w:fill="FFFFFF"/>
        </w:rPr>
        <w:t>891,727.20</w:t>
      </w:r>
    </w:p>
    <w:p w:rsidR="004F5FF5" w:rsidRPr="003E0759" w:rsidP="00F57EC1" w14:paraId="2B5A6A23" w14:textId="77777777">
      <w:pPr>
        <w:spacing w:after="120"/>
        <w:rPr>
          <w:iCs/>
          <w:szCs w:val="22"/>
          <w:shd w:val="clear" w:color="auto" w:fill="FFFFFF"/>
        </w:rPr>
      </w:pPr>
    </w:p>
    <w:p w:rsidR="006615FA" w:rsidRPr="003E0759" w:rsidP="007720C6" w14:paraId="46A677C9" w14:textId="77777777">
      <w:pPr>
        <w:spacing w:after="120"/>
        <w:rPr>
          <w:b/>
          <w:szCs w:val="22"/>
          <w:shd w:val="clear" w:color="auto" w:fill="FFFFFF"/>
        </w:rPr>
      </w:pPr>
      <w:r w:rsidRPr="003E0759">
        <w:rPr>
          <w:b/>
          <w:szCs w:val="22"/>
          <w:shd w:val="clear" w:color="auto" w:fill="FFFFFF"/>
        </w:rPr>
        <w:t xml:space="preserve">15.  Explain the reasons for any program changes or adjustments </w:t>
      </w:r>
      <w:r w:rsidRPr="003E0759" w:rsidR="00C3021D">
        <w:rPr>
          <w:b/>
          <w:szCs w:val="22"/>
          <w:shd w:val="clear" w:color="auto" w:fill="FFFFFF"/>
        </w:rPr>
        <w:t>for this information collection</w:t>
      </w:r>
      <w:r w:rsidRPr="003E0759">
        <w:rPr>
          <w:b/>
          <w:szCs w:val="22"/>
          <w:shd w:val="clear" w:color="auto" w:fill="FFFFFF"/>
        </w:rPr>
        <w:t>.</w:t>
      </w:r>
    </w:p>
    <w:p w:rsidR="0024696C" w:rsidRPr="009D2038" w:rsidP="0024696C" w14:paraId="77AA8A12" w14:textId="2CC154B3">
      <w:pPr>
        <w:spacing w:after="120"/>
        <w:ind w:firstLine="720"/>
        <w:rPr>
          <w:szCs w:val="22"/>
        </w:rPr>
      </w:pPr>
      <w:r w:rsidRPr="009D2038">
        <w:rPr>
          <w:szCs w:val="22"/>
        </w:rPr>
        <w:t>The Commission is reporting program changes and adjustments to this revised information collection.</w:t>
      </w:r>
    </w:p>
    <w:p w:rsidR="007F1279" w:rsidRPr="005C6C44" w:rsidP="00033C9A" w14:paraId="4242587F" w14:textId="7D499F30">
      <w:pPr>
        <w:spacing w:after="120"/>
        <w:ind w:firstLine="720"/>
        <w:rPr>
          <w:szCs w:val="22"/>
        </w:rPr>
      </w:pPr>
      <w:r w:rsidRPr="003E0759">
        <w:rPr>
          <w:szCs w:val="22"/>
        </w:rPr>
        <w:t>The</w:t>
      </w:r>
      <w:r>
        <w:rPr>
          <w:szCs w:val="22"/>
        </w:rPr>
        <w:t xml:space="preserve">re are program changes </w:t>
      </w:r>
      <w:r w:rsidR="00507BBC">
        <w:rPr>
          <w:szCs w:val="22"/>
        </w:rPr>
        <w:t>to</w:t>
      </w:r>
      <w:r w:rsidR="00B31556">
        <w:rPr>
          <w:szCs w:val="22"/>
        </w:rPr>
        <w:t xml:space="preserve"> </w:t>
      </w:r>
      <w:r>
        <w:rPr>
          <w:szCs w:val="22"/>
        </w:rPr>
        <w:t xml:space="preserve">the total number of annual hours </w:t>
      </w:r>
      <w:r w:rsidR="00CA7C84">
        <w:rPr>
          <w:szCs w:val="22"/>
        </w:rPr>
        <w:t xml:space="preserve">for this collection </w:t>
      </w:r>
      <w:r w:rsidR="00B31556">
        <w:rPr>
          <w:szCs w:val="22"/>
        </w:rPr>
        <w:t xml:space="preserve">due to </w:t>
      </w:r>
      <w:r w:rsidRPr="003E0759" w:rsidR="005772BE">
        <w:rPr>
          <w:szCs w:val="22"/>
        </w:rPr>
        <w:t xml:space="preserve">(1) </w:t>
      </w:r>
      <w:bookmarkStart w:id="8" w:name="_Hlk143873872"/>
      <w:r w:rsidRPr="003E0759" w:rsidR="006E7969">
        <w:rPr>
          <w:szCs w:val="22"/>
        </w:rPr>
        <w:t xml:space="preserve">an increase in the number of respondents subject to this collection (from 1,065 respondents to </w:t>
      </w:r>
      <w:r w:rsidRPr="003E0759" w:rsidR="006E7969">
        <w:rPr>
          <w:bCs/>
          <w:szCs w:val="22"/>
        </w:rPr>
        <w:t>3,224 respondents</w:t>
      </w:r>
      <w:r w:rsidRPr="003E0759" w:rsidR="006E7969">
        <w:rPr>
          <w:szCs w:val="22"/>
        </w:rPr>
        <w:t>)</w:t>
      </w:r>
      <w:r w:rsidRPr="003E0759" w:rsidR="00AA2C01">
        <w:rPr>
          <w:szCs w:val="22"/>
        </w:rPr>
        <w:t>;</w:t>
      </w:r>
      <w:r>
        <w:rPr>
          <w:rStyle w:val="FootnoteReference"/>
          <w:szCs w:val="22"/>
        </w:rPr>
        <w:footnoteReference w:id="126"/>
      </w:r>
      <w:r w:rsidRPr="003E0759" w:rsidR="006E7969">
        <w:rPr>
          <w:szCs w:val="22"/>
        </w:rPr>
        <w:t xml:space="preserve"> </w:t>
      </w:r>
      <w:r w:rsidR="006149B4">
        <w:rPr>
          <w:szCs w:val="22"/>
        </w:rPr>
        <w:t xml:space="preserve">and </w:t>
      </w:r>
      <w:r w:rsidRPr="003E0759" w:rsidR="00AA2C01">
        <w:rPr>
          <w:szCs w:val="22"/>
        </w:rPr>
        <w:t xml:space="preserve">(2) </w:t>
      </w:r>
      <w:r w:rsidRPr="003E0759" w:rsidR="008641BE">
        <w:rPr>
          <w:szCs w:val="22"/>
        </w:rPr>
        <w:t xml:space="preserve">additional burdens placed on </w:t>
      </w:r>
      <w:r w:rsidRPr="003E0759" w:rsidR="0088716E">
        <w:rPr>
          <w:szCs w:val="22"/>
        </w:rPr>
        <w:t>respondents</w:t>
      </w:r>
      <w:r w:rsidRPr="003E0759" w:rsidR="008641BE">
        <w:rPr>
          <w:szCs w:val="22"/>
        </w:rPr>
        <w:t xml:space="preserve"> by the </w:t>
      </w:r>
      <w:r w:rsidRPr="003E0759" w:rsidR="008641BE">
        <w:rPr>
          <w:i/>
          <w:szCs w:val="22"/>
        </w:rPr>
        <w:t>2022 Second Report and Order</w:t>
      </w:r>
      <w:bookmarkEnd w:id="8"/>
      <w:r w:rsidRPr="003E0759" w:rsidR="00AA2C01">
        <w:rPr>
          <w:szCs w:val="22"/>
        </w:rPr>
        <w:t xml:space="preserve"> and </w:t>
      </w:r>
      <w:r w:rsidRPr="003E0759" w:rsidR="009B4733">
        <w:rPr>
          <w:szCs w:val="22"/>
        </w:rPr>
        <w:t xml:space="preserve">by the </w:t>
      </w:r>
      <w:r w:rsidRPr="003E0759" w:rsidR="009B4733">
        <w:rPr>
          <w:i/>
          <w:iCs/>
          <w:szCs w:val="22"/>
        </w:rPr>
        <w:t>202</w:t>
      </w:r>
      <w:r w:rsidRPr="003E0759" w:rsidR="001126EF">
        <w:rPr>
          <w:i/>
          <w:iCs/>
          <w:szCs w:val="22"/>
        </w:rPr>
        <w:t>3</w:t>
      </w:r>
      <w:r w:rsidRPr="003E0759" w:rsidR="009B4733">
        <w:rPr>
          <w:i/>
          <w:iCs/>
          <w:szCs w:val="22"/>
        </w:rPr>
        <w:t xml:space="preserve"> Report and Order</w:t>
      </w:r>
      <w:r w:rsidRPr="003E0759" w:rsidR="009B4733">
        <w:rPr>
          <w:szCs w:val="22"/>
        </w:rPr>
        <w:t xml:space="preserve">, </w:t>
      </w:r>
      <w:r w:rsidRPr="003E0759" w:rsidR="00AA2C01">
        <w:rPr>
          <w:szCs w:val="22"/>
        </w:rPr>
        <w:t>(from 54,215 burden hours</w:t>
      </w:r>
      <w:r w:rsidRPr="003E0759" w:rsidR="00AA2C01">
        <w:rPr>
          <w:szCs w:val="22"/>
        </w:rPr>
        <w:t xml:space="preserve"> </w:t>
      </w:r>
      <w:r w:rsidRPr="003E0759" w:rsidR="003E6FFA">
        <w:rPr>
          <w:szCs w:val="22"/>
        </w:rPr>
        <w:t>to</w:t>
      </w:r>
      <w:r w:rsidRPr="003E0759" w:rsidR="00AA2C01">
        <w:rPr>
          <w:szCs w:val="22"/>
        </w:rPr>
        <w:t xml:space="preserve"> </w:t>
      </w:r>
      <w:r w:rsidRPr="003E0759" w:rsidR="00A618B7">
        <w:rPr>
          <w:bCs/>
          <w:szCs w:val="22"/>
        </w:rPr>
        <w:t>398,319</w:t>
      </w:r>
      <w:r w:rsidRPr="003E0759" w:rsidR="00AA2C01">
        <w:rPr>
          <w:bCs/>
          <w:szCs w:val="22"/>
        </w:rPr>
        <w:t xml:space="preserve"> burden hours</w:t>
      </w:r>
      <w:r w:rsidRPr="003E0759" w:rsidR="00AA2C01">
        <w:rPr>
          <w:szCs w:val="22"/>
        </w:rPr>
        <w:t>)</w:t>
      </w:r>
      <w:r w:rsidR="006149B4">
        <w:rPr>
          <w:szCs w:val="22"/>
        </w:rPr>
        <w:t>.</w:t>
      </w:r>
    </w:p>
    <w:p w:rsidR="00F81799" w:rsidRPr="003E0759" w:rsidP="00033C9A" w14:paraId="218702EC" w14:textId="4AD29754">
      <w:pPr>
        <w:spacing w:after="120"/>
        <w:ind w:firstLine="720"/>
        <w:rPr>
          <w:szCs w:val="22"/>
        </w:rPr>
      </w:pPr>
      <w:r w:rsidRPr="005C6C44">
        <w:rPr>
          <w:szCs w:val="22"/>
        </w:rPr>
        <w:t xml:space="preserve">In addition, there are </w:t>
      </w:r>
      <w:r w:rsidRPr="005C6C44" w:rsidR="00CA7C84">
        <w:rPr>
          <w:szCs w:val="22"/>
        </w:rPr>
        <w:t xml:space="preserve">upward </w:t>
      </w:r>
      <w:r w:rsidRPr="005C6C44">
        <w:rPr>
          <w:szCs w:val="22"/>
        </w:rPr>
        <w:t xml:space="preserve">adjustments to the </w:t>
      </w:r>
      <w:r w:rsidRPr="005C6C44" w:rsidR="003E6FFA">
        <w:rPr>
          <w:szCs w:val="22"/>
        </w:rPr>
        <w:t>number of annual responses for this collection</w:t>
      </w:r>
      <w:r w:rsidRPr="00C67E1C" w:rsidR="006149B4">
        <w:rPr>
          <w:szCs w:val="22"/>
        </w:rPr>
        <w:t xml:space="preserve">.  </w:t>
      </w:r>
      <w:r w:rsidRPr="005C6C44" w:rsidR="006149B4">
        <w:rPr>
          <w:szCs w:val="22"/>
        </w:rPr>
        <w:t xml:space="preserve"> There is an increase in the number of outages estimated to occur annually, which in turn increases the estimated number of annual responses.</w:t>
      </w:r>
      <w:r w:rsidRPr="005C6C44" w:rsidR="00CA7C84">
        <w:rPr>
          <w:szCs w:val="22"/>
        </w:rPr>
        <w:t xml:space="preserve"> </w:t>
      </w:r>
      <w:r w:rsidRPr="001D7170" w:rsidR="006149B4">
        <w:rPr>
          <w:szCs w:val="22"/>
        </w:rPr>
        <w:t xml:space="preserve"> </w:t>
      </w:r>
      <w:r w:rsidRPr="005C6C44" w:rsidR="006149B4">
        <w:rPr>
          <w:szCs w:val="22"/>
        </w:rPr>
        <w:t xml:space="preserve">There is also an upward </w:t>
      </w:r>
      <w:r w:rsidRPr="005C6C44" w:rsidR="003E6FFA">
        <w:rPr>
          <w:szCs w:val="22"/>
        </w:rPr>
        <w:t xml:space="preserve">adjustment to the </w:t>
      </w:r>
      <w:r w:rsidRPr="005C6C44" w:rsidR="006149B4">
        <w:rPr>
          <w:szCs w:val="22"/>
        </w:rPr>
        <w:t xml:space="preserve">estimated number of responses resulting from a change to the </w:t>
      </w:r>
      <w:r w:rsidRPr="005C6C44" w:rsidR="003E6FFA">
        <w:rPr>
          <w:szCs w:val="22"/>
        </w:rPr>
        <w:t>approach by which the number of responses are calculated (instead of counting all</w:t>
      </w:r>
      <w:r w:rsidRPr="003E0759" w:rsidR="003E6FFA">
        <w:rPr>
          <w:szCs w:val="22"/>
        </w:rPr>
        <w:t xml:space="preserve"> NORS filings per outage per provider as a single report, we now calculate each of the three filed NORS reports as </w:t>
      </w:r>
      <w:r w:rsidRPr="003E0759" w:rsidR="00E0525E">
        <w:rPr>
          <w:szCs w:val="22"/>
        </w:rPr>
        <w:t>separate</w:t>
      </w:r>
      <w:r w:rsidRPr="003E0759" w:rsidR="003E6FFA">
        <w:rPr>
          <w:szCs w:val="22"/>
        </w:rPr>
        <w:t xml:space="preserve"> response</w:t>
      </w:r>
      <w:r w:rsidR="00DC3597">
        <w:rPr>
          <w:szCs w:val="22"/>
        </w:rPr>
        <w:t>s</w:t>
      </w:r>
      <w:r w:rsidRPr="003E0759" w:rsidR="003E6FFA">
        <w:rPr>
          <w:szCs w:val="22"/>
        </w:rPr>
        <w:t xml:space="preserve">, resulting in </w:t>
      </w:r>
      <w:r w:rsidRPr="003E0759" w:rsidR="0088716E">
        <w:rPr>
          <w:szCs w:val="22"/>
        </w:rPr>
        <w:t>an increase</w:t>
      </w:r>
      <w:r w:rsidRPr="003E0759" w:rsidR="003E6FFA">
        <w:rPr>
          <w:szCs w:val="22"/>
        </w:rPr>
        <w:t xml:space="preserve"> from 27,395 total annual responses to </w:t>
      </w:r>
      <w:r w:rsidRPr="003E0759" w:rsidR="003E6FFA">
        <w:rPr>
          <w:bCs/>
          <w:szCs w:val="22"/>
        </w:rPr>
        <w:t>201,848 total annual responses</w:t>
      </w:r>
      <w:r w:rsidRPr="003E0759" w:rsidR="003E6FFA">
        <w:rPr>
          <w:szCs w:val="22"/>
        </w:rPr>
        <w:t>).</w:t>
      </w:r>
    </w:p>
    <w:p w:rsidR="006615FA" w:rsidRPr="003E0759" w:rsidP="007720C6" w14:paraId="3BC42349" w14:textId="77777777">
      <w:pPr>
        <w:spacing w:after="120"/>
        <w:rPr>
          <w:b/>
          <w:szCs w:val="22"/>
          <w:shd w:val="clear" w:color="auto" w:fill="FFFFFF"/>
        </w:rPr>
      </w:pPr>
      <w:r w:rsidRPr="003E0759">
        <w:rPr>
          <w:b/>
          <w:szCs w:val="22"/>
          <w:shd w:val="clear" w:color="auto" w:fill="FFFFFF"/>
        </w:rPr>
        <w:t>16.  For collections of information whose results will be published, outline plans for tabulation and publication.</w:t>
      </w:r>
    </w:p>
    <w:p w:rsidR="00D75AE8" w:rsidRPr="003E0759" w:rsidP="007720C6" w14:paraId="512188A6" w14:textId="758CCFC0">
      <w:pPr>
        <w:spacing w:after="120"/>
        <w:ind w:firstLine="720"/>
        <w:rPr>
          <w:szCs w:val="22"/>
          <w:shd w:val="clear" w:color="auto" w:fill="FFFFFF"/>
        </w:rPr>
      </w:pPr>
      <w:r w:rsidRPr="003E0759">
        <w:rPr>
          <w:szCs w:val="22"/>
        </w:rPr>
        <w:t xml:space="preserve">The FCC does not plan to publish </w:t>
      </w:r>
      <w:r w:rsidRPr="003E0759" w:rsidR="00A959DB">
        <w:rPr>
          <w:szCs w:val="22"/>
        </w:rPr>
        <w:t>this information</w:t>
      </w:r>
      <w:r w:rsidRPr="003E0759">
        <w:rPr>
          <w:szCs w:val="22"/>
        </w:rPr>
        <w:t>.</w:t>
      </w:r>
      <w:r w:rsidRPr="003E0759" w:rsidR="00766DEE">
        <w:rPr>
          <w:szCs w:val="22"/>
        </w:rPr>
        <w:t xml:space="preserve">  The Commission may analyze the information contained in the filings, aggregate and anonymize the information, and present to trade associations and companies individually, the agency’s analysis based on the information.  For example, the Commission may present its findings on a quarterly basis to the Network Reliability Steering Committee of the Alliance for Telecommunications Industry Solutions.</w:t>
      </w:r>
    </w:p>
    <w:p w:rsidR="006615FA" w:rsidRPr="003E0759" w:rsidP="007720C6" w14:paraId="0E841842" w14:textId="77777777">
      <w:pPr>
        <w:spacing w:after="120"/>
        <w:rPr>
          <w:b/>
          <w:szCs w:val="22"/>
          <w:shd w:val="clear" w:color="auto" w:fill="FFFFFF"/>
        </w:rPr>
      </w:pPr>
      <w:r w:rsidRPr="003E0759">
        <w:rPr>
          <w:b/>
          <w:szCs w:val="22"/>
          <w:shd w:val="clear" w:color="auto" w:fill="FFFFFF"/>
        </w:rPr>
        <w:t>17.  If seeking approval to not display the expiration date for OMB approval of the information collection, explain the reasons that display would be inappropriate.</w:t>
      </w:r>
    </w:p>
    <w:p w:rsidR="006615FA" w:rsidRPr="003E0759" w:rsidP="007720C6" w14:paraId="7CA3482E" w14:textId="77777777">
      <w:pPr>
        <w:spacing w:after="120"/>
        <w:ind w:firstLine="720"/>
        <w:rPr>
          <w:szCs w:val="22"/>
          <w:shd w:val="clear" w:color="auto" w:fill="FFFFFF"/>
        </w:rPr>
      </w:pPr>
      <w:r w:rsidRPr="003E0759">
        <w:rPr>
          <w:szCs w:val="22"/>
          <w:shd w:val="clear" w:color="auto" w:fill="FFFFFF"/>
        </w:rPr>
        <w:t>The Commission does not intend to seek approval not to di</w:t>
      </w:r>
      <w:r w:rsidRPr="003E0759" w:rsidR="007E4B09">
        <w:rPr>
          <w:szCs w:val="22"/>
          <w:shd w:val="clear" w:color="auto" w:fill="FFFFFF"/>
        </w:rPr>
        <w:t xml:space="preserve">splay the expiration date of </w:t>
      </w:r>
      <w:r w:rsidRPr="003E0759" w:rsidR="007C5B70">
        <w:rPr>
          <w:szCs w:val="22"/>
          <w:shd w:val="clear" w:color="auto" w:fill="FFFFFF"/>
        </w:rPr>
        <w:t>the revisions to this</w:t>
      </w:r>
      <w:r w:rsidRPr="003E0759">
        <w:rPr>
          <w:szCs w:val="22"/>
          <w:shd w:val="clear" w:color="auto" w:fill="FFFFFF"/>
        </w:rPr>
        <w:t xml:space="preserve"> information collection.</w:t>
      </w:r>
    </w:p>
    <w:p w:rsidR="006615FA" w:rsidRPr="003E0759" w:rsidP="007720C6" w14:paraId="1F15135C" w14:textId="143526F8">
      <w:pPr>
        <w:spacing w:after="120"/>
        <w:rPr>
          <w:b/>
          <w:szCs w:val="22"/>
          <w:shd w:val="clear" w:color="auto" w:fill="FFFFFF"/>
        </w:rPr>
      </w:pPr>
      <w:r w:rsidRPr="003E0759">
        <w:rPr>
          <w:b/>
          <w:szCs w:val="22"/>
          <w:shd w:val="clear" w:color="auto" w:fill="FFFFFF"/>
        </w:rPr>
        <w:t>18.  Explain any exceptions to the Certification Statement identified in Item 19, “Certification of Paperwork Reduction Act Submissions</w:t>
      </w:r>
      <w:r w:rsidRPr="003E0759" w:rsidR="00C3021D">
        <w:rPr>
          <w:b/>
          <w:szCs w:val="22"/>
          <w:shd w:val="clear" w:color="auto" w:fill="FFFFFF"/>
        </w:rPr>
        <w:t>.</w:t>
      </w:r>
      <w:r w:rsidRPr="003E0759">
        <w:rPr>
          <w:b/>
          <w:szCs w:val="22"/>
          <w:shd w:val="clear" w:color="auto" w:fill="FFFFFF"/>
        </w:rPr>
        <w:t>”</w:t>
      </w:r>
    </w:p>
    <w:p w:rsidR="006E7EDD" w:rsidP="006E7EDD" w14:paraId="325C7EEE" w14:textId="143E012B">
      <w:pPr>
        <w:spacing w:after="120"/>
        <w:ind w:firstLine="720"/>
        <w:rPr>
          <w:szCs w:val="22"/>
          <w:shd w:val="clear" w:color="auto" w:fill="FFFFFF"/>
        </w:rPr>
      </w:pPr>
      <w:r>
        <w:rPr>
          <w:szCs w:val="22"/>
          <w:shd w:val="clear" w:color="auto" w:fill="FFFFFF"/>
        </w:rPr>
        <w:t>The Commission is reporting an exception the Certification Statement. When the 60-day notice was published in the Federal Register on November 8, 2023, (89 FR 77093), we reported the total annua</w:t>
      </w:r>
      <w:r w:rsidR="00607352">
        <w:rPr>
          <w:szCs w:val="22"/>
          <w:shd w:val="clear" w:color="auto" w:fill="FFFFFF"/>
        </w:rPr>
        <w:t>l</w:t>
      </w:r>
      <w:r>
        <w:rPr>
          <w:szCs w:val="22"/>
          <w:shd w:val="clear" w:color="auto" w:fill="FFFFFF"/>
        </w:rPr>
        <w:t xml:space="preserve"> burden hours as 170,802.  Due to the recalculation of the total annual burden hours, we are reporting the total annual burden hours as 398,319 which is reflected in this submission to OMB. </w:t>
      </w:r>
    </w:p>
    <w:p w:rsidR="006615FA" w:rsidRPr="003E0759" w:rsidP="007720C6" w14:paraId="069473A3" w14:textId="6FFA912C">
      <w:pPr>
        <w:spacing w:after="120"/>
        <w:ind w:firstLine="720"/>
        <w:rPr>
          <w:szCs w:val="22"/>
          <w:shd w:val="clear" w:color="auto" w:fill="FFFFFF"/>
        </w:rPr>
      </w:pPr>
      <w:r w:rsidRPr="003E0759">
        <w:rPr>
          <w:szCs w:val="22"/>
          <w:shd w:val="clear" w:color="auto" w:fill="FFFFFF"/>
        </w:rPr>
        <w:t>T</w:t>
      </w:r>
      <w:r w:rsidRPr="003E0759">
        <w:rPr>
          <w:szCs w:val="22"/>
          <w:shd w:val="clear" w:color="auto" w:fill="FFFFFF"/>
        </w:rPr>
        <w:t xml:space="preserve">here are no </w:t>
      </w:r>
      <w:r w:rsidR="006E7EDD">
        <w:rPr>
          <w:szCs w:val="22"/>
          <w:shd w:val="clear" w:color="auto" w:fill="FFFFFF"/>
        </w:rPr>
        <w:t xml:space="preserve">other </w:t>
      </w:r>
      <w:r w:rsidRPr="003E0759">
        <w:rPr>
          <w:szCs w:val="22"/>
          <w:shd w:val="clear" w:color="auto" w:fill="FFFFFF"/>
        </w:rPr>
        <w:t>exceptions to the Certification Statement.</w:t>
      </w:r>
    </w:p>
    <w:p w:rsidR="006615FA" w:rsidRPr="003E0759" w:rsidP="007720C6" w14:paraId="0824E512" w14:textId="77777777">
      <w:pPr>
        <w:spacing w:after="120"/>
        <w:rPr>
          <w:b/>
          <w:szCs w:val="22"/>
          <w:shd w:val="clear" w:color="auto" w:fill="FFFFFF"/>
        </w:rPr>
      </w:pPr>
      <w:r w:rsidRPr="003E0759">
        <w:rPr>
          <w:b/>
          <w:szCs w:val="22"/>
          <w:shd w:val="clear" w:color="auto" w:fill="FFFFFF"/>
        </w:rPr>
        <w:t>B.</w:t>
      </w:r>
      <w:r w:rsidRPr="003E0759">
        <w:rPr>
          <w:b/>
          <w:szCs w:val="22"/>
          <w:shd w:val="clear" w:color="auto" w:fill="FFFFFF"/>
        </w:rPr>
        <w:tab/>
      </w:r>
      <w:r w:rsidRPr="003E0759">
        <w:rPr>
          <w:b/>
          <w:szCs w:val="22"/>
          <w:shd w:val="clear" w:color="auto" w:fill="FFFFFF"/>
        </w:rPr>
        <w:t>Collec</w:t>
      </w:r>
      <w:r w:rsidRPr="003E0759">
        <w:rPr>
          <w:b/>
          <w:szCs w:val="22"/>
          <w:shd w:val="clear" w:color="auto" w:fill="FFFFFF"/>
        </w:rPr>
        <w:t xml:space="preserve">tions of Information Employing </w:t>
      </w:r>
      <w:r w:rsidRPr="003E0759">
        <w:rPr>
          <w:b/>
          <w:szCs w:val="22"/>
          <w:shd w:val="clear" w:color="auto" w:fill="FFFFFF"/>
        </w:rPr>
        <w:t>Statistical Methods:</w:t>
      </w:r>
    </w:p>
    <w:p w:rsidR="006615FA" w:rsidRPr="00496665" w:rsidP="007720C6" w14:paraId="0A74A781" w14:textId="77777777">
      <w:pPr>
        <w:spacing w:after="120"/>
        <w:ind w:firstLine="720"/>
        <w:rPr>
          <w:szCs w:val="22"/>
          <w:shd w:val="clear" w:color="auto" w:fill="FFFFFF"/>
        </w:rPr>
      </w:pPr>
      <w:r w:rsidRPr="003E0759">
        <w:rPr>
          <w:szCs w:val="22"/>
          <w:shd w:val="clear" w:color="auto" w:fill="FFFFFF"/>
        </w:rPr>
        <w:t>The revisions to this information collection do</w:t>
      </w:r>
      <w:r w:rsidRPr="003E0759">
        <w:rPr>
          <w:szCs w:val="22"/>
          <w:shd w:val="clear" w:color="auto" w:fill="FFFFFF"/>
        </w:rPr>
        <w:t xml:space="preserve"> not employ any statistical methods</w:t>
      </w:r>
      <w:r w:rsidRPr="00496665">
        <w:rPr>
          <w:szCs w:val="22"/>
          <w:shd w:val="clear" w:color="auto" w:fill="FFFFFF"/>
        </w:rPr>
        <w:t>.</w:t>
      </w:r>
    </w:p>
    <w:sectPr w:rsidSect="000852A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75F" w:rsidP="006615FA" w14:paraId="219E572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51EFB">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2C55" w14:paraId="7C098F68" w14:textId="77777777">
      <w:r>
        <w:separator/>
      </w:r>
    </w:p>
  </w:footnote>
  <w:footnote w:type="continuationSeparator" w:id="1">
    <w:p w:rsidR="00952C55" w14:paraId="538DD6E6" w14:textId="77777777">
      <w:r>
        <w:continuationSeparator/>
      </w:r>
    </w:p>
  </w:footnote>
  <w:footnote w:type="continuationNotice" w:id="2">
    <w:p w:rsidR="00952C55" w14:paraId="7F342A43" w14:textId="77777777"/>
  </w:footnote>
  <w:footnote w:id="3">
    <w:p w:rsidR="003F304F" w:rsidP="009E3262" w14:paraId="3E635718" w14:textId="3ADDB822">
      <w:pPr>
        <w:pStyle w:val="FootnoteText"/>
        <w:spacing w:before="120"/>
      </w:pPr>
      <w:r>
        <w:rPr>
          <w:rStyle w:val="FootnoteReference"/>
        </w:rPr>
        <w:footnoteRef/>
      </w:r>
      <w:r>
        <w:t xml:space="preserve"> </w:t>
      </w:r>
      <w:r w:rsidRPr="003C2BA8" w:rsidR="006B6641">
        <w:rPr>
          <w:i/>
          <w:iCs/>
        </w:rPr>
        <w:t xml:space="preserve">See </w:t>
      </w:r>
      <w:r w:rsidRPr="001D3A24" w:rsidR="006B6641">
        <w:rPr>
          <w:i/>
        </w:rPr>
        <w:t>Amendments to Part 4 of the Commission’s Rules Concerning Disruptions to Communications</w:t>
      </w:r>
      <w:r w:rsidRPr="00E17D46" w:rsidR="006B6641">
        <w:rPr>
          <w:i/>
        </w:rPr>
        <w:t>;</w:t>
      </w:r>
      <w:r w:rsidR="006B6641">
        <w:rPr>
          <w:iCs/>
        </w:rPr>
        <w:t xml:space="preserve"> </w:t>
      </w:r>
      <w:r w:rsidRPr="00E17D46" w:rsidR="006B6641">
        <w:rPr>
          <w:i/>
        </w:rPr>
        <w:t>Improving 911 Reliability, New Part 4 of Commission’s Rules Concerning Disruptions to Communications</w:t>
      </w:r>
      <w:r w:rsidR="006B6641">
        <w:t xml:space="preserve">, </w:t>
      </w:r>
      <w:r w:rsidRPr="00662AD9" w:rsidR="006B6641">
        <w:t>PS Docket No</w:t>
      </w:r>
      <w:r w:rsidR="006B6641">
        <w:t>s</w:t>
      </w:r>
      <w:r w:rsidRPr="00662AD9" w:rsidR="006B6641">
        <w:t>. 15-80</w:t>
      </w:r>
      <w:r w:rsidR="006B6641">
        <w:t xml:space="preserve"> and 13-75, ET Docket No. 04-35, Second Report and Order, </w:t>
      </w:r>
      <w:r w:rsidR="00BA2480">
        <w:t>37 FCC Rcd 13847</w:t>
      </w:r>
      <w:r w:rsidR="006B6641">
        <w:t xml:space="preserve"> (2022) (</w:t>
      </w:r>
      <w:r w:rsidRPr="00C67BA5" w:rsidR="006B6641">
        <w:rPr>
          <w:i/>
          <w:iCs/>
        </w:rPr>
        <w:t>2022</w:t>
      </w:r>
      <w:r w:rsidR="006B6641">
        <w:t xml:space="preserve"> </w:t>
      </w:r>
      <w:r w:rsidRPr="005A30D6" w:rsidR="006B6641">
        <w:rPr>
          <w:i/>
          <w:iCs/>
        </w:rPr>
        <w:t>Second Report and Order</w:t>
      </w:r>
      <w:r w:rsidR="006B6641">
        <w:rPr>
          <w:i/>
          <w:iCs/>
        </w:rPr>
        <w:t>)</w:t>
      </w:r>
      <w:r w:rsidR="006B6641">
        <w:t>.</w:t>
      </w:r>
    </w:p>
  </w:footnote>
  <w:footnote w:id="4">
    <w:p w:rsidR="000E1E19" w14:paraId="72B1F2B7" w14:textId="0C420B08">
      <w:pPr>
        <w:pStyle w:val="FootnoteText"/>
      </w:pPr>
      <w:r>
        <w:rPr>
          <w:rStyle w:val="FootnoteReference"/>
        </w:rPr>
        <w:footnoteRef/>
      </w:r>
      <w:r>
        <w:t xml:space="preserve"> </w:t>
      </w:r>
      <w:r w:rsidRPr="009C5206">
        <w:rPr>
          <w:i/>
          <w:iCs/>
        </w:rPr>
        <w:t>Ensuring the Reliability and Resiliency of the 988 Suicide &amp; Crisis Lifeline; Amendments to Part 4 of the Commission’s Rules Concerning Disruptions to Communications; Implementation of the National Suicide Hotline Improvement Act of 2018,</w:t>
      </w:r>
      <w:r>
        <w:t xml:space="preserve"> </w:t>
      </w:r>
      <w:r w:rsidRPr="000E1E19">
        <w:t xml:space="preserve">PS Docket Nos. 23-5 and 15-80, WC Docket No. 18-336, </w:t>
      </w:r>
      <w:r>
        <w:t>Report and Order</w:t>
      </w:r>
      <w:r w:rsidRPr="000E1E19">
        <w:t>, FCC 23-</w:t>
      </w:r>
      <w:r>
        <w:t>5</w:t>
      </w:r>
      <w:r w:rsidRPr="000E1E19">
        <w:t>7 (</w:t>
      </w:r>
      <w:r>
        <w:t xml:space="preserve">rel. </w:t>
      </w:r>
      <w:r w:rsidRPr="000E1E19">
        <w:t>J</w:t>
      </w:r>
      <w:r>
        <w:t>uly 21</w:t>
      </w:r>
      <w:r w:rsidRPr="000E1E19">
        <w:t>, 2023) (</w:t>
      </w:r>
      <w:r w:rsidRPr="009C5206">
        <w:rPr>
          <w:i/>
          <w:iCs/>
        </w:rPr>
        <w:t>2023 Report and Order</w:t>
      </w:r>
      <w:r w:rsidRPr="000E1E19">
        <w:t>).</w:t>
      </w:r>
    </w:p>
  </w:footnote>
  <w:footnote w:id="5">
    <w:p w:rsidR="006B6641" w:rsidP="006B6641" w14:paraId="764713C7" w14:textId="22CB5661">
      <w:pPr>
        <w:pStyle w:val="FootnoteText"/>
        <w:spacing w:before="120"/>
      </w:pPr>
      <w:r>
        <w:rPr>
          <w:rStyle w:val="FootnoteReference"/>
        </w:rPr>
        <w:footnoteRef/>
      </w:r>
      <w:r>
        <w:t xml:space="preserve"> </w:t>
      </w:r>
      <w:r w:rsidRPr="008A089C">
        <w:t xml:space="preserve">47 CFR </w:t>
      </w:r>
      <w:r w:rsidRPr="007D17CA">
        <w:t>§</w:t>
      </w:r>
      <w:r>
        <w:t xml:space="preserve"> </w:t>
      </w:r>
      <w:r w:rsidRPr="008A089C">
        <w:t>4.9(a)(4), (c)(2)(iv), (e)(1)(v), (f)(4), (g)(1)(i), (h</w:t>
      </w:r>
      <w:r>
        <w:t xml:space="preserve">); 47 CFR </w:t>
      </w:r>
      <w:r>
        <w:rPr>
          <w:rStyle w:val="toc-wrapper"/>
        </w:rPr>
        <w:t xml:space="preserve">§ 4.5(e).  </w:t>
      </w:r>
      <w:r w:rsidR="00216609">
        <w:rPr>
          <w:szCs w:val="22"/>
          <w:shd w:val="clear" w:color="auto" w:fill="FFFFFF"/>
        </w:rPr>
        <w:t>C</w:t>
      </w:r>
      <w:r w:rsidRPr="00496665" w:rsidR="00216609">
        <w:rPr>
          <w:szCs w:val="22"/>
          <w:shd w:val="clear" w:color="auto" w:fill="FFFFFF"/>
        </w:rPr>
        <w:t>overed 911 service providers</w:t>
      </w:r>
      <w:r>
        <w:rPr>
          <w:rStyle w:val="toc-wrapper"/>
        </w:rPr>
        <w:t xml:space="preserve"> are providers that deliver traffic to 911 special facilities, including PSAPs. </w:t>
      </w:r>
      <w:r w:rsidRPr="00BA3992">
        <w:rPr>
          <w:rStyle w:val="toc-wrapper"/>
          <w:i/>
          <w:iCs/>
        </w:rPr>
        <w:t>See</w:t>
      </w:r>
      <w:r>
        <w:rPr>
          <w:rStyle w:val="toc-wrapper"/>
        </w:rPr>
        <w:t xml:space="preserve"> 47 CFR § 9.19(a)(4).  OSPs are </w:t>
      </w:r>
      <w:r>
        <w:t>c</w:t>
      </w:r>
      <w:r w:rsidRPr="00A230F3">
        <w:t>able, satellite, wireless, wireline</w:t>
      </w:r>
      <w:r>
        <w:t xml:space="preserve">, and interconnected Voice-over Internet Protocol (VoIP) providers that handle other aspects of 911 call processing.  </w:t>
      </w:r>
      <w:r w:rsidRPr="003C2BA8">
        <w:rPr>
          <w:i/>
          <w:iCs/>
        </w:rPr>
        <w:t xml:space="preserve">See </w:t>
      </w:r>
      <w:r w:rsidRPr="00C67BA5">
        <w:rPr>
          <w:i/>
          <w:iCs/>
        </w:rPr>
        <w:t>2022</w:t>
      </w:r>
      <w:r>
        <w:t xml:space="preserve"> </w:t>
      </w:r>
      <w:r w:rsidRPr="005A30D6">
        <w:rPr>
          <w:i/>
          <w:iCs/>
        </w:rPr>
        <w:t>Second Report and Order</w:t>
      </w:r>
      <w:r>
        <w:t xml:space="preserve"> at 2, para. 2.</w:t>
      </w:r>
    </w:p>
  </w:footnote>
  <w:footnote w:id="6">
    <w:p w:rsidR="00787D23" w:rsidP="009E3262" w14:paraId="36836AF8" w14:textId="7F8C3CEB">
      <w:pPr>
        <w:pStyle w:val="FootnoteText"/>
        <w:spacing w:before="120"/>
      </w:pPr>
      <w:r>
        <w:rPr>
          <w:rStyle w:val="FootnoteReference"/>
        </w:rPr>
        <w:footnoteRef/>
      </w:r>
      <w:r>
        <w:t xml:space="preserve"> </w:t>
      </w:r>
      <w:r w:rsidRPr="00C67BA5" w:rsidR="000E1E19">
        <w:rPr>
          <w:i/>
          <w:iCs/>
        </w:rPr>
        <w:t>2022</w:t>
      </w:r>
      <w:r w:rsidR="000E1E19">
        <w:t xml:space="preserve"> </w:t>
      </w:r>
      <w:r w:rsidRPr="005A30D6" w:rsidR="000E1E19">
        <w:rPr>
          <w:i/>
          <w:iCs/>
        </w:rPr>
        <w:t>Second Report and Order</w:t>
      </w:r>
      <w:r w:rsidR="005F0B48">
        <w:t xml:space="preserve">, </w:t>
      </w:r>
      <w:bookmarkStart w:id="0" w:name="_Hlk169866156"/>
      <w:r w:rsidR="005F0B48">
        <w:t xml:space="preserve">37 FCC Rcd </w:t>
      </w:r>
      <w:r w:rsidR="00AA2F6E">
        <w:t xml:space="preserve">at </w:t>
      </w:r>
      <w:r w:rsidR="00F140DD">
        <w:t>13853</w:t>
      </w:r>
      <w:bookmarkEnd w:id="0"/>
      <w:r w:rsidR="004B438B">
        <w:t>, para. 10.</w:t>
      </w:r>
    </w:p>
  </w:footnote>
  <w:footnote w:id="7">
    <w:p w:rsidR="002B68E6" w14:paraId="36E0E1CA" w14:textId="4DD57E13">
      <w:pPr>
        <w:pStyle w:val="FootnoteText"/>
      </w:pPr>
      <w:r>
        <w:rPr>
          <w:rStyle w:val="FootnoteReference"/>
        </w:rPr>
        <w:footnoteRef/>
      </w:r>
      <w:r>
        <w:t xml:space="preserve"> </w:t>
      </w:r>
      <w:r w:rsidRPr="001D5740" w:rsidR="001D5740">
        <w:t xml:space="preserve">ATIS-0100019(2022-01), </w:t>
      </w:r>
      <w:r w:rsidRPr="002D4B34" w:rsidR="001D5740">
        <w:rPr>
          <w:i/>
          <w:iCs/>
        </w:rPr>
        <w:t>Network Reliability Steering Committee (NRSC) Emergency Preparedness and Response Checklist</w:t>
      </w:r>
      <w:r w:rsidR="00945114">
        <w:t xml:space="preserve">, </w:t>
      </w:r>
      <w:r w:rsidRPr="001D5740" w:rsidR="001D5740">
        <w:t>Rev</w:t>
      </w:r>
      <w:r w:rsidR="00945114">
        <w:t>.</w:t>
      </w:r>
      <w:r w:rsidRPr="001D5740" w:rsidR="001D5740">
        <w:t xml:space="preserve"> 1</w:t>
      </w:r>
      <w:r w:rsidR="005055C0">
        <w:t xml:space="preserve"> (Feb. 14, 2022),</w:t>
      </w:r>
      <w:r w:rsidR="009D6BBA">
        <w:t xml:space="preserve"> </w:t>
      </w:r>
      <w:hyperlink r:id="rId1" w:history="1">
        <w:r w:rsidRPr="001363E9" w:rsidR="009D6BBA">
          <w:rPr>
            <w:rStyle w:val="Hyperlink"/>
          </w:rPr>
          <w:t>https://access.atis.org/higherlogic/ws/public/document?document_id=64019&amp;_gl=1*1xet9a2*_ga*NzI0NzU3NjMwLjE3MjMwNDkxNjY.*_ga_NPRTRNGSKC*MTcyMzA0OTE2Ni4xLjEuMTcyMzA0OTIzOC4wLjAuMA</w:t>
        </w:r>
      </w:hyperlink>
      <w:r w:rsidRPr="009D6BBA" w:rsidR="009D6BBA">
        <w:t>.</w:t>
      </w:r>
    </w:p>
  </w:footnote>
  <w:footnote w:id="8">
    <w:p w:rsidR="003E09E4" w:rsidP="00150FCB" w14:paraId="7981C50B" w14:textId="2C1E0F94">
      <w:pPr>
        <w:pStyle w:val="FootnoteText"/>
        <w:spacing w:before="120"/>
      </w:pPr>
      <w:r>
        <w:rPr>
          <w:rStyle w:val="FootnoteReference"/>
        </w:rPr>
        <w:footnoteRef/>
      </w:r>
      <w:r>
        <w:t xml:space="preserve"> </w:t>
      </w:r>
      <w:r w:rsidR="004C01FA">
        <w:rPr>
          <w:i/>
          <w:iCs/>
        </w:rPr>
        <w:t>Id.</w:t>
      </w:r>
      <w:r>
        <w:t xml:space="preserve"> </w:t>
      </w:r>
      <w:r w:rsidR="00D72F4C">
        <w:t>at 11-12, paras. 17-18.</w:t>
      </w:r>
      <w:r w:rsidR="0077706C">
        <w:t xml:space="preserve"> </w:t>
      </w:r>
      <w:r w:rsidR="004C01FA">
        <w:t xml:space="preserve"> </w:t>
      </w:r>
      <w:r w:rsidR="000A6C02">
        <w:t xml:space="preserve">Previously, </w:t>
      </w:r>
      <w:r w:rsidR="00DD5761">
        <w:t>only notification by telephone was require</w:t>
      </w:r>
      <w:r w:rsidR="00607352">
        <w:t>d</w:t>
      </w:r>
      <w:r w:rsidR="00DD5761">
        <w:t xml:space="preserve"> by OSPs.</w:t>
      </w:r>
    </w:p>
  </w:footnote>
  <w:footnote w:id="9">
    <w:p w:rsidR="00467E0B" w:rsidP="00150FCB" w14:paraId="25ED39A6" w14:textId="2A184165">
      <w:pPr>
        <w:pStyle w:val="FootnoteText"/>
        <w:spacing w:before="120"/>
      </w:pPr>
      <w:r>
        <w:rPr>
          <w:rStyle w:val="FootnoteReference"/>
        </w:rPr>
        <w:footnoteRef/>
      </w:r>
      <w:r>
        <w:t xml:space="preserve"> </w:t>
      </w:r>
      <w:bookmarkStart w:id="1" w:name="_Hlk137809515"/>
      <w:r w:rsidR="004C01FA">
        <w:rPr>
          <w:i/>
          <w:iCs/>
        </w:rPr>
        <w:t>Id.</w:t>
      </w:r>
      <w:r>
        <w:t xml:space="preserve"> at 12, para. 1</w:t>
      </w:r>
      <w:r w:rsidR="00D34B28">
        <w:t>9</w:t>
      </w:r>
      <w:bookmarkEnd w:id="1"/>
      <w:r>
        <w:t>.</w:t>
      </w:r>
    </w:p>
  </w:footnote>
  <w:footnote w:id="10">
    <w:p w:rsidR="00FC78D0" w:rsidP="00150FCB" w14:paraId="427D2690" w14:textId="57AEE855">
      <w:pPr>
        <w:pStyle w:val="FootnoteText"/>
        <w:spacing w:before="120"/>
      </w:pPr>
      <w:r>
        <w:rPr>
          <w:rStyle w:val="FootnoteReference"/>
        </w:rPr>
        <w:footnoteRef/>
      </w:r>
      <w:r>
        <w:t xml:space="preserve"> </w:t>
      </w:r>
      <w:r w:rsidR="004C01FA">
        <w:rPr>
          <w:i/>
          <w:iCs/>
        </w:rPr>
        <w:t>Id.</w:t>
      </w:r>
      <w:r>
        <w:t xml:space="preserve"> at 1</w:t>
      </w:r>
      <w:r w:rsidR="00AC23A3">
        <w:t>4</w:t>
      </w:r>
      <w:r>
        <w:t xml:space="preserve">, para. </w:t>
      </w:r>
      <w:r w:rsidR="00AC23A3">
        <w:t>23.</w:t>
      </w:r>
    </w:p>
  </w:footnote>
  <w:footnote w:id="11">
    <w:p w:rsidR="00332587" w:rsidP="00332587" w14:paraId="5FD40A7F" w14:textId="65DC64F4">
      <w:pPr>
        <w:pStyle w:val="FootnoteText"/>
        <w:spacing w:before="120"/>
      </w:pPr>
      <w:r>
        <w:rPr>
          <w:rStyle w:val="FootnoteReference"/>
        </w:rPr>
        <w:footnoteRef/>
      </w:r>
      <w:r>
        <w:t xml:space="preserve"> “Special diligence” is the diligence expected from a person practicing in a particular field of specialty under circumstances like those at issue (</w:t>
      </w:r>
      <w:r>
        <w:rPr>
          <w:rFonts w:ascii="TimesNewRomanPS-ItalicMT" w:hAnsi="TimesNewRomanPS-ItalicMT" w:cs="TimesNewRomanPS-ItalicMT"/>
          <w:i/>
          <w:iCs/>
          <w:kern w:val="0"/>
          <w:lang w:eastAsia="en-US"/>
        </w:rPr>
        <w:t xml:space="preserve">Black’s Law Dictionary </w:t>
      </w:r>
      <w:r>
        <w:rPr>
          <w:rFonts w:ascii="TimesNewRomanPSMT" w:hAnsi="TimesNewRomanPSMT" w:cs="TimesNewRomanPSMT"/>
          <w:kern w:val="0"/>
          <w:lang w:eastAsia="en-US"/>
        </w:rPr>
        <w:t>(11</w:t>
      </w:r>
      <w:r w:rsidRPr="006F566E" w:rsidR="006F566E">
        <w:rPr>
          <w:rFonts w:ascii="TimesNewRomanPSMT" w:hAnsi="TimesNewRomanPSMT" w:cs="TimesNewRomanPSMT"/>
          <w:kern w:val="0"/>
          <w:vertAlign w:val="superscript"/>
          <w:lang w:eastAsia="en-US"/>
        </w:rPr>
        <w:t>th</w:t>
      </w:r>
      <w:r>
        <w:rPr>
          <w:rFonts w:ascii="TimesNewRomanPSMT" w:hAnsi="TimesNewRomanPSMT" w:cs="TimesNewRomanPSMT"/>
          <w:kern w:val="0"/>
          <w:sz w:val="13"/>
          <w:szCs w:val="13"/>
          <w:lang w:eastAsia="en-US"/>
        </w:rPr>
        <w:t xml:space="preserve"> </w:t>
      </w:r>
      <w:r>
        <w:rPr>
          <w:rFonts w:ascii="TimesNewRomanPSMT" w:hAnsi="TimesNewRomanPSMT" w:cs="TimesNewRomanPSMT"/>
          <w:kern w:val="0"/>
          <w:lang w:eastAsia="en-US"/>
        </w:rPr>
        <w:t>ed., 2019)</w:t>
      </w:r>
      <w:r w:rsidR="00BB3A94">
        <w:rPr>
          <w:rFonts w:ascii="TimesNewRomanPSMT" w:hAnsi="TimesNewRomanPSMT" w:cs="TimesNewRomanPSMT"/>
          <w:kern w:val="0"/>
          <w:lang w:eastAsia="en-US"/>
        </w:rPr>
        <w:t>)</w:t>
      </w:r>
      <w:r>
        <w:rPr>
          <w:rFonts w:ascii="TimesNewRomanPSMT" w:hAnsi="TimesNewRomanPSMT" w:cs="TimesNewRomanPSMT"/>
          <w:kern w:val="0"/>
          <w:lang w:eastAsia="en-US"/>
        </w:rPr>
        <w:t>.</w:t>
      </w:r>
    </w:p>
  </w:footnote>
  <w:footnote w:id="12">
    <w:p w:rsidR="004059B4" w:rsidP="007D3B85" w14:paraId="31B32614" w14:textId="5319E24B">
      <w:pPr>
        <w:pStyle w:val="FootnoteText"/>
        <w:spacing w:before="120"/>
      </w:pPr>
      <w:r>
        <w:rPr>
          <w:rStyle w:val="FootnoteReference"/>
        </w:rPr>
        <w:footnoteRef/>
      </w:r>
      <w:r>
        <w:t xml:space="preserve"> </w:t>
      </w:r>
      <w:r w:rsidRPr="00F50529" w:rsidR="00F50529">
        <w:t xml:space="preserve">The </w:t>
      </w:r>
      <w:r w:rsidRPr="00F50529" w:rsidR="00F50529">
        <w:rPr>
          <w:i/>
          <w:iCs/>
        </w:rPr>
        <w:t>2022</w:t>
      </w:r>
      <w:r w:rsidRPr="00F50529" w:rsidR="00F50529">
        <w:t xml:space="preserve"> </w:t>
      </w:r>
      <w:r w:rsidRPr="00F50529" w:rsidR="00F50529">
        <w:rPr>
          <w:i/>
          <w:iCs/>
        </w:rPr>
        <w:t>Second Report and Order</w:t>
      </w:r>
      <w:r w:rsidRPr="00F50529" w:rsidR="00F50529">
        <w:t xml:space="preserve"> </w:t>
      </w:r>
      <w:r w:rsidR="00817CEF">
        <w:t xml:space="preserve">also </w:t>
      </w:r>
      <w:r w:rsidRPr="00F50529" w:rsidR="00F50529">
        <w:t xml:space="preserve">codified a rule change that exempts wireless and satellite providers from reporting outages to all special offices and facilities, which are entities enrolled in the Telecommunications Service Priority (TSP) Program at priority Levels 1 and </w:t>
      </w:r>
      <w:r w:rsidR="00F136A1">
        <w:t xml:space="preserve">2. </w:t>
      </w:r>
      <w:r w:rsidR="00AA2F6E">
        <w:t xml:space="preserve"> </w:t>
      </w:r>
      <w:r w:rsidRPr="002F4247" w:rsidR="00831335">
        <w:rPr>
          <w:i/>
          <w:iCs/>
        </w:rPr>
        <w:t>See</w:t>
      </w:r>
      <w:r w:rsidR="00831335">
        <w:t xml:space="preserve"> 47 CFR § 4.5(b) </w:t>
      </w:r>
      <w:r w:rsidR="002633DD">
        <w:t>(</w:t>
      </w:r>
      <w:r w:rsidR="00D62E03">
        <w:t xml:space="preserve">defining </w:t>
      </w:r>
      <w:r w:rsidR="00CD2401">
        <w:t>“</w:t>
      </w:r>
      <w:r w:rsidR="00D62E03">
        <w:t xml:space="preserve">special offices and facilities” </w:t>
      </w:r>
      <w:r w:rsidR="00CD2401">
        <w:t xml:space="preserve">to </w:t>
      </w:r>
      <w:r w:rsidRPr="00B253D9" w:rsidR="00831335">
        <w:t>includ</w:t>
      </w:r>
      <w:r w:rsidR="00CD2401">
        <w:t>e</w:t>
      </w:r>
      <w:r w:rsidRPr="00B253D9" w:rsidR="00831335">
        <w:t xml:space="preserve"> major military installations, key government facilities, nuclear power plants, and those airports that are listed as current primary (PR) airports in the FAA</w:t>
      </w:r>
      <w:r w:rsidR="00667BA6">
        <w:t>’</w:t>
      </w:r>
      <w:r w:rsidRPr="00B253D9" w:rsidR="00831335">
        <w:t>s National Plan of Integrated Airports Systems.</w:t>
      </w:r>
      <w:r w:rsidR="00831335">
        <w:t>)</w:t>
      </w:r>
      <w:r w:rsidR="00A800B7">
        <w:t xml:space="preserve">  </w:t>
      </w:r>
      <w:r w:rsidRPr="00F50529" w:rsidR="00F50529">
        <w:t xml:space="preserve">This change is based on the Commission’s observation that special offices and facilities had not adopted wireless </w:t>
      </w:r>
      <w:r w:rsidR="00936D04">
        <w:t>or</w:t>
      </w:r>
      <w:r w:rsidRPr="00F50529" w:rsidR="00F50529">
        <w:t xml:space="preserve"> satellite service for their critical communications</w:t>
      </w:r>
      <w:r w:rsidR="00936D04">
        <w:t>, i</w:t>
      </w:r>
      <w:r w:rsidRPr="00F50529" w:rsidR="00F50529">
        <w:t>nstead, rely</w:t>
      </w:r>
      <w:r w:rsidR="00936D04">
        <w:t>ing</w:t>
      </w:r>
      <w:r w:rsidRPr="00F50529" w:rsidR="00F50529">
        <w:t xml:space="preserve"> heavily on wireline communications.</w:t>
      </w:r>
      <w:r w:rsidR="009E00DC">
        <w:t xml:space="preserve"> </w:t>
      </w:r>
      <w:r w:rsidR="00C7463D">
        <w:t xml:space="preserve"> The predicted reduction in burden as a result of this </w:t>
      </w:r>
      <w:r w:rsidR="00F64B16">
        <w:t>change was factored into an earlier filed Supporting Statement</w:t>
      </w:r>
      <w:r w:rsidR="00BA3992">
        <w:t xml:space="preserve"> to this collection</w:t>
      </w:r>
      <w:r w:rsidR="009D51A9">
        <w:t xml:space="preserve">. </w:t>
      </w:r>
      <w:r w:rsidR="006F566E">
        <w:t xml:space="preserve"> </w:t>
      </w:r>
      <w:r w:rsidRPr="000F7E4E" w:rsidR="009D51A9">
        <w:rPr>
          <w:i/>
          <w:iCs/>
        </w:rPr>
        <w:t>See</w:t>
      </w:r>
      <w:r w:rsidR="009D51A9">
        <w:t xml:space="preserve"> </w:t>
      </w:r>
      <w:r w:rsidR="00092AF2">
        <w:t>Supporting Statement in OMB No. 3060-0484</w:t>
      </w:r>
      <w:r w:rsidR="00831698">
        <w:t xml:space="preserve">, filed </w:t>
      </w:r>
      <w:r w:rsidR="00673B27">
        <w:t>November 2016, p</w:t>
      </w:r>
      <w:r w:rsidR="002633DD">
        <w:t xml:space="preserve">. </w:t>
      </w:r>
      <w:r w:rsidR="00673B27">
        <w:t>8</w:t>
      </w:r>
      <w:r w:rsidR="0093292D">
        <w:t>-9</w:t>
      </w:r>
      <w:r w:rsidR="002633DD">
        <w:t>.</w:t>
      </w:r>
    </w:p>
  </w:footnote>
  <w:footnote w:id="13">
    <w:p w:rsidR="006B6641" w:rsidRPr="006B6641" w:rsidP="00815665" w14:paraId="034CDD5E" w14:textId="308EC0CC">
      <w:pPr>
        <w:pStyle w:val="FootnoteText"/>
      </w:pPr>
      <w:r>
        <w:rPr>
          <w:rStyle w:val="FootnoteReference"/>
        </w:rPr>
        <w:footnoteRef/>
      </w:r>
      <w:r>
        <w:t xml:space="preserve"> </w:t>
      </w:r>
      <w:r>
        <w:rPr>
          <w:i/>
          <w:iCs/>
        </w:rPr>
        <w:t xml:space="preserve">2023 Report and Order </w:t>
      </w:r>
      <w:r>
        <w:t>at 6-13, paras.12-22.</w:t>
      </w:r>
    </w:p>
  </w:footnote>
  <w:footnote w:id="14">
    <w:p w:rsidR="006B6641" w:rsidRPr="006B6641" w:rsidP="00815665" w14:paraId="2BB475C9" w14:textId="1ECC4EF9">
      <w:pPr>
        <w:pStyle w:val="FootnoteText"/>
      </w:pPr>
      <w:r>
        <w:rPr>
          <w:rStyle w:val="FootnoteReference"/>
        </w:rPr>
        <w:footnoteRef/>
      </w:r>
      <w:r>
        <w:t xml:space="preserve"> </w:t>
      </w:r>
      <w:r>
        <w:rPr>
          <w:i/>
          <w:iCs/>
        </w:rPr>
        <w:t>Id.</w:t>
      </w:r>
      <w:r>
        <w:t xml:space="preserve"> at 11, para. 18.</w:t>
      </w:r>
    </w:p>
  </w:footnote>
  <w:footnote w:id="15">
    <w:p w:rsidR="006B6641" w:rsidRPr="006B6641" w:rsidP="00815665" w14:paraId="116E07BE" w14:textId="26B6E5BA">
      <w:pPr>
        <w:pStyle w:val="FootnoteText"/>
      </w:pPr>
      <w:r>
        <w:rPr>
          <w:rStyle w:val="FootnoteReference"/>
        </w:rPr>
        <w:footnoteRef/>
      </w:r>
      <w:r>
        <w:t xml:space="preserve"> </w:t>
      </w:r>
      <w:r>
        <w:rPr>
          <w:i/>
          <w:iCs/>
        </w:rPr>
        <w:t>Id.</w:t>
      </w:r>
      <w:r>
        <w:t xml:space="preserve"> at 13-23, paras. 23-40.</w:t>
      </w:r>
    </w:p>
  </w:footnote>
  <w:footnote w:id="16">
    <w:p w:rsidR="006B6641" w:rsidP="00815665" w14:paraId="2BE94923" w14:textId="49B37963">
      <w:pPr>
        <w:pStyle w:val="FootnoteText"/>
      </w:pPr>
      <w:r>
        <w:rPr>
          <w:rStyle w:val="FootnoteReference"/>
        </w:rPr>
        <w:footnoteRef/>
      </w:r>
      <w:r>
        <w:t xml:space="preserve"> </w:t>
      </w:r>
      <w:r>
        <w:rPr>
          <w:i/>
          <w:iCs/>
        </w:rPr>
        <w:t>Id.</w:t>
      </w:r>
      <w:r>
        <w:t xml:space="preserve"> at 22, para. 38.</w:t>
      </w:r>
    </w:p>
  </w:footnote>
  <w:footnote w:id="17">
    <w:p w:rsidR="000C3917" w:rsidP="000C3917" w14:paraId="7D917D6C" w14:textId="07EB483C">
      <w:pPr>
        <w:pStyle w:val="FootnoteText"/>
      </w:pPr>
      <w:r>
        <w:rPr>
          <w:rStyle w:val="FootnoteReference"/>
        </w:rPr>
        <w:footnoteRef/>
      </w:r>
      <w:r>
        <w:t xml:space="preserve"> </w:t>
      </w:r>
      <w:r w:rsidRPr="00BC0280">
        <w:rPr>
          <w:i/>
        </w:rPr>
        <w:t>See</w:t>
      </w:r>
      <w:r>
        <w:t xml:space="preserve"> </w:t>
      </w:r>
      <w:r w:rsidRPr="009E79F6">
        <w:t xml:space="preserve">47 CFR § 4.5. </w:t>
      </w:r>
      <w:r w:rsidR="004C01FA">
        <w:t xml:space="preserve"> </w:t>
      </w:r>
      <w:r w:rsidRPr="009E79F6">
        <w:t xml:space="preserve">Communications service providers required to report outages to Commission using NORS include the following: cable, SS7, Interexchange Carrier (IXC) or Local Exchange Carrier (LEC) tandem facilities, satellite, wireless, wireline and interconnected Voice over Internet Protocol (VoIP) providers (Communications Providers).  </w:t>
      </w:r>
      <w:r w:rsidRPr="009E79F6">
        <w:rPr>
          <w:i/>
        </w:rPr>
        <w:t>See</w:t>
      </w:r>
      <w:r w:rsidRPr="009E79F6">
        <w:t xml:space="preserve"> 47 CFR §</w:t>
      </w:r>
      <w:r w:rsidRPr="009E79F6" w:rsidR="004C01FA">
        <w:t>§</w:t>
      </w:r>
      <w:r w:rsidRPr="009E79F6">
        <w:t xml:space="preserve"> 4.3</w:t>
      </w:r>
      <w:r w:rsidR="004C01FA">
        <w:t xml:space="preserve">; </w:t>
      </w:r>
      <w:r w:rsidRPr="009E79F6">
        <w:t>4.9</w:t>
      </w:r>
      <w:r>
        <w:t xml:space="preserve"> (describing the outage reporting requirements for communications service providers)</w:t>
      </w:r>
      <w:r w:rsidRPr="009E79F6">
        <w:t xml:space="preserve">. </w:t>
      </w:r>
      <w:r>
        <w:t xml:space="preserve"> </w:t>
      </w:r>
      <w:r w:rsidRPr="00566545">
        <w:rPr>
          <w:i/>
        </w:rPr>
        <w:t xml:space="preserve">See also </w:t>
      </w:r>
      <w:r w:rsidRPr="00D3346A">
        <w:rPr>
          <w:i/>
        </w:rPr>
        <w:t>New Part 4 of the Commission’s Rules Concerning Disruptions to Communications</w:t>
      </w:r>
      <w:r w:rsidRPr="0020250E">
        <w:t xml:space="preserve">, ET Docket No. 04-35, </w:t>
      </w:r>
      <w:r w:rsidRPr="00D3346A">
        <w:t>Report and Order and Further Notice of Proposed Rulemaking</w:t>
      </w:r>
      <w:r w:rsidRPr="0020250E">
        <w:t>, 19 FCC Rcd 16830 (2004) (</w:t>
      </w:r>
      <w:r w:rsidRPr="00AB0BBC">
        <w:rPr>
          <w:i/>
        </w:rPr>
        <w:t>2004</w:t>
      </w:r>
      <w:r>
        <w:t xml:space="preserve"> </w:t>
      </w:r>
      <w:r w:rsidRPr="0020250E">
        <w:rPr>
          <w:i/>
        </w:rPr>
        <w:t>Part 4 Report and Order</w:t>
      </w:r>
      <w:r w:rsidRPr="0020250E">
        <w:t>).</w:t>
      </w:r>
    </w:p>
  </w:footnote>
  <w:footnote w:id="18">
    <w:p w:rsidR="000C3917" w:rsidRPr="00884530" w:rsidP="000C3917" w14:paraId="51858AE0" w14:textId="1C290FD9">
      <w:pPr>
        <w:pStyle w:val="FootnoteText"/>
      </w:pPr>
      <w:r w:rsidRPr="00884530">
        <w:rPr>
          <w:rStyle w:val="FootnoteReference"/>
        </w:rPr>
        <w:footnoteRef/>
      </w:r>
      <w:r w:rsidRPr="00884530">
        <w:t xml:space="preserve"> </w:t>
      </w:r>
      <w:r w:rsidRPr="008C31D3">
        <w:t xml:space="preserve">Since 1992, the </w:t>
      </w:r>
      <w:r>
        <w:t>Commission</w:t>
      </w:r>
      <w:r w:rsidRPr="008C31D3">
        <w:t xml:space="preserve"> has required telecommunications carriers (other than cellular and satellite providers) to report significant disruptions to voice and paging communications services.  </w:t>
      </w:r>
      <w:r w:rsidRPr="00884530">
        <w:rPr>
          <w:i/>
        </w:rPr>
        <w:t>See</w:t>
      </w:r>
      <w:r w:rsidRPr="00884530">
        <w:t xml:space="preserve"> former 47 C.F.R. Section 63.100 (2003) (first adopted in 1992).  </w:t>
      </w:r>
      <w:r w:rsidRPr="00884530">
        <w:rPr>
          <w:i/>
        </w:rPr>
        <w:t>See</w:t>
      </w:r>
      <w:r w:rsidRPr="00884530">
        <w:t xml:space="preserve"> </w:t>
      </w:r>
      <w:r w:rsidRPr="00AD3FDC">
        <w:rPr>
          <w:i/>
        </w:rPr>
        <w:t>Notification by Common Carriers of Service Disruptions</w:t>
      </w:r>
      <w:r w:rsidRPr="00884530">
        <w:t xml:space="preserve">, CC Docket No. 91-273, </w:t>
      </w:r>
      <w:r w:rsidRPr="00AD3FDC">
        <w:t>Report and Order</w:t>
      </w:r>
      <w:r w:rsidRPr="00884530">
        <w:t xml:space="preserve">, 7 FCC Rcd 2010 (1992); </w:t>
      </w:r>
      <w:r w:rsidRPr="00AD3FDC">
        <w:rPr>
          <w:i/>
        </w:rPr>
        <w:t>Amendment Of Part 63 Of The Commission's Rules To Provide For Notification By Common Carriers Of Service Disruptions</w:t>
      </w:r>
      <w:r>
        <w:t xml:space="preserve">, CC Docket No. 91-273, </w:t>
      </w:r>
      <w:r w:rsidRPr="00767562">
        <w:t>Memorandum Opinion and Order and Further Report and Order of Proposed Rulemaking</w:t>
      </w:r>
      <w:r w:rsidRPr="00884530">
        <w:t xml:space="preserve">, 8 FCC Rcd 8517 (1993); </w:t>
      </w:r>
      <w:r w:rsidRPr="00767562">
        <w:rPr>
          <w:i/>
        </w:rPr>
        <w:t>Amendment Of Part 63 Of The Commission's Rules To Provide For Notification By Common Carriers Of Service Disruptions</w:t>
      </w:r>
      <w:r>
        <w:t xml:space="preserve">, CC Docket No. 91-273, </w:t>
      </w:r>
      <w:r w:rsidRPr="00767562">
        <w:t>Second Report and Order</w:t>
      </w:r>
      <w:r w:rsidRPr="00884530">
        <w:t>, 9 FCC Rcd 3911 (1994);</w:t>
      </w:r>
      <w:r w:rsidRPr="00884530">
        <w:rPr>
          <w:i/>
        </w:rPr>
        <w:t xml:space="preserve"> </w:t>
      </w:r>
      <w:r w:rsidRPr="00767562">
        <w:rPr>
          <w:i/>
        </w:rPr>
        <w:t>Amendment Of Part 63 Of The Commission's Rules To Provide For Notification By Common Carriers Of Service Disruptions</w:t>
      </w:r>
      <w:r w:rsidRPr="00767562">
        <w:t xml:space="preserve">, </w:t>
      </w:r>
      <w:r>
        <w:t xml:space="preserve">CC Docket No. 91-273, </w:t>
      </w:r>
      <w:r w:rsidRPr="00767562">
        <w:t>Order on Reconsideration</w:t>
      </w:r>
      <w:r w:rsidRPr="00884530">
        <w:t>, 10 FCC Rcd 11764 (1995).</w:t>
      </w:r>
    </w:p>
  </w:footnote>
  <w:footnote w:id="19">
    <w:p w:rsidR="000C3917" w:rsidRPr="00884530" w:rsidP="000C3917" w14:paraId="0B2D89EC" w14:textId="75F6CB1C">
      <w:pPr>
        <w:pStyle w:val="FootnoteText"/>
        <w:rPr>
          <w:i/>
        </w:rPr>
      </w:pPr>
      <w:r w:rsidRPr="00884530">
        <w:rPr>
          <w:rStyle w:val="FootnoteReference"/>
        </w:rPr>
        <w:footnoteRef/>
      </w:r>
      <w:r w:rsidRPr="00884530">
        <w:t xml:space="preserve"> </w:t>
      </w:r>
      <w:r w:rsidRPr="00884530">
        <w:rPr>
          <w:i/>
        </w:rPr>
        <w:t>See</w:t>
      </w:r>
      <w:r w:rsidRPr="00884530">
        <w:t xml:space="preserve"> </w:t>
      </w:r>
      <w:r w:rsidR="004C01FA">
        <w:rPr>
          <w:i/>
          <w:iCs/>
        </w:rPr>
        <w:t xml:space="preserve">generally </w:t>
      </w:r>
      <w:r w:rsidRPr="00AB0BBC">
        <w:rPr>
          <w:i/>
        </w:rPr>
        <w:t>2004</w:t>
      </w:r>
      <w:r>
        <w:t xml:space="preserve"> </w:t>
      </w:r>
      <w:r w:rsidRPr="0020250E">
        <w:rPr>
          <w:i/>
        </w:rPr>
        <w:t>Part 4 Report and Order</w:t>
      </w:r>
      <w:r w:rsidRPr="00884530">
        <w:rPr>
          <w:shd w:val="clear" w:color="auto" w:fill="FFFFFF"/>
        </w:rPr>
        <w:t>.</w:t>
      </w:r>
    </w:p>
  </w:footnote>
  <w:footnote w:id="20">
    <w:p w:rsidR="000C3917" w:rsidRPr="00884530" w:rsidP="000C3917" w14:paraId="6D10CE57" w14:textId="77777777">
      <w:pPr>
        <w:pStyle w:val="FootnoteText"/>
      </w:pPr>
      <w:r w:rsidRPr="00884530">
        <w:rPr>
          <w:rStyle w:val="FootnoteReference"/>
        </w:rPr>
        <w:footnoteRef/>
      </w:r>
      <w:r w:rsidRPr="00884530">
        <w:t xml:space="preserve"> </w:t>
      </w:r>
      <w:r w:rsidRPr="00884530">
        <w:rPr>
          <w:i/>
        </w:rPr>
        <w:t xml:space="preserve">See </w:t>
      </w:r>
      <w:r w:rsidRPr="001C2B88">
        <w:rPr>
          <w:i/>
        </w:rPr>
        <w:t>Proposed Extension of Part 4 of the Commission’s Rules Regarding Outage Reporting to Interconnected Voice Over Internet Protocol Service Providers and Broadband Internet Service Providers</w:t>
      </w:r>
      <w:r w:rsidRPr="00884530">
        <w:t xml:space="preserve">, PS Docket No. 11-82, </w:t>
      </w:r>
      <w:r w:rsidRPr="001C2B88">
        <w:t>Report and Order</w:t>
      </w:r>
      <w:r w:rsidRPr="00884530">
        <w:t>, 27 FCC Rcd 2650 (2012).</w:t>
      </w:r>
    </w:p>
  </w:footnote>
  <w:footnote w:id="21">
    <w:p w:rsidR="00147553" w:rsidP="00147553" w14:paraId="721F3006" w14:textId="77777777">
      <w:pPr>
        <w:pStyle w:val="FootnoteText"/>
      </w:pPr>
      <w:r>
        <w:rPr>
          <w:rStyle w:val="FootnoteReference"/>
        </w:rPr>
        <w:footnoteRef/>
      </w:r>
      <w:r>
        <w:t xml:space="preserve"> </w:t>
      </w:r>
      <w:r w:rsidRPr="001D3A24">
        <w:rPr>
          <w:i/>
          <w:iCs/>
        </w:rPr>
        <w:t>See Improving 911 Reliability; Reliability and Continuity of Communications Networks, Including Broadband Technologies</w:t>
      </w:r>
      <w:r w:rsidRPr="00D50931">
        <w:t xml:space="preserve">, PS Docket Nos. 13-75, 11-60, </w:t>
      </w:r>
      <w:r w:rsidRPr="001D3A24">
        <w:rPr>
          <w:iCs/>
        </w:rPr>
        <w:t>Report and Order</w:t>
      </w:r>
      <w:r w:rsidRPr="00D50931">
        <w:t>, 28 FCC Rcd 17476</w:t>
      </w:r>
      <w:r>
        <w:t>, para. 140</w:t>
      </w:r>
      <w:r w:rsidRPr="00D50931">
        <w:t xml:space="preserve"> (2013)</w:t>
      </w:r>
      <w:r>
        <w:t>.</w:t>
      </w:r>
    </w:p>
  </w:footnote>
  <w:footnote w:id="22">
    <w:p w:rsidR="000C3917" w:rsidP="00413E42" w14:paraId="0B9B2CD5" w14:textId="557E09B5">
      <w:pPr>
        <w:pStyle w:val="FootnoteText"/>
      </w:pPr>
      <w:r>
        <w:rPr>
          <w:rStyle w:val="FootnoteReference"/>
        </w:rPr>
        <w:footnoteRef/>
      </w:r>
      <w:r>
        <w:t xml:space="preserve"> </w:t>
      </w:r>
      <w:r w:rsidRPr="00A317D9">
        <w:rPr>
          <w:i/>
        </w:rPr>
        <w:t>See</w:t>
      </w:r>
      <w:r>
        <w:t xml:space="preserve"> </w:t>
      </w:r>
      <w:r w:rsidRPr="00AD3FDC">
        <w:rPr>
          <w:i/>
        </w:rPr>
        <w:t>Amendments to Part 4 of the Commission’s Rules Concerning Disruptions to Communications</w:t>
      </w:r>
      <w:r>
        <w:rPr>
          <w:i/>
        </w:rPr>
        <w:t>, et.al.</w:t>
      </w:r>
      <w:r>
        <w:t>,</w:t>
      </w:r>
      <w:r w:rsidRPr="00AD3FDC">
        <w:rPr>
          <w:i/>
        </w:rPr>
        <w:t xml:space="preserve"> </w:t>
      </w:r>
      <w:r>
        <w:t xml:space="preserve">PS Docket Nos. 15-80, </w:t>
      </w:r>
      <w:r w:rsidRPr="006F28AD">
        <w:rPr>
          <w:i/>
        </w:rPr>
        <w:t>et.al.</w:t>
      </w:r>
      <w:r>
        <w:t xml:space="preserve">, </w:t>
      </w:r>
      <w:r w:rsidRPr="00DA7C31">
        <w:t>Report and Order</w:t>
      </w:r>
      <w:r>
        <w:t>, Order on Reconsideration, and Further Notice of Proposed Rulemaking</w:t>
      </w:r>
      <w:r w:rsidRPr="00DA7C31">
        <w:t xml:space="preserve">, </w:t>
      </w:r>
      <w:r w:rsidRPr="00BA7E13">
        <w:t>31 FCC Rcd 5817</w:t>
      </w:r>
      <w:r w:rsidRPr="00DA7C31">
        <w:t xml:space="preserve"> (</w:t>
      </w:r>
      <w:r>
        <w:t>2016</w:t>
      </w:r>
      <w:r w:rsidRPr="00DA7C31">
        <w:t>) (</w:t>
      </w:r>
      <w:r w:rsidRPr="00AB2B7D">
        <w:rPr>
          <w:i/>
        </w:rPr>
        <w:t>2016</w:t>
      </w:r>
      <w:r>
        <w:t xml:space="preserve"> </w:t>
      </w:r>
      <w:r>
        <w:rPr>
          <w:i/>
        </w:rPr>
        <w:t>Part 4 Report and Order and Order on Reconsideration</w:t>
      </w:r>
      <w:r w:rsidRPr="00DA7C31">
        <w:t>).</w:t>
      </w:r>
    </w:p>
  </w:footnote>
  <w:footnote w:id="23">
    <w:p w:rsidR="00F165A8" w14:paraId="16F2A9AE" w14:textId="23EBC0B7">
      <w:pPr>
        <w:pStyle w:val="FootnoteText"/>
      </w:pPr>
      <w:r>
        <w:rPr>
          <w:rStyle w:val="FootnoteReference"/>
        </w:rPr>
        <w:footnoteRef/>
      </w:r>
      <w:r>
        <w:t xml:space="preserve"> </w:t>
      </w:r>
      <w:r w:rsidR="00441180">
        <w:rPr>
          <w:i/>
          <w:iCs/>
        </w:rPr>
        <w:t>New</w:t>
      </w:r>
      <w:r w:rsidRPr="00913CF9" w:rsidR="00913CF9">
        <w:rPr>
          <w:i/>
          <w:iCs/>
        </w:rPr>
        <w:t xml:space="preserve"> Part 4 of the Commission’s Rules Concerning Disruptions to Communications</w:t>
      </w:r>
      <w:r w:rsidR="00441180">
        <w:rPr>
          <w:i/>
          <w:iCs/>
        </w:rPr>
        <w:t>,</w:t>
      </w:r>
      <w:r w:rsidRPr="00913CF9" w:rsidR="00913CF9">
        <w:t xml:space="preserve"> </w:t>
      </w:r>
      <w:r w:rsidR="00761EC5">
        <w:t xml:space="preserve">ET </w:t>
      </w:r>
      <w:r w:rsidRPr="00913CF9" w:rsidR="00913CF9">
        <w:t xml:space="preserve">Docket No. </w:t>
      </w:r>
      <w:r w:rsidR="00761EC5">
        <w:t>04-35</w:t>
      </w:r>
      <w:r w:rsidRPr="00913CF9" w:rsidR="00913CF9">
        <w:t>, Report and Order</w:t>
      </w:r>
      <w:r w:rsidR="00C30A4A">
        <w:t xml:space="preserve"> and Further Notice of Proposed Rulemaking</w:t>
      </w:r>
      <w:r w:rsidRPr="00913CF9" w:rsidR="00913CF9">
        <w:t>,</w:t>
      </w:r>
      <w:r w:rsidR="00192384">
        <w:t xml:space="preserve"> 69 FR 70316 (Aug. </w:t>
      </w:r>
      <w:r w:rsidR="005029C7">
        <w:t>19</w:t>
      </w:r>
      <w:r w:rsidR="005B1A4C">
        <w:t>, 2004).</w:t>
      </w:r>
      <w:r w:rsidR="00D36521">
        <w:t xml:space="preserve">  </w:t>
      </w:r>
      <w:r w:rsidRPr="00194A66" w:rsidR="00322F5A">
        <w:rPr>
          <w:i/>
          <w:iCs/>
        </w:rPr>
        <w:t xml:space="preserve">See Office of Management and Budget </w:t>
      </w:r>
      <w:r w:rsidR="00A46ADE">
        <w:rPr>
          <w:i/>
          <w:iCs/>
        </w:rPr>
        <w:t xml:space="preserve">Notice of </w:t>
      </w:r>
      <w:r w:rsidRPr="00F7391F" w:rsidR="00322F5A">
        <w:rPr>
          <w:i/>
          <w:iCs/>
        </w:rPr>
        <w:t>Action</w:t>
      </w:r>
      <w:r w:rsidRPr="00F7391F" w:rsidR="00322F5A">
        <w:t>,</w:t>
      </w:r>
      <w:r w:rsidRPr="00F7391F" w:rsidR="003C0943">
        <w:t xml:space="preserve"> </w:t>
      </w:r>
      <w:r w:rsidRPr="00F7391F" w:rsidR="00DD3D0E">
        <w:t>Dec. 21, 2004 (</w:t>
      </w:r>
      <w:r w:rsidRPr="00F7391F" w:rsidR="0031586D">
        <w:t xml:space="preserve">OMB </w:t>
      </w:r>
      <w:r w:rsidRPr="00F7391F" w:rsidR="00D36521">
        <w:t>Control Number 3060-</w:t>
      </w:r>
      <w:r w:rsidRPr="00F7391F" w:rsidR="0031586D">
        <w:t xml:space="preserve">0484, </w:t>
      </w:r>
      <w:r w:rsidRPr="00F7391F" w:rsidR="00735D23">
        <w:t xml:space="preserve">OMB </w:t>
      </w:r>
      <w:r w:rsidRPr="00F7391F" w:rsidR="000D4E23">
        <w:t>action</w:t>
      </w:r>
      <w:r w:rsidRPr="00F7391F" w:rsidR="0031586D">
        <w:t xml:space="preserve"> date of </w:t>
      </w:r>
      <w:r w:rsidRPr="00F7391F" w:rsidR="006D0C25">
        <w:t xml:space="preserve">Nov. 12, </w:t>
      </w:r>
      <w:r w:rsidRPr="00F7391F" w:rsidR="00DD3D0E">
        <w:t>2004</w:t>
      </w:r>
      <w:r w:rsidRPr="00F7391F" w:rsidR="0031586D">
        <w:t>,</w:t>
      </w:r>
      <w:r w:rsidRPr="00194A66" w:rsidR="0031586D">
        <w:t xml:space="preserve"> and ICR Number</w:t>
      </w:r>
      <w:r w:rsidR="0031586D">
        <w:t xml:space="preserve"> </w:t>
      </w:r>
      <w:r w:rsidR="006D0C25">
        <w:t>200411-3060-006.)</w:t>
      </w:r>
    </w:p>
  </w:footnote>
  <w:footnote w:id="24">
    <w:p w:rsidR="000C3917" w:rsidP="000C3917" w14:paraId="5B13953C" w14:textId="76BDD61B">
      <w:pPr>
        <w:pStyle w:val="FootnoteText"/>
      </w:pPr>
      <w:r>
        <w:rPr>
          <w:rStyle w:val="FootnoteReference"/>
        </w:rPr>
        <w:footnoteRef/>
      </w:r>
      <w:r>
        <w:t xml:space="preserve"> Federal Communication Commission, “Network Outage Reporting System User Manual,” version 3 (2018) </w:t>
      </w:r>
      <w:hyperlink r:id="rId2" w:history="1">
        <w:r w:rsidRPr="0039699F">
          <w:rPr>
            <w:rStyle w:val="Hyperlink"/>
          </w:rPr>
          <w:t>https://www.fcc.gov/file/12265/download</w:t>
        </w:r>
      </w:hyperlink>
      <w:r>
        <w:t>.</w:t>
      </w:r>
    </w:p>
  </w:footnote>
  <w:footnote w:id="25">
    <w:p w:rsidR="009D49F2" w:rsidP="009E3262" w14:paraId="29A26C2F" w14:textId="3B371B63">
      <w:pPr>
        <w:pStyle w:val="FootnoteText"/>
      </w:pPr>
      <w:r>
        <w:rPr>
          <w:rStyle w:val="FootnoteReference"/>
        </w:rPr>
        <w:footnoteRef/>
      </w:r>
      <w:r>
        <w:t xml:space="preserve"> </w:t>
      </w:r>
      <w:r w:rsidRPr="001D3A24">
        <w:rPr>
          <w:i/>
          <w:iCs/>
        </w:rPr>
        <w:t xml:space="preserve">See Amendments to Part 4 of the Commission’s Rules </w:t>
      </w:r>
      <w:r>
        <w:rPr>
          <w:i/>
          <w:iCs/>
        </w:rPr>
        <w:t>C</w:t>
      </w:r>
      <w:r w:rsidRPr="001D3A24">
        <w:rPr>
          <w:i/>
          <w:iCs/>
        </w:rPr>
        <w:t>oncerning Disruptions to Communications,</w:t>
      </w:r>
      <w:r>
        <w:t xml:space="preserve"> PS Docket No. 15-80, Second Report and Order, 36 FCC Rcd 6136 (2021) (</w:t>
      </w:r>
      <w:r w:rsidRPr="001D3A24">
        <w:rPr>
          <w:i/>
          <w:iCs/>
        </w:rPr>
        <w:t>NORS-DIRS Information Sharing Order</w:t>
      </w:r>
      <w:r>
        <w:t>).</w:t>
      </w:r>
      <w:r w:rsidR="004C01FA">
        <w:t xml:space="preserve"> </w:t>
      </w:r>
      <w:r>
        <w:t xml:space="preserve"> </w:t>
      </w:r>
      <w:r w:rsidRPr="00322F5A" w:rsidR="001E6B45">
        <w:rPr>
          <w:i/>
          <w:iCs/>
        </w:rPr>
        <w:t>See O</w:t>
      </w:r>
      <w:r w:rsidR="00322F5A">
        <w:rPr>
          <w:i/>
          <w:iCs/>
        </w:rPr>
        <w:t xml:space="preserve">ffice of Management and Budge </w:t>
      </w:r>
      <w:r w:rsidR="00A46ADE">
        <w:rPr>
          <w:i/>
          <w:iCs/>
        </w:rPr>
        <w:t xml:space="preserve">Notice of </w:t>
      </w:r>
      <w:r w:rsidRPr="00322F5A" w:rsidR="001E6B45">
        <w:rPr>
          <w:i/>
          <w:iCs/>
        </w:rPr>
        <w:t>Action</w:t>
      </w:r>
      <w:r w:rsidR="001E6B45">
        <w:t>, Aug. 15, 2022 (</w:t>
      </w:r>
      <w:r w:rsidR="008B64A5">
        <w:t xml:space="preserve">OMB Control Number 3060-0484, OMB </w:t>
      </w:r>
      <w:r w:rsidR="000D4E23">
        <w:t xml:space="preserve">action </w:t>
      </w:r>
      <w:r w:rsidR="008B64A5">
        <w:t>date of</w:t>
      </w:r>
      <w:r w:rsidR="000D4E23">
        <w:t xml:space="preserve"> </w:t>
      </w:r>
      <w:r w:rsidR="00194A66">
        <w:t xml:space="preserve">June 21, 2022; </w:t>
      </w:r>
      <w:r w:rsidR="00735D23">
        <w:t>ICR Number 202206-3060-012</w:t>
      </w:r>
      <w:r w:rsidR="001E6B45">
        <w:t>)</w:t>
      </w:r>
      <w:r w:rsidR="00C44A2C">
        <w:t>.</w:t>
      </w:r>
    </w:p>
  </w:footnote>
  <w:footnote w:id="26">
    <w:p w:rsidR="00C64946" w14:paraId="14CB2A20" w14:textId="77777777">
      <w:pPr>
        <w:pStyle w:val="FootnoteText"/>
      </w:pPr>
      <w:r>
        <w:rPr>
          <w:rStyle w:val="FootnoteReference"/>
        </w:rPr>
        <w:footnoteRef/>
      </w:r>
      <w:r>
        <w:t xml:space="preserve"> The Disaster Information Reporting System (DIRS) was established as a means for service providers to voluntarily report the status of their infrastructure to the Commission when the system is activated by the Commission in times of crisis. </w:t>
      </w:r>
      <w:r w:rsidR="00030F48">
        <w:t xml:space="preserve"> </w:t>
      </w:r>
      <w:r>
        <w:t>These reports are also transmitted to the Commission electronically through a web-based portal and presumed confidential.</w:t>
      </w:r>
    </w:p>
  </w:footnote>
  <w:footnote w:id="27">
    <w:p w:rsidR="009D49F2" w:rsidP="009E3262" w14:paraId="571D0364" w14:textId="77777777">
      <w:pPr>
        <w:pStyle w:val="FootnoteText"/>
        <w:spacing w:before="120"/>
      </w:pPr>
      <w:r>
        <w:rPr>
          <w:rStyle w:val="FootnoteReference"/>
        </w:rPr>
        <w:footnoteRef/>
      </w:r>
      <w:r>
        <w:t xml:space="preserve"> </w:t>
      </w:r>
      <w:r w:rsidRPr="001D3A24">
        <w:rPr>
          <w:i/>
          <w:iCs/>
        </w:rPr>
        <w:t xml:space="preserve">See </w:t>
      </w:r>
      <w:r>
        <w:t>47 CFR</w:t>
      </w:r>
      <w:r w:rsidRPr="00884530">
        <w:t xml:space="preserve"> </w:t>
      </w:r>
      <w:r>
        <w:t>§ 4.2.</w:t>
      </w:r>
    </w:p>
  </w:footnote>
  <w:footnote w:id="28">
    <w:p w:rsidR="008A2D82" w:rsidRPr="003C2193" w:rsidP="009E3262" w14:paraId="6B6453EF" w14:textId="3892A75E">
      <w:pPr>
        <w:pStyle w:val="FootnoteText"/>
        <w:rPr>
          <w:i/>
        </w:rPr>
      </w:pPr>
      <w:r w:rsidRPr="00884530">
        <w:rPr>
          <w:rStyle w:val="FootnoteReference"/>
        </w:rPr>
        <w:footnoteRef/>
      </w:r>
      <w:r w:rsidRPr="00884530">
        <w:t xml:space="preserve"> </w:t>
      </w:r>
      <w:r w:rsidRPr="002F4247">
        <w:rPr>
          <w:i/>
          <w:iCs/>
        </w:rPr>
        <w:t>See</w:t>
      </w:r>
      <w:r w:rsidR="002F4247">
        <w:rPr>
          <w:i/>
          <w:iCs/>
        </w:rPr>
        <w:t xml:space="preserve"> </w:t>
      </w:r>
      <w:r w:rsidRPr="00884530">
        <w:t>47 CFR</w:t>
      </w:r>
      <w:r w:rsidRPr="00884530" w:rsidR="007D3C45">
        <w:t xml:space="preserve"> </w:t>
      </w:r>
      <w:r w:rsidR="007D3C45">
        <w:t xml:space="preserve">§ </w:t>
      </w:r>
      <w:r w:rsidRPr="00884530">
        <w:t xml:space="preserve">4.11.  </w:t>
      </w:r>
      <w:r w:rsidRPr="002F4247">
        <w:rPr>
          <w:i/>
          <w:iCs/>
        </w:rPr>
        <w:t>See</w:t>
      </w:r>
      <w:r>
        <w:rPr>
          <w:i/>
        </w:rPr>
        <w:t xml:space="preserve"> </w:t>
      </w:r>
      <w:r>
        <w:t xml:space="preserve">Federal Communications Commission, Network Outage Reporting System Portal, </w:t>
      </w:r>
      <w:r w:rsidRPr="004C4091">
        <w:t>NORS 3.0 Login</w:t>
      </w:r>
      <w:r>
        <w:t xml:space="preserve"> page,</w:t>
      </w:r>
      <w:r w:rsidRPr="004C4091">
        <w:t xml:space="preserve"> </w:t>
      </w:r>
      <w:hyperlink r:id="rId3" w:history="1">
        <w:r w:rsidRPr="004F57DD">
          <w:rPr>
            <w:rStyle w:val="Hyperlink"/>
          </w:rPr>
          <w:t>https://www.fcc.gov/licensing-databases/fcc-user-login</w:t>
        </w:r>
      </w:hyperlink>
      <w:r>
        <w:t xml:space="preserve"> (last </w:t>
      </w:r>
      <w:r w:rsidR="003B7632">
        <w:t xml:space="preserve">visited </w:t>
      </w:r>
      <w:r w:rsidR="00C07E19">
        <w:t>Jun</w:t>
      </w:r>
      <w:r w:rsidR="003B7632">
        <w:t>.</w:t>
      </w:r>
      <w:r w:rsidR="00C07E19">
        <w:t xml:space="preserve"> 5, 2023</w:t>
      </w:r>
      <w:r>
        <w:t xml:space="preserve">).  </w:t>
      </w:r>
      <w:r w:rsidRPr="00884530">
        <w:rPr>
          <w:shd w:val="clear" w:color="auto" w:fill="FFFFFF"/>
        </w:rPr>
        <w:t xml:space="preserve">In the event of technical impediments to using the </w:t>
      </w:r>
      <w:r>
        <w:rPr>
          <w:shd w:val="clear" w:color="auto" w:fill="FFFFFF"/>
        </w:rPr>
        <w:t>w</w:t>
      </w:r>
      <w:r w:rsidRPr="00884530">
        <w:rPr>
          <w:shd w:val="clear" w:color="auto" w:fill="FFFFFF"/>
        </w:rPr>
        <w:t>eb-based system</w:t>
      </w:r>
      <w:r>
        <w:rPr>
          <w:shd w:val="clear" w:color="auto" w:fill="FFFFFF"/>
        </w:rPr>
        <w:t xml:space="preserve">, </w:t>
      </w:r>
      <w:r w:rsidRPr="00884530">
        <w:rPr>
          <w:shd w:val="clear" w:color="auto" w:fill="FFFFFF"/>
        </w:rPr>
        <w:t xml:space="preserve">written </w:t>
      </w:r>
      <w:r>
        <w:rPr>
          <w:shd w:val="clear" w:color="auto" w:fill="FFFFFF"/>
        </w:rPr>
        <w:t>notifications, initial reports, or final reports may be submitted to the Commission by email, f</w:t>
      </w:r>
      <w:r w:rsidRPr="00884530">
        <w:rPr>
          <w:shd w:val="clear" w:color="auto" w:fill="FFFFFF"/>
        </w:rPr>
        <w:t>ax, courier, or U.S. mail.</w:t>
      </w:r>
      <w:r>
        <w:rPr>
          <w:shd w:val="clear" w:color="auto" w:fill="FFFFFF"/>
        </w:rPr>
        <w:t xml:space="preserve">  </w:t>
      </w:r>
      <w:r w:rsidRPr="004F311F">
        <w:rPr>
          <w:i/>
          <w:iCs/>
          <w:shd w:val="clear" w:color="auto" w:fill="FFFFFF"/>
        </w:rPr>
        <w:t>See</w:t>
      </w:r>
      <w:r>
        <w:rPr>
          <w:i/>
          <w:shd w:val="clear" w:color="auto" w:fill="FFFFFF"/>
        </w:rPr>
        <w:t xml:space="preserve"> </w:t>
      </w:r>
      <w:r w:rsidRPr="00884530">
        <w:t>47 CFR</w:t>
      </w:r>
      <w:r w:rsidR="004C01FA">
        <w:t xml:space="preserve"> §</w:t>
      </w:r>
      <w:r w:rsidRPr="00884530">
        <w:t xml:space="preserve"> 4.11</w:t>
      </w:r>
      <w:r>
        <w:t xml:space="preserve">; </w:t>
      </w:r>
      <w:r w:rsidRPr="002F4247">
        <w:rPr>
          <w:i/>
          <w:iCs/>
        </w:rPr>
        <w:t>2004 Part 4 Report and Order</w:t>
      </w:r>
      <w:r>
        <w:t xml:space="preserve">, </w:t>
      </w:r>
      <w:r w:rsidRPr="003C2193">
        <w:t>19</w:t>
      </w:r>
      <w:r>
        <w:t xml:space="preserve"> FCC Rcd at 16871-72, para. 75.</w:t>
      </w:r>
    </w:p>
  </w:footnote>
  <w:footnote w:id="29">
    <w:p w:rsidR="003F24ED" w:rsidRPr="00155E87" w:rsidP="009E3262" w14:paraId="2B2F406A" w14:textId="2EA7C234">
      <w:pPr>
        <w:pStyle w:val="FootnoteText"/>
        <w:spacing w:before="120"/>
      </w:pPr>
      <w:r>
        <w:rPr>
          <w:rStyle w:val="FootnoteReference"/>
        </w:rPr>
        <w:footnoteRef/>
      </w:r>
      <w:r>
        <w:t xml:space="preserve"> </w:t>
      </w:r>
      <w:r w:rsidRPr="005B0C8E" w:rsidR="00DD277D">
        <w:rPr>
          <w:i/>
        </w:rPr>
        <w:t>2022 Second Report and Order</w:t>
      </w:r>
      <w:r w:rsidR="00DD277D">
        <w:t xml:space="preserve">, </w:t>
      </w:r>
      <w:r w:rsidRPr="00511EAF" w:rsidR="00511EAF">
        <w:t>37 FCC Rcd at 13853</w:t>
      </w:r>
      <w:r w:rsidR="007457EC">
        <w:t>.</w:t>
      </w:r>
      <w:r w:rsidR="00155E87">
        <w:t xml:space="preserve">  The </w:t>
      </w:r>
      <w:r w:rsidRPr="00815665" w:rsidR="00155E87">
        <w:rPr>
          <w:i/>
          <w:iCs/>
        </w:rPr>
        <w:t>2023 Report and Order</w:t>
      </w:r>
      <w:r w:rsidR="00155E87">
        <w:t xml:space="preserve"> adopted the same means of reporting for notifying 988 special facilities.  </w:t>
      </w:r>
      <w:r w:rsidR="00155E87">
        <w:rPr>
          <w:i/>
          <w:iCs/>
        </w:rPr>
        <w:t xml:space="preserve">2023 Report and Order </w:t>
      </w:r>
      <w:r w:rsidR="00155E87">
        <w:t>at 19, para. 33.</w:t>
      </w:r>
    </w:p>
  </w:footnote>
  <w:footnote w:id="30">
    <w:p w:rsidR="00155E87" w:rsidRPr="00155E87" w:rsidP="00815665" w14:paraId="7AA1C181" w14:textId="255DCD5D">
      <w:pPr>
        <w:pStyle w:val="FootnoteText"/>
      </w:pPr>
      <w:r>
        <w:rPr>
          <w:rStyle w:val="FootnoteReference"/>
        </w:rPr>
        <w:footnoteRef/>
      </w:r>
      <w:r>
        <w:t xml:space="preserve"> </w:t>
      </w:r>
      <w:r>
        <w:rPr>
          <w:i/>
          <w:iCs/>
        </w:rPr>
        <w:t>See 2023 Report and Order</w:t>
      </w:r>
      <w:r>
        <w:t xml:space="preserve"> at 10, para. 17.</w:t>
      </w:r>
    </w:p>
  </w:footnote>
  <w:footnote w:id="31">
    <w:p w:rsidR="00530C06" w:rsidP="00530C06" w14:paraId="539AD48F" w14:textId="4A839286">
      <w:pPr>
        <w:pStyle w:val="FootnoteText"/>
      </w:pPr>
      <w:r>
        <w:rPr>
          <w:rStyle w:val="FootnoteReference"/>
        </w:rPr>
        <w:footnoteRef/>
      </w:r>
      <w:r>
        <w:t xml:space="preserve"> </w:t>
      </w:r>
      <w:r>
        <w:rPr>
          <w:i/>
        </w:rPr>
        <w:t>Part 4 Report and Order and Order on Reconsideration</w:t>
      </w:r>
      <w:r>
        <w:t xml:space="preserve">, </w:t>
      </w:r>
      <w:r w:rsidRPr="00C84B81">
        <w:t xml:space="preserve">31 FCC Rcd </w:t>
      </w:r>
      <w:r>
        <w:t xml:space="preserve">at 5920, </w:t>
      </w:r>
      <w:r w:rsidR="004C01FA">
        <w:t>Appendix</w:t>
      </w:r>
      <w:r>
        <w:t xml:space="preserve"> D, para. 18.</w:t>
      </w:r>
    </w:p>
  </w:footnote>
  <w:footnote w:id="32">
    <w:p w:rsidR="00E02F05" w:rsidP="009E3262" w14:paraId="0D3C13B7" w14:textId="18EEF950">
      <w:pPr>
        <w:pStyle w:val="FootnoteText"/>
        <w:spacing w:before="120"/>
      </w:pPr>
      <w:r>
        <w:rPr>
          <w:rStyle w:val="FootnoteReference"/>
        </w:rPr>
        <w:footnoteRef/>
      </w:r>
      <w:r>
        <w:t xml:space="preserve"> </w:t>
      </w:r>
      <w:r w:rsidRPr="00FF11E1" w:rsidR="00A600FF">
        <w:rPr>
          <w:i/>
        </w:rPr>
        <w:t xml:space="preserve">2022 </w:t>
      </w:r>
      <w:r w:rsidRPr="00FF11E1">
        <w:rPr>
          <w:i/>
        </w:rPr>
        <w:t>Second Report and Order</w:t>
      </w:r>
      <w:r>
        <w:t xml:space="preserve"> </w:t>
      </w:r>
      <w:r w:rsidRPr="000553C1" w:rsidR="000553C1">
        <w:t xml:space="preserve">37 FCC Rcd </w:t>
      </w:r>
      <w:r>
        <w:t xml:space="preserve">at </w:t>
      </w:r>
      <w:r w:rsidR="003B7D6B">
        <w:t>13881</w:t>
      </w:r>
      <w:r w:rsidR="00786E15">
        <w:t>, Appendix B, para. 24</w:t>
      </w:r>
      <w:r w:rsidR="00383BCE">
        <w:t xml:space="preserve">; </w:t>
      </w:r>
      <w:r w:rsidRPr="00FF11E1" w:rsidR="00383BCE">
        <w:rPr>
          <w:i/>
        </w:rPr>
        <w:t>202</w:t>
      </w:r>
      <w:r w:rsidR="00383BCE">
        <w:rPr>
          <w:i/>
        </w:rPr>
        <w:t>3</w:t>
      </w:r>
      <w:r w:rsidRPr="00FF11E1" w:rsidR="00383BCE">
        <w:rPr>
          <w:i/>
        </w:rPr>
        <w:t xml:space="preserve"> Report and Order</w:t>
      </w:r>
      <w:r w:rsidR="00383BCE">
        <w:t xml:space="preserve"> at 46, Appendix B, para. 28.</w:t>
      </w:r>
    </w:p>
  </w:footnote>
  <w:footnote w:id="33">
    <w:p w:rsidR="002F485D" w14:paraId="60630518" w14:textId="6F2A74CB">
      <w:pPr>
        <w:pStyle w:val="FootnoteText"/>
      </w:pPr>
      <w:r>
        <w:rPr>
          <w:rStyle w:val="FootnoteReference"/>
        </w:rPr>
        <w:footnoteRef/>
      </w:r>
      <w:r>
        <w:t xml:space="preserve"> </w:t>
      </w:r>
      <w:r w:rsidRPr="00272C67" w:rsidR="00AE700C">
        <w:rPr>
          <w:i/>
          <w:iCs/>
        </w:rPr>
        <w:t>See Amendments to Part 4 of the Commission’s Rules Concerning Disruptions to Communications; Improving 911 Reliability, New Part 4 of Commission’s Rules Concerning Disruptions to Communications</w:t>
      </w:r>
      <w:r w:rsidRPr="00AE700C" w:rsidR="00AE700C">
        <w:t>, PS Docket Nos. 15-80 and 13-75, ET Docket No. 04-35, Order on Reconsideration, FCC 24-73</w:t>
      </w:r>
      <w:r w:rsidR="00272C67">
        <w:t>, para. 20</w:t>
      </w:r>
      <w:r w:rsidRPr="00AE700C" w:rsidR="00AE700C">
        <w:t xml:space="preserve"> (2024) (</w:t>
      </w:r>
      <w:r w:rsidRPr="00272C67" w:rsidR="00AE700C">
        <w:rPr>
          <w:i/>
          <w:iCs/>
        </w:rPr>
        <w:t>2024 Order on Reconsideration</w:t>
      </w:r>
      <w:r w:rsidRPr="00AE700C" w:rsidR="00AE700C">
        <w:t>).</w:t>
      </w:r>
    </w:p>
  </w:footnote>
  <w:footnote w:id="34">
    <w:p w:rsidR="00CE175F" w:rsidRPr="00884530" w:rsidP="009E3262" w14:paraId="68D034AD" w14:textId="3C8EC801">
      <w:pPr>
        <w:pStyle w:val="FootnoteText"/>
        <w:spacing w:before="120"/>
      </w:pPr>
      <w:r w:rsidRPr="00884530">
        <w:rPr>
          <w:rStyle w:val="FootnoteReference"/>
        </w:rPr>
        <w:footnoteRef/>
      </w:r>
      <w:r w:rsidRPr="00884530">
        <w:t xml:space="preserve"> 47 U.S.C. </w:t>
      </w:r>
      <w:r w:rsidR="00E25547">
        <w:t xml:space="preserve">§ </w:t>
      </w:r>
      <w:r w:rsidRPr="00884530">
        <w:t>151.</w:t>
      </w:r>
    </w:p>
  </w:footnote>
  <w:footnote w:id="35">
    <w:p w:rsidR="00CE175F" w:rsidRPr="00884530" w:rsidP="009E3262" w14:paraId="1681BED6" w14:textId="26F44100">
      <w:pPr>
        <w:pStyle w:val="FootnoteText"/>
        <w:spacing w:before="120"/>
      </w:pPr>
      <w:r w:rsidRPr="00884530">
        <w:rPr>
          <w:rStyle w:val="FootnoteReference"/>
        </w:rPr>
        <w:footnoteRef/>
      </w:r>
      <w:r w:rsidRPr="00884530">
        <w:t xml:space="preserve"> 47 U.S.C. </w:t>
      </w:r>
      <w:r w:rsidR="00E25547">
        <w:t xml:space="preserve">§ </w:t>
      </w:r>
      <w:r w:rsidRPr="00884530">
        <w:t>251(e)(3).</w:t>
      </w:r>
    </w:p>
  </w:footnote>
  <w:footnote w:id="36">
    <w:p w:rsidR="001A3F91" w:rsidP="00815665" w14:paraId="3676C5F3" w14:textId="6A67532E">
      <w:pPr>
        <w:pStyle w:val="FootnoteText"/>
      </w:pPr>
      <w:r>
        <w:rPr>
          <w:rStyle w:val="FootnoteReference"/>
        </w:rPr>
        <w:footnoteRef/>
      </w:r>
      <w:r>
        <w:t xml:space="preserve"> 47 U.S.C. § 251(e)(4).</w:t>
      </w:r>
    </w:p>
  </w:footnote>
  <w:footnote w:id="37">
    <w:p w:rsidR="00991C1C" w:rsidP="009A6977" w14:paraId="3A0AC8E3" w14:textId="7CDAE7A8">
      <w:pPr>
        <w:pStyle w:val="FootnoteText"/>
      </w:pPr>
      <w:r>
        <w:rPr>
          <w:rStyle w:val="FootnoteReference"/>
        </w:rPr>
        <w:footnoteRef/>
      </w:r>
      <w:r>
        <w:t xml:space="preserve">  </w:t>
      </w:r>
      <w:r>
        <w:rPr>
          <w:szCs w:val="22"/>
        </w:rPr>
        <w:t>Intrado Life &amp; Safety, Inc. Comments (</w:t>
      </w:r>
      <w:r w:rsidR="000931BC">
        <w:rPr>
          <w:szCs w:val="22"/>
        </w:rPr>
        <w:t>Jan. 8, 2024) (Intrado Comments).</w:t>
      </w:r>
    </w:p>
  </w:footnote>
  <w:footnote w:id="38">
    <w:p w:rsidR="00991C1C" w:rsidP="009A6977" w14:paraId="493D2589" w14:textId="60A8F1FD">
      <w:pPr>
        <w:pStyle w:val="FootnoteText"/>
      </w:pPr>
      <w:r>
        <w:rPr>
          <w:rStyle w:val="FootnoteReference"/>
        </w:rPr>
        <w:footnoteRef/>
      </w:r>
      <w:r>
        <w:t xml:space="preserve"> </w:t>
      </w:r>
      <w:r w:rsidRPr="003F469B">
        <w:rPr>
          <w:szCs w:val="22"/>
        </w:rPr>
        <w:t>ACA Connects – America’s Communications Association (ACA Connects), Competitive Carriers Association (CCA), CTIA, NCTA – The Internet &amp; Television Association (NCTA), and USTelecom – The Broadband Association (USTelecom)</w:t>
      </w:r>
      <w:r>
        <w:rPr>
          <w:szCs w:val="22"/>
        </w:rPr>
        <w:t>, comments (Jan. 8, 2024) (Associations Comments).</w:t>
      </w:r>
    </w:p>
  </w:footnote>
  <w:footnote w:id="39">
    <w:p w:rsidR="00637D07" w:rsidP="00637D07" w14:paraId="4F94DCD6" w14:textId="77777777">
      <w:pPr>
        <w:pStyle w:val="FootnoteText"/>
      </w:pPr>
      <w:r>
        <w:rPr>
          <w:rStyle w:val="FootnoteReference"/>
        </w:rPr>
        <w:footnoteRef/>
      </w:r>
      <w:r>
        <w:t xml:space="preserve"> Associations Comments at 6; Intrado Comments at 13.</w:t>
      </w:r>
    </w:p>
  </w:footnote>
  <w:footnote w:id="40">
    <w:p w:rsidR="00EA0EDC" w:rsidP="00EA0EDC" w14:paraId="3416ECF1" w14:textId="77777777">
      <w:pPr>
        <w:pStyle w:val="FootnoteText"/>
        <w:spacing w:before="120"/>
      </w:pPr>
      <w:r>
        <w:rPr>
          <w:rStyle w:val="FootnoteReference"/>
        </w:rPr>
        <w:footnoteRef/>
      </w:r>
      <w:r>
        <w:t xml:space="preserve"> </w:t>
      </w:r>
      <w:r w:rsidRPr="003C2BA8">
        <w:rPr>
          <w:i/>
          <w:iCs/>
        </w:rPr>
        <w:t xml:space="preserve">See </w:t>
      </w:r>
      <w:r w:rsidRPr="001D3A24">
        <w:rPr>
          <w:i/>
        </w:rPr>
        <w:t>Amendments to Part 4 of the Commission’s Rules Concerning Disruptions to Communications</w:t>
      </w:r>
      <w:r w:rsidRPr="00E17D46">
        <w:rPr>
          <w:i/>
        </w:rPr>
        <w:t>;</w:t>
      </w:r>
      <w:r>
        <w:rPr>
          <w:iCs/>
        </w:rPr>
        <w:t xml:space="preserve"> </w:t>
      </w:r>
      <w:r w:rsidRPr="00E17D46">
        <w:rPr>
          <w:i/>
        </w:rPr>
        <w:t>Improving 911 Reliability, New Part 4 of Commission’s Rules Concerning Disruptions to Communications</w:t>
      </w:r>
      <w:r>
        <w:t xml:space="preserve">, </w:t>
      </w:r>
      <w:r w:rsidRPr="00662AD9">
        <w:t>PS Docket No</w:t>
      </w:r>
      <w:r>
        <w:t>s</w:t>
      </w:r>
      <w:r w:rsidRPr="00662AD9">
        <w:t>. 15-80</w:t>
      </w:r>
      <w:r>
        <w:t xml:space="preserve"> and 13-75, ET Docket No. 04-35, Order on Reconsideration, FCC 24-73 (2024) (</w:t>
      </w:r>
      <w:r w:rsidRPr="00C67BA5">
        <w:rPr>
          <w:i/>
          <w:iCs/>
        </w:rPr>
        <w:t>202</w:t>
      </w:r>
      <w:r>
        <w:rPr>
          <w:i/>
          <w:iCs/>
        </w:rPr>
        <w:t>4 Order on Reconsideration)</w:t>
      </w:r>
      <w:r>
        <w:t>.</w:t>
      </w:r>
    </w:p>
  </w:footnote>
  <w:footnote w:id="41">
    <w:p w:rsidR="007F6A76" w14:paraId="0ED85DAA" w14:textId="77777777">
      <w:pPr>
        <w:pStyle w:val="FootnoteText"/>
      </w:pPr>
      <w:r>
        <w:rPr>
          <w:rStyle w:val="FootnoteReference"/>
        </w:rPr>
        <w:footnoteRef/>
      </w:r>
      <w:r>
        <w:t xml:space="preserve"> </w:t>
      </w:r>
      <w:r w:rsidRPr="006E5E98">
        <w:rPr>
          <w:i/>
          <w:iCs/>
        </w:rPr>
        <w:t>2022</w:t>
      </w:r>
      <w:r>
        <w:t xml:space="preserve"> </w:t>
      </w:r>
      <w:r w:rsidRPr="00C33D4E">
        <w:rPr>
          <w:i/>
          <w:iCs/>
        </w:rPr>
        <w:t xml:space="preserve">Second Report and </w:t>
      </w:r>
      <w:r w:rsidRPr="009E7F3F">
        <w:t>Order</w:t>
      </w:r>
      <w:r>
        <w:t xml:space="preserve">, </w:t>
      </w:r>
      <w:r w:rsidRPr="007F6A76">
        <w:t>37</w:t>
      </w:r>
      <w:r w:rsidRPr="00E64001">
        <w:t xml:space="preserve"> FCC Rcd at 138</w:t>
      </w:r>
      <w:r>
        <w:t>60</w:t>
      </w:r>
      <w:r w:rsidRPr="00E64001">
        <w:t xml:space="preserve">, para. </w:t>
      </w:r>
      <w:r>
        <w:t>22.</w:t>
      </w:r>
    </w:p>
  </w:footnote>
  <w:footnote w:id="42">
    <w:p w:rsidR="007F6A76" w:rsidRPr="007F6A76" w14:paraId="201F40EE" w14:textId="5337F418">
      <w:pPr>
        <w:pStyle w:val="FootnoteText"/>
      </w:pPr>
      <w:r>
        <w:rPr>
          <w:rStyle w:val="FootnoteReference"/>
        </w:rPr>
        <w:footnoteRef/>
      </w:r>
      <w:r>
        <w:t xml:space="preserve"> </w:t>
      </w:r>
      <w:r w:rsidRPr="006E5E98">
        <w:rPr>
          <w:i/>
          <w:iCs/>
        </w:rPr>
        <w:t>2022</w:t>
      </w:r>
      <w:r>
        <w:t xml:space="preserve"> </w:t>
      </w:r>
      <w:r w:rsidRPr="00C33D4E">
        <w:rPr>
          <w:i/>
          <w:iCs/>
        </w:rPr>
        <w:t xml:space="preserve">Second Report and </w:t>
      </w:r>
      <w:r w:rsidRPr="0094460A">
        <w:t>Order</w:t>
      </w:r>
      <w:r>
        <w:t xml:space="preserve">, </w:t>
      </w:r>
      <w:r w:rsidRPr="007F6A76">
        <w:t>37</w:t>
      </w:r>
      <w:r w:rsidRPr="00E64001">
        <w:t xml:space="preserve"> FCC Rcd at 1385</w:t>
      </w:r>
      <w:r>
        <w:t>8</w:t>
      </w:r>
      <w:r w:rsidRPr="00E64001">
        <w:t xml:space="preserve">, para. </w:t>
      </w:r>
      <w:r>
        <w:t>19.</w:t>
      </w:r>
    </w:p>
  </w:footnote>
  <w:footnote w:id="43">
    <w:p w:rsidR="00B15942" w:rsidRPr="00E64001" w:rsidP="00B15942" w14:paraId="49C56817" w14:textId="157A40CD">
      <w:pPr>
        <w:pStyle w:val="FootnoteText"/>
      </w:pPr>
      <w:r w:rsidRPr="00E64001">
        <w:rPr>
          <w:rStyle w:val="FootnoteReference"/>
        </w:rPr>
        <w:footnoteRef/>
      </w:r>
      <w:r w:rsidRPr="00E64001">
        <w:t xml:space="preserve"> </w:t>
      </w:r>
      <w:r w:rsidRPr="0066119C">
        <w:rPr>
          <w:i/>
          <w:iCs/>
        </w:rPr>
        <w:t>2024 Order on Reconsideration</w:t>
      </w:r>
      <w:r>
        <w:t xml:space="preserve"> at 5, para </w:t>
      </w:r>
      <w:r w:rsidR="000B0305">
        <w:t>10</w:t>
      </w:r>
      <w:r>
        <w:t xml:space="preserve">, citing </w:t>
      </w:r>
      <w:r w:rsidRPr="006E5E98">
        <w:rPr>
          <w:i/>
          <w:iCs/>
        </w:rPr>
        <w:t>2022</w:t>
      </w:r>
      <w:r>
        <w:t xml:space="preserve"> </w:t>
      </w:r>
      <w:r w:rsidRPr="00E64001">
        <w:rPr>
          <w:i/>
          <w:iCs/>
        </w:rPr>
        <w:t>Second Report and Order,</w:t>
      </w:r>
      <w:r w:rsidRPr="00E64001">
        <w:t xml:space="preserve"> 37 FCC Rcd at 13858, para. 19.</w:t>
      </w:r>
    </w:p>
  </w:footnote>
  <w:footnote w:id="44">
    <w:p w:rsidR="00B15942" w:rsidRPr="00E64001" w:rsidP="00B15942" w14:paraId="35370523" w14:textId="238FD773">
      <w:pPr>
        <w:pStyle w:val="FootnoteText"/>
      </w:pPr>
      <w:r w:rsidRPr="00E64001">
        <w:rPr>
          <w:rStyle w:val="FootnoteReference"/>
        </w:rPr>
        <w:footnoteRef/>
      </w:r>
      <w:r w:rsidRPr="00E64001">
        <w:t xml:space="preserve"> </w:t>
      </w:r>
      <w:r w:rsidRPr="006E5E98">
        <w:rPr>
          <w:i/>
          <w:iCs/>
        </w:rPr>
        <w:t>2022</w:t>
      </w:r>
      <w:r>
        <w:t xml:space="preserve"> </w:t>
      </w:r>
      <w:r w:rsidRPr="00E64001">
        <w:rPr>
          <w:i/>
          <w:iCs/>
        </w:rPr>
        <w:t>Second Report and Order,</w:t>
      </w:r>
      <w:r w:rsidRPr="00E64001">
        <w:t xml:space="preserve"> 37 FCC Rcd at 13859, para. 21 (</w:t>
      </w:r>
      <w:r w:rsidR="002B2A56">
        <w:t>addressing</w:t>
      </w:r>
      <w:r w:rsidRPr="00E64001">
        <w:t xml:space="preserve"> comments by Lumen and CTIA asking for the 30-minute deadline to start notification, not complete it).</w:t>
      </w:r>
    </w:p>
  </w:footnote>
  <w:footnote w:id="45">
    <w:p w:rsidR="00B15942" w:rsidP="00B15942" w14:paraId="1ACCCDD5" w14:textId="4B6DDBC4">
      <w:pPr>
        <w:pStyle w:val="FootnoteText"/>
      </w:pPr>
      <w:r>
        <w:rPr>
          <w:rStyle w:val="FootnoteReference"/>
        </w:rPr>
        <w:footnoteRef/>
      </w:r>
      <w:r>
        <w:t xml:space="preserve"> </w:t>
      </w:r>
      <w:r w:rsidRPr="004C30E5">
        <w:rPr>
          <w:i/>
          <w:iCs/>
        </w:rPr>
        <w:t>2024 Order on Reconsideration</w:t>
      </w:r>
      <w:r>
        <w:t xml:space="preserve"> at 5, para</w:t>
      </w:r>
      <w:r w:rsidR="007F6A76">
        <w:t>.</w:t>
      </w:r>
      <w:r>
        <w:t xml:space="preserve"> 10.</w:t>
      </w:r>
    </w:p>
  </w:footnote>
  <w:footnote w:id="46">
    <w:p w:rsidR="007F6A76" w14:paraId="5CB2F6DC" w14:textId="0B01A4A3">
      <w:pPr>
        <w:pStyle w:val="FootnoteText"/>
      </w:pPr>
      <w:r>
        <w:rPr>
          <w:rStyle w:val="FootnoteReference"/>
        </w:rPr>
        <w:footnoteRef/>
      </w:r>
      <w:r>
        <w:t xml:space="preserve"> </w:t>
      </w:r>
      <w:r w:rsidRPr="0066119C">
        <w:rPr>
          <w:i/>
          <w:iCs/>
        </w:rPr>
        <w:t>2024 Order on Reconsideration</w:t>
      </w:r>
      <w:r>
        <w:t xml:space="preserve"> at 6, para. 12.</w:t>
      </w:r>
    </w:p>
  </w:footnote>
  <w:footnote w:id="47">
    <w:p w:rsidR="002B2A56" w:rsidRPr="00E64001" w:rsidP="002B2A56" w14:paraId="5F4361EB" w14:textId="77777777">
      <w:pPr>
        <w:pStyle w:val="FootnoteText"/>
      </w:pPr>
      <w:r w:rsidRPr="00E64001">
        <w:rPr>
          <w:rStyle w:val="FootnoteReference"/>
        </w:rPr>
        <w:footnoteRef/>
      </w:r>
      <w:r w:rsidRPr="00E64001">
        <w:t xml:space="preserve"> </w:t>
      </w:r>
      <w:r w:rsidRPr="006E5E98">
        <w:rPr>
          <w:i/>
          <w:iCs/>
        </w:rPr>
        <w:t>2022</w:t>
      </w:r>
      <w:r>
        <w:t xml:space="preserve"> </w:t>
      </w:r>
      <w:r w:rsidRPr="00E64001">
        <w:rPr>
          <w:i/>
          <w:iCs/>
        </w:rPr>
        <w:t>Second Report and Order</w:t>
      </w:r>
      <w:r w:rsidRPr="00E64001">
        <w:t>, 37 FCC Rcd at 13858</w:t>
      </w:r>
      <w:r>
        <w:t>.</w:t>
      </w:r>
    </w:p>
  </w:footnote>
  <w:footnote w:id="48">
    <w:p w:rsidR="00A76C4D" w:rsidRPr="009E7F3F" w:rsidP="00A76C4D" w14:paraId="0E8694BC" w14:textId="77777777">
      <w:pPr>
        <w:pStyle w:val="FootnoteText"/>
        <w:rPr>
          <w:i/>
          <w:iCs/>
        </w:rPr>
      </w:pPr>
      <w:r>
        <w:rPr>
          <w:rStyle w:val="FootnoteReference"/>
        </w:rPr>
        <w:footnoteRef/>
      </w:r>
      <w:r>
        <w:t xml:space="preserve"> </w:t>
      </w:r>
      <w:r>
        <w:rPr>
          <w:i/>
          <w:iCs/>
        </w:rPr>
        <w:t>Id.</w:t>
      </w:r>
    </w:p>
  </w:footnote>
  <w:footnote w:id="49">
    <w:p w:rsidR="00167C20" w:rsidP="00167C20" w14:paraId="5649C74E" w14:textId="77777777">
      <w:pPr>
        <w:pStyle w:val="FootnoteText"/>
      </w:pPr>
      <w:r>
        <w:rPr>
          <w:rStyle w:val="FootnoteReference"/>
        </w:rPr>
        <w:footnoteRef/>
      </w:r>
      <w:r>
        <w:t xml:space="preserve"> </w:t>
      </w:r>
      <w:r w:rsidRPr="00964E6D">
        <w:rPr>
          <w:i/>
          <w:iCs/>
        </w:rPr>
        <w:t>2024 Order on Reconsideration</w:t>
      </w:r>
      <w:r w:rsidRPr="00964E6D">
        <w:t xml:space="preserve"> at</w:t>
      </w:r>
      <w:r>
        <w:t xml:space="preserve"> 8, para. 17.</w:t>
      </w:r>
    </w:p>
  </w:footnote>
  <w:footnote w:id="50">
    <w:p w:rsidR="002C3464" w14:paraId="0AE1D752" w14:textId="16583884">
      <w:pPr>
        <w:pStyle w:val="FootnoteText"/>
      </w:pPr>
      <w:r>
        <w:rPr>
          <w:rStyle w:val="FootnoteReference"/>
        </w:rPr>
        <w:footnoteRef/>
      </w:r>
      <w:r>
        <w:t xml:space="preserve"> </w:t>
      </w:r>
      <w:r w:rsidR="00D41CC5">
        <w:t xml:space="preserve">Associations Comments at 6-8; </w:t>
      </w:r>
      <w:r>
        <w:t>Intrado Comments at 9.</w:t>
      </w:r>
    </w:p>
  </w:footnote>
  <w:footnote w:id="51">
    <w:p w:rsidR="007044E6" w14:paraId="08E8D9A2" w14:textId="77777777">
      <w:pPr>
        <w:pStyle w:val="FootnoteText"/>
      </w:pPr>
      <w:r>
        <w:rPr>
          <w:rStyle w:val="FootnoteReference"/>
        </w:rPr>
        <w:footnoteRef/>
      </w:r>
      <w:r>
        <w:t xml:space="preserve"> </w:t>
      </w:r>
      <w:r w:rsidRPr="007044E6">
        <w:t>44 U.S.C.</w:t>
      </w:r>
      <w:r>
        <w:t xml:space="preserve"> §</w:t>
      </w:r>
      <w:r w:rsidRPr="007044E6">
        <w:t xml:space="preserve"> 3506(c)(1)(A)(iv); 5 C</w:t>
      </w:r>
      <w:r>
        <w:t>.</w:t>
      </w:r>
      <w:r w:rsidRPr="007044E6">
        <w:t>F</w:t>
      </w:r>
      <w:r>
        <w:t>.</w:t>
      </w:r>
      <w:r w:rsidRPr="007044E6">
        <w:t>R</w:t>
      </w:r>
      <w:r>
        <w:t>.</w:t>
      </w:r>
      <w:r w:rsidRPr="007044E6">
        <w:t xml:space="preserve"> </w:t>
      </w:r>
      <w:r>
        <w:t>§</w:t>
      </w:r>
      <w:r w:rsidR="00C16D8A">
        <w:t xml:space="preserve"> </w:t>
      </w:r>
      <w:r w:rsidRPr="007044E6">
        <w:t>1320.8(a)(4).</w:t>
      </w:r>
    </w:p>
  </w:footnote>
  <w:footnote w:id="52">
    <w:p w:rsidR="005A7000" w14:paraId="574D4BA4" w14:textId="2F5BD98A">
      <w:pPr>
        <w:pStyle w:val="FootnoteText"/>
      </w:pPr>
      <w:r>
        <w:rPr>
          <w:rStyle w:val="FootnoteReference"/>
        </w:rPr>
        <w:footnoteRef/>
      </w:r>
      <w:r>
        <w:t xml:space="preserve"> </w:t>
      </w:r>
      <w:r w:rsidRPr="006E5E98">
        <w:rPr>
          <w:i/>
          <w:iCs/>
        </w:rPr>
        <w:t>2022</w:t>
      </w:r>
      <w:r>
        <w:t xml:space="preserve"> </w:t>
      </w:r>
      <w:r w:rsidRPr="00E64001">
        <w:rPr>
          <w:i/>
          <w:iCs/>
        </w:rPr>
        <w:t>Second Report and Order</w:t>
      </w:r>
      <w:r w:rsidRPr="00E64001">
        <w:t>, 37 FCC Rcd at 13</w:t>
      </w:r>
      <w:r>
        <w:t>865, para. 36, n.114.</w:t>
      </w:r>
    </w:p>
  </w:footnote>
  <w:footnote w:id="53">
    <w:p w:rsidR="0012687D" w14:paraId="68A44DBA" w14:textId="5DFE59A8">
      <w:pPr>
        <w:pStyle w:val="FootnoteText"/>
      </w:pPr>
      <w:r>
        <w:rPr>
          <w:rStyle w:val="FootnoteReference"/>
        </w:rPr>
        <w:footnoteRef/>
      </w:r>
      <w:r>
        <w:t xml:space="preserve"> </w:t>
      </w:r>
      <w:r w:rsidRPr="001D3A24">
        <w:rPr>
          <w:i/>
        </w:rPr>
        <w:t>Amendments to Part 4 of the Commission’s Rules Concerning Disruptions to Communications</w:t>
      </w:r>
      <w:r w:rsidRPr="00B61F3A">
        <w:rPr>
          <w:i/>
        </w:rPr>
        <w:t>;</w:t>
      </w:r>
      <w:r>
        <w:rPr>
          <w:iCs/>
        </w:rPr>
        <w:t xml:space="preserve"> </w:t>
      </w:r>
      <w:r w:rsidRPr="00B61F3A">
        <w:rPr>
          <w:i/>
        </w:rPr>
        <w:t>Improving 911 Reliability, New Part 4 of Commission’s Rules Concerning Disruptions to Communications</w:t>
      </w:r>
      <w:r>
        <w:t xml:space="preserve">, </w:t>
      </w:r>
      <w:r w:rsidRPr="00662AD9">
        <w:t>PS Docket No</w:t>
      </w:r>
      <w:r>
        <w:t>s</w:t>
      </w:r>
      <w:r w:rsidRPr="00662AD9">
        <w:t>. 15-80</w:t>
      </w:r>
      <w:r>
        <w:t xml:space="preserve"> and 13-75, ET Docket No. 04-35, Third Notice of Proposed Rulemaking, FCC 21-45, 36 FCC Rcd 7860, 7884, para., 56, n.121-122 (2021) (</w:t>
      </w:r>
      <w:r w:rsidRPr="009C4E09">
        <w:rPr>
          <w:i/>
        </w:rPr>
        <w:t>Third Notice</w:t>
      </w:r>
      <w:r w:rsidRPr="00B61F3A">
        <w:t>)</w:t>
      </w:r>
      <w:r>
        <w:t>.</w:t>
      </w:r>
    </w:p>
  </w:footnote>
  <w:footnote w:id="54">
    <w:p w:rsidR="00594979" w14:paraId="6AAA553E" w14:textId="77777777">
      <w:pPr>
        <w:pStyle w:val="FootnoteText"/>
      </w:pPr>
      <w:r>
        <w:rPr>
          <w:rStyle w:val="FootnoteReference"/>
        </w:rPr>
        <w:footnoteRef/>
      </w:r>
      <w:r>
        <w:t xml:space="preserve"> </w:t>
      </w:r>
      <w:r>
        <w:rPr>
          <w:i/>
          <w:iCs/>
        </w:rPr>
        <w:t xml:space="preserve">See infra </w:t>
      </w:r>
      <w:r>
        <w:t>at p. 15.</w:t>
      </w:r>
    </w:p>
  </w:footnote>
  <w:footnote w:id="55">
    <w:p w:rsidR="00FE4F79" w14:paraId="6DF1FBF8" w14:textId="200D3B4F">
      <w:pPr>
        <w:pStyle w:val="FootnoteText"/>
      </w:pPr>
      <w:r>
        <w:rPr>
          <w:rStyle w:val="FootnoteReference"/>
        </w:rPr>
        <w:footnoteRef/>
      </w:r>
      <w:r>
        <w:t xml:space="preserve"> Associations Comments at 7.</w:t>
      </w:r>
    </w:p>
  </w:footnote>
  <w:footnote w:id="56">
    <w:p w:rsidR="00C05AA9" w:rsidRPr="0094460A" w14:paraId="17BB041B" w14:textId="0A396884">
      <w:pPr>
        <w:pStyle w:val="FootnoteText"/>
        <w:rPr>
          <w:i/>
          <w:iCs/>
        </w:rPr>
      </w:pPr>
      <w:r>
        <w:rPr>
          <w:rStyle w:val="FootnoteReference"/>
        </w:rPr>
        <w:footnoteRef/>
      </w:r>
      <w:r>
        <w:t xml:space="preserve"> </w:t>
      </w:r>
      <w:r>
        <w:rPr>
          <w:i/>
          <w:iCs/>
        </w:rPr>
        <w:t xml:space="preserve">See </w:t>
      </w:r>
      <w:r w:rsidRPr="00964E6D">
        <w:rPr>
          <w:i/>
          <w:iCs/>
        </w:rPr>
        <w:t>2024 Order on Reconsideration</w:t>
      </w:r>
      <w:r w:rsidRPr="00964E6D">
        <w:t xml:space="preserve"> at</w:t>
      </w:r>
      <w:r>
        <w:t xml:space="preserve"> 8-9, para. 17.</w:t>
      </w:r>
    </w:p>
  </w:footnote>
  <w:footnote w:id="57">
    <w:p w:rsidR="00C05AA9" w14:paraId="6FE16E9D" w14:textId="01BD1704">
      <w:pPr>
        <w:pStyle w:val="FootnoteText"/>
      </w:pPr>
      <w:r>
        <w:rPr>
          <w:rStyle w:val="FootnoteReference"/>
        </w:rPr>
        <w:footnoteRef/>
      </w:r>
      <w:r>
        <w:t xml:space="preserve"> </w:t>
      </w:r>
      <w:r w:rsidRPr="00964E6D">
        <w:rPr>
          <w:i/>
          <w:iCs/>
        </w:rPr>
        <w:t>2024 Order on Reconsideration</w:t>
      </w:r>
      <w:r w:rsidRPr="00964E6D">
        <w:t xml:space="preserve"> at</w:t>
      </w:r>
      <w:r>
        <w:t xml:space="preserve"> 8, para. 17.</w:t>
      </w:r>
    </w:p>
  </w:footnote>
  <w:footnote w:id="58">
    <w:p w:rsidR="001A22DB" w14:paraId="50F22FDB" w14:textId="512D0360">
      <w:pPr>
        <w:pStyle w:val="FootnoteText"/>
      </w:pPr>
      <w:r>
        <w:rPr>
          <w:rStyle w:val="FootnoteReference"/>
        </w:rPr>
        <w:footnoteRef/>
      </w:r>
      <w:r>
        <w:t xml:space="preserve"> </w:t>
      </w:r>
      <w:r w:rsidRPr="00D84CD0" w:rsidR="00D84CD0">
        <w:rPr>
          <w:i/>
          <w:iCs/>
        </w:rPr>
        <w:t>2022 Second Report and Order</w:t>
      </w:r>
      <w:r w:rsidRPr="00D84CD0" w:rsidR="00D84CD0">
        <w:t>, 37 FCC Rcd at 13860, n.86.  The Commission has noted that some PSAPs have begun to raise complaints about over-notification, even before this information collection has gone into effect.  The Commission believes that these complaints suggest that some providers have chosen to implement the rule in an overinclusive and uncoordinated manner and notes that nothing precludes providers from working together to establish more coordinated and efficient outage notification processes that reduce the likelihood of unnecessary notifications.  2024 Order on Reconsideration at 8-9, para. 17</w:t>
      </w:r>
      <w:r w:rsidR="00D84CD0">
        <w:t>.</w:t>
      </w:r>
    </w:p>
  </w:footnote>
  <w:footnote w:id="59">
    <w:p w:rsidR="002C3464" w14:paraId="6661B89E" w14:textId="77777777">
      <w:pPr>
        <w:pStyle w:val="FootnoteText"/>
      </w:pPr>
      <w:r>
        <w:rPr>
          <w:rStyle w:val="FootnoteReference"/>
        </w:rPr>
        <w:footnoteRef/>
      </w:r>
      <w:r>
        <w:t xml:space="preserve"> Intrado Comments at 9.</w:t>
      </w:r>
    </w:p>
  </w:footnote>
  <w:footnote w:id="60">
    <w:p w:rsidR="00DD306D" w14:paraId="077FDA74" w14:textId="09653CD6">
      <w:pPr>
        <w:pStyle w:val="FootnoteText"/>
      </w:pPr>
      <w:r>
        <w:rPr>
          <w:rStyle w:val="FootnoteReference"/>
        </w:rPr>
        <w:footnoteRef/>
      </w:r>
      <w:r>
        <w:t xml:space="preserve"> Intrado Comments at 10-11.</w:t>
      </w:r>
    </w:p>
  </w:footnote>
  <w:footnote w:id="61">
    <w:p w:rsidR="00DD306D" w14:paraId="28AD66F1" w14:textId="16D9080E">
      <w:pPr>
        <w:pStyle w:val="FootnoteText"/>
      </w:pPr>
      <w:r>
        <w:rPr>
          <w:rStyle w:val="FootnoteReference"/>
        </w:rPr>
        <w:footnoteRef/>
      </w:r>
      <w:r>
        <w:t xml:space="preserve"> </w:t>
      </w:r>
      <w:r w:rsidRPr="00C67BA5">
        <w:rPr>
          <w:i/>
          <w:iCs/>
        </w:rPr>
        <w:t>2022</w:t>
      </w:r>
      <w:r>
        <w:t xml:space="preserve"> </w:t>
      </w:r>
      <w:r w:rsidRPr="005A30D6">
        <w:rPr>
          <w:i/>
          <w:iCs/>
        </w:rPr>
        <w:t xml:space="preserve">Second Report </w:t>
      </w:r>
      <w:r w:rsidRPr="00E72FAD">
        <w:rPr>
          <w:i/>
          <w:iCs/>
        </w:rPr>
        <w:t>and Order</w:t>
      </w:r>
      <w:r>
        <w:t xml:space="preserve">, </w:t>
      </w:r>
      <w:r w:rsidRPr="00E72FAD">
        <w:t>37</w:t>
      </w:r>
      <w:r>
        <w:t xml:space="preserve"> FCC Rcd at 13850, para. 4; 47 CFR § 4.9(a)(4), (c)(2)(iv), (e)(1)(v), (f)(4), (g)(1)(i)</w:t>
      </w:r>
      <w:r w:rsidR="00901BFE">
        <w:t>, (h)</w:t>
      </w:r>
      <w:r>
        <w:t>.</w:t>
      </w:r>
    </w:p>
  </w:footnote>
  <w:footnote w:id="62">
    <w:p w:rsidR="00E17426" w14:paraId="5635BFAC" w14:textId="3DEE3166">
      <w:pPr>
        <w:pStyle w:val="FootnoteText"/>
      </w:pPr>
      <w:r>
        <w:rPr>
          <w:rStyle w:val="FootnoteReference"/>
        </w:rPr>
        <w:footnoteRef/>
      </w:r>
      <w:r>
        <w:t xml:space="preserve"> </w:t>
      </w:r>
      <w:r w:rsidR="00523B9A">
        <w:t xml:space="preserve">To the extent that those providers rely on third party vendors to support those capabilities, the Commission has emphasized that it has and will continue to hold service providers accountable for compliance with their notification obligations, even if they rely upon third-party service providers.  </w:t>
      </w:r>
      <w:r w:rsidRPr="00C67BA5">
        <w:rPr>
          <w:i/>
          <w:iCs/>
        </w:rPr>
        <w:t>2022</w:t>
      </w:r>
      <w:r>
        <w:t xml:space="preserve"> </w:t>
      </w:r>
      <w:r w:rsidRPr="005A30D6">
        <w:rPr>
          <w:i/>
          <w:iCs/>
        </w:rPr>
        <w:t xml:space="preserve">Second Report </w:t>
      </w:r>
      <w:r w:rsidRPr="00E72FAD">
        <w:rPr>
          <w:i/>
          <w:iCs/>
        </w:rPr>
        <w:t>and Order</w:t>
      </w:r>
      <w:r>
        <w:t xml:space="preserve">, </w:t>
      </w:r>
      <w:r w:rsidRPr="00E72FAD">
        <w:t>37</w:t>
      </w:r>
      <w:r>
        <w:t xml:space="preserve"> FCC Rcd at 13854, para. 13.</w:t>
      </w:r>
    </w:p>
  </w:footnote>
  <w:footnote w:id="63">
    <w:p w:rsidR="00D6433B" w14:paraId="68BDA9DC" w14:textId="193DA8DB">
      <w:pPr>
        <w:pStyle w:val="FootnoteText"/>
      </w:pPr>
      <w:r>
        <w:rPr>
          <w:rStyle w:val="FootnoteReference"/>
        </w:rPr>
        <w:footnoteRef/>
      </w:r>
      <w:r>
        <w:t xml:space="preserve"> Intrado Comments at 3-8.</w:t>
      </w:r>
    </w:p>
  </w:footnote>
  <w:footnote w:id="64">
    <w:p w:rsidR="000D6E1A" w:rsidRPr="000D6E1A" w14:paraId="13480BBE" w14:textId="2F002FF8">
      <w:pPr>
        <w:pStyle w:val="FootnoteText"/>
      </w:pPr>
      <w:r>
        <w:rPr>
          <w:rStyle w:val="FootnoteReference"/>
        </w:rPr>
        <w:footnoteRef/>
      </w:r>
      <w:r>
        <w:t xml:space="preserve"> </w:t>
      </w:r>
      <w:r w:rsidRPr="009C4E09">
        <w:rPr>
          <w:i/>
        </w:rPr>
        <w:t xml:space="preserve">See </w:t>
      </w:r>
      <w:r w:rsidRPr="0094460A">
        <w:rPr>
          <w:i/>
          <w:iCs/>
        </w:rPr>
        <w:t>Third Notice</w:t>
      </w:r>
      <w:r>
        <w:t xml:space="preserve">, 36 FCC Rcd </w:t>
      </w:r>
      <w:r w:rsidR="0012687D">
        <w:t>at</w:t>
      </w:r>
      <w:r>
        <w:t xml:space="preserve"> 7884-85, n.118 and 123.  Contrary to Intrado’s assertions, this wage estimate includes an addition of approximately 50% </w:t>
      </w:r>
      <w:r w:rsidR="00871949">
        <w:t>of</w:t>
      </w:r>
      <w:r>
        <w:t xml:space="preserve"> compensation to account for benefits.  </w:t>
      </w:r>
      <w:r>
        <w:rPr>
          <w:i/>
          <w:iCs/>
        </w:rPr>
        <w:t>Id.</w:t>
      </w:r>
      <w:r>
        <w:t xml:space="preserve"> at 7884, n.118.</w:t>
      </w:r>
    </w:p>
  </w:footnote>
  <w:footnote w:id="65">
    <w:p w:rsidR="000D6E1A" w:rsidRPr="000D6E1A" w14:paraId="7113BFD4" w14:textId="1C58FD00">
      <w:pPr>
        <w:pStyle w:val="FootnoteText"/>
      </w:pPr>
      <w:r>
        <w:rPr>
          <w:rStyle w:val="FootnoteReference"/>
        </w:rPr>
        <w:footnoteRef/>
      </w:r>
      <w:r>
        <w:t xml:space="preserve"> </w:t>
      </w:r>
      <w:r w:rsidRPr="00C67BA5">
        <w:rPr>
          <w:i/>
          <w:iCs/>
        </w:rPr>
        <w:t>2022</w:t>
      </w:r>
      <w:r>
        <w:t xml:space="preserve"> </w:t>
      </w:r>
      <w:r w:rsidRPr="005A30D6">
        <w:rPr>
          <w:i/>
          <w:iCs/>
        </w:rPr>
        <w:t>Second Report and Order</w:t>
      </w:r>
      <w:r>
        <w:t xml:space="preserve">, </w:t>
      </w:r>
      <w:r w:rsidR="00D13435">
        <w:t>37 FCC Rcd at 13864-65,</w:t>
      </w:r>
      <w:r w:rsidR="00B06F20">
        <w:t xml:space="preserve"> 13882-83,</w:t>
      </w:r>
      <w:r w:rsidR="00D13435">
        <w:t xml:space="preserve"> para. </w:t>
      </w:r>
      <w:r w:rsidR="00E72FAD">
        <w:t>3</w:t>
      </w:r>
      <w:r w:rsidR="00D13435">
        <w:t xml:space="preserve">6, Appx. B. </w:t>
      </w:r>
      <w:r w:rsidR="00B06F20">
        <w:t xml:space="preserve">at </w:t>
      </w:r>
      <w:r w:rsidR="00D13435">
        <w:t>para. 26</w:t>
      </w:r>
      <w:r w:rsidR="00B06F20">
        <w:t>, n. 106.</w:t>
      </w:r>
    </w:p>
  </w:footnote>
  <w:footnote w:id="66">
    <w:p w:rsidR="00D6433B" w14:paraId="0A3EDC74" w14:textId="12A5EB04">
      <w:pPr>
        <w:pStyle w:val="FootnoteText"/>
      </w:pPr>
      <w:r>
        <w:rPr>
          <w:rStyle w:val="FootnoteReference"/>
        </w:rPr>
        <w:footnoteRef/>
      </w:r>
      <w:r>
        <w:t xml:space="preserve"> Intrado Comments at 4-5.</w:t>
      </w:r>
    </w:p>
  </w:footnote>
  <w:footnote w:id="67">
    <w:p w:rsidR="00786089" w:rsidRPr="0094460A" w14:paraId="55F42099" w14:textId="5A8C2CB6">
      <w:pPr>
        <w:pStyle w:val="FootnoteText"/>
        <w:rPr>
          <w:i/>
          <w:iCs/>
        </w:rPr>
      </w:pPr>
      <w:r>
        <w:rPr>
          <w:rStyle w:val="FootnoteReference"/>
        </w:rPr>
        <w:footnoteRef/>
      </w:r>
      <w:r>
        <w:t xml:space="preserve"> </w:t>
      </w:r>
      <w:r>
        <w:rPr>
          <w:i/>
          <w:iCs/>
        </w:rPr>
        <w:t xml:space="preserve">Id. </w:t>
      </w:r>
      <w:r>
        <w:t xml:space="preserve">at 13864-65, para. 36 (estimating </w:t>
      </w:r>
      <w:r w:rsidRPr="00786089">
        <w:t xml:space="preserve">maintaining and updating 911 special facility contact information </w:t>
      </w:r>
      <w:r>
        <w:t xml:space="preserve">as an annually recurring cost); </w:t>
      </w:r>
      <w:r w:rsidRPr="00F11000">
        <w:rPr>
          <w:i/>
          <w:iCs/>
        </w:rPr>
        <w:t>2024 Order on Reconsideration</w:t>
      </w:r>
      <w:r>
        <w:rPr>
          <w:i/>
          <w:iCs/>
        </w:rPr>
        <w:t xml:space="preserve"> </w:t>
      </w:r>
      <w:r>
        <w:t xml:space="preserve">at 12-17, paras. 29-37 (estimating </w:t>
      </w:r>
      <w:r w:rsidRPr="00786089">
        <w:t xml:space="preserve">maintaining and updating 911 special facility contact information </w:t>
      </w:r>
      <w:r>
        <w:t>as an annually recurring cost).</w:t>
      </w:r>
      <w:r w:rsidR="00E93620">
        <w:t xml:space="preserve">  </w:t>
      </w:r>
      <w:r w:rsidR="001B2AE1">
        <w:t>Intrado also fails to consider that the</w:t>
      </w:r>
      <w:r w:rsidR="001B2AE1">
        <w:rPr>
          <w:szCs w:val="22"/>
        </w:rPr>
        <w:t xml:space="preserve"> Commission’s rules already require OSPs to contact PSAPs when certain outages occur, which means that OSPs should already have PSAP contact information.  </w:t>
      </w:r>
      <w:r w:rsidRPr="004E4E00" w:rsidR="001B2AE1">
        <w:rPr>
          <w:i/>
          <w:iCs/>
        </w:rPr>
        <w:t>2024 Order on Reconsideration</w:t>
      </w:r>
      <w:r w:rsidR="001B2AE1">
        <w:t xml:space="preserve"> at 10, para 23.  </w:t>
      </w:r>
      <w:r w:rsidRPr="004E4E00" w:rsidR="001B2AE1">
        <w:rPr>
          <w:i/>
          <w:iCs/>
        </w:rPr>
        <w:t>See also</w:t>
      </w:r>
      <w:r w:rsidR="001B2AE1">
        <w:t xml:space="preserve"> </w:t>
      </w:r>
      <w:r w:rsidRPr="009E7F3F" w:rsidR="001B2AE1">
        <w:rPr>
          <w:i/>
          <w:iCs/>
        </w:rPr>
        <w:t>2022</w:t>
      </w:r>
      <w:r w:rsidR="001B2AE1">
        <w:t xml:space="preserve"> </w:t>
      </w:r>
      <w:r w:rsidRPr="004E4E00" w:rsidR="001B2AE1">
        <w:rPr>
          <w:i/>
          <w:iCs/>
        </w:rPr>
        <w:t>Second Report and Order</w:t>
      </w:r>
      <w:r w:rsidR="001B2AE1">
        <w:t xml:space="preserve">, </w:t>
      </w:r>
      <w:r w:rsidRPr="00E72FAD" w:rsidR="001B2AE1">
        <w:t>37</w:t>
      </w:r>
      <w:r w:rsidR="001B2AE1">
        <w:t xml:space="preserve"> FCC Rcd</w:t>
      </w:r>
      <w:r w:rsidRPr="004E4E00" w:rsidR="001B2AE1">
        <w:t xml:space="preserve"> at</w:t>
      </w:r>
      <w:r w:rsidR="001B2AE1">
        <w:t xml:space="preserve"> 13851-52, </w:t>
      </w:r>
      <w:r w:rsidRPr="004E4E00" w:rsidR="001B2AE1">
        <w:t xml:space="preserve"> para. 8 (agreeing with APCO that “service providers possess the necessary resources, are already required under Commission rules to notify [911 special facilities] of outages, and already maintain their own databases for contacting [911 special facilities]”).</w:t>
      </w:r>
    </w:p>
  </w:footnote>
  <w:footnote w:id="68">
    <w:p w:rsidR="00D6433B" w14:paraId="1BCF9415" w14:textId="77777777">
      <w:pPr>
        <w:pStyle w:val="FootnoteText"/>
      </w:pPr>
      <w:r>
        <w:rPr>
          <w:rStyle w:val="FootnoteReference"/>
        </w:rPr>
        <w:footnoteRef/>
      </w:r>
      <w:r>
        <w:t xml:space="preserve"> Intrado Comments at 5.</w:t>
      </w:r>
    </w:p>
  </w:footnote>
  <w:footnote w:id="69">
    <w:p w:rsidR="007951DB" w14:paraId="0570AA98" w14:textId="4120B99E">
      <w:pPr>
        <w:pStyle w:val="FootnoteText"/>
      </w:pPr>
      <w:r>
        <w:rPr>
          <w:rStyle w:val="FootnoteReference"/>
        </w:rPr>
        <w:footnoteRef/>
      </w:r>
      <w:r>
        <w:t xml:space="preserve"> </w:t>
      </w:r>
      <w:r>
        <w:rPr>
          <w:i/>
          <w:iCs/>
        </w:rPr>
        <w:t xml:space="preserve">Compare </w:t>
      </w:r>
      <w:r w:rsidRPr="00C67BA5">
        <w:rPr>
          <w:i/>
          <w:iCs/>
        </w:rPr>
        <w:t>2022</w:t>
      </w:r>
      <w:r>
        <w:t xml:space="preserve"> </w:t>
      </w:r>
      <w:r w:rsidRPr="005A30D6">
        <w:rPr>
          <w:i/>
          <w:iCs/>
        </w:rPr>
        <w:t xml:space="preserve">Second Report </w:t>
      </w:r>
      <w:r w:rsidRPr="00E72FAD">
        <w:rPr>
          <w:i/>
          <w:iCs/>
        </w:rPr>
        <w:t>and Order</w:t>
      </w:r>
      <w:r>
        <w:t xml:space="preserve">, </w:t>
      </w:r>
      <w:r w:rsidRPr="00E72FAD">
        <w:t>37</w:t>
      </w:r>
      <w:r>
        <w:t xml:space="preserve"> FCC Rcd at 13864, para. 36 (citing to </w:t>
      </w:r>
      <w:r>
        <w:rPr>
          <w:i/>
          <w:iCs/>
        </w:rPr>
        <w:t>Third Notice</w:t>
      </w:r>
      <w:r>
        <w:t xml:space="preserve">, 36 FCC Rcd at 7884, para. 56, n. 118 (estimating that for each of 2,890 providers, one worker earning $34/hour would spend 0.5 hour for a total of $50,000 [$34/hour x 0.5 hour x 2,890 = 49,130, rounded up to $50,000])) </w:t>
      </w:r>
      <w:r>
        <w:rPr>
          <w:i/>
          <w:iCs/>
        </w:rPr>
        <w:t xml:space="preserve">with </w:t>
      </w:r>
      <w:r w:rsidRPr="00C67BA5">
        <w:rPr>
          <w:i/>
          <w:iCs/>
        </w:rPr>
        <w:t>2022</w:t>
      </w:r>
      <w:r>
        <w:t xml:space="preserve"> </w:t>
      </w:r>
      <w:r w:rsidRPr="005A30D6">
        <w:rPr>
          <w:i/>
          <w:iCs/>
        </w:rPr>
        <w:t xml:space="preserve">Second Report </w:t>
      </w:r>
      <w:r w:rsidRPr="00E72FAD">
        <w:rPr>
          <w:i/>
          <w:iCs/>
        </w:rPr>
        <w:t>and Order</w:t>
      </w:r>
      <w:r>
        <w:t xml:space="preserve">, </w:t>
      </w:r>
      <w:r w:rsidRPr="00E72FAD">
        <w:t>37</w:t>
      </w:r>
      <w:r>
        <w:t xml:space="preserve"> FCC Rcd at 13882, Appx B, para. 26, n.104 (</w:t>
      </w:r>
      <w:r w:rsidRPr="00E72FAD">
        <w:t>estimat</w:t>
      </w:r>
      <w:r>
        <w:t>ing</w:t>
      </w:r>
      <w:r w:rsidRPr="00E72FAD">
        <w:t xml:space="preserve"> $50,000 consist</w:t>
      </w:r>
      <w:r>
        <w:t>ing</w:t>
      </w:r>
      <w:r w:rsidRPr="00E72FAD">
        <w:t xml:space="preserve"> of the hourly rate of $34 multiplied by 0.5 multiplied by 2,890, which yields $49,130</w:t>
      </w:r>
      <w:r>
        <w:t>)</w:t>
      </w:r>
      <w:r w:rsidRPr="00E72FAD">
        <w:t>.</w:t>
      </w:r>
      <w:r>
        <w:t xml:space="preserve">  We note that $99,000 in one-time costs associated with updating PSAP notification templates are also reflected in both the </w:t>
      </w:r>
      <w:r>
        <w:rPr>
          <w:i/>
          <w:iCs/>
        </w:rPr>
        <w:t xml:space="preserve">Second Report and Order </w:t>
      </w:r>
      <w:r>
        <w:t xml:space="preserve">and </w:t>
      </w:r>
      <w:r w:rsidR="00763DC6">
        <w:t>the</w:t>
      </w:r>
      <w:r w:rsidR="00655049">
        <w:t xml:space="preserve"> </w:t>
      </w:r>
      <w:r>
        <w:t>Final Regulatory Flexibility Analysis.</w:t>
      </w:r>
    </w:p>
  </w:footnote>
  <w:footnote w:id="70">
    <w:p w:rsidR="002A328B" w:rsidP="002A328B" w14:paraId="723A0792" w14:textId="0A296F29">
      <w:pPr>
        <w:pStyle w:val="FootnoteText"/>
      </w:pPr>
      <w:r>
        <w:rPr>
          <w:rStyle w:val="FootnoteReference"/>
        </w:rPr>
        <w:footnoteRef/>
      </w:r>
      <w:r>
        <w:t xml:space="preserve"> </w:t>
      </w:r>
      <w:r w:rsidRPr="00964E6D">
        <w:rPr>
          <w:i/>
          <w:iCs/>
        </w:rPr>
        <w:t>2024 Order on Reconsideration</w:t>
      </w:r>
      <w:r w:rsidRPr="00964E6D">
        <w:t xml:space="preserve"> at</w:t>
      </w:r>
      <w:r>
        <w:t xml:space="preserve"> 12-17, paras. 29-37 (revising the cost estimate from $197,000 annually to </w:t>
      </w:r>
      <w:r w:rsidR="00B35E57">
        <w:t>$8.42 million)</w:t>
      </w:r>
      <w:r w:rsidRPr="00964E6D">
        <w:t>.</w:t>
      </w:r>
    </w:p>
  </w:footnote>
  <w:footnote w:id="71">
    <w:p w:rsidR="00D6433B" w14:paraId="602E586C" w14:textId="77777777">
      <w:pPr>
        <w:pStyle w:val="FootnoteText"/>
      </w:pPr>
      <w:r>
        <w:rPr>
          <w:rStyle w:val="FootnoteReference"/>
        </w:rPr>
        <w:footnoteRef/>
      </w:r>
      <w:r>
        <w:t xml:space="preserve"> Associations Comments at 4-5.</w:t>
      </w:r>
      <w:r w:rsidRPr="00EE5184" w:rsidR="00EE5184">
        <w:rPr>
          <w:i/>
          <w:iCs/>
        </w:rPr>
        <w:t xml:space="preserve"> </w:t>
      </w:r>
      <w:r w:rsidR="00EE5184">
        <w:rPr>
          <w:i/>
          <w:iCs/>
        </w:rPr>
        <w:t xml:space="preserve">See also </w:t>
      </w:r>
      <w:r w:rsidR="00EE5184">
        <w:t>Intrado Comments at 8 (describing AT&amp;T’s cost estimates).</w:t>
      </w:r>
    </w:p>
  </w:footnote>
  <w:footnote w:id="72">
    <w:p w:rsidR="00EE5184" w:rsidRPr="00EE5184" w14:paraId="05D53DE8" w14:textId="1618C8A1">
      <w:pPr>
        <w:pStyle w:val="FootnoteText"/>
      </w:pPr>
      <w:r>
        <w:rPr>
          <w:rStyle w:val="FootnoteReference"/>
        </w:rPr>
        <w:footnoteRef/>
      </w:r>
      <w:r>
        <w:t xml:space="preserve"> </w:t>
      </w:r>
      <w:r>
        <w:rPr>
          <w:i/>
          <w:iCs/>
        </w:rPr>
        <w:t xml:space="preserve">See </w:t>
      </w:r>
      <w:r>
        <w:t>Intrado Comments at 6-7.</w:t>
      </w:r>
    </w:p>
  </w:footnote>
  <w:footnote w:id="73">
    <w:p w:rsidR="0004741E" w14:paraId="2C29A344" w14:textId="214C575B">
      <w:pPr>
        <w:pStyle w:val="FootnoteText"/>
      </w:pPr>
      <w:r>
        <w:rPr>
          <w:rStyle w:val="FootnoteReference"/>
        </w:rPr>
        <w:footnoteRef/>
      </w:r>
      <w:r>
        <w:t xml:space="preserve"> Intrado Comments at 11-12.</w:t>
      </w:r>
    </w:p>
  </w:footnote>
  <w:footnote w:id="74">
    <w:p w:rsidR="0004741E" w14:paraId="1C084B43" w14:textId="3B565CF3">
      <w:pPr>
        <w:pStyle w:val="FootnoteText"/>
      </w:pPr>
      <w:r>
        <w:rPr>
          <w:rStyle w:val="FootnoteReference"/>
        </w:rPr>
        <w:footnoteRef/>
      </w:r>
      <w:r>
        <w:t xml:space="preserve"> Intrado Comments at 11-12.</w:t>
      </w:r>
    </w:p>
  </w:footnote>
  <w:footnote w:id="75">
    <w:p w:rsidR="0004741E" w14:paraId="25BF0767" w14:textId="163FB403">
      <w:pPr>
        <w:pStyle w:val="FootnoteText"/>
      </w:pPr>
      <w:r>
        <w:rPr>
          <w:rStyle w:val="FootnoteReference"/>
        </w:rPr>
        <w:footnoteRef/>
      </w:r>
      <w:r>
        <w:t xml:space="preserve"> </w:t>
      </w:r>
      <w:r w:rsidRPr="00C67BA5">
        <w:rPr>
          <w:i/>
          <w:iCs/>
        </w:rPr>
        <w:t>2022</w:t>
      </w:r>
      <w:r>
        <w:t xml:space="preserve"> </w:t>
      </w:r>
      <w:r w:rsidRPr="005A30D6">
        <w:rPr>
          <w:i/>
          <w:iCs/>
        </w:rPr>
        <w:t xml:space="preserve">Second Report </w:t>
      </w:r>
      <w:r w:rsidRPr="00E72FAD">
        <w:rPr>
          <w:i/>
          <w:iCs/>
        </w:rPr>
        <w:t>and Order</w:t>
      </w:r>
      <w:r>
        <w:t xml:space="preserve">, </w:t>
      </w:r>
      <w:r w:rsidRPr="00E72FAD">
        <w:t>37</w:t>
      </w:r>
      <w:r>
        <w:t xml:space="preserve"> FCC Rcd at 13852, n.26.</w:t>
      </w:r>
    </w:p>
  </w:footnote>
  <w:footnote w:id="76">
    <w:p w:rsidR="002F5D2C" w:rsidRPr="002F5D2C" w14:paraId="77C9FAD6" w14:textId="20FA1C1D">
      <w:pPr>
        <w:pStyle w:val="FootnoteText"/>
      </w:pPr>
      <w:r>
        <w:rPr>
          <w:rStyle w:val="FootnoteReference"/>
        </w:rPr>
        <w:footnoteRef/>
      </w:r>
      <w:r>
        <w:t xml:space="preserve"> </w:t>
      </w:r>
      <w:r>
        <w:rPr>
          <w:i/>
          <w:iCs/>
        </w:rPr>
        <w:t>Id.</w:t>
      </w:r>
    </w:p>
  </w:footnote>
  <w:footnote w:id="77">
    <w:p w:rsidR="002F5D2C" w14:paraId="27081DE1" w14:textId="7B9DED99">
      <w:pPr>
        <w:pStyle w:val="FootnoteText"/>
      </w:pPr>
      <w:r>
        <w:rPr>
          <w:rStyle w:val="FootnoteReference"/>
        </w:rPr>
        <w:footnoteRef/>
      </w:r>
      <w:r>
        <w:t xml:space="preserve"> </w:t>
      </w:r>
      <w:r>
        <w:rPr>
          <w:i/>
          <w:iCs/>
        </w:rPr>
        <w:t xml:space="preserve">See </w:t>
      </w:r>
      <w:r w:rsidRPr="00964E6D">
        <w:rPr>
          <w:i/>
          <w:iCs/>
        </w:rPr>
        <w:t>2024 Order on Reconsideration</w:t>
      </w:r>
      <w:r w:rsidRPr="00964E6D">
        <w:t xml:space="preserve"> at</w:t>
      </w:r>
      <w:r>
        <w:t xml:space="preserve"> 10, para. 23 (stating that “this compliance obligation can be readily met by other means, including by the service providers developing their own database capabilities rather than waiting for the Commission to do so”).</w:t>
      </w:r>
    </w:p>
  </w:footnote>
  <w:footnote w:id="78">
    <w:p w:rsidR="00822845" w:rsidP="00822845" w14:paraId="7CCD10CB" w14:textId="6635A8C5">
      <w:pPr>
        <w:pStyle w:val="FootnoteText"/>
      </w:pPr>
      <w:r>
        <w:rPr>
          <w:rStyle w:val="FootnoteReference"/>
        </w:rPr>
        <w:footnoteRef/>
      </w:r>
      <w:r>
        <w:t xml:space="preserve"> </w:t>
      </w:r>
      <w:r w:rsidRPr="004E4E00">
        <w:rPr>
          <w:i/>
          <w:iCs/>
        </w:rPr>
        <w:t>2024 Order on Reconsideration</w:t>
      </w:r>
      <w:r>
        <w:t xml:space="preserve"> at 10, para 2</w:t>
      </w:r>
      <w:r w:rsidR="002F5D2C">
        <w:t>3</w:t>
      </w:r>
      <w:r>
        <w:t xml:space="preserve">.  </w:t>
      </w:r>
      <w:r w:rsidRPr="004E4E00">
        <w:rPr>
          <w:i/>
          <w:iCs/>
        </w:rPr>
        <w:t>See also</w:t>
      </w:r>
      <w:r>
        <w:t xml:space="preserve"> </w:t>
      </w:r>
      <w:r w:rsidRPr="0094460A" w:rsidR="002F5D2C">
        <w:rPr>
          <w:i/>
          <w:iCs/>
        </w:rPr>
        <w:t>2022</w:t>
      </w:r>
      <w:r w:rsidR="002F5D2C">
        <w:t xml:space="preserve"> </w:t>
      </w:r>
      <w:r w:rsidRPr="004E4E00">
        <w:rPr>
          <w:i/>
          <w:iCs/>
        </w:rPr>
        <w:t>Second Report and Order</w:t>
      </w:r>
      <w:r w:rsidR="002F5D2C">
        <w:t xml:space="preserve">, </w:t>
      </w:r>
      <w:r w:rsidRPr="00E72FAD" w:rsidR="002F5D2C">
        <w:t>37</w:t>
      </w:r>
      <w:r w:rsidR="002F5D2C">
        <w:t xml:space="preserve"> FCC Rcd</w:t>
      </w:r>
      <w:r w:rsidRPr="004E4E00">
        <w:t xml:space="preserve"> at</w:t>
      </w:r>
      <w:r w:rsidR="002F5D2C">
        <w:t xml:space="preserve"> 13851-52, </w:t>
      </w:r>
      <w:r w:rsidRPr="004E4E00">
        <w:t xml:space="preserve"> para. 8 (agreeing with APCO that “service providers possess the necessary resources, are already required under Commission rules to notify [911 special facilities] of outages, and already maintain their own databases for contacting [911 special facilities]”).</w:t>
      </w:r>
    </w:p>
  </w:footnote>
  <w:footnote w:id="79">
    <w:p w:rsidR="0097554C" w:rsidRPr="00AE2958" w:rsidP="0097554C" w14:paraId="3AE5ED84" w14:textId="3C64F3A9">
      <w:pPr>
        <w:pStyle w:val="FootnoteText"/>
        <w:rPr>
          <w:kern w:val="0"/>
          <w:lang w:eastAsia="en-US"/>
        </w:rPr>
      </w:pPr>
      <w:r>
        <w:rPr>
          <w:rStyle w:val="FootnoteReference"/>
        </w:rPr>
        <w:footnoteRef/>
      </w:r>
      <w:r>
        <w:t xml:space="preserve"> </w:t>
      </w:r>
      <w:r w:rsidRPr="00D51B5A">
        <w:rPr>
          <w:i/>
          <w:iCs/>
          <w:kern w:val="0"/>
          <w:lang w:eastAsia="en-US"/>
        </w:rPr>
        <w:t xml:space="preserve">See </w:t>
      </w:r>
      <w:r>
        <w:rPr>
          <w:i/>
          <w:iCs/>
          <w:kern w:val="0"/>
          <w:lang w:eastAsia="en-US"/>
        </w:rPr>
        <w:t xml:space="preserve">2022 </w:t>
      </w:r>
      <w:r w:rsidRPr="00D51B5A">
        <w:rPr>
          <w:i/>
          <w:iCs/>
          <w:kern w:val="0"/>
          <w:lang w:eastAsia="en-US"/>
        </w:rPr>
        <w:t>Second Report and Order</w:t>
      </w:r>
      <w:r w:rsidRPr="00D51B5A">
        <w:rPr>
          <w:kern w:val="0"/>
          <w:lang w:eastAsia="en-US"/>
        </w:rPr>
        <w:t>, 37 FCC Rcd at 13852</w:t>
      </w:r>
      <w:r w:rsidR="004A030F">
        <w:rPr>
          <w:kern w:val="0"/>
          <w:lang w:eastAsia="en-US"/>
        </w:rPr>
        <w:t>.</w:t>
      </w:r>
    </w:p>
  </w:footnote>
  <w:footnote w:id="80">
    <w:p w:rsidR="002E14D8" w:rsidRPr="002E14D8" w:rsidP="002E14D8" w14:paraId="3D72229B" w14:textId="77777777">
      <w:pPr>
        <w:pStyle w:val="FootnoteText"/>
      </w:pPr>
      <w:r>
        <w:rPr>
          <w:rStyle w:val="FootnoteReference"/>
        </w:rPr>
        <w:footnoteRef/>
      </w:r>
      <w:r>
        <w:t xml:space="preserve"> </w:t>
      </w:r>
      <w:r w:rsidRPr="004E4E00">
        <w:rPr>
          <w:i/>
          <w:iCs/>
        </w:rPr>
        <w:t>2024 Order on Reconsideration</w:t>
      </w:r>
      <w:r>
        <w:rPr>
          <w:i/>
          <w:iCs/>
        </w:rPr>
        <w:t xml:space="preserve"> </w:t>
      </w:r>
      <w:r>
        <w:t>at 11-12, para. 26.</w:t>
      </w:r>
    </w:p>
  </w:footnote>
  <w:footnote w:id="81">
    <w:p w:rsidR="002E14D8" w:rsidRPr="009D3DBE" w14:paraId="52C5588C" w14:textId="36816C07">
      <w:pPr>
        <w:pStyle w:val="FootnoteText"/>
        <w:rPr>
          <w:i/>
          <w:iCs/>
        </w:rPr>
      </w:pPr>
      <w:r>
        <w:rPr>
          <w:rStyle w:val="FootnoteReference"/>
        </w:rPr>
        <w:footnoteRef/>
      </w:r>
      <w:r>
        <w:t xml:space="preserve"> </w:t>
      </w:r>
      <w:r>
        <w:rPr>
          <w:i/>
          <w:iCs/>
        </w:rPr>
        <w:t>Id.</w:t>
      </w:r>
    </w:p>
  </w:footnote>
  <w:footnote w:id="82">
    <w:p w:rsidR="002E14D8" w:rsidRPr="002E14D8" w14:paraId="60002C92" w14:textId="55D59020">
      <w:pPr>
        <w:pStyle w:val="FootnoteText"/>
      </w:pPr>
      <w:r>
        <w:rPr>
          <w:rStyle w:val="FootnoteReference"/>
        </w:rPr>
        <w:footnoteRef/>
      </w:r>
      <w:r>
        <w:t xml:space="preserve"> </w:t>
      </w:r>
      <w:r>
        <w:rPr>
          <w:i/>
          <w:iCs/>
        </w:rPr>
        <w:t xml:space="preserve">Id. </w:t>
      </w:r>
      <w:r>
        <w:t xml:space="preserve">(citing </w:t>
      </w:r>
      <w:r>
        <w:rPr>
          <w:i/>
          <w:iCs/>
          <w:kern w:val="0"/>
          <w:lang w:eastAsia="en-US"/>
        </w:rPr>
        <w:t xml:space="preserve">2022 </w:t>
      </w:r>
      <w:r w:rsidRPr="00D51B5A">
        <w:rPr>
          <w:i/>
          <w:iCs/>
          <w:kern w:val="0"/>
          <w:lang w:eastAsia="en-US"/>
        </w:rPr>
        <w:t>Second Report and Order</w:t>
      </w:r>
      <w:r w:rsidRPr="00D51B5A">
        <w:rPr>
          <w:kern w:val="0"/>
          <w:lang w:eastAsia="en-US"/>
        </w:rPr>
        <w:t>, 37 FCC Rcd at 13852</w:t>
      </w:r>
      <w:r w:rsidR="004A030F">
        <w:rPr>
          <w:kern w:val="0"/>
          <w:lang w:eastAsia="en-US"/>
        </w:rPr>
        <w:t>, para. 9).</w:t>
      </w:r>
    </w:p>
  </w:footnote>
  <w:footnote w:id="83">
    <w:p w:rsidR="00CE175F" w:rsidRPr="00884530" w:rsidP="009E3262" w14:paraId="7ECF0DA5" w14:textId="7BEF2EB3">
      <w:pPr>
        <w:pStyle w:val="FootnoteText"/>
      </w:pPr>
      <w:r w:rsidRPr="00884530">
        <w:rPr>
          <w:rStyle w:val="FootnoteReference"/>
        </w:rPr>
        <w:footnoteRef/>
      </w:r>
      <w:r w:rsidRPr="00884530">
        <w:t xml:space="preserve"> </w:t>
      </w:r>
      <w:r w:rsidRPr="00884530">
        <w:rPr>
          <w:i/>
        </w:rPr>
        <w:t>See</w:t>
      </w:r>
      <w:r w:rsidRPr="00884530">
        <w:t xml:space="preserve"> 47 CFR</w:t>
      </w:r>
      <w:r w:rsidRPr="00884530" w:rsidR="00E25547">
        <w:t xml:space="preserve"> </w:t>
      </w:r>
      <w:r w:rsidR="00E25547">
        <w:t xml:space="preserve">§ </w:t>
      </w:r>
      <w:r w:rsidRPr="00884530">
        <w:t>4.2.</w:t>
      </w:r>
    </w:p>
  </w:footnote>
  <w:footnote w:id="84">
    <w:p w:rsidR="00781A5E" w:rsidP="009E3262" w14:paraId="684B6EA6" w14:textId="6BCBB960">
      <w:pPr>
        <w:pStyle w:val="FootnoteText"/>
      </w:pPr>
      <w:r>
        <w:rPr>
          <w:rStyle w:val="FootnoteReference"/>
        </w:rPr>
        <w:footnoteRef/>
      </w:r>
      <w:r>
        <w:t xml:space="preserve"> </w:t>
      </w:r>
      <w:r w:rsidRPr="00AE2188" w:rsidR="00AC37D2">
        <w:rPr>
          <w:i/>
        </w:rPr>
        <w:t>2021 Second Report and Order</w:t>
      </w:r>
      <w:r w:rsidR="00AC37D2">
        <w:t xml:space="preserve"> </w:t>
      </w:r>
      <w:r>
        <w:t>at 6137, para. 2</w:t>
      </w:r>
      <w:r w:rsidR="006D25E1">
        <w:t>.</w:t>
      </w:r>
    </w:p>
  </w:footnote>
  <w:footnote w:id="85">
    <w:p w:rsidR="000E6ED6" w:rsidP="009E3262" w14:paraId="7EC0CE68" w14:textId="6843DD15">
      <w:pPr>
        <w:pStyle w:val="FootnoteText"/>
        <w:spacing w:before="120"/>
      </w:pPr>
      <w:r>
        <w:rPr>
          <w:rStyle w:val="FootnoteReference"/>
        </w:rPr>
        <w:footnoteRef/>
      </w:r>
      <w:r>
        <w:t xml:space="preserve"> </w:t>
      </w:r>
      <w:r w:rsidRPr="00037E73" w:rsidR="007060F1">
        <w:rPr>
          <w:i/>
          <w:iCs/>
        </w:rPr>
        <w:t>See</w:t>
      </w:r>
      <w:r w:rsidR="007060F1">
        <w:t xml:space="preserve"> Supporting Statement in OMB No. 3060-0484</w:t>
      </w:r>
      <w:r w:rsidR="002B6D10">
        <w:t xml:space="preserve">, </w:t>
      </w:r>
      <w:r w:rsidR="00775E02">
        <w:t xml:space="preserve">filed June 2022, p. </w:t>
      </w:r>
      <w:r w:rsidR="00691BE8">
        <w:t>11</w:t>
      </w:r>
      <w:r w:rsidR="00490655">
        <w:t xml:space="preserve"> </w:t>
      </w:r>
      <w:r w:rsidR="004C01FA">
        <w:t>(</w:t>
      </w:r>
      <w:r w:rsidR="00490655">
        <w:t>reporting 965 provider-respondents</w:t>
      </w:r>
      <w:r w:rsidR="004C01FA">
        <w:t>)</w:t>
      </w:r>
      <w:r w:rsidR="00691BE8">
        <w:t xml:space="preserve">.  </w:t>
      </w:r>
      <w:r w:rsidR="00972EA5">
        <w:t xml:space="preserve">We now estimate the numbers of providers subject to this information collection to be </w:t>
      </w:r>
      <w:r w:rsidR="00C47B81">
        <w:t>3,124</w:t>
      </w:r>
      <w:r w:rsidR="00972EA5">
        <w:t xml:space="preserve">, an increase of </w:t>
      </w:r>
      <w:r w:rsidR="00194508">
        <w:t>2,159</w:t>
      </w:r>
      <w:r w:rsidR="00972EA5">
        <w:t xml:space="preserve"> </w:t>
      </w:r>
      <w:r w:rsidRPr="00A8570E" w:rsidR="00972EA5">
        <w:t xml:space="preserve">providers.  </w:t>
      </w:r>
      <w:r w:rsidRPr="00A8570E" w:rsidR="0056230E">
        <w:t xml:space="preserve">This consists of </w:t>
      </w:r>
      <w:r w:rsidR="00E0344E">
        <w:t xml:space="preserve">four </w:t>
      </w:r>
      <w:r w:rsidRPr="00A8570E" w:rsidR="0056230E">
        <w:t xml:space="preserve">satellite providers, </w:t>
      </w:r>
      <w:r w:rsidRPr="00A8570E" w:rsidR="00A72C15">
        <w:t xml:space="preserve">947 </w:t>
      </w:r>
      <w:r w:rsidRPr="00A8570E" w:rsidR="0056230E">
        <w:t xml:space="preserve">wireline providers, </w:t>
      </w:r>
      <w:r w:rsidRPr="00A8570E" w:rsidR="00A72C15">
        <w:t xml:space="preserve">423 </w:t>
      </w:r>
      <w:r w:rsidRPr="00A8570E" w:rsidR="0056230E">
        <w:t xml:space="preserve">wireless providers, and </w:t>
      </w:r>
      <w:r w:rsidRPr="00A8570E" w:rsidR="00A72C15">
        <w:t>1,</w:t>
      </w:r>
      <w:r w:rsidRPr="00A8570E" w:rsidR="00863ED5">
        <w:t>750</w:t>
      </w:r>
      <w:r w:rsidRPr="00A8570E" w:rsidR="0056230E">
        <w:t xml:space="preserve"> interconnected VoIP-related entities.</w:t>
      </w:r>
      <w:r w:rsidR="0056230E">
        <w:t xml:space="preserve"> </w:t>
      </w:r>
      <w:r w:rsidR="004C01FA">
        <w:t xml:space="preserve"> </w:t>
      </w:r>
      <w:r w:rsidR="0056230E">
        <w:t xml:space="preserve">Our satellite figure consists only of those service providers that offer service that could potentially affect 911. </w:t>
      </w:r>
      <w:r w:rsidR="004C01FA">
        <w:t xml:space="preserve"> </w:t>
      </w:r>
      <w:r w:rsidRPr="00037E73" w:rsidR="0056230E">
        <w:rPr>
          <w:i/>
          <w:iCs/>
        </w:rPr>
        <w:t>See generally Revision of the Commission’s Rules to Ensure Compatibility with Enhanced 911 Emergency Calling Systems</w:t>
      </w:r>
      <w:r w:rsidR="0056230E">
        <w:t>, CC Docket No. 94-102 (including five satellite providers’ 911 Post-Implementation Status Report filings in the Commission’s Electronic Comment Filing System regarding the deployment of 911 call center service and the forwarding of 911 calls to PSAPs).</w:t>
      </w:r>
      <w:r w:rsidR="004C01FA">
        <w:t xml:space="preserve"> </w:t>
      </w:r>
      <w:r w:rsidR="0056230E">
        <w:t xml:space="preserve"> Our wireless figure is calculated based on staff analysis of </w:t>
      </w:r>
      <w:r w:rsidR="00863ED5">
        <w:t>2022</w:t>
      </w:r>
      <w:r w:rsidR="00133AE8">
        <w:t xml:space="preserve"> </w:t>
      </w:r>
      <w:r w:rsidR="0056230E">
        <w:t xml:space="preserve">Form 499 data, consisting of holding companies and affiliated entities who report end-user mobile telecommunication revenue. </w:t>
      </w:r>
      <w:r w:rsidR="004C01FA">
        <w:t xml:space="preserve"> </w:t>
      </w:r>
      <w:r w:rsidRPr="00037E73" w:rsidR="0056230E">
        <w:rPr>
          <w:i/>
          <w:iCs/>
        </w:rPr>
        <w:t>See Wireline Competition Bureau Releases the 2020 Telecommunications Reporting Worksheets and Accompanying Instructions</w:t>
      </w:r>
      <w:r w:rsidR="0056230E">
        <w:t xml:space="preserve">, WC Docket No. 06-122, Public Notice, 35 FCC Rcd 1350 (2020). </w:t>
      </w:r>
      <w:r w:rsidR="004C01FA">
        <w:t xml:space="preserve"> </w:t>
      </w:r>
      <w:r w:rsidR="0056230E">
        <w:t xml:space="preserve">Our wireline and interconnected VoIP-related figures are </w:t>
      </w:r>
      <w:r w:rsidRPr="00E23156" w:rsidR="00E23156">
        <w:t xml:space="preserve">sourced from the June 2021 Voice Telephone Services Report. </w:t>
      </w:r>
      <w:r w:rsidRPr="00E23156" w:rsidR="00E23156">
        <w:rPr>
          <w:rStyle w:val="cf11"/>
          <w:rFonts w:ascii="Times New Roman" w:hAnsi="Times New Roman" w:cs="Times New Roman"/>
          <w:sz w:val="20"/>
          <w:szCs w:val="20"/>
        </w:rPr>
        <w:t xml:space="preserve">See also </w:t>
      </w:r>
      <w:r w:rsidRPr="00E23156" w:rsidR="00E23156">
        <w:rPr>
          <w:rStyle w:val="cf01"/>
          <w:rFonts w:ascii="Times New Roman" w:hAnsi="Times New Roman" w:cs="Times New Roman"/>
          <w:sz w:val="20"/>
          <w:szCs w:val="20"/>
        </w:rPr>
        <w:t>FCC,</w:t>
      </w:r>
      <w:r w:rsidRPr="00E23156" w:rsidR="00E23156">
        <w:rPr>
          <w:rStyle w:val="cf11"/>
          <w:rFonts w:ascii="Times New Roman" w:hAnsi="Times New Roman" w:cs="Times New Roman"/>
          <w:sz w:val="20"/>
          <w:szCs w:val="20"/>
        </w:rPr>
        <w:t xml:space="preserve"> Voice Telephone Services Report</w:t>
      </w:r>
      <w:r w:rsidRPr="00E23156" w:rsidR="00E23156">
        <w:rPr>
          <w:rStyle w:val="cf01"/>
          <w:rFonts w:ascii="Times New Roman" w:hAnsi="Times New Roman" w:cs="Times New Roman"/>
          <w:sz w:val="20"/>
          <w:szCs w:val="20"/>
        </w:rPr>
        <w:t xml:space="preserve">, </w:t>
      </w:r>
      <w:hyperlink r:id="rId4" w:history="1">
        <w:r w:rsidRPr="00E23156" w:rsidR="00E23156">
          <w:rPr>
            <w:rStyle w:val="cf01"/>
            <w:rFonts w:ascii="Times New Roman" w:hAnsi="Times New Roman" w:cs="Times New Roman"/>
            <w:color w:val="0000FF"/>
            <w:sz w:val="20"/>
            <w:szCs w:val="20"/>
            <w:u w:val="single"/>
          </w:rPr>
          <w:t>https://www.fcc.gov/voice-telephone-services-report</w:t>
        </w:r>
      </w:hyperlink>
      <w:r w:rsidRPr="00E23156" w:rsidR="00E23156">
        <w:rPr>
          <w:rStyle w:val="cf01"/>
          <w:rFonts w:ascii="Times New Roman" w:hAnsi="Times New Roman" w:cs="Times New Roman"/>
          <w:sz w:val="20"/>
          <w:szCs w:val="20"/>
        </w:rPr>
        <w:t xml:space="preserve"> (last visited </w:t>
      </w:r>
      <w:r w:rsidR="004156D6">
        <w:rPr>
          <w:rStyle w:val="cf01"/>
          <w:rFonts w:ascii="Times New Roman" w:hAnsi="Times New Roman" w:cs="Times New Roman"/>
          <w:sz w:val="20"/>
          <w:szCs w:val="20"/>
        </w:rPr>
        <w:t>Aug. 7, 2024</w:t>
      </w:r>
      <w:r w:rsidRPr="00E23156" w:rsidR="00E23156">
        <w:rPr>
          <w:rStyle w:val="cf01"/>
          <w:rFonts w:ascii="Times New Roman" w:hAnsi="Times New Roman" w:cs="Times New Roman"/>
          <w:sz w:val="20"/>
          <w:szCs w:val="20"/>
        </w:rPr>
        <w:t>).</w:t>
      </w:r>
      <w:r w:rsidRPr="001046D7" w:rsidR="0056230E">
        <w:t xml:space="preserve"> </w:t>
      </w:r>
      <w:r w:rsidR="0056230E">
        <w:t xml:space="preserve"> Because cable providers generally rely on either (wireline) switched access or interconnected VoIP to provide 911-related </w:t>
      </w:r>
      <w:r w:rsidR="00E23156">
        <w:t xml:space="preserve">and 988-related </w:t>
      </w:r>
      <w:r w:rsidR="0056230E">
        <w:t>services, these providers are already subsumed by our other estimates.</w:t>
      </w:r>
    </w:p>
  </w:footnote>
  <w:footnote w:id="86">
    <w:p w:rsidR="00C54D91" w:rsidP="009E3262" w14:paraId="3D593D55" w14:textId="5F90740E">
      <w:pPr>
        <w:pStyle w:val="FootnoteText"/>
        <w:spacing w:before="120"/>
      </w:pPr>
      <w:r>
        <w:rPr>
          <w:rStyle w:val="FootnoteReference"/>
        </w:rPr>
        <w:footnoteRef/>
      </w:r>
      <w:r w:rsidRPr="001046D7" w:rsidR="001046D7">
        <w:rPr>
          <w:iCs/>
        </w:rPr>
        <w:t xml:space="preserve"> </w:t>
      </w:r>
      <w:r w:rsidRPr="001D19A5" w:rsidR="00D30914">
        <w:rPr>
          <w:i/>
        </w:rPr>
        <w:t>NORS-DIRS Information Sharing Order</w:t>
      </w:r>
      <w:r w:rsidR="00D30914">
        <w:t xml:space="preserve">, 36 FCC Rcd </w:t>
      </w:r>
      <w:r w:rsidR="001C716A">
        <w:t>at 6143</w:t>
      </w:r>
      <w:r w:rsidR="00B764B9">
        <w:t xml:space="preserve">; </w:t>
      </w:r>
      <w:r w:rsidRPr="00B764B9" w:rsidR="00B764B9">
        <w:rPr>
          <w:i/>
          <w:iCs/>
        </w:rPr>
        <w:t>see also</w:t>
      </w:r>
      <w:r w:rsidRPr="00B764B9" w:rsidR="00B764B9">
        <w:t xml:space="preserve"> </w:t>
      </w:r>
      <w:r w:rsidRPr="00B764B9" w:rsidR="00B764B9">
        <w:rPr>
          <w:i/>
          <w:iCs/>
        </w:rPr>
        <w:t>2023 Report and Order</w:t>
      </w:r>
      <w:r w:rsidRPr="00B764B9" w:rsidR="00B764B9">
        <w:t xml:space="preserve"> at 12, para. 22 (allowing direct read-only access to NORS data by the Substance Abuse and Mental Health Services Administration (SAMHSA) and the Department of Veterans Affairs (VA).)</w:t>
      </w:r>
    </w:p>
  </w:footnote>
  <w:footnote w:id="87">
    <w:p w:rsidR="00631C77" w:rsidP="009E3262" w14:paraId="572D0E67" w14:textId="356E09D3">
      <w:pPr>
        <w:pStyle w:val="FootnoteText"/>
        <w:spacing w:before="120"/>
      </w:pPr>
      <w:r>
        <w:rPr>
          <w:rStyle w:val="FootnoteReference"/>
        </w:rPr>
        <w:footnoteRef/>
      </w:r>
      <w:r>
        <w:t xml:space="preserve"> </w:t>
      </w:r>
      <w:r w:rsidRPr="001D19A5" w:rsidR="0033675E">
        <w:rPr>
          <w:i/>
        </w:rPr>
        <w:t>See</w:t>
      </w:r>
      <w:r w:rsidRPr="00AE2188" w:rsidR="0033675E">
        <w:rPr>
          <w:i/>
          <w:iCs/>
        </w:rPr>
        <w:t xml:space="preserve"> </w:t>
      </w:r>
      <w:r w:rsidR="00330EC7">
        <w:rPr>
          <w:i/>
        </w:rPr>
        <w:t>2023 Report and Order</w:t>
      </w:r>
      <w:r w:rsidRPr="00DD204C" w:rsidR="00330EC7">
        <w:rPr>
          <w:iCs/>
        </w:rPr>
        <w:t xml:space="preserve"> at </w:t>
      </w:r>
      <w:r w:rsidRPr="00DD204C" w:rsidR="0076209E">
        <w:rPr>
          <w:iCs/>
        </w:rPr>
        <w:t>16, note 82.</w:t>
      </w:r>
    </w:p>
  </w:footnote>
  <w:footnote w:id="88">
    <w:p w:rsidR="00C34716" w:rsidP="009E3262" w14:paraId="33425B04" w14:textId="706A24F0">
      <w:pPr>
        <w:pStyle w:val="FootnoteText"/>
        <w:spacing w:before="120"/>
      </w:pPr>
      <w:r>
        <w:rPr>
          <w:rStyle w:val="FootnoteReference"/>
        </w:rPr>
        <w:footnoteRef/>
      </w:r>
      <w:r>
        <w:t xml:space="preserve"> </w:t>
      </w:r>
      <w:r w:rsidRPr="001D19A5">
        <w:rPr>
          <w:i/>
          <w:iCs/>
        </w:rPr>
        <w:t>Id.</w:t>
      </w:r>
    </w:p>
  </w:footnote>
  <w:footnote w:id="89">
    <w:p w:rsidR="009B2B76" w:rsidP="009E3262" w14:paraId="2C4F6AC2" w14:textId="342F394C">
      <w:pPr>
        <w:pStyle w:val="FootnoteText"/>
        <w:spacing w:before="120"/>
      </w:pPr>
      <w:r>
        <w:rPr>
          <w:rStyle w:val="FootnoteReference"/>
        </w:rPr>
        <w:footnoteRef/>
      </w:r>
      <w:r>
        <w:t xml:space="preserve"> In the</w:t>
      </w:r>
      <w:r w:rsidR="00883127">
        <w:t xml:space="preserve"> </w:t>
      </w:r>
      <w:r w:rsidRPr="00883127" w:rsidR="00883127">
        <w:t>Supporting Statement in OMB No. 3060-0484, filed June 2022</w:t>
      </w:r>
      <w:r w:rsidR="00883127">
        <w:t>,</w:t>
      </w:r>
      <w:r>
        <w:t xml:space="preserve"> we </w:t>
      </w:r>
      <w:r w:rsidR="00B540BB">
        <w:t>estimated a total of 26,895 responses</w:t>
      </w:r>
      <w:r w:rsidR="00CD7799">
        <w:t>, plus an additional 100 annual responses from Participating Agencies</w:t>
      </w:r>
      <w:r w:rsidR="00B540BB">
        <w:t>.</w:t>
      </w:r>
    </w:p>
  </w:footnote>
  <w:footnote w:id="90">
    <w:p w:rsidR="002E31E6" w:rsidP="002E0D4A" w14:paraId="6FD78E5E" w14:textId="099667B8">
      <w:pPr>
        <w:pStyle w:val="FootnoteText"/>
      </w:pPr>
      <w:r>
        <w:rPr>
          <w:rStyle w:val="FootnoteReference"/>
        </w:rPr>
        <w:footnoteRef/>
      </w:r>
      <w:r>
        <w:t xml:space="preserve"> </w:t>
      </w:r>
      <w:r w:rsidR="000B39B8">
        <w:t>The Commission estimates that when a 988 outage occurs, service providers are already submitting outage reports in NORS related to other aspects of their operations, so initial compliance costs would be negligible.  To the extent that there are 988 outages that are not already being submitted in NORS, we expect that those would be outages experienced by covered 988 service providers who are responsible for receiving, processing, or forwarding 988 calls.  We assume that one covered 988 service provider experiences a maximum of one reportable outage per month and we estimate an annual compliance cost</w:t>
      </w:r>
      <w:r w:rsidRPr="00383DCD" w:rsidR="000B39B8">
        <w:t xml:space="preserve"> </w:t>
      </w:r>
      <w:r w:rsidR="000B39B8">
        <w:t xml:space="preserve">for that one covered 988 service provider of </w:t>
      </w:r>
      <w:r w:rsidRPr="001765A1" w:rsidR="000B39B8">
        <w:t>$1,</w:t>
      </w:r>
      <w:r w:rsidR="000B39B8">
        <w:t>000</w:t>
      </w:r>
      <w:r w:rsidRPr="001C4827" w:rsidR="000B39B8">
        <w:t>.</w:t>
      </w:r>
      <w:r w:rsidR="001E1BC3">
        <w:t xml:space="preserve">  </w:t>
      </w:r>
      <w:r w:rsidRPr="00DD204C">
        <w:rPr>
          <w:i/>
          <w:iCs/>
        </w:rPr>
        <w:t>2023 Report and Order</w:t>
      </w:r>
      <w:r>
        <w:t xml:space="preserve"> at </w:t>
      </w:r>
      <w:r w:rsidR="00922F3D">
        <w:t>27, para.</w:t>
      </w:r>
      <w:r w:rsidR="000B39B8">
        <w:t xml:space="preserve"> 42.</w:t>
      </w:r>
      <w:r w:rsidR="00A4356E">
        <w:t xml:space="preserve">  To simpl</w:t>
      </w:r>
      <w:r w:rsidR="00A11EAE">
        <w:t>if</w:t>
      </w:r>
      <w:r w:rsidR="00A4356E">
        <w:t>y the analysis provided in this supporting statement, we subsume this very small burden into the considerably larger burden for the total number of outages reports that would be filed annually.</w:t>
      </w:r>
    </w:p>
  </w:footnote>
  <w:footnote w:id="91">
    <w:p w:rsidR="00E41AD2" w:rsidRPr="00E41AD2" w14:paraId="69AF5995" w14:textId="63E1AFD0">
      <w:pPr>
        <w:pStyle w:val="FootnoteText"/>
      </w:pPr>
      <w:r>
        <w:rPr>
          <w:rStyle w:val="FootnoteReference"/>
        </w:rPr>
        <w:footnoteRef/>
      </w:r>
      <w:r>
        <w:t xml:space="preserve"> </w:t>
      </w:r>
      <w:r w:rsidRPr="00860BD4" w:rsidR="00BE5420">
        <w:rPr>
          <w:i/>
          <w:iCs/>
        </w:rPr>
        <w:t>Ensuring the Reliability and Resiliency of the 988 Suicide &amp; Crisis Lifeline; Amendments to Part 4 of the Commission’s Rules Concerning Disruptions to Communications; Implementation of the National Suicide Hotline Improvement Act of 2018</w:t>
      </w:r>
      <w:r w:rsidRPr="00BE5420" w:rsidR="00BE5420">
        <w:t xml:space="preserve">, PS Docket Nos. 23-5 and 15-80, WC Docket No. 18-336, </w:t>
      </w:r>
      <w:r w:rsidR="00860BD4">
        <w:t>Notice of Proposed Rulemaking</w:t>
      </w:r>
      <w:r w:rsidRPr="00BE5420" w:rsidR="00BE5420">
        <w:t xml:space="preserve">, FCC 23-7 (rel. </w:t>
      </w:r>
      <w:r w:rsidR="00860BD4">
        <w:t>Jan. 27</w:t>
      </w:r>
      <w:r w:rsidRPr="00BE5420" w:rsidR="00BE5420">
        <w:t>, 2023) (</w:t>
      </w:r>
      <w:r w:rsidRPr="00860BD4" w:rsidR="00BE5420">
        <w:rPr>
          <w:i/>
          <w:iCs/>
        </w:rPr>
        <w:t>2023 Notice</w:t>
      </w:r>
      <w:r w:rsidRPr="00BE5420" w:rsidR="00BE5420">
        <w:t>)</w:t>
      </w:r>
      <w:r w:rsidRPr="00860BD4" w:rsidR="00BE5420">
        <w:t xml:space="preserve"> </w:t>
      </w:r>
      <w:r w:rsidR="00295E8F">
        <w:t>at 15, note</w:t>
      </w:r>
      <w:r w:rsidR="00DB05F8">
        <w:t>s</w:t>
      </w:r>
      <w:r w:rsidR="00295E8F">
        <w:t xml:space="preserve"> 80</w:t>
      </w:r>
      <w:r w:rsidR="00DB05F8">
        <w:t xml:space="preserve"> and 82.</w:t>
      </w:r>
    </w:p>
  </w:footnote>
  <w:footnote w:id="92">
    <w:p w:rsidR="002007B5" w:rsidP="009E3262" w14:paraId="2F1505EC" w14:textId="26144FDA">
      <w:pPr>
        <w:pStyle w:val="FootnoteText"/>
        <w:spacing w:before="120"/>
      </w:pPr>
      <w:r>
        <w:rPr>
          <w:rStyle w:val="FootnoteReference"/>
        </w:rPr>
        <w:footnoteRef/>
      </w:r>
      <w:r>
        <w:t xml:space="preserve"> </w:t>
      </w:r>
      <w:r w:rsidR="00951F57">
        <w:t xml:space="preserve">We are reporting </w:t>
      </w:r>
      <w:r w:rsidR="005A3663">
        <w:t xml:space="preserve">an upward </w:t>
      </w:r>
      <w:r w:rsidR="00D90C5C">
        <w:t xml:space="preserve">adjustment of </w:t>
      </w:r>
      <w:r w:rsidR="004305F6">
        <w:t>12,205</w:t>
      </w:r>
      <w:r w:rsidR="00951F57">
        <w:t xml:space="preserve"> additional outages annually with a burden of 2 hours per outage </w:t>
      </w:r>
      <w:r w:rsidR="005A3663">
        <w:t xml:space="preserve">= an upward adjustment of </w:t>
      </w:r>
      <w:r w:rsidR="00FD698D">
        <w:t>24,410</w:t>
      </w:r>
      <w:r w:rsidR="005A3663">
        <w:t xml:space="preserve"> burden hours for providers.</w:t>
      </w:r>
    </w:p>
  </w:footnote>
  <w:footnote w:id="93">
    <w:p w:rsidR="0077359D" w:rsidP="009E3262" w14:paraId="7CB8786F" w14:textId="103C0C07">
      <w:pPr>
        <w:pStyle w:val="FootnoteText"/>
        <w:spacing w:before="120"/>
      </w:pPr>
      <w:r>
        <w:rPr>
          <w:rStyle w:val="FootnoteReference"/>
        </w:rPr>
        <w:footnoteRef/>
      </w:r>
      <w:r>
        <w:t xml:space="preserve"> </w:t>
      </w:r>
      <w:r w:rsidRPr="00991C7E" w:rsidR="00991C7E">
        <w:rPr>
          <w:i/>
          <w:iCs/>
        </w:rPr>
        <w:t>See</w:t>
      </w:r>
      <w:r w:rsidR="00991C7E">
        <w:t xml:space="preserve"> </w:t>
      </w:r>
      <w:r w:rsidRPr="009C4E09" w:rsidR="00991C7E">
        <w:rPr>
          <w:i/>
        </w:rPr>
        <w:t>2022 Second Report and Order</w:t>
      </w:r>
      <w:r w:rsidR="0052631A">
        <w:rPr>
          <w:i/>
        </w:rPr>
        <w:t xml:space="preserve">, </w:t>
      </w:r>
      <w:r w:rsidRPr="0052631A" w:rsidR="0052631A">
        <w:rPr>
          <w:iCs/>
        </w:rPr>
        <w:t>Appendix B</w:t>
      </w:r>
      <w:r w:rsidR="00991C7E">
        <w:t xml:space="preserve"> at </w:t>
      </w:r>
      <w:r w:rsidR="00EA6329">
        <w:t>35</w:t>
      </w:r>
      <w:r w:rsidR="00991C7E">
        <w:t xml:space="preserve">, para. </w:t>
      </w:r>
      <w:r w:rsidR="00EA6329">
        <w:t>25</w:t>
      </w:r>
      <w:r w:rsidR="003E7516">
        <w:t xml:space="preserve">; </w:t>
      </w:r>
      <w:r w:rsidRPr="002E6062" w:rsidR="002D552F">
        <w:rPr>
          <w:i/>
          <w:iCs/>
        </w:rPr>
        <w:t xml:space="preserve">2023 </w:t>
      </w:r>
      <w:r w:rsidRPr="002E6062" w:rsidR="003E7516">
        <w:rPr>
          <w:i/>
          <w:iCs/>
        </w:rPr>
        <w:t xml:space="preserve">Report and </w:t>
      </w:r>
      <w:r w:rsidRPr="002E6062" w:rsidR="002D552F">
        <w:rPr>
          <w:i/>
          <w:iCs/>
        </w:rPr>
        <w:t>Order</w:t>
      </w:r>
      <w:r w:rsidR="003E7516">
        <w:t xml:space="preserve"> at 12 para. 21.</w:t>
      </w:r>
    </w:p>
  </w:footnote>
  <w:footnote w:id="94">
    <w:p w:rsidR="008E0DCD" w:rsidP="00E17D46" w14:paraId="102B8AB5" w14:textId="2FB0FB1D">
      <w:pPr>
        <w:pStyle w:val="FootnoteText"/>
      </w:pPr>
      <w:r>
        <w:rPr>
          <w:rStyle w:val="FootnoteReference"/>
        </w:rPr>
        <w:footnoteRef/>
      </w:r>
      <w:r>
        <w:t xml:space="preserve"> </w:t>
      </w:r>
      <w:r w:rsidRPr="009C4E09">
        <w:rPr>
          <w:i/>
        </w:rPr>
        <w:t>2022 Second Report and Order</w:t>
      </w:r>
      <w:r>
        <w:rPr>
          <w:i/>
        </w:rPr>
        <w:t xml:space="preserve"> </w:t>
      </w:r>
      <w:r>
        <w:t>at 18-19</w:t>
      </w:r>
      <w:r w:rsidR="00DC7371">
        <w:t>, n.114</w:t>
      </w:r>
      <w:r>
        <w:t xml:space="preserve"> (finding </w:t>
      </w:r>
      <w:r w:rsidRPr="008E0DCD">
        <w:t>that a communications equipment operator</w:t>
      </w:r>
      <w:r>
        <w:t xml:space="preserve"> </w:t>
      </w:r>
      <w:r w:rsidRPr="008E0DCD">
        <w:t xml:space="preserve">would spend a total of one hour per outage to send out two notifications for each of an </w:t>
      </w:r>
      <w:r w:rsidRPr="00631003">
        <w:t>estimated 37,000 outages</w:t>
      </w:r>
      <w:r>
        <w:t>)</w:t>
      </w:r>
      <w:r w:rsidR="00435D49">
        <w:t xml:space="preserve">; </w:t>
      </w:r>
      <w:r w:rsidR="00EB0DF4">
        <w:rPr>
          <w:i/>
        </w:rPr>
        <w:t>2023 R</w:t>
      </w:r>
      <w:r w:rsidR="00435D49">
        <w:rPr>
          <w:i/>
        </w:rPr>
        <w:t>eport and Order</w:t>
      </w:r>
      <w:r w:rsidRPr="005B399C" w:rsidR="00435D49">
        <w:rPr>
          <w:iCs/>
        </w:rPr>
        <w:t xml:space="preserve"> at </w:t>
      </w:r>
      <w:r w:rsidRPr="00631003" w:rsidR="00435D49">
        <w:rPr>
          <w:iCs/>
        </w:rPr>
        <w:t>16, note 82</w:t>
      </w:r>
      <w:r w:rsidRPr="005B399C" w:rsidR="00435D49">
        <w:rPr>
          <w:iCs/>
        </w:rPr>
        <w:t>.</w:t>
      </w:r>
      <w:r w:rsidR="00435D49">
        <w:t xml:space="preserve"> (finding that a communications equipment operator would spend a total of one hour per outage to send out two notifications for each of an estimated 39,000 outages based on </w:t>
      </w:r>
      <w:r w:rsidRPr="00C55056" w:rsidR="00C55056">
        <w:t>the incidence of outages that potentially affected 911 in NORS reports during 2021</w:t>
      </w:r>
      <w:r w:rsidR="00435D49">
        <w:t>)</w:t>
      </w:r>
      <w:r>
        <w:t>.</w:t>
      </w:r>
    </w:p>
  </w:footnote>
  <w:footnote w:id="95">
    <w:p w:rsidR="00D1079B" w:rsidRPr="00685AB1" w:rsidP="00D1079B" w14:paraId="60E38E1E" w14:textId="71BEE564">
      <w:pPr>
        <w:pStyle w:val="FootnoteText"/>
      </w:pPr>
      <w:r>
        <w:rPr>
          <w:rStyle w:val="FootnoteReference"/>
        </w:rPr>
        <w:footnoteRef/>
      </w:r>
      <w:r>
        <w:t xml:space="preserve"> </w:t>
      </w:r>
      <w:r w:rsidRPr="009C4E09">
        <w:rPr>
          <w:i/>
        </w:rPr>
        <w:t>2022 Second Report and Order</w:t>
      </w:r>
      <w:r>
        <w:t xml:space="preserve"> at 18, para. 36.  </w:t>
      </w:r>
      <w:r w:rsidRPr="009C4E09">
        <w:rPr>
          <w:i/>
        </w:rPr>
        <w:t>See also</w:t>
      </w:r>
      <w:r w:rsidRPr="0032286D">
        <w:rPr>
          <w:i/>
          <w:iCs/>
        </w:rPr>
        <w:t xml:space="preserve"> </w:t>
      </w:r>
      <w:r>
        <w:t xml:space="preserve"> </w:t>
      </w:r>
      <w:r w:rsidR="000D6E1A">
        <w:rPr>
          <w:i/>
          <w:iCs/>
        </w:rPr>
        <w:t xml:space="preserve">Third Notice, </w:t>
      </w:r>
      <w:r>
        <w:t xml:space="preserve">36 FCC Rcd </w:t>
      </w:r>
      <w:r w:rsidR="000D6E1A">
        <w:t>at</w:t>
      </w:r>
      <w:r>
        <w:t xml:space="preserve"> 7884, n.122 (estimating that for each of the 2,890 affected carriers, one worker would annually spend at most two hours updating PSAP identification).</w:t>
      </w:r>
    </w:p>
  </w:footnote>
  <w:footnote w:id="96">
    <w:p w:rsidR="00D1079B" w:rsidP="00D1079B" w14:paraId="14D00345" w14:textId="77777777">
      <w:pPr>
        <w:pStyle w:val="FootnoteText"/>
      </w:pPr>
      <w:r>
        <w:rPr>
          <w:rStyle w:val="FootnoteReference"/>
        </w:rPr>
        <w:footnoteRef/>
      </w:r>
      <w:r>
        <w:t xml:space="preserve"> </w:t>
      </w:r>
      <w:r w:rsidRPr="00D2638E">
        <w:rPr>
          <w:i/>
          <w:iCs/>
        </w:rPr>
        <w:t>2023 Report and Order</w:t>
      </w:r>
      <w:r>
        <w:t xml:space="preserve"> at 28, para. 43.</w:t>
      </w:r>
    </w:p>
  </w:footnote>
  <w:footnote w:id="97">
    <w:p w:rsidR="00EA343B" w14:paraId="69A8E88D" w14:textId="2DACD4AB">
      <w:pPr>
        <w:pStyle w:val="FootnoteText"/>
      </w:pPr>
      <w:r>
        <w:rPr>
          <w:rStyle w:val="FootnoteReference"/>
        </w:rPr>
        <w:footnoteRef/>
      </w:r>
      <w:r>
        <w:t xml:space="preserve"> </w:t>
      </w:r>
      <w:r w:rsidRPr="009C4E09">
        <w:rPr>
          <w:i/>
        </w:rPr>
        <w:t xml:space="preserve">See </w:t>
      </w:r>
      <w:r w:rsidRPr="006E5E98">
        <w:rPr>
          <w:i/>
          <w:iCs/>
        </w:rPr>
        <w:t>2024 Order on Reconsideration</w:t>
      </w:r>
      <w:r>
        <w:rPr>
          <w:i/>
          <w:iCs/>
        </w:rPr>
        <w:t xml:space="preserve"> </w:t>
      </w:r>
      <w:r>
        <w:t>at 12-17, paras. 29-37.</w:t>
      </w:r>
    </w:p>
  </w:footnote>
  <w:footnote w:id="98">
    <w:p w:rsidR="00F13D3F" w:rsidRPr="00E64001" w:rsidP="00F13D3F" w14:paraId="1E120E4F" w14:textId="0E043AD4">
      <w:pPr>
        <w:pStyle w:val="FootnoteText"/>
        <w:spacing w:before="120"/>
      </w:pPr>
      <w:r w:rsidRPr="00E64001">
        <w:rPr>
          <w:rStyle w:val="FootnoteReference"/>
        </w:rPr>
        <w:footnoteRef/>
      </w:r>
      <w:r w:rsidRPr="00E64001">
        <w:t xml:space="preserve"> </w:t>
      </w:r>
      <w:r w:rsidRPr="00E64001">
        <w:rPr>
          <w:i/>
          <w:iCs/>
          <w:lang w:val="en"/>
        </w:rPr>
        <w:t>See</w:t>
      </w:r>
      <w:r w:rsidRPr="00E64001">
        <w:rPr>
          <w:lang w:val="en"/>
        </w:rPr>
        <w:t xml:space="preserve"> </w:t>
      </w:r>
      <w:r w:rsidR="006153A1">
        <w:rPr>
          <w:lang w:val="en"/>
        </w:rPr>
        <w:t xml:space="preserve">CCA </w:t>
      </w:r>
      <w:r w:rsidRPr="00E64001">
        <w:rPr>
          <w:lang w:val="en"/>
        </w:rPr>
        <w:t xml:space="preserve">Petition at 12 (quoting AT&amp;T Comments on </w:t>
      </w:r>
      <w:r w:rsidRPr="00E64001">
        <w:rPr>
          <w:i/>
          <w:iCs/>
          <w:lang w:val="en"/>
        </w:rPr>
        <w:t>Third NPRM</w:t>
      </w:r>
      <w:r w:rsidRPr="00E64001">
        <w:rPr>
          <w:lang w:val="en"/>
        </w:rPr>
        <w:t xml:space="preserve"> at 14).</w:t>
      </w:r>
    </w:p>
  </w:footnote>
  <w:footnote w:id="99">
    <w:p w:rsidR="00F13D3F" w:rsidRPr="00E64001" w:rsidP="00F13D3F" w14:paraId="35BBA1D3" w14:textId="77777777">
      <w:pPr>
        <w:pStyle w:val="FootnoteText"/>
        <w:spacing w:before="120"/>
      </w:pPr>
      <w:r w:rsidRPr="00E64001">
        <w:rPr>
          <w:rStyle w:val="FootnoteReference"/>
        </w:rPr>
        <w:footnoteRef/>
      </w:r>
      <w:r w:rsidRPr="00E64001">
        <w:t xml:space="preserve"> We assume that a communications equipment operator, earning $37/hour (including benefits), would perform this task.  Therefore, the annual cost of updating the contact information for all PSAPs in the nation would be $34,040 </w:t>
      </w:r>
      <w:r w:rsidRPr="00E64001">
        <w:rPr>
          <w:rStyle w:val="normaltextrun"/>
          <w:rFonts w:eastAsia="Calibri"/>
          <w:bdr w:val="none" w:sz="0" w:space="0" w:color="auto" w:frame="1"/>
        </w:rPr>
        <w:t>[$37/hour × 20 hours × 46 weeks]</w:t>
      </w:r>
      <w:r w:rsidRPr="00E64001">
        <w:t xml:space="preserve">.  We use the job category of “Communications Equipment Operators, All Other” in this estimate to avoid under-estimating labor costs for tasks that are likely performed by lower-paid workers.  </w:t>
      </w:r>
      <w:r w:rsidRPr="00E64001">
        <w:rPr>
          <w:i/>
        </w:rPr>
        <w:t xml:space="preserve">See </w:t>
      </w:r>
      <w:r w:rsidRPr="00E64001">
        <w:t xml:space="preserve">Economic News Release, Bureau of Labor Statistics, National Employment and Wage Data from the Occupational Employment Statistics Survey by Occupation, May 2022 (May 2022) </w:t>
      </w:r>
      <w:hyperlink r:id="rId5" w:history="1">
        <w:r w:rsidRPr="00441BE3">
          <w:rPr>
            <w:rStyle w:val="Hyperlink"/>
          </w:rPr>
          <w:t>https://www.bls.gov/news.release/ocwage.t01.htm</w:t>
        </w:r>
      </w:hyperlink>
      <w:r w:rsidRPr="00441BE3">
        <w:t>.</w:t>
      </w:r>
      <w:r w:rsidRPr="00E64001">
        <w:t xml:space="preserve">  We begin with the average hourly wage [$24.11] and multiply by 1.45 to account for benefits and by 105.5% for inflation adjustment between 2022 and 2023, then round up to $37.</w:t>
      </w:r>
    </w:p>
    <w:p w:rsidR="00F13D3F" w:rsidRPr="00E64001" w:rsidP="00F13D3F" w14:paraId="7A3BED2C" w14:textId="77777777">
      <w:pPr>
        <w:pStyle w:val="FootnoteText"/>
        <w:spacing w:before="120"/>
      </w:pPr>
      <w:r w:rsidRPr="00E64001">
        <w:t xml:space="preserve">According to the Bureau of Labor Statistics, as of June 2023, civilian wages and salaries averaged $29.86/hour and benefits averaged $13.39/hour.  Total compensation therefore averaged $29.86 + $13.39, rounded to $43.26. </w:t>
      </w:r>
      <w:r w:rsidRPr="00E64001">
        <w:rPr>
          <w:i/>
          <w:iCs/>
        </w:rPr>
        <w:t>See</w:t>
      </w:r>
      <w:r w:rsidRPr="00E64001">
        <w:t xml:space="preserve"> Press Release, Bureau of Labor Statistics, Employer Costs for Employee Compensation—June 2023 (Sept. 12, 2023), </w:t>
      </w:r>
      <w:hyperlink r:id="rId6" w:history="1">
        <w:r w:rsidRPr="00E64001">
          <w:rPr>
            <w:rStyle w:val="Hyperlink"/>
          </w:rPr>
          <w:t>https://www.bls.gov/news.release/pdf/ecec.pdf</w:t>
        </w:r>
      </w:hyperlink>
      <w:r w:rsidRPr="00E64001">
        <w:t xml:space="preserve">.  Using these figures, benefits constitute a markup of $13.39/$29.86 ~ 45% (Compensation Benefit Mark-up).  We therefore markup wages by 45% to account for benefits.  The 105.5% multiplier represents our adjustment for inflation.  </w:t>
      </w:r>
      <w:r w:rsidRPr="00E64001">
        <w:rPr>
          <w:i/>
          <w:iCs/>
        </w:rPr>
        <w:t xml:space="preserve">See </w:t>
      </w:r>
      <w:r w:rsidRPr="00E64001">
        <w:t>Federal Reserve Bank of St. Louis, Average Hourly Earnings of All Employees, Total Private (CES0500000003</w:t>
      </w:r>
      <w:r w:rsidRPr="00E64001">
        <w:rPr>
          <w:iCs/>
        </w:rPr>
        <w:t>),</w:t>
      </w:r>
      <w:r w:rsidRPr="00E64001">
        <w:t xml:space="preserve"> https://fred.stlouisfed.org/series/CES0500000003 (last visited Feb. 7, 2024) (Inflation Adjustment) (showing that according to Bureau of Labor Statistics data, the average hourly private wage increased by 5.5% between May 2022 and August 2023).</w:t>
      </w:r>
    </w:p>
  </w:footnote>
  <w:footnote w:id="100">
    <w:p w:rsidR="00F13D3F" w:rsidRPr="00E64001" w:rsidP="00F13D3F" w14:paraId="6806A2CC" w14:textId="3BA18BAF">
      <w:pPr>
        <w:pStyle w:val="FootnoteText"/>
        <w:spacing w:before="120"/>
        <w:rPr>
          <w:shd w:val="clear" w:color="auto" w:fill="FFFFFF"/>
        </w:rPr>
      </w:pPr>
      <w:r w:rsidRPr="00E64001">
        <w:rPr>
          <w:rStyle w:val="FootnoteReference"/>
        </w:rPr>
        <w:footnoteRef/>
      </w:r>
      <w:r w:rsidRPr="00E64001">
        <w:t xml:space="preserve"> </w:t>
      </w:r>
      <w:r w:rsidRPr="00E64001">
        <w:rPr>
          <w:rStyle w:val="normaltextrun"/>
          <w:rFonts w:eastAsia="Calibri"/>
          <w:shd w:val="clear" w:color="auto" w:fill="FFFFFF"/>
        </w:rPr>
        <w:t xml:space="preserve">The annual per-PSAP cost for an individual provider is estimated to be $6 [$34,040 per year / 5,748 PSAPs  ~ $5.92, rounding up to $6].  </w:t>
      </w:r>
      <w:r w:rsidRPr="00E64001">
        <w:rPr>
          <w:rStyle w:val="normaltextrun"/>
          <w:rFonts w:eastAsia="Calibri"/>
          <w:i/>
          <w:iCs/>
          <w:shd w:val="clear" w:color="auto" w:fill="FFFFFF"/>
        </w:rPr>
        <w:t>See Second Report and Order</w:t>
      </w:r>
      <w:r w:rsidRPr="00E64001">
        <w:rPr>
          <w:spacing w:val="-2"/>
        </w:rPr>
        <w:t>, 37 FCC Rcd at 13848, para. 1 (“approximately 5,748 primary and secondary Public Safety Answering Points”).</w:t>
      </w:r>
      <w:r w:rsidR="00EF451B">
        <w:rPr>
          <w:spacing w:val="-2"/>
        </w:rPr>
        <w:t xml:space="preserve">  This results in a per</w:t>
      </w:r>
      <w:r w:rsidR="007B0DF3">
        <w:rPr>
          <w:spacing w:val="-2"/>
        </w:rPr>
        <w:t>-</w:t>
      </w:r>
      <w:r w:rsidR="00EF451B">
        <w:rPr>
          <w:spacing w:val="-2"/>
        </w:rPr>
        <w:t xml:space="preserve">PSAP annual burden of </w:t>
      </w:r>
      <w:r w:rsidR="007B0DF3">
        <w:rPr>
          <w:spacing w:val="-2"/>
        </w:rPr>
        <w:t>10</w:t>
      </w:r>
      <w:r w:rsidR="00EF451B">
        <w:rPr>
          <w:spacing w:val="-2"/>
        </w:rPr>
        <w:t xml:space="preserve"> minutes [$</w:t>
      </w:r>
      <w:r w:rsidR="007B0DF3">
        <w:rPr>
          <w:spacing w:val="-2"/>
        </w:rPr>
        <w:t>5.92</w:t>
      </w:r>
      <w:r w:rsidR="00EF451B">
        <w:rPr>
          <w:spacing w:val="-2"/>
        </w:rPr>
        <w:t xml:space="preserve"> per PSAP / $37 per hour </w:t>
      </w:r>
      <w:r w:rsidR="007B0DF3">
        <w:rPr>
          <w:spacing w:val="-2"/>
        </w:rPr>
        <w:t>=</w:t>
      </w:r>
      <w:r w:rsidR="00EF451B">
        <w:rPr>
          <w:spacing w:val="-2"/>
        </w:rPr>
        <w:t xml:space="preserve"> 0.16 hours per PSAP = </w:t>
      </w:r>
      <w:r w:rsidR="007B0DF3">
        <w:rPr>
          <w:spacing w:val="-2"/>
        </w:rPr>
        <w:t>10</w:t>
      </w:r>
      <w:r w:rsidR="00EF451B">
        <w:rPr>
          <w:spacing w:val="-2"/>
        </w:rPr>
        <w:t xml:space="preserve"> minutes per PSAP].</w:t>
      </w:r>
    </w:p>
  </w:footnote>
  <w:footnote w:id="101">
    <w:p w:rsidR="00F13D3F" w:rsidRPr="00E64001" w:rsidP="00F13D3F" w14:paraId="61A06903" w14:textId="77777777">
      <w:pPr>
        <w:pStyle w:val="FootnoteText"/>
        <w:spacing w:before="120"/>
      </w:pPr>
      <w:r w:rsidRPr="00E64001">
        <w:rPr>
          <w:rStyle w:val="FootnoteReference"/>
        </w:rPr>
        <w:footnoteRef/>
      </w:r>
      <w:r w:rsidRPr="00E64001">
        <w:t xml:space="preserve"> </w:t>
      </w:r>
      <w:r w:rsidRPr="00E64001">
        <w:rPr>
          <w:rStyle w:val="normaltextrun"/>
          <w:rFonts w:eastAsia="Calibri"/>
          <w:shd w:val="clear" w:color="auto" w:fill="FFFFFF"/>
        </w:rPr>
        <w:t xml:space="preserve">With respect to facilities-based wireless service providers, </w:t>
      </w:r>
      <w:r w:rsidRPr="00E64001">
        <w:rPr>
          <w:rStyle w:val="normaltextrun"/>
          <w:rFonts w:eastAsia="Calibri"/>
          <w:i/>
          <w:iCs/>
          <w:shd w:val="clear" w:color="auto" w:fill="FFFFFF"/>
        </w:rPr>
        <w:t>see</w:t>
      </w:r>
      <w:r w:rsidRPr="00E64001">
        <w:rPr>
          <w:rStyle w:val="normaltextrun"/>
          <w:rFonts w:eastAsia="Calibri"/>
          <w:shd w:val="clear" w:color="auto" w:fill="FFFFFF"/>
        </w:rPr>
        <w:t xml:space="preserve"> FCC</w:t>
      </w:r>
      <w:r w:rsidRPr="00E64001">
        <w:rPr>
          <w:rStyle w:val="normaltextrun"/>
          <w:rFonts w:eastAsia="Calibri"/>
          <w:i/>
          <w:iCs/>
          <w:shd w:val="clear" w:color="auto" w:fill="FFFFFF"/>
        </w:rPr>
        <w:t>, Mobile Deployment Form 477 Data</w:t>
      </w:r>
      <w:r w:rsidRPr="00E64001">
        <w:rPr>
          <w:rStyle w:val="normaltextrun"/>
          <w:rFonts w:eastAsia="Calibri"/>
          <w:shd w:val="clear" w:color="auto" w:fill="FFFFFF"/>
        </w:rPr>
        <w:t xml:space="preserve"> (updated Dec. 30, 2022), </w:t>
      </w:r>
      <w:hyperlink r:id="rId7" w:history="1">
        <w:r w:rsidRPr="00E64001">
          <w:rPr>
            <w:rStyle w:val="Hyperlink"/>
            <w:shd w:val="clear" w:color="auto" w:fill="FFFFFF"/>
          </w:rPr>
          <w:t>https://www.fcc.gov/mobile-deployment-form-477-data</w:t>
        </w:r>
      </w:hyperlink>
      <w:r w:rsidRPr="00E64001">
        <w:rPr>
          <w:rStyle w:val="normaltextrun"/>
          <w:rFonts w:eastAsia="Calibri"/>
          <w:shd w:val="clear" w:color="auto" w:fill="FFFFFF"/>
        </w:rPr>
        <w:t>.  F</w:t>
      </w:r>
      <w:r w:rsidRPr="00E64001">
        <w:t>or switched access (wireline), cable, and interconnected VoIP, staff calculation are based on Form 477 filings certified as of July 24, 2023 and Broadband Data Collection filings certified as of August 4, 2023.</w:t>
      </w:r>
    </w:p>
  </w:footnote>
  <w:footnote w:id="102">
    <w:p w:rsidR="00F13D3F" w:rsidRPr="00E64001" w:rsidP="00F13D3F" w14:paraId="61E9906C" w14:textId="77777777">
      <w:pPr>
        <w:pStyle w:val="FootnoteText"/>
        <w:spacing w:before="120"/>
      </w:pPr>
      <w:r w:rsidRPr="00E64001">
        <w:rPr>
          <w:rStyle w:val="FootnoteReference"/>
        </w:rPr>
        <w:footnoteRef/>
      </w:r>
      <w:r w:rsidRPr="00E64001">
        <w:t xml:space="preserve"> </w:t>
      </w:r>
      <w:r w:rsidRPr="00E64001">
        <w:rPr>
          <w:i/>
          <w:iCs/>
        </w:rPr>
        <w:t xml:space="preserve">See </w:t>
      </w:r>
      <w:r w:rsidRPr="00E64001">
        <w:t>FCC</w:t>
      </w:r>
      <w:r w:rsidRPr="00E64001">
        <w:rPr>
          <w:i/>
          <w:iCs/>
        </w:rPr>
        <w:t>, Form 499 Filer Database</w:t>
      </w:r>
      <w:r w:rsidRPr="00E64001">
        <w:t xml:space="preserve"> (updated Sept. 20, 2023), </w:t>
      </w:r>
      <w:hyperlink r:id="rId8" w:history="1">
        <w:r w:rsidRPr="00E64001">
          <w:rPr>
            <w:rStyle w:val="Hyperlink"/>
          </w:rPr>
          <w:t>https://apps.fcc.gov/cgb/form499/499a.cfm</w:t>
        </w:r>
      </w:hyperlink>
      <w:r w:rsidRPr="00E64001">
        <w:t>.</w:t>
      </w:r>
    </w:p>
  </w:footnote>
  <w:footnote w:id="103">
    <w:p w:rsidR="00F13D3F" w:rsidRPr="00E64001" w:rsidP="00F13D3F" w14:paraId="5856747F" w14:textId="77777777">
      <w:pPr>
        <w:pStyle w:val="FootnoteText"/>
        <w:spacing w:before="120"/>
      </w:pPr>
      <w:r w:rsidRPr="00E64001">
        <w:rPr>
          <w:rStyle w:val="FootnoteReference"/>
        </w:rPr>
        <w:footnoteRef/>
      </w:r>
      <w:r w:rsidRPr="00E64001">
        <w:t xml:space="preserve"> </w:t>
      </w:r>
      <w:r w:rsidRPr="00E64001">
        <w:rPr>
          <w:i/>
          <w:iCs/>
        </w:rPr>
        <w:t xml:space="preserve">See </w:t>
      </w:r>
      <w:r w:rsidRPr="00E64001">
        <w:t>FCC</w:t>
      </w:r>
      <w:r w:rsidRPr="00E64001">
        <w:rPr>
          <w:i/>
          <w:iCs/>
        </w:rPr>
        <w:t>, Broadband Data Collection</w:t>
      </w:r>
      <w:r w:rsidRPr="00E64001">
        <w:t xml:space="preserve"> (updated July 25, 2023), </w:t>
      </w:r>
      <w:hyperlink r:id="rId9" w:history="1">
        <w:r w:rsidRPr="00E64001">
          <w:rPr>
            <w:rStyle w:val="Hyperlink"/>
          </w:rPr>
          <w:t>https://www.fcc.gov/BroadbandData</w:t>
        </w:r>
      </w:hyperlink>
      <w:r w:rsidRPr="00E64001">
        <w:t>.</w:t>
      </w:r>
    </w:p>
  </w:footnote>
  <w:footnote w:id="104">
    <w:p w:rsidR="00F13D3F" w:rsidRPr="00E64001" w:rsidP="00F13D3F" w14:paraId="07C0103F" w14:textId="77777777">
      <w:pPr>
        <w:spacing w:before="120" w:after="120"/>
        <w:rPr>
          <w:sz w:val="20"/>
        </w:rPr>
      </w:pPr>
      <w:r w:rsidRPr="00E64001">
        <w:rPr>
          <w:rStyle w:val="FootnoteReference"/>
        </w:rPr>
        <w:footnoteRef/>
      </w:r>
      <w:r w:rsidRPr="00E64001">
        <w:rPr>
          <w:sz w:val="20"/>
        </w:rPr>
        <w:t xml:space="preserve"> </w:t>
      </w:r>
      <w:r w:rsidRPr="00E64001">
        <w:rPr>
          <w:rStyle w:val="normaltextrun"/>
          <w:rFonts w:eastAsia="Calibri"/>
          <w:kern w:val="0"/>
          <w:sz w:val="20"/>
          <w:shd w:val="clear" w:color="auto" w:fill="FFFFFF"/>
        </w:rPr>
        <w:t xml:space="preserve">Staff analysis of Form 477 data suggests that when there is a fourth non-nationwide wireless provider in any particular location, it is usually the only one.  </w:t>
      </w:r>
      <w:r w:rsidRPr="00E64001">
        <w:rPr>
          <w:rStyle w:val="normaltextrun"/>
          <w:rFonts w:eastAsia="Calibri"/>
          <w:i/>
          <w:iCs/>
          <w:kern w:val="0"/>
          <w:sz w:val="20"/>
          <w:shd w:val="clear" w:color="auto" w:fill="FFFFFF"/>
        </w:rPr>
        <w:t>See FCC, Mobile Deployment Form 477 Data</w:t>
      </w:r>
      <w:r w:rsidRPr="00E64001">
        <w:rPr>
          <w:rStyle w:val="normaltextrun"/>
          <w:rFonts w:eastAsia="Calibri"/>
          <w:kern w:val="0"/>
          <w:sz w:val="20"/>
          <w:shd w:val="clear" w:color="auto" w:fill="FFFFFF"/>
        </w:rPr>
        <w:t xml:space="preserve"> (Jul. 29, 2022), </w:t>
      </w:r>
      <w:hyperlink r:id="rId7" w:history="1">
        <w:r w:rsidRPr="00E64001">
          <w:rPr>
            <w:rStyle w:val="Hyperlink"/>
            <w:kern w:val="0"/>
            <w:sz w:val="20"/>
            <w:shd w:val="clear" w:color="auto" w:fill="FFFFFF"/>
          </w:rPr>
          <w:t>https://www.fcc.gov/mobile-deployment-form-477-data</w:t>
        </w:r>
      </w:hyperlink>
      <w:r w:rsidRPr="00E64001">
        <w:rPr>
          <w:rStyle w:val="normaltextrun"/>
          <w:rFonts w:eastAsia="Calibri"/>
          <w:kern w:val="0"/>
          <w:sz w:val="20"/>
          <w:shd w:val="clear" w:color="auto" w:fill="FFFFFF"/>
        </w:rPr>
        <w:t>.</w:t>
      </w:r>
    </w:p>
  </w:footnote>
  <w:footnote w:id="105">
    <w:p w:rsidR="00F13D3F" w:rsidRPr="00E64001" w:rsidP="00F13D3F" w14:paraId="6E3BE7C6" w14:textId="77777777">
      <w:pPr>
        <w:pStyle w:val="FootnoteText"/>
        <w:spacing w:before="120"/>
      </w:pPr>
      <w:r w:rsidRPr="00E64001">
        <w:rPr>
          <w:rStyle w:val="FootnoteReference"/>
        </w:rPr>
        <w:footnoteRef/>
      </w:r>
      <w:r w:rsidRPr="00E64001">
        <w:t xml:space="preserve"> For each provider in the Form 499 Filer Database, Columns 61-119 identify each state for which that provider reports providing service.  </w:t>
      </w:r>
      <w:r w:rsidRPr="00E64001">
        <w:rPr>
          <w:i/>
          <w:iCs/>
        </w:rPr>
        <w:t xml:space="preserve">See </w:t>
      </w:r>
      <w:r w:rsidRPr="00E64001">
        <w:t>FCC</w:t>
      </w:r>
      <w:r w:rsidRPr="00E64001">
        <w:rPr>
          <w:i/>
          <w:iCs/>
        </w:rPr>
        <w:t>, Form 499 Filer Database</w:t>
      </w:r>
      <w:r w:rsidRPr="00E64001">
        <w:t xml:space="preserve"> (updated Sept. 20, 2023), </w:t>
      </w:r>
      <w:hyperlink r:id="rId8" w:history="1">
        <w:r w:rsidRPr="00E64001">
          <w:rPr>
            <w:rStyle w:val="Hyperlink"/>
          </w:rPr>
          <w:t>https://apps.fcc.gov/cgb/form499/499a.cfm</w:t>
        </w:r>
      </w:hyperlink>
      <w:r w:rsidRPr="00E64001">
        <w:t>.  Staff analysis suggests that there are 333 operational MVNOs nationwide.  To arrive at this figure, we restricted Form 499 data to filers who reported end-user mobile revenue for CY 2022.  We further restricted this data by removing all facilities-based providers using Form 477 data.</w:t>
      </w:r>
    </w:p>
  </w:footnote>
  <w:footnote w:id="106">
    <w:p w:rsidR="00F13D3F" w:rsidRPr="00E64001" w:rsidP="00F13D3F" w14:paraId="0B377B30" w14:textId="77777777">
      <w:pPr>
        <w:pStyle w:val="FootnoteText"/>
        <w:spacing w:before="120"/>
      </w:pPr>
      <w:r w:rsidRPr="00E64001">
        <w:rPr>
          <w:rStyle w:val="FootnoteReference"/>
        </w:rPr>
        <w:footnoteRef/>
      </w:r>
      <w:r w:rsidRPr="00E64001">
        <w:t xml:space="preserve"> Assuming that an MVNO’s presence in a state implies state-wide service is a conservative assumption that is likely to overstate costs.  In reality, many MVNOs will only be required to contact the PSAPs located in their service areas, leading to lower costs than what we calculate here.</w:t>
      </w:r>
    </w:p>
  </w:footnote>
  <w:footnote w:id="107">
    <w:p w:rsidR="00F13D3F" w:rsidRPr="00E64001" w:rsidP="00F13D3F" w14:paraId="6A7D9569" w14:textId="77777777">
      <w:pPr>
        <w:pStyle w:val="FootnoteText"/>
        <w:spacing w:before="120"/>
      </w:pPr>
      <w:r w:rsidRPr="00E64001">
        <w:rPr>
          <w:rStyle w:val="FootnoteReference"/>
        </w:rPr>
        <w:footnoteRef/>
      </w:r>
      <w:r w:rsidRPr="00E64001">
        <w:t xml:space="preserve"> To obtain our estimate of 563,944, we multiply the number of MVNOs by the number PSAPs in the state, then sum over instances of contacts with PSAPs across states.</w:t>
      </w:r>
    </w:p>
  </w:footnote>
  <w:footnote w:id="108">
    <w:p w:rsidR="00F13D3F" w:rsidRPr="00E64001" w:rsidP="00F13D3F" w14:paraId="6ED9C717" w14:textId="77777777">
      <w:pPr>
        <w:pStyle w:val="FootnoteText"/>
        <w:spacing w:before="120"/>
      </w:pPr>
      <w:r w:rsidRPr="00E64001">
        <w:rPr>
          <w:rStyle w:val="FootnoteReference"/>
        </w:rPr>
        <w:footnoteRef/>
      </w:r>
      <w:r w:rsidRPr="00E64001">
        <w:t xml:space="preserve"> </w:t>
      </w:r>
      <w:r w:rsidRPr="00E64001">
        <w:rPr>
          <w:rFonts w:eastAsia="Calibri"/>
        </w:rPr>
        <w:t xml:space="preserve">Because PSAP counts are available at the level of a state, we disaggregate PSAP counts to the level of a county using population-based weighting.  </w:t>
      </w:r>
      <w:r w:rsidRPr="00E64001">
        <w:t xml:space="preserve">This is a reasonable assumption, as more populated counties are likely to receive more 9-1-1 calls which will require more PSAPs.  Staff constructed population-based weights for each county by dividing the population of that county by the total state population.  </w:t>
      </w:r>
      <w:r w:rsidRPr="00E64001">
        <w:rPr>
          <w:i/>
          <w:iCs/>
        </w:rPr>
        <w:t>See U.S. Census Bureau, County Population Totals and Components of Change: 2020-2022</w:t>
      </w:r>
      <w:r w:rsidRPr="00E64001">
        <w:t xml:space="preserve">, (Jun. 23, 2023), </w:t>
      </w:r>
      <w:hyperlink r:id="rId10" w:history="1">
        <w:r w:rsidRPr="00E64001">
          <w:rPr>
            <w:rStyle w:val="Hyperlink"/>
          </w:rPr>
          <w:t>https://www.census.gov/data/tables/time-series/demo/popest/2020s-counties-total.html</w:t>
        </w:r>
      </w:hyperlink>
      <w:r w:rsidRPr="00E64001">
        <w:t>.</w:t>
      </w:r>
    </w:p>
  </w:footnote>
  <w:footnote w:id="109">
    <w:p w:rsidR="00F13D3F" w:rsidRPr="00E64001" w:rsidP="00F13D3F" w14:paraId="33B7B76A" w14:textId="77777777">
      <w:pPr>
        <w:pStyle w:val="FootnoteText"/>
        <w:spacing w:before="120"/>
      </w:pPr>
      <w:r w:rsidRPr="00E64001">
        <w:rPr>
          <w:rStyle w:val="FootnoteReference"/>
        </w:rPr>
        <w:footnoteRef/>
      </w:r>
      <w:r w:rsidRPr="00E64001">
        <w:t xml:space="preserve"> The average number of unduplicated voice providers of cable, switched access and interconnected VoIP service in a county is approximately 50.  Because, in reality, providers are likely to contact only the PSAPs which operate in their area of service, which may not necessarily span the entire county, our assumption leads to an overestimate of the number of PSAPs that providers, on average, need to reach to obtain contact information.  For comparison, the average number of unduplicated voice providers of cable, switched access and interconnected VoIP service in a census tract is approximately 16, which tells us that most providers do not serve the entire county.</w:t>
      </w:r>
    </w:p>
  </w:footnote>
  <w:footnote w:id="110">
    <w:p w:rsidR="00F13D3F" w:rsidRPr="00E64001" w:rsidP="00F13D3F" w14:paraId="2A04334D" w14:textId="77777777">
      <w:pPr>
        <w:pStyle w:val="FootnoteText"/>
      </w:pPr>
      <w:r w:rsidRPr="00E64001">
        <w:rPr>
          <w:rStyle w:val="FootnoteReference"/>
        </w:rPr>
        <w:footnoteRef/>
      </w:r>
      <w:r w:rsidRPr="00E64001">
        <w:t xml:space="preserve"> For instance, suppose that there are two equally populated counties, each receiving service from a provider that serves one county in its entirety but not the other and consider the following two scenarios.  </w:t>
      </w:r>
      <w:r w:rsidRPr="00E64001">
        <w:rPr>
          <w:u w:val="single"/>
        </w:rPr>
        <w:t>Scenario (1)</w:t>
      </w:r>
      <w:r w:rsidRPr="00E64001">
        <w:t xml:space="preserve">:  there are two PSAPS and each PSAP covers one county, but not the other, so that each service provider needs to update information for a single PSAP.  </w:t>
      </w:r>
      <w:r w:rsidRPr="00E64001">
        <w:rPr>
          <w:u w:val="single"/>
        </w:rPr>
        <w:t>Scenario (2)</w:t>
      </w:r>
      <w:r w:rsidRPr="00E64001">
        <w:t>:  both PSAPs cover parts of each county, so that both service providers need to update information for both PSAPs, which doubles the cost.  Our population weighing procedure leads to a cost estimate equivalent to the cost in scenario (1), and therefore underestimates costs in scenario (2).  However, on average, each county contains approximately 1.8 PSAPs, so that it is more likely that counties contain individual PSAPs than not.  Moreover, because the average number of unduplicated voice providers in any part of a county is well below the average number of providers serving the county, contrary to our estimates, many service providers in any county do not need to update contact information for every PSAP in that county.</w:t>
      </w:r>
    </w:p>
  </w:footnote>
  <w:footnote w:id="111">
    <w:p w:rsidR="00F13D3F" w:rsidRPr="00E64001" w:rsidP="00F13D3F" w14:paraId="7E30E9FC" w14:textId="77777777">
      <w:pPr>
        <w:pStyle w:val="FootnoteText"/>
        <w:spacing w:before="120"/>
      </w:pPr>
      <w:r w:rsidRPr="00E64001">
        <w:rPr>
          <w:rStyle w:val="FootnoteReference"/>
        </w:rPr>
        <w:footnoteRef/>
      </w:r>
      <w:r w:rsidRPr="00E64001">
        <w:t xml:space="preserve"> We do not include Big Bend Telephone, a local wireline provider that also reports satellite connections largely overlapping its wireline territory in our satellite calculations, because its costs are already accounted for in our joint calculations for switched access, cable, and interconnected VoIP providers.</w:t>
      </w:r>
    </w:p>
  </w:footnote>
  <w:footnote w:id="112">
    <w:p w:rsidR="00C211E3" w14:paraId="29410230" w14:textId="08A00A79">
      <w:pPr>
        <w:pStyle w:val="FootnoteText"/>
      </w:pPr>
      <w:r>
        <w:rPr>
          <w:rStyle w:val="FootnoteReference"/>
        </w:rPr>
        <w:footnoteRef/>
      </w:r>
      <w:r>
        <w:t xml:space="preserve"> </w:t>
      </w:r>
      <w:r w:rsidRPr="006E5E98">
        <w:rPr>
          <w:i/>
          <w:iCs/>
        </w:rPr>
        <w:t>2024 Order on Reconsideration</w:t>
      </w:r>
      <w:r>
        <w:rPr>
          <w:i/>
          <w:iCs/>
        </w:rPr>
        <w:t xml:space="preserve"> </w:t>
      </w:r>
      <w:r>
        <w:t>at 16-17, paras. 36-37.</w:t>
      </w:r>
    </w:p>
  </w:footnote>
  <w:footnote w:id="113">
    <w:p w:rsidR="000D262E" w:rsidP="000D262E" w14:paraId="501A4C97" w14:textId="6A18CE84">
      <w:pPr>
        <w:pStyle w:val="FootnoteText"/>
      </w:pPr>
      <w:r>
        <w:rPr>
          <w:rStyle w:val="FootnoteReference"/>
        </w:rPr>
        <w:footnoteRef/>
      </w:r>
      <w:r>
        <w:t xml:space="preserve"> </w:t>
      </w:r>
      <w:r w:rsidRPr="002E6062">
        <w:rPr>
          <w:i/>
          <w:iCs/>
        </w:rPr>
        <w:t>2023 Report and Order</w:t>
      </w:r>
      <w:r>
        <w:t xml:space="preserve"> at 17, note 83 (estimating that </w:t>
      </w:r>
      <w:r w:rsidRPr="001C09AD">
        <w:t xml:space="preserve">for each of the </w:t>
      </w:r>
      <w:r w:rsidRPr="007B4605">
        <w:t>3</w:t>
      </w:r>
      <w:r>
        <w:t>,</w:t>
      </w:r>
      <w:r w:rsidRPr="007B4605">
        <w:t>124</w:t>
      </w:r>
      <w:r w:rsidRPr="001C09AD">
        <w:t xml:space="preserve"> </w:t>
      </w:r>
      <w:r>
        <w:t>providers</w:t>
      </w:r>
      <w:r w:rsidRPr="00B15D66">
        <w:t>, one worker, earning $3</w:t>
      </w:r>
      <w:r w:rsidRPr="006B1DB6">
        <w:t>6</w:t>
      </w:r>
      <w:r w:rsidRPr="00B15D66">
        <w:t>/hour, would spend at most 15 minutes each year to e-mail the survey of contact information to the three 988 special facilities, and to follow up with those special facilities if needed</w:t>
      </w:r>
      <w:r>
        <w:t>).</w:t>
      </w:r>
    </w:p>
  </w:footnote>
  <w:footnote w:id="114">
    <w:p w:rsidR="0045144B" w:rsidRPr="006A3F93" w:rsidP="004C6253" w14:paraId="03FB968D" w14:textId="3E3E0284">
      <w:pPr>
        <w:pStyle w:val="FootnoteText"/>
        <w:rPr>
          <w:rFonts w:ascii="TimesNewRomanPSMT" w:hAnsi="TimesNewRomanPSMT" w:cs="TimesNewRomanPSMT"/>
          <w:kern w:val="0"/>
          <w:lang w:eastAsia="en-US"/>
        </w:rPr>
      </w:pPr>
      <w:r w:rsidRPr="006A3F93">
        <w:rPr>
          <w:rStyle w:val="FootnoteReference"/>
        </w:rPr>
        <w:footnoteRef/>
      </w:r>
      <w:r w:rsidRPr="006A3F93" w:rsidR="000600E1">
        <w:t xml:space="preserve">  </w:t>
      </w:r>
      <w:r w:rsidRPr="006A3F93" w:rsidR="006C21F5">
        <w:rPr>
          <w:bCs/>
          <w:color w:val="000000"/>
        </w:rPr>
        <w:t xml:space="preserve">We estimate a maximum of two hours total time would be necessary to submit all of the required 988 outage reports to the Commission.  We estimate that each notification would take 15 minutes to complete, each initial report would take a maximum of 45 minutes to complete, and each final report would take a maximum of one hour to complete.  We assume a labor cost of $43 per hour for a miscellaneous media and communication worker who would likely be the type of employee responsible for preparing and submitting outage reports.  </w:t>
      </w:r>
      <w:r w:rsidR="00725E05">
        <w:rPr>
          <w:bCs/>
          <w:i/>
          <w:iCs/>
          <w:color w:val="000000"/>
        </w:rPr>
        <w:t xml:space="preserve">See 2023 Notice </w:t>
      </w:r>
      <w:r w:rsidR="00725E05">
        <w:rPr>
          <w:bCs/>
          <w:color w:val="000000"/>
        </w:rPr>
        <w:t xml:space="preserve">at 15, para. 37, n.80; </w:t>
      </w:r>
      <w:r w:rsidRPr="00D2638E" w:rsidR="00725E05">
        <w:rPr>
          <w:i/>
          <w:iCs/>
        </w:rPr>
        <w:t>2023 Report and Order</w:t>
      </w:r>
      <w:r w:rsidR="00725E05">
        <w:t xml:space="preserve"> at 23, para. 4</w:t>
      </w:r>
      <w:r w:rsidR="004356BD">
        <w:t>3</w:t>
      </w:r>
      <w:r w:rsidR="00725E05">
        <w:t>, n.1</w:t>
      </w:r>
      <w:r w:rsidR="004356BD">
        <w:t>71</w:t>
      </w:r>
      <w:r w:rsidR="00725E05">
        <w:t>.</w:t>
      </w:r>
      <w:r w:rsidR="00725E05">
        <w:rPr>
          <w:bCs/>
          <w:color w:val="000000"/>
        </w:rPr>
        <w:t xml:space="preserve">  </w:t>
      </w:r>
      <w:r w:rsidRPr="006A3F93" w:rsidR="006C21F5">
        <w:rPr>
          <w:bCs/>
          <w:color w:val="000000"/>
        </w:rPr>
        <w:t>Our total cost estimate</w:t>
      </w:r>
      <w:r w:rsidR="00607352">
        <w:rPr>
          <w:bCs/>
          <w:color w:val="000000"/>
        </w:rPr>
        <w:t xml:space="preserve"> </w:t>
      </w:r>
      <w:r w:rsidRPr="006A3F93" w:rsidR="006C21F5">
        <w:rPr>
          <w:bCs/>
          <w:color w:val="000000"/>
        </w:rPr>
        <w:t>=</w:t>
      </w:r>
      <w:r w:rsidR="00607352">
        <w:rPr>
          <w:bCs/>
          <w:color w:val="000000"/>
        </w:rPr>
        <w:t xml:space="preserve"> </w:t>
      </w:r>
      <w:r w:rsidRPr="006A3F93" w:rsidR="006C21F5">
        <w:rPr>
          <w:bCs/>
          <w:color w:val="000000"/>
        </w:rPr>
        <w:t>$43/hr x 2 hrs</w:t>
      </w:r>
      <w:r w:rsidR="00725E05">
        <w:rPr>
          <w:bCs/>
          <w:color w:val="000000"/>
        </w:rPr>
        <w:t>/outage</w:t>
      </w:r>
      <w:r w:rsidRPr="006A3F93" w:rsidR="006C21F5">
        <w:rPr>
          <w:bCs/>
          <w:color w:val="000000"/>
        </w:rPr>
        <w:t xml:space="preserve"> x </w:t>
      </w:r>
      <w:r w:rsidR="00725E05">
        <w:rPr>
          <w:bCs/>
          <w:color w:val="000000"/>
        </w:rPr>
        <w:t xml:space="preserve">39,000 outages </w:t>
      </w:r>
      <w:r w:rsidRPr="006A3F93" w:rsidR="006C21F5">
        <w:rPr>
          <w:bCs/>
          <w:color w:val="000000"/>
        </w:rPr>
        <w:t>=</w:t>
      </w:r>
      <w:r w:rsidR="00725E05">
        <w:rPr>
          <w:bCs/>
          <w:color w:val="000000"/>
          <w:szCs w:val="22"/>
        </w:rPr>
        <w:t>$3,354,000</w:t>
      </w:r>
      <w:r w:rsidRPr="006A3F93" w:rsidR="002467BC">
        <w:rPr>
          <w:bCs/>
          <w:color w:val="000000"/>
        </w:rPr>
        <w:t>.</w:t>
      </w:r>
    </w:p>
  </w:footnote>
  <w:footnote w:id="115">
    <w:p w:rsidR="00E553A4" w:rsidP="00E17D46" w14:paraId="02871A99" w14:textId="30ED5749">
      <w:pPr>
        <w:pStyle w:val="FootnoteText"/>
      </w:pPr>
      <w:r>
        <w:rPr>
          <w:rStyle w:val="FootnoteReference"/>
        </w:rPr>
        <w:footnoteRef/>
      </w:r>
      <w:r>
        <w:t xml:space="preserve"> </w:t>
      </w:r>
      <w:r w:rsidRPr="009C4E09" w:rsidR="002B4C28">
        <w:rPr>
          <w:i/>
        </w:rPr>
        <w:t>2022 Second Report and Order</w:t>
      </w:r>
      <w:r w:rsidR="002B4C28">
        <w:rPr>
          <w:i/>
        </w:rPr>
        <w:t xml:space="preserve"> </w:t>
      </w:r>
      <w:r w:rsidR="002B4C28">
        <w:t>at 18-19,</w:t>
      </w:r>
      <w:r w:rsidRPr="002B4C28" w:rsidR="002B4C28">
        <w:t xml:space="preserve"> </w:t>
      </w:r>
      <w:r w:rsidR="002B4C28">
        <w:t xml:space="preserve">para. 36 (finding </w:t>
      </w:r>
      <w:r w:rsidRPr="008E0DCD" w:rsidR="002B4C28">
        <w:t>that a communications equipment operator</w:t>
      </w:r>
      <w:r w:rsidR="002B4C28">
        <w:t xml:space="preserve"> a communications equipment operator, earning $34/hour, would spend a total of one hour per outage to send out two notifications for each of an estimated </w:t>
      </w:r>
      <w:r w:rsidRPr="00D95659" w:rsidR="002B4C28">
        <w:t>37,000</w:t>
      </w:r>
      <w:r w:rsidR="002B4C28">
        <w:t xml:space="preserve"> outages, for a total of $1,258,000 ($34/hour x 1 hour x </w:t>
      </w:r>
      <w:r w:rsidRPr="00D95659" w:rsidR="002B4C28">
        <w:t>37,000</w:t>
      </w:r>
      <w:r w:rsidR="002B4C28">
        <w:t>))</w:t>
      </w:r>
      <w:r w:rsidR="004356BD">
        <w:t xml:space="preserve">; </w:t>
      </w:r>
      <w:r w:rsidR="004356BD">
        <w:rPr>
          <w:bCs/>
          <w:i/>
          <w:iCs/>
          <w:color w:val="000000"/>
        </w:rPr>
        <w:t xml:space="preserve">2023 Notice </w:t>
      </w:r>
      <w:r w:rsidR="004356BD">
        <w:rPr>
          <w:bCs/>
          <w:color w:val="000000"/>
        </w:rPr>
        <w:t xml:space="preserve">at </w:t>
      </w:r>
      <w:r w:rsidR="004356BD">
        <w:t>16, para. 38, n.82 (estimating that a communications equipment operator, earning $34/hour, would spend a total of 1 hour per outage to send out two notifications for each of an estimated 39,000 outages, for a total of $1,326,000 = $34/hour × 1 hour × 39,000)</w:t>
      </w:r>
      <w:r w:rsidR="004356BD">
        <w:rPr>
          <w:bCs/>
          <w:color w:val="000000"/>
        </w:rPr>
        <w:t xml:space="preserve">; </w:t>
      </w:r>
      <w:r w:rsidRPr="00D2638E" w:rsidR="004356BD">
        <w:rPr>
          <w:i/>
          <w:iCs/>
        </w:rPr>
        <w:t>2023 Report and Order</w:t>
      </w:r>
      <w:r w:rsidR="004356BD">
        <w:t xml:space="preserve"> at 24, para. 42, n.169.</w:t>
      </w:r>
      <w:r w:rsidR="00D95659">
        <w:t xml:space="preserve"> </w:t>
      </w:r>
      <w:r w:rsidR="00F03D1B">
        <w:t xml:space="preserve"> </w:t>
      </w:r>
      <w:r w:rsidR="004356BD">
        <w:t xml:space="preserve">The </w:t>
      </w:r>
      <w:r w:rsidR="00892847">
        <w:t>estimated number of outages</w:t>
      </w:r>
      <w:r w:rsidR="004356BD">
        <w:t xml:space="preserve"> from the </w:t>
      </w:r>
      <w:r w:rsidR="004356BD">
        <w:rPr>
          <w:i/>
          <w:iCs/>
        </w:rPr>
        <w:t xml:space="preserve">2022 Second Report and Order </w:t>
      </w:r>
      <w:r w:rsidR="004356BD">
        <w:t>have been update</w:t>
      </w:r>
      <w:r w:rsidR="00892847">
        <w:t>d</w:t>
      </w:r>
      <w:r w:rsidR="004356BD">
        <w:t xml:space="preserve"> to reflect the</w:t>
      </w:r>
      <w:r w:rsidR="00F03D1B">
        <w:t xml:space="preserve"> more recent data </w:t>
      </w:r>
      <w:r w:rsidR="00D95659">
        <w:t xml:space="preserve">estimates </w:t>
      </w:r>
      <w:r w:rsidR="004356BD">
        <w:t xml:space="preserve">from the </w:t>
      </w:r>
      <w:r w:rsidR="004356BD">
        <w:rPr>
          <w:i/>
          <w:iCs/>
        </w:rPr>
        <w:t>2023 Report and Order.</w:t>
      </w:r>
    </w:p>
  </w:footnote>
  <w:footnote w:id="116">
    <w:p w:rsidR="002B4C28" w:rsidP="00E17D46" w14:paraId="767994F1" w14:textId="3A652C5B">
      <w:pPr>
        <w:pStyle w:val="FootnoteText"/>
      </w:pPr>
      <w:r>
        <w:rPr>
          <w:rStyle w:val="FootnoteReference"/>
        </w:rPr>
        <w:footnoteRef/>
      </w:r>
      <w:r>
        <w:t xml:space="preserve"> </w:t>
      </w:r>
      <w:r w:rsidRPr="009C4E09">
        <w:rPr>
          <w:i/>
        </w:rPr>
        <w:t>2022 Second Report and Order</w:t>
      </w:r>
      <w:r>
        <w:t xml:space="preserve"> at 18, para. 36.  </w:t>
      </w:r>
      <w:r w:rsidRPr="009C4E09">
        <w:rPr>
          <w:i/>
        </w:rPr>
        <w:t>See also</w:t>
      </w:r>
      <w:r w:rsidRPr="0032286D">
        <w:rPr>
          <w:i/>
          <w:iCs/>
        </w:rPr>
        <w:t xml:space="preserve"> </w:t>
      </w:r>
      <w:r>
        <w:rPr>
          <w:i/>
          <w:iCs/>
        </w:rPr>
        <w:t xml:space="preserve">Third </w:t>
      </w:r>
      <w:r w:rsidRPr="000600E1">
        <w:rPr>
          <w:i/>
          <w:iCs/>
        </w:rPr>
        <w:t>Notice</w:t>
      </w:r>
      <w:r>
        <w:t xml:space="preserve">, </w:t>
      </w:r>
      <w:r w:rsidRPr="000600E1">
        <w:t>36</w:t>
      </w:r>
      <w:r>
        <w:t xml:space="preserve"> FCC Rcd at 7884, n.122 (estimating that for each of the 2,890 affected carriers, one worker earning $34/hour would annually spend at most two hours updating PSAP identification, for a total of $197,000 (</w:t>
      </w:r>
      <w:r w:rsidR="00CE0EAE">
        <w:t>$</w:t>
      </w:r>
      <w:r>
        <w:t>34/hour x 2 hours x 2</w:t>
      </w:r>
      <w:r w:rsidR="00CE0EAE">
        <w:t>,</w:t>
      </w:r>
      <w:r>
        <w:t>890 = $196,520, rounded up to $197,000)).</w:t>
      </w:r>
      <w:r w:rsidR="000F502B">
        <w:t xml:space="preserve">  The estimate</w:t>
      </w:r>
      <w:r w:rsidR="00892847">
        <w:t>d</w:t>
      </w:r>
      <w:r w:rsidR="000F502B">
        <w:t xml:space="preserve"> </w:t>
      </w:r>
      <w:r w:rsidR="00892847">
        <w:t>number of affected carriers has been</w:t>
      </w:r>
      <w:r w:rsidR="000F502B">
        <w:t xml:space="preserve"> updated </w:t>
      </w:r>
      <w:r w:rsidR="00892847">
        <w:t xml:space="preserve">to reflect the more recent data estimates from the </w:t>
      </w:r>
      <w:r w:rsidR="00892847">
        <w:rPr>
          <w:i/>
          <w:iCs/>
        </w:rPr>
        <w:t>2023 Report and Order.</w:t>
      </w:r>
    </w:p>
  </w:footnote>
  <w:footnote w:id="117">
    <w:p w:rsidR="00BF33FA" w:rsidRPr="00446B5C" w:rsidP="00BF33FA" w14:paraId="136AE480" w14:textId="52B8E98F">
      <w:pPr>
        <w:suppressAutoHyphens w:val="0"/>
        <w:autoSpaceDE w:val="0"/>
        <w:autoSpaceDN w:val="0"/>
        <w:adjustRightInd w:val="0"/>
        <w:spacing w:after="120"/>
        <w:rPr>
          <w:rFonts w:ascii="TimesNewRomanPS-ItalicMT" w:hAnsi="TimesNewRomanPS-ItalicMT" w:cs="TimesNewRomanPS-ItalicMT"/>
          <w:i/>
          <w:iCs/>
          <w:kern w:val="0"/>
          <w:sz w:val="20"/>
          <w:lang w:eastAsia="en-US"/>
        </w:rPr>
      </w:pPr>
      <w:r>
        <w:rPr>
          <w:rStyle w:val="FootnoteReference"/>
        </w:rPr>
        <w:footnoteRef/>
      </w:r>
      <w:r>
        <w:t xml:space="preserve"> </w:t>
      </w:r>
      <w:r>
        <w:rPr>
          <w:rFonts w:ascii="TimesNewRomanPS-ItalicMT" w:hAnsi="TimesNewRomanPS-ItalicMT" w:cs="TimesNewRomanPS-ItalicMT"/>
          <w:i/>
          <w:iCs/>
          <w:kern w:val="0"/>
          <w:sz w:val="20"/>
          <w:lang w:eastAsia="en-US"/>
        </w:rPr>
        <w:t xml:space="preserve">See 2023 Notice </w:t>
      </w:r>
      <w:r>
        <w:rPr>
          <w:rFonts w:ascii="TimesNewRomanPSMT" w:hAnsi="TimesNewRomanPSMT" w:cs="TimesNewRomanPSMT"/>
          <w:kern w:val="0"/>
          <w:sz w:val="20"/>
          <w:lang w:eastAsia="en-US"/>
        </w:rPr>
        <w:t>at 16-17, para. 38, n.83 (estimating that for each of 3,124 providers, one worker earning $36/hour would spend ¼ hour for a total of approximately $28,</w:t>
      </w:r>
      <w:r w:rsidR="00D51203">
        <w:rPr>
          <w:rFonts w:ascii="TimesNewRomanPSMT" w:hAnsi="TimesNewRomanPSMT" w:cs="TimesNewRomanPSMT"/>
          <w:kern w:val="0"/>
          <w:sz w:val="20"/>
          <w:lang w:eastAsia="en-US"/>
        </w:rPr>
        <w:t>116</w:t>
      </w:r>
      <w:r>
        <w:rPr>
          <w:rFonts w:ascii="TimesNewRomanPSMT" w:hAnsi="TimesNewRomanPSMT" w:cs="TimesNewRomanPSMT"/>
          <w:kern w:val="0"/>
          <w:sz w:val="20"/>
          <w:lang w:eastAsia="en-US"/>
        </w:rPr>
        <w:t>).</w:t>
      </w:r>
    </w:p>
  </w:footnote>
  <w:footnote w:id="118">
    <w:p w:rsidR="00B74FF5" w:rsidP="009E3262" w14:paraId="0183660E" w14:textId="2BD9D7B6">
      <w:pPr>
        <w:pStyle w:val="FootnoteText"/>
      </w:pPr>
      <w:r>
        <w:rPr>
          <w:rStyle w:val="FootnoteReference"/>
        </w:rPr>
        <w:footnoteRef/>
      </w:r>
      <w:r>
        <w:t xml:space="preserve"> </w:t>
      </w:r>
      <w:r w:rsidRPr="009C4E09" w:rsidR="0078400D">
        <w:rPr>
          <w:i/>
        </w:rPr>
        <w:t>2022 Second Report and Order</w:t>
      </w:r>
      <w:r w:rsidR="0078400D">
        <w:t xml:space="preserve"> at 18, para. 36.  </w:t>
      </w:r>
      <w:r w:rsidRPr="009C4E09" w:rsidR="0078400D">
        <w:rPr>
          <w:i/>
        </w:rPr>
        <w:t>See also</w:t>
      </w:r>
      <w:r w:rsidRPr="0032286D" w:rsidR="0078400D">
        <w:rPr>
          <w:i/>
          <w:iCs/>
        </w:rPr>
        <w:t xml:space="preserve"> </w:t>
      </w:r>
      <w:r w:rsidR="0078400D">
        <w:rPr>
          <w:i/>
          <w:iCs/>
        </w:rPr>
        <w:t xml:space="preserve">Third </w:t>
      </w:r>
      <w:r w:rsidRPr="000600E1" w:rsidR="0078400D">
        <w:rPr>
          <w:i/>
          <w:iCs/>
        </w:rPr>
        <w:t>Notice</w:t>
      </w:r>
      <w:r w:rsidR="0078400D">
        <w:t xml:space="preserve">, </w:t>
      </w:r>
      <w:r w:rsidRPr="000600E1" w:rsidR="0078400D">
        <w:t>36</w:t>
      </w:r>
      <w:r w:rsidR="0078400D">
        <w:t xml:space="preserve"> FCC Rcd at 7884, n.119 (estimating that for each of the 2,890 affected carriers, one worker, earning $34/hr, would spend at most one hour updating the template for a total of $99,000 ($34/hr x 1 hours x 2,890 = $98,260, rounded up to $99,000)).</w:t>
      </w:r>
      <w:r w:rsidR="0052046E">
        <w:t xml:space="preserve">  The calculated cost has been updated to reflect the more recent estimate of 3,124 carriers from the </w:t>
      </w:r>
      <w:r w:rsidR="0052046E">
        <w:rPr>
          <w:i/>
          <w:iCs/>
        </w:rPr>
        <w:t>2023 Report and Order.</w:t>
      </w:r>
    </w:p>
  </w:footnote>
  <w:footnote w:id="119">
    <w:p w:rsidR="0078400D" w:rsidP="00E17D46" w14:paraId="7ABD87B5" w14:textId="284C3415">
      <w:pPr>
        <w:pStyle w:val="FootnoteText"/>
      </w:pPr>
      <w:r>
        <w:rPr>
          <w:rStyle w:val="FootnoteReference"/>
        </w:rPr>
        <w:footnoteRef/>
      </w:r>
      <w:r>
        <w:t xml:space="preserve"> </w:t>
      </w:r>
      <w:r w:rsidRPr="009C4E09">
        <w:rPr>
          <w:i/>
        </w:rPr>
        <w:t>2022 Second Report and Order</w:t>
      </w:r>
      <w:r>
        <w:t xml:space="preserve"> at 18, para. 36.  </w:t>
      </w:r>
      <w:r w:rsidRPr="009C4E09">
        <w:rPr>
          <w:i/>
        </w:rPr>
        <w:t>See also</w:t>
      </w:r>
      <w:r w:rsidRPr="0032286D">
        <w:rPr>
          <w:i/>
          <w:iCs/>
        </w:rPr>
        <w:t xml:space="preserve"> </w:t>
      </w:r>
      <w:r>
        <w:rPr>
          <w:i/>
          <w:iCs/>
        </w:rPr>
        <w:t xml:space="preserve">Third </w:t>
      </w:r>
      <w:r w:rsidRPr="000600E1">
        <w:rPr>
          <w:i/>
          <w:iCs/>
        </w:rPr>
        <w:t>Notice</w:t>
      </w:r>
      <w:r>
        <w:t xml:space="preserve">, </w:t>
      </w:r>
      <w:r w:rsidRPr="000600E1">
        <w:t>36</w:t>
      </w:r>
      <w:r>
        <w:t xml:space="preserve"> FCC Rcd at 7884, n.118 (estimating that for each of 2,890 affected carriers, one worker, earning $34/hr, would spend at most 0.5 hours, for a total of $50,000 ($34/hr x 0.5 hours x 2,890 = $</w:t>
      </w:r>
      <w:r w:rsidR="008C2BE6">
        <w:t>49,130</w:t>
      </w:r>
      <w:r>
        <w:t>, rounded up to $</w:t>
      </w:r>
      <w:r w:rsidR="008C2BE6">
        <w:t>50</w:t>
      </w:r>
      <w:r>
        <w:t>,000)).</w:t>
      </w:r>
      <w:r w:rsidRPr="0052046E" w:rsidR="0052046E">
        <w:t xml:space="preserve"> </w:t>
      </w:r>
      <w:r w:rsidR="0052046E">
        <w:t xml:space="preserve">The calculated cost has been updated to reflect the more recent estimate of 3,124 carriers from the </w:t>
      </w:r>
      <w:r w:rsidR="0052046E">
        <w:rPr>
          <w:i/>
          <w:iCs/>
        </w:rPr>
        <w:t>2023 Report and Order.</w:t>
      </w:r>
    </w:p>
  </w:footnote>
  <w:footnote w:id="120">
    <w:p w:rsidR="00F77821" w:rsidP="00233B1F" w14:paraId="66C6F4C7" w14:textId="6167E7D2">
      <w:pPr>
        <w:pStyle w:val="FootnoteText"/>
      </w:pPr>
      <w:r>
        <w:rPr>
          <w:rStyle w:val="FootnoteReference"/>
        </w:rPr>
        <w:footnoteRef/>
      </w:r>
      <w:r>
        <w:t xml:space="preserve"> </w:t>
      </w:r>
      <w:r w:rsidRPr="00E963D8">
        <w:rPr>
          <w:i/>
          <w:iCs/>
        </w:rPr>
        <w:t>2023 Report and Order</w:t>
      </w:r>
      <w:r>
        <w:t xml:space="preserve"> at </w:t>
      </w:r>
      <w:r w:rsidR="0052046E">
        <w:t>23-24</w:t>
      </w:r>
      <w:r>
        <w:t xml:space="preserve">, para. </w:t>
      </w:r>
      <w:r w:rsidR="0052046E">
        <w:t>43 n.170</w:t>
      </w:r>
      <w:r w:rsidR="00A51ED1">
        <w:t>.</w:t>
      </w:r>
    </w:p>
  </w:footnote>
  <w:footnote w:id="121">
    <w:p w:rsidR="005E7342" w:rsidP="005E7342" w14:paraId="0DCF7BA5" w14:textId="77777777">
      <w:pPr>
        <w:pStyle w:val="FootnoteText"/>
      </w:pPr>
      <w:r>
        <w:rPr>
          <w:rStyle w:val="FootnoteReference"/>
        </w:rPr>
        <w:footnoteRef/>
      </w:r>
      <w:r>
        <w:t xml:space="preserve"> </w:t>
      </w:r>
      <w:r w:rsidRPr="007661F9">
        <w:rPr>
          <w:i/>
          <w:iCs/>
        </w:rPr>
        <w:t>Second Report and Order</w:t>
      </w:r>
      <w:r>
        <w:t>, 36 FCC Rcd at 6152, para. 54.</w:t>
      </w:r>
    </w:p>
  </w:footnote>
  <w:footnote w:id="122">
    <w:p w:rsidR="005E7342" w:rsidP="00E17D46" w14:paraId="6BC72089" w14:textId="217BA8C3">
      <w:pPr>
        <w:pStyle w:val="FootnoteText"/>
      </w:pPr>
      <w:r>
        <w:rPr>
          <w:rStyle w:val="FootnoteReference"/>
        </w:rPr>
        <w:footnoteRef/>
      </w:r>
      <w:r>
        <w:t xml:space="preserve"> Hourly rates are based on the OPM 202</w:t>
      </w:r>
      <w:r w:rsidR="00B07AFB">
        <w:t>4</w:t>
      </w:r>
      <w:r>
        <w:t xml:space="preserve"> Washington-Baltimore-Arlington, DC-MD-VA-WV-PA Locality Pay Area.  </w:t>
      </w:r>
      <w:r w:rsidRPr="00441288">
        <w:t>Office of Personnel and Management,</w:t>
      </w:r>
      <w:r w:rsidR="005130C6">
        <w:t xml:space="preserve"> </w:t>
      </w:r>
      <w:r w:rsidRPr="00441288">
        <w:t>20</w:t>
      </w:r>
      <w:r>
        <w:t>2</w:t>
      </w:r>
      <w:r w:rsidR="00AB310A">
        <w:t>4</w:t>
      </w:r>
      <w:r w:rsidRPr="00441288">
        <w:t xml:space="preserve"> General Schedule (GS) Locality Pay Table, Salary Table 20</w:t>
      </w:r>
      <w:r>
        <w:t>2</w:t>
      </w:r>
      <w:r w:rsidR="00AB310A">
        <w:t>4</w:t>
      </w:r>
      <w:r w:rsidRPr="00441288">
        <w:t>-DCB</w:t>
      </w:r>
      <w:r w:rsidR="00E557B5">
        <w:t xml:space="preserve"> </w:t>
      </w:r>
      <w:hyperlink r:id="rId11" w:history="1">
        <w:r w:rsidRPr="00F63BC5" w:rsidR="00F63BC5">
          <w:rPr>
            <w:rStyle w:val="Hyperlink"/>
          </w:rPr>
          <w:t>https://www.opm.gov/policy-data-oversight/pay-leave/salaries-wages/salary-tables/pdf/2024/DCB.pdf</w:t>
        </w:r>
      </w:hyperlink>
      <w:r w:rsidRPr="00F63BC5" w:rsidR="00F63BC5">
        <w:t xml:space="preserve"> (last visited Aug. 7, 2024)</w:t>
      </w:r>
      <w:r w:rsidRPr="00F63BC5">
        <w:t>.</w:t>
      </w:r>
      <w:r>
        <w:t xml:space="preserve">  We note that the hourly rate for an equivalent attorney is likely to be lower in the jurisdictions of many Participating Agencies.</w:t>
      </w:r>
    </w:p>
  </w:footnote>
  <w:footnote w:id="123">
    <w:p w:rsidR="007B716F" w:rsidP="009E3262" w14:paraId="0294B674" w14:textId="640C6A0F">
      <w:pPr>
        <w:pStyle w:val="FootnoteText"/>
      </w:pPr>
      <w:r>
        <w:rPr>
          <w:rStyle w:val="FootnoteReference"/>
        </w:rPr>
        <w:footnoteRef/>
      </w:r>
      <w:r>
        <w:t xml:space="preserve"> </w:t>
      </w:r>
      <w:r w:rsidRPr="0007296D">
        <w:rPr>
          <w:bCs/>
        </w:rPr>
        <w:t xml:space="preserve">This number is calculated as </w:t>
      </w:r>
      <w:r w:rsidR="000143A9">
        <w:rPr>
          <w:bCs/>
        </w:rPr>
        <w:t>39,000</w:t>
      </w:r>
      <w:r w:rsidRPr="0007296D">
        <w:rPr>
          <w:bCs/>
        </w:rPr>
        <w:t xml:space="preserve"> outages x 3 reports filed in NORS (notification, initial, and final) for each outage [</w:t>
      </w:r>
      <w:r w:rsidR="00BC37D0">
        <w:rPr>
          <w:bCs/>
        </w:rPr>
        <w:t>117,000</w:t>
      </w:r>
      <w:r w:rsidRPr="0007296D">
        <w:rPr>
          <w:bCs/>
        </w:rPr>
        <w:t xml:space="preserve"> responses] + </w:t>
      </w:r>
      <w:r w:rsidR="000143A9">
        <w:rPr>
          <w:bCs/>
        </w:rPr>
        <w:t>39,000</w:t>
      </w:r>
      <w:r w:rsidRPr="0007296D">
        <w:rPr>
          <w:bCs/>
        </w:rPr>
        <w:t xml:space="preserve"> outages x 2 </w:t>
      </w:r>
      <w:r w:rsidR="002F5FCC">
        <w:rPr>
          <w:bCs/>
        </w:rPr>
        <w:t>notifications</w:t>
      </w:r>
      <w:r w:rsidRPr="0007296D">
        <w:rPr>
          <w:bCs/>
        </w:rPr>
        <w:t xml:space="preserve"> per outage to 911 </w:t>
      </w:r>
      <w:r w:rsidR="00347D27">
        <w:rPr>
          <w:bCs/>
        </w:rPr>
        <w:t xml:space="preserve">and 988 </w:t>
      </w:r>
      <w:r w:rsidRPr="0007296D">
        <w:rPr>
          <w:bCs/>
        </w:rPr>
        <w:t>special facilities [</w:t>
      </w:r>
      <w:r w:rsidR="00347D27">
        <w:rPr>
          <w:bCs/>
        </w:rPr>
        <w:t>78,000</w:t>
      </w:r>
      <w:r w:rsidRPr="0007296D">
        <w:rPr>
          <w:bCs/>
        </w:rPr>
        <w:t xml:space="preserve"> responses] + one </w:t>
      </w:r>
      <w:r w:rsidR="006A4778">
        <w:rPr>
          <w:bCs/>
        </w:rPr>
        <w:t xml:space="preserve">response </w:t>
      </w:r>
      <w:r w:rsidRPr="0007296D">
        <w:rPr>
          <w:bCs/>
        </w:rPr>
        <w:t xml:space="preserve">from each of the </w:t>
      </w:r>
      <w:r w:rsidR="000143A9">
        <w:rPr>
          <w:bCs/>
        </w:rPr>
        <w:t>3,124</w:t>
      </w:r>
      <w:r w:rsidR="006A4778">
        <w:rPr>
          <w:bCs/>
        </w:rPr>
        <w:t xml:space="preserve"> providers </w:t>
      </w:r>
      <w:r w:rsidRPr="00486BDB" w:rsidR="006A4778">
        <w:t xml:space="preserve">determining </w:t>
      </w:r>
      <w:r w:rsidR="006A4778">
        <w:t xml:space="preserve">which </w:t>
      </w:r>
      <w:r w:rsidRPr="00486BDB" w:rsidR="006A4778">
        <w:t xml:space="preserve">911 </w:t>
      </w:r>
      <w:r w:rsidR="00347D27">
        <w:t xml:space="preserve">and 988 </w:t>
      </w:r>
      <w:r w:rsidRPr="00486BDB" w:rsidR="006A4778">
        <w:t xml:space="preserve">special facilities could be potentially affected by an outage </w:t>
      </w:r>
      <w:r w:rsidRPr="0007296D">
        <w:rPr>
          <w:bCs/>
        </w:rPr>
        <w:t>[</w:t>
      </w:r>
      <w:r w:rsidR="000143A9">
        <w:rPr>
          <w:bCs/>
        </w:rPr>
        <w:t>3,</w:t>
      </w:r>
      <w:r w:rsidR="0048636F">
        <w:rPr>
          <w:bCs/>
        </w:rPr>
        <w:t>124</w:t>
      </w:r>
      <w:r w:rsidRPr="0007296D">
        <w:rPr>
          <w:bCs/>
        </w:rPr>
        <w:t xml:space="preserve"> responses]</w:t>
      </w:r>
      <w:r w:rsidR="008E1F9F">
        <w:rPr>
          <w:bCs/>
        </w:rPr>
        <w:t xml:space="preserve"> </w:t>
      </w:r>
      <w:r w:rsidR="006A4778">
        <w:rPr>
          <w:bCs/>
        </w:rPr>
        <w:t xml:space="preserve">one response </w:t>
      </w:r>
      <w:r w:rsidRPr="0007296D" w:rsidR="006A4778">
        <w:rPr>
          <w:bCs/>
        </w:rPr>
        <w:t xml:space="preserve">from each of the </w:t>
      </w:r>
      <w:r w:rsidR="0048636F">
        <w:rPr>
          <w:bCs/>
        </w:rPr>
        <w:t>3,124</w:t>
      </w:r>
      <w:r w:rsidR="006A4778">
        <w:rPr>
          <w:bCs/>
        </w:rPr>
        <w:t xml:space="preserve"> providers </w:t>
      </w:r>
      <w:r w:rsidRPr="00DF23B5" w:rsidR="006A4778">
        <w:t xml:space="preserve">maintaining </w:t>
      </w:r>
      <w:r w:rsidR="00413E42">
        <w:t>t</w:t>
      </w:r>
      <w:r w:rsidRPr="00DF23B5" w:rsidR="006A4778">
        <w:t>he contact list for 911 special facilities</w:t>
      </w:r>
      <w:r w:rsidRPr="00486BDB" w:rsidR="006A4778">
        <w:t xml:space="preserve"> </w:t>
      </w:r>
      <w:r w:rsidRPr="0007296D" w:rsidR="006A4778">
        <w:rPr>
          <w:bCs/>
        </w:rPr>
        <w:t>[</w:t>
      </w:r>
      <w:r w:rsidR="0048636F">
        <w:rPr>
          <w:bCs/>
        </w:rPr>
        <w:t>3,124</w:t>
      </w:r>
      <w:r w:rsidRPr="0007296D" w:rsidR="006A4778">
        <w:rPr>
          <w:bCs/>
        </w:rPr>
        <w:t xml:space="preserve"> responses]</w:t>
      </w:r>
      <w:r w:rsidR="006A4778">
        <w:rPr>
          <w:bCs/>
        </w:rPr>
        <w:t xml:space="preserve"> </w:t>
      </w:r>
      <w:r w:rsidR="008E1F9F">
        <w:rPr>
          <w:bCs/>
        </w:rPr>
        <w:t xml:space="preserve">+ 1 </w:t>
      </w:r>
      <w:r w:rsidR="002F5FCC">
        <w:rPr>
          <w:bCs/>
        </w:rPr>
        <w:t xml:space="preserve">certification </w:t>
      </w:r>
      <w:r w:rsidR="00A95E2D">
        <w:rPr>
          <w:bCs/>
        </w:rPr>
        <w:t>and</w:t>
      </w:r>
      <w:r w:rsidR="00110330">
        <w:rPr>
          <w:bCs/>
        </w:rPr>
        <w:t xml:space="preserve"> 5 notifications </w:t>
      </w:r>
      <w:r w:rsidR="008E1F9F">
        <w:rPr>
          <w:bCs/>
        </w:rPr>
        <w:t>from each of the 100 Participating Agencies</w:t>
      </w:r>
      <w:r w:rsidR="00C43A6B">
        <w:rPr>
          <w:bCs/>
        </w:rPr>
        <w:t xml:space="preserve"> to </w:t>
      </w:r>
      <w:r w:rsidR="00932706">
        <w:rPr>
          <w:bCs/>
        </w:rPr>
        <w:t>the</w:t>
      </w:r>
      <w:r w:rsidR="00994423">
        <w:rPr>
          <w:bCs/>
        </w:rPr>
        <w:t xml:space="preserve"> </w:t>
      </w:r>
      <w:r w:rsidRPr="00A95E2D" w:rsidR="00994423">
        <w:rPr>
          <w:bCs/>
        </w:rPr>
        <w:t>Commission</w:t>
      </w:r>
      <w:r w:rsidRPr="00A95E2D" w:rsidR="002C0D9F">
        <w:rPr>
          <w:bCs/>
        </w:rPr>
        <w:t xml:space="preserve"> </w:t>
      </w:r>
      <w:r w:rsidRPr="00A95E2D" w:rsidR="0035165A">
        <w:rPr>
          <w:bCs/>
        </w:rPr>
        <w:t>[</w:t>
      </w:r>
      <w:r w:rsidRPr="00A95E2D" w:rsidR="002C0D9F">
        <w:rPr>
          <w:bCs/>
        </w:rPr>
        <w:t>600 responses from</w:t>
      </w:r>
      <w:r w:rsidR="002C0D9F">
        <w:rPr>
          <w:bCs/>
        </w:rPr>
        <w:t xml:space="preserve"> Participating Agencies</w:t>
      </w:r>
      <w:r w:rsidR="0035165A">
        <w:rPr>
          <w:bCs/>
        </w:rPr>
        <w:t>]</w:t>
      </w:r>
      <w:r w:rsidRPr="0007296D">
        <w:rPr>
          <w:bCs/>
        </w:rPr>
        <w:t>.</w:t>
      </w:r>
    </w:p>
  </w:footnote>
  <w:footnote w:id="124">
    <w:p w:rsidR="00A107E9" w:rsidP="009E3262" w14:paraId="209E92CE" w14:textId="34A69C11">
      <w:pPr>
        <w:pStyle w:val="FootnoteText"/>
      </w:pPr>
      <w:r>
        <w:rPr>
          <w:rStyle w:val="FootnoteReference"/>
        </w:rPr>
        <w:footnoteRef/>
      </w:r>
      <w:r>
        <w:t xml:space="preserve"> </w:t>
      </w:r>
      <w:r w:rsidRPr="00DF23B5">
        <w:t xml:space="preserve">This number is </w:t>
      </w:r>
      <w:r w:rsidRPr="00A618B7">
        <w:t xml:space="preserve">calculated as </w:t>
      </w:r>
      <w:r w:rsidRPr="00A618B7" w:rsidR="000B6D1E">
        <w:t>78,000</w:t>
      </w:r>
      <w:r w:rsidRPr="00A618B7">
        <w:t xml:space="preserve"> hours for reporting in NORS</w:t>
      </w:r>
      <w:r w:rsidRPr="00A618B7" w:rsidR="00691953">
        <w:t xml:space="preserve"> [2 hours</w:t>
      </w:r>
      <w:r w:rsidRPr="00A618B7" w:rsidR="009308F2">
        <w:t>/outage</w:t>
      </w:r>
      <w:r w:rsidRPr="00A618B7" w:rsidR="00691953">
        <w:t xml:space="preserve"> </w:t>
      </w:r>
      <w:r w:rsidRPr="00A618B7" w:rsidR="004C63FA">
        <w:t>x</w:t>
      </w:r>
      <w:r w:rsidRPr="00A618B7" w:rsidR="00691953">
        <w:t xml:space="preserve"> </w:t>
      </w:r>
      <w:r w:rsidRPr="00A618B7" w:rsidR="000B6D1E">
        <w:t>39,000</w:t>
      </w:r>
      <w:r w:rsidRPr="00A618B7" w:rsidR="00691953">
        <w:t xml:space="preserve"> outages</w:t>
      </w:r>
      <w:r w:rsidRPr="00A618B7" w:rsidR="000B2830">
        <w:t>]</w:t>
      </w:r>
      <w:r w:rsidRPr="00A618B7">
        <w:t xml:space="preserve"> + </w:t>
      </w:r>
      <w:r w:rsidRPr="00A618B7" w:rsidR="000B6D1E">
        <w:t>39</w:t>
      </w:r>
      <w:r w:rsidRPr="00A618B7" w:rsidR="005011F6">
        <w:t>,000</w:t>
      </w:r>
      <w:r w:rsidRPr="00A618B7">
        <w:t xml:space="preserve"> for </w:t>
      </w:r>
      <w:r w:rsidRPr="00A618B7" w:rsidR="000B2830">
        <w:t xml:space="preserve">notifying </w:t>
      </w:r>
      <w:r w:rsidRPr="00A618B7">
        <w:t xml:space="preserve">911 </w:t>
      </w:r>
      <w:r w:rsidRPr="00A618B7" w:rsidR="009308F2">
        <w:t xml:space="preserve">and 988 </w:t>
      </w:r>
      <w:r w:rsidRPr="00A618B7">
        <w:t xml:space="preserve">special facilities </w:t>
      </w:r>
      <w:r w:rsidRPr="00A618B7" w:rsidR="005011F6">
        <w:t>[</w:t>
      </w:r>
      <w:r w:rsidRPr="00A618B7" w:rsidR="009308F2">
        <w:t>2 x (</w:t>
      </w:r>
      <w:r w:rsidRPr="00A618B7" w:rsidR="005011F6">
        <w:t>1 hour</w:t>
      </w:r>
      <w:r w:rsidRPr="00A618B7" w:rsidR="009308F2">
        <w:t>/outage</w:t>
      </w:r>
      <w:r w:rsidRPr="00A618B7" w:rsidR="005011F6">
        <w:t xml:space="preserve"> </w:t>
      </w:r>
      <w:r w:rsidRPr="00A618B7" w:rsidR="004C63FA">
        <w:t xml:space="preserve">x </w:t>
      </w:r>
      <w:r w:rsidRPr="00A618B7" w:rsidR="000B6D1E">
        <w:t>39</w:t>
      </w:r>
      <w:r w:rsidRPr="00A618B7" w:rsidR="004C63FA">
        <w:t>,000 outages</w:t>
      </w:r>
      <w:r w:rsidRPr="00A618B7" w:rsidR="009308F2">
        <w:t>)</w:t>
      </w:r>
      <w:r w:rsidRPr="00A618B7" w:rsidR="004C63FA">
        <w:t xml:space="preserve">] </w:t>
      </w:r>
      <w:r w:rsidRPr="00A618B7">
        <w:t xml:space="preserve">+ </w:t>
      </w:r>
      <w:r w:rsidRPr="00A618B7" w:rsidR="00736079">
        <w:rPr>
          <w:szCs w:val="22"/>
        </w:rPr>
        <w:t>2</w:t>
      </w:r>
      <w:r w:rsidRPr="00A618B7" w:rsidR="00E00C41">
        <w:rPr>
          <w:szCs w:val="22"/>
        </w:rPr>
        <w:t>4</w:t>
      </w:r>
      <w:r w:rsidRPr="00A618B7" w:rsidR="00736079">
        <w:rPr>
          <w:szCs w:val="22"/>
        </w:rPr>
        <w:t>0,0</w:t>
      </w:r>
      <w:r w:rsidRPr="00A618B7" w:rsidR="00E00C41">
        <w:rPr>
          <w:szCs w:val="22"/>
        </w:rPr>
        <w:t>13</w:t>
      </w:r>
      <w:r w:rsidRPr="00A618B7" w:rsidR="00C45AB1">
        <w:t xml:space="preserve"> </w:t>
      </w:r>
      <w:r w:rsidRPr="00A618B7">
        <w:t>for maintaining the contact list for 911 special facilities</w:t>
      </w:r>
      <w:r w:rsidRPr="00A618B7" w:rsidR="00570B60">
        <w:t xml:space="preserve"> </w:t>
      </w:r>
      <w:r w:rsidRPr="00A618B7" w:rsidR="00671660">
        <w:t xml:space="preserve"> </w:t>
      </w:r>
      <w:r w:rsidRPr="00A618B7" w:rsidR="00467FB9">
        <w:t>+</w:t>
      </w:r>
      <w:r w:rsidRPr="00A618B7" w:rsidR="00C161E8">
        <w:t xml:space="preserve"> </w:t>
      </w:r>
      <w:r w:rsidRPr="00A618B7" w:rsidR="009308F2">
        <w:t>781 for maintaining the contact list for 911 special facilities [0</w:t>
      </w:r>
      <w:r w:rsidRPr="00A618B7" w:rsidR="009308F2">
        <w:rPr>
          <w:szCs w:val="22"/>
        </w:rPr>
        <w:t>.25 hours/provider * 3,124 providers] +</w:t>
      </w:r>
      <w:r w:rsidRPr="00A618B7" w:rsidR="009308F2">
        <w:t xml:space="preserve"> </w:t>
      </w:r>
      <w:r w:rsidRPr="00A618B7" w:rsidR="000B2830">
        <w:t>1,525</w:t>
      </w:r>
      <w:r w:rsidRPr="00A618B7" w:rsidR="00136059">
        <w:t xml:space="preserve"> </w:t>
      </w:r>
      <w:r w:rsidRPr="00A618B7" w:rsidR="00A35D49">
        <w:t>for</w:t>
      </w:r>
      <w:r w:rsidRPr="00486BDB" w:rsidR="00A35D49">
        <w:t xml:space="preserve"> </w:t>
      </w:r>
      <w:r w:rsidRPr="00486BDB" w:rsidR="00EF0B40">
        <w:t>Participating Agencies [</w:t>
      </w:r>
      <w:r w:rsidR="000B2830">
        <w:t>15.25 hours</w:t>
      </w:r>
      <w:r w:rsidRPr="00486BDB" w:rsidR="00EF0B40">
        <w:t xml:space="preserve"> x 100</w:t>
      </w:r>
      <w:r w:rsidRPr="00DF23B5" w:rsidR="00E62652">
        <w:t xml:space="preserve"> </w:t>
      </w:r>
      <w:r w:rsidRPr="00486BDB" w:rsidR="00EF0B40">
        <w:t>Part</w:t>
      </w:r>
      <w:r w:rsidRPr="00DF23B5" w:rsidR="00E62652">
        <w:t>icipating Agencies</w:t>
      </w:r>
      <w:r w:rsidRPr="00486BDB" w:rsidR="00961203">
        <w:t>]</w:t>
      </w:r>
      <w:r w:rsidRPr="00DF23B5" w:rsidR="00666701">
        <w:t>.</w:t>
      </w:r>
    </w:p>
  </w:footnote>
  <w:footnote w:id="125">
    <w:p w:rsidR="005E3B57" w:rsidRPr="00F63BC5" w:rsidP="009E3262" w14:paraId="01E34833" w14:textId="6E0E29B0">
      <w:pPr>
        <w:pStyle w:val="FootnoteText"/>
      </w:pPr>
      <w:r>
        <w:rPr>
          <w:rStyle w:val="FootnoteReference"/>
        </w:rPr>
        <w:footnoteRef/>
      </w:r>
      <w:r>
        <w:t xml:space="preserve"> </w:t>
      </w:r>
      <w:r w:rsidR="00521AC5">
        <w:t>Hourly rates are based on the OPM 202</w:t>
      </w:r>
      <w:r w:rsidR="00452C27">
        <w:t>4</w:t>
      </w:r>
      <w:r w:rsidR="00521AC5">
        <w:t xml:space="preserve"> Washington-Baltimore-Arlington, DC-MD-VA-WV-PA Locality Pay Area.  </w:t>
      </w:r>
      <w:r w:rsidRPr="00441288" w:rsidR="00521AC5">
        <w:t>Office of Personnel and Management,</w:t>
      </w:r>
      <w:r w:rsidR="0040421C">
        <w:t xml:space="preserve"> </w:t>
      </w:r>
      <w:r w:rsidRPr="00441288" w:rsidR="00521AC5">
        <w:t>20</w:t>
      </w:r>
      <w:r w:rsidR="0040421C">
        <w:t>2</w:t>
      </w:r>
      <w:r w:rsidR="00452C27">
        <w:t>4</w:t>
      </w:r>
      <w:r w:rsidRPr="00441288" w:rsidR="00521AC5">
        <w:t xml:space="preserve"> General Schedule (GS) Locality Pay Table, Salary Table 20</w:t>
      </w:r>
      <w:r w:rsidR="0040421C">
        <w:t>2</w:t>
      </w:r>
      <w:r w:rsidR="00452C27">
        <w:t>4</w:t>
      </w:r>
      <w:r w:rsidRPr="00441288" w:rsidR="00521AC5">
        <w:t>-DCB</w:t>
      </w:r>
      <w:r w:rsidRPr="00F63BC5" w:rsidR="00521AC5">
        <w:t xml:space="preserve">, </w:t>
      </w:r>
      <w:hyperlink r:id="rId11" w:history="1">
        <w:r w:rsidRPr="00F63BC5" w:rsidR="00F63BC5">
          <w:rPr>
            <w:rStyle w:val="Hyperlink"/>
          </w:rPr>
          <w:t>https://www.opm.gov/policy-data-oversight/pay-leave/salaries-wages/salary-tables/pdf/2024/DCB.pdf</w:t>
        </w:r>
      </w:hyperlink>
      <w:r w:rsidRPr="00F63BC5" w:rsidR="00F63BC5">
        <w:t xml:space="preserve"> </w:t>
      </w:r>
      <w:r w:rsidRPr="00F63BC5" w:rsidR="00521AC5">
        <w:t xml:space="preserve">(last </w:t>
      </w:r>
      <w:r w:rsidRPr="00F63BC5" w:rsidR="005130C6">
        <w:t xml:space="preserve">visited </w:t>
      </w:r>
      <w:r w:rsidRPr="00F63BC5" w:rsidR="00F01075">
        <w:t>Aug. 7, 2024</w:t>
      </w:r>
      <w:r w:rsidRPr="00F63BC5" w:rsidR="00521AC5">
        <w:t>).</w:t>
      </w:r>
    </w:p>
  </w:footnote>
  <w:footnote w:id="126">
    <w:p w:rsidR="006E7969" w:rsidRPr="006E7969" w14:paraId="1D4DAACE" w14:textId="23461A6B">
      <w:pPr>
        <w:pStyle w:val="FootnoteText"/>
      </w:pPr>
      <w:r>
        <w:rPr>
          <w:rStyle w:val="FootnoteReference"/>
        </w:rPr>
        <w:footnoteRef/>
      </w:r>
      <w:r>
        <w:t xml:space="preserve"> </w:t>
      </w:r>
      <w:r>
        <w:rPr>
          <w:i/>
          <w:iCs/>
        </w:rPr>
        <w:t xml:space="preserve">See supra </w:t>
      </w:r>
      <w:r>
        <w:t>n.33.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C28" w14:paraId="7AAF34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nsid w:val="09FB2469"/>
    <w:multiLevelType w:val="hybridMultilevel"/>
    <w:tmpl w:val="1D1898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BE5726"/>
    <w:multiLevelType w:val="hybridMultilevel"/>
    <w:tmpl w:val="975C26C0"/>
    <w:lvl w:ilvl="0">
      <w:start w:val="1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6A5E39"/>
    <w:multiLevelType w:val="hybridMultilevel"/>
    <w:tmpl w:val="A9300806"/>
    <w:lvl w:ilvl="0">
      <w:start w:val="1"/>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38113561"/>
    <w:multiLevelType w:val="hybridMultilevel"/>
    <w:tmpl w:val="0ACEC5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DAB01C9"/>
    <w:multiLevelType w:val="hybridMultilevel"/>
    <w:tmpl w:val="09D484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4E6687"/>
    <w:multiLevelType w:val="hybridMultilevel"/>
    <w:tmpl w:val="324E34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493399"/>
    <w:multiLevelType w:val="hybridMultilevel"/>
    <w:tmpl w:val="821272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4D53BB3"/>
    <w:multiLevelType w:val="hybridMultilevel"/>
    <w:tmpl w:val="46524370"/>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
      <w:lvlJc w:val="left"/>
      <w:pPr>
        <w:tabs>
          <w:tab w:val="num" w:pos="2880"/>
        </w:tabs>
        <w:ind w:left="2880" w:hanging="360"/>
      </w:pPr>
      <w:rPr>
        <w:rFonts w:ascii="Symbol" w:hAnsi="Symbol" w:hint="default"/>
        <w:color w:val="auto"/>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4E22692"/>
    <w:multiLevelType w:val="hybridMultilevel"/>
    <w:tmpl w:val="8940D8A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67951386"/>
    <w:multiLevelType w:val="hybridMultilevel"/>
    <w:tmpl w:val="759ECE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3BE2033"/>
    <w:multiLevelType w:val="hybridMultilevel"/>
    <w:tmpl w:val="FAE60A3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7802CCF"/>
    <w:multiLevelType w:val="hybridMultilevel"/>
    <w:tmpl w:val="0F801F40"/>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CFB02D6"/>
    <w:multiLevelType w:val="hybridMultilevel"/>
    <w:tmpl w:val="F880F71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6738018">
    <w:abstractNumId w:val="0"/>
  </w:num>
  <w:num w:numId="2" w16cid:durableId="2060589042">
    <w:abstractNumId w:val="1"/>
  </w:num>
  <w:num w:numId="3" w16cid:durableId="1685092425">
    <w:abstractNumId w:val="12"/>
  </w:num>
  <w:num w:numId="4" w16cid:durableId="1698240380">
    <w:abstractNumId w:val="12"/>
    <w:lvlOverride w:ilvl="0">
      <w:startOverride w:val="1"/>
    </w:lvlOverride>
  </w:num>
  <w:num w:numId="5" w16cid:durableId="442119978">
    <w:abstractNumId w:val="8"/>
  </w:num>
  <w:num w:numId="6" w16cid:durableId="246228116">
    <w:abstractNumId w:val="15"/>
  </w:num>
  <w:num w:numId="7" w16cid:durableId="38870483">
    <w:abstractNumId w:val="4"/>
  </w:num>
  <w:num w:numId="8" w16cid:durableId="1442451408">
    <w:abstractNumId w:val="3"/>
  </w:num>
  <w:num w:numId="9" w16cid:durableId="1104765443">
    <w:abstractNumId w:val="11"/>
  </w:num>
  <w:num w:numId="10" w16cid:durableId="1506284939">
    <w:abstractNumId w:val="10"/>
  </w:num>
  <w:num w:numId="11" w16cid:durableId="1015840762">
    <w:abstractNumId w:val="14"/>
  </w:num>
  <w:num w:numId="12" w16cid:durableId="2108959854">
    <w:abstractNumId w:val="9"/>
  </w:num>
  <w:num w:numId="13" w16cid:durableId="1166090567">
    <w:abstractNumId w:val="13"/>
  </w:num>
  <w:num w:numId="14" w16cid:durableId="1609704652">
    <w:abstractNumId w:val="16"/>
  </w:num>
  <w:num w:numId="15" w16cid:durableId="1548302668">
    <w:abstractNumId w:val="2"/>
  </w:num>
  <w:num w:numId="16" w16cid:durableId="1410031429">
    <w:abstractNumId w:val="6"/>
  </w:num>
  <w:num w:numId="17" w16cid:durableId="577982749">
    <w:abstractNumId w:val="5"/>
  </w:num>
  <w:num w:numId="18" w16cid:durableId="106656586">
    <w:abstractNumId w:val="7"/>
  </w:num>
  <w:num w:numId="19" w16cid:durableId="776607300">
    <w:abstractNumId w:val="12"/>
    <w:lvlOverride w:ilvl="0">
      <w:startOverride w:val="1"/>
    </w:lvlOverride>
  </w:num>
  <w:num w:numId="20" w16cid:durableId="309527418">
    <w:abstractNumId w:val="12"/>
  </w:num>
  <w:num w:numId="21" w16cid:durableId="88136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AC"/>
    <w:rsid w:val="0000098B"/>
    <w:rsid w:val="00000C3D"/>
    <w:rsid w:val="00000DE6"/>
    <w:rsid w:val="0000104E"/>
    <w:rsid w:val="00001867"/>
    <w:rsid w:val="00001BAD"/>
    <w:rsid w:val="00001BE0"/>
    <w:rsid w:val="000020C7"/>
    <w:rsid w:val="000021D8"/>
    <w:rsid w:val="0000220F"/>
    <w:rsid w:val="00002A1D"/>
    <w:rsid w:val="00002D61"/>
    <w:rsid w:val="000034AD"/>
    <w:rsid w:val="00003849"/>
    <w:rsid w:val="00003858"/>
    <w:rsid w:val="0000428D"/>
    <w:rsid w:val="000044A8"/>
    <w:rsid w:val="000044F4"/>
    <w:rsid w:val="00004CAA"/>
    <w:rsid w:val="00005DF1"/>
    <w:rsid w:val="00005EAE"/>
    <w:rsid w:val="000060A4"/>
    <w:rsid w:val="00006D91"/>
    <w:rsid w:val="00007115"/>
    <w:rsid w:val="000072D8"/>
    <w:rsid w:val="00007716"/>
    <w:rsid w:val="00007C8A"/>
    <w:rsid w:val="000100A2"/>
    <w:rsid w:val="00010137"/>
    <w:rsid w:val="00010B59"/>
    <w:rsid w:val="00011165"/>
    <w:rsid w:val="0001129B"/>
    <w:rsid w:val="00011F68"/>
    <w:rsid w:val="00013110"/>
    <w:rsid w:val="0001356B"/>
    <w:rsid w:val="000143A9"/>
    <w:rsid w:val="00014496"/>
    <w:rsid w:val="00014738"/>
    <w:rsid w:val="00014DBC"/>
    <w:rsid w:val="00015A56"/>
    <w:rsid w:val="000160F2"/>
    <w:rsid w:val="00016443"/>
    <w:rsid w:val="00016677"/>
    <w:rsid w:val="000173FC"/>
    <w:rsid w:val="000176B1"/>
    <w:rsid w:val="00017D41"/>
    <w:rsid w:val="00017FBC"/>
    <w:rsid w:val="000204A2"/>
    <w:rsid w:val="000207A5"/>
    <w:rsid w:val="00022192"/>
    <w:rsid w:val="00022E78"/>
    <w:rsid w:val="000232EC"/>
    <w:rsid w:val="000233DE"/>
    <w:rsid w:val="0002392D"/>
    <w:rsid w:val="00023946"/>
    <w:rsid w:val="00023D6A"/>
    <w:rsid w:val="0002474B"/>
    <w:rsid w:val="000265C3"/>
    <w:rsid w:val="00026712"/>
    <w:rsid w:val="00026F73"/>
    <w:rsid w:val="000272FE"/>
    <w:rsid w:val="0002739D"/>
    <w:rsid w:val="00027C59"/>
    <w:rsid w:val="00027F3D"/>
    <w:rsid w:val="000305EE"/>
    <w:rsid w:val="00030AC4"/>
    <w:rsid w:val="00030F48"/>
    <w:rsid w:val="00031167"/>
    <w:rsid w:val="00031BC7"/>
    <w:rsid w:val="000324FF"/>
    <w:rsid w:val="0003253B"/>
    <w:rsid w:val="000328E5"/>
    <w:rsid w:val="00032BDF"/>
    <w:rsid w:val="0003356D"/>
    <w:rsid w:val="000336EA"/>
    <w:rsid w:val="00033C9A"/>
    <w:rsid w:val="000344C2"/>
    <w:rsid w:val="000346E3"/>
    <w:rsid w:val="00034C96"/>
    <w:rsid w:val="000351E1"/>
    <w:rsid w:val="00035779"/>
    <w:rsid w:val="000361A9"/>
    <w:rsid w:val="000363A7"/>
    <w:rsid w:val="00036E57"/>
    <w:rsid w:val="0003711A"/>
    <w:rsid w:val="00037E73"/>
    <w:rsid w:val="00041753"/>
    <w:rsid w:val="00041B06"/>
    <w:rsid w:val="0004246F"/>
    <w:rsid w:val="000435D6"/>
    <w:rsid w:val="00043B9B"/>
    <w:rsid w:val="00043C44"/>
    <w:rsid w:val="00044457"/>
    <w:rsid w:val="000446A0"/>
    <w:rsid w:val="000446E9"/>
    <w:rsid w:val="00044B22"/>
    <w:rsid w:val="00044F7A"/>
    <w:rsid w:val="00045942"/>
    <w:rsid w:val="00045C10"/>
    <w:rsid w:val="00046B1E"/>
    <w:rsid w:val="00046DDA"/>
    <w:rsid w:val="000470CE"/>
    <w:rsid w:val="000473B6"/>
    <w:rsid w:val="0004741E"/>
    <w:rsid w:val="00047BF9"/>
    <w:rsid w:val="00051C83"/>
    <w:rsid w:val="00051EB5"/>
    <w:rsid w:val="000527BC"/>
    <w:rsid w:val="000535E1"/>
    <w:rsid w:val="0005390C"/>
    <w:rsid w:val="00053D87"/>
    <w:rsid w:val="000547F0"/>
    <w:rsid w:val="00054887"/>
    <w:rsid w:val="00054DEE"/>
    <w:rsid w:val="00055128"/>
    <w:rsid w:val="00055188"/>
    <w:rsid w:val="000553C1"/>
    <w:rsid w:val="00055736"/>
    <w:rsid w:val="00055791"/>
    <w:rsid w:val="000567D7"/>
    <w:rsid w:val="000569A5"/>
    <w:rsid w:val="00056CF6"/>
    <w:rsid w:val="00056DC0"/>
    <w:rsid w:val="000600D2"/>
    <w:rsid w:val="000600E1"/>
    <w:rsid w:val="00060FF7"/>
    <w:rsid w:val="00062889"/>
    <w:rsid w:val="00062C0C"/>
    <w:rsid w:val="00062E24"/>
    <w:rsid w:val="000634C4"/>
    <w:rsid w:val="000635E1"/>
    <w:rsid w:val="000642FD"/>
    <w:rsid w:val="000644C5"/>
    <w:rsid w:val="00064574"/>
    <w:rsid w:val="00064923"/>
    <w:rsid w:val="00064A36"/>
    <w:rsid w:val="00064A4C"/>
    <w:rsid w:val="00065283"/>
    <w:rsid w:val="00066042"/>
    <w:rsid w:val="0006700D"/>
    <w:rsid w:val="000703B4"/>
    <w:rsid w:val="00070A6A"/>
    <w:rsid w:val="00070D3C"/>
    <w:rsid w:val="00070FB8"/>
    <w:rsid w:val="000710B4"/>
    <w:rsid w:val="000711CD"/>
    <w:rsid w:val="00071A8A"/>
    <w:rsid w:val="00071F79"/>
    <w:rsid w:val="0007296D"/>
    <w:rsid w:val="00072C87"/>
    <w:rsid w:val="00073036"/>
    <w:rsid w:val="00073055"/>
    <w:rsid w:val="000740D0"/>
    <w:rsid w:val="000740F5"/>
    <w:rsid w:val="000748C9"/>
    <w:rsid w:val="00074AF7"/>
    <w:rsid w:val="00074FB8"/>
    <w:rsid w:val="0007573A"/>
    <w:rsid w:val="00075DE9"/>
    <w:rsid w:val="00076113"/>
    <w:rsid w:val="0007615E"/>
    <w:rsid w:val="000764BA"/>
    <w:rsid w:val="00076614"/>
    <w:rsid w:val="00076A52"/>
    <w:rsid w:val="000774DD"/>
    <w:rsid w:val="00077E72"/>
    <w:rsid w:val="000805F9"/>
    <w:rsid w:val="0008066D"/>
    <w:rsid w:val="00080810"/>
    <w:rsid w:val="000820BA"/>
    <w:rsid w:val="00082679"/>
    <w:rsid w:val="00082B67"/>
    <w:rsid w:val="00083368"/>
    <w:rsid w:val="00083754"/>
    <w:rsid w:val="000841E6"/>
    <w:rsid w:val="000843BE"/>
    <w:rsid w:val="00084C7F"/>
    <w:rsid w:val="00084DEB"/>
    <w:rsid w:val="00085184"/>
    <w:rsid w:val="000852A8"/>
    <w:rsid w:val="000854BD"/>
    <w:rsid w:val="00085A90"/>
    <w:rsid w:val="00085F33"/>
    <w:rsid w:val="000870D8"/>
    <w:rsid w:val="000871EB"/>
    <w:rsid w:val="000875C2"/>
    <w:rsid w:val="00090236"/>
    <w:rsid w:val="000909C2"/>
    <w:rsid w:val="00090FAA"/>
    <w:rsid w:val="00091032"/>
    <w:rsid w:val="000915E9"/>
    <w:rsid w:val="00091ABD"/>
    <w:rsid w:val="00091F51"/>
    <w:rsid w:val="000928B8"/>
    <w:rsid w:val="000929FC"/>
    <w:rsid w:val="00092AF2"/>
    <w:rsid w:val="00092CBB"/>
    <w:rsid w:val="00092F93"/>
    <w:rsid w:val="000930AA"/>
    <w:rsid w:val="000931BC"/>
    <w:rsid w:val="00093248"/>
    <w:rsid w:val="00093589"/>
    <w:rsid w:val="0009359E"/>
    <w:rsid w:val="00093B4A"/>
    <w:rsid w:val="00094A08"/>
    <w:rsid w:val="00094F7E"/>
    <w:rsid w:val="000955B6"/>
    <w:rsid w:val="000958F6"/>
    <w:rsid w:val="00095B49"/>
    <w:rsid w:val="00096267"/>
    <w:rsid w:val="000969ED"/>
    <w:rsid w:val="00096C2C"/>
    <w:rsid w:val="00096CC7"/>
    <w:rsid w:val="00096CFD"/>
    <w:rsid w:val="00097131"/>
    <w:rsid w:val="000979BC"/>
    <w:rsid w:val="000A016D"/>
    <w:rsid w:val="000A0EE1"/>
    <w:rsid w:val="000A1AFD"/>
    <w:rsid w:val="000A1DF0"/>
    <w:rsid w:val="000A2621"/>
    <w:rsid w:val="000A2DE1"/>
    <w:rsid w:val="000A383E"/>
    <w:rsid w:val="000A394E"/>
    <w:rsid w:val="000A39AC"/>
    <w:rsid w:val="000A419A"/>
    <w:rsid w:val="000A55F0"/>
    <w:rsid w:val="000A5738"/>
    <w:rsid w:val="000A605B"/>
    <w:rsid w:val="000A60A9"/>
    <w:rsid w:val="000A6172"/>
    <w:rsid w:val="000A66E5"/>
    <w:rsid w:val="000A6C02"/>
    <w:rsid w:val="000A6F0F"/>
    <w:rsid w:val="000A757E"/>
    <w:rsid w:val="000A772D"/>
    <w:rsid w:val="000B0305"/>
    <w:rsid w:val="000B0436"/>
    <w:rsid w:val="000B07FE"/>
    <w:rsid w:val="000B0C3A"/>
    <w:rsid w:val="000B1586"/>
    <w:rsid w:val="000B1F49"/>
    <w:rsid w:val="000B2830"/>
    <w:rsid w:val="000B398C"/>
    <w:rsid w:val="000B39B8"/>
    <w:rsid w:val="000B3B23"/>
    <w:rsid w:val="000B42C1"/>
    <w:rsid w:val="000B536E"/>
    <w:rsid w:val="000B5DC9"/>
    <w:rsid w:val="000B5E5B"/>
    <w:rsid w:val="000B61A7"/>
    <w:rsid w:val="000B640B"/>
    <w:rsid w:val="000B65A3"/>
    <w:rsid w:val="000B65D9"/>
    <w:rsid w:val="000B68D8"/>
    <w:rsid w:val="000B6D1E"/>
    <w:rsid w:val="000B6EC8"/>
    <w:rsid w:val="000B70EE"/>
    <w:rsid w:val="000B7DBB"/>
    <w:rsid w:val="000C0A1B"/>
    <w:rsid w:val="000C17E4"/>
    <w:rsid w:val="000C1A45"/>
    <w:rsid w:val="000C1D2B"/>
    <w:rsid w:val="000C2044"/>
    <w:rsid w:val="000C2197"/>
    <w:rsid w:val="000C2CE7"/>
    <w:rsid w:val="000C2DAB"/>
    <w:rsid w:val="000C2F5B"/>
    <w:rsid w:val="000C3153"/>
    <w:rsid w:val="000C3917"/>
    <w:rsid w:val="000C3CD2"/>
    <w:rsid w:val="000C47C1"/>
    <w:rsid w:val="000C490E"/>
    <w:rsid w:val="000C50DF"/>
    <w:rsid w:val="000C5438"/>
    <w:rsid w:val="000C5465"/>
    <w:rsid w:val="000C5FF2"/>
    <w:rsid w:val="000C602B"/>
    <w:rsid w:val="000C6360"/>
    <w:rsid w:val="000C6C32"/>
    <w:rsid w:val="000C6F66"/>
    <w:rsid w:val="000C72D3"/>
    <w:rsid w:val="000C75A8"/>
    <w:rsid w:val="000C7EE2"/>
    <w:rsid w:val="000C7F4A"/>
    <w:rsid w:val="000D0BF3"/>
    <w:rsid w:val="000D0F2C"/>
    <w:rsid w:val="000D1083"/>
    <w:rsid w:val="000D16A0"/>
    <w:rsid w:val="000D16CC"/>
    <w:rsid w:val="000D207C"/>
    <w:rsid w:val="000D20E9"/>
    <w:rsid w:val="000D262E"/>
    <w:rsid w:val="000D2721"/>
    <w:rsid w:val="000D2932"/>
    <w:rsid w:val="000D2F98"/>
    <w:rsid w:val="000D3152"/>
    <w:rsid w:val="000D378B"/>
    <w:rsid w:val="000D3A0F"/>
    <w:rsid w:val="000D3F4B"/>
    <w:rsid w:val="000D4E23"/>
    <w:rsid w:val="000D541C"/>
    <w:rsid w:val="000D5880"/>
    <w:rsid w:val="000D5AF4"/>
    <w:rsid w:val="000D6432"/>
    <w:rsid w:val="000D694E"/>
    <w:rsid w:val="000D69DE"/>
    <w:rsid w:val="000D6E1A"/>
    <w:rsid w:val="000D7606"/>
    <w:rsid w:val="000D7CE1"/>
    <w:rsid w:val="000E044F"/>
    <w:rsid w:val="000E0767"/>
    <w:rsid w:val="000E0E61"/>
    <w:rsid w:val="000E15AB"/>
    <w:rsid w:val="000E18EA"/>
    <w:rsid w:val="000E1E19"/>
    <w:rsid w:val="000E1F8D"/>
    <w:rsid w:val="000E202E"/>
    <w:rsid w:val="000E268E"/>
    <w:rsid w:val="000E2C2A"/>
    <w:rsid w:val="000E36D9"/>
    <w:rsid w:val="000E401B"/>
    <w:rsid w:val="000E48F0"/>
    <w:rsid w:val="000E4AC5"/>
    <w:rsid w:val="000E4B74"/>
    <w:rsid w:val="000E65BF"/>
    <w:rsid w:val="000E6ED6"/>
    <w:rsid w:val="000E7C6A"/>
    <w:rsid w:val="000E7D3C"/>
    <w:rsid w:val="000F0515"/>
    <w:rsid w:val="000F08DA"/>
    <w:rsid w:val="000F0AC0"/>
    <w:rsid w:val="000F16DB"/>
    <w:rsid w:val="000F22AC"/>
    <w:rsid w:val="000F26AD"/>
    <w:rsid w:val="000F346A"/>
    <w:rsid w:val="000F3695"/>
    <w:rsid w:val="000F3AAD"/>
    <w:rsid w:val="000F3C6A"/>
    <w:rsid w:val="000F3F42"/>
    <w:rsid w:val="000F4442"/>
    <w:rsid w:val="000F477B"/>
    <w:rsid w:val="000F4AA0"/>
    <w:rsid w:val="000F4AB6"/>
    <w:rsid w:val="000F502B"/>
    <w:rsid w:val="000F53A0"/>
    <w:rsid w:val="000F5D00"/>
    <w:rsid w:val="000F5F77"/>
    <w:rsid w:val="000F67B6"/>
    <w:rsid w:val="000F6BE9"/>
    <w:rsid w:val="000F793C"/>
    <w:rsid w:val="000F7D58"/>
    <w:rsid w:val="000F7E4E"/>
    <w:rsid w:val="000F7EE6"/>
    <w:rsid w:val="0010034C"/>
    <w:rsid w:val="00100696"/>
    <w:rsid w:val="001007B3"/>
    <w:rsid w:val="00101A8E"/>
    <w:rsid w:val="00101D3A"/>
    <w:rsid w:val="001021DD"/>
    <w:rsid w:val="0010252C"/>
    <w:rsid w:val="00102C2B"/>
    <w:rsid w:val="00102FE2"/>
    <w:rsid w:val="001037A9"/>
    <w:rsid w:val="001043EB"/>
    <w:rsid w:val="001046D7"/>
    <w:rsid w:val="00104CE8"/>
    <w:rsid w:val="00104D77"/>
    <w:rsid w:val="00105B07"/>
    <w:rsid w:val="00105D17"/>
    <w:rsid w:val="00106318"/>
    <w:rsid w:val="00106B3D"/>
    <w:rsid w:val="00106FCA"/>
    <w:rsid w:val="0010718E"/>
    <w:rsid w:val="00110330"/>
    <w:rsid w:val="00110A1C"/>
    <w:rsid w:val="00110D39"/>
    <w:rsid w:val="00110F8B"/>
    <w:rsid w:val="001115EF"/>
    <w:rsid w:val="00111D77"/>
    <w:rsid w:val="001122B0"/>
    <w:rsid w:val="001126EF"/>
    <w:rsid w:val="00112ACF"/>
    <w:rsid w:val="0011346F"/>
    <w:rsid w:val="00113DFA"/>
    <w:rsid w:val="00114664"/>
    <w:rsid w:val="00114BA9"/>
    <w:rsid w:val="00115733"/>
    <w:rsid w:val="00115EDB"/>
    <w:rsid w:val="0011613E"/>
    <w:rsid w:val="001165DD"/>
    <w:rsid w:val="00116967"/>
    <w:rsid w:val="00116DF3"/>
    <w:rsid w:val="00116FB5"/>
    <w:rsid w:val="00117119"/>
    <w:rsid w:val="00117403"/>
    <w:rsid w:val="00122683"/>
    <w:rsid w:val="00122A1C"/>
    <w:rsid w:val="00122D38"/>
    <w:rsid w:val="0012381D"/>
    <w:rsid w:val="00123E08"/>
    <w:rsid w:val="00123E86"/>
    <w:rsid w:val="00124098"/>
    <w:rsid w:val="00124C36"/>
    <w:rsid w:val="001250FD"/>
    <w:rsid w:val="001252CF"/>
    <w:rsid w:val="00125FFE"/>
    <w:rsid w:val="00126172"/>
    <w:rsid w:val="00126303"/>
    <w:rsid w:val="00126377"/>
    <w:rsid w:val="0012687D"/>
    <w:rsid w:val="00126983"/>
    <w:rsid w:val="00126DD6"/>
    <w:rsid w:val="00126E36"/>
    <w:rsid w:val="001271B4"/>
    <w:rsid w:val="00127783"/>
    <w:rsid w:val="00130125"/>
    <w:rsid w:val="001309A3"/>
    <w:rsid w:val="00130C99"/>
    <w:rsid w:val="00130EE7"/>
    <w:rsid w:val="001317F5"/>
    <w:rsid w:val="00131E0A"/>
    <w:rsid w:val="001321E1"/>
    <w:rsid w:val="001333AD"/>
    <w:rsid w:val="00133937"/>
    <w:rsid w:val="00133AE8"/>
    <w:rsid w:val="00134616"/>
    <w:rsid w:val="0013475F"/>
    <w:rsid w:val="00136059"/>
    <w:rsid w:val="001360DB"/>
    <w:rsid w:val="001362F0"/>
    <w:rsid w:val="001363E9"/>
    <w:rsid w:val="001372B2"/>
    <w:rsid w:val="001375B0"/>
    <w:rsid w:val="00141473"/>
    <w:rsid w:val="00141869"/>
    <w:rsid w:val="00143791"/>
    <w:rsid w:val="00144102"/>
    <w:rsid w:val="001443D3"/>
    <w:rsid w:val="00145776"/>
    <w:rsid w:val="00145818"/>
    <w:rsid w:val="00145855"/>
    <w:rsid w:val="001461A7"/>
    <w:rsid w:val="0014647A"/>
    <w:rsid w:val="001464DF"/>
    <w:rsid w:val="00146F16"/>
    <w:rsid w:val="00147553"/>
    <w:rsid w:val="0014767D"/>
    <w:rsid w:val="001478AC"/>
    <w:rsid w:val="00150430"/>
    <w:rsid w:val="001505E3"/>
    <w:rsid w:val="00150695"/>
    <w:rsid w:val="00150FCB"/>
    <w:rsid w:val="00151081"/>
    <w:rsid w:val="0015151A"/>
    <w:rsid w:val="00151615"/>
    <w:rsid w:val="00152964"/>
    <w:rsid w:val="001537C8"/>
    <w:rsid w:val="00154D58"/>
    <w:rsid w:val="0015537F"/>
    <w:rsid w:val="00155A1E"/>
    <w:rsid w:val="00155A2A"/>
    <w:rsid w:val="00155E87"/>
    <w:rsid w:val="0015696E"/>
    <w:rsid w:val="00156D60"/>
    <w:rsid w:val="00156DBC"/>
    <w:rsid w:val="0016056F"/>
    <w:rsid w:val="00160857"/>
    <w:rsid w:val="00160D16"/>
    <w:rsid w:val="001613E1"/>
    <w:rsid w:val="00161BB4"/>
    <w:rsid w:val="00161F5D"/>
    <w:rsid w:val="0016240F"/>
    <w:rsid w:val="00162444"/>
    <w:rsid w:val="00162CF5"/>
    <w:rsid w:val="00162FF4"/>
    <w:rsid w:val="00163DCA"/>
    <w:rsid w:val="00164138"/>
    <w:rsid w:val="00164477"/>
    <w:rsid w:val="00164BC2"/>
    <w:rsid w:val="00164C7D"/>
    <w:rsid w:val="00164E95"/>
    <w:rsid w:val="00166121"/>
    <w:rsid w:val="00166921"/>
    <w:rsid w:val="00167749"/>
    <w:rsid w:val="00167BDC"/>
    <w:rsid w:val="00167C20"/>
    <w:rsid w:val="00167D56"/>
    <w:rsid w:val="00170760"/>
    <w:rsid w:val="0017080C"/>
    <w:rsid w:val="001709CC"/>
    <w:rsid w:val="0017140F"/>
    <w:rsid w:val="0017169D"/>
    <w:rsid w:val="00171AD6"/>
    <w:rsid w:val="0017301D"/>
    <w:rsid w:val="00173203"/>
    <w:rsid w:val="00173329"/>
    <w:rsid w:val="001746A3"/>
    <w:rsid w:val="001748EF"/>
    <w:rsid w:val="001749FE"/>
    <w:rsid w:val="00175388"/>
    <w:rsid w:val="00175577"/>
    <w:rsid w:val="0017566A"/>
    <w:rsid w:val="00175AC3"/>
    <w:rsid w:val="0017655C"/>
    <w:rsid w:val="00176590"/>
    <w:rsid w:val="001765A1"/>
    <w:rsid w:val="00177173"/>
    <w:rsid w:val="001771C3"/>
    <w:rsid w:val="001776A4"/>
    <w:rsid w:val="00180227"/>
    <w:rsid w:val="001804C0"/>
    <w:rsid w:val="001807D7"/>
    <w:rsid w:val="00180A21"/>
    <w:rsid w:val="00180E40"/>
    <w:rsid w:val="00181177"/>
    <w:rsid w:val="00182409"/>
    <w:rsid w:val="00183060"/>
    <w:rsid w:val="001831D9"/>
    <w:rsid w:val="001834A7"/>
    <w:rsid w:val="00183DCE"/>
    <w:rsid w:val="001849CC"/>
    <w:rsid w:val="00184AAA"/>
    <w:rsid w:val="00184D58"/>
    <w:rsid w:val="00184D6F"/>
    <w:rsid w:val="00185362"/>
    <w:rsid w:val="001856ED"/>
    <w:rsid w:val="00185FFA"/>
    <w:rsid w:val="00186102"/>
    <w:rsid w:val="0018634B"/>
    <w:rsid w:val="00186656"/>
    <w:rsid w:val="00186800"/>
    <w:rsid w:val="00186B4C"/>
    <w:rsid w:val="00187054"/>
    <w:rsid w:val="001901C7"/>
    <w:rsid w:val="001903A6"/>
    <w:rsid w:val="00190610"/>
    <w:rsid w:val="00190A35"/>
    <w:rsid w:val="00190DA2"/>
    <w:rsid w:val="00191B90"/>
    <w:rsid w:val="00191BAC"/>
    <w:rsid w:val="00192384"/>
    <w:rsid w:val="001935E8"/>
    <w:rsid w:val="001937A4"/>
    <w:rsid w:val="0019384F"/>
    <w:rsid w:val="00193A89"/>
    <w:rsid w:val="00193C05"/>
    <w:rsid w:val="001941E0"/>
    <w:rsid w:val="00194508"/>
    <w:rsid w:val="001948C3"/>
    <w:rsid w:val="00194A66"/>
    <w:rsid w:val="001957C0"/>
    <w:rsid w:val="00195CA0"/>
    <w:rsid w:val="00195D89"/>
    <w:rsid w:val="001973F1"/>
    <w:rsid w:val="001A05E6"/>
    <w:rsid w:val="001A06E8"/>
    <w:rsid w:val="001A0C35"/>
    <w:rsid w:val="001A13BD"/>
    <w:rsid w:val="001A1C12"/>
    <w:rsid w:val="001A1D21"/>
    <w:rsid w:val="001A22DB"/>
    <w:rsid w:val="001A26A1"/>
    <w:rsid w:val="001A2A42"/>
    <w:rsid w:val="001A3C71"/>
    <w:rsid w:val="001A3F91"/>
    <w:rsid w:val="001A476D"/>
    <w:rsid w:val="001A4827"/>
    <w:rsid w:val="001A4A41"/>
    <w:rsid w:val="001A4D70"/>
    <w:rsid w:val="001A5416"/>
    <w:rsid w:val="001A5449"/>
    <w:rsid w:val="001A5C3D"/>
    <w:rsid w:val="001A5E7E"/>
    <w:rsid w:val="001A609F"/>
    <w:rsid w:val="001A6400"/>
    <w:rsid w:val="001A777E"/>
    <w:rsid w:val="001A79E4"/>
    <w:rsid w:val="001B119C"/>
    <w:rsid w:val="001B1619"/>
    <w:rsid w:val="001B17EC"/>
    <w:rsid w:val="001B1E71"/>
    <w:rsid w:val="001B293D"/>
    <w:rsid w:val="001B2AE1"/>
    <w:rsid w:val="001B2DA1"/>
    <w:rsid w:val="001B34C5"/>
    <w:rsid w:val="001B3A8A"/>
    <w:rsid w:val="001B3D6E"/>
    <w:rsid w:val="001B3F0F"/>
    <w:rsid w:val="001B48C3"/>
    <w:rsid w:val="001B5BCC"/>
    <w:rsid w:val="001B67CC"/>
    <w:rsid w:val="001B6C88"/>
    <w:rsid w:val="001B6F06"/>
    <w:rsid w:val="001B75AD"/>
    <w:rsid w:val="001B7BA2"/>
    <w:rsid w:val="001C09AD"/>
    <w:rsid w:val="001C15F9"/>
    <w:rsid w:val="001C1A18"/>
    <w:rsid w:val="001C1A21"/>
    <w:rsid w:val="001C1C76"/>
    <w:rsid w:val="001C1C7B"/>
    <w:rsid w:val="001C2771"/>
    <w:rsid w:val="001C2B88"/>
    <w:rsid w:val="001C2FCD"/>
    <w:rsid w:val="001C302C"/>
    <w:rsid w:val="001C31E2"/>
    <w:rsid w:val="001C3EBC"/>
    <w:rsid w:val="001C4119"/>
    <w:rsid w:val="001C413D"/>
    <w:rsid w:val="001C457A"/>
    <w:rsid w:val="001C46E4"/>
    <w:rsid w:val="001C4827"/>
    <w:rsid w:val="001C49EC"/>
    <w:rsid w:val="001C4D37"/>
    <w:rsid w:val="001C4D80"/>
    <w:rsid w:val="001C5176"/>
    <w:rsid w:val="001C56B2"/>
    <w:rsid w:val="001C56F5"/>
    <w:rsid w:val="001C5B83"/>
    <w:rsid w:val="001C6FCE"/>
    <w:rsid w:val="001C716A"/>
    <w:rsid w:val="001C743C"/>
    <w:rsid w:val="001C7EE4"/>
    <w:rsid w:val="001D03CF"/>
    <w:rsid w:val="001D0A76"/>
    <w:rsid w:val="001D1310"/>
    <w:rsid w:val="001D19A5"/>
    <w:rsid w:val="001D1B8C"/>
    <w:rsid w:val="001D1C5A"/>
    <w:rsid w:val="001D3951"/>
    <w:rsid w:val="001D3A24"/>
    <w:rsid w:val="001D4564"/>
    <w:rsid w:val="001D4AFD"/>
    <w:rsid w:val="001D56FA"/>
    <w:rsid w:val="001D5740"/>
    <w:rsid w:val="001D5E7E"/>
    <w:rsid w:val="001D683F"/>
    <w:rsid w:val="001D6C52"/>
    <w:rsid w:val="001D6FF8"/>
    <w:rsid w:val="001D7170"/>
    <w:rsid w:val="001D7332"/>
    <w:rsid w:val="001D7745"/>
    <w:rsid w:val="001D7D58"/>
    <w:rsid w:val="001E04D1"/>
    <w:rsid w:val="001E0F7E"/>
    <w:rsid w:val="001E1BC3"/>
    <w:rsid w:val="001E1FC0"/>
    <w:rsid w:val="001E2AF1"/>
    <w:rsid w:val="001E3388"/>
    <w:rsid w:val="001E3D2C"/>
    <w:rsid w:val="001E3E5C"/>
    <w:rsid w:val="001E4393"/>
    <w:rsid w:val="001E4A2B"/>
    <w:rsid w:val="001E4ACB"/>
    <w:rsid w:val="001E55BA"/>
    <w:rsid w:val="001E592A"/>
    <w:rsid w:val="001E5A13"/>
    <w:rsid w:val="001E6459"/>
    <w:rsid w:val="001E6B45"/>
    <w:rsid w:val="001E6D92"/>
    <w:rsid w:val="001E71B4"/>
    <w:rsid w:val="001E74A7"/>
    <w:rsid w:val="001E78D1"/>
    <w:rsid w:val="001E7B83"/>
    <w:rsid w:val="001F0B21"/>
    <w:rsid w:val="001F155E"/>
    <w:rsid w:val="001F2173"/>
    <w:rsid w:val="001F278C"/>
    <w:rsid w:val="001F295A"/>
    <w:rsid w:val="001F308F"/>
    <w:rsid w:val="001F3195"/>
    <w:rsid w:val="001F352B"/>
    <w:rsid w:val="001F358C"/>
    <w:rsid w:val="001F3C00"/>
    <w:rsid w:val="001F412F"/>
    <w:rsid w:val="001F41C2"/>
    <w:rsid w:val="001F42ED"/>
    <w:rsid w:val="001F4336"/>
    <w:rsid w:val="001F44D0"/>
    <w:rsid w:val="001F44F1"/>
    <w:rsid w:val="001F4A5A"/>
    <w:rsid w:val="001F5D4B"/>
    <w:rsid w:val="001F5E7E"/>
    <w:rsid w:val="001F5F8B"/>
    <w:rsid w:val="001F6269"/>
    <w:rsid w:val="001F6276"/>
    <w:rsid w:val="001F62DF"/>
    <w:rsid w:val="001F650A"/>
    <w:rsid w:val="001F76EA"/>
    <w:rsid w:val="001F778E"/>
    <w:rsid w:val="0020005F"/>
    <w:rsid w:val="00200374"/>
    <w:rsid w:val="002007B5"/>
    <w:rsid w:val="00200B90"/>
    <w:rsid w:val="00200D4E"/>
    <w:rsid w:val="00201F83"/>
    <w:rsid w:val="00201FCC"/>
    <w:rsid w:val="0020250E"/>
    <w:rsid w:val="00202645"/>
    <w:rsid w:val="00202A6B"/>
    <w:rsid w:val="00202D4B"/>
    <w:rsid w:val="00203C76"/>
    <w:rsid w:val="00204195"/>
    <w:rsid w:val="0020486C"/>
    <w:rsid w:val="00204A55"/>
    <w:rsid w:val="00204E20"/>
    <w:rsid w:val="00204E90"/>
    <w:rsid w:val="00205411"/>
    <w:rsid w:val="002055E5"/>
    <w:rsid w:val="00205945"/>
    <w:rsid w:val="00205DEF"/>
    <w:rsid w:val="002079BB"/>
    <w:rsid w:val="00207C30"/>
    <w:rsid w:val="00207F81"/>
    <w:rsid w:val="00210884"/>
    <w:rsid w:val="00210C3E"/>
    <w:rsid w:val="00211139"/>
    <w:rsid w:val="0021247C"/>
    <w:rsid w:val="002124B3"/>
    <w:rsid w:val="00213668"/>
    <w:rsid w:val="00214893"/>
    <w:rsid w:val="00214EA3"/>
    <w:rsid w:val="00215AB3"/>
    <w:rsid w:val="00215E90"/>
    <w:rsid w:val="0021613C"/>
    <w:rsid w:val="00216234"/>
    <w:rsid w:val="00216609"/>
    <w:rsid w:val="0021696A"/>
    <w:rsid w:val="00216A92"/>
    <w:rsid w:val="00216B4F"/>
    <w:rsid w:val="00216BCF"/>
    <w:rsid w:val="00216D52"/>
    <w:rsid w:val="002175BF"/>
    <w:rsid w:val="00217FBF"/>
    <w:rsid w:val="0022049F"/>
    <w:rsid w:val="002204CC"/>
    <w:rsid w:val="00220FF6"/>
    <w:rsid w:val="0022125A"/>
    <w:rsid w:val="0022154C"/>
    <w:rsid w:val="0022158C"/>
    <w:rsid w:val="002219D2"/>
    <w:rsid w:val="00221D28"/>
    <w:rsid w:val="00221E6B"/>
    <w:rsid w:val="00221EB7"/>
    <w:rsid w:val="00221EF4"/>
    <w:rsid w:val="00221FDA"/>
    <w:rsid w:val="00222AC1"/>
    <w:rsid w:val="002230B2"/>
    <w:rsid w:val="00223467"/>
    <w:rsid w:val="00223984"/>
    <w:rsid w:val="00223C50"/>
    <w:rsid w:val="00223F5A"/>
    <w:rsid w:val="0022480C"/>
    <w:rsid w:val="00224D2E"/>
    <w:rsid w:val="002251E8"/>
    <w:rsid w:val="00225A36"/>
    <w:rsid w:val="00225AFF"/>
    <w:rsid w:val="00225EDC"/>
    <w:rsid w:val="00226BC5"/>
    <w:rsid w:val="00226EC9"/>
    <w:rsid w:val="00226F1D"/>
    <w:rsid w:val="002272DD"/>
    <w:rsid w:val="00227CE5"/>
    <w:rsid w:val="00230373"/>
    <w:rsid w:val="0023069E"/>
    <w:rsid w:val="002311AD"/>
    <w:rsid w:val="002315F1"/>
    <w:rsid w:val="002317CF"/>
    <w:rsid w:val="00231B0E"/>
    <w:rsid w:val="002327B2"/>
    <w:rsid w:val="002338EC"/>
    <w:rsid w:val="00233AA5"/>
    <w:rsid w:val="00233B1F"/>
    <w:rsid w:val="00234275"/>
    <w:rsid w:val="002349C6"/>
    <w:rsid w:val="00234A5A"/>
    <w:rsid w:val="00234BB5"/>
    <w:rsid w:val="00234C4D"/>
    <w:rsid w:val="00236810"/>
    <w:rsid w:val="00237567"/>
    <w:rsid w:val="00237CEA"/>
    <w:rsid w:val="00237D7F"/>
    <w:rsid w:val="00240449"/>
    <w:rsid w:val="00241510"/>
    <w:rsid w:val="002420C5"/>
    <w:rsid w:val="00242D57"/>
    <w:rsid w:val="00243B92"/>
    <w:rsid w:val="00244480"/>
    <w:rsid w:val="0024533A"/>
    <w:rsid w:val="0024638E"/>
    <w:rsid w:val="00246397"/>
    <w:rsid w:val="002467BC"/>
    <w:rsid w:val="00246923"/>
    <w:rsid w:val="0024696C"/>
    <w:rsid w:val="002469A8"/>
    <w:rsid w:val="00246AD7"/>
    <w:rsid w:val="00246D9E"/>
    <w:rsid w:val="00246DD0"/>
    <w:rsid w:val="002472C5"/>
    <w:rsid w:val="00247ACE"/>
    <w:rsid w:val="00247D2B"/>
    <w:rsid w:val="00250404"/>
    <w:rsid w:val="002522A5"/>
    <w:rsid w:val="0025381B"/>
    <w:rsid w:val="0025401C"/>
    <w:rsid w:val="002543D1"/>
    <w:rsid w:val="00255C4C"/>
    <w:rsid w:val="0025652A"/>
    <w:rsid w:val="002566C7"/>
    <w:rsid w:val="00256781"/>
    <w:rsid w:val="00257473"/>
    <w:rsid w:val="00257660"/>
    <w:rsid w:val="00257DF9"/>
    <w:rsid w:val="00260172"/>
    <w:rsid w:val="00260190"/>
    <w:rsid w:val="002616AA"/>
    <w:rsid w:val="00261851"/>
    <w:rsid w:val="00261874"/>
    <w:rsid w:val="00261A3E"/>
    <w:rsid w:val="00261D86"/>
    <w:rsid w:val="00261DA2"/>
    <w:rsid w:val="00261F6B"/>
    <w:rsid w:val="00262258"/>
    <w:rsid w:val="002628A2"/>
    <w:rsid w:val="00262BAE"/>
    <w:rsid w:val="002633DD"/>
    <w:rsid w:val="00264001"/>
    <w:rsid w:val="002640C5"/>
    <w:rsid w:val="0026435A"/>
    <w:rsid w:val="00264A50"/>
    <w:rsid w:val="00264D88"/>
    <w:rsid w:val="00264D92"/>
    <w:rsid w:val="002656D4"/>
    <w:rsid w:val="00265904"/>
    <w:rsid w:val="00265D3E"/>
    <w:rsid w:val="00265E6E"/>
    <w:rsid w:val="0026661E"/>
    <w:rsid w:val="00266912"/>
    <w:rsid w:val="00266BD5"/>
    <w:rsid w:val="00270158"/>
    <w:rsid w:val="002704D2"/>
    <w:rsid w:val="0027060C"/>
    <w:rsid w:val="002707BD"/>
    <w:rsid w:val="00270AA1"/>
    <w:rsid w:val="00271E65"/>
    <w:rsid w:val="00272502"/>
    <w:rsid w:val="0027273A"/>
    <w:rsid w:val="00272C67"/>
    <w:rsid w:val="00272D03"/>
    <w:rsid w:val="00272D20"/>
    <w:rsid w:val="00273030"/>
    <w:rsid w:val="002735B2"/>
    <w:rsid w:val="00273912"/>
    <w:rsid w:val="00273A7E"/>
    <w:rsid w:val="00273DBD"/>
    <w:rsid w:val="00274949"/>
    <w:rsid w:val="00274BD0"/>
    <w:rsid w:val="00274C5E"/>
    <w:rsid w:val="002751D6"/>
    <w:rsid w:val="00275502"/>
    <w:rsid w:val="0027612A"/>
    <w:rsid w:val="00276BEF"/>
    <w:rsid w:val="00276FFC"/>
    <w:rsid w:val="00277953"/>
    <w:rsid w:val="00277BE9"/>
    <w:rsid w:val="002806EE"/>
    <w:rsid w:val="0028084C"/>
    <w:rsid w:val="00280B3D"/>
    <w:rsid w:val="00280B87"/>
    <w:rsid w:val="00280E87"/>
    <w:rsid w:val="002811C2"/>
    <w:rsid w:val="00281470"/>
    <w:rsid w:val="002814F1"/>
    <w:rsid w:val="002818F7"/>
    <w:rsid w:val="00281D72"/>
    <w:rsid w:val="00281D7F"/>
    <w:rsid w:val="00281E15"/>
    <w:rsid w:val="002824E0"/>
    <w:rsid w:val="00282BAC"/>
    <w:rsid w:val="00282C0F"/>
    <w:rsid w:val="0028310A"/>
    <w:rsid w:val="00284B5F"/>
    <w:rsid w:val="00285CEF"/>
    <w:rsid w:val="002860A6"/>
    <w:rsid w:val="00286DD1"/>
    <w:rsid w:val="00287CE4"/>
    <w:rsid w:val="00290573"/>
    <w:rsid w:val="00290732"/>
    <w:rsid w:val="00290EBF"/>
    <w:rsid w:val="00291D8C"/>
    <w:rsid w:val="00291F54"/>
    <w:rsid w:val="00293091"/>
    <w:rsid w:val="0029313C"/>
    <w:rsid w:val="0029334E"/>
    <w:rsid w:val="00293A2D"/>
    <w:rsid w:val="00293B48"/>
    <w:rsid w:val="0029405F"/>
    <w:rsid w:val="00294A51"/>
    <w:rsid w:val="00294BCA"/>
    <w:rsid w:val="002957A3"/>
    <w:rsid w:val="00295C97"/>
    <w:rsid w:val="00295E88"/>
    <w:rsid w:val="00295E8F"/>
    <w:rsid w:val="00296720"/>
    <w:rsid w:val="00296AFC"/>
    <w:rsid w:val="00296EAC"/>
    <w:rsid w:val="0029723F"/>
    <w:rsid w:val="002976E3"/>
    <w:rsid w:val="00297BA2"/>
    <w:rsid w:val="002A0254"/>
    <w:rsid w:val="002A0571"/>
    <w:rsid w:val="002A1509"/>
    <w:rsid w:val="002A1549"/>
    <w:rsid w:val="002A22B9"/>
    <w:rsid w:val="002A2622"/>
    <w:rsid w:val="002A2801"/>
    <w:rsid w:val="002A328B"/>
    <w:rsid w:val="002A466E"/>
    <w:rsid w:val="002A4C2C"/>
    <w:rsid w:val="002A4D21"/>
    <w:rsid w:val="002A4D28"/>
    <w:rsid w:val="002A5946"/>
    <w:rsid w:val="002A604F"/>
    <w:rsid w:val="002A7358"/>
    <w:rsid w:val="002A76D7"/>
    <w:rsid w:val="002A771B"/>
    <w:rsid w:val="002B002E"/>
    <w:rsid w:val="002B0462"/>
    <w:rsid w:val="002B0985"/>
    <w:rsid w:val="002B0B26"/>
    <w:rsid w:val="002B0B7A"/>
    <w:rsid w:val="002B0B8F"/>
    <w:rsid w:val="002B10C2"/>
    <w:rsid w:val="002B1253"/>
    <w:rsid w:val="002B1FA6"/>
    <w:rsid w:val="002B25B0"/>
    <w:rsid w:val="002B25DD"/>
    <w:rsid w:val="002B2A56"/>
    <w:rsid w:val="002B2AAB"/>
    <w:rsid w:val="002B2CBD"/>
    <w:rsid w:val="002B372B"/>
    <w:rsid w:val="002B39D4"/>
    <w:rsid w:val="002B4C28"/>
    <w:rsid w:val="002B4E91"/>
    <w:rsid w:val="002B5121"/>
    <w:rsid w:val="002B549C"/>
    <w:rsid w:val="002B56E6"/>
    <w:rsid w:val="002B584D"/>
    <w:rsid w:val="002B5885"/>
    <w:rsid w:val="002B5A5C"/>
    <w:rsid w:val="002B65F5"/>
    <w:rsid w:val="002B68E6"/>
    <w:rsid w:val="002B6AD7"/>
    <w:rsid w:val="002B6D10"/>
    <w:rsid w:val="002B6E8D"/>
    <w:rsid w:val="002B6EFB"/>
    <w:rsid w:val="002B708C"/>
    <w:rsid w:val="002B7292"/>
    <w:rsid w:val="002B77E0"/>
    <w:rsid w:val="002B78B0"/>
    <w:rsid w:val="002C057D"/>
    <w:rsid w:val="002C05A6"/>
    <w:rsid w:val="002C05E9"/>
    <w:rsid w:val="002C0845"/>
    <w:rsid w:val="002C0D9F"/>
    <w:rsid w:val="002C1E6D"/>
    <w:rsid w:val="002C23AB"/>
    <w:rsid w:val="002C3464"/>
    <w:rsid w:val="002C3522"/>
    <w:rsid w:val="002C3695"/>
    <w:rsid w:val="002C3B68"/>
    <w:rsid w:val="002C4070"/>
    <w:rsid w:val="002C4236"/>
    <w:rsid w:val="002C439E"/>
    <w:rsid w:val="002C4C3D"/>
    <w:rsid w:val="002C53FB"/>
    <w:rsid w:val="002C6304"/>
    <w:rsid w:val="002C64F2"/>
    <w:rsid w:val="002C6E22"/>
    <w:rsid w:val="002C77C6"/>
    <w:rsid w:val="002D043F"/>
    <w:rsid w:val="002D0753"/>
    <w:rsid w:val="002D11E0"/>
    <w:rsid w:val="002D209A"/>
    <w:rsid w:val="002D222A"/>
    <w:rsid w:val="002D315A"/>
    <w:rsid w:val="002D4B34"/>
    <w:rsid w:val="002D5259"/>
    <w:rsid w:val="002D53BC"/>
    <w:rsid w:val="002D552F"/>
    <w:rsid w:val="002D5E7A"/>
    <w:rsid w:val="002D63E8"/>
    <w:rsid w:val="002D70EF"/>
    <w:rsid w:val="002E0A4E"/>
    <w:rsid w:val="002E0D4A"/>
    <w:rsid w:val="002E14D8"/>
    <w:rsid w:val="002E19A3"/>
    <w:rsid w:val="002E1DB9"/>
    <w:rsid w:val="002E207A"/>
    <w:rsid w:val="002E28BA"/>
    <w:rsid w:val="002E2F2A"/>
    <w:rsid w:val="002E31E6"/>
    <w:rsid w:val="002E3296"/>
    <w:rsid w:val="002E45E1"/>
    <w:rsid w:val="002E4E08"/>
    <w:rsid w:val="002E59A6"/>
    <w:rsid w:val="002E59FC"/>
    <w:rsid w:val="002E6062"/>
    <w:rsid w:val="002E60C2"/>
    <w:rsid w:val="002E628A"/>
    <w:rsid w:val="002E6DDD"/>
    <w:rsid w:val="002E762A"/>
    <w:rsid w:val="002E7773"/>
    <w:rsid w:val="002E7E12"/>
    <w:rsid w:val="002E7EDD"/>
    <w:rsid w:val="002F20AD"/>
    <w:rsid w:val="002F2DD0"/>
    <w:rsid w:val="002F304F"/>
    <w:rsid w:val="002F3242"/>
    <w:rsid w:val="002F3D07"/>
    <w:rsid w:val="002F4247"/>
    <w:rsid w:val="002F485D"/>
    <w:rsid w:val="002F4A9C"/>
    <w:rsid w:val="002F53A6"/>
    <w:rsid w:val="002F553D"/>
    <w:rsid w:val="002F5A1A"/>
    <w:rsid w:val="002F5C35"/>
    <w:rsid w:val="002F5D2C"/>
    <w:rsid w:val="002F5FCC"/>
    <w:rsid w:val="002F65BA"/>
    <w:rsid w:val="002F69FD"/>
    <w:rsid w:val="002F7027"/>
    <w:rsid w:val="002F7B2F"/>
    <w:rsid w:val="002F7BE7"/>
    <w:rsid w:val="002F7FE6"/>
    <w:rsid w:val="003002A2"/>
    <w:rsid w:val="003007E4"/>
    <w:rsid w:val="00300C9C"/>
    <w:rsid w:val="00300EDB"/>
    <w:rsid w:val="00300F46"/>
    <w:rsid w:val="00301771"/>
    <w:rsid w:val="00301D1C"/>
    <w:rsid w:val="00302515"/>
    <w:rsid w:val="00302DD7"/>
    <w:rsid w:val="00302E66"/>
    <w:rsid w:val="00303026"/>
    <w:rsid w:val="00303736"/>
    <w:rsid w:val="00303821"/>
    <w:rsid w:val="003044D1"/>
    <w:rsid w:val="00304759"/>
    <w:rsid w:val="00304A36"/>
    <w:rsid w:val="0030553D"/>
    <w:rsid w:val="0030566C"/>
    <w:rsid w:val="00305985"/>
    <w:rsid w:val="00305D29"/>
    <w:rsid w:val="00306559"/>
    <w:rsid w:val="00306F73"/>
    <w:rsid w:val="00307F41"/>
    <w:rsid w:val="00310E09"/>
    <w:rsid w:val="00310F7F"/>
    <w:rsid w:val="0031130E"/>
    <w:rsid w:val="00311359"/>
    <w:rsid w:val="003115C6"/>
    <w:rsid w:val="003119C5"/>
    <w:rsid w:val="00312AA0"/>
    <w:rsid w:val="00313567"/>
    <w:rsid w:val="00313D1E"/>
    <w:rsid w:val="00314D55"/>
    <w:rsid w:val="0031548F"/>
    <w:rsid w:val="003154CB"/>
    <w:rsid w:val="0031586D"/>
    <w:rsid w:val="00315886"/>
    <w:rsid w:val="003165D0"/>
    <w:rsid w:val="00316750"/>
    <w:rsid w:val="00316C84"/>
    <w:rsid w:val="003171C9"/>
    <w:rsid w:val="00317EE2"/>
    <w:rsid w:val="00320875"/>
    <w:rsid w:val="003209F2"/>
    <w:rsid w:val="00321576"/>
    <w:rsid w:val="00321A5C"/>
    <w:rsid w:val="00322217"/>
    <w:rsid w:val="0032286D"/>
    <w:rsid w:val="00322B27"/>
    <w:rsid w:val="00322BE4"/>
    <w:rsid w:val="00322D7D"/>
    <w:rsid w:val="00322F5A"/>
    <w:rsid w:val="00323B7E"/>
    <w:rsid w:val="00323BF3"/>
    <w:rsid w:val="00324900"/>
    <w:rsid w:val="00324C27"/>
    <w:rsid w:val="00326217"/>
    <w:rsid w:val="00326853"/>
    <w:rsid w:val="003271F0"/>
    <w:rsid w:val="00327A4F"/>
    <w:rsid w:val="00327BA8"/>
    <w:rsid w:val="00330EC7"/>
    <w:rsid w:val="00330F47"/>
    <w:rsid w:val="003310FF"/>
    <w:rsid w:val="00331359"/>
    <w:rsid w:val="00331510"/>
    <w:rsid w:val="00331D3B"/>
    <w:rsid w:val="00331EA4"/>
    <w:rsid w:val="003324A3"/>
    <w:rsid w:val="00332587"/>
    <w:rsid w:val="00332C4C"/>
    <w:rsid w:val="00332CFD"/>
    <w:rsid w:val="003335A9"/>
    <w:rsid w:val="003342D1"/>
    <w:rsid w:val="003342E9"/>
    <w:rsid w:val="00334561"/>
    <w:rsid w:val="00334B63"/>
    <w:rsid w:val="00335291"/>
    <w:rsid w:val="0033551F"/>
    <w:rsid w:val="0033582B"/>
    <w:rsid w:val="00335878"/>
    <w:rsid w:val="00335A64"/>
    <w:rsid w:val="00335B79"/>
    <w:rsid w:val="003363F7"/>
    <w:rsid w:val="0033675E"/>
    <w:rsid w:val="00336A74"/>
    <w:rsid w:val="003370B2"/>
    <w:rsid w:val="003403C6"/>
    <w:rsid w:val="00340514"/>
    <w:rsid w:val="00340CBE"/>
    <w:rsid w:val="0034119C"/>
    <w:rsid w:val="00341251"/>
    <w:rsid w:val="00341CE5"/>
    <w:rsid w:val="0034266F"/>
    <w:rsid w:val="0034279B"/>
    <w:rsid w:val="003436C0"/>
    <w:rsid w:val="003443CB"/>
    <w:rsid w:val="00344662"/>
    <w:rsid w:val="00344D67"/>
    <w:rsid w:val="00344D69"/>
    <w:rsid w:val="00344FBC"/>
    <w:rsid w:val="0034501C"/>
    <w:rsid w:val="00345838"/>
    <w:rsid w:val="003460A9"/>
    <w:rsid w:val="00346872"/>
    <w:rsid w:val="003468B7"/>
    <w:rsid w:val="00347250"/>
    <w:rsid w:val="00347D27"/>
    <w:rsid w:val="0035165A"/>
    <w:rsid w:val="00351EBE"/>
    <w:rsid w:val="003520A8"/>
    <w:rsid w:val="00352B63"/>
    <w:rsid w:val="00352BCD"/>
    <w:rsid w:val="00352D60"/>
    <w:rsid w:val="00353772"/>
    <w:rsid w:val="00353B58"/>
    <w:rsid w:val="003540E1"/>
    <w:rsid w:val="0035470E"/>
    <w:rsid w:val="00355EA5"/>
    <w:rsid w:val="003575F2"/>
    <w:rsid w:val="003579A6"/>
    <w:rsid w:val="00357AF6"/>
    <w:rsid w:val="0036032B"/>
    <w:rsid w:val="00360569"/>
    <w:rsid w:val="0036106E"/>
    <w:rsid w:val="00362244"/>
    <w:rsid w:val="003626EA"/>
    <w:rsid w:val="003632D2"/>
    <w:rsid w:val="0036353F"/>
    <w:rsid w:val="00363D15"/>
    <w:rsid w:val="00364500"/>
    <w:rsid w:val="00364BA1"/>
    <w:rsid w:val="003650D9"/>
    <w:rsid w:val="0036593B"/>
    <w:rsid w:val="00365B55"/>
    <w:rsid w:val="003666A4"/>
    <w:rsid w:val="0036745C"/>
    <w:rsid w:val="00370125"/>
    <w:rsid w:val="00370DEC"/>
    <w:rsid w:val="003711F3"/>
    <w:rsid w:val="0037185D"/>
    <w:rsid w:val="00371EAB"/>
    <w:rsid w:val="00373284"/>
    <w:rsid w:val="00373772"/>
    <w:rsid w:val="00373D94"/>
    <w:rsid w:val="00373EB4"/>
    <w:rsid w:val="00374418"/>
    <w:rsid w:val="00374476"/>
    <w:rsid w:val="00374783"/>
    <w:rsid w:val="00374872"/>
    <w:rsid w:val="003749D1"/>
    <w:rsid w:val="00374AD3"/>
    <w:rsid w:val="00374C76"/>
    <w:rsid w:val="00375261"/>
    <w:rsid w:val="00375377"/>
    <w:rsid w:val="003753E8"/>
    <w:rsid w:val="00375401"/>
    <w:rsid w:val="0037565B"/>
    <w:rsid w:val="00375A14"/>
    <w:rsid w:val="00377CA8"/>
    <w:rsid w:val="00380D14"/>
    <w:rsid w:val="00381315"/>
    <w:rsid w:val="00381C83"/>
    <w:rsid w:val="0038205C"/>
    <w:rsid w:val="00382137"/>
    <w:rsid w:val="00382735"/>
    <w:rsid w:val="00382841"/>
    <w:rsid w:val="00383BCE"/>
    <w:rsid w:val="00383DCD"/>
    <w:rsid w:val="00384698"/>
    <w:rsid w:val="00386D38"/>
    <w:rsid w:val="00386E11"/>
    <w:rsid w:val="00386E4C"/>
    <w:rsid w:val="003874B0"/>
    <w:rsid w:val="003874DF"/>
    <w:rsid w:val="003876F7"/>
    <w:rsid w:val="00387D1F"/>
    <w:rsid w:val="0039049C"/>
    <w:rsid w:val="00390D18"/>
    <w:rsid w:val="0039140F"/>
    <w:rsid w:val="00391D5C"/>
    <w:rsid w:val="00391FAF"/>
    <w:rsid w:val="00392354"/>
    <w:rsid w:val="0039284A"/>
    <w:rsid w:val="00392C5C"/>
    <w:rsid w:val="00392E45"/>
    <w:rsid w:val="00393A5A"/>
    <w:rsid w:val="00394C3C"/>
    <w:rsid w:val="0039580C"/>
    <w:rsid w:val="00395BB6"/>
    <w:rsid w:val="0039699F"/>
    <w:rsid w:val="00396A2C"/>
    <w:rsid w:val="00396CDB"/>
    <w:rsid w:val="003A0A33"/>
    <w:rsid w:val="003A0CB7"/>
    <w:rsid w:val="003A1A74"/>
    <w:rsid w:val="003A29D9"/>
    <w:rsid w:val="003A34ED"/>
    <w:rsid w:val="003A378F"/>
    <w:rsid w:val="003A4761"/>
    <w:rsid w:val="003A4F2D"/>
    <w:rsid w:val="003A5A29"/>
    <w:rsid w:val="003A5A7F"/>
    <w:rsid w:val="003A5F3F"/>
    <w:rsid w:val="003A66AD"/>
    <w:rsid w:val="003A6B54"/>
    <w:rsid w:val="003A7AD4"/>
    <w:rsid w:val="003A7AD8"/>
    <w:rsid w:val="003B00BF"/>
    <w:rsid w:val="003B0C98"/>
    <w:rsid w:val="003B0D88"/>
    <w:rsid w:val="003B134B"/>
    <w:rsid w:val="003B2BBF"/>
    <w:rsid w:val="003B30BC"/>
    <w:rsid w:val="003B3BB6"/>
    <w:rsid w:val="003B3C4E"/>
    <w:rsid w:val="003B4068"/>
    <w:rsid w:val="003B40FD"/>
    <w:rsid w:val="003B42B2"/>
    <w:rsid w:val="003B438E"/>
    <w:rsid w:val="003B4556"/>
    <w:rsid w:val="003B4784"/>
    <w:rsid w:val="003B48EB"/>
    <w:rsid w:val="003B49B8"/>
    <w:rsid w:val="003B4C36"/>
    <w:rsid w:val="003B4FEC"/>
    <w:rsid w:val="003B50E9"/>
    <w:rsid w:val="003B54C1"/>
    <w:rsid w:val="003B56FD"/>
    <w:rsid w:val="003B6F5E"/>
    <w:rsid w:val="003B73BA"/>
    <w:rsid w:val="003B7632"/>
    <w:rsid w:val="003B7743"/>
    <w:rsid w:val="003B7874"/>
    <w:rsid w:val="003B7D6B"/>
    <w:rsid w:val="003C0843"/>
    <w:rsid w:val="003C0943"/>
    <w:rsid w:val="003C10EA"/>
    <w:rsid w:val="003C1B9D"/>
    <w:rsid w:val="003C1DFD"/>
    <w:rsid w:val="003C2193"/>
    <w:rsid w:val="003C2226"/>
    <w:rsid w:val="003C22D1"/>
    <w:rsid w:val="003C2322"/>
    <w:rsid w:val="003C23CE"/>
    <w:rsid w:val="003C2BA8"/>
    <w:rsid w:val="003C4301"/>
    <w:rsid w:val="003C5009"/>
    <w:rsid w:val="003C5511"/>
    <w:rsid w:val="003C5804"/>
    <w:rsid w:val="003C5E61"/>
    <w:rsid w:val="003C61FD"/>
    <w:rsid w:val="003C7A82"/>
    <w:rsid w:val="003D00E8"/>
    <w:rsid w:val="003D0354"/>
    <w:rsid w:val="003D071B"/>
    <w:rsid w:val="003D1BEF"/>
    <w:rsid w:val="003D1C9E"/>
    <w:rsid w:val="003D1D9D"/>
    <w:rsid w:val="003D21CD"/>
    <w:rsid w:val="003D24A5"/>
    <w:rsid w:val="003D29B7"/>
    <w:rsid w:val="003D2AF7"/>
    <w:rsid w:val="003D2EBE"/>
    <w:rsid w:val="003D346B"/>
    <w:rsid w:val="003D4BB3"/>
    <w:rsid w:val="003D5AA0"/>
    <w:rsid w:val="003D5D88"/>
    <w:rsid w:val="003D60AD"/>
    <w:rsid w:val="003D60B5"/>
    <w:rsid w:val="003D60F3"/>
    <w:rsid w:val="003D6D15"/>
    <w:rsid w:val="003D7813"/>
    <w:rsid w:val="003D7D94"/>
    <w:rsid w:val="003D7F44"/>
    <w:rsid w:val="003D7F97"/>
    <w:rsid w:val="003E0759"/>
    <w:rsid w:val="003E09E4"/>
    <w:rsid w:val="003E11D3"/>
    <w:rsid w:val="003E1593"/>
    <w:rsid w:val="003E1913"/>
    <w:rsid w:val="003E1DAD"/>
    <w:rsid w:val="003E2102"/>
    <w:rsid w:val="003E285D"/>
    <w:rsid w:val="003E306F"/>
    <w:rsid w:val="003E3072"/>
    <w:rsid w:val="003E30DF"/>
    <w:rsid w:val="003E353D"/>
    <w:rsid w:val="003E37D2"/>
    <w:rsid w:val="003E4C8B"/>
    <w:rsid w:val="003E5358"/>
    <w:rsid w:val="003E5863"/>
    <w:rsid w:val="003E5E2F"/>
    <w:rsid w:val="003E60EB"/>
    <w:rsid w:val="003E6485"/>
    <w:rsid w:val="003E6777"/>
    <w:rsid w:val="003E6AFB"/>
    <w:rsid w:val="003E6C04"/>
    <w:rsid w:val="003E6FDB"/>
    <w:rsid w:val="003E6FFA"/>
    <w:rsid w:val="003E7516"/>
    <w:rsid w:val="003E7655"/>
    <w:rsid w:val="003F0B64"/>
    <w:rsid w:val="003F0D80"/>
    <w:rsid w:val="003F145C"/>
    <w:rsid w:val="003F153F"/>
    <w:rsid w:val="003F1668"/>
    <w:rsid w:val="003F1CCA"/>
    <w:rsid w:val="003F24ED"/>
    <w:rsid w:val="003F304F"/>
    <w:rsid w:val="003F325C"/>
    <w:rsid w:val="003F34DE"/>
    <w:rsid w:val="003F37A7"/>
    <w:rsid w:val="003F3DD1"/>
    <w:rsid w:val="003F469B"/>
    <w:rsid w:val="003F4725"/>
    <w:rsid w:val="003F4A32"/>
    <w:rsid w:val="003F4B7E"/>
    <w:rsid w:val="003F599C"/>
    <w:rsid w:val="003F5C4B"/>
    <w:rsid w:val="003F6021"/>
    <w:rsid w:val="003F639A"/>
    <w:rsid w:val="003F6509"/>
    <w:rsid w:val="003F710F"/>
    <w:rsid w:val="003F759A"/>
    <w:rsid w:val="00400092"/>
    <w:rsid w:val="004001D3"/>
    <w:rsid w:val="00400CBF"/>
    <w:rsid w:val="00400DB5"/>
    <w:rsid w:val="00401370"/>
    <w:rsid w:val="0040186E"/>
    <w:rsid w:val="00402570"/>
    <w:rsid w:val="00402E5A"/>
    <w:rsid w:val="004037FE"/>
    <w:rsid w:val="0040421C"/>
    <w:rsid w:val="004048EF"/>
    <w:rsid w:val="004049E6"/>
    <w:rsid w:val="0040539B"/>
    <w:rsid w:val="004056B2"/>
    <w:rsid w:val="004059B4"/>
    <w:rsid w:val="00405BD3"/>
    <w:rsid w:val="004072E0"/>
    <w:rsid w:val="004073F5"/>
    <w:rsid w:val="00407F04"/>
    <w:rsid w:val="004101BE"/>
    <w:rsid w:val="004101ED"/>
    <w:rsid w:val="0041028C"/>
    <w:rsid w:val="004103E1"/>
    <w:rsid w:val="00410F05"/>
    <w:rsid w:val="00411A70"/>
    <w:rsid w:val="00412221"/>
    <w:rsid w:val="004125BA"/>
    <w:rsid w:val="004127EC"/>
    <w:rsid w:val="00412F77"/>
    <w:rsid w:val="00413E42"/>
    <w:rsid w:val="00414239"/>
    <w:rsid w:val="00414CE8"/>
    <w:rsid w:val="004156D6"/>
    <w:rsid w:val="00415EAB"/>
    <w:rsid w:val="00416041"/>
    <w:rsid w:val="00416598"/>
    <w:rsid w:val="00416BD4"/>
    <w:rsid w:val="004174C7"/>
    <w:rsid w:val="00417BFA"/>
    <w:rsid w:val="00417EA3"/>
    <w:rsid w:val="0042029F"/>
    <w:rsid w:val="00420E40"/>
    <w:rsid w:val="0042148C"/>
    <w:rsid w:val="0042210A"/>
    <w:rsid w:val="00422400"/>
    <w:rsid w:val="00422640"/>
    <w:rsid w:val="004228B1"/>
    <w:rsid w:val="00422900"/>
    <w:rsid w:val="004230B0"/>
    <w:rsid w:val="004238C2"/>
    <w:rsid w:val="004239BB"/>
    <w:rsid w:val="00423FA3"/>
    <w:rsid w:val="0042439B"/>
    <w:rsid w:val="004244E6"/>
    <w:rsid w:val="004246FA"/>
    <w:rsid w:val="004249DA"/>
    <w:rsid w:val="00425808"/>
    <w:rsid w:val="0042586E"/>
    <w:rsid w:val="00425BBD"/>
    <w:rsid w:val="00426BDA"/>
    <w:rsid w:val="00426FCE"/>
    <w:rsid w:val="00427084"/>
    <w:rsid w:val="0042754B"/>
    <w:rsid w:val="004277B9"/>
    <w:rsid w:val="0042781A"/>
    <w:rsid w:val="00427E75"/>
    <w:rsid w:val="00430361"/>
    <w:rsid w:val="004303B1"/>
    <w:rsid w:val="004305F6"/>
    <w:rsid w:val="00430DCD"/>
    <w:rsid w:val="00431AD1"/>
    <w:rsid w:val="00432FEC"/>
    <w:rsid w:val="00433032"/>
    <w:rsid w:val="004338F1"/>
    <w:rsid w:val="004345A0"/>
    <w:rsid w:val="0043531F"/>
    <w:rsid w:val="004356BD"/>
    <w:rsid w:val="00435BD0"/>
    <w:rsid w:val="00435D49"/>
    <w:rsid w:val="004361B5"/>
    <w:rsid w:val="00436287"/>
    <w:rsid w:val="00436712"/>
    <w:rsid w:val="004368EF"/>
    <w:rsid w:val="00436C7A"/>
    <w:rsid w:val="00437894"/>
    <w:rsid w:val="00437C0E"/>
    <w:rsid w:val="00437D87"/>
    <w:rsid w:val="00437E0A"/>
    <w:rsid w:val="0044021A"/>
    <w:rsid w:val="00440252"/>
    <w:rsid w:val="00440914"/>
    <w:rsid w:val="00440BBE"/>
    <w:rsid w:val="00440FF1"/>
    <w:rsid w:val="00441180"/>
    <w:rsid w:val="004411B0"/>
    <w:rsid w:val="00441249"/>
    <w:rsid w:val="00441288"/>
    <w:rsid w:val="00441BE3"/>
    <w:rsid w:val="00441BE6"/>
    <w:rsid w:val="00441D24"/>
    <w:rsid w:val="004425A7"/>
    <w:rsid w:val="00443346"/>
    <w:rsid w:val="00443818"/>
    <w:rsid w:val="00443E54"/>
    <w:rsid w:val="00443F25"/>
    <w:rsid w:val="004443E6"/>
    <w:rsid w:val="004445DD"/>
    <w:rsid w:val="0044486D"/>
    <w:rsid w:val="004453D9"/>
    <w:rsid w:val="00445733"/>
    <w:rsid w:val="00445A29"/>
    <w:rsid w:val="00446521"/>
    <w:rsid w:val="00446B5C"/>
    <w:rsid w:val="00446F74"/>
    <w:rsid w:val="004477C8"/>
    <w:rsid w:val="00447C90"/>
    <w:rsid w:val="00450F62"/>
    <w:rsid w:val="004512F1"/>
    <w:rsid w:val="0045144B"/>
    <w:rsid w:val="00451E44"/>
    <w:rsid w:val="00452C27"/>
    <w:rsid w:val="004530C8"/>
    <w:rsid w:val="00453360"/>
    <w:rsid w:val="00453894"/>
    <w:rsid w:val="00453909"/>
    <w:rsid w:val="004555A2"/>
    <w:rsid w:val="00456695"/>
    <w:rsid w:val="00456EE7"/>
    <w:rsid w:val="00457006"/>
    <w:rsid w:val="0045715C"/>
    <w:rsid w:val="004579E7"/>
    <w:rsid w:val="00461109"/>
    <w:rsid w:val="004612B5"/>
    <w:rsid w:val="00462225"/>
    <w:rsid w:val="004627E1"/>
    <w:rsid w:val="00462C1B"/>
    <w:rsid w:val="00462EEF"/>
    <w:rsid w:val="00463E61"/>
    <w:rsid w:val="00465948"/>
    <w:rsid w:val="00466A3A"/>
    <w:rsid w:val="00466FA1"/>
    <w:rsid w:val="0046704D"/>
    <w:rsid w:val="004671E5"/>
    <w:rsid w:val="0046737F"/>
    <w:rsid w:val="0046744B"/>
    <w:rsid w:val="00467C99"/>
    <w:rsid w:val="00467E0B"/>
    <w:rsid w:val="00467E70"/>
    <w:rsid w:val="00467FB9"/>
    <w:rsid w:val="00470876"/>
    <w:rsid w:val="00470A5D"/>
    <w:rsid w:val="00470D5C"/>
    <w:rsid w:val="004713F1"/>
    <w:rsid w:val="004717E5"/>
    <w:rsid w:val="00471835"/>
    <w:rsid w:val="00471863"/>
    <w:rsid w:val="00471F4C"/>
    <w:rsid w:val="00471F9B"/>
    <w:rsid w:val="00472105"/>
    <w:rsid w:val="004726ED"/>
    <w:rsid w:val="004727AD"/>
    <w:rsid w:val="004729EC"/>
    <w:rsid w:val="00472E1F"/>
    <w:rsid w:val="00472F41"/>
    <w:rsid w:val="004733BF"/>
    <w:rsid w:val="00474067"/>
    <w:rsid w:val="004744EF"/>
    <w:rsid w:val="00475123"/>
    <w:rsid w:val="00475350"/>
    <w:rsid w:val="004756EC"/>
    <w:rsid w:val="00475AAE"/>
    <w:rsid w:val="004765D4"/>
    <w:rsid w:val="00477504"/>
    <w:rsid w:val="00477FB6"/>
    <w:rsid w:val="0048055D"/>
    <w:rsid w:val="0048079D"/>
    <w:rsid w:val="004809D5"/>
    <w:rsid w:val="00480B20"/>
    <w:rsid w:val="00480C85"/>
    <w:rsid w:val="004814E9"/>
    <w:rsid w:val="00481553"/>
    <w:rsid w:val="004827E1"/>
    <w:rsid w:val="004834F4"/>
    <w:rsid w:val="00483530"/>
    <w:rsid w:val="0048381E"/>
    <w:rsid w:val="00483D52"/>
    <w:rsid w:val="00483D80"/>
    <w:rsid w:val="00483E9A"/>
    <w:rsid w:val="004846B9"/>
    <w:rsid w:val="00484A39"/>
    <w:rsid w:val="00485423"/>
    <w:rsid w:val="004857B4"/>
    <w:rsid w:val="00485BDA"/>
    <w:rsid w:val="00485F56"/>
    <w:rsid w:val="004862C1"/>
    <w:rsid w:val="004862C5"/>
    <w:rsid w:val="0048636F"/>
    <w:rsid w:val="00486721"/>
    <w:rsid w:val="00486A50"/>
    <w:rsid w:val="00486BDB"/>
    <w:rsid w:val="00487159"/>
    <w:rsid w:val="004873AB"/>
    <w:rsid w:val="004873E8"/>
    <w:rsid w:val="00490655"/>
    <w:rsid w:val="00490E4D"/>
    <w:rsid w:val="00490FD2"/>
    <w:rsid w:val="00491307"/>
    <w:rsid w:val="0049160E"/>
    <w:rsid w:val="0049163F"/>
    <w:rsid w:val="00491A30"/>
    <w:rsid w:val="004924CD"/>
    <w:rsid w:val="00492918"/>
    <w:rsid w:val="00492E8F"/>
    <w:rsid w:val="004934C3"/>
    <w:rsid w:val="0049384F"/>
    <w:rsid w:val="00493B04"/>
    <w:rsid w:val="0049418E"/>
    <w:rsid w:val="0049477B"/>
    <w:rsid w:val="00494805"/>
    <w:rsid w:val="00494853"/>
    <w:rsid w:val="00494A21"/>
    <w:rsid w:val="00495189"/>
    <w:rsid w:val="00495209"/>
    <w:rsid w:val="00495509"/>
    <w:rsid w:val="00495529"/>
    <w:rsid w:val="00495D67"/>
    <w:rsid w:val="004960AE"/>
    <w:rsid w:val="0049619E"/>
    <w:rsid w:val="0049658C"/>
    <w:rsid w:val="00496644"/>
    <w:rsid w:val="00496665"/>
    <w:rsid w:val="00497C73"/>
    <w:rsid w:val="004A02E9"/>
    <w:rsid w:val="004A030F"/>
    <w:rsid w:val="004A0BCE"/>
    <w:rsid w:val="004A0DE1"/>
    <w:rsid w:val="004A1BC4"/>
    <w:rsid w:val="004A1D9D"/>
    <w:rsid w:val="004A2B4D"/>
    <w:rsid w:val="004A3CAD"/>
    <w:rsid w:val="004A4C9D"/>
    <w:rsid w:val="004A4D81"/>
    <w:rsid w:val="004A4E39"/>
    <w:rsid w:val="004A5295"/>
    <w:rsid w:val="004A568C"/>
    <w:rsid w:val="004A5F4A"/>
    <w:rsid w:val="004A64A4"/>
    <w:rsid w:val="004A64F2"/>
    <w:rsid w:val="004A69B4"/>
    <w:rsid w:val="004A6C9A"/>
    <w:rsid w:val="004A6E4F"/>
    <w:rsid w:val="004A6E78"/>
    <w:rsid w:val="004B00DB"/>
    <w:rsid w:val="004B010F"/>
    <w:rsid w:val="004B01C9"/>
    <w:rsid w:val="004B0C6C"/>
    <w:rsid w:val="004B1087"/>
    <w:rsid w:val="004B1B08"/>
    <w:rsid w:val="004B246A"/>
    <w:rsid w:val="004B26B0"/>
    <w:rsid w:val="004B293E"/>
    <w:rsid w:val="004B3E17"/>
    <w:rsid w:val="004B438B"/>
    <w:rsid w:val="004B439A"/>
    <w:rsid w:val="004B4748"/>
    <w:rsid w:val="004B4F43"/>
    <w:rsid w:val="004B5305"/>
    <w:rsid w:val="004B5A0A"/>
    <w:rsid w:val="004B5C08"/>
    <w:rsid w:val="004B5E6C"/>
    <w:rsid w:val="004B6277"/>
    <w:rsid w:val="004B69C6"/>
    <w:rsid w:val="004B7263"/>
    <w:rsid w:val="004B73D1"/>
    <w:rsid w:val="004C01FA"/>
    <w:rsid w:val="004C06FE"/>
    <w:rsid w:val="004C1B27"/>
    <w:rsid w:val="004C1E4A"/>
    <w:rsid w:val="004C2CAD"/>
    <w:rsid w:val="004C30E5"/>
    <w:rsid w:val="004C32E6"/>
    <w:rsid w:val="004C4091"/>
    <w:rsid w:val="004C42E9"/>
    <w:rsid w:val="004C4327"/>
    <w:rsid w:val="004C48FF"/>
    <w:rsid w:val="004C5849"/>
    <w:rsid w:val="004C5BBE"/>
    <w:rsid w:val="004C6253"/>
    <w:rsid w:val="004C63FA"/>
    <w:rsid w:val="004C6494"/>
    <w:rsid w:val="004C6675"/>
    <w:rsid w:val="004C6F0E"/>
    <w:rsid w:val="004D0509"/>
    <w:rsid w:val="004D0DD6"/>
    <w:rsid w:val="004D0E36"/>
    <w:rsid w:val="004D1469"/>
    <w:rsid w:val="004D1846"/>
    <w:rsid w:val="004D1BA3"/>
    <w:rsid w:val="004D2727"/>
    <w:rsid w:val="004D2813"/>
    <w:rsid w:val="004D3093"/>
    <w:rsid w:val="004D30C0"/>
    <w:rsid w:val="004D36A1"/>
    <w:rsid w:val="004D4648"/>
    <w:rsid w:val="004D4CF9"/>
    <w:rsid w:val="004D5337"/>
    <w:rsid w:val="004D5A1E"/>
    <w:rsid w:val="004D658B"/>
    <w:rsid w:val="004D7782"/>
    <w:rsid w:val="004D77BE"/>
    <w:rsid w:val="004D7AA6"/>
    <w:rsid w:val="004D7D9D"/>
    <w:rsid w:val="004E0694"/>
    <w:rsid w:val="004E07A2"/>
    <w:rsid w:val="004E1203"/>
    <w:rsid w:val="004E12C0"/>
    <w:rsid w:val="004E21C9"/>
    <w:rsid w:val="004E23C4"/>
    <w:rsid w:val="004E2461"/>
    <w:rsid w:val="004E3648"/>
    <w:rsid w:val="004E3A33"/>
    <w:rsid w:val="004E4E00"/>
    <w:rsid w:val="004E59E4"/>
    <w:rsid w:val="004E5C7D"/>
    <w:rsid w:val="004E5D0F"/>
    <w:rsid w:val="004E69DA"/>
    <w:rsid w:val="004E6FBB"/>
    <w:rsid w:val="004E7052"/>
    <w:rsid w:val="004E71BB"/>
    <w:rsid w:val="004E736C"/>
    <w:rsid w:val="004E7843"/>
    <w:rsid w:val="004E7C1D"/>
    <w:rsid w:val="004F0169"/>
    <w:rsid w:val="004F028A"/>
    <w:rsid w:val="004F058A"/>
    <w:rsid w:val="004F067A"/>
    <w:rsid w:val="004F0AE4"/>
    <w:rsid w:val="004F0B5E"/>
    <w:rsid w:val="004F0C1C"/>
    <w:rsid w:val="004F16A7"/>
    <w:rsid w:val="004F1960"/>
    <w:rsid w:val="004F1D43"/>
    <w:rsid w:val="004F240A"/>
    <w:rsid w:val="004F2751"/>
    <w:rsid w:val="004F2B30"/>
    <w:rsid w:val="004F311F"/>
    <w:rsid w:val="004F3F80"/>
    <w:rsid w:val="004F4149"/>
    <w:rsid w:val="004F4A36"/>
    <w:rsid w:val="004F5530"/>
    <w:rsid w:val="004F57DD"/>
    <w:rsid w:val="004F58FA"/>
    <w:rsid w:val="004F5FF5"/>
    <w:rsid w:val="004F659F"/>
    <w:rsid w:val="004F6718"/>
    <w:rsid w:val="004F6D0F"/>
    <w:rsid w:val="004F7208"/>
    <w:rsid w:val="004F7392"/>
    <w:rsid w:val="00500FFF"/>
    <w:rsid w:val="005011F6"/>
    <w:rsid w:val="005016DC"/>
    <w:rsid w:val="00501EE7"/>
    <w:rsid w:val="0050278B"/>
    <w:rsid w:val="005029C7"/>
    <w:rsid w:val="00502C04"/>
    <w:rsid w:val="0050347A"/>
    <w:rsid w:val="005037C7"/>
    <w:rsid w:val="00503B58"/>
    <w:rsid w:val="00503C43"/>
    <w:rsid w:val="0050401B"/>
    <w:rsid w:val="00504495"/>
    <w:rsid w:val="0050503D"/>
    <w:rsid w:val="0050521E"/>
    <w:rsid w:val="0050541F"/>
    <w:rsid w:val="005055C0"/>
    <w:rsid w:val="005058C5"/>
    <w:rsid w:val="0050617E"/>
    <w:rsid w:val="005061A4"/>
    <w:rsid w:val="005063DA"/>
    <w:rsid w:val="00506F60"/>
    <w:rsid w:val="0050712C"/>
    <w:rsid w:val="00507262"/>
    <w:rsid w:val="00507BBC"/>
    <w:rsid w:val="00510545"/>
    <w:rsid w:val="0051070C"/>
    <w:rsid w:val="00510B13"/>
    <w:rsid w:val="00510FF1"/>
    <w:rsid w:val="00511065"/>
    <w:rsid w:val="0051178B"/>
    <w:rsid w:val="00511E65"/>
    <w:rsid w:val="00511EAF"/>
    <w:rsid w:val="00512BA0"/>
    <w:rsid w:val="005130C6"/>
    <w:rsid w:val="005136D1"/>
    <w:rsid w:val="00513C20"/>
    <w:rsid w:val="00514779"/>
    <w:rsid w:val="00515079"/>
    <w:rsid w:val="0051525B"/>
    <w:rsid w:val="0051596E"/>
    <w:rsid w:val="00515DE7"/>
    <w:rsid w:val="00515E34"/>
    <w:rsid w:val="00516331"/>
    <w:rsid w:val="005163C8"/>
    <w:rsid w:val="0051646E"/>
    <w:rsid w:val="00516A29"/>
    <w:rsid w:val="00517DAD"/>
    <w:rsid w:val="0052046E"/>
    <w:rsid w:val="00520963"/>
    <w:rsid w:val="0052182C"/>
    <w:rsid w:val="00521AC5"/>
    <w:rsid w:val="00521EFB"/>
    <w:rsid w:val="00522ACC"/>
    <w:rsid w:val="00523807"/>
    <w:rsid w:val="0052386E"/>
    <w:rsid w:val="00523B9A"/>
    <w:rsid w:val="00524157"/>
    <w:rsid w:val="005242EC"/>
    <w:rsid w:val="005244B4"/>
    <w:rsid w:val="00524F0C"/>
    <w:rsid w:val="0052505C"/>
    <w:rsid w:val="0052631A"/>
    <w:rsid w:val="00526BDD"/>
    <w:rsid w:val="005276D1"/>
    <w:rsid w:val="00527CAC"/>
    <w:rsid w:val="00527D16"/>
    <w:rsid w:val="00527D5C"/>
    <w:rsid w:val="005302D0"/>
    <w:rsid w:val="005303F8"/>
    <w:rsid w:val="0053063C"/>
    <w:rsid w:val="00530C06"/>
    <w:rsid w:val="0053143C"/>
    <w:rsid w:val="00531B06"/>
    <w:rsid w:val="00531DD4"/>
    <w:rsid w:val="0053291F"/>
    <w:rsid w:val="00532E72"/>
    <w:rsid w:val="00532FD3"/>
    <w:rsid w:val="005337A0"/>
    <w:rsid w:val="00533DC6"/>
    <w:rsid w:val="005344B5"/>
    <w:rsid w:val="00535155"/>
    <w:rsid w:val="0053528B"/>
    <w:rsid w:val="00535970"/>
    <w:rsid w:val="00535AFE"/>
    <w:rsid w:val="00535E86"/>
    <w:rsid w:val="00535F94"/>
    <w:rsid w:val="00536293"/>
    <w:rsid w:val="0053633B"/>
    <w:rsid w:val="005367EB"/>
    <w:rsid w:val="0053724F"/>
    <w:rsid w:val="0053734C"/>
    <w:rsid w:val="00540486"/>
    <w:rsid w:val="00541193"/>
    <w:rsid w:val="00541BC7"/>
    <w:rsid w:val="00541FD3"/>
    <w:rsid w:val="00542873"/>
    <w:rsid w:val="00543029"/>
    <w:rsid w:val="005436B1"/>
    <w:rsid w:val="005438CF"/>
    <w:rsid w:val="00543E54"/>
    <w:rsid w:val="00544297"/>
    <w:rsid w:val="0054453C"/>
    <w:rsid w:val="00544B2F"/>
    <w:rsid w:val="00544C38"/>
    <w:rsid w:val="00544F0A"/>
    <w:rsid w:val="005450E8"/>
    <w:rsid w:val="0054583E"/>
    <w:rsid w:val="00545AF0"/>
    <w:rsid w:val="00545B27"/>
    <w:rsid w:val="00545BF0"/>
    <w:rsid w:val="00545D66"/>
    <w:rsid w:val="00547943"/>
    <w:rsid w:val="00547C9E"/>
    <w:rsid w:val="00547CBC"/>
    <w:rsid w:val="0055027A"/>
    <w:rsid w:val="00552085"/>
    <w:rsid w:val="005525F2"/>
    <w:rsid w:val="00552C0E"/>
    <w:rsid w:val="0055324F"/>
    <w:rsid w:val="005532EA"/>
    <w:rsid w:val="00553DAD"/>
    <w:rsid w:val="00554036"/>
    <w:rsid w:val="00554995"/>
    <w:rsid w:val="00554AA1"/>
    <w:rsid w:val="00554C5D"/>
    <w:rsid w:val="00555A20"/>
    <w:rsid w:val="005561B6"/>
    <w:rsid w:val="005562B6"/>
    <w:rsid w:val="005567F0"/>
    <w:rsid w:val="00557262"/>
    <w:rsid w:val="00557510"/>
    <w:rsid w:val="00560628"/>
    <w:rsid w:val="005607A2"/>
    <w:rsid w:val="005607D4"/>
    <w:rsid w:val="0056097C"/>
    <w:rsid w:val="00560C4B"/>
    <w:rsid w:val="00560EDE"/>
    <w:rsid w:val="00560F81"/>
    <w:rsid w:val="0056155E"/>
    <w:rsid w:val="0056191F"/>
    <w:rsid w:val="00562257"/>
    <w:rsid w:val="0056230E"/>
    <w:rsid w:val="00562514"/>
    <w:rsid w:val="005625D2"/>
    <w:rsid w:val="005628FA"/>
    <w:rsid w:val="00562D31"/>
    <w:rsid w:val="00562EC2"/>
    <w:rsid w:val="005633CE"/>
    <w:rsid w:val="00563B73"/>
    <w:rsid w:val="0056411E"/>
    <w:rsid w:val="00564CF1"/>
    <w:rsid w:val="00564F91"/>
    <w:rsid w:val="005650CF"/>
    <w:rsid w:val="005655C6"/>
    <w:rsid w:val="00566545"/>
    <w:rsid w:val="005666D0"/>
    <w:rsid w:val="005667C4"/>
    <w:rsid w:val="00566857"/>
    <w:rsid w:val="00567F3D"/>
    <w:rsid w:val="005709D4"/>
    <w:rsid w:val="00570B60"/>
    <w:rsid w:val="00570FCC"/>
    <w:rsid w:val="0057152F"/>
    <w:rsid w:val="00571820"/>
    <w:rsid w:val="0057197F"/>
    <w:rsid w:val="00571D78"/>
    <w:rsid w:val="0057296B"/>
    <w:rsid w:val="00572B6A"/>
    <w:rsid w:val="00573118"/>
    <w:rsid w:val="00573194"/>
    <w:rsid w:val="00573E3A"/>
    <w:rsid w:val="0057459B"/>
    <w:rsid w:val="00574903"/>
    <w:rsid w:val="0057512A"/>
    <w:rsid w:val="00575AD7"/>
    <w:rsid w:val="00575B34"/>
    <w:rsid w:val="00576656"/>
    <w:rsid w:val="00576D79"/>
    <w:rsid w:val="005772BE"/>
    <w:rsid w:val="005777F4"/>
    <w:rsid w:val="005778C7"/>
    <w:rsid w:val="00580050"/>
    <w:rsid w:val="00580144"/>
    <w:rsid w:val="005809B9"/>
    <w:rsid w:val="00580B43"/>
    <w:rsid w:val="00580C18"/>
    <w:rsid w:val="00580F9D"/>
    <w:rsid w:val="00581520"/>
    <w:rsid w:val="005818D2"/>
    <w:rsid w:val="005820C9"/>
    <w:rsid w:val="0058269F"/>
    <w:rsid w:val="005828D7"/>
    <w:rsid w:val="005829F9"/>
    <w:rsid w:val="0058324C"/>
    <w:rsid w:val="005834A9"/>
    <w:rsid w:val="005845B9"/>
    <w:rsid w:val="00585784"/>
    <w:rsid w:val="00585925"/>
    <w:rsid w:val="005860FF"/>
    <w:rsid w:val="00586773"/>
    <w:rsid w:val="00586C60"/>
    <w:rsid w:val="00587421"/>
    <w:rsid w:val="00587891"/>
    <w:rsid w:val="00587C64"/>
    <w:rsid w:val="00590501"/>
    <w:rsid w:val="005907B2"/>
    <w:rsid w:val="00591FF3"/>
    <w:rsid w:val="005920FC"/>
    <w:rsid w:val="00592C91"/>
    <w:rsid w:val="00593870"/>
    <w:rsid w:val="00594979"/>
    <w:rsid w:val="00594BE7"/>
    <w:rsid w:val="00594E35"/>
    <w:rsid w:val="005951BF"/>
    <w:rsid w:val="005954E1"/>
    <w:rsid w:val="0059566C"/>
    <w:rsid w:val="005956AC"/>
    <w:rsid w:val="00597018"/>
    <w:rsid w:val="00597029"/>
    <w:rsid w:val="00597C8A"/>
    <w:rsid w:val="005A0F9A"/>
    <w:rsid w:val="005A11FD"/>
    <w:rsid w:val="005A125B"/>
    <w:rsid w:val="005A2E44"/>
    <w:rsid w:val="005A3011"/>
    <w:rsid w:val="005A30D6"/>
    <w:rsid w:val="005A3663"/>
    <w:rsid w:val="005A3698"/>
    <w:rsid w:val="005A3B1E"/>
    <w:rsid w:val="005A3F34"/>
    <w:rsid w:val="005A4B66"/>
    <w:rsid w:val="005A544C"/>
    <w:rsid w:val="005A5B22"/>
    <w:rsid w:val="005A5DF2"/>
    <w:rsid w:val="005A681D"/>
    <w:rsid w:val="005A6B66"/>
    <w:rsid w:val="005A6DC7"/>
    <w:rsid w:val="005A7000"/>
    <w:rsid w:val="005A7265"/>
    <w:rsid w:val="005A7342"/>
    <w:rsid w:val="005A74F1"/>
    <w:rsid w:val="005A78B2"/>
    <w:rsid w:val="005A7F5D"/>
    <w:rsid w:val="005B0468"/>
    <w:rsid w:val="005B0903"/>
    <w:rsid w:val="005B0C8E"/>
    <w:rsid w:val="005B0E28"/>
    <w:rsid w:val="005B171B"/>
    <w:rsid w:val="005B1A4C"/>
    <w:rsid w:val="005B1E63"/>
    <w:rsid w:val="005B22B8"/>
    <w:rsid w:val="005B2678"/>
    <w:rsid w:val="005B273B"/>
    <w:rsid w:val="005B2A29"/>
    <w:rsid w:val="005B2CEB"/>
    <w:rsid w:val="005B37E2"/>
    <w:rsid w:val="005B399C"/>
    <w:rsid w:val="005B3AB4"/>
    <w:rsid w:val="005B4072"/>
    <w:rsid w:val="005B421F"/>
    <w:rsid w:val="005B4A9F"/>
    <w:rsid w:val="005B504F"/>
    <w:rsid w:val="005B51C3"/>
    <w:rsid w:val="005B5823"/>
    <w:rsid w:val="005B67C8"/>
    <w:rsid w:val="005B6D9A"/>
    <w:rsid w:val="005B73F8"/>
    <w:rsid w:val="005B7A10"/>
    <w:rsid w:val="005C074C"/>
    <w:rsid w:val="005C078D"/>
    <w:rsid w:val="005C0ED7"/>
    <w:rsid w:val="005C1031"/>
    <w:rsid w:val="005C1662"/>
    <w:rsid w:val="005C1BED"/>
    <w:rsid w:val="005C20A5"/>
    <w:rsid w:val="005C2D02"/>
    <w:rsid w:val="005C37D1"/>
    <w:rsid w:val="005C3928"/>
    <w:rsid w:val="005C3F4D"/>
    <w:rsid w:val="005C440E"/>
    <w:rsid w:val="005C45C7"/>
    <w:rsid w:val="005C4BF0"/>
    <w:rsid w:val="005C4D96"/>
    <w:rsid w:val="005C53AA"/>
    <w:rsid w:val="005C59C7"/>
    <w:rsid w:val="005C63AE"/>
    <w:rsid w:val="005C6A28"/>
    <w:rsid w:val="005C6B1B"/>
    <w:rsid w:val="005C6C44"/>
    <w:rsid w:val="005C6CA6"/>
    <w:rsid w:val="005C7149"/>
    <w:rsid w:val="005C73B4"/>
    <w:rsid w:val="005C775E"/>
    <w:rsid w:val="005C77D7"/>
    <w:rsid w:val="005C78F2"/>
    <w:rsid w:val="005C7A5F"/>
    <w:rsid w:val="005D0CBA"/>
    <w:rsid w:val="005D0E77"/>
    <w:rsid w:val="005D1005"/>
    <w:rsid w:val="005D22A6"/>
    <w:rsid w:val="005D2D71"/>
    <w:rsid w:val="005D351B"/>
    <w:rsid w:val="005D3852"/>
    <w:rsid w:val="005D3A64"/>
    <w:rsid w:val="005D3ABC"/>
    <w:rsid w:val="005D3E66"/>
    <w:rsid w:val="005D47E9"/>
    <w:rsid w:val="005D4D3F"/>
    <w:rsid w:val="005D4DF4"/>
    <w:rsid w:val="005D4E3D"/>
    <w:rsid w:val="005D4E68"/>
    <w:rsid w:val="005D50EF"/>
    <w:rsid w:val="005D511D"/>
    <w:rsid w:val="005D5190"/>
    <w:rsid w:val="005D597A"/>
    <w:rsid w:val="005D5B81"/>
    <w:rsid w:val="005D6E43"/>
    <w:rsid w:val="005D6FB0"/>
    <w:rsid w:val="005D780B"/>
    <w:rsid w:val="005E0C6E"/>
    <w:rsid w:val="005E112E"/>
    <w:rsid w:val="005E1203"/>
    <w:rsid w:val="005E1212"/>
    <w:rsid w:val="005E17DB"/>
    <w:rsid w:val="005E1E1C"/>
    <w:rsid w:val="005E27BD"/>
    <w:rsid w:val="005E2AD2"/>
    <w:rsid w:val="005E2D48"/>
    <w:rsid w:val="005E31CB"/>
    <w:rsid w:val="005E3356"/>
    <w:rsid w:val="005E369D"/>
    <w:rsid w:val="005E3B57"/>
    <w:rsid w:val="005E3BC4"/>
    <w:rsid w:val="005E3E1B"/>
    <w:rsid w:val="005E411A"/>
    <w:rsid w:val="005E46FA"/>
    <w:rsid w:val="005E51CC"/>
    <w:rsid w:val="005E52BB"/>
    <w:rsid w:val="005E6A8D"/>
    <w:rsid w:val="005E6D98"/>
    <w:rsid w:val="005E7342"/>
    <w:rsid w:val="005E775F"/>
    <w:rsid w:val="005E7944"/>
    <w:rsid w:val="005F0294"/>
    <w:rsid w:val="005F0B48"/>
    <w:rsid w:val="005F0BE5"/>
    <w:rsid w:val="005F1A0F"/>
    <w:rsid w:val="005F3251"/>
    <w:rsid w:val="005F3262"/>
    <w:rsid w:val="005F38E1"/>
    <w:rsid w:val="005F3A44"/>
    <w:rsid w:val="005F3B46"/>
    <w:rsid w:val="005F4931"/>
    <w:rsid w:val="005F5639"/>
    <w:rsid w:val="005F62CF"/>
    <w:rsid w:val="005F65F3"/>
    <w:rsid w:val="005F6C79"/>
    <w:rsid w:val="005F7042"/>
    <w:rsid w:val="005F7666"/>
    <w:rsid w:val="005F76E7"/>
    <w:rsid w:val="00600240"/>
    <w:rsid w:val="006005E0"/>
    <w:rsid w:val="006007BF"/>
    <w:rsid w:val="006008D5"/>
    <w:rsid w:val="0060101A"/>
    <w:rsid w:val="006015C8"/>
    <w:rsid w:val="006018CD"/>
    <w:rsid w:val="00601FD1"/>
    <w:rsid w:val="00602271"/>
    <w:rsid w:val="0060259C"/>
    <w:rsid w:val="00602A1C"/>
    <w:rsid w:val="00602B13"/>
    <w:rsid w:val="00602CE0"/>
    <w:rsid w:val="00602E65"/>
    <w:rsid w:val="006037EC"/>
    <w:rsid w:val="0060406B"/>
    <w:rsid w:val="006044FF"/>
    <w:rsid w:val="00604891"/>
    <w:rsid w:val="006050C8"/>
    <w:rsid w:val="00605961"/>
    <w:rsid w:val="00605BF8"/>
    <w:rsid w:val="00605CA7"/>
    <w:rsid w:val="00605E2E"/>
    <w:rsid w:val="00606F3B"/>
    <w:rsid w:val="00607352"/>
    <w:rsid w:val="0060772F"/>
    <w:rsid w:val="00607A78"/>
    <w:rsid w:val="00611055"/>
    <w:rsid w:val="006110E8"/>
    <w:rsid w:val="00611587"/>
    <w:rsid w:val="00611EE5"/>
    <w:rsid w:val="00612D83"/>
    <w:rsid w:val="006131A1"/>
    <w:rsid w:val="00613856"/>
    <w:rsid w:val="00613C9B"/>
    <w:rsid w:val="00614711"/>
    <w:rsid w:val="006149B4"/>
    <w:rsid w:val="00614DC3"/>
    <w:rsid w:val="006153A1"/>
    <w:rsid w:val="006177D6"/>
    <w:rsid w:val="00617E6D"/>
    <w:rsid w:val="00620B97"/>
    <w:rsid w:val="00620E94"/>
    <w:rsid w:val="0062226D"/>
    <w:rsid w:val="006222B5"/>
    <w:rsid w:val="006223A5"/>
    <w:rsid w:val="00622ADC"/>
    <w:rsid w:val="006236EB"/>
    <w:rsid w:val="00623981"/>
    <w:rsid w:val="00624A80"/>
    <w:rsid w:val="00624D0C"/>
    <w:rsid w:val="00624DF1"/>
    <w:rsid w:val="00624E24"/>
    <w:rsid w:val="00624E6B"/>
    <w:rsid w:val="00624F24"/>
    <w:rsid w:val="00626059"/>
    <w:rsid w:val="00626139"/>
    <w:rsid w:val="00626250"/>
    <w:rsid w:val="00626901"/>
    <w:rsid w:val="00627254"/>
    <w:rsid w:val="006273A3"/>
    <w:rsid w:val="00627AEE"/>
    <w:rsid w:val="00627EB6"/>
    <w:rsid w:val="0063028A"/>
    <w:rsid w:val="0063036E"/>
    <w:rsid w:val="0063077A"/>
    <w:rsid w:val="006308A6"/>
    <w:rsid w:val="006308F3"/>
    <w:rsid w:val="00630DB1"/>
    <w:rsid w:val="00631003"/>
    <w:rsid w:val="00631AB6"/>
    <w:rsid w:val="00631C77"/>
    <w:rsid w:val="00631EAF"/>
    <w:rsid w:val="0063245F"/>
    <w:rsid w:val="0063276C"/>
    <w:rsid w:val="00633453"/>
    <w:rsid w:val="0063348A"/>
    <w:rsid w:val="00633846"/>
    <w:rsid w:val="0063438F"/>
    <w:rsid w:val="00634475"/>
    <w:rsid w:val="006344F7"/>
    <w:rsid w:val="00634787"/>
    <w:rsid w:val="0063483D"/>
    <w:rsid w:val="006354FD"/>
    <w:rsid w:val="00635824"/>
    <w:rsid w:val="0063633B"/>
    <w:rsid w:val="00636362"/>
    <w:rsid w:val="0063697D"/>
    <w:rsid w:val="006378D3"/>
    <w:rsid w:val="006379AC"/>
    <w:rsid w:val="00637D07"/>
    <w:rsid w:val="00640414"/>
    <w:rsid w:val="00640624"/>
    <w:rsid w:val="006407B8"/>
    <w:rsid w:val="00640EC5"/>
    <w:rsid w:val="00641F4D"/>
    <w:rsid w:val="00642A57"/>
    <w:rsid w:val="00642BE1"/>
    <w:rsid w:val="00643ABF"/>
    <w:rsid w:val="006447F7"/>
    <w:rsid w:val="00644CFF"/>
    <w:rsid w:val="00644F85"/>
    <w:rsid w:val="006452A0"/>
    <w:rsid w:val="006458C7"/>
    <w:rsid w:val="006468E9"/>
    <w:rsid w:val="00647D6E"/>
    <w:rsid w:val="00650773"/>
    <w:rsid w:val="00651125"/>
    <w:rsid w:val="00651357"/>
    <w:rsid w:val="006515B9"/>
    <w:rsid w:val="00651FF3"/>
    <w:rsid w:val="006521DF"/>
    <w:rsid w:val="00652841"/>
    <w:rsid w:val="00652C26"/>
    <w:rsid w:val="006539B0"/>
    <w:rsid w:val="006539F6"/>
    <w:rsid w:val="00653BDB"/>
    <w:rsid w:val="00655049"/>
    <w:rsid w:val="0065586E"/>
    <w:rsid w:val="00655CB5"/>
    <w:rsid w:val="00655F97"/>
    <w:rsid w:val="00656507"/>
    <w:rsid w:val="00656D4D"/>
    <w:rsid w:val="00656EBA"/>
    <w:rsid w:val="006572A8"/>
    <w:rsid w:val="00657BFA"/>
    <w:rsid w:val="0066056F"/>
    <w:rsid w:val="006606AF"/>
    <w:rsid w:val="006608E6"/>
    <w:rsid w:val="00660F46"/>
    <w:rsid w:val="00660FF5"/>
    <w:rsid w:val="00661007"/>
    <w:rsid w:val="0066119C"/>
    <w:rsid w:val="0066154E"/>
    <w:rsid w:val="006615FA"/>
    <w:rsid w:val="0066181F"/>
    <w:rsid w:val="00661B0A"/>
    <w:rsid w:val="00662009"/>
    <w:rsid w:val="0066234B"/>
    <w:rsid w:val="00662AD9"/>
    <w:rsid w:val="0066322F"/>
    <w:rsid w:val="00663592"/>
    <w:rsid w:val="00663681"/>
    <w:rsid w:val="006637BC"/>
    <w:rsid w:val="006637F9"/>
    <w:rsid w:val="00663B0C"/>
    <w:rsid w:val="00664255"/>
    <w:rsid w:val="006657BF"/>
    <w:rsid w:val="00665C51"/>
    <w:rsid w:val="00665EBB"/>
    <w:rsid w:val="0066644A"/>
    <w:rsid w:val="00666701"/>
    <w:rsid w:val="0066677A"/>
    <w:rsid w:val="006667F4"/>
    <w:rsid w:val="00666E12"/>
    <w:rsid w:val="00667313"/>
    <w:rsid w:val="0066756E"/>
    <w:rsid w:val="00667BA6"/>
    <w:rsid w:val="00667C53"/>
    <w:rsid w:val="00667E3B"/>
    <w:rsid w:val="006701B2"/>
    <w:rsid w:val="00670A9F"/>
    <w:rsid w:val="00670EF7"/>
    <w:rsid w:val="006714D5"/>
    <w:rsid w:val="00671660"/>
    <w:rsid w:val="006721C9"/>
    <w:rsid w:val="00672F82"/>
    <w:rsid w:val="00673362"/>
    <w:rsid w:val="006739B4"/>
    <w:rsid w:val="00673B27"/>
    <w:rsid w:val="00673BEA"/>
    <w:rsid w:val="00674106"/>
    <w:rsid w:val="00675885"/>
    <w:rsid w:val="0067737A"/>
    <w:rsid w:val="00677ABD"/>
    <w:rsid w:val="006800A5"/>
    <w:rsid w:val="006800DA"/>
    <w:rsid w:val="006803C8"/>
    <w:rsid w:val="006808EC"/>
    <w:rsid w:val="00681110"/>
    <w:rsid w:val="00681BD5"/>
    <w:rsid w:val="00682512"/>
    <w:rsid w:val="00682783"/>
    <w:rsid w:val="00682A76"/>
    <w:rsid w:val="00683608"/>
    <w:rsid w:val="00683C76"/>
    <w:rsid w:val="00684EF5"/>
    <w:rsid w:val="00685176"/>
    <w:rsid w:val="00685223"/>
    <w:rsid w:val="00685404"/>
    <w:rsid w:val="00685AB1"/>
    <w:rsid w:val="00686A5C"/>
    <w:rsid w:val="00686F45"/>
    <w:rsid w:val="006874C4"/>
    <w:rsid w:val="006879BB"/>
    <w:rsid w:val="00687B31"/>
    <w:rsid w:val="00687B8A"/>
    <w:rsid w:val="00687D3F"/>
    <w:rsid w:val="00691109"/>
    <w:rsid w:val="00691142"/>
    <w:rsid w:val="00691470"/>
    <w:rsid w:val="00691953"/>
    <w:rsid w:val="006919AB"/>
    <w:rsid w:val="00691BE8"/>
    <w:rsid w:val="00691F15"/>
    <w:rsid w:val="0069208D"/>
    <w:rsid w:val="006924D1"/>
    <w:rsid w:val="00693DC0"/>
    <w:rsid w:val="00693F33"/>
    <w:rsid w:val="006949D8"/>
    <w:rsid w:val="006950B4"/>
    <w:rsid w:val="006954A6"/>
    <w:rsid w:val="00695DB5"/>
    <w:rsid w:val="00696344"/>
    <w:rsid w:val="006969F6"/>
    <w:rsid w:val="00697666"/>
    <w:rsid w:val="006A0028"/>
    <w:rsid w:val="006A008E"/>
    <w:rsid w:val="006A0ACB"/>
    <w:rsid w:val="006A0BA9"/>
    <w:rsid w:val="006A0C7C"/>
    <w:rsid w:val="006A122B"/>
    <w:rsid w:val="006A191D"/>
    <w:rsid w:val="006A204B"/>
    <w:rsid w:val="006A20FE"/>
    <w:rsid w:val="006A3790"/>
    <w:rsid w:val="006A37EC"/>
    <w:rsid w:val="006A3F93"/>
    <w:rsid w:val="006A4151"/>
    <w:rsid w:val="006A4158"/>
    <w:rsid w:val="006A4778"/>
    <w:rsid w:val="006A5541"/>
    <w:rsid w:val="006A56AE"/>
    <w:rsid w:val="006A5785"/>
    <w:rsid w:val="006A5FB5"/>
    <w:rsid w:val="006A61C2"/>
    <w:rsid w:val="006A725E"/>
    <w:rsid w:val="006A7272"/>
    <w:rsid w:val="006A73A3"/>
    <w:rsid w:val="006B06C0"/>
    <w:rsid w:val="006B0F4D"/>
    <w:rsid w:val="006B1189"/>
    <w:rsid w:val="006B1770"/>
    <w:rsid w:val="006B1DB6"/>
    <w:rsid w:val="006B1F3A"/>
    <w:rsid w:val="006B208E"/>
    <w:rsid w:val="006B2250"/>
    <w:rsid w:val="006B27EB"/>
    <w:rsid w:val="006B2F05"/>
    <w:rsid w:val="006B367B"/>
    <w:rsid w:val="006B3A8C"/>
    <w:rsid w:val="006B3AE7"/>
    <w:rsid w:val="006B3EED"/>
    <w:rsid w:val="006B4076"/>
    <w:rsid w:val="006B4312"/>
    <w:rsid w:val="006B4BF4"/>
    <w:rsid w:val="006B524E"/>
    <w:rsid w:val="006B52B8"/>
    <w:rsid w:val="006B5D75"/>
    <w:rsid w:val="006B6641"/>
    <w:rsid w:val="006B6996"/>
    <w:rsid w:val="006B6E5E"/>
    <w:rsid w:val="006B774E"/>
    <w:rsid w:val="006B7C2E"/>
    <w:rsid w:val="006B7F4A"/>
    <w:rsid w:val="006B7F54"/>
    <w:rsid w:val="006C000C"/>
    <w:rsid w:val="006C0050"/>
    <w:rsid w:val="006C0665"/>
    <w:rsid w:val="006C0B38"/>
    <w:rsid w:val="006C0DB4"/>
    <w:rsid w:val="006C13E1"/>
    <w:rsid w:val="006C18BA"/>
    <w:rsid w:val="006C21F5"/>
    <w:rsid w:val="006C3920"/>
    <w:rsid w:val="006C3A49"/>
    <w:rsid w:val="006C40BF"/>
    <w:rsid w:val="006C40FA"/>
    <w:rsid w:val="006C4A15"/>
    <w:rsid w:val="006C530F"/>
    <w:rsid w:val="006C5617"/>
    <w:rsid w:val="006C5D10"/>
    <w:rsid w:val="006C5DA8"/>
    <w:rsid w:val="006C61F5"/>
    <w:rsid w:val="006C65BC"/>
    <w:rsid w:val="006C6B45"/>
    <w:rsid w:val="006C770F"/>
    <w:rsid w:val="006C7C28"/>
    <w:rsid w:val="006D02E7"/>
    <w:rsid w:val="006D0751"/>
    <w:rsid w:val="006D0C25"/>
    <w:rsid w:val="006D1965"/>
    <w:rsid w:val="006D25E1"/>
    <w:rsid w:val="006D2A51"/>
    <w:rsid w:val="006D3E50"/>
    <w:rsid w:val="006D3E5A"/>
    <w:rsid w:val="006D4F30"/>
    <w:rsid w:val="006D5197"/>
    <w:rsid w:val="006D537E"/>
    <w:rsid w:val="006D717A"/>
    <w:rsid w:val="006E0913"/>
    <w:rsid w:val="006E0DA4"/>
    <w:rsid w:val="006E0E6D"/>
    <w:rsid w:val="006E0F5B"/>
    <w:rsid w:val="006E12DC"/>
    <w:rsid w:val="006E1579"/>
    <w:rsid w:val="006E1615"/>
    <w:rsid w:val="006E20D2"/>
    <w:rsid w:val="006E21E6"/>
    <w:rsid w:val="006E26A6"/>
    <w:rsid w:val="006E2D21"/>
    <w:rsid w:val="006E2F38"/>
    <w:rsid w:val="006E32FA"/>
    <w:rsid w:val="006E43B2"/>
    <w:rsid w:val="006E4827"/>
    <w:rsid w:val="006E4852"/>
    <w:rsid w:val="006E4933"/>
    <w:rsid w:val="006E5641"/>
    <w:rsid w:val="006E5E98"/>
    <w:rsid w:val="006E668F"/>
    <w:rsid w:val="006E77CE"/>
    <w:rsid w:val="006E7969"/>
    <w:rsid w:val="006E7BFD"/>
    <w:rsid w:val="006E7D85"/>
    <w:rsid w:val="006E7EA5"/>
    <w:rsid w:val="006E7EDD"/>
    <w:rsid w:val="006F002A"/>
    <w:rsid w:val="006F15B4"/>
    <w:rsid w:val="006F1913"/>
    <w:rsid w:val="006F1A74"/>
    <w:rsid w:val="006F25EF"/>
    <w:rsid w:val="006F2602"/>
    <w:rsid w:val="006F28AD"/>
    <w:rsid w:val="006F2BA4"/>
    <w:rsid w:val="006F2C1E"/>
    <w:rsid w:val="006F2D2B"/>
    <w:rsid w:val="006F3847"/>
    <w:rsid w:val="006F3D1F"/>
    <w:rsid w:val="006F4213"/>
    <w:rsid w:val="006F566E"/>
    <w:rsid w:val="006F5E92"/>
    <w:rsid w:val="006F6AB7"/>
    <w:rsid w:val="006F6AD5"/>
    <w:rsid w:val="006F7364"/>
    <w:rsid w:val="006F7D10"/>
    <w:rsid w:val="007002A3"/>
    <w:rsid w:val="00700541"/>
    <w:rsid w:val="007008B9"/>
    <w:rsid w:val="00700C84"/>
    <w:rsid w:val="00701886"/>
    <w:rsid w:val="00702ADF"/>
    <w:rsid w:val="00703353"/>
    <w:rsid w:val="00703569"/>
    <w:rsid w:val="0070356F"/>
    <w:rsid w:val="00703AD2"/>
    <w:rsid w:val="007044D1"/>
    <w:rsid w:val="007044E6"/>
    <w:rsid w:val="00704766"/>
    <w:rsid w:val="0070483F"/>
    <w:rsid w:val="00704E3E"/>
    <w:rsid w:val="00704E7D"/>
    <w:rsid w:val="00705144"/>
    <w:rsid w:val="007058DE"/>
    <w:rsid w:val="00705984"/>
    <w:rsid w:val="007060F1"/>
    <w:rsid w:val="0070641F"/>
    <w:rsid w:val="0070678D"/>
    <w:rsid w:val="00706873"/>
    <w:rsid w:val="007068B9"/>
    <w:rsid w:val="00706934"/>
    <w:rsid w:val="00706DA5"/>
    <w:rsid w:val="00707B4E"/>
    <w:rsid w:val="00707DE8"/>
    <w:rsid w:val="007107B2"/>
    <w:rsid w:val="00711127"/>
    <w:rsid w:val="00711353"/>
    <w:rsid w:val="0071157E"/>
    <w:rsid w:val="00712E45"/>
    <w:rsid w:val="0071316C"/>
    <w:rsid w:val="00713424"/>
    <w:rsid w:val="00713486"/>
    <w:rsid w:val="007137EA"/>
    <w:rsid w:val="00713A80"/>
    <w:rsid w:val="00713B02"/>
    <w:rsid w:val="0071412D"/>
    <w:rsid w:val="0071426B"/>
    <w:rsid w:val="00714749"/>
    <w:rsid w:val="00714937"/>
    <w:rsid w:val="007149CA"/>
    <w:rsid w:val="00714BEB"/>
    <w:rsid w:val="00715AA9"/>
    <w:rsid w:val="00715E9F"/>
    <w:rsid w:val="0071664B"/>
    <w:rsid w:val="00716743"/>
    <w:rsid w:val="00716CBF"/>
    <w:rsid w:val="00716CD7"/>
    <w:rsid w:val="00716E83"/>
    <w:rsid w:val="00717009"/>
    <w:rsid w:val="007174F7"/>
    <w:rsid w:val="00720475"/>
    <w:rsid w:val="00720E2C"/>
    <w:rsid w:val="007228A4"/>
    <w:rsid w:val="007228CE"/>
    <w:rsid w:val="00723701"/>
    <w:rsid w:val="00723B28"/>
    <w:rsid w:val="00724143"/>
    <w:rsid w:val="00724415"/>
    <w:rsid w:val="00724D3E"/>
    <w:rsid w:val="00725A21"/>
    <w:rsid w:val="00725BB6"/>
    <w:rsid w:val="00725E05"/>
    <w:rsid w:val="00725EA6"/>
    <w:rsid w:val="00725F03"/>
    <w:rsid w:val="00725FE3"/>
    <w:rsid w:val="007265CC"/>
    <w:rsid w:val="00727393"/>
    <w:rsid w:val="00727E26"/>
    <w:rsid w:val="007308E2"/>
    <w:rsid w:val="00730AD0"/>
    <w:rsid w:val="00730EA6"/>
    <w:rsid w:val="0073209D"/>
    <w:rsid w:val="0073220B"/>
    <w:rsid w:val="007326FC"/>
    <w:rsid w:val="00733BF7"/>
    <w:rsid w:val="00734424"/>
    <w:rsid w:val="00734F6A"/>
    <w:rsid w:val="00735616"/>
    <w:rsid w:val="00735D23"/>
    <w:rsid w:val="00736079"/>
    <w:rsid w:val="0073610F"/>
    <w:rsid w:val="00736B64"/>
    <w:rsid w:val="0073739E"/>
    <w:rsid w:val="0073741B"/>
    <w:rsid w:val="00737449"/>
    <w:rsid w:val="007374E2"/>
    <w:rsid w:val="00737583"/>
    <w:rsid w:val="00737D27"/>
    <w:rsid w:val="0074020E"/>
    <w:rsid w:val="00740706"/>
    <w:rsid w:val="007410A6"/>
    <w:rsid w:val="00741814"/>
    <w:rsid w:val="00741E69"/>
    <w:rsid w:val="007423C9"/>
    <w:rsid w:val="0074254D"/>
    <w:rsid w:val="00743F57"/>
    <w:rsid w:val="00744D28"/>
    <w:rsid w:val="00744D61"/>
    <w:rsid w:val="00744FAB"/>
    <w:rsid w:val="00745247"/>
    <w:rsid w:val="00745447"/>
    <w:rsid w:val="0074570B"/>
    <w:rsid w:val="007457EC"/>
    <w:rsid w:val="00745801"/>
    <w:rsid w:val="00746012"/>
    <w:rsid w:val="00746490"/>
    <w:rsid w:val="007469A3"/>
    <w:rsid w:val="00746DFF"/>
    <w:rsid w:val="0074737A"/>
    <w:rsid w:val="007475C7"/>
    <w:rsid w:val="007502A0"/>
    <w:rsid w:val="0075043F"/>
    <w:rsid w:val="00750751"/>
    <w:rsid w:val="00751651"/>
    <w:rsid w:val="00751D9E"/>
    <w:rsid w:val="0075213F"/>
    <w:rsid w:val="00753473"/>
    <w:rsid w:val="007545F6"/>
    <w:rsid w:val="0075504A"/>
    <w:rsid w:val="007554E5"/>
    <w:rsid w:val="007562FE"/>
    <w:rsid w:val="007564F5"/>
    <w:rsid w:val="00756A20"/>
    <w:rsid w:val="0075766F"/>
    <w:rsid w:val="007578DD"/>
    <w:rsid w:val="00757A07"/>
    <w:rsid w:val="00757BBA"/>
    <w:rsid w:val="00760158"/>
    <w:rsid w:val="00760471"/>
    <w:rsid w:val="00760B6B"/>
    <w:rsid w:val="00760DA7"/>
    <w:rsid w:val="007619B0"/>
    <w:rsid w:val="00761EA2"/>
    <w:rsid w:val="00761EC5"/>
    <w:rsid w:val="0076209E"/>
    <w:rsid w:val="007625B2"/>
    <w:rsid w:val="00762EEB"/>
    <w:rsid w:val="00762EFD"/>
    <w:rsid w:val="00763CE8"/>
    <w:rsid w:val="00763DC6"/>
    <w:rsid w:val="00763EC5"/>
    <w:rsid w:val="00764527"/>
    <w:rsid w:val="00764DA8"/>
    <w:rsid w:val="00764FEA"/>
    <w:rsid w:val="00765609"/>
    <w:rsid w:val="00765909"/>
    <w:rsid w:val="00765A3C"/>
    <w:rsid w:val="007660BB"/>
    <w:rsid w:val="007661F9"/>
    <w:rsid w:val="007663A4"/>
    <w:rsid w:val="0076646F"/>
    <w:rsid w:val="007664AD"/>
    <w:rsid w:val="00766C28"/>
    <w:rsid w:val="00766DEE"/>
    <w:rsid w:val="00767562"/>
    <w:rsid w:val="00767846"/>
    <w:rsid w:val="007711B9"/>
    <w:rsid w:val="007711E9"/>
    <w:rsid w:val="00771BBF"/>
    <w:rsid w:val="007720C6"/>
    <w:rsid w:val="007721CC"/>
    <w:rsid w:val="0077359D"/>
    <w:rsid w:val="007736CE"/>
    <w:rsid w:val="007745D1"/>
    <w:rsid w:val="00774615"/>
    <w:rsid w:val="00774D43"/>
    <w:rsid w:val="007751F4"/>
    <w:rsid w:val="0077567E"/>
    <w:rsid w:val="00775889"/>
    <w:rsid w:val="00775B0B"/>
    <w:rsid w:val="00775D7F"/>
    <w:rsid w:val="00775E02"/>
    <w:rsid w:val="007768CF"/>
    <w:rsid w:val="0077706C"/>
    <w:rsid w:val="00777174"/>
    <w:rsid w:val="00777BF3"/>
    <w:rsid w:val="00777FAE"/>
    <w:rsid w:val="00780252"/>
    <w:rsid w:val="00780E6D"/>
    <w:rsid w:val="00781209"/>
    <w:rsid w:val="00781A5E"/>
    <w:rsid w:val="00781C1A"/>
    <w:rsid w:val="007829B8"/>
    <w:rsid w:val="007830CD"/>
    <w:rsid w:val="007830D2"/>
    <w:rsid w:val="00783601"/>
    <w:rsid w:val="00783BAC"/>
    <w:rsid w:val="0078400D"/>
    <w:rsid w:val="0078579C"/>
    <w:rsid w:val="00785963"/>
    <w:rsid w:val="00785C22"/>
    <w:rsid w:val="00786011"/>
    <w:rsid w:val="00786089"/>
    <w:rsid w:val="0078692F"/>
    <w:rsid w:val="00786BC8"/>
    <w:rsid w:val="00786E15"/>
    <w:rsid w:val="0078711D"/>
    <w:rsid w:val="00787D23"/>
    <w:rsid w:val="007903FD"/>
    <w:rsid w:val="00790ACD"/>
    <w:rsid w:val="00790FF0"/>
    <w:rsid w:val="0079154A"/>
    <w:rsid w:val="00791B90"/>
    <w:rsid w:val="00793152"/>
    <w:rsid w:val="00793C83"/>
    <w:rsid w:val="00794445"/>
    <w:rsid w:val="007945F1"/>
    <w:rsid w:val="00795099"/>
    <w:rsid w:val="007951DB"/>
    <w:rsid w:val="00795F48"/>
    <w:rsid w:val="007960B0"/>
    <w:rsid w:val="00797668"/>
    <w:rsid w:val="007A15A7"/>
    <w:rsid w:val="007A1FEE"/>
    <w:rsid w:val="007A261E"/>
    <w:rsid w:val="007A293D"/>
    <w:rsid w:val="007A2C0C"/>
    <w:rsid w:val="007A3114"/>
    <w:rsid w:val="007A323A"/>
    <w:rsid w:val="007A42F5"/>
    <w:rsid w:val="007A4D1D"/>
    <w:rsid w:val="007A5433"/>
    <w:rsid w:val="007A5D18"/>
    <w:rsid w:val="007A6443"/>
    <w:rsid w:val="007A7DAF"/>
    <w:rsid w:val="007B0575"/>
    <w:rsid w:val="007B0914"/>
    <w:rsid w:val="007B0A26"/>
    <w:rsid w:val="007B0DF3"/>
    <w:rsid w:val="007B185E"/>
    <w:rsid w:val="007B2B01"/>
    <w:rsid w:val="007B2E7D"/>
    <w:rsid w:val="007B3387"/>
    <w:rsid w:val="007B3736"/>
    <w:rsid w:val="007B37F1"/>
    <w:rsid w:val="007B4605"/>
    <w:rsid w:val="007B463B"/>
    <w:rsid w:val="007B4BFA"/>
    <w:rsid w:val="007B4C87"/>
    <w:rsid w:val="007B4FF9"/>
    <w:rsid w:val="007B534F"/>
    <w:rsid w:val="007B5686"/>
    <w:rsid w:val="007B5D5F"/>
    <w:rsid w:val="007B600D"/>
    <w:rsid w:val="007B60D6"/>
    <w:rsid w:val="007B711E"/>
    <w:rsid w:val="007B716F"/>
    <w:rsid w:val="007B7F95"/>
    <w:rsid w:val="007C02BC"/>
    <w:rsid w:val="007C0600"/>
    <w:rsid w:val="007C16CE"/>
    <w:rsid w:val="007C185A"/>
    <w:rsid w:val="007C19B3"/>
    <w:rsid w:val="007C1FC6"/>
    <w:rsid w:val="007C20ED"/>
    <w:rsid w:val="007C21BA"/>
    <w:rsid w:val="007C2880"/>
    <w:rsid w:val="007C2DEA"/>
    <w:rsid w:val="007C375C"/>
    <w:rsid w:val="007C420B"/>
    <w:rsid w:val="007C44EC"/>
    <w:rsid w:val="007C4DF2"/>
    <w:rsid w:val="007C5167"/>
    <w:rsid w:val="007C549A"/>
    <w:rsid w:val="007C569E"/>
    <w:rsid w:val="007C5868"/>
    <w:rsid w:val="007C5B6F"/>
    <w:rsid w:val="007C5B70"/>
    <w:rsid w:val="007C5D3C"/>
    <w:rsid w:val="007C6286"/>
    <w:rsid w:val="007C66D6"/>
    <w:rsid w:val="007C67EB"/>
    <w:rsid w:val="007C6E89"/>
    <w:rsid w:val="007C6EBB"/>
    <w:rsid w:val="007C7124"/>
    <w:rsid w:val="007C7330"/>
    <w:rsid w:val="007C7ABE"/>
    <w:rsid w:val="007C7C48"/>
    <w:rsid w:val="007C7C9E"/>
    <w:rsid w:val="007C7F9A"/>
    <w:rsid w:val="007D05A9"/>
    <w:rsid w:val="007D0B2E"/>
    <w:rsid w:val="007D0E84"/>
    <w:rsid w:val="007D13B5"/>
    <w:rsid w:val="007D17CA"/>
    <w:rsid w:val="007D1DB2"/>
    <w:rsid w:val="007D224C"/>
    <w:rsid w:val="007D2D29"/>
    <w:rsid w:val="007D2F4A"/>
    <w:rsid w:val="007D3635"/>
    <w:rsid w:val="007D3818"/>
    <w:rsid w:val="007D3B85"/>
    <w:rsid w:val="007D3C45"/>
    <w:rsid w:val="007D3E06"/>
    <w:rsid w:val="007D3F0D"/>
    <w:rsid w:val="007D4166"/>
    <w:rsid w:val="007D4305"/>
    <w:rsid w:val="007D47D0"/>
    <w:rsid w:val="007D4A6E"/>
    <w:rsid w:val="007D4E83"/>
    <w:rsid w:val="007D6EE0"/>
    <w:rsid w:val="007E03BE"/>
    <w:rsid w:val="007E0954"/>
    <w:rsid w:val="007E0FFB"/>
    <w:rsid w:val="007E12E4"/>
    <w:rsid w:val="007E2514"/>
    <w:rsid w:val="007E25A6"/>
    <w:rsid w:val="007E2644"/>
    <w:rsid w:val="007E2B2D"/>
    <w:rsid w:val="007E2B7F"/>
    <w:rsid w:val="007E2F27"/>
    <w:rsid w:val="007E3DC8"/>
    <w:rsid w:val="007E465C"/>
    <w:rsid w:val="007E4B09"/>
    <w:rsid w:val="007E577C"/>
    <w:rsid w:val="007E5BE9"/>
    <w:rsid w:val="007E63C3"/>
    <w:rsid w:val="007E6567"/>
    <w:rsid w:val="007E67BB"/>
    <w:rsid w:val="007E69F8"/>
    <w:rsid w:val="007E6C12"/>
    <w:rsid w:val="007E6C5B"/>
    <w:rsid w:val="007E747D"/>
    <w:rsid w:val="007F033B"/>
    <w:rsid w:val="007F0985"/>
    <w:rsid w:val="007F1105"/>
    <w:rsid w:val="007F1279"/>
    <w:rsid w:val="007F2352"/>
    <w:rsid w:val="007F3196"/>
    <w:rsid w:val="007F372B"/>
    <w:rsid w:val="007F43F4"/>
    <w:rsid w:val="007F4FFC"/>
    <w:rsid w:val="007F5146"/>
    <w:rsid w:val="007F58C7"/>
    <w:rsid w:val="007F61B6"/>
    <w:rsid w:val="007F6988"/>
    <w:rsid w:val="007F6A76"/>
    <w:rsid w:val="007F6C0C"/>
    <w:rsid w:val="007F6CBA"/>
    <w:rsid w:val="007F7203"/>
    <w:rsid w:val="007F7371"/>
    <w:rsid w:val="007F785A"/>
    <w:rsid w:val="007F7928"/>
    <w:rsid w:val="007F799D"/>
    <w:rsid w:val="007F7CEC"/>
    <w:rsid w:val="0080010C"/>
    <w:rsid w:val="008002ED"/>
    <w:rsid w:val="008008BA"/>
    <w:rsid w:val="00800F9C"/>
    <w:rsid w:val="00801561"/>
    <w:rsid w:val="0080176E"/>
    <w:rsid w:val="00801A9E"/>
    <w:rsid w:val="00801C69"/>
    <w:rsid w:val="00802FC2"/>
    <w:rsid w:val="008030E3"/>
    <w:rsid w:val="00803501"/>
    <w:rsid w:val="00803540"/>
    <w:rsid w:val="008035AF"/>
    <w:rsid w:val="008045CB"/>
    <w:rsid w:val="008045E6"/>
    <w:rsid w:val="0080463B"/>
    <w:rsid w:val="008046B0"/>
    <w:rsid w:val="00804C7E"/>
    <w:rsid w:val="00804DD8"/>
    <w:rsid w:val="0080519B"/>
    <w:rsid w:val="00806217"/>
    <w:rsid w:val="00806732"/>
    <w:rsid w:val="00806941"/>
    <w:rsid w:val="00806F26"/>
    <w:rsid w:val="00807859"/>
    <w:rsid w:val="00807C33"/>
    <w:rsid w:val="0081037C"/>
    <w:rsid w:val="00810BB6"/>
    <w:rsid w:val="00811478"/>
    <w:rsid w:val="00811B27"/>
    <w:rsid w:val="00811E04"/>
    <w:rsid w:val="00811E66"/>
    <w:rsid w:val="00811F07"/>
    <w:rsid w:val="00813670"/>
    <w:rsid w:val="0081374B"/>
    <w:rsid w:val="00813939"/>
    <w:rsid w:val="00813DFE"/>
    <w:rsid w:val="008145E6"/>
    <w:rsid w:val="008145EF"/>
    <w:rsid w:val="00814C1F"/>
    <w:rsid w:val="00815665"/>
    <w:rsid w:val="008157B1"/>
    <w:rsid w:val="00815908"/>
    <w:rsid w:val="00815F7A"/>
    <w:rsid w:val="00815FBF"/>
    <w:rsid w:val="0081631A"/>
    <w:rsid w:val="00816BE5"/>
    <w:rsid w:val="00816E27"/>
    <w:rsid w:val="00817B21"/>
    <w:rsid w:val="00817CEF"/>
    <w:rsid w:val="00820A97"/>
    <w:rsid w:val="00821283"/>
    <w:rsid w:val="0082154F"/>
    <w:rsid w:val="00821563"/>
    <w:rsid w:val="00821F03"/>
    <w:rsid w:val="00822845"/>
    <w:rsid w:val="00822F20"/>
    <w:rsid w:val="008231EC"/>
    <w:rsid w:val="00823296"/>
    <w:rsid w:val="00823337"/>
    <w:rsid w:val="00823D02"/>
    <w:rsid w:val="00824E1C"/>
    <w:rsid w:val="00825962"/>
    <w:rsid w:val="008259B7"/>
    <w:rsid w:val="008260C5"/>
    <w:rsid w:val="0082662C"/>
    <w:rsid w:val="008276B4"/>
    <w:rsid w:val="0083076E"/>
    <w:rsid w:val="00830D61"/>
    <w:rsid w:val="00830DBE"/>
    <w:rsid w:val="00831335"/>
    <w:rsid w:val="00831440"/>
    <w:rsid w:val="00831698"/>
    <w:rsid w:val="00832E30"/>
    <w:rsid w:val="00832F9F"/>
    <w:rsid w:val="00833622"/>
    <w:rsid w:val="00833C28"/>
    <w:rsid w:val="00833D23"/>
    <w:rsid w:val="00834911"/>
    <w:rsid w:val="00834A4F"/>
    <w:rsid w:val="008351BD"/>
    <w:rsid w:val="0083548C"/>
    <w:rsid w:val="008355DE"/>
    <w:rsid w:val="0083590D"/>
    <w:rsid w:val="00835C0E"/>
    <w:rsid w:val="0083695D"/>
    <w:rsid w:val="00836E95"/>
    <w:rsid w:val="00837F17"/>
    <w:rsid w:val="008402CF"/>
    <w:rsid w:val="0084063B"/>
    <w:rsid w:val="008406FA"/>
    <w:rsid w:val="00840957"/>
    <w:rsid w:val="00840B72"/>
    <w:rsid w:val="00842614"/>
    <w:rsid w:val="0084381A"/>
    <w:rsid w:val="00843D98"/>
    <w:rsid w:val="008442B4"/>
    <w:rsid w:val="008449EA"/>
    <w:rsid w:val="00844D25"/>
    <w:rsid w:val="00845151"/>
    <w:rsid w:val="0084525A"/>
    <w:rsid w:val="00845C16"/>
    <w:rsid w:val="0084663A"/>
    <w:rsid w:val="008466F1"/>
    <w:rsid w:val="00846F01"/>
    <w:rsid w:val="00847BDB"/>
    <w:rsid w:val="00847BE4"/>
    <w:rsid w:val="00847FC6"/>
    <w:rsid w:val="00850034"/>
    <w:rsid w:val="008506E7"/>
    <w:rsid w:val="008508AB"/>
    <w:rsid w:val="00850977"/>
    <w:rsid w:val="008509DA"/>
    <w:rsid w:val="008512CC"/>
    <w:rsid w:val="008514F1"/>
    <w:rsid w:val="00851EFB"/>
    <w:rsid w:val="00852816"/>
    <w:rsid w:val="008528D4"/>
    <w:rsid w:val="00852A49"/>
    <w:rsid w:val="008530B4"/>
    <w:rsid w:val="008535B3"/>
    <w:rsid w:val="00853C19"/>
    <w:rsid w:val="00854B87"/>
    <w:rsid w:val="00855320"/>
    <w:rsid w:val="0085584C"/>
    <w:rsid w:val="00855881"/>
    <w:rsid w:val="00855A6C"/>
    <w:rsid w:val="008569A5"/>
    <w:rsid w:val="00856B8A"/>
    <w:rsid w:val="008574D5"/>
    <w:rsid w:val="00857607"/>
    <w:rsid w:val="00857B93"/>
    <w:rsid w:val="00860BD4"/>
    <w:rsid w:val="00860BE9"/>
    <w:rsid w:val="00860E63"/>
    <w:rsid w:val="00861B17"/>
    <w:rsid w:val="00861F2E"/>
    <w:rsid w:val="00862C1A"/>
    <w:rsid w:val="00862EBE"/>
    <w:rsid w:val="0086345E"/>
    <w:rsid w:val="00863B16"/>
    <w:rsid w:val="00863B8E"/>
    <w:rsid w:val="00863D7E"/>
    <w:rsid w:val="00863ED5"/>
    <w:rsid w:val="008641BE"/>
    <w:rsid w:val="008646EA"/>
    <w:rsid w:val="00864F18"/>
    <w:rsid w:val="008655FB"/>
    <w:rsid w:val="00865972"/>
    <w:rsid w:val="00866147"/>
    <w:rsid w:val="008661D2"/>
    <w:rsid w:val="0086626A"/>
    <w:rsid w:val="00866C4F"/>
    <w:rsid w:val="00866F8C"/>
    <w:rsid w:val="008674D1"/>
    <w:rsid w:val="00867A58"/>
    <w:rsid w:val="00867A6A"/>
    <w:rsid w:val="008703F7"/>
    <w:rsid w:val="0087088C"/>
    <w:rsid w:val="00870D7A"/>
    <w:rsid w:val="008713EB"/>
    <w:rsid w:val="00871949"/>
    <w:rsid w:val="00871E97"/>
    <w:rsid w:val="00872021"/>
    <w:rsid w:val="00872BAA"/>
    <w:rsid w:val="00872C5B"/>
    <w:rsid w:val="00872EFF"/>
    <w:rsid w:val="00873105"/>
    <w:rsid w:val="0087357C"/>
    <w:rsid w:val="0087376B"/>
    <w:rsid w:val="008737E7"/>
    <w:rsid w:val="00873E04"/>
    <w:rsid w:val="00873FCD"/>
    <w:rsid w:val="008745FC"/>
    <w:rsid w:val="00874915"/>
    <w:rsid w:val="00874BBB"/>
    <w:rsid w:val="00874C17"/>
    <w:rsid w:val="00875792"/>
    <w:rsid w:val="00876CFF"/>
    <w:rsid w:val="00877FF0"/>
    <w:rsid w:val="008804C2"/>
    <w:rsid w:val="0088088F"/>
    <w:rsid w:val="00880D7A"/>
    <w:rsid w:val="00881072"/>
    <w:rsid w:val="008814D0"/>
    <w:rsid w:val="00882092"/>
    <w:rsid w:val="00883127"/>
    <w:rsid w:val="00883266"/>
    <w:rsid w:val="00883697"/>
    <w:rsid w:val="00883ADE"/>
    <w:rsid w:val="00884530"/>
    <w:rsid w:val="008851AE"/>
    <w:rsid w:val="00885807"/>
    <w:rsid w:val="008860F8"/>
    <w:rsid w:val="008869BA"/>
    <w:rsid w:val="00886E03"/>
    <w:rsid w:val="00887045"/>
    <w:rsid w:val="0088716E"/>
    <w:rsid w:val="008871BC"/>
    <w:rsid w:val="008874B9"/>
    <w:rsid w:val="0089046A"/>
    <w:rsid w:val="0089100C"/>
    <w:rsid w:val="0089104B"/>
    <w:rsid w:val="00892847"/>
    <w:rsid w:val="00892D3B"/>
    <w:rsid w:val="00893751"/>
    <w:rsid w:val="0089375D"/>
    <w:rsid w:val="00893B29"/>
    <w:rsid w:val="00893C82"/>
    <w:rsid w:val="00894242"/>
    <w:rsid w:val="008946B8"/>
    <w:rsid w:val="00894C3A"/>
    <w:rsid w:val="00894D7F"/>
    <w:rsid w:val="00894E6B"/>
    <w:rsid w:val="0089542C"/>
    <w:rsid w:val="00895565"/>
    <w:rsid w:val="00895FFA"/>
    <w:rsid w:val="00896BEB"/>
    <w:rsid w:val="00896E5C"/>
    <w:rsid w:val="00896FD1"/>
    <w:rsid w:val="00897F38"/>
    <w:rsid w:val="008A031B"/>
    <w:rsid w:val="008A053B"/>
    <w:rsid w:val="008A0826"/>
    <w:rsid w:val="008A089C"/>
    <w:rsid w:val="008A0930"/>
    <w:rsid w:val="008A0DA5"/>
    <w:rsid w:val="008A1522"/>
    <w:rsid w:val="008A18EC"/>
    <w:rsid w:val="008A2243"/>
    <w:rsid w:val="008A22F2"/>
    <w:rsid w:val="008A2D82"/>
    <w:rsid w:val="008A39FB"/>
    <w:rsid w:val="008A3B2E"/>
    <w:rsid w:val="008A4C76"/>
    <w:rsid w:val="008A4FD2"/>
    <w:rsid w:val="008A56A9"/>
    <w:rsid w:val="008A5929"/>
    <w:rsid w:val="008A5E83"/>
    <w:rsid w:val="008A62CD"/>
    <w:rsid w:val="008A66B4"/>
    <w:rsid w:val="008A6730"/>
    <w:rsid w:val="008A6CD2"/>
    <w:rsid w:val="008A74CD"/>
    <w:rsid w:val="008A7573"/>
    <w:rsid w:val="008A7858"/>
    <w:rsid w:val="008A7F73"/>
    <w:rsid w:val="008B0594"/>
    <w:rsid w:val="008B0A2F"/>
    <w:rsid w:val="008B0F2E"/>
    <w:rsid w:val="008B12C2"/>
    <w:rsid w:val="008B1A94"/>
    <w:rsid w:val="008B2471"/>
    <w:rsid w:val="008B26B3"/>
    <w:rsid w:val="008B2C4D"/>
    <w:rsid w:val="008B2EA0"/>
    <w:rsid w:val="008B2FEC"/>
    <w:rsid w:val="008B4E1D"/>
    <w:rsid w:val="008B4E61"/>
    <w:rsid w:val="008B5777"/>
    <w:rsid w:val="008B5A2E"/>
    <w:rsid w:val="008B64A5"/>
    <w:rsid w:val="008B6860"/>
    <w:rsid w:val="008B6EB6"/>
    <w:rsid w:val="008B74EE"/>
    <w:rsid w:val="008B7E58"/>
    <w:rsid w:val="008B7FE6"/>
    <w:rsid w:val="008C0463"/>
    <w:rsid w:val="008C1649"/>
    <w:rsid w:val="008C186C"/>
    <w:rsid w:val="008C1C61"/>
    <w:rsid w:val="008C2545"/>
    <w:rsid w:val="008C2654"/>
    <w:rsid w:val="008C2BE6"/>
    <w:rsid w:val="008C31D3"/>
    <w:rsid w:val="008C4080"/>
    <w:rsid w:val="008C4811"/>
    <w:rsid w:val="008C4E44"/>
    <w:rsid w:val="008C5112"/>
    <w:rsid w:val="008C5116"/>
    <w:rsid w:val="008C511A"/>
    <w:rsid w:val="008C59DC"/>
    <w:rsid w:val="008C6A60"/>
    <w:rsid w:val="008D02B7"/>
    <w:rsid w:val="008D05D0"/>
    <w:rsid w:val="008D0769"/>
    <w:rsid w:val="008D0E1C"/>
    <w:rsid w:val="008D1272"/>
    <w:rsid w:val="008D15C3"/>
    <w:rsid w:val="008D1E44"/>
    <w:rsid w:val="008D21C5"/>
    <w:rsid w:val="008D23FD"/>
    <w:rsid w:val="008D2861"/>
    <w:rsid w:val="008D2C1C"/>
    <w:rsid w:val="008D2E2C"/>
    <w:rsid w:val="008D2FF3"/>
    <w:rsid w:val="008D3196"/>
    <w:rsid w:val="008D3309"/>
    <w:rsid w:val="008D373B"/>
    <w:rsid w:val="008D436A"/>
    <w:rsid w:val="008D46AE"/>
    <w:rsid w:val="008D5A61"/>
    <w:rsid w:val="008D69EC"/>
    <w:rsid w:val="008D6C4F"/>
    <w:rsid w:val="008D7136"/>
    <w:rsid w:val="008D738D"/>
    <w:rsid w:val="008D73EC"/>
    <w:rsid w:val="008D79DE"/>
    <w:rsid w:val="008E0B39"/>
    <w:rsid w:val="008E0DCD"/>
    <w:rsid w:val="008E1269"/>
    <w:rsid w:val="008E148C"/>
    <w:rsid w:val="008E162A"/>
    <w:rsid w:val="008E18EA"/>
    <w:rsid w:val="008E1919"/>
    <w:rsid w:val="008E1F9F"/>
    <w:rsid w:val="008E22FF"/>
    <w:rsid w:val="008E2E0C"/>
    <w:rsid w:val="008E322A"/>
    <w:rsid w:val="008E322D"/>
    <w:rsid w:val="008E37BB"/>
    <w:rsid w:val="008E3903"/>
    <w:rsid w:val="008E3CB0"/>
    <w:rsid w:val="008E41C6"/>
    <w:rsid w:val="008E4B3D"/>
    <w:rsid w:val="008E5173"/>
    <w:rsid w:val="008E5206"/>
    <w:rsid w:val="008E535E"/>
    <w:rsid w:val="008E5B93"/>
    <w:rsid w:val="008E5E5D"/>
    <w:rsid w:val="008E63DB"/>
    <w:rsid w:val="008E66B1"/>
    <w:rsid w:val="008E74BC"/>
    <w:rsid w:val="008E75B4"/>
    <w:rsid w:val="008E789C"/>
    <w:rsid w:val="008E7A3A"/>
    <w:rsid w:val="008E7EE4"/>
    <w:rsid w:val="008F0749"/>
    <w:rsid w:val="008F08E0"/>
    <w:rsid w:val="008F0C24"/>
    <w:rsid w:val="008F137E"/>
    <w:rsid w:val="008F1DE1"/>
    <w:rsid w:val="008F312D"/>
    <w:rsid w:val="008F400F"/>
    <w:rsid w:val="008F4284"/>
    <w:rsid w:val="008F4D3B"/>
    <w:rsid w:val="008F5507"/>
    <w:rsid w:val="008F567D"/>
    <w:rsid w:val="008F578D"/>
    <w:rsid w:val="008F5AA5"/>
    <w:rsid w:val="008F5FC0"/>
    <w:rsid w:val="008F6EE9"/>
    <w:rsid w:val="008F7167"/>
    <w:rsid w:val="008F7356"/>
    <w:rsid w:val="008F784F"/>
    <w:rsid w:val="00900B0C"/>
    <w:rsid w:val="00900D7A"/>
    <w:rsid w:val="00901287"/>
    <w:rsid w:val="00901BFE"/>
    <w:rsid w:val="00902082"/>
    <w:rsid w:val="0090219A"/>
    <w:rsid w:val="00902376"/>
    <w:rsid w:val="009038A0"/>
    <w:rsid w:val="00903A9B"/>
    <w:rsid w:val="00903AE1"/>
    <w:rsid w:val="00904052"/>
    <w:rsid w:val="009047F6"/>
    <w:rsid w:val="00904C81"/>
    <w:rsid w:val="00904E91"/>
    <w:rsid w:val="0090540C"/>
    <w:rsid w:val="009064B4"/>
    <w:rsid w:val="00907A66"/>
    <w:rsid w:val="009106FE"/>
    <w:rsid w:val="00912343"/>
    <w:rsid w:val="009123DA"/>
    <w:rsid w:val="009132A0"/>
    <w:rsid w:val="009138CD"/>
    <w:rsid w:val="0091396A"/>
    <w:rsid w:val="00913CF9"/>
    <w:rsid w:val="009148F6"/>
    <w:rsid w:val="00914A45"/>
    <w:rsid w:val="00914F36"/>
    <w:rsid w:val="00915366"/>
    <w:rsid w:val="00915895"/>
    <w:rsid w:val="009158F0"/>
    <w:rsid w:val="00916680"/>
    <w:rsid w:val="0091697E"/>
    <w:rsid w:val="009170F6"/>
    <w:rsid w:val="00917929"/>
    <w:rsid w:val="00920010"/>
    <w:rsid w:val="00920071"/>
    <w:rsid w:val="00920399"/>
    <w:rsid w:val="009204BF"/>
    <w:rsid w:val="00920554"/>
    <w:rsid w:val="00920990"/>
    <w:rsid w:val="00920BC4"/>
    <w:rsid w:val="00921198"/>
    <w:rsid w:val="0092144D"/>
    <w:rsid w:val="00922545"/>
    <w:rsid w:val="0092261A"/>
    <w:rsid w:val="00922F3D"/>
    <w:rsid w:val="009239A7"/>
    <w:rsid w:val="009241D4"/>
    <w:rsid w:val="009244D2"/>
    <w:rsid w:val="0092456F"/>
    <w:rsid w:val="0092462F"/>
    <w:rsid w:val="00924662"/>
    <w:rsid w:val="00925703"/>
    <w:rsid w:val="00925821"/>
    <w:rsid w:val="00925D08"/>
    <w:rsid w:val="0092620D"/>
    <w:rsid w:val="009263A2"/>
    <w:rsid w:val="0092658F"/>
    <w:rsid w:val="00926753"/>
    <w:rsid w:val="00926984"/>
    <w:rsid w:val="009270C4"/>
    <w:rsid w:val="00927A8D"/>
    <w:rsid w:val="00927C95"/>
    <w:rsid w:val="00927D90"/>
    <w:rsid w:val="0093035D"/>
    <w:rsid w:val="009308F2"/>
    <w:rsid w:val="00930C09"/>
    <w:rsid w:val="00930F41"/>
    <w:rsid w:val="00931142"/>
    <w:rsid w:val="00931EBE"/>
    <w:rsid w:val="00932706"/>
    <w:rsid w:val="0093292D"/>
    <w:rsid w:val="00932CC6"/>
    <w:rsid w:val="00933641"/>
    <w:rsid w:val="00934081"/>
    <w:rsid w:val="0093465B"/>
    <w:rsid w:val="0093478B"/>
    <w:rsid w:val="009353E4"/>
    <w:rsid w:val="009359F0"/>
    <w:rsid w:val="00935BF3"/>
    <w:rsid w:val="00936746"/>
    <w:rsid w:val="00936B91"/>
    <w:rsid w:val="00936D04"/>
    <w:rsid w:val="0093722A"/>
    <w:rsid w:val="00937F8B"/>
    <w:rsid w:val="00940A0C"/>
    <w:rsid w:val="00940DB4"/>
    <w:rsid w:val="00940F82"/>
    <w:rsid w:val="0094153A"/>
    <w:rsid w:val="00941C12"/>
    <w:rsid w:val="00942064"/>
    <w:rsid w:val="009424F0"/>
    <w:rsid w:val="009430A7"/>
    <w:rsid w:val="00943A68"/>
    <w:rsid w:val="0094460A"/>
    <w:rsid w:val="0094499C"/>
    <w:rsid w:val="00944B32"/>
    <w:rsid w:val="00945114"/>
    <w:rsid w:val="00950224"/>
    <w:rsid w:val="00950961"/>
    <w:rsid w:val="009514AA"/>
    <w:rsid w:val="009516AE"/>
    <w:rsid w:val="00951E5B"/>
    <w:rsid w:val="00951EBA"/>
    <w:rsid w:val="00951F57"/>
    <w:rsid w:val="00952C55"/>
    <w:rsid w:val="00952D46"/>
    <w:rsid w:val="00953205"/>
    <w:rsid w:val="00953262"/>
    <w:rsid w:val="00953CF1"/>
    <w:rsid w:val="00953E29"/>
    <w:rsid w:val="0095400E"/>
    <w:rsid w:val="009543F4"/>
    <w:rsid w:val="00954447"/>
    <w:rsid w:val="00954654"/>
    <w:rsid w:val="00954859"/>
    <w:rsid w:val="009555EC"/>
    <w:rsid w:val="00955612"/>
    <w:rsid w:val="00956864"/>
    <w:rsid w:val="00956B5A"/>
    <w:rsid w:val="00957459"/>
    <w:rsid w:val="00957533"/>
    <w:rsid w:val="00957C44"/>
    <w:rsid w:val="00957F64"/>
    <w:rsid w:val="0096038F"/>
    <w:rsid w:val="00960803"/>
    <w:rsid w:val="0096081F"/>
    <w:rsid w:val="00961203"/>
    <w:rsid w:val="0096158B"/>
    <w:rsid w:val="00963B23"/>
    <w:rsid w:val="00964642"/>
    <w:rsid w:val="00964E6D"/>
    <w:rsid w:val="009658F0"/>
    <w:rsid w:val="009659B1"/>
    <w:rsid w:val="00966068"/>
    <w:rsid w:val="009665CD"/>
    <w:rsid w:val="0096673C"/>
    <w:rsid w:val="00966B7E"/>
    <w:rsid w:val="00967166"/>
    <w:rsid w:val="0096719E"/>
    <w:rsid w:val="009673BD"/>
    <w:rsid w:val="00967714"/>
    <w:rsid w:val="00967761"/>
    <w:rsid w:val="00970C75"/>
    <w:rsid w:val="00970CFF"/>
    <w:rsid w:val="0097101D"/>
    <w:rsid w:val="0097103F"/>
    <w:rsid w:val="00971BC3"/>
    <w:rsid w:val="0097228E"/>
    <w:rsid w:val="00972865"/>
    <w:rsid w:val="00972EA5"/>
    <w:rsid w:val="0097369C"/>
    <w:rsid w:val="009736E8"/>
    <w:rsid w:val="0097464A"/>
    <w:rsid w:val="009748DB"/>
    <w:rsid w:val="00974BAC"/>
    <w:rsid w:val="0097554C"/>
    <w:rsid w:val="0097568D"/>
    <w:rsid w:val="009757F1"/>
    <w:rsid w:val="009759DB"/>
    <w:rsid w:val="00975BD0"/>
    <w:rsid w:val="00976041"/>
    <w:rsid w:val="0097639A"/>
    <w:rsid w:val="00976CC7"/>
    <w:rsid w:val="00977742"/>
    <w:rsid w:val="00977DEE"/>
    <w:rsid w:val="009806A3"/>
    <w:rsid w:val="009810AF"/>
    <w:rsid w:val="00981B37"/>
    <w:rsid w:val="00981EF5"/>
    <w:rsid w:val="00982038"/>
    <w:rsid w:val="0098341C"/>
    <w:rsid w:val="00983A54"/>
    <w:rsid w:val="00983D86"/>
    <w:rsid w:val="00983F52"/>
    <w:rsid w:val="0098449D"/>
    <w:rsid w:val="00984817"/>
    <w:rsid w:val="0098482E"/>
    <w:rsid w:val="00984EFC"/>
    <w:rsid w:val="0098626D"/>
    <w:rsid w:val="009867C5"/>
    <w:rsid w:val="00986CD5"/>
    <w:rsid w:val="00986D2F"/>
    <w:rsid w:val="009874B2"/>
    <w:rsid w:val="00987E96"/>
    <w:rsid w:val="009904AA"/>
    <w:rsid w:val="00990946"/>
    <w:rsid w:val="00990B1D"/>
    <w:rsid w:val="0099140C"/>
    <w:rsid w:val="00991C1C"/>
    <w:rsid w:val="00991C7E"/>
    <w:rsid w:val="00991E4D"/>
    <w:rsid w:val="00991F29"/>
    <w:rsid w:val="009920C5"/>
    <w:rsid w:val="0099237E"/>
    <w:rsid w:val="009925DB"/>
    <w:rsid w:val="0099422E"/>
    <w:rsid w:val="00994423"/>
    <w:rsid w:val="00994ABB"/>
    <w:rsid w:val="00994DAD"/>
    <w:rsid w:val="009952B9"/>
    <w:rsid w:val="00995D12"/>
    <w:rsid w:val="00996351"/>
    <w:rsid w:val="00996FA8"/>
    <w:rsid w:val="00996FEC"/>
    <w:rsid w:val="0099701A"/>
    <w:rsid w:val="0099710F"/>
    <w:rsid w:val="00997324"/>
    <w:rsid w:val="009979BD"/>
    <w:rsid w:val="009A003E"/>
    <w:rsid w:val="009A18C1"/>
    <w:rsid w:val="009A2909"/>
    <w:rsid w:val="009A2BB9"/>
    <w:rsid w:val="009A3F4B"/>
    <w:rsid w:val="009A4B82"/>
    <w:rsid w:val="009A4D13"/>
    <w:rsid w:val="009A4DA9"/>
    <w:rsid w:val="009A4E3E"/>
    <w:rsid w:val="009A4F6E"/>
    <w:rsid w:val="009A51B3"/>
    <w:rsid w:val="009A6977"/>
    <w:rsid w:val="009A6A42"/>
    <w:rsid w:val="009A7406"/>
    <w:rsid w:val="009A748B"/>
    <w:rsid w:val="009A77F7"/>
    <w:rsid w:val="009B0694"/>
    <w:rsid w:val="009B07FE"/>
    <w:rsid w:val="009B1CA0"/>
    <w:rsid w:val="009B1E63"/>
    <w:rsid w:val="009B1E74"/>
    <w:rsid w:val="009B2513"/>
    <w:rsid w:val="009B2798"/>
    <w:rsid w:val="009B2B76"/>
    <w:rsid w:val="009B3631"/>
    <w:rsid w:val="009B382B"/>
    <w:rsid w:val="009B3875"/>
    <w:rsid w:val="009B3CA0"/>
    <w:rsid w:val="009B44BE"/>
    <w:rsid w:val="009B4733"/>
    <w:rsid w:val="009B48B0"/>
    <w:rsid w:val="009B5404"/>
    <w:rsid w:val="009B5610"/>
    <w:rsid w:val="009B561A"/>
    <w:rsid w:val="009B5908"/>
    <w:rsid w:val="009B5AB3"/>
    <w:rsid w:val="009B640A"/>
    <w:rsid w:val="009B7698"/>
    <w:rsid w:val="009B7A24"/>
    <w:rsid w:val="009C0034"/>
    <w:rsid w:val="009C0867"/>
    <w:rsid w:val="009C0F1C"/>
    <w:rsid w:val="009C1C8A"/>
    <w:rsid w:val="009C1CFF"/>
    <w:rsid w:val="009C1D38"/>
    <w:rsid w:val="009C1D48"/>
    <w:rsid w:val="009C204D"/>
    <w:rsid w:val="009C2370"/>
    <w:rsid w:val="009C3382"/>
    <w:rsid w:val="009C36ED"/>
    <w:rsid w:val="009C38A8"/>
    <w:rsid w:val="009C3A83"/>
    <w:rsid w:val="009C47DF"/>
    <w:rsid w:val="009C4A2A"/>
    <w:rsid w:val="009C4B31"/>
    <w:rsid w:val="009C4B5F"/>
    <w:rsid w:val="009C4D58"/>
    <w:rsid w:val="009C4E09"/>
    <w:rsid w:val="009C5206"/>
    <w:rsid w:val="009C5385"/>
    <w:rsid w:val="009C55D9"/>
    <w:rsid w:val="009C57FB"/>
    <w:rsid w:val="009C6450"/>
    <w:rsid w:val="009D0043"/>
    <w:rsid w:val="009D1761"/>
    <w:rsid w:val="009D1BAD"/>
    <w:rsid w:val="009D1CDD"/>
    <w:rsid w:val="009D2038"/>
    <w:rsid w:val="009D2127"/>
    <w:rsid w:val="009D21C8"/>
    <w:rsid w:val="009D255A"/>
    <w:rsid w:val="009D2A2A"/>
    <w:rsid w:val="009D2AC5"/>
    <w:rsid w:val="009D3117"/>
    <w:rsid w:val="009D36D0"/>
    <w:rsid w:val="009D3BD9"/>
    <w:rsid w:val="009D3DBE"/>
    <w:rsid w:val="009D4770"/>
    <w:rsid w:val="009D49F2"/>
    <w:rsid w:val="009D505F"/>
    <w:rsid w:val="009D51A9"/>
    <w:rsid w:val="009D5BDC"/>
    <w:rsid w:val="009D5E19"/>
    <w:rsid w:val="009D603B"/>
    <w:rsid w:val="009D61A0"/>
    <w:rsid w:val="009D6BBA"/>
    <w:rsid w:val="009D6EF9"/>
    <w:rsid w:val="009D715C"/>
    <w:rsid w:val="009D7591"/>
    <w:rsid w:val="009D784B"/>
    <w:rsid w:val="009E00DC"/>
    <w:rsid w:val="009E13FC"/>
    <w:rsid w:val="009E151E"/>
    <w:rsid w:val="009E19D6"/>
    <w:rsid w:val="009E23F3"/>
    <w:rsid w:val="009E2E80"/>
    <w:rsid w:val="009E2FBE"/>
    <w:rsid w:val="009E3262"/>
    <w:rsid w:val="009E386A"/>
    <w:rsid w:val="009E398E"/>
    <w:rsid w:val="009E415A"/>
    <w:rsid w:val="009E47E6"/>
    <w:rsid w:val="009E49F1"/>
    <w:rsid w:val="009E4ABB"/>
    <w:rsid w:val="009E4C19"/>
    <w:rsid w:val="009E5013"/>
    <w:rsid w:val="009E63AE"/>
    <w:rsid w:val="009E683B"/>
    <w:rsid w:val="009E68B2"/>
    <w:rsid w:val="009E6909"/>
    <w:rsid w:val="009E6F18"/>
    <w:rsid w:val="009E74E1"/>
    <w:rsid w:val="009E78C4"/>
    <w:rsid w:val="009E79F6"/>
    <w:rsid w:val="009E7C7A"/>
    <w:rsid w:val="009E7D6B"/>
    <w:rsid w:val="009E7F3F"/>
    <w:rsid w:val="009F0196"/>
    <w:rsid w:val="009F0227"/>
    <w:rsid w:val="009F0453"/>
    <w:rsid w:val="009F098E"/>
    <w:rsid w:val="009F0B7C"/>
    <w:rsid w:val="009F0EB7"/>
    <w:rsid w:val="009F11C0"/>
    <w:rsid w:val="009F12A5"/>
    <w:rsid w:val="009F2A7D"/>
    <w:rsid w:val="009F2B8A"/>
    <w:rsid w:val="009F32D4"/>
    <w:rsid w:val="009F3B44"/>
    <w:rsid w:val="009F3C67"/>
    <w:rsid w:val="009F3F19"/>
    <w:rsid w:val="009F40B9"/>
    <w:rsid w:val="009F48A0"/>
    <w:rsid w:val="009F5252"/>
    <w:rsid w:val="009F5CE5"/>
    <w:rsid w:val="009F6680"/>
    <w:rsid w:val="009F6A3F"/>
    <w:rsid w:val="009F6D87"/>
    <w:rsid w:val="009F7570"/>
    <w:rsid w:val="009F7829"/>
    <w:rsid w:val="009F78E1"/>
    <w:rsid w:val="009F79E9"/>
    <w:rsid w:val="009F7A4F"/>
    <w:rsid w:val="00A01664"/>
    <w:rsid w:val="00A018FA"/>
    <w:rsid w:val="00A0247A"/>
    <w:rsid w:val="00A02A0E"/>
    <w:rsid w:val="00A02AEE"/>
    <w:rsid w:val="00A0354E"/>
    <w:rsid w:val="00A03681"/>
    <w:rsid w:val="00A03946"/>
    <w:rsid w:val="00A04D2D"/>
    <w:rsid w:val="00A04E54"/>
    <w:rsid w:val="00A05032"/>
    <w:rsid w:val="00A050C1"/>
    <w:rsid w:val="00A051A0"/>
    <w:rsid w:val="00A05652"/>
    <w:rsid w:val="00A0580C"/>
    <w:rsid w:val="00A05D58"/>
    <w:rsid w:val="00A063A1"/>
    <w:rsid w:val="00A06B6E"/>
    <w:rsid w:val="00A06C09"/>
    <w:rsid w:val="00A073D2"/>
    <w:rsid w:val="00A07EC3"/>
    <w:rsid w:val="00A10210"/>
    <w:rsid w:val="00A107E9"/>
    <w:rsid w:val="00A10B42"/>
    <w:rsid w:val="00A10D1B"/>
    <w:rsid w:val="00A10D85"/>
    <w:rsid w:val="00A10F6F"/>
    <w:rsid w:val="00A1101B"/>
    <w:rsid w:val="00A1104F"/>
    <w:rsid w:val="00A11282"/>
    <w:rsid w:val="00A1184F"/>
    <w:rsid w:val="00A11EAE"/>
    <w:rsid w:val="00A11ED6"/>
    <w:rsid w:val="00A1201E"/>
    <w:rsid w:val="00A1278E"/>
    <w:rsid w:val="00A12B8F"/>
    <w:rsid w:val="00A12C69"/>
    <w:rsid w:val="00A13661"/>
    <w:rsid w:val="00A13F41"/>
    <w:rsid w:val="00A145BA"/>
    <w:rsid w:val="00A14ECD"/>
    <w:rsid w:val="00A153F1"/>
    <w:rsid w:val="00A15A26"/>
    <w:rsid w:val="00A15B48"/>
    <w:rsid w:val="00A17863"/>
    <w:rsid w:val="00A17EAC"/>
    <w:rsid w:val="00A208D1"/>
    <w:rsid w:val="00A20DDF"/>
    <w:rsid w:val="00A214E0"/>
    <w:rsid w:val="00A21C0B"/>
    <w:rsid w:val="00A2274F"/>
    <w:rsid w:val="00A230F3"/>
    <w:rsid w:val="00A23596"/>
    <w:rsid w:val="00A235CC"/>
    <w:rsid w:val="00A23CFD"/>
    <w:rsid w:val="00A243F4"/>
    <w:rsid w:val="00A2478B"/>
    <w:rsid w:val="00A24A7A"/>
    <w:rsid w:val="00A256DB"/>
    <w:rsid w:val="00A2628C"/>
    <w:rsid w:val="00A26A25"/>
    <w:rsid w:val="00A306FD"/>
    <w:rsid w:val="00A312D6"/>
    <w:rsid w:val="00A317D9"/>
    <w:rsid w:val="00A318BD"/>
    <w:rsid w:val="00A318DA"/>
    <w:rsid w:val="00A31E71"/>
    <w:rsid w:val="00A32397"/>
    <w:rsid w:val="00A32467"/>
    <w:rsid w:val="00A32765"/>
    <w:rsid w:val="00A32BAB"/>
    <w:rsid w:val="00A32EEB"/>
    <w:rsid w:val="00A33221"/>
    <w:rsid w:val="00A33835"/>
    <w:rsid w:val="00A33EDF"/>
    <w:rsid w:val="00A33F23"/>
    <w:rsid w:val="00A33FE9"/>
    <w:rsid w:val="00A3460D"/>
    <w:rsid w:val="00A34885"/>
    <w:rsid w:val="00A35323"/>
    <w:rsid w:val="00A35406"/>
    <w:rsid w:val="00A35D49"/>
    <w:rsid w:val="00A36344"/>
    <w:rsid w:val="00A36919"/>
    <w:rsid w:val="00A36D29"/>
    <w:rsid w:val="00A36F18"/>
    <w:rsid w:val="00A37137"/>
    <w:rsid w:val="00A37DB5"/>
    <w:rsid w:val="00A37F73"/>
    <w:rsid w:val="00A40195"/>
    <w:rsid w:val="00A4058C"/>
    <w:rsid w:val="00A407EE"/>
    <w:rsid w:val="00A40989"/>
    <w:rsid w:val="00A4213E"/>
    <w:rsid w:val="00A42652"/>
    <w:rsid w:val="00A42744"/>
    <w:rsid w:val="00A42A3F"/>
    <w:rsid w:val="00A42CC5"/>
    <w:rsid w:val="00A431CA"/>
    <w:rsid w:val="00A4331D"/>
    <w:rsid w:val="00A434A4"/>
    <w:rsid w:val="00A4356E"/>
    <w:rsid w:val="00A43776"/>
    <w:rsid w:val="00A4424F"/>
    <w:rsid w:val="00A44989"/>
    <w:rsid w:val="00A449BA"/>
    <w:rsid w:val="00A44ED8"/>
    <w:rsid w:val="00A44EE3"/>
    <w:rsid w:val="00A45A26"/>
    <w:rsid w:val="00A46ADE"/>
    <w:rsid w:val="00A46B6C"/>
    <w:rsid w:val="00A4734E"/>
    <w:rsid w:val="00A500DF"/>
    <w:rsid w:val="00A516EB"/>
    <w:rsid w:val="00A51ED1"/>
    <w:rsid w:val="00A523F5"/>
    <w:rsid w:val="00A5283F"/>
    <w:rsid w:val="00A52E60"/>
    <w:rsid w:val="00A54031"/>
    <w:rsid w:val="00A548E8"/>
    <w:rsid w:val="00A54A0A"/>
    <w:rsid w:val="00A5555D"/>
    <w:rsid w:val="00A55B3D"/>
    <w:rsid w:val="00A576A8"/>
    <w:rsid w:val="00A57B0A"/>
    <w:rsid w:val="00A57D32"/>
    <w:rsid w:val="00A6009C"/>
    <w:rsid w:val="00A600FF"/>
    <w:rsid w:val="00A61209"/>
    <w:rsid w:val="00A618B7"/>
    <w:rsid w:val="00A61AA8"/>
    <w:rsid w:val="00A62181"/>
    <w:rsid w:val="00A63ACC"/>
    <w:rsid w:val="00A63BDA"/>
    <w:rsid w:val="00A64034"/>
    <w:rsid w:val="00A66AB0"/>
    <w:rsid w:val="00A66DC9"/>
    <w:rsid w:val="00A67077"/>
    <w:rsid w:val="00A670E6"/>
    <w:rsid w:val="00A671BC"/>
    <w:rsid w:val="00A67749"/>
    <w:rsid w:val="00A67AF4"/>
    <w:rsid w:val="00A70321"/>
    <w:rsid w:val="00A7058A"/>
    <w:rsid w:val="00A7154B"/>
    <w:rsid w:val="00A728EA"/>
    <w:rsid w:val="00A72C15"/>
    <w:rsid w:val="00A72CC1"/>
    <w:rsid w:val="00A72E25"/>
    <w:rsid w:val="00A73BE7"/>
    <w:rsid w:val="00A73D7B"/>
    <w:rsid w:val="00A73E92"/>
    <w:rsid w:val="00A74036"/>
    <w:rsid w:val="00A74F9E"/>
    <w:rsid w:val="00A751D0"/>
    <w:rsid w:val="00A754CF"/>
    <w:rsid w:val="00A76C4D"/>
    <w:rsid w:val="00A77A25"/>
    <w:rsid w:val="00A800B7"/>
    <w:rsid w:val="00A80370"/>
    <w:rsid w:val="00A8039C"/>
    <w:rsid w:val="00A8084B"/>
    <w:rsid w:val="00A80BE6"/>
    <w:rsid w:val="00A80CC1"/>
    <w:rsid w:val="00A815FF"/>
    <w:rsid w:val="00A81B52"/>
    <w:rsid w:val="00A81C9C"/>
    <w:rsid w:val="00A82D6C"/>
    <w:rsid w:val="00A838BF"/>
    <w:rsid w:val="00A83C9E"/>
    <w:rsid w:val="00A8438A"/>
    <w:rsid w:val="00A844D9"/>
    <w:rsid w:val="00A84AA5"/>
    <w:rsid w:val="00A850D3"/>
    <w:rsid w:val="00A8533A"/>
    <w:rsid w:val="00A8570E"/>
    <w:rsid w:val="00A8589F"/>
    <w:rsid w:val="00A85DA0"/>
    <w:rsid w:val="00A85E89"/>
    <w:rsid w:val="00A86506"/>
    <w:rsid w:val="00A876DA"/>
    <w:rsid w:val="00A90240"/>
    <w:rsid w:val="00A9034A"/>
    <w:rsid w:val="00A90528"/>
    <w:rsid w:val="00A90758"/>
    <w:rsid w:val="00A90FEC"/>
    <w:rsid w:val="00A9105F"/>
    <w:rsid w:val="00A912FC"/>
    <w:rsid w:val="00A918D6"/>
    <w:rsid w:val="00A9192F"/>
    <w:rsid w:val="00A923D1"/>
    <w:rsid w:val="00A925A6"/>
    <w:rsid w:val="00A92FDE"/>
    <w:rsid w:val="00A931FA"/>
    <w:rsid w:val="00A932E3"/>
    <w:rsid w:val="00A93EB0"/>
    <w:rsid w:val="00A94B90"/>
    <w:rsid w:val="00A94F35"/>
    <w:rsid w:val="00A959DB"/>
    <w:rsid w:val="00A95E2D"/>
    <w:rsid w:val="00A96426"/>
    <w:rsid w:val="00A9693F"/>
    <w:rsid w:val="00A973C9"/>
    <w:rsid w:val="00A97980"/>
    <w:rsid w:val="00AA089A"/>
    <w:rsid w:val="00AA1584"/>
    <w:rsid w:val="00AA1655"/>
    <w:rsid w:val="00AA17D7"/>
    <w:rsid w:val="00AA1A63"/>
    <w:rsid w:val="00AA20CF"/>
    <w:rsid w:val="00AA2C01"/>
    <w:rsid w:val="00AA2EC0"/>
    <w:rsid w:val="00AA2F5B"/>
    <w:rsid w:val="00AA2F6E"/>
    <w:rsid w:val="00AA3286"/>
    <w:rsid w:val="00AA4B4F"/>
    <w:rsid w:val="00AA4E44"/>
    <w:rsid w:val="00AA52E0"/>
    <w:rsid w:val="00AA59B5"/>
    <w:rsid w:val="00AA5E9D"/>
    <w:rsid w:val="00AA64DF"/>
    <w:rsid w:val="00AA655E"/>
    <w:rsid w:val="00AA68C2"/>
    <w:rsid w:val="00AB01BE"/>
    <w:rsid w:val="00AB0707"/>
    <w:rsid w:val="00AB0BBC"/>
    <w:rsid w:val="00AB0BDF"/>
    <w:rsid w:val="00AB0D43"/>
    <w:rsid w:val="00AB1475"/>
    <w:rsid w:val="00AB1658"/>
    <w:rsid w:val="00AB1B56"/>
    <w:rsid w:val="00AB2B7D"/>
    <w:rsid w:val="00AB310A"/>
    <w:rsid w:val="00AB3430"/>
    <w:rsid w:val="00AB3484"/>
    <w:rsid w:val="00AB3F4A"/>
    <w:rsid w:val="00AB4241"/>
    <w:rsid w:val="00AB4738"/>
    <w:rsid w:val="00AB4B52"/>
    <w:rsid w:val="00AB4F0A"/>
    <w:rsid w:val="00AB5266"/>
    <w:rsid w:val="00AB5499"/>
    <w:rsid w:val="00AB5E23"/>
    <w:rsid w:val="00AB6458"/>
    <w:rsid w:val="00AB6C65"/>
    <w:rsid w:val="00AB71A5"/>
    <w:rsid w:val="00AB7D79"/>
    <w:rsid w:val="00AC041B"/>
    <w:rsid w:val="00AC055D"/>
    <w:rsid w:val="00AC093D"/>
    <w:rsid w:val="00AC10CE"/>
    <w:rsid w:val="00AC115B"/>
    <w:rsid w:val="00AC2027"/>
    <w:rsid w:val="00AC23A3"/>
    <w:rsid w:val="00AC341F"/>
    <w:rsid w:val="00AC34E2"/>
    <w:rsid w:val="00AC36FF"/>
    <w:rsid w:val="00AC37D2"/>
    <w:rsid w:val="00AC39FC"/>
    <w:rsid w:val="00AC3E5A"/>
    <w:rsid w:val="00AC418D"/>
    <w:rsid w:val="00AC451F"/>
    <w:rsid w:val="00AC4550"/>
    <w:rsid w:val="00AC50C8"/>
    <w:rsid w:val="00AC59DE"/>
    <w:rsid w:val="00AC5A6C"/>
    <w:rsid w:val="00AC5FD4"/>
    <w:rsid w:val="00AC6489"/>
    <w:rsid w:val="00AC6E70"/>
    <w:rsid w:val="00AC732E"/>
    <w:rsid w:val="00AC7B35"/>
    <w:rsid w:val="00AD14D3"/>
    <w:rsid w:val="00AD1920"/>
    <w:rsid w:val="00AD1B5B"/>
    <w:rsid w:val="00AD2324"/>
    <w:rsid w:val="00AD2A6E"/>
    <w:rsid w:val="00AD31EC"/>
    <w:rsid w:val="00AD3FDC"/>
    <w:rsid w:val="00AD401B"/>
    <w:rsid w:val="00AD43F7"/>
    <w:rsid w:val="00AD5250"/>
    <w:rsid w:val="00AD536B"/>
    <w:rsid w:val="00AD540A"/>
    <w:rsid w:val="00AD55ED"/>
    <w:rsid w:val="00AD60A2"/>
    <w:rsid w:val="00AD6E49"/>
    <w:rsid w:val="00AD7CA6"/>
    <w:rsid w:val="00AE033C"/>
    <w:rsid w:val="00AE06A9"/>
    <w:rsid w:val="00AE0819"/>
    <w:rsid w:val="00AE0850"/>
    <w:rsid w:val="00AE0B47"/>
    <w:rsid w:val="00AE0D6C"/>
    <w:rsid w:val="00AE0F7D"/>
    <w:rsid w:val="00AE146D"/>
    <w:rsid w:val="00AE17AE"/>
    <w:rsid w:val="00AE1EA1"/>
    <w:rsid w:val="00AE2188"/>
    <w:rsid w:val="00AE2263"/>
    <w:rsid w:val="00AE28CB"/>
    <w:rsid w:val="00AE2958"/>
    <w:rsid w:val="00AE2B68"/>
    <w:rsid w:val="00AE3179"/>
    <w:rsid w:val="00AE3470"/>
    <w:rsid w:val="00AE3ACE"/>
    <w:rsid w:val="00AE3F91"/>
    <w:rsid w:val="00AE4813"/>
    <w:rsid w:val="00AE4A46"/>
    <w:rsid w:val="00AE561A"/>
    <w:rsid w:val="00AE569A"/>
    <w:rsid w:val="00AE5DFE"/>
    <w:rsid w:val="00AE5E85"/>
    <w:rsid w:val="00AE6046"/>
    <w:rsid w:val="00AE6A7B"/>
    <w:rsid w:val="00AE6C15"/>
    <w:rsid w:val="00AE6DDF"/>
    <w:rsid w:val="00AE700C"/>
    <w:rsid w:val="00AF0820"/>
    <w:rsid w:val="00AF0E78"/>
    <w:rsid w:val="00AF2C50"/>
    <w:rsid w:val="00AF2FE6"/>
    <w:rsid w:val="00AF307B"/>
    <w:rsid w:val="00AF3941"/>
    <w:rsid w:val="00AF40E5"/>
    <w:rsid w:val="00AF4103"/>
    <w:rsid w:val="00AF4553"/>
    <w:rsid w:val="00AF47DA"/>
    <w:rsid w:val="00AF4C0D"/>
    <w:rsid w:val="00AF4E76"/>
    <w:rsid w:val="00AF60E3"/>
    <w:rsid w:val="00AF72ED"/>
    <w:rsid w:val="00AF7526"/>
    <w:rsid w:val="00AF7654"/>
    <w:rsid w:val="00AF7E25"/>
    <w:rsid w:val="00AF7F80"/>
    <w:rsid w:val="00B008B7"/>
    <w:rsid w:val="00B00AAF"/>
    <w:rsid w:val="00B00DF6"/>
    <w:rsid w:val="00B00EE3"/>
    <w:rsid w:val="00B02D09"/>
    <w:rsid w:val="00B0354F"/>
    <w:rsid w:val="00B03732"/>
    <w:rsid w:val="00B049A9"/>
    <w:rsid w:val="00B0564A"/>
    <w:rsid w:val="00B065B9"/>
    <w:rsid w:val="00B06F20"/>
    <w:rsid w:val="00B0767C"/>
    <w:rsid w:val="00B07A1A"/>
    <w:rsid w:val="00B07AFB"/>
    <w:rsid w:val="00B07E2A"/>
    <w:rsid w:val="00B10B33"/>
    <w:rsid w:val="00B11069"/>
    <w:rsid w:val="00B11CF2"/>
    <w:rsid w:val="00B129F9"/>
    <w:rsid w:val="00B12A55"/>
    <w:rsid w:val="00B12C42"/>
    <w:rsid w:val="00B12D1A"/>
    <w:rsid w:val="00B13B34"/>
    <w:rsid w:val="00B13FEE"/>
    <w:rsid w:val="00B1465D"/>
    <w:rsid w:val="00B14673"/>
    <w:rsid w:val="00B14BC3"/>
    <w:rsid w:val="00B1551C"/>
    <w:rsid w:val="00B15942"/>
    <w:rsid w:val="00B15BE6"/>
    <w:rsid w:val="00B15D66"/>
    <w:rsid w:val="00B16589"/>
    <w:rsid w:val="00B16799"/>
    <w:rsid w:val="00B16EAE"/>
    <w:rsid w:val="00B173D8"/>
    <w:rsid w:val="00B17DAB"/>
    <w:rsid w:val="00B17EE8"/>
    <w:rsid w:val="00B17F44"/>
    <w:rsid w:val="00B17FD6"/>
    <w:rsid w:val="00B20397"/>
    <w:rsid w:val="00B207AA"/>
    <w:rsid w:val="00B21372"/>
    <w:rsid w:val="00B21AE6"/>
    <w:rsid w:val="00B21FCC"/>
    <w:rsid w:val="00B2205C"/>
    <w:rsid w:val="00B22121"/>
    <w:rsid w:val="00B2293E"/>
    <w:rsid w:val="00B23197"/>
    <w:rsid w:val="00B2354A"/>
    <w:rsid w:val="00B235B5"/>
    <w:rsid w:val="00B23AD3"/>
    <w:rsid w:val="00B23C06"/>
    <w:rsid w:val="00B243F8"/>
    <w:rsid w:val="00B25088"/>
    <w:rsid w:val="00B253D9"/>
    <w:rsid w:val="00B256C2"/>
    <w:rsid w:val="00B260AC"/>
    <w:rsid w:val="00B2619D"/>
    <w:rsid w:val="00B266D3"/>
    <w:rsid w:val="00B2681F"/>
    <w:rsid w:val="00B26C27"/>
    <w:rsid w:val="00B26D9D"/>
    <w:rsid w:val="00B27B8C"/>
    <w:rsid w:val="00B30056"/>
    <w:rsid w:val="00B30EED"/>
    <w:rsid w:val="00B311CE"/>
    <w:rsid w:val="00B314C0"/>
    <w:rsid w:val="00B31556"/>
    <w:rsid w:val="00B3192C"/>
    <w:rsid w:val="00B321F5"/>
    <w:rsid w:val="00B32A1E"/>
    <w:rsid w:val="00B32A7F"/>
    <w:rsid w:val="00B33516"/>
    <w:rsid w:val="00B3363F"/>
    <w:rsid w:val="00B33D2D"/>
    <w:rsid w:val="00B33E0D"/>
    <w:rsid w:val="00B34F00"/>
    <w:rsid w:val="00B35759"/>
    <w:rsid w:val="00B35E57"/>
    <w:rsid w:val="00B36877"/>
    <w:rsid w:val="00B36C59"/>
    <w:rsid w:val="00B37001"/>
    <w:rsid w:val="00B37355"/>
    <w:rsid w:val="00B373B9"/>
    <w:rsid w:val="00B3798B"/>
    <w:rsid w:val="00B404FF"/>
    <w:rsid w:val="00B40849"/>
    <w:rsid w:val="00B41083"/>
    <w:rsid w:val="00B4108C"/>
    <w:rsid w:val="00B411F4"/>
    <w:rsid w:val="00B4141C"/>
    <w:rsid w:val="00B41656"/>
    <w:rsid w:val="00B42031"/>
    <w:rsid w:val="00B42274"/>
    <w:rsid w:val="00B424C9"/>
    <w:rsid w:val="00B4298A"/>
    <w:rsid w:val="00B42A6B"/>
    <w:rsid w:val="00B42AFB"/>
    <w:rsid w:val="00B42E0F"/>
    <w:rsid w:val="00B4316B"/>
    <w:rsid w:val="00B431A6"/>
    <w:rsid w:val="00B43452"/>
    <w:rsid w:val="00B4384D"/>
    <w:rsid w:val="00B44C4B"/>
    <w:rsid w:val="00B458C1"/>
    <w:rsid w:val="00B45FC3"/>
    <w:rsid w:val="00B460D9"/>
    <w:rsid w:val="00B46776"/>
    <w:rsid w:val="00B46CD3"/>
    <w:rsid w:val="00B46E59"/>
    <w:rsid w:val="00B500CA"/>
    <w:rsid w:val="00B5073F"/>
    <w:rsid w:val="00B50D29"/>
    <w:rsid w:val="00B51B0D"/>
    <w:rsid w:val="00B52365"/>
    <w:rsid w:val="00B52B84"/>
    <w:rsid w:val="00B52C65"/>
    <w:rsid w:val="00B52D95"/>
    <w:rsid w:val="00B52F6B"/>
    <w:rsid w:val="00B53283"/>
    <w:rsid w:val="00B53A23"/>
    <w:rsid w:val="00B540BB"/>
    <w:rsid w:val="00B55094"/>
    <w:rsid w:val="00B550A7"/>
    <w:rsid w:val="00B55597"/>
    <w:rsid w:val="00B55624"/>
    <w:rsid w:val="00B55B5B"/>
    <w:rsid w:val="00B5692A"/>
    <w:rsid w:val="00B573B7"/>
    <w:rsid w:val="00B579DB"/>
    <w:rsid w:val="00B60262"/>
    <w:rsid w:val="00B60C47"/>
    <w:rsid w:val="00B60D40"/>
    <w:rsid w:val="00B610D1"/>
    <w:rsid w:val="00B61B67"/>
    <w:rsid w:val="00B61C27"/>
    <w:rsid w:val="00B61DF5"/>
    <w:rsid w:val="00B61F3A"/>
    <w:rsid w:val="00B6258C"/>
    <w:rsid w:val="00B62870"/>
    <w:rsid w:val="00B62CCE"/>
    <w:rsid w:val="00B63182"/>
    <w:rsid w:val="00B6379C"/>
    <w:rsid w:val="00B6416D"/>
    <w:rsid w:val="00B64D0C"/>
    <w:rsid w:val="00B64DFE"/>
    <w:rsid w:val="00B651DA"/>
    <w:rsid w:val="00B65217"/>
    <w:rsid w:val="00B6543E"/>
    <w:rsid w:val="00B65691"/>
    <w:rsid w:val="00B65755"/>
    <w:rsid w:val="00B65F8E"/>
    <w:rsid w:val="00B66376"/>
    <w:rsid w:val="00B66B9B"/>
    <w:rsid w:val="00B66BFF"/>
    <w:rsid w:val="00B66C4C"/>
    <w:rsid w:val="00B66CA8"/>
    <w:rsid w:val="00B67020"/>
    <w:rsid w:val="00B678CB"/>
    <w:rsid w:val="00B701C3"/>
    <w:rsid w:val="00B70581"/>
    <w:rsid w:val="00B7076A"/>
    <w:rsid w:val="00B71C1E"/>
    <w:rsid w:val="00B72166"/>
    <w:rsid w:val="00B7245C"/>
    <w:rsid w:val="00B727D1"/>
    <w:rsid w:val="00B72F53"/>
    <w:rsid w:val="00B7355D"/>
    <w:rsid w:val="00B73C77"/>
    <w:rsid w:val="00B744AC"/>
    <w:rsid w:val="00B74FF5"/>
    <w:rsid w:val="00B752DC"/>
    <w:rsid w:val="00B75472"/>
    <w:rsid w:val="00B76275"/>
    <w:rsid w:val="00B764B9"/>
    <w:rsid w:val="00B77116"/>
    <w:rsid w:val="00B77265"/>
    <w:rsid w:val="00B8023C"/>
    <w:rsid w:val="00B80BE8"/>
    <w:rsid w:val="00B81616"/>
    <w:rsid w:val="00B8203B"/>
    <w:rsid w:val="00B823AC"/>
    <w:rsid w:val="00B83934"/>
    <w:rsid w:val="00B83B8B"/>
    <w:rsid w:val="00B84087"/>
    <w:rsid w:val="00B84139"/>
    <w:rsid w:val="00B844BC"/>
    <w:rsid w:val="00B846B2"/>
    <w:rsid w:val="00B8496C"/>
    <w:rsid w:val="00B855F1"/>
    <w:rsid w:val="00B8575D"/>
    <w:rsid w:val="00B85F98"/>
    <w:rsid w:val="00B8603B"/>
    <w:rsid w:val="00B86A5E"/>
    <w:rsid w:val="00B86B45"/>
    <w:rsid w:val="00B87747"/>
    <w:rsid w:val="00B87AE9"/>
    <w:rsid w:val="00B87C3E"/>
    <w:rsid w:val="00B9091E"/>
    <w:rsid w:val="00B91553"/>
    <w:rsid w:val="00B9166D"/>
    <w:rsid w:val="00B91B61"/>
    <w:rsid w:val="00B91B99"/>
    <w:rsid w:val="00B91C2A"/>
    <w:rsid w:val="00B924E5"/>
    <w:rsid w:val="00B924F5"/>
    <w:rsid w:val="00B92ECD"/>
    <w:rsid w:val="00B92EED"/>
    <w:rsid w:val="00B937B1"/>
    <w:rsid w:val="00B943DF"/>
    <w:rsid w:val="00B94BE3"/>
    <w:rsid w:val="00B95317"/>
    <w:rsid w:val="00B96707"/>
    <w:rsid w:val="00B96A8F"/>
    <w:rsid w:val="00B96D53"/>
    <w:rsid w:val="00B96F2A"/>
    <w:rsid w:val="00B978B1"/>
    <w:rsid w:val="00BA0449"/>
    <w:rsid w:val="00BA09A6"/>
    <w:rsid w:val="00BA0AA9"/>
    <w:rsid w:val="00BA0CDE"/>
    <w:rsid w:val="00BA0E80"/>
    <w:rsid w:val="00BA1B3A"/>
    <w:rsid w:val="00BA2480"/>
    <w:rsid w:val="00BA2FD3"/>
    <w:rsid w:val="00BA3992"/>
    <w:rsid w:val="00BA3BF4"/>
    <w:rsid w:val="00BA3CE1"/>
    <w:rsid w:val="00BA3D20"/>
    <w:rsid w:val="00BA3F23"/>
    <w:rsid w:val="00BA4505"/>
    <w:rsid w:val="00BA4FB1"/>
    <w:rsid w:val="00BA5E87"/>
    <w:rsid w:val="00BA659A"/>
    <w:rsid w:val="00BA6668"/>
    <w:rsid w:val="00BA6781"/>
    <w:rsid w:val="00BA7ADE"/>
    <w:rsid w:val="00BA7E13"/>
    <w:rsid w:val="00BA7F62"/>
    <w:rsid w:val="00BB1158"/>
    <w:rsid w:val="00BB1340"/>
    <w:rsid w:val="00BB1BB2"/>
    <w:rsid w:val="00BB240C"/>
    <w:rsid w:val="00BB24E6"/>
    <w:rsid w:val="00BB304E"/>
    <w:rsid w:val="00BB3A94"/>
    <w:rsid w:val="00BB4A83"/>
    <w:rsid w:val="00BB4D21"/>
    <w:rsid w:val="00BB5802"/>
    <w:rsid w:val="00BB60ED"/>
    <w:rsid w:val="00BB6E67"/>
    <w:rsid w:val="00BB6F0A"/>
    <w:rsid w:val="00BB76E4"/>
    <w:rsid w:val="00BC0280"/>
    <w:rsid w:val="00BC09E8"/>
    <w:rsid w:val="00BC1E6A"/>
    <w:rsid w:val="00BC22C0"/>
    <w:rsid w:val="00BC37D0"/>
    <w:rsid w:val="00BC3D12"/>
    <w:rsid w:val="00BC4100"/>
    <w:rsid w:val="00BC4758"/>
    <w:rsid w:val="00BC479A"/>
    <w:rsid w:val="00BC50A9"/>
    <w:rsid w:val="00BC50D0"/>
    <w:rsid w:val="00BC5121"/>
    <w:rsid w:val="00BC53D1"/>
    <w:rsid w:val="00BC5821"/>
    <w:rsid w:val="00BC636C"/>
    <w:rsid w:val="00BC654F"/>
    <w:rsid w:val="00BC6F39"/>
    <w:rsid w:val="00BC7597"/>
    <w:rsid w:val="00BD0CE0"/>
    <w:rsid w:val="00BD0EBA"/>
    <w:rsid w:val="00BD1978"/>
    <w:rsid w:val="00BD21C2"/>
    <w:rsid w:val="00BD258D"/>
    <w:rsid w:val="00BD3FF0"/>
    <w:rsid w:val="00BD4A6B"/>
    <w:rsid w:val="00BD4B26"/>
    <w:rsid w:val="00BD50CF"/>
    <w:rsid w:val="00BD5260"/>
    <w:rsid w:val="00BD5608"/>
    <w:rsid w:val="00BD5642"/>
    <w:rsid w:val="00BD7E2D"/>
    <w:rsid w:val="00BE002B"/>
    <w:rsid w:val="00BE036B"/>
    <w:rsid w:val="00BE07D4"/>
    <w:rsid w:val="00BE0D52"/>
    <w:rsid w:val="00BE0E40"/>
    <w:rsid w:val="00BE0FE8"/>
    <w:rsid w:val="00BE1417"/>
    <w:rsid w:val="00BE1963"/>
    <w:rsid w:val="00BE1E92"/>
    <w:rsid w:val="00BE22A5"/>
    <w:rsid w:val="00BE22CE"/>
    <w:rsid w:val="00BE249D"/>
    <w:rsid w:val="00BE26BE"/>
    <w:rsid w:val="00BE2A19"/>
    <w:rsid w:val="00BE2B08"/>
    <w:rsid w:val="00BE2C16"/>
    <w:rsid w:val="00BE2EF1"/>
    <w:rsid w:val="00BE337A"/>
    <w:rsid w:val="00BE4010"/>
    <w:rsid w:val="00BE4444"/>
    <w:rsid w:val="00BE4EC5"/>
    <w:rsid w:val="00BE5420"/>
    <w:rsid w:val="00BE56CB"/>
    <w:rsid w:val="00BE5CD5"/>
    <w:rsid w:val="00BE6545"/>
    <w:rsid w:val="00BE7342"/>
    <w:rsid w:val="00BE75AD"/>
    <w:rsid w:val="00BE760C"/>
    <w:rsid w:val="00BE7A6F"/>
    <w:rsid w:val="00BE7AE2"/>
    <w:rsid w:val="00BE7E4A"/>
    <w:rsid w:val="00BE7F6F"/>
    <w:rsid w:val="00BF001C"/>
    <w:rsid w:val="00BF00C7"/>
    <w:rsid w:val="00BF0BB2"/>
    <w:rsid w:val="00BF1027"/>
    <w:rsid w:val="00BF124C"/>
    <w:rsid w:val="00BF1F3F"/>
    <w:rsid w:val="00BF1FA5"/>
    <w:rsid w:val="00BF236B"/>
    <w:rsid w:val="00BF28E0"/>
    <w:rsid w:val="00BF2B21"/>
    <w:rsid w:val="00BF2DFE"/>
    <w:rsid w:val="00BF3088"/>
    <w:rsid w:val="00BF32AB"/>
    <w:rsid w:val="00BF33FA"/>
    <w:rsid w:val="00BF37D6"/>
    <w:rsid w:val="00BF3A3F"/>
    <w:rsid w:val="00BF5104"/>
    <w:rsid w:val="00BF51C4"/>
    <w:rsid w:val="00BF5C78"/>
    <w:rsid w:val="00BF5E0E"/>
    <w:rsid w:val="00BF61C8"/>
    <w:rsid w:val="00BF62F2"/>
    <w:rsid w:val="00BF64B5"/>
    <w:rsid w:val="00BF6977"/>
    <w:rsid w:val="00BF6AC6"/>
    <w:rsid w:val="00BF6C6D"/>
    <w:rsid w:val="00BF6CEA"/>
    <w:rsid w:val="00BF706B"/>
    <w:rsid w:val="00BF7779"/>
    <w:rsid w:val="00BF7C2F"/>
    <w:rsid w:val="00C00016"/>
    <w:rsid w:val="00C00B3E"/>
    <w:rsid w:val="00C010F9"/>
    <w:rsid w:val="00C01686"/>
    <w:rsid w:val="00C01896"/>
    <w:rsid w:val="00C02292"/>
    <w:rsid w:val="00C02639"/>
    <w:rsid w:val="00C030A8"/>
    <w:rsid w:val="00C03484"/>
    <w:rsid w:val="00C03597"/>
    <w:rsid w:val="00C03A29"/>
    <w:rsid w:val="00C03B38"/>
    <w:rsid w:val="00C03C25"/>
    <w:rsid w:val="00C03D29"/>
    <w:rsid w:val="00C0470B"/>
    <w:rsid w:val="00C04A6A"/>
    <w:rsid w:val="00C05AA9"/>
    <w:rsid w:val="00C05CCD"/>
    <w:rsid w:val="00C064FC"/>
    <w:rsid w:val="00C06CFD"/>
    <w:rsid w:val="00C07A20"/>
    <w:rsid w:val="00C07B46"/>
    <w:rsid w:val="00C07D5C"/>
    <w:rsid w:val="00C07E19"/>
    <w:rsid w:val="00C10566"/>
    <w:rsid w:val="00C1060E"/>
    <w:rsid w:val="00C10A58"/>
    <w:rsid w:val="00C11483"/>
    <w:rsid w:val="00C11A53"/>
    <w:rsid w:val="00C1203E"/>
    <w:rsid w:val="00C13B10"/>
    <w:rsid w:val="00C13E93"/>
    <w:rsid w:val="00C14EA9"/>
    <w:rsid w:val="00C155CA"/>
    <w:rsid w:val="00C15E94"/>
    <w:rsid w:val="00C1601F"/>
    <w:rsid w:val="00C161E8"/>
    <w:rsid w:val="00C1633B"/>
    <w:rsid w:val="00C16575"/>
    <w:rsid w:val="00C16D8A"/>
    <w:rsid w:val="00C20012"/>
    <w:rsid w:val="00C20F7C"/>
    <w:rsid w:val="00C211E3"/>
    <w:rsid w:val="00C21896"/>
    <w:rsid w:val="00C218B6"/>
    <w:rsid w:val="00C2190F"/>
    <w:rsid w:val="00C21C6F"/>
    <w:rsid w:val="00C2253F"/>
    <w:rsid w:val="00C22F79"/>
    <w:rsid w:val="00C235C2"/>
    <w:rsid w:val="00C23ECD"/>
    <w:rsid w:val="00C24388"/>
    <w:rsid w:val="00C24613"/>
    <w:rsid w:val="00C24C7B"/>
    <w:rsid w:val="00C24E52"/>
    <w:rsid w:val="00C2539D"/>
    <w:rsid w:val="00C26189"/>
    <w:rsid w:val="00C2644C"/>
    <w:rsid w:val="00C264CF"/>
    <w:rsid w:val="00C26855"/>
    <w:rsid w:val="00C26862"/>
    <w:rsid w:val="00C26CE6"/>
    <w:rsid w:val="00C27078"/>
    <w:rsid w:val="00C27196"/>
    <w:rsid w:val="00C2753D"/>
    <w:rsid w:val="00C30001"/>
    <w:rsid w:val="00C3006B"/>
    <w:rsid w:val="00C301E6"/>
    <w:rsid w:val="00C3021D"/>
    <w:rsid w:val="00C3077D"/>
    <w:rsid w:val="00C3083D"/>
    <w:rsid w:val="00C30A4A"/>
    <w:rsid w:val="00C30CAF"/>
    <w:rsid w:val="00C31868"/>
    <w:rsid w:val="00C32247"/>
    <w:rsid w:val="00C3264A"/>
    <w:rsid w:val="00C33270"/>
    <w:rsid w:val="00C33D4E"/>
    <w:rsid w:val="00C342E4"/>
    <w:rsid w:val="00C34378"/>
    <w:rsid w:val="00C34716"/>
    <w:rsid w:val="00C34DC7"/>
    <w:rsid w:val="00C34F41"/>
    <w:rsid w:val="00C358AD"/>
    <w:rsid w:val="00C35909"/>
    <w:rsid w:val="00C35CA5"/>
    <w:rsid w:val="00C35D2E"/>
    <w:rsid w:val="00C35E55"/>
    <w:rsid w:val="00C36081"/>
    <w:rsid w:val="00C36457"/>
    <w:rsid w:val="00C364EC"/>
    <w:rsid w:val="00C36CD5"/>
    <w:rsid w:val="00C37A77"/>
    <w:rsid w:val="00C37C40"/>
    <w:rsid w:val="00C37D33"/>
    <w:rsid w:val="00C40EF2"/>
    <w:rsid w:val="00C41ADE"/>
    <w:rsid w:val="00C41AFC"/>
    <w:rsid w:val="00C41FFB"/>
    <w:rsid w:val="00C428EE"/>
    <w:rsid w:val="00C42DB4"/>
    <w:rsid w:val="00C42F21"/>
    <w:rsid w:val="00C430ED"/>
    <w:rsid w:val="00C4317E"/>
    <w:rsid w:val="00C434C0"/>
    <w:rsid w:val="00C435AF"/>
    <w:rsid w:val="00C43940"/>
    <w:rsid w:val="00C43A6B"/>
    <w:rsid w:val="00C442B9"/>
    <w:rsid w:val="00C4436E"/>
    <w:rsid w:val="00C449F8"/>
    <w:rsid w:val="00C44A2C"/>
    <w:rsid w:val="00C44DE2"/>
    <w:rsid w:val="00C4523E"/>
    <w:rsid w:val="00C452A4"/>
    <w:rsid w:val="00C4590A"/>
    <w:rsid w:val="00C459F0"/>
    <w:rsid w:val="00C45A6A"/>
    <w:rsid w:val="00C45AB1"/>
    <w:rsid w:val="00C45AD6"/>
    <w:rsid w:val="00C460C6"/>
    <w:rsid w:val="00C46650"/>
    <w:rsid w:val="00C46EF3"/>
    <w:rsid w:val="00C47B81"/>
    <w:rsid w:val="00C50168"/>
    <w:rsid w:val="00C50C4A"/>
    <w:rsid w:val="00C50F4D"/>
    <w:rsid w:val="00C51FFC"/>
    <w:rsid w:val="00C520C1"/>
    <w:rsid w:val="00C521BE"/>
    <w:rsid w:val="00C526EA"/>
    <w:rsid w:val="00C52CB3"/>
    <w:rsid w:val="00C52FD7"/>
    <w:rsid w:val="00C539B9"/>
    <w:rsid w:val="00C54744"/>
    <w:rsid w:val="00C54A2F"/>
    <w:rsid w:val="00C54D91"/>
    <w:rsid w:val="00C54EB6"/>
    <w:rsid w:val="00C55056"/>
    <w:rsid w:val="00C553E8"/>
    <w:rsid w:val="00C55822"/>
    <w:rsid w:val="00C55AEA"/>
    <w:rsid w:val="00C55EA1"/>
    <w:rsid w:val="00C5610F"/>
    <w:rsid w:val="00C568E1"/>
    <w:rsid w:val="00C573E8"/>
    <w:rsid w:val="00C57402"/>
    <w:rsid w:val="00C5740A"/>
    <w:rsid w:val="00C57515"/>
    <w:rsid w:val="00C57748"/>
    <w:rsid w:val="00C579D1"/>
    <w:rsid w:val="00C60A07"/>
    <w:rsid w:val="00C60C65"/>
    <w:rsid w:val="00C618E8"/>
    <w:rsid w:val="00C61BDA"/>
    <w:rsid w:val="00C62B3F"/>
    <w:rsid w:val="00C63A1A"/>
    <w:rsid w:val="00C63A3C"/>
    <w:rsid w:val="00C64946"/>
    <w:rsid w:val="00C6579D"/>
    <w:rsid w:val="00C65D27"/>
    <w:rsid w:val="00C6628C"/>
    <w:rsid w:val="00C66CEC"/>
    <w:rsid w:val="00C66D01"/>
    <w:rsid w:val="00C66DDF"/>
    <w:rsid w:val="00C67275"/>
    <w:rsid w:val="00C67BA5"/>
    <w:rsid w:val="00C67C95"/>
    <w:rsid w:val="00C67E1C"/>
    <w:rsid w:val="00C67EF6"/>
    <w:rsid w:val="00C70964"/>
    <w:rsid w:val="00C70E9F"/>
    <w:rsid w:val="00C715EE"/>
    <w:rsid w:val="00C716F8"/>
    <w:rsid w:val="00C71794"/>
    <w:rsid w:val="00C71A50"/>
    <w:rsid w:val="00C71D97"/>
    <w:rsid w:val="00C71F45"/>
    <w:rsid w:val="00C72606"/>
    <w:rsid w:val="00C72804"/>
    <w:rsid w:val="00C72936"/>
    <w:rsid w:val="00C72A99"/>
    <w:rsid w:val="00C73D37"/>
    <w:rsid w:val="00C73DE0"/>
    <w:rsid w:val="00C742C8"/>
    <w:rsid w:val="00C7463D"/>
    <w:rsid w:val="00C74CF3"/>
    <w:rsid w:val="00C75046"/>
    <w:rsid w:val="00C75107"/>
    <w:rsid w:val="00C75482"/>
    <w:rsid w:val="00C76D06"/>
    <w:rsid w:val="00C76E3D"/>
    <w:rsid w:val="00C77096"/>
    <w:rsid w:val="00C77E28"/>
    <w:rsid w:val="00C807ED"/>
    <w:rsid w:val="00C80C20"/>
    <w:rsid w:val="00C80EE7"/>
    <w:rsid w:val="00C811D1"/>
    <w:rsid w:val="00C816E9"/>
    <w:rsid w:val="00C8425F"/>
    <w:rsid w:val="00C843A4"/>
    <w:rsid w:val="00C844A2"/>
    <w:rsid w:val="00C84548"/>
    <w:rsid w:val="00C84B35"/>
    <w:rsid w:val="00C84B81"/>
    <w:rsid w:val="00C8586B"/>
    <w:rsid w:val="00C85F91"/>
    <w:rsid w:val="00C863D3"/>
    <w:rsid w:val="00C86C48"/>
    <w:rsid w:val="00C86C4E"/>
    <w:rsid w:val="00C87039"/>
    <w:rsid w:val="00C903C0"/>
    <w:rsid w:val="00C90582"/>
    <w:rsid w:val="00C9069E"/>
    <w:rsid w:val="00C91E93"/>
    <w:rsid w:val="00C923BA"/>
    <w:rsid w:val="00C924CE"/>
    <w:rsid w:val="00C931C3"/>
    <w:rsid w:val="00C93BC4"/>
    <w:rsid w:val="00C93BE7"/>
    <w:rsid w:val="00C93E8E"/>
    <w:rsid w:val="00C94B59"/>
    <w:rsid w:val="00C94E69"/>
    <w:rsid w:val="00C950C8"/>
    <w:rsid w:val="00C955A5"/>
    <w:rsid w:val="00C96085"/>
    <w:rsid w:val="00C96AC2"/>
    <w:rsid w:val="00C9700D"/>
    <w:rsid w:val="00C970F4"/>
    <w:rsid w:val="00C9719F"/>
    <w:rsid w:val="00C9790C"/>
    <w:rsid w:val="00C97DA3"/>
    <w:rsid w:val="00CA06B9"/>
    <w:rsid w:val="00CA0BEA"/>
    <w:rsid w:val="00CA123A"/>
    <w:rsid w:val="00CA1600"/>
    <w:rsid w:val="00CA1B3C"/>
    <w:rsid w:val="00CA38A4"/>
    <w:rsid w:val="00CA4870"/>
    <w:rsid w:val="00CA49B9"/>
    <w:rsid w:val="00CA4EA1"/>
    <w:rsid w:val="00CA5480"/>
    <w:rsid w:val="00CA571C"/>
    <w:rsid w:val="00CA5832"/>
    <w:rsid w:val="00CA5835"/>
    <w:rsid w:val="00CA5897"/>
    <w:rsid w:val="00CA6661"/>
    <w:rsid w:val="00CA6B37"/>
    <w:rsid w:val="00CA7204"/>
    <w:rsid w:val="00CA72C6"/>
    <w:rsid w:val="00CA72E2"/>
    <w:rsid w:val="00CA76BB"/>
    <w:rsid w:val="00CA7A7E"/>
    <w:rsid w:val="00CA7C84"/>
    <w:rsid w:val="00CB0BFD"/>
    <w:rsid w:val="00CB1026"/>
    <w:rsid w:val="00CB1A1A"/>
    <w:rsid w:val="00CB21F6"/>
    <w:rsid w:val="00CB2321"/>
    <w:rsid w:val="00CB420D"/>
    <w:rsid w:val="00CB463B"/>
    <w:rsid w:val="00CB55B4"/>
    <w:rsid w:val="00CB5EC3"/>
    <w:rsid w:val="00CB6245"/>
    <w:rsid w:val="00CB6A61"/>
    <w:rsid w:val="00CB6BDA"/>
    <w:rsid w:val="00CB6D00"/>
    <w:rsid w:val="00CB6E3D"/>
    <w:rsid w:val="00CB6EC6"/>
    <w:rsid w:val="00CB6FDB"/>
    <w:rsid w:val="00CB750C"/>
    <w:rsid w:val="00CB79E8"/>
    <w:rsid w:val="00CC282A"/>
    <w:rsid w:val="00CC28CB"/>
    <w:rsid w:val="00CC2B0D"/>
    <w:rsid w:val="00CC3007"/>
    <w:rsid w:val="00CC379F"/>
    <w:rsid w:val="00CC3CB7"/>
    <w:rsid w:val="00CC51C9"/>
    <w:rsid w:val="00CC526B"/>
    <w:rsid w:val="00CC529A"/>
    <w:rsid w:val="00CC5F95"/>
    <w:rsid w:val="00CC72D9"/>
    <w:rsid w:val="00CC79CC"/>
    <w:rsid w:val="00CC7CE8"/>
    <w:rsid w:val="00CC7FF9"/>
    <w:rsid w:val="00CD09B5"/>
    <w:rsid w:val="00CD11DC"/>
    <w:rsid w:val="00CD14C0"/>
    <w:rsid w:val="00CD1DCB"/>
    <w:rsid w:val="00CD2055"/>
    <w:rsid w:val="00CD2401"/>
    <w:rsid w:val="00CD25B6"/>
    <w:rsid w:val="00CD3152"/>
    <w:rsid w:val="00CD3218"/>
    <w:rsid w:val="00CD329B"/>
    <w:rsid w:val="00CD5087"/>
    <w:rsid w:val="00CD50E4"/>
    <w:rsid w:val="00CD5440"/>
    <w:rsid w:val="00CD55D6"/>
    <w:rsid w:val="00CD5918"/>
    <w:rsid w:val="00CD6F38"/>
    <w:rsid w:val="00CD6F6D"/>
    <w:rsid w:val="00CD741E"/>
    <w:rsid w:val="00CD7799"/>
    <w:rsid w:val="00CD7E36"/>
    <w:rsid w:val="00CE012E"/>
    <w:rsid w:val="00CE0810"/>
    <w:rsid w:val="00CE0EAE"/>
    <w:rsid w:val="00CE1031"/>
    <w:rsid w:val="00CE175F"/>
    <w:rsid w:val="00CE2175"/>
    <w:rsid w:val="00CE32A7"/>
    <w:rsid w:val="00CE35C1"/>
    <w:rsid w:val="00CE3742"/>
    <w:rsid w:val="00CE450D"/>
    <w:rsid w:val="00CE46BF"/>
    <w:rsid w:val="00CE4B49"/>
    <w:rsid w:val="00CE4D5D"/>
    <w:rsid w:val="00CE4FD3"/>
    <w:rsid w:val="00CE5397"/>
    <w:rsid w:val="00CE5FCF"/>
    <w:rsid w:val="00CE68D8"/>
    <w:rsid w:val="00CE6F04"/>
    <w:rsid w:val="00CE6FEC"/>
    <w:rsid w:val="00CE7155"/>
    <w:rsid w:val="00CE7407"/>
    <w:rsid w:val="00CE7CA9"/>
    <w:rsid w:val="00CF016B"/>
    <w:rsid w:val="00CF11F0"/>
    <w:rsid w:val="00CF1A56"/>
    <w:rsid w:val="00CF1B95"/>
    <w:rsid w:val="00CF1E29"/>
    <w:rsid w:val="00CF20F4"/>
    <w:rsid w:val="00CF23E0"/>
    <w:rsid w:val="00CF2DCF"/>
    <w:rsid w:val="00CF37E0"/>
    <w:rsid w:val="00CF3AD2"/>
    <w:rsid w:val="00CF4256"/>
    <w:rsid w:val="00CF42C0"/>
    <w:rsid w:val="00CF49BA"/>
    <w:rsid w:val="00CF4B0B"/>
    <w:rsid w:val="00CF4FD5"/>
    <w:rsid w:val="00CF59A7"/>
    <w:rsid w:val="00CF5F21"/>
    <w:rsid w:val="00CF5F9E"/>
    <w:rsid w:val="00CF627E"/>
    <w:rsid w:val="00CF7355"/>
    <w:rsid w:val="00D0152F"/>
    <w:rsid w:val="00D025D4"/>
    <w:rsid w:val="00D02E92"/>
    <w:rsid w:val="00D03F00"/>
    <w:rsid w:val="00D03F9E"/>
    <w:rsid w:val="00D0426A"/>
    <w:rsid w:val="00D0497F"/>
    <w:rsid w:val="00D0504A"/>
    <w:rsid w:val="00D050F8"/>
    <w:rsid w:val="00D0568F"/>
    <w:rsid w:val="00D0593B"/>
    <w:rsid w:val="00D05FD8"/>
    <w:rsid w:val="00D0695A"/>
    <w:rsid w:val="00D07F7C"/>
    <w:rsid w:val="00D1079B"/>
    <w:rsid w:val="00D11AF6"/>
    <w:rsid w:val="00D11B27"/>
    <w:rsid w:val="00D11D56"/>
    <w:rsid w:val="00D1208E"/>
    <w:rsid w:val="00D122CC"/>
    <w:rsid w:val="00D124AE"/>
    <w:rsid w:val="00D130A7"/>
    <w:rsid w:val="00D131BF"/>
    <w:rsid w:val="00D13435"/>
    <w:rsid w:val="00D13517"/>
    <w:rsid w:val="00D135C3"/>
    <w:rsid w:val="00D13611"/>
    <w:rsid w:val="00D14C22"/>
    <w:rsid w:val="00D14EF9"/>
    <w:rsid w:val="00D153AD"/>
    <w:rsid w:val="00D1559C"/>
    <w:rsid w:val="00D1661E"/>
    <w:rsid w:val="00D20D0C"/>
    <w:rsid w:val="00D21012"/>
    <w:rsid w:val="00D2147F"/>
    <w:rsid w:val="00D217C1"/>
    <w:rsid w:val="00D22BD7"/>
    <w:rsid w:val="00D231AB"/>
    <w:rsid w:val="00D236F7"/>
    <w:rsid w:val="00D23D99"/>
    <w:rsid w:val="00D23DB2"/>
    <w:rsid w:val="00D23F23"/>
    <w:rsid w:val="00D23F49"/>
    <w:rsid w:val="00D23FFF"/>
    <w:rsid w:val="00D24224"/>
    <w:rsid w:val="00D245EA"/>
    <w:rsid w:val="00D24BDF"/>
    <w:rsid w:val="00D24FB0"/>
    <w:rsid w:val="00D2539F"/>
    <w:rsid w:val="00D25AA2"/>
    <w:rsid w:val="00D25DEA"/>
    <w:rsid w:val="00D25FDB"/>
    <w:rsid w:val="00D26168"/>
    <w:rsid w:val="00D2638E"/>
    <w:rsid w:val="00D27592"/>
    <w:rsid w:val="00D27A60"/>
    <w:rsid w:val="00D27B16"/>
    <w:rsid w:val="00D3026D"/>
    <w:rsid w:val="00D30535"/>
    <w:rsid w:val="00D30908"/>
    <w:rsid w:val="00D30914"/>
    <w:rsid w:val="00D30E95"/>
    <w:rsid w:val="00D31231"/>
    <w:rsid w:val="00D31751"/>
    <w:rsid w:val="00D31C60"/>
    <w:rsid w:val="00D325B9"/>
    <w:rsid w:val="00D3279E"/>
    <w:rsid w:val="00D32C0F"/>
    <w:rsid w:val="00D32DB1"/>
    <w:rsid w:val="00D3346A"/>
    <w:rsid w:val="00D33843"/>
    <w:rsid w:val="00D33E1E"/>
    <w:rsid w:val="00D33F38"/>
    <w:rsid w:val="00D33FF7"/>
    <w:rsid w:val="00D34B28"/>
    <w:rsid w:val="00D350A8"/>
    <w:rsid w:val="00D36399"/>
    <w:rsid w:val="00D36521"/>
    <w:rsid w:val="00D37136"/>
    <w:rsid w:val="00D37330"/>
    <w:rsid w:val="00D3753F"/>
    <w:rsid w:val="00D40A4E"/>
    <w:rsid w:val="00D40A8C"/>
    <w:rsid w:val="00D417A0"/>
    <w:rsid w:val="00D4199D"/>
    <w:rsid w:val="00D41A4A"/>
    <w:rsid w:val="00D41B58"/>
    <w:rsid w:val="00D41CC5"/>
    <w:rsid w:val="00D42191"/>
    <w:rsid w:val="00D424D4"/>
    <w:rsid w:val="00D4258A"/>
    <w:rsid w:val="00D42846"/>
    <w:rsid w:val="00D42ACF"/>
    <w:rsid w:val="00D42D9D"/>
    <w:rsid w:val="00D42E9C"/>
    <w:rsid w:val="00D42FF3"/>
    <w:rsid w:val="00D43007"/>
    <w:rsid w:val="00D431C7"/>
    <w:rsid w:val="00D4329F"/>
    <w:rsid w:val="00D443E3"/>
    <w:rsid w:val="00D44EA6"/>
    <w:rsid w:val="00D45C1B"/>
    <w:rsid w:val="00D4787A"/>
    <w:rsid w:val="00D50179"/>
    <w:rsid w:val="00D50931"/>
    <w:rsid w:val="00D510F6"/>
    <w:rsid w:val="00D51203"/>
    <w:rsid w:val="00D5190A"/>
    <w:rsid w:val="00D51949"/>
    <w:rsid w:val="00D519D4"/>
    <w:rsid w:val="00D51A3F"/>
    <w:rsid w:val="00D51B5A"/>
    <w:rsid w:val="00D51F88"/>
    <w:rsid w:val="00D52175"/>
    <w:rsid w:val="00D52A05"/>
    <w:rsid w:val="00D52BA9"/>
    <w:rsid w:val="00D52C58"/>
    <w:rsid w:val="00D52D05"/>
    <w:rsid w:val="00D52D6D"/>
    <w:rsid w:val="00D52ED3"/>
    <w:rsid w:val="00D52F23"/>
    <w:rsid w:val="00D53CF2"/>
    <w:rsid w:val="00D543BD"/>
    <w:rsid w:val="00D543EE"/>
    <w:rsid w:val="00D5481B"/>
    <w:rsid w:val="00D55109"/>
    <w:rsid w:val="00D55146"/>
    <w:rsid w:val="00D56502"/>
    <w:rsid w:val="00D566E3"/>
    <w:rsid w:val="00D609D1"/>
    <w:rsid w:val="00D60C28"/>
    <w:rsid w:val="00D60F7A"/>
    <w:rsid w:val="00D61E13"/>
    <w:rsid w:val="00D628AA"/>
    <w:rsid w:val="00D62E03"/>
    <w:rsid w:val="00D63111"/>
    <w:rsid w:val="00D63D90"/>
    <w:rsid w:val="00D642EB"/>
    <w:rsid w:val="00D6433B"/>
    <w:rsid w:val="00D6459A"/>
    <w:rsid w:val="00D65012"/>
    <w:rsid w:val="00D65C3B"/>
    <w:rsid w:val="00D66121"/>
    <w:rsid w:val="00D66B3F"/>
    <w:rsid w:val="00D66BBD"/>
    <w:rsid w:val="00D67679"/>
    <w:rsid w:val="00D67FD7"/>
    <w:rsid w:val="00D70524"/>
    <w:rsid w:val="00D714A0"/>
    <w:rsid w:val="00D7225E"/>
    <w:rsid w:val="00D72F05"/>
    <w:rsid w:val="00D72F4C"/>
    <w:rsid w:val="00D73548"/>
    <w:rsid w:val="00D73628"/>
    <w:rsid w:val="00D73D99"/>
    <w:rsid w:val="00D75646"/>
    <w:rsid w:val="00D75703"/>
    <w:rsid w:val="00D75AE8"/>
    <w:rsid w:val="00D75CED"/>
    <w:rsid w:val="00D75E2D"/>
    <w:rsid w:val="00D760B1"/>
    <w:rsid w:val="00D779FC"/>
    <w:rsid w:val="00D800A5"/>
    <w:rsid w:val="00D80315"/>
    <w:rsid w:val="00D8046F"/>
    <w:rsid w:val="00D80576"/>
    <w:rsid w:val="00D806BB"/>
    <w:rsid w:val="00D80F37"/>
    <w:rsid w:val="00D81550"/>
    <w:rsid w:val="00D81C7D"/>
    <w:rsid w:val="00D8207C"/>
    <w:rsid w:val="00D825DA"/>
    <w:rsid w:val="00D833E4"/>
    <w:rsid w:val="00D834DB"/>
    <w:rsid w:val="00D83ABD"/>
    <w:rsid w:val="00D8402D"/>
    <w:rsid w:val="00D8493B"/>
    <w:rsid w:val="00D84CD0"/>
    <w:rsid w:val="00D84DFF"/>
    <w:rsid w:val="00D8520C"/>
    <w:rsid w:val="00D861FB"/>
    <w:rsid w:val="00D86903"/>
    <w:rsid w:val="00D86A01"/>
    <w:rsid w:val="00D8704E"/>
    <w:rsid w:val="00D87117"/>
    <w:rsid w:val="00D87590"/>
    <w:rsid w:val="00D87D74"/>
    <w:rsid w:val="00D90146"/>
    <w:rsid w:val="00D90C5C"/>
    <w:rsid w:val="00D9112C"/>
    <w:rsid w:val="00D9117A"/>
    <w:rsid w:val="00D91CFA"/>
    <w:rsid w:val="00D922FC"/>
    <w:rsid w:val="00D92510"/>
    <w:rsid w:val="00D9294F"/>
    <w:rsid w:val="00D92C86"/>
    <w:rsid w:val="00D942A2"/>
    <w:rsid w:val="00D943A4"/>
    <w:rsid w:val="00D94CC4"/>
    <w:rsid w:val="00D94ED7"/>
    <w:rsid w:val="00D95659"/>
    <w:rsid w:val="00D95949"/>
    <w:rsid w:val="00D95C64"/>
    <w:rsid w:val="00D95E34"/>
    <w:rsid w:val="00D9647D"/>
    <w:rsid w:val="00D96A0D"/>
    <w:rsid w:val="00D97C86"/>
    <w:rsid w:val="00D97E33"/>
    <w:rsid w:val="00DA02FB"/>
    <w:rsid w:val="00DA061D"/>
    <w:rsid w:val="00DA0D5E"/>
    <w:rsid w:val="00DA0F4B"/>
    <w:rsid w:val="00DA1021"/>
    <w:rsid w:val="00DA1962"/>
    <w:rsid w:val="00DA26A1"/>
    <w:rsid w:val="00DA27AE"/>
    <w:rsid w:val="00DA2844"/>
    <w:rsid w:val="00DA2D1A"/>
    <w:rsid w:val="00DA2D77"/>
    <w:rsid w:val="00DA2E2B"/>
    <w:rsid w:val="00DA30D5"/>
    <w:rsid w:val="00DA3F2C"/>
    <w:rsid w:val="00DA4382"/>
    <w:rsid w:val="00DA4A7B"/>
    <w:rsid w:val="00DA4C2D"/>
    <w:rsid w:val="00DA4F84"/>
    <w:rsid w:val="00DA5400"/>
    <w:rsid w:val="00DA57DF"/>
    <w:rsid w:val="00DA5BDA"/>
    <w:rsid w:val="00DA6A65"/>
    <w:rsid w:val="00DA7274"/>
    <w:rsid w:val="00DA7599"/>
    <w:rsid w:val="00DA7C31"/>
    <w:rsid w:val="00DB00C4"/>
    <w:rsid w:val="00DB05F8"/>
    <w:rsid w:val="00DB0A42"/>
    <w:rsid w:val="00DB0DDC"/>
    <w:rsid w:val="00DB119F"/>
    <w:rsid w:val="00DB2814"/>
    <w:rsid w:val="00DB2AD8"/>
    <w:rsid w:val="00DB2B4D"/>
    <w:rsid w:val="00DB544A"/>
    <w:rsid w:val="00DB5992"/>
    <w:rsid w:val="00DB7307"/>
    <w:rsid w:val="00DB787C"/>
    <w:rsid w:val="00DB792F"/>
    <w:rsid w:val="00DC0045"/>
    <w:rsid w:val="00DC03E7"/>
    <w:rsid w:val="00DC0DE1"/>
    <w:rsid w:val="00DC0F0E"/>
    <w:rsid w:val="00DC116D"/>
    <w:rsid w:val="00DC1787"/>
    <w:rsid w:val="00DC190B"/>
    <w:rsid w:val="00DC1C24"/>
    <w:rsid w:val="00DC2AD6"/>
    <w:rsid w:val="00DC2FE5"/>
    <w:rsid w:val="00DC312B"/>
    <w:rsid w:val="00DC313C"/>
    <w:rsid w:val="00DC3597"/>
    <w:rsid w:val="00DC3966"/>
    <w:rsid w:val="00DC3A4B"/>
    <w:rsid w:val="00DC4521"/>
    <w:rsid w:val="00DC55B7"/>
    <w:rsid w:val="00DC59E3"/>
    <w:rsid w:val="00DC5BE4"/>
    <w:rsid w:val="00DC5CF9"/>
    <w:rsid w:val="00DC5DBD"/>
    <w:rsid w:val="00DC6040"/>
    <w:rsid w:val="00DC69B4"/>
    <w:rsid w:val="00DC6E31"/>
    <w:rsid w:val="00DC7371"/>
    <w:rsid w:val="00DC789D"/>
    <w:rsid w:val="00DC7D98"/>
    <w:rsid w:val="00DD0086"/>
    <w:rsid w:val="00DD204C"/>
    <w:rsid w:val="00DD277D"/>
    <w:rsid w:val="00DD28BE"/>
    <w:rsid w:val="00DD2A04"/>
    <w:rsid w:val="00DD2B2A"/>
    <w:rsid w:val="00DD306D"/>
    <w:rsid w:val="00DD3200"/>
    <w:rsid w:val="00DD3D0E"/>
    <w:rsid w:val="00DD4B00"/>
    <w:rsid w:val="00DD4C9D"/>
    <w:rsid w:val="00DD50F0"/>
    <w:rsid w:val="00DD5761"/>
    <w:rsid w:val="00DD5BDD"/>
    <w:rsid w:val="00DD5C2C"/>
    <w:rsid w:val="00DD5D53"/>
    <w:rsid w:val="00DD6137"/>
    <w:rsid w:val="00DD6472"/>
    <w:rsid w:val="00DD6D97"/>
    <w:rsid w:val="00DD6FCF"/>
    <w:rsid w:val="00DD7176"/>
    <w:rsid w:val="00DD7442"/>
    <w:rsid w:val="00DD7DFF"/>
    <w:rsid w:val="00DE050B"/>
    <w:rsid w:val="00DE1C78"/>
    <w:rsid w:val="00DE2425"/>
    <w:rsid w:val="00DE2CFA"/>
    <w:rsid w:val="00DE393E"/>
    <w:rsid w:val="00DE3CC8"/>
    <w:rsid w:val="00DE3E35"/>
    <w:rsid w:val="00DE3E48"/>
    <w:rsid w:val="00DE4570"/>
    <w:rsid w:val="00DE4795"/>
    <w:rsid w:val="00DE4C90"/>
    <w:rsid w:val="00DE514F"/>
    <w:rsid w:val="00DE653F"/>
    <w:rsid w:val="00DE6918"/>
    <w:rsid w:val="00DE739D"/>
    <w:rsid w:val="00DE74B5"/>
    <w:rsid w:val="00DE78AB"/>
    <w:rsid w:val="00DE7912"/>
    <w:rsid w:val="00DE7E2A"/>
    <w:rsid w:val="00DE7F44"/>
    <w:rsid w:val="00DF0391"/>
    <w:rsid w:val="00DF0994"/>
    <w:rsid w:val="00DF1274"/>
    <w:rsid w:val="00DF1B04"/>
    <w:rsid w:val="00DF1FA4"/>
    <w:rsid w:val="00DF23B5"/>
    <w:rsid w:val="00DF37FC"/>
    <w:rsid w:val="00DF3B0F"/>
    <w:rsid w:val="00DF3EE8"/>
    <w:rsid w:val="00DF40EA"/>
    <w:rsid w:val="00DF441E"/>
    <w:rsid w:val="00DF46EC"/>
    <w:rsid w:val="00DF4812"/>
    <w:rsid w:val="00DF4E30"/>
    <w:rsid w:val="00DF55AA"/>
    <w:rsid w:val="00DF5F53"/>
    <w:rsid w:val="00DF5F6A"/>
    <w:rsid w:val="00DF61A3"/>
    <w:rsid w:val="00DF66C0"/>
    <w:rsid w:val="00DF67B2"/>
    <w:rsid w:val="00DF68C1"/>
    <w:rsid w:val="00DF695D"/>
    <w:rsid w:val="00DF7012"/>
    <w:rsid w:val="00E0087A"/>
    <w:rsid w:val="00E00C41"/>
    <w:rsid w:val="00E010A5"/>
    <w:rsid w:val="00E01165"/>
    <w:rsid w:val="00E0126A"/>
    <w:rsid w:val="00E024CE"/>
    <w:rsid w:val="00E02B0C"/>
    <w:rsid w:val="00E02F05"/>
    <w:rsid w:val="00E02F19"/>
    <w:rsid w:val="00E03189"/>
    <w:rsid w:val="00E03436"/>
    <w:rsid w:val="00E0344E"/>
    <w:rsid w:val="00E03790"/>
    <w:rsid w:val="00E044A4"/>
    <w:rsid w:val="00E0525E"/>
    <w:rsid w:val="00E0606B"/>
    <w:rsid w:val="00E06577"/>
    <w:rsid w:val="00E0684E"/>
    <w:rsid w:val="00E07519"/>
    <w:rsid w:val="00E07759"/>
    <w:rsid w:val="00E0780A"/>
    <w:rsid w:val="00E10498"/>
    <w:rsid w:val="00E107B8"/>
    <w:rsid w:val="00E10A4C"/>
    <w:rsid w:val="00E10B1B"/>
    <w:rsid w:val="00E10BEC"/>
    <w:rsid w:val="00E11128"/>
    <w:rsid w:val="00E1136A"/>
    <w:rsid w:val="00E11A25"/>
    <w:rsid w:val="00E11F09"/>
    <w:rsid w:val="00E1207E"/>
    <w:rsid w:val="00E12752"/>
    <w:rsid w:val="00E12E9D"/>
    <w:rsid w:val="00E12F5D"/>
    <w:rsid w:val="00E1309C"/>
    <w:rsid w:val="00E134DA"/>
    <w:rsid w:val="00E13A6B"/>
    <w:rsid w:val="00E13BBE"/>
    <w:rsid w:val="00E1423F"/>
    <w:rsid w:val="00E14EC6"/>
    <w:rsid w:val="00E14F85"/>
    <w:rsid w:val="00E152FC"/>
    <w:rsid w:val="00E1537C"/>
    <w:rsid w:val="00E154BC"/>
    <w:rsid w:val="00E156D6"/>
    <w:rsid w:val="00E15F12"/>
    <w:rsid w:val="00E160F9"/>
    <w:rsid w:val="00E166F7"/>
    <w:rsid w:val="00E16B89"/>
    <w:rsid w:val="00E16C48"/>
    <w:rsid w:val="00E16CC7"/>
    <w:rsid w:val="00E17426"/>
    <w:rsid w:val="00E17D46"/>
    <w:rsid w:val="00E17DD2"/>
    <w:rsid w:val="00E2040B"/>
    <w:rsid w:val="00E20995"/>
    <w:rsid w:val="00E21633"/>
    <w:rsid w:val="00E2192E"/>
    <w:rsid w:val="00E21E63"/>
    <w:rsid w:val="00E22525"/>
    <w:rsid w:val="00E22C0A"/>
    <w:rsid w:val="00E23156"/>
    <w:rsid w:val="00E231DC"/>
    <w:rsid w:val="00E2337E"/>
    <w:rsid w:val="00E23436"/>
    <w:rsid w:val="00E246EC"/>
    <w:rsid w:val="00E253E4"/>
    <w:rsid w:val="00E25547"/>
    <w:rsid w:val="00E26222"/>
    <w:rsid w:val="00E26E3F"/>
    <w:rsid w:val="00E26F3B"/>
    <w:rsid w:val="00E2749D"/>
    <w:rsid w:val="00E27845"/>
    <w:rsid w:val="00E30859"/>
    <w:rsid w:val="00E30F2C"/>
    <w:rsid w:val="00E31182"/>
    <w:rsid w:val="00E313EB"/>
    <w:rsid w:val="00E31D7F"/>
    <w:rsid w:val="00E3264C"/>
    <w:rsid w:val="00E327B9"/>
    <w:rsid w:val="00E32BEF"/>
    <w:rsid w:val="00E32D24"/>
    <w:rsid w:val="00E3357C"/>
    <w:rsid w:val="00E33BA4"/>
    <w:rsid w:val="00E34610"/>
    <w:rsid w:val="00E3573C"/>
    <w:rsid w:val="00E35750"/>
    <w:rsid w:val="00E3767B"/>
    <w:rsid w:val="00E376C7"/>
    <w:rsid w:val="00E37ADD"/>
    <w:rsid w:val="00E37B2A"/>
    <w:rsid w:val="00E37D94"/>
    <w:rsid w:val="00E400CE"/>
    <w:rsid w:val="00E40439"/>
    <w:rsid w:val="00E40605"/>
    <w:rsid w:val="00E40645"/>
    <w:rsid w:val="00E40D93"/>
    <w:rsid w:val="00E41134"/>
    <w:rsid w:val="00E411BA"/>
    <w:rsid w:val="00E412FC"/>
    <w:rsid w:val="00E41377"/>
    <w:rsid w:val="00E41735"/>
    <w:rsid w:val="00E41AD2"/>
    <w:rsid w:val="00E4262B"/>
    <w:rsid w:val="00E428A3"/>
    <w:rsid w:val="00E42993"/>
    <w:rsid w:val="00E42CDA"/>
    <w:rsid w:val="00E43580"/>
    <w:rsid w:val="00E43D06"/>
    <w:rsid w:val="00E4412F"/>
    <w:rsid w:val="00E44192"/>
    <w:rsid w:val="00E4464F"/>
    <w:rsid w:val="00E44ADF"/>
    <w:rsid w:val="00E44F43"/>
    <w:rsid w:val="00E4553C"/>
    <w:rsid w:val="00E45FFC"/>
    <w:rsid w:val="00E469C0"/>
    <w:rsid w:val="00E46B5D"/>
    <w:rsid w:val="00E46D52"/>
    <w:rsid w:val="00E4715C"/>
    <w:rsid w:val="00E47C8A"/>
    <w:rsid w:val="00E50460"/>
    <w:rsid w:val="00E506D4"/>
    <w:rsid w:val="00E5116F"/>
    <w:rsid w:val="00E51196"/>
    <w:rsid w:val="00E513C8"/>
    <w:rsid w:val="00E52BE9"/>
    <w:rsid w:val="00E533E6"/>
    <w:rsid w:val="00E5387A"/>
    <w:rsid w:val="00E53C41"/>
    <w:rsid w:val="00E53C89"/>
    <w:rsid w:val="00E5404E"/>
    <w:rsid w:val="00E5515C"/>
    <w:rsid w:val="00E553A4"/>
    <w:rsid w:val="00E557B5"/>
    <w:rsid w:val="00E5686E"/>
    <w:rsid w:val="00E56C8C"/>
    <w:rsid w:val="00E57CE9"/>
    <w:rsid w:val="00E60E01"/>
    <w:rsid w:val="00E615AA"/>
    <w:rsid w:val="00E625A6"/>
    <w:rsid w:val="00E62652"/>
    <w:rsid w:val="00E62772"/>
    <w:rsid w:val="00E6388E"/>
    <w:rsid w:val="00E64001"/>
    <w:rsid w:val="00E64284"/>
    <w:rsid w:val="00E64414"/>
    <w:rsid w:val="00E64EDB"/>
    <w:rsid w:val="00E66511"/>
    <w:rsid w:val="00E6688E"/>
    <w:rsid w:val="00E6786C"/>
    <w:rsid w:val="00E67F83"/>
    <w:rsid w:val="00E70267"/>
    <w:rsid w:val="00E7091C"/>
    <w:rsid w:val="00E70AC7"/>
    <w:rsid w:val="00E7217F"/>
    <w:rsid w:val="00E72FAD"/>
    <w:rsid w:val="00E73045"/>
    <w:rsid w:val="00E73152"/>
    <w:rsid w:val="00E73AD3"/>
    <w:rsid w:val="00E73F81"/>
    <w:rsid w:val="00E75254"/>
    <w:rsid w:val="00E76B60"/>
    <w:rsid w:val="00E76BEC"/>
    <w:rsid w:val="00E76C88"/>
    <w:rsid w:val="00E77210"/>
    <w:rsid w:val="00E77B53"/>
    <w:rsid w:val="00E77D96"/>
    <w:rsid w:val="00E77E79"/>
    <w:rsid w:val="00E77F39"/>
    <w:rsid w:val="00E802D1"/>
    <w:rsid w:val="00E81203"/>
    <w:rsid w:val="00E81B2C"/>
    <w:rsid w:val="00E81DEB"/>
    <w:rsid w:val="00E824E0"/>
    <w:rsid w:val="00E8332C"/>
    <w:rsid w:val="00E83522"/>
    <w:rsid w:val="00E83C50"/>
    <w:rsid w:val="00E842D7"/>
    <w:rsid w:val="00E8487F"/>
    <w:rsid w:val="00E858F5"/>
    <w:rsid w:val="00E85F4E"/>
    <w:rsid w:val="00E8639C"/>
    <w:rsid w:val="00E86C6F"/>
    <w:rsid w:val="00E870A6"/>
    <w:rsid w:val="00E87CE5"/>
    <w:rsid w:val="00E90754"/>
    <w:rsid w:val="00E9076D"/>
    <w:rsid w:val="00E9093B"/>
    <w:rsid w:val="00E90D80"/>
    <w:rsid w:val="00E90EDE"/>
    <w:rsid w:val="00E911BD"/>
    <w:rsid w:val="00E91689"/>
    <w:rsid w:val="00E9265C"/>
    <w:rsid w:val="00E926D0"/>
    <w:rsid w:val="00E93188"/>
    <w:rsid w:val="00E932A0"/>
    <w:rsid w:val="00E9330D"/>
    <w:rsid w:val="00E93620"/>
    <w:rsid w:val="00E93B4E"/>
    <w:rsid w:val="00E93CDD"/>
    <w:rsid w:val="00E94260"/>
    <w:rsid w:val="00E94688"/>
    <w:rsid w:val="00E95476"/>
    <w:rsid w:val="00E95C68"/>
    <w:rsid w:val="00E95E88"/>
    <w:rsid w:val="00E963D8"/>
    <w:rsid w:val="00E968EB"/>
    <w:rsid w:val="00EA001B"/>
    <w:rsid w:val="00EA008E"/>
    <w:rsid w:val="00EA0181"/>
    <w:rsid w:val="00EA0EDC"/>
    <w:rsid w:val="00EA147E"/>
    <w:rsid w:val="00EA1648"/>
    <w:rsid w:val="00EA174B"/>
    <w:rsid w:val="00EA17E9"/>
    <w:rsid w:val="00EA1C98"/>
    <w:rsid w:val="00EA1DF5"/>
    <w:rsid w:val="00EA1EA1"/>
    <w:rsid w:val="00EA2182"/>
    <w:rsid w:val="00EA23BA"/>
    <w:rsid w:val="00EA2ECC"/>
    <w:rsid w:val="00EA338E"/>
    <w:rsid w:val="00EA343B"/>
    <w:rsid w:val="00EA36A7"/>
    <w:rsid w:val="00EA3974"/>
    <w:rsid w:val="00EA3CCC"/>
    <w:rsid w:val="00EA47BE"/>
    <w:rsid w:val="00EA491C"/>
    <w:rsid w:val="00EA54F6"/>
    <w:rsid w:val="00EA56FD"/>
    <w:rsid w:val="00EA5919"/>
    <w:rsid w:val="00EA5A37"/>
    <w:rsid w:val="00EA6329"/>
    <w:rsid w:val="00EA7670"/>
    <w:rsid w:val="00EA76F2"/>
    <w:rsid w:val="00EA7A6B"/>
    <w:rsid w:val="00EB0471"/>
    <w:rsid w:val="00EB0ACA"/>
    <w:rsid w:val="00EB0DF4"/>
    <w:rsid w:val="00EB20F1"/>
    <w:rsid w:val="00EB22F2"/>
    <w:rsid w:val="00EB2441"/>
    <w:rsid w:val="00EB3A0A"/>
    <w:rsid w:val="00EB5BE9"/>
    <w:rsid w:val="00EB661B"/>
    <w:rsid w:val="00EB668A"/>
    <w:rsid w:val="00EB696A"/>
    <w:rsid w:val="00EB74A3"/>
    <w:rsid w:val="00EB765A"/>
    <w:rsid w:val="00EC0772"/>
    <w:rsid w:val="00EC14F8"/>
    <w:rsid w:val="00EC15F8"/>
    <w:rsid w:val="00EC16A3"/>
    <w:rsid w:val="00EC254C"/>
    <w:rsid w:val="00EC2553"/>
    <w:rsid w:val="00EC2A75"/>
    <w:rsid w:val="00EC2B47"/>
    <w:rsid w:val="00EC2ECB"/>
    <w:rsid w:val="00EC356D"/>
    <w:rsid w:val="00EC4104"/>
    <w:rsid w:val="00EC430B"/>
    <w:rsid w:val="00EC47CF"/>
    <w:rsid w:val="00EC496D"/>
    <w:rsid w:val="00EC5627"/>
    <w:rsid w:val="00EC5A0D"/>
    <w:rsid w:val="00EC645E"/>
    <w:rsid w:val="00EC671D"/>
    <w:rsid w:val="00EC6CEF"/>
    <w:rsid w:val="00EC6F6B"/>
    <w:rsid w:val="00EC71CD"/>
    <w:rsid w:val="00ED03A8"/>
    <w:rsid w:val="00ED0586"/>
    <w:rsid w:val="00ED13F0"/>
    <w:rsid w:val="00ED1C88"/>
    <w:rsid w:val="00ED1E91"/>
    <w:rsid w:val="00ED20B1"/>
    <w:rsid w:val="00ED2964"/>
    <w:rsid w:val="00ED4667"/>
    <w:rsid w:val="00ED4824"/>
    <w:rsid w:val="00ED4A62"/>
    <w:rsid w:val="00ED4F34"/>
    <w:rsid w:val="00ED565D"/>
    <w:rsid w:val="00ED616D"/>
    <w:rsid w:val="00ED6BE9"/>
    <w:rsid w:val="00ED75D9"/>
    <w:rsid w:val="00EE0050"/>
    <w:rsid w:val="00EE1241"/>
    <w:rsid w:val="00EE1CC2"/>
    <w:rsid w:val="00EE2378"/>
    <w:rsid w:val="00EE2536"/>
    <w:rsid w:val="00EE25A3"/>
    <w:rsid w:val="00EE2A61"/>
    <w:rsid w:val="00EE34EC"/>
    <w:rsid w:val="00EE3BC1"/>
    <w:rsid w:val="00EE3F81"/>
    <w:rsid w:val="00EE4A88"/>
    <w:rsid w:val="00EE4CD5"/>
    <w:rsid w:val="00EE4D48"/>
    <w:rsid w:val="00EE50A2"/>
    <w:rsid w:val="00EE5184"/>
    <w:rsid w:val="00EE540E"/>
    <w:rsid w:val="00EE67A7"/>
    <w:rsid w:val="00EE681A"/>
    <w:rsid w:val="00EE6CB6"/>
    <w:rsid w:val="00EE6D93"/>
    <w:rsid w:val="00EF003B"/>
    <w:rsid w:val="00EF0261"/>
    <w:rsid w:val="00EF04CB"/>
    <w:rsid w:val="00EF0928"/>
    <w:rsid w:val="00EF0B40"/>
    <w:rsid w:val="00EF0BEC"/>
    <w:rsid w:val="00EF1744"/>
    <w:rsid w:val="00EF1945"/>
    <w:rsid w:val="00EF2224"/>
    <w:rsid w:val="00EF25C8"/>
    <w:rsid w:val="00EF2ABB"/>
    <w:rsid w:val="00EF4177"/>
    <w:rsid w:val="00EF4513"/>
    <w:rsid w:val="00EF451B"/>
    <w:rsid w:val="00EF4F5B"/>
    <w:rsid w:val="00EF54E6"/>
    <w:rsid w:val="00EF5D5E"/>
    <w:rsid w:val="00EF7620"/>
    <w:rsid w:val="00EF7956"/>
    <w:rsid w:val="00EF7F99"/>
    <w:rsid w:val="00EF7FA6"/>
    <w:rsid w:val="00F000A5"/>
    <w:rsid w:val="00F0059A"/>
    <w:rsid w:val="00F01075"/>
    <w:rsid w:val="00F011CB"/>
    <w:rsid w:val="00F0120E"/>
    <w:rsid w:val="00F012E9"/>
    <w:rsid w:val="00F017A7"/>
    <w:rsid w:val="00F01935"/>
    <w:rsid w:val="00F01EEE"/>
    <w:rsid w:val="00F02156"/>
    <w:rsid w:val="00F03055"/>
    <w:rsid w:val="00F030FA"/>
    <w:rsid w:val="00F0317F"/>
    <w:rsid w:val="00F0346D"/>
    <w:rsid w:val="00F03D18"/>
    <w:rsid w:val="00F03D1B"/>
    <w:rsid w:val="00F04E20"/>
    <w:rsid w:val="00F06673"/>
    <w:rsid w:val="00F0707A"/>
    <w:rsid w:val="00F07252"/>
    <w:rsid w:val="00F0740E"/>
    <w:rsid w:val="00F07BF2"/>
    <w:rsid w:val="00F07D91"/>
    <w:rsid w:val="00F1043D"/>
    <w:rsid w:val="00F10EDF"/>
    <w:rsid w:val="00F11000"/>
    <w:rsid w:val="00F119AF"/>
    <w:rsid w:val="00F11CEB"/>
    <w:rsid w:val="00F13261"/>
    <w:rsid w:val="00F136A1"/>
    <w:rsid w:val="00F13D3F"/>
    <w:rsid w:val="00F140DD"/>
    <w:rsid w:val="00F14670"/>
    <w:rsid w:val="00F1494D"/>
    <w:rsid w:val="00F14BD4"/>
    <w:rsid w:val="00F15941"/>
    <w:rsid w:val="00F15BEF"/>
    <w:rsid w:val="00F16212"/>
    <w:rsid w:val="00F165A8"/>
    <w:rsid w:val="00F167A8"/>
    <w:rsid w:val="00F16CBD"/>
    <w:rsid w:val="00F16DC7"/>
    <w:rsid w:val="00F16EFF"/>
    <w:rsid w:val="00F170B6"/>
    <w:rsid w:val="00F171FC"/>
    <w:rsid w:val="00F1730C"/>
    <w:rsid w:val="00F176BD"/>
    <w:rsid w:val="00F2147E"/>
    <w:rsid w:val="00F21C95"/>
    <w:rsid w:val="00F21DA5"/>
    <w:rsid w:val="00F21DE3"/>
    <w:rsid w:val="00F22933"/>
    <w:rsid w:val="00F22CAF"/>
    <w:rsid w:val="00F2471B"/>
    <w:rsid w:val="00F24BAE"/>
    <w:rsid w:val="00F24D06"/>
    <w:rsid w:val="00F24D26"/>
    <w:rsid w:val="00F24E4F"/>
    <w:rsid w:val="00F2576C"/>
    <w:rsid w:val="00F2595B"/>
    <w:rsid w:val="00F259AA"/>
    <w:rsid w:val="00F25CEB"/>
    <w:rsid w:val="00F266BB"/>
    <w:rsid w:val="00F2698D"/>
    <w:rsid w:val="00F26A80"/>
    <w:rsid w:val="00F27C18"/>
    <w:rsid w:val="00F27ECC"/>
    <w:rsid w:val="00F30365"/>
    <w:rsid w:val="00F303A1"/>
    <w:rsid w:val="00F3045E"/>
    <w:rsid w:val="00F30706"/>
    <w:rsid w:val="00F310C8"/>
    <w:rsid w:val="00F31C74"/>
    <w:rsid w:val="00F323D6"/>
    <w:rsid w:val="00F32E16"/>
    <w:rsid w:val="00F336E4"/>
    <w:rsid w:val="00F33DF1"/>
    <w:rsid w:val="00F3406C"/>
    <w:rsid w:val="00F340B5"/>
    <w:rsid w:val="00F343CE"/>
    <w:rsid w:val="00F348EC"/>
    <w:rsid w:val="00F348F1"/>
    <w:rsid w:val="00F34A09"/>
    <w:rsid w:val="00F34FCA"/>
    <w:rsid w:val="00F35AA5"/>
    <w:rsid w:val="00F35D61"/>
    <w:rsid w:val="00F360D6"/>
    <w:rsid w:val="00F36111"/>
    <w:rsid w:val="00F36418"/>
    <w:rsid w:val="00F368D9"/>
    <w:rsid w:val="00F36BBA"/>
    <w:rsid w:val="00F36CED"/>
    <w:rsid w:val="00F370D6"/>
    <w:rsid w:val="00F370F9"/>
    <w:rsid w:val="00F371BA"/>
    <w:rsid w:val="00F373B1"/>
    <w:rsid w:val="00F37F18"/>
    <w:rsid w:val="00F411D5"/>
    <w:rsid w:val="00F417C5"/>
    <w:rsid w:val="00F41AD4"/>
    <w:rsid w:val="00F420CE"/>
    <w:rsid w:val="00F425C2"/>
    <w:rsid w:val="00F42AB9"/>
    <w:rsid w:val="00F43118"/>
    <w:rsid w:val="00F436C1"/>
    <w:rsid w:val="00F43817"/>
    <w:rsid w:val="00F4396E"/>
    <w:rsid w:val="00F44FE3"/>
    <w:rsid w:val="00F455B0"/>
    <w:rsid w:val="00F473E8"/>
    <w:rsid w:val="00F47B9E"/>
    <w:rsid w:val="00F47C54"/>
    <w:rsid w:val="00F503E2"/>
    <w:rsid w:val="00F50529"/>
    <w:rsid w:val="00F50967"/>
    <w:rsid w:val="00F51508"/>
    <w:rsid w:val="00F516D6"/>
    <w:rsid w:val="00F51700"/>
    <w:rsid w:val="00F519C6"/>
    <w:rsid w:val="00F525D3"/>
    <w:rsid w:val="00F53F31"/>
    <w:rsid w:val="00F54114"/>
    <w:rsid w:val="00F5479D"/>
    <w:rsid w:val="00F55024"/>
    <w:rsid w:val="00F5577A"/>
    <w:rsid w:val="00F558FD"/>
    <w:rsid w:val="00F5595D"/>
    <w:rsid w:val="00F559CF"/>
    <w:rsid w:val="00F56000"/>
    <w:rsid w:val="00F5654B"/>
    <w:rsid w:val="00F56588"/>
    <w:rsid w:val="00F56BEE"/>
    <w:rsid w:val="00F571F0"/>
    <w:rsid w:val="00F57C52"/>
    <w:rsid w:val="00F57EC1"/>
    <w:rsid w:val="00F6029A"/>
    <w:rsid w:val="00F60798"/>
    <w:rsid w:val="00F60C2E"/>
    <w:rsid w:val="00F60DC5"/>
    <w:rsid w:val="00F60F14"/>
    <w:rsid w:val="00F61319"/>
    <w:rsid w:val="00F616B0"/>
    <w:rsid w:val="00F629DE"/>
    <w:rsid w:val="00F63BC5"/>
    <w:rsid w:val="00F63D72"/>
    <w:rsid w:val="00F6435E"/>
    <w:rsid w:val="00F64689"/>
    <w:rsid w:val="00F64B16"/>
    <w:rsid w:val="00F6533D"/>
    <w:rsid w:val="00F65A94"/>
    <w:rsid w:val="00F65D23"/>
    <w:rsid w:val="00F665C2"/>
    <w:rsid w:val="00F67073"/>
    <w:rsid w:val="00F67AC4"/>
    <w:rsid w:val="00F7092A"/>
    <w:rsid w:val="00F72224"/>
    <w:rsid w:val="00F724DE"/>
    <w:rsid w:val="00F72D6B"/>
    <w:rsid w:val="00F72E24"/>
    <w:rsid w:val="00F732B2"/>
    <w:rsid w:val="00F73397"/>
    <w:rsid w:val="00F7391F"/>
    <w:rsid w:val="00F73B10"/>
    <w:rsid w:val="00F73D9D"/>
    <w:rsid w:val="00F742B8"/>
    <w:rsid w:val="00F74407"/>
    <w:rsid w:val="00F7500D"/>
    <w:rsid w:val="00F75C7A"/>
    <w:rsid w:val="00F763E8"/>
    <w:rsid w:val="00F764EC"/>
    <w:rsid w:val="00F76994"/>
    <w:rsid w:val="00F76B63"/>
    <w:rsid w:val="00F76C96"/>
    <w:rsid w:val="00F77821"/>
    <w:rsid w:val="00F80C0B"/>
    <w:rsid w:val="00F80EFF"/>
    <w:rsid w:val="00F81799"/>
    <w:rsid w:val="00F81F12"/>
    <w:rsid w:val="00F821DE"/>
    <w:rsid w:val="00F8231B"/>
    <w:rsid w:val="00F82BB2"/>
    <w:rsid w:val="00F82DCA"/>
    <w:rsid w:val="00F82EE9"/>
    <w:rsid w:val="00F8374A"/>
    <w:rsid w:val="00F839A0"/>
    <w:rsid w:val="00F83D9B"/>
    <w:rsid w:val="00F846F1"/>
    <w:rsid w:val="00F8486E"/>
    <w:rsid w:val="00F84A19"/>
    <w:rsid w:val="00F8512A"/>
    <w:rsid w:val="00F85801"/>
    <w:rsid w:val="00F86BDC"/>
    <w:rsid w:val="00F86D2F"/>
    <w:rsid w:val="00F87D87"/>
    <w:rsid w:val="00F90C60"/>
    <w:rsid w:val="00F9108C"/>
    <w:rsid w:val="00F910F7"/>
    <w:rsid w:val="00F91851"/>
    <w:rsid w:val="00F918C7"/>
    <w:rsid w:val="00F91AEF"/>
    <w:rsid w:val="00F91FC3"/>
    <w:rsid w:val="00F925BA"/>
    <w:rsid w:val="00F92A1A"/>
    <w:rsid w:val="00F92D13"/>
    <w:rsid w:val="00F93C4A"/>
    <w:rsid w:val="00F9493F"/>
    <w:rsid w:val="00F94F1B"/>
    <w:rsid w:val="00F95214"/>
    <w:rsid w:val="00F95277"/>
    <w:rsid w:val="00F958DB"/>
    <w:rsid w:val="00F959C4"/>
    <w:rsid w:val="00F96B26"/>
    <w:rsid w:val="00FA062A"/>
    <w:rsid w:val="00FA0F51"/>
    <w:rsid w:val="00FA1589"/>
    <w:rsid w:val="00FA1AF0"/>
    <w:rsid w:val="00FA1C3B"/>
    <w:rsid w:val="00FA2583"/>
    <w:rsid w:val="00FA2787"/>
    <w:rsid w:val="00FA2D9F"/>
    <w:rsid w:val="00FA3462"/>
    <w:rsid w:val="00FA3B9F"/>
    <w:rsid w:val="00FA3E1E"/>
    <w:rsid w:val="00FA3E4B"/>
    <w:rsid w:val="00FA4245"/>
    <w:rsid w:val="00FA426B"/>
    <w:rsid w:val="00FA4CB5"/>
    <w:rsid w:val="00FA4E6E"/>
    <w:rsid w:val="00FA5486"/>
    <w:rsid w:val="00FA555A"/>
    <w:rsid w:val="00FA56B4"/>
    <w:rsid w:val="00FA5948"/>
    <w:rsid w:val="00FA5D02"/>
    <w:rsid w:val="00FA65C4"/>
    <w:rsid w:val="00FA6857"/>
    <w:rsid w:val="00FA6AC2"/>
    <w:rsid w:val="00FA707A"/>
    <w:rsid w:val="00FB03AD"/>
    <w:rsid w:val="00FB05B3"/>
    <w:rsid w:val="00FB05F7"/>
    <w:rsid w:val="00FB0AB7"/>
    <w:rsid w:val="00FB0C30"/>
    <w:rsid w:val="00FB134D"/>
    <w:rsid w:val="00FB180D"/>
    <w:rsid w:val="00FB18B1"/>
    <w:rsid w:val="00FB2334"/>
    <w:rsid w:val="00FB23FC"/>
    <w:rsid w:val="00FB24A9"/>
    <w:rsid w:val="00FB24D9"/>
    <w:rsid w:val="00FB2B15"/>
    <w:rsid w:val="00FB35C5"/>
    <w:rsid w:val="00FB3C0C"/>
    <w:rsid w:val="00FB464A"/>
    <w:rsid w:val="00FB480B"/>
    <w:rsid w:val="00FB4D2C"/>
    <w:rsid w:val="00FB542C"/>
    <w:rsid w:val="00FB5672"/>
    <w:rsid w:val="00FB6ACC"/>
    <w:rsid w:val="00FB7074"/>
    <w:rsid w:val="00FB73CF"/>
    <w:rsid w:val="00FC06FC"/>
    <w:rsid w:val="00FC10D8"/>
    <w:rsid w:val="00FC12C9"/>
    <w:rsid w:val="00FC19E7"/>
    <w:rsid w:val="00FC1A03"/>
    <w:rsid w:val="00FC1BAD"/>
    <w:rsid w:val="00FC2123"/>
    <w:rsid w:val="00FC3039"/>
    <w:rsid w:val="00FC351C"/>
    <w:rsid w:val="00FC37E4"/>
    <w:rsid w:val="00FC5D93"/>
    <w:rsid w:val="00FC6E4E"/>
    <w:rsid w:val="00FC6F14"/>
    <w:rsid w:val="00FC6FBB"/>
    <w:rsid w:val="00FC78D0"/>
    <w:rsid w:val="00FC798E"/>
    <w:rsid w:val="00FC7A01"/>
    <w:rsid w:val="00FC7A5C"/>
    <w:rsid w:val="00FC7DE0"/>
    <w:rsid w:val="00FD05F7"/>
    <w:rsid w:val="00FD0A56"/>
    <w:rsid w:val="00FD1A0F"/>
    <w:rsid w:val="00FD2034"/>
    <w:rsid w:val="00FD20DB"/>
    <w:rsid w:val="00FD2503"/>
    <w:rsid w:val="00FD2872"/>
    <w:rsid w:val="00FD366D"/>
    <w:rsid w:val="00FD36C7"/>
    <w:rsid w:val="00FD3783"/>
    <w:rsid w:val="00FD37A1"/>
    <w:rsid w:val="00FD41B8"/>
    <w:rsid w:val="00FD4587"/>
    <w:rsid w:val="00FD4C7E"/>
    <w:rsid w:val="00FD5308"/>
    <w:rsid w:val="00FD53C9"/>
    <w:rsid w:val="00FD58D3"/>
    <w:rsid w:val="00FD59F3"/>
    <w:rsid w:val="00FD5B2B"/>
    <w:rsid w:val="00FD62EA"/>
    <w:rsid w:val="00FD6326"/>
    <w:rsid w:val="00FD6499"/>
    <w:rsid w:val="00FD698D"/>
    <w:rsid w:val="00FD72E0"/>
    <w:rsid w:val="00FD739D"/>
    <w:rsid w:val="00FE029E"/>
    <w:rsid w:val="00FE0731"/>
    <w:rsid w:val="00FE0765"/>
    <w:rsid w:val="00FE09B5"/>
    <w:rsid w:val="00FE0F66"/>
    <w:rsid w:val="00FE1FEC"/>
    <w:rsid w:val="00FE2FB5"/>
    <w:rsid w:val="00FE2FF5"/>
    <w:rsid w:val="00FE44EC"/>
    <w:rsid w:val="00FE47C9"/>
    <w:rsid w:val="00FE4EAD"/>
    <w:rsid w:val="00FE4EF7"/>
    <w:rsid w:val="00FE4F79"/>
    <w:rsid w:val="00FE5A7F"/>
    <w:rsid w:val="00FE6938"/>
    <w:rsid w:val="00FE78B5"/>
    <w:rsid w:val="00FE7D12"/>
    <w:rsid w:val="00FE7E7F"/>
    <w:rsid w:val="00FF0C89"/>
    <w:rsid w:val="00FF0CDC"/>
    <w:rsid w:val="00FF11E1"/>
    <w:rsid w:val="00FF1817"/>
    <w:rsid w:val="00FF1B66"/>
    <w:rsid w:val="00FF2186"/>
    <w:rsid w:val="00FF230B"/>
    <w:rsid w:val="00FF240E"/>
    <w:rsid w:val="00FF2618"/>
    <w:rsid w:val="00FF2940"/>
    <w:rsid w:val="00FF2A0D"/>
    <w:rsid w:val="00FF38AC"/>
    <w:rsid w:val="00FF38BE"/>
    <w:rsid w:val="00FF416D"/>
    <w:rsid w:val="00FF4B7B"/>
    <w:rsid w:val="00FF5411"/>
    <w:rsid w:val="00FF5AE4"/>
    <w:rsid w:val="00FF5CC9"/>
    <w:rsid w:val="00FF5EAD"/>
    <w:rsid w:val="00FF6538"/>
    <w:rsid w:val="00FF7378"/>
    <w:rsid w:val="00FF7F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99C5C4"/>
  <w15:docId w15:val="{8650C2C0-1E59-4F77-A9A0-CA935A5D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39D"/>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link w:val="Heading4Char"/>
    <w:semiHidden/>
    <w:unhideWhenUsed/>
    <w:qFormat/>
    <w:rsid w:val="0026590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styleId="FootnoteText">
    <w:name w:val="footnote text"/>
    <w:aliases w:val="Footnote Text Char Char,Footnote Text Char Char Char,Footnote Text Char Char Char Char Char Char,Footnote Text Char1,Footnote Text Char1 Char Char Char,Footnote Text Char1 Char1,Footnote Text Char2,Footnote Text Char2 Char Char Char Char,f"/>
    <w:basedOn w:val="Normal"/>
    <w:link w:val="FootnoteTextChar"/>
    <w:qFormat/>
    <w:rsid w:val="009D1761"/>
    <w:pPr>
      <w:spacing w:after="120"/>
    </w:pPr>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 Char Char Char,Footnote Text Char Char Char Char Char Char Char,Footnote Text Char1 Char Char Char Char,Footnote Text Char1 Char1 Char,Footnote Text Char2 Char,Footnote Text Char2 Char Char Char Char Char,f Char"/>
    <w:link w:val="FootnoteText"/>
    <w:locked/>
    <w:rsid w:val="009D1761"/>
    <w:rPr>
      <w:kern w:val="1"/>
      <w:lang w:eastAsia="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 Char Char Char Char,Footnote Text Char2 Char Char2 Char2 Char Char Char,Footnote Text Char4 Char Char1 Char Char Char,Footnote Text Char5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CommentTextChar">
    <w:name w:val="Comment Text Char"/>
    <w:link w:val="CommentText"/>
    <w:rsid w:val="00F119AF"/>
    <w:rPr>
      <w:kern w:val="1"/>
      <w:lang w:eastAsia="ar-SA"/>
    </w:rPr>
  </w:style>
  <w:style w:type="table" w:styleId="TableGrid">
    <w:name w:val="Table Grid"/>
    <w:basedOn w:val="TableNormal"/>
    <w:rsid w:val="00D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CD5"/>
    <w:rPr>
      <w:color w:val="605E5C"/>
      <w:shd w:val="clear" w:color="auto" w:fill="E1DFDD"/>
    </w:rPr>
  </w:style>
  <w:style w:type="character" w:customStyle="1" w:styleId="Heading4Char">
    <w:name w:val="Heading 4 Char"/>
    <w:link w:val="Heading4"/>
    <w:rsid w:val="00265904"/>
    <w:rPr>
      <w:rFonts w:ascii="Calibri" w:eastAsia="Times New Roman" w:hAnsi="Calibri" w:cs="Times New Roman"/>
      <w:b/>
      <w:bCs/>
      <w:kern w:val="1"/>
      <w:sz w:val="28"/>
      <w:szCs w:val="28"/>
      <w:lang w:eastAsia="ar-SA"/>
    </w:rPr>
  </w:style>
  <w:style w:type="character" w:styleId="Mention">
    <w:name w:val="Mention"/>
    <w:basedOn w:val="DefaultParagraphFont"/>
    <w:uiPriority w:val="99"/>
    <w:unhideWhenUsed/>
    <w:rsid w:val="00562257"/>
    <w:rPr>
      <w:color w:val="2B579A"/>
      <w:shd w:val="clear" w:color="auto" w:fill="E1DFDD"/>
    </w:rPr>
  </w:style>
  <w:style w:type="character" w:customStyle="1" w:styleId="toc-wrapper">
    <w:name w:val="toc-wrapper"/>
    <w:basedOn w:val="DefaultParagraphFont"/>
    <w:rsid w:val="002B6AD7"/>
  </w:style>
  <w:style w:type="character" w:customStyle="1" w:styleId="cf01">
    <w:name w:val="cf01"/>
    <w:basedOn w:val="DefaultParagraphFont"/>
    <w:rsid w:val="00E23156"/>
    <w:rPr>
      <w:rFonts w:ascii="Segoe UI" w:hAnsi="Segoe UI" w:cs="Segoe UI" w:hint="default"/>
      <w:sz w:val="18"/>
      <w:szCs w:val="18"/>
    </w:rPr>
  </w:style>
  <w:style w:type="character" w:customStyle="1" w:styleId="cf11">
    <w:name w:val="cf11"/>
    <w:basedOn w:val="DefaultParagraphFont"/>
    <w:rsid w:val="00E23156"/>
    <w:rPr>
      <w:rFonts w:ascii="Segoe UI" w:hAnsi="Segoe UI" w:cs="Segoe UI" w:hint="default"/>
      <w:i/>
      <w:iCs/>
      <w:sz w:val="18"/>
      <w:szCs w:val="18"/>
    </w:rPr>
  </w:style>
  <w:style w:type="character" w:customStyle="1" w:styleId="normaltextrun">
    <w:name w:val="normaltextrun"/>
    <w:basedOn w:val="DefaultParagraphFont"/>
    <w:rsid w:val="00F1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ccess.atis.org/higherlogic/ws/public/document?document_id=64019&amp;_gl=1*1xet9a2*_ga*NzI0NzU3NjMwLjE3MjMwNDkxNjY.*_ga_NPRTRNGSKC*MTcyMzA0OTE2Ni4xLjEuMTcyMzA0OTIzOC4wLjAuMA" TargetMode="External" /><Relationship Id="rId10" Type="http://schemas.openxmlformats.org/officeDocument/2006/relationships/hyperlink" Target="https://www.census.gov/data/tables/time-series/demo/popest/2020s-counties-total.html" TargetMode="External" /><Relationship Id="rId11" Type="http://schemas.openxmlformats.org/officeDocument/2006/relationships/hyperlink" Target="https://www.opm.gov/policy-data-oversight/pay-leave/salaries-wages/salary-tables/pdf/2024/DCB.pdf" TargetMode="External" /><Relationship Id="rId2" Type="http://schemas.openxmlformats.org/officeDocument/2006/relationships/hyperlink" Target="https://www.fcc.gov/file/12265/download" TargetMode="External" /><Relationship Id="rId3" Type="http://schemas.openxmlformats.org/officeDocument/2006/relationships/hyperlink" Target="https://www.fcc.gov/licensing-databases/fcc-user-login" TargetMode="External" /><Relationship Id="rId4" Type="http://schemas.openxmlformats.org/officeDocument/2006/relationships/hyperlink" Target="https://www.fcc.gov/voice-telephone-services-report" TargetMode="External" /><Relationship Id="rId5" Type="http://schemas.openxmlformats.org/officeDocument/2006/relationships/hyperlink" Target="https://www.bls.gov/news.release/ocwage.t01.htm"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fcc.gov/mobile-deployment-form-477-data" TargetMode="External" /><Relationship Id="rId8" Type="http://schemas.openxmlformats.org/officeDocument/2006/relationships/hyperlink" Target="https://apps.fcc.gov/cgb/form499/499a.cfm" TargetMode="External" /><Relationship Id="rId9" Type="http://schemas.openxmlformats.org/officeDocument/2006/relationships/hyperlink" Target="https://www.fcc.gov/Broadband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19ff-644e-485a-990a-59424571a5c1">
      <Terms xmlns="http://schemas.microsoft.com/office/infopath/2007/PartnerControls"/>
    </lcf76f155ced4ddcb4097134ff3c332f>
    <TaxCatchAll xmlns="0c94c9a2-f50c-4045-a9f2-8cffcf8c86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0722FA55E104D96FB95E7602F4B3F" ma:contentTypeVersion="14" ma:contentTypeDescription="Create a new document." ma:contentTypeScope="" ma:versionID="29fc55319702c896a0c6e86e703309f3">
  <xsd:schema xmlns:xsd="http://www.w3.org/2001/XMLSchema" xmlns:xs="http://www.w3.org/2001/XMLSchema" xmlns:p="http://schemas.microsoft.com/office/2006/metadata/properties" xmlns:ns2="608019ff-644e-485a-990a-59424571a5c1" xmlns:ns3="0c94c9a2-f50c-4045-a9f2-8cffcf8c8646" targetNamespace="http://schemas.microsoft.com/office/2006/metadata/properties" ma:root="true" ma:fieldsID="e07c40919d6fcaf274a876ed397021e0" ns2:_="" ns3:_="">
    <xsd:import namespace="608019ff-644e-485a-990a-59424571a5c1"/>
    <xsd:import namespace="0c94c9a2-f50c-4045-a9f2-8cffcf8c8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19ff-644e-485a-990a-59424571a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efd63-6387-4f60-bb93-468695f7078e}"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FAD93-0D65-4C95-9139-281BC1DAA3E1}">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08019ff-644e-485a-990a-59424571a5c1"/>
    <ds:schemaRef ds:uri="0c94c9a2-f50c-4045-a9f2-8cffcf8c8646"/>
    <ds:schemaRef ds:uri="http://www.w3.org/XML/1998/namespace"/>
    <ds:schemaRef ds:uri="http://purl.org/dc/dcmitype/"/>
  </ds:schemaRefs>
</ds:datastoreItem>
</file>

<file path=customXml/itemProps2.xml><?xml version="1.0" encoding="utf-8"?>
<ds:datastoreItem xmlns:ds="http://schemas.openxmlformats.org/officeDocument/2006/customXml" ds:itemID="{3C761114-9ECF-4F87-B9CE-E8AC3FCEE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19ff-644e-485a-990a-59424571a5c1"/>
    <ds:schemaRef ds:uri="0c94c9a2-f50c-4045-a9f2-8cffcf8c8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FDA4A-F50E-4D6E-9128-B9830B3B551A}">
  <ds:schemaRefs>
    <ds:schemaRef ds:uri="http://schemas.openxmlformats.org/officeDocument/2006/bibliography"/>
  </ds:schemaRefs>
</ds:datastoreItem>
</file>

<file path=customXml/itemProps4.xml><?xml version="1.0" encoding="utf-8"?>
<ds:datastoreItem xmlns:ds="http://schemas.openxmlformats.org/officeDocument/2006/customXml" ds:itemID="{AB8DC280-59C5-4D2B-9C14-38CE2F1BB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10088</Words>
  <Characters>57506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67460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Nicole Ongele</cp:lastModifiedBy>
  <cp:revision>2</cp:revision>
  <cp:lastPrinted>2023-10-30T10:14:00Z</cp:lastPrinted>
  <dcterms:created xsi:type="dcterms:W3CDTF">2024-08-23T20:44:00Z</dcterms:created>
  <dcterms:modified xsi:type="dcterms:W3CDTF">2024-08-23T20:44:00Z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0x010100EA90722FA55E104D96FB95E7602F4B3F</vt:lpwstr>
  </property>
  <property fmtid="{D5CDD505-2E9C-101B-9397-08002B2CF9AE}" pid="3" name="MediaServiceImageTags">
    <vt:lpwstr/>
  </property>
</Properties>
</file>