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641" w14:paraId="03882652" w14:textId="77777777">
      <w:pPr>
        <w:suppressAutoHyphens/>
        <w:jc w:val="center"/>
        <w:rPr>
          <w:rFonts w:ascii="Times New Roman" w:hAnsi="Times New Roman"/>
        </w:rPr>
      </w:pPr>
      <w:r>
        <w:rPr>
          <w:rFonts w:ascii="Times New Roman" w:hAnsi="Times New Roman"/>
        </w:rPr>
        <w:t>SUPPORTING STATEMENT</w:t>
      </w:r>
    </w:p>
    <w:p w:rsidR="00A10641" w14:paraId="1932C81F" w14:textId="77777777">
      <w:pPr>
        <w:suppressAutoHyphens/>
        <w:jc w:val="center"/>
        <w:rPr>
          <w:rFonts w:ascii="Times New Roman" w:hAnsi="Times New Roman"/>
        </w:rPr>
      </w:pPr>
      <w:r>
        <w:rPr>
          <w:rFonts w:ascii="Times New Roman" w:hAnsi="Times New Roman"/>
        </w:rPr>
        <w:t>NOTICE OF BRANCH CLOSURE</w:t>
      </w:r>
    </w:p>
    <w:p w:rsidR="00A10641" w14:paraId="4C3406CE" w14:textId="77777777">
      <w:pPr>
        <w:suppressAutoHyphens/>
        <w:jc w:val="center"/>
        <w:rPr>
          <w:rFonts w:ascii="Times New Roman" w:hAnsi="Times New Roman"/>
        </w:rPr>
      </w:pPr>
      <w:r>
        <w:rPr>
          <w:rFonts w:ascii="Times New Roman" w:hAnsi="Times New Roman"/>
        </w:rPr>
        <w:t>(OMB No. 3064-0109)</w:t>
      </w:r>
    </w:p>
    <w:p w:rsidR="00A10641" w14:paraId="02F5F9DC" w14:textId="77777777">
      <w:pPr>
        <w:suppressAutoHyphens/>
        <w:rPr>
          <w:rFonts w:ascii="Times New Roman" w:hAnsi="Times New Roman"/>
        </w:rPr>
      </w:pPr>
    </w:p>
    <w:p w:rsidR="00A10641" w14:paraId="317F2B6A" w14:textId="77777777">
      <w:pPr>
        <w:suppressAutoHyphens/>
        <w:rPr>
          <w:rFonts w:ascii="Times New Roman" w:hAnsi="Times New Roman"/>
        </w:rPr>
      </w:pPr>
      <w:r>
        <w:rPr>
          <w:rFonts w:ascii="Times New Roman" w:hAnsi="Times New Roman"/>
          <w:u w:val="single"/>
        </w:rPr>
        <w:t>INTRODUCTION</w:t>
      </w:r>
    </w:p>
    <w:p w:rsidR="00A10641" w14:paraId="76B147B7" w14:textId="77777777">
      <w:pPr>
        <w:suppressAutoHyphens/>
        <w:rPr>
          <w:rFonts w:ascii="Times New Roman" w:hAnsi="Times New Roman"/>
        </w:rPr>
      </w:pPr>
    </w:p>
    <w:p w:rsidR="00A10641" w14:paraId="0A192FE5" w14:textId="04C9C76A">
      <w:pPr>
        <w:suppressAutoHyphens/>
        <w:rPr>
          <w:rFonts w:ascii="Times New Roman" w:hAnsi="Times New Roman"/>
        </w:rPr>
      </w:pPr>
      <w:r>
        <w:rPr>
          <w:rFonts w:ascii="Times New Roman" w:hAnsi="Times New Roman"/>
        </w:rPr>
        <w:t>The Federal Deposit Insurance Corpora</w:t>
      </w:r>
      <w:r w:rsidR="00821F26">
        <w:rPr>
          <w:rFonts w:ascii="Times New Roman" w:hAnsi="Times New Roman"/>
        </w:rPr>
        <w:t>tion is requesting an extension, with</w:t>
      </w:r>
      <w:r w:rsidR="00797091">
        <w:rPr>
          <w:rFonts w:ascii="Times New Roman" w:hAnsi="Times New Roman"/>
        </w:rPr>
        <w:t xml:space="preserve"> </w:t>
      </w:r>
      <w:r w:rsidR="006C1BF2">
        <w:rPr>
          <w:rFonts w:ascii="Times New Roman" w:hAnsi="Times New Roman"/>
        </w:rPr>
        <w:t>revision</w:t>
      </w:r>
      <w:r w:rsidR="00821F26">
        <w:rPr>
          <w:rFonts w:ascii="Times New Roman" w:hAnsi="Times New Roman"/>
        </w:rPr>
        <w:t xml:space="preserve">, </w:t>
      </w:r>
      <w:r>
        <w:rPr>
          <w:rFonts w:ascii="Times New Roman" w:hAnsi="Times New Roman"/>
        </w:rPr>
        <w:t xml:space="preserve">of the </w:t>
      </w:r>
      <w:r w:rsidR="000B6E90">
        <w:rPr>
          <w:rFonts w:ascii="Times New Roman" w:hAnsi="Times New Roman"/>
        </w:rPr>
        <w:t>currently approved</w:t>
      </w:r>
      <w:r>
        <w:rPr>
          <w:rFonts w:ascii="Times New Roman" w:hAnsi="Times New Roman"/>
        </w:rPr>
        <w:t xml:space="preserve"> information collection captioned above</w:t>
      </w:r>
      <w:r w:rsidR="00821F26">
        <w:rPr>
          <w:rFonts w:ascii="Times New Roman" w:hAnsi="Times New Roman"/>
        </w:rPr>
        <w:t>.</w:t>
      </w:r>
      <w:r>
        <w:rPr>
          <w:rFonts w:ascii="Times New Roman" w:hAnsi="Times New Roman"/>
        </w:rPr>
        <w:t xml:space="preserve">  The current clearance for the collection expires on </w:t>
      </w:r>
      <w:r w:rsidR="00797091">
        <w:rPr>
          <w:rFonts w:ascii="Times New Roman" w:hAnsi="Times New Roman"/>
        </w:rPr>
        <w:t>November 30, 2024</w:t>
      </w:r>
      <w:r>
        <w:rPr>
          <w:rFonts w:ascii="Times New Roman" w:hAnsi="Times New Roman"/>
        </w:rPr>
        <w:t xml:space="preserve">.  </w:t>
      </w:r>
    </w:p>
    <w:p w:rsidR="00F856B0" w14:paraId="034F13C6" w14:textId="77777777">
      <w:pPr>
        <w:suppressAutoHyphens/>
        <w:rPr>
          <w:rFonts w:ascii="Times New Roman" w:hAnsi="Times New Roman"/>
        </w:rPr>
      </w:pPr>
    </w:p>
    <w:p w:rsidR="00A10641" w14:paraId="0BB65385" w14:textId="77777777">
      <w:pPr>
        <w:suppressAutoHyphen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A10641" w14:paraId="6CAEDED2" w14:textId="77777777">
      <w:pPr>
        <w:suppressAutoHyphens/>
        <w:rPr>
          <w:rFonts w:ascii="Times New Roman" w:hAnsi="Times New Roman"/>
        </w:rPr>
      </w:pPr>
    </w:p>
    <w:p w:rsidR="00A10641" w14:paraId="0BA71665" w14:textId="77777777">
      <w:pPr>
        <w:suppressAutoHyphens/>
        <w:ind w:left="1080" w:hanging="1080"/>
        <w:rPr>
          <w:rFonts w:ascii="Times New Roman" w:hAnsi="Times New Roman"/>
        </w:rPr>
      </w:pPr>
      <w:r>
        <w:rPr>
          <w:rFonts w:ascii="Times New Roman" w:hAnsi="Times New Roman"/>
        </w:rPr>
        <w:tab/>
        <w:t>1.</w:t>
      </w:r>
      <w:r>
        <w:rPr>
          <w:rFonts w:ascii="Times New Roman" w:hAnsi="Times New Roman"/>
        </w:rPr>
        <w:tab/>
      </w:r>
      <w:r w:rsidRPr="00C56C82" w:rsidR="00C56C82">
        <w:rPr>
          <w:rFonts w:ascii="Times New Roman" w:hAnsi="Times New Roman"/>
          <w:bCs/>
          <w:iCs/>
          <w:u w:val="single"/>
        </w:rPr>
        <w:t>Circumstances that make the collection necessary:</w:t>
      </w:r>
    </w:p>
    <w:p w:rsidR="00A10641" w14:paraId="2412CB7A" w14:textId="77777777">
      <w:pPr>
        <w:suppressAutoHyphens/>
        <w:rPr>
          <w:rFonts w:ascii="Times New Roman" w:hAnsi="Times New Roman"/>
        </w:rPr>
      </w:pPr>
    </w:p>
    <w:p w:rsidR="00A10641" w14:paraId="0014D64D" w14:textId="77777777">
      <w:pPr>
        <w:suppressAutoHyphens/>
        <w:ind w:left="1440"/>
        <w:rPr>
          <w:rFonts w:ascii="Times New Roman" w:hAnsi="Times New Roman"/>
        </w:rPr>
      </w:pPr>
      <w:r>
        <w:rPr>
          <w:rFonts w:ascii="Times New Roman" w:hAnsi="Times New Roman"/>
        </w:rPr>
        <w:t>Section 42 of the Federal Deposit Insurance Act mandates that an institution closing a branch notify its primary federal regulator not later than 90 days prior to the closing.  The statute also provides that a notice be posted on the premises of the branch for the 30</w:t>
      </w:r>
      <w:r>
        <w:rPr>
          <w:rFonts w:ascii="Times New Roman" w:hAnsi="Times New Roman"/>
        </w:rPr>
        <w:noBreakHyphen/>
        <w:t xml:space="preserve">day period immediately prior to the closing and that the customers be notified in a mailing at least 90 days prior to the closing.  Each insured depository institution </w:t>
      </w:r>
      <w:r w:rsidR="00B32BB8">
        <w:rPr>
          <w:rFonts w:ascii="Times New Roman" w:hAnsi="Times New Roman"/>
        </w:rPr>
        <w:t xml:space="preserve">that has one or more branches </w:t>
      </w:r>
      <w:r>
        <w:rPr>
          <w:rFonts w:ascii="Times New Roman" w:hAnsi="Times New Roman"/>
        </w:rPr>
        <w:t xml:space="preserve">is required to adopt </w:t>
      </w:r>
      <w:r w:rsidR="00B32BB8">
        <w:rPr>
          <w:rFonts w:ascii="Times New Roman" w:hAnsi="Times New Roman"/>
        </w:rPr>
        <w:t xml:space="preserve">a written policy </w:t>
      </w:r>
      <w:r>
        <w:rPr>
          <w:rFonts w:ascii="Times New Roman" w:hAnsi="Times New Roman"/>
        </w:rPr>
        <w:t>for branch closings.</w:t>
      </w:r>
    </w:p>
    <w:p w:rsidR="00A10641" w14:paraId="3A6DE652" w14:textId="77777777">
      <w:pPr>
        <w:suppressAutoHyphens/>
        <w:rPr>
          <w:rFonts w:ascii="Times New Roman" w:hAnsi="Times New Roman"/>
        </w:rPr>
      </w:pPr>
    </w:p>
    <w:p w:rsidR="00A10641" w14:paraId="2529A0EC" w14:textId="77777777">
      <w:pPr>
        <w:suppressAutoHyphens/>
        <w:ind w:left="1440"/>
        <w:rPr>
          <w:rFonts w:ascii="Times New Roman" w:hAnsi="Times New Roman"/>
        </w:rPr>
      </w:pPr>
      <w:r>
        <w:rPr>
          <w:rFonts w:ascii="Times New Roman" w:hAnsi="Times New Roman"/>
        </w:rPr>
        <w:t xml:space="preserve">This section charges the FDIC with the responsibility of enforcing the provisions and filing requirements.  To fulfill its statutory mandate, the FDIC in cooperation with other federal financial institution regulators developed an Interagency Policy Statement on Advance Notice of Branch Closings. </w:t>
      </w:r>
    </w:p>
    <w:p w:rsidR="00A10641" w14:paraId="490F49A3" w14:textId="77777777">
      <w:pPr>
        <w:suppressAutoHyphens/>
        <w:rPr>
          <w:rFonts w:ascii="Times New Roman" w:hAnsi="Times New Roman"/>
        </w:rPr>
      </w:pPr>
    </w:p>
    <w:p w:rsidR="00A10641" w:rsidP="00366534" w14:paraId="6A88CC20" w14:textId="77777777">
      <w:pPr>
        <w:suppressAutoHyphens/>
        <w:ind w:left="1080" w:hanging="1080"/>
        <w:rPr>
          <w:rFonts w:ascii="Times New Roman" w:hAnsi="Times New Roman"/>
          <w:u w:val="single"/>
        </w:rPr>
      </w:pPr>
      <w:r>
        <w:rPr>
          <w:rFonts w:ascii="Times New Roman" w:hAnsi="Times New Roman"/>
        </w:rPr>
        <w:tab/>
        <w:t>2.</w:t>
      </w:r>
      <w:r>
        <w:rPr>
          <w:rFonts w:ascii="Times New Roman" w:hAnsi="Times New Roman"/>
        </w:rPr>
        <w:tab/>
      </w:r>
      <w:r w:rsidRPr="00366534" w:rsidR="00366534">
        <w:rPr>
          <w:rFonts w:ascii="Times New Roman" w:hAnsi="Times New Roman"/>
          <w:u w:val="single"/>
        </w:rPr>
        <w:t>Use of information collected:</w:t>
      </w:r>
    </w:p>
    <w:p w:rsidR="00366534" w:rsidP="00366534" w14:paraId="1D0BE6A2" w14:textId="77777777">
      <w:pPr>
        <w:suppressAutoHyphens/>
        <w:ind w:left="1080" w:hanging="1080"/>
        <w:rPr>
          <w:rFonts w:ascii="Times New Roman" w:hAnsi="Times New Roman"/>
        </w:rPr>
      </w:pPr>
    </w:p>
    <w:p w:rsidR="00A10641" w14:paraId="6C9B83C1" w14:textId="4FD19739">
      <w:pPr>
        <w:suppressAutoHyphens/>
        <w:ind w:left="1440"/>
        <w:rPr>
          <w:rFonts w:ascii="Times New Roman" w:hAnsi="Times New Roman"/>
        </w:rPr>
      </w:pPr>
      <w:r>
        <w:rPr>
          <w:rFonts w:ascii="Times New Roman" w:hAnsi="Times New Roman"/>
        </w:rPr>
        <w:t xml:space="preserve">The information in the notices and in the </w:t>
      </w:r>
      <w:r w:rsidR="000B6E90">
        <w:rPr>
          <w:rFonts w:ascii="Times New Roman" w:hAnsi="Times New Roman"/>
        </w:rPr>
        <w:t>policy,</w:t>
      </w:r>
      <w:r>
        <w:rPr>
          <w:rFonts w:ascii="Times New Roman" w:hAnsi="Times New Roman"/>
        </w:rPr>
        <w:t xml:space="preserve"> statements is used by the FDIC as part of its oversight of an institution's record of serving the needs of its community.  Such information allows the FDIC to make judgments of the reasonableness of the bank's record of opening and closing offices.</w:t>
      </w:r>
    </w:p>
    <w:p w:rsidR="00A10641" w14:paraId="251A7814" w14:textId="77777777">
      <w:pPr>
        <w:suppressAutoHyphens/>
        <w:ind w:left="1080" w:hanging="1080"/>
        <w:rPr>
          <w:rFonts w:ascii="Times New Roman" w:hAnsi="Times New Roman"/>
        </w:rPr>
      </w:pPr>
    </w:p>
    <w:p w:rsidR="00A10641" w14:paraId="037D5F93" w14:textId="77777777">
      <w:pPr>
        <w:suppressAutoHyphens/>
        <w:ind w:left="1080" w:hanging="1080"/>
        <w:rPr>
          <w:rFonts w:ascii="Times New Roman" w:hAnsi="Times New Roman"/>
        </w:rPr>
      </w:pPr>
      <w:r>
        <w:rPr>
          <w:rFonts w:ascii="Times New Roman" w:hAnsi="Times New Roman"/>
        </w:rPr>
        <w:tab/>
        <w:t>3.</w:t>
      </w:r>
      <w:r>
        <w:rPr>
          <w:rFonts w:ascii="Times New Roman" w:hAnsi="Times New Roman"/>
        </w:rPr>
        <w:tab/>
      </w:r>
      <w:r w:rsidRPr="00366534" w:rsidR="00366534">
        <w:rPr>
          <w:rFonts w:ascii="Times New Roman" w:hAnsi="Times New Roman"/>
          <w:u w:val="single"/>
        </w:rPr>
        <w:t>Consideration of the use of improved information technology:</w:t>
      </w:r>
    </w:p>
    <w:p w:rsidR="00A10641" w14:paraId="7BC848BD" w14:textId="77777777">
      <w:pPr>
        <w:suppressAutoHyphens/>
        <w:rPr>
          <w:rFonts w:ascii="Times New Roman" w:hAnsi="Times New Roman"/>
        </w:rPr>
      </w:pPr>
    </w:p>
    <w:p w:rsidR="00A10641" w14:paraId="4D9B7FA8" w14:textId="073A0AEC">
      <w:pPr>
        <w:suppressAutoHyphens/>
        <w:ind w:left="1440"/>
        <w:rPr>
          <w:rFonts w:ascii="Times New Roman" w:hAnsi="Times New Roman"/>
        </w:rPr>
      </w:pPr>
      <w:r>
        <w:rPr>
          <w:rFonts w:ascii="Times New Roman" w:hAnsi="Times New Roman"/>
        </w:rPr>
        <w:t>The FDIC has an interactive website, FDIC</w:t>
      </w:r>
      <w:r>
        <w:rPr>
          <w:rFonts w:ascii="Times New Roman" w:hAnsi="Times New Roman"/>
          <w:i/>
        </w:rPr>
        <w:t>connect</w:t>
      </w:r>
      <w:r>
        <w:rPr>
          <w:rFonts w:ascii="Times New Roman" w:hAnsi="Times New Roman"/>
        </w:rPr>
        <w:t xml:space="preserve">, </w:t>
      </w:r>
      <w:r w:rsidR="00F52BA7">
        <w:rPr>
          <w:rFonts w:ascii="Times New Roman" w:hAnsi="Times New Roman"/>
        </w:rPr>
        <w:t xml:space="preserve">which </w:t>
      </w:r>
      <w:r>
        <w:rPr>
          <w:rFonts w:ascii="Times New Roman" w:hAnsi="Times New Roman"/>
        </w:rPr>
        <w:t>allows insured institutions to submit certain filings to the FDIC electronically.</w:t>
      </w:r>
      <w:r>
        <w:rPr>
          <w:rFonts w:ascii="Times New Roman" w:hAnsi="Times New Roman"/>
        </w:rPr>
        <w:br w:type="page"/>
      </w:r>
    </w:p>
    <w:p w:rsidR="00A10641" w14:paraId="617D39C1" w14:textId="77777777">
      <w:pPr>
        <w:suppressAutoHyphens/>
        <w:ind w:left="1080" w:hanging="1080"/>
        <w:rPr>
          <w:rFonts w:ascii="Times New Roman" w:hAnsi="Times New Roman"/>
        </w:rPr>
      </w:pPr>
      <w:r>
        <w:rPr>
          <w:rFonts w:ascii="Times New Roman" w:hAnsi="Times New Roman"/>
        </w:rPr>
        <w:tab/>
        <w:t>4.</w:t>
      </w:r>
      <w:r>
        <w:rPr>
          <w:rFonts w:ascii="Times New Roman" w:hAnsi="Times New Roman"/>
        </w:rPr>
        <w:tab/>
      </w:r>
      <w:r w:rsidRPr="00366534" w:rsidR="00366534">
        <w:rPr>
          <w:rFonts w:ascii="Times New Roman" w:hAnsi="Times New Roman"/>
          <w:u w:val="single"/>
        </w:rPr>
        <w:t>Efforts to identify duplication:</w:t>
      </w:r>
    </w:p>
    <w:p w:rsidR="00A10641" w14:paraId="1C1D8645" w14:textId="77777777">
      <w:pPr>
        <w:suppressAutoHyphens/>
        <w:rPr>
          <w:rFonts w:ascii="Times New Roman" w:hAnsi="Times New Roman"/>
        </w:rPr>
      </w:pPr>
    </w:p>
    <w:p w:rsidR="00A10641" w14:paraId="33B4C0C9" w14:textId="77777777">
      <w:pPr>
        <w:suppressAutoHyphens/>
        <w:ind w:left="1440"/>
        <w:rPr>
          <w:rFonts w:ascii="Times New Roman" w:hAnsi="Times New Roman"/>
        </w:rPr>
      </w:pPr>
      <w:r>
        <w:rPr>
          <w:rFonts w:ascii="Times New Roman" w:hAnsi="Times New Roman"/>
        </w:rPr>
        <w:t xml:space="preserve">These collection requirements parallel the statutory language of Section 42.  The FDIC works closely with other Federal financial institution regulators to assure interpretation of the requirements is uniform and does not involve any duplicated information.  There is no similar information available to the FDIC. </w:t>
      </w:r>
    </w:p>
    <w:p w:rsidR="00A10641" w14:paraId="3854AFF1" w14:textId="77777777">
      <w:pPr>
        <w:suppressAutoHyphens/>
        <w:rPr>
          <w:rFonts w:ascii="Times New Roman" w:hAnsi="Times New Roman"/>
        </w:rPr>
      </w:pPr>
    </w:p>
    <w:p w:rsidR="00A10641" w:rsidP="00366534" w14:paraId="23EE90FC" w14:textId="77777777">
      <w:pPr>
        <w:suppressAutoHyphens/>
        <w:ind w:left="1440" w:hanging="360"/>
        <w:rPr>
          <w:rFonts w:ascii="Times New Roman" w:hAnsi="Times New Roman"/>
        </w:rPr>
      </w:pPr>
      <w:r>
        <w:rPr>
          <w:rFonts w:ascii="Times New Roman" w:hAnsi="Times New Roman"/>
        </w:rPr>
        <w:t>5.</w:t>
      </w:r>
      <w:r>
        <w:rPr>
          <w:rFonts w:ascii="Times New Roman" w:hAnsi="Times New Roman"/>
        </w:rPr>
        <w:tab/>
      </w:r>
      <w:r w:rsidRPr="00366534" w:rsidR="00366534">
        <w:rPr>
          <w:rFonts w:ascii="Times New Roman" w:hAnsi="Times New Roman"/>
          <w:u w:val="single"/>
        </w:rPr>
        <w:t>Methods used to minimize burden if the collection has a significant impact on a substantial number of small entities:</w:t>
      </w:r>
    </w:p>
    <w:p w:rsidR="00A10641" w14:paraId="123CE49F" w14:textId="77777777">
      <w:pPr>
        <w:suppressAutoHyphens/>
        <w:rPr>
          <w:rFonts w:ascii="Times New Roman" w:hAnsi="Times New Roman"/>
        </w:rPr>
      </w:pPr>
    </w:p>
    <w:p w:rsidR="00A10641" w14:paraId="451B6FC5" w14:textId="77777777">
      <w:pPr>
        <w:suppressAutoHyphens/>
        <w:ind w:left="1440"/>
        <w:rPr>
          <w:rFonts w:ascii="Times New Roman" w:hAnsi="Times New Roman"/>
        </w:rPr>
      </w:pPr>
      <w:r>
        <w:rPr>
          <w:rFonts w:ascii="Times New Roman" w:hAnsi="Times New Roman"/>
        </w:rPr>
        <w:t>An exception has been granted to the requirement to formulate policies for branch closure for institutions that currently do not have a branch office.  All other institutions, regardless of size, must submit the same notices and formulate the same type polices.  The notice requirements parallel the statutory requirements of Section 42.</w:t>
      </w:r>
    </w:p>
    <w:p w:rsidR="00A10641" w14:paraId="489BA166" w14:textId="77777777">
      <w:pPr>
        <w:suppressAutoHyphens/>
        <w:rPr>
          <w:rFonts w:ascii="Times New Roman" w:hAnsi="Times New Roman"/>
        </w:rPr>
      </w:pPr>
    </w:p>
    <w:p w:rsidR="00A10641" w:rsidP="00366534" w14:paraId="158B8ED0" w14:textId="77777777">
      <w:pPr>
        <w:suppressAutoHyphens/>
        <w:ind w:left="1440" w:hanging="360"/>
        <w:rPr>
          <w:rFonts w:ascii="Times New Roman" w:hAnsi="Times New Roman"/>
        </w:rPr>
      </w:pPr>
      <w:r>
        <w:rPr>
          <w:rFonts w:ascii="Times New Roman" w:hAnsi="Times New Roman"/>
        </w:rPr>
        <w:t>6.</w:t>
      </w:r>
      <w:r>
        <w:rPr>
          <w:rFonts w:ascii="Times New Roman" w:hAnsi="Times New Roman"/>
        </w:rPr>
        <w:tab/>
      </w:r>
      <w:r w:rsidRPr="00366534" w:rsidR="00366534">
        <w:rPr>
          <w:rFonts w:ascii="Times New Roman" w:hAnsi="Times New Roman"/>
          <w:u w:val="single"/>
        </w:rPr>
        <w:t>Consequences to the Federal program if the collection were conducted less frequently:</w:t>
      </w:r>
    </w:p>
    <w:p w:rsidR="00A10641" w14:paraId="25F2835A" w14:textId="77777777">
      <w:pPr>
        <w:suppressAutoHyphens/>
        <w:rPr>
          <w:rFonts w:ascii="Times New Roman" w:hAnsi="Times New Roman"/>
        </w:rPr>
      </w:pPr>
    </w:p>
    <w:p w:rsidR="00A10641" w14:paraId="63A5D99A" w14:textId="77777777">
      <w:pPr>
        <w:suppressAutoHyphens/>
        <w:ind w:left="1440"/>
        <w:rPr>
          <w:rFonts w:ascii="Times New Roman" w:hAnsi="Times New Roman"/>
        </w:rPr>
      </w:pPr>
      <w:r>
        <w:rPr>
          <w:rFonts w:ascii="Times New Roman" w:hAnsi="Times New Roman"/>
        </w:rPr>
        <w:t>The collections in the interagency statement vary in frequency.  Some are one</w:t>
      </w:r>
      <w:r>
        <w:rPr>
          <w:rFonts w:ascii="Times New Roman" w:hAnsi="Times New Roman"/>
        </w:rPr>
        <w:noBreakHyphen/>
        <w:t xml:space="preserve">time </w:t>
      </w:r>
      <w:r w:rsidR="00B32BB8">
        <w:rPr>
          <w:rFonts w:ascii="Times New Roman" w:hAnsi="Times New Roman"/>
        </w:rPr>
        <w:t>recordkeeping requirements</w:t>
      </w:r>
      <w:r>
        <w:rPr>
          <w:rFonts w:ascii="Times New Roman" w:hAnsi="Times New Roman"/>
        </w:rPr>
        <w:t>; others are on occasion.  In every case, frequency is consistent with the statutory mandate.  Less frequent collection would result in non</w:t>
      </w:r>
      <w:r>
        <w:rPr>
          <w:rFonts w:ascii="Times New Roman" w:hAnsi="Times New Roman"/>
        </w:rPr>
        <w:noBreakHyphen/>
        <w:t>compliance with the law.</w:t>
      </w:r>
    </w:p>
    <w:p w:rsidR="00A10641" w14:paraId="6C99D4D7" w14:textId="77777777">
      <w:pPr>
        <w:suppressAutoHyphens/>
        <w:rPr>
          <w:rFonts w:ascii="Times New Roman" w:hAnsi="Times New Roman"/>
        </w:rPr>
      </w:pPr>
    </w:p>
    <w:p w:rsidR="00A10641" w:rsidP="00366534" w14:paraId="64872B86" w14:textId="77777777">
      <w:pPr>
        <w:suppressAutoHyphens/>
        <w:ind w:left="1440" w:hanging="360"/>
        <w:rPr>
          <w:rFonts w:ascii="Times New Roman" w:hAnsi="Times New Roman"/>
        </w:rPr>
      </w:pPr>
      <w:r>
        <w:rPr>
          <w:rFonts w:ascii="Times New Roman" w:hAnsi="Times New Roman"/>
        </w:rPr>
        <w:t>7.</w:t>
      </w:r>
      <w:r>
        <w:rPr>
          <w:rFonts w:ascii="Times New Roman" w:hAnsi="Times New Roman"/>
        </w:rPr>
        <w:tab/>
      </w:r>
      <w:r w:rsidRPr="00366534" w:rsidR="00366534">
        <w:rPr>
          <w:rFonts w:ascii="Times New Roman" w:hAnsi="Times New Roman"/>
          <w:u w:val="single"/>
        </w:rPr>
        <w:t>Special circumstances necessitating collection inconsistent with 5 CFR Part 1320.5(d)(2):</w:t>
      </w:r>
    </w:p>
    <w:p w:rsidR="00A10641" w14:paraId="309D916B" w14:textId="77777777">
      <w:pPr>
        <w:suppressAutoHyphens/>
        <w:rPr>
          <w:rFonts w:ascii="Times New Roman" w:hAnsi="Times New Roman"/>
        </w:rPr>
      </w:pPr>
    </w:p>
    <w:p w:rsidR="00A10641" w14:paraId="27E07244" w14:textId="77777777">
      <w:pPr>
        <w:suppressAutoHyphens/>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A10641" w14:paraId="688C5D9D" w14:textId="77777777">
      <w:pPr>
        <w:suppressAutoHyphens/>
        <w:rPr>
          <w:rFonts w:ascii="Times New Roman" w:hAnsi="Times New Roman"/>
        </w:rPr>
      </w:pPr>
    </w:p>
    <w:p w:rsidR="00A10641" w14:paraId="6BF031BD" w14:textId="77777777">
      <w:pPr>
        <w:suppressAutoHyphens/>
        <w:ind w:left="1080" w:hanging="1080"/>
        <w:rPr>
          <w:rFonts w:ascii="Times New Roman" w:hAnsi="Times New Roman"/>
        </w:rPr>
      </w:pPr>
      <w:r>
        <w:rPr>
          <w:rFonts w:ascii="Times New Roman" w:hAnsi="Times New Roman"/>
        </w:rPr>
        <w:tab/>
        <w:t>8.</w:t>
      </w:r>
      <w:r>
        <w:rPr>
          <w:rFonts w:ascii="Times New Roman" w:hAnsi="Times New Roman"/>
        </w:rPr>
        <w:tab/>
      </w:r>
      <w:r w:rsidRPr="00366534" w:rsidR="00366534">
        <w:rPr>
          <w:rFonts w:ascii="Times New Roman" w:hAnsi="Times New Roman"/>
          <w:u w:val="single"/>
        </w:rPr>
        <w:t>Efforts to consult with persons outside the agency:</w:t>
      </w:r>
    </w:p>
    <w:p w:rsidR="00A10641" w14:paraId="78B11A77" w14:textId="77777777">
      <w:pPr>
        <w:suppressAutoHyphens/>
        <w:rPr>
          <w:rFonts w:ascii="Times New Roman" w:hAnsi="Times New Roman"/>
        </w:rPr>
      </w:pPr>
    </w:p>
    <w:p w:rsidR="005E1A91" w:rsidRPr="005E1A91" w:rsidP="005E1A91" w14:paraId="3D513C58" w14:textId="0BED0F02">
      <w:pPr>
        <w:suppressAutoHyphens/>
        <w:ind w:left="1440"/>
        <w:rPr>
          <w:rFonts w:ascii="Times New Roman" w:hAnsi="Times New Roman"/>
        </w:rPr>
      </w:pPr>
      <w:r w:rsidRPr="005E1A91">
        <w:rPr>
          <w:rFonts w:ascii="Times New Roman" w:hAnsi="Times New Roman"/>
        </w:rPr>
        <w:t xml:space="preserve">A 60-day notice seeking public comment on the </w:t>
      </w:r>
      <w:r w:rsidR="00AF65B5">
        <w:rPr>
          <w:rFonts w:ascii="Times New Roman" w:hAnsi="Times New Roman"/>
        </w:rPr>
        <w:t>FDIC’s</w:t>
      </w:r>
      <w:r w:rsidRPr="005E1A91">
        <w:rPr>
          <w:rFonts w:ascii="Times New Roman" w:hAnsi="Times New Roman"/>
        </w:rPr>
        <w:t xml:space="preserve"> renewal of the information collection was published on </w:t>
      </w:r>
      <w:r w:rsidR="00797091">
        <w:rPr>
          <w:rFonts w:ascii="Times New Roman" w:hAnsi="Times New Roman"/>
        </w:rPr>
        <w:t>August 21, 2024</w:t>
      </w:r>
      <w:r w:rsidR="003E7A05">
        <w:rPr>
          <w:rFonts w:ascii="Times New Roman" w:hAnsi="Times New Roman"/>
        </w:rPr>
        <w:t xml:space="preserve"> (8</w:t>
      </w:r>
      <w:r w:rsidR="00797091">
        <w:rPr>
          <w:rFonts w:ascii="Times New Roman" w:hAnsi="Times New Roman"/>
        </w:rPr>
        <w:t>9</w:t>
      </w:r>
      <w:r w:rsidR="003E7A05">
        <w:rPr>
          <w:rFonts w:ascii="Times New Roman" w:hAnsi="Times New Roman"/>
        </w:rPr>
        <w:t xml:space="preserve"> FR </w:t>
      </w:r>
      <w:r w:rsidR="00797091">
        <w:rPr>
          <w:rFonts w:ascii="Times New Roman" w:hAnsi="Times New Roman"/>
        </w:rPr>
        <w:t>67635</w:t>
      </w:r>
      <w:r w:rsidR="003E7A05">
        <w:rPr>
          <w:rFonts w:ascii="Times New Roman" w:hAnsi="Times New Roman"/>
        </w:rPr>
        <w:t>)</w:t>
      </w:r>
      <w:r w:rsidRPr="005E1A91">
        <w:rPr>
          <w:rFonts w:ascii="Times New Roman" w:hAnsi="Times New Roman"/>
        </w:rPr>
        <w:t xml:space="preserve">.  No comments </w:t>
      </w:r>
      <w:r w:rsidR="00C6727F">
        <w:rPr>
          <w:rFonts w:ascii="Times New Roman" w:hAnsi="Times New Roman"/>
        </w:rPr>
        <w:t>have been</w:t>
      </w:r>
      <w:r w:rsidRPr="005E1A91">
        <w:rPr>
          <w:rFonts w:ascii="Times New Roman" w:hAnsi="Times New Roman"/>
        </w:rPr>
        <w:t xml:space="preserve"> received.</w:t>
      </w:r>
    </w:p>
    <w:p w:rsidR="00A10641" w14:paraId="7084D235" w14:textId="77777777">
      <w:pPr>
        <w:suppressAutoHyphens/>
        <w:ind w:left="1440"/>
        <w:rPr>
          <w:rFonts w:ascii="Times New Roman" w:hAnsi="Times New Roman"/>
        </w:rPr>
      </w:pPr>
    </w:p>
    <w:p w:rsidR="00366534" w:rsidRPr="00366534" w:rsidP="00366534" w14:paraId="32813E14" w14:textId="77777777">
      <w:pPr>
        <w:numPr>
          <w:ilvl w:val="0"/>
          <w:numId w:val="5"/>
        </w:numPr>
        <w:tabs>
          <w:tab w:val="num" w:pos="1440"/>
        </w:tabs>
        <w:suppressAutoHyphens/>
        <w:ind w:hanging="1215"/>
        <w:rPr>
          <w:rFonts w:ascii="Times New Roman" w:hAnsi="Times New Roman"/>
          <w:u w:val="single"/>
        </w:rPr>
      </w:pPr>
      <w:r w:rsidRPr="00366534">
        <w:rPr>
          <w:rFonts w:ascii="Times New Roman" w:hAnsi="Times New Roman"/>
          <w:u w:val="single"/>
        </w:rPr>
        <w:t>Payment or gift to respondents:</w:t>
      </w:r>
    </w:p>
    <w:p w:rsidR="00A10641" w14:paraId="233764CD" w14:textId="77777777">
      <w:pPr>
        <w:suppressAutoHyphens/>
        <w:rPr>
          <w:rFonts w:ascii="Times New Roman" w:hAnsi="Times New Roman"/>
        </w:rPr>
      </w:pPr>
    </w:p>
    <w:p w:rsidR="00A10641" w14:paraId="1F22D6A7" w14:textId="77777777">
      <w:pPr>
        <w:suppressAutoHyphens/>
        <w:ind w:left="1440"/>
        <w:rPr>
          <w:rFonts w:ascii="Times New Roman" w:hAnsi="Times New Roman"/>
        </w:rPr>
      </w:pPr>
      <w:r>
        <w:rPr>
          <w:rFonts w:ascii="Times New Roman" w:hAnsi="Times New Roman"/>
        </w:rPr>
        <w:t>None.</w:t>
      </w:r>
      <w:r>
        <w:rPr>
          <w:rFonts w:ascii="Times New Roman" w:hAnsi="Times New Roman"/>
        </w:rPr>
        <w:tab/>
      </w:r>
    </w:p>
    <w:p w:rsidR="00A10641" w14:paraId="169197C4" w14:textId="77777777">
      <w:pPr>
        <w:suppressAutoHyphens/>
        <w:rPr>
          <w:rFonts w:ascii="Times New Roman" w:hAnsi="Times New Roman"/>
        </w:rPr>
      </w:pPr>
    </w:p>
    <w:p w:rsidR="00366534" w:rsidRPr="00366534" w:rsidP="00366534" w14:paraId="6A77FE89" w14:textId="77777777">
      <w:pPr>
        <w:pStyle w:val="ListParagraph"/>
        <w:numPr>
          <w:ilvl w:val="0"/>
          <w:numId w:val="5"/>
        </w:numPr>
        <w:tabs>
          <w:tab w:val="num" w:pos="1530"/>
          <w:tab w:val="clear" w:pos="2295"/>
        </w:tabs>
        <w:suppressAutoHyphens/>
        <w:ind w:hanging="1215"/>
        <w:rPr>
          <w:rFonts w:ascii="Times New Roman" w:hAnsi="Times New Roman"/>
          <w:u w:val="single"/>
        </w:rPr>
      </w:pPr>
      <w:r w:rsidRPr="00366534">
        <w:rPr>
          <w:rFonts w:ascii="Times New Roman" w:hAnsi="Times New Roman"/>
          <w:u w:val="single"/>
        </w:rPr>
        <w:t>Any assurance of confidentiality:</w:t>
      </w:r>
    </w:p>
    <w:p w:rsidR="00A10641" w14:paraId="186CC0CA" w14:textId="77777777">
      <w:pPr>
        <w:suppressAutoHyphens/>
        <w:ind w:left="1080" w:hanging="1080"/>
        <w:rPr>
          <w:rFonts w:ascii="Times New Roman" w:hAnsi="Times New Roman"/>
        </w:rPr>
      </w:pPr>
    </w:p>
    <w:p w:rsidR="00A10641" w14:paraId="1F2CB1E4" w14:textId="77777777">
      <w:pPr>
        <w:suppressAutoHyphens/>
        <w:ind w:left="1440"/>
        <w:rPr>
          <w:rFonts w:ascii="Times New Roman" w:hAnsi="Times New Roman"/>
        </w:rPr>
      </w:pPr>
      <w:bookmarkStart w:id="0" w:name="_Hlk179359280"/>
      <w:r>
        <w:rPr>
          <w:rFonts w:ascii="Times New Roman" w:hAnsi="Times New Roman"/>
        </w:rPr>
        <w:t xml:space="preserve">The information required in the interagency statement is generally available to the public; however, any information </w:t>
      </w:r>
      <w:r w:rsidR="00B32BB8">
        <w:rPr>
          <w:rFonts w:ascii="Times New Roman" w:hAnsi="Times New Roman"/>
        </w:rPr>
        <w:t>identified by an institution as confidential may be</w:t>
      </w:r>
      <w:r>
        <w:rPr>
          <w:rFonts w:ascii="Times New Roman" w:hAnsi="Times New Roman"/>
        </w:rPr>
        <w:t xml:space="preserve"> </w:t>
      </w:r>
      <w:r w:rsidR="005E1A91">
        <w:rPr>
          <w:rFonts w:ascii="Times New Roman" w:hAnsi="Times New Roman"/>
        </w:rPr>
        <w:t>kept private to the extent provided by law.</w:t>
      </w:r>
    </w:p>
    <w:bookmarkEnd w:id="0"/>
    <w:p w:rsidR="00A10641" w14:paraId="10B14DA0" w14:textId="77777777">
      <w:pPr>
        <w:suppressAutoHyphens/>
        <w:rPr>
          <w:rFonts w:ascii="Times New Roman" w:hAnsi="Times New Roman"/>
        </w:rPr>
      </w:pPr>
      <w:r>
        <w:rPr>
          <w:rFonts w:ascii="Times New Roman" w:hAnsi="Times New Roman"/>
        </w:rPr>
        <w:br w:type="page"/>
      </w:r>
      <w:r>
        <w:rPr>
          <w:rFonts w:ascii="Times New Roman" w:hAnsi="Times New Roman"/>
        </w:rPr>
        <w:tab/>
        <w:t>11.</w:t>
      </w:r>
      <w:r>
        <w:rPr>
          <w:rFonts w:ascii="Times New Roman" w:hAnsi="Times New Roman"/>
        </w:rPr>
        <w:tab/>
      </w:r>
      <w:r w:rsidRPr="00366534" w:rsidR="00366534">
        <w:rPr>
          <w:rFonts w:ascii="Times New Roman" w:hAnsi="Times New Roman"/>
          <w:u w:val="single"/>
        </w:rPr>
        <w:t>Justification for questions of a sensitive nature:</w:t>
      </w:r>
    </w:p>
    <w:p w:rsidR="00A10641" w14:paraId="7CFBA5C6" w14:textId="77777777">
      <w:pPr>
        <w:suppressAutoHyphens/>
        <w:rPr>
          <w:rFonts w:ascii="Times New Roman" w:hAnsi="Times New Roman"/>
        </w:rPr>
      </w:pPr>
    </w:p>
    <w:p w:rsidR="00A10641" w14:paraId="5D13950A" w14:textId="77777777">
      <w:pPr>
        <w:suppressAutoHyphens/>
        <w:ind w:left="1080" w:hanging="1080"/>
        <w:rPr>
          <w:rFonts w:ascii="Times New Roman" w:hAnsi="Times New Roman"/>
        </w:rPr>
      </w:pPr>
      <w:r>
        <w:rPr>
          <w:rFonts w:ascii="Times New Roman" w:hAnsi="Times New Roman"/>
        </w:rPr>
        <w:tab/>
      </w:r>
      <w:r>
        <w:rPr>
          <w:rFonts w:ascii="Times New Roman" w:hAnsi="Times New Roman"/>
        </w:rPr>
        <w:tab/>
        <w:t>No questions of a sensitive nature are included in the collections.</w:t>
      </w:r>
    </w:p>
    <w:p w:rsidR="00A10641" w14:paraId="53498111" w14:textId="77777777">
      <w:pPr>
        <w:suppressAutoHyphens/>
        <w:rPr>
          <w:rFonts w:ascii="Times New Roman" w:hAnsi="Times New Roman"/>
        </w:rPr>
      </w:pPr>
    </w:p>
    <w:p w:rsidR="00A10641" w:rsidP="001A0299" w14:paraId="45E93A40" w14:textId="77777777">
      <w:pPr>
        <w:suppressAutoHyphens/>
        <w:rPr>
          <w:rFonts w:ascii="Times New Roman" w:hAnsi="Times New Roman"/>
          <w:u w:val="single"/>
        </w:rPr>
      </w:pPr>
      <w:r>
        <w:rPr>
          <w:rFonts w:ascii="Times New Roman" w:hAnsi="Times New Roman"/>
        </w:rPr>
        <w:tab/>
        <w:t>12.</w:t>
      </w:r>
      <w:r>
        <w:rPr>
          <w:rFonts w:ascii="Times New Roman" w:hAnsi="Times New Roman"/>
        </w:rPr>
        <w:tab/>
      </w:r>
      <w:r w:rsidRPr="00C90302" w:rsidR="00366534">
        <w:rPr>
          <w:rFonts w:ascii="Times New Roman" w:hAnsi="Times New Roman"/>
          <w:u w:val="single"/>
        </w:rPr>
        <w:t>Estimate of hour burden including annualized hourly costs:</w:t>
      </w:r>
    </w:p>
    <w:p w:rsidR="006C1BF2" w:rsidRPr="00E47080" w:rsidP="001A0299" w14:paraId="334D8920" w14:textId="77777777">
      <w:pPr>
        <w:suppressAutoHyphens/>
        <w:rPr>
          <w:rFonts w:ascii="Times New Roman" w:hAnsi="Times New Roman"/>
          <w:b/>
          <w:highlight w:val="yellow"/>
        </w:rPr>
      </w:pPr>
    </w:p>
    <w:p w:rsidR="006C1BF2" w:rsidP="006C1BF2" w14:paraId="3005F233" w14:textId="75D1D571">
      <w:pPr>
        <w:suppressAutoHyphens/>
        <w:ind w:left="1440"/>
        <w:rPr>
          <w:rFonts w:ascii="Times New Roman" w:hAnsi="Times New Roman"/>
          <w:lang w:bidi="en-US"/>
        </w:rPr>
      </w:pPr>
      <w:r>
        <w:rPr>
          <w:rFonts w:ascii="Times New Roman" w:hAnsi="Times New Roman"/>
        </w:rPr>
        <w:t>In reviewing Section 42 for the renewal of this Information Collection, the FDIC noted that it imposes three distinct requirements</w:t>
      </w:r>
      <w:r w:rsidRPr="006C1BF2">
        <w:rPr>
          <w:rFonts w:ascii="Times New Roman" w:hAnsi="Times New Roman"/>
        </w:rPr>
        <w:t>.</w:t>
      </w:r>
      <w:r>
        <w:rPr>
          <w:rFonts w:ascii="Times New Roman" w:hAnsi="Times New Roman"/>
        </w:rPr>
        <w:t xml:space="preserve">  </w:t>
      </w:r>
      <w:r w:rsidRPr="006C1BF2">
        <w:rPr>
          <w:rFonts w:ascii="Times New Roman" w:hAnsi="Times New Roman"/>
          <w:lang w:bidi="en-US"/>
        </w:rPr>
        <w:t>In the 2021 ICR, two ICs are documented: the Notice of Branch Closure</w:t>
      </w:r>
      <w:r>
        <w:rPr>
          <w:rFonts w:ascii="Times New Roman" w:hAnsi="Times New Roman"/>
          <w:lang w:bidi="en-US"/>
        </w:rPr>
        <w:t xml:space="preserve"> (a reporting requirement)</w:t>
      </w:r>
      <w:r w:rsidRPr="006C1BF2">
        <w:rPr>
          <w:rFonts w:ascii="Times New Roman" w:hAnsi="Times New Roman"/>
          <w:lang w:bidi="en-US"/>
        </w:rPr>
        <w:t xml:space="preserve"> and the Adoption of Closure Policy</w:t>
      </w:r>
      <w:r>
        <w:rPr>
          <w:rFonts w:ascii="Times New Roman" w:hAnsi="Times New Roman"/>
          <w:lang w:bidi="en-US"/>
        </w:rPr>
        <w:t xml:space="preserve"> (a recordkeeping requirement)</w:t>
      </w:r>
      <w:r w:rsidRPr="006C1BF2">
        <w:rPr>
          <w:rFonts w:ascii="Times New Roman" w:hAnsi="Times New Roman"/>
          <w:lang w:bidi="en-US"/>
        </w:rPr>
        <w:t xml:space="preserve">. The </w:t>
      </w:r>
      <w:r>
        <w:rPr>
          <w:rFonts w:ascii="Times New Roman" w:hAnsi="Times New Roman"/>
          <w:lang w:bidi="en-US"/>
        </w:rPr>
        <w:t>FDIC has determined that</w:t>
      </w:r>
      <w:r w:rsidRPr="006C1BF2">
        <w:rPr>
          <w:rFonts w:ascii="Times New Roman" w:hAnsi="Times New Roman"/>
          <w:lang w:bidi="en-US"/>
        </w:rPr>
        <w:t xml:space="preserve"> it is more appropriate to categorize the Notice of Branch Closure as two separate ICs, since </w:t>
      </w:r>
      <w:r>
        <w:rPr>
          <w:rFonts w:ascii="Times New Roman" w:hAnsi="Times New Roman"/>
          <w:lang w:bidi="en-US"/>
        </w:rPr>
        <w:t xml:space="preserve">Section 42 requires that </w:t>
      </w:r>
      <w:r w:rsidRPr="006C1BF2">
        <w:rPr>
          <w:rFonts w:ascii="Times New Roman" w:hAnsi="Times New Roman"/>
          <w:lang w:bidi="en-US"/>
        </w:rPr>
        <w:t xml:space="preserve">the notice </w:t>
      </w:r>
      <w:r>
        <w:rPr>
          <w:rFonts w:ascii="Times New Roman" w:hAnsi="Times New Roman"/>
          <w:lang w:bidi="en-US"/>
        </w:rPr>
        <w:t>be</w:t>
      </w:r>
      <w:r w:rsidRPr="006C1BF2">
        <w:rPr>
          <w:rFonts w:ascii="Times New Roman" w:hAnsi="Times New Roman"/>
          <w:lang w:bidi="en-US"/>
        </w:rPr>
        <w:t xml:space="preserve"> sent to both the FDIC and </w:t>
      </w:r>
      <w:r>
        <w:rPr>
          <w:rFonts w:ascii="Times New Roman" w:hAnsi="Times New Roman"/>
          <w:lang w:bidi="en-US"/>
        </w:rPr>
        <w:t>to bank customers</w:t>
      </w:r>
      <w:r w:rsidRPr="006C1BF2">
        <w:rPr>
          <w:rFonts w:ascii="Times New Roman" w:hAnsi="Times New Roman"/>
          <w:lang w:bidi="en-US"/>
        </w:rPr>
        <w:t xml:space="preserve">. The notice to the FDIC is </w:t>
      </w:r>
      <w:r w:rsidR="00C6748B">
        <w:rPr>
          <w:rFonts w:ascii="Times New Roman" w:hAnsi="Times New Roman"/>
          <w:lang w:bidi="en-US"/>
        </w:rPr>
        <w:t xml:space="preserve">properly </w:t>
      </w:r>
      <w:r w:rsidRPr="006C1BF2">
        <w:rPr>
          <w:rFonts w:ascii="Times New Roman" w:hAnsi="Times New Roman"/>
          <w:lang w:bidi="en-US"/>
        </w:rPr>
        <w:t xml:space="preserve">categorized as a reporting requirement and </w:t>
      </w:r>
      <w:r w:rsidR="00C6748B">
        <w:rPr>
          <w:rFonts w:ascii="Times New Roman" w:hAnsi="Times New Roman"/>
          <w:lang w:bidi="en-US"/>
        </w:rPr>
        <w:t>the</w:t>
      </w:r>
      <w:r w:rsidRPr="006C1BF2">
        <w:rPr>
          <w:rFonts w:ascii="Times New Roman" w:hAnsi="Times New Roman"/>
          <w:lang w:bidi="en-US"/>
        </w:rPr>
        <w:t xml:space="preserve"> notice to </w:t>
      </w:r>
      <w:r w:rsidR="00C6748B">
        <w:rPr>
          <w:rFonts w:ascii="Times New Roman" w:hAnsi="Times New Roman"/>
          <w:lang w:bidi="en-US"/>
        </w:rPr>
        <w:t>bank customers</w:t>
      </w:r>
      <w:r w:rsidRPr="006C1BF2">
        <w:rPr>
          <w:rFonts w:ascii="Times New Roman" w:hAnsi="Times New Roman"/>
          <w:lang w:bidi="en-US"/>
        </w:rPr>
        <w:t xml:space="preserve"> is categorized as a </w:t>
      </w:r>
      <w:r w:rsidR="00C6748B">
        <w:rPr>
          <w:rFonts w:ascii="Times New Roman" w:hAnsi="Times New Roman"/>
          <w:lang w:bidi="en-US"/>
        </w:rPr>
        <w:t xml:space="preserve">third-party </w:t>
      </w:r>
      <w:r w:rsidRPr="006C1BF2">
        <w:rPr>
          <w:rFonts w:ascii="Times New Roman" w:hAnsi="Times New Roman"/>
          <w:lang w:bidi="en-US"/>
        </w:rPr>
        <w:t>disclosure requirement</w:t>
      </w:r>
    </w:p>
    <w:p w:rsidR="00C6748B" w:rsidP="006C1BF2" w14:paraId="3CAE2828" w14:textId="77777777">
      <w:pPr>
        <w:suppressAutoHyphens/>
        <w:ind w:left="1440"/>
        <w:rPr>
          <w:rFonts w:ascii="Times New Roman" w:hAnsi="Times New Roman"/>
          <w:lang w:bidi="en-US"/>
        </w:rPr>
      </w:pPr>
    </w:p>
    <w:p w:rsidR="00C6748B" w:rsidP="006C1BF2" w14:paraId="4A43B0F9" w14:textId="3FD8AC51">
      <w:pPr>
        <w:suppressAutoHyphens/>
        <w:ind w:left="1440"/>
        <w:rPr>
          <w:rFonts w:ascii="Times New Roman" w:hAnsi="Times New Roman"/>
          <w:lang w:bidi="en-US"/>
        </w:rPr>
      </w:pPr>
      <w:r w:rsidRPr="00C6748B">
        <w:rPr>
          <w:rFonts w:ascii="Times New Roman" w:hAnsi="Times New Roman"/>
          <w:lang w:bidi="en-US"/>
        </w:rPr>
        <w:t xml:space="preserve">To estimate the burdens, </w:t>
      </w:r>
      <w:r>
        <w:rPr>
          <w:rFonts w:ascii="Times New Roman" w:hAnsi="Times New Roman"/>
          <w:lang w:bidi="en-US"/>
        </w:rPr>
        <w:t>FDIC</w:t>
      </w:r>
      <w:r w:rsidRPr="00C6748B">
        <w:rPr>
          <w:rFonts w:ascii="Times New Roman" w:hAnsi="Times New Roman"/>
          <w:lang w:bidi="en-US"/>
        </w:rPr>
        <w:t xml:space="preserve"> use</w:t>
      </w:r>
      <w:r>
        <w:rPr>
          <w:rFonts w:ascii="Times New Roman" w:hAnsi="Times New Roman"/>
          <w:lang w:bidi="en-US"/>
        </w:rPr>
        <w:t>s</w:t>
      </w:r>
      <w:r w:rsidRPr="00C6748B">
        <w:rPr>
          <w:rFonts w:ascii="Times New Roman" w:hAnsi="Times New Roman"/>
          <w:lang w:bidi="en-US"/>
        </w:rPr>
        <w:t xml:space="preserve"> historical counts of branch closings for IC1 and IC2 and historical counts of branch openings for IC3 during the period of 2018 to 2023. </w:t>
      </w:r>
      <w:r w:rsidR="00DB1A5C">
        <w:rPr>
          <w:rFonts w:ascii="Times New Roman" w:hAnsi="Times New Roman"/>
          <w:lang w:bidi="en-US"/>
        </w:rPr>
        <w:t>FDIC has</w:t>
      </w:r>
      <w:r w:rsidRPr="00C6748B">
        <w:rPr>
          <w:rFonts w:ascii="Times New Roman" w:hAnsi="Times New Roman"/>
          <w:lang w:bidi="en-US"/>
        </w:rPr>
        <w:t xml:space="preserve"> revised the definition of “branch” used in </w:t>
      </w:r>
      <w:r w:rsidR="00DB1A5C">
        <w:rPr>
          <w:rFonts w:ascii="Times New Roman" w:hAnsi="Times New Roman"/>
          <w:lang w:bidi="en-US"/>
        </w:rPr>
        <w:t>its burden</w:t>
      </w:r>
      <w:r w:rsidRPr="00C6748B">
        <w:rPr>
          <w:rFonts w:ascii="Times New Roman" w:hAnsi="Times New Roman"/>
          <w:lang w:bidi="en-US"/>
        </w:rPr>
        <w:t xml:space="preserve"> estimation. The 2021 ICR’s estimate of branch closures was made by counting the closure of branches with the service descriptions, “Full Service – Brick and Mortar Office,” “Full Service – Retail Office,” “Limited Service – Messenger Office,” or “Limited</w:t>
      </w:r>
      <w:r w:rsidR="00DB1A5C">
        <w:rPr>
          <w:rFonts w:ascii="Times New Roman" w:hAnsi="Times New Roman"/>
          <w:lang w:bidi="en-US"/>
        </w:rPr>
        <w:t>-</w:t>
      </w:r>
      <w:r w:rsidRPr="00C6748B">
        <w:rPr>
          <w:rFonts w:ascii="Times New Roman" w:hAnsi="Times New Roman"/>
          <w:lang w:bidi="en-US"/>
        </w:rPr>
        <w:t xml:space="preserve">Service – Retail Office.”  </w:t>
      </w:r>
      <w:r w:rsidR="00DB1A5C">
        <w:rPr>
          <w:rFonts w:ascii="Times New Roman" w:hAnsi="Times New Roman"/>
          <w:lang w:bidi="en-US"/>
        </w:rPr>
        <w:t>The current estimate</w:t>
      </w:r>
      <w:r w:rsidRPr="00C6748B">
        <w:rPr>
          <w:rFonts w:ascii="Times New Roman" w:hAnsi="Times New Roman"/>
          <w:lang w:bidi="en-US"/>
        </w:rPr>
        <w:t xml:space="preserve"> exclude</w:t>
      </w:r>
      <w:r w:rsidR="00DB1A5C">
        <w:rPr>
          <w:rFonts w:ascii="Times New Roman" w:hAnsi="Times New Roman"/>
          <w:lang w:bidi="en-US"/>
        </w:rPr>
        <w:t>s</w:t>
      </w:r>
      <w:r w:rsidRPr="00C6748B">
        <w:rPr>
          <w:rFonts w:ascii="Times New Roman" w:hAnsi="Times New Roman"/>
          <w:lang w:bidi="en-US"/>
        </w:rPr>
        <w:t xml:space="preserve"> the </w:t>
      </w:r>
      <w:r w:rsidRPr="00C6748B" w:rsidR="00DB1A5C">
        <w:rPr>
          <w:rFonts w:ascii="Times New Roman" w:hAnsi="Times New Roman"/>
          <w:lang w:bidi="en-US"/>
        </w:rPr>
        <w:t>limited-service</w:t>
      </w:r>
      <w:r w:rsidRPr="00C6748B">
        <w:rPr>
          <w:rFonts w:ascii="Times New Roman" w:hAnsi="Times New Roman"/>
          <w:lang w:bidi="en-US"/>
        </w:rPr>
        <w:t xml:space="preserve"> descriptions as they do not comport with the definition of branch </w:t>
      </w:r>
      <w:r w:rsidR="00DB1A5C">
        <w:rPr>
          <w:rFonts w:ascii="Times New Roman" w:hAnsi="Times New Roman"/>
          <w:lang w:bidi="en-US"/>
        </w:rPr>
        <w:t>indicated</w:t>
      </w:r>
      <w:r w:rsidRPr="00C6748B">
        <w:rPr>
          <w:rFonts w:ascii="Times New Roman" w:hAnsi="Times New Roman"/>
          <w:lang w:bidi="en-US"/>
        </w:rPr>
        <w:t xml:space="preserve"> in the Policy Statement on Branch </w:t>
      </w:r>
      <w:r w:rsidRPr="00C6748B" w:rsidR="00DB1A5C">
        <w:rPr>
          <w:rFonts w:ascii="Times New Roman" w:hAnsi="Times New Roman"/>
          <w:lang w:bidi="en-US"/>
        </w:rPr>
        <w:t>Closings or</w:t>
      </w:r>
      <w:r w:rsidRPr="00C6748B">
        <w:rPr>
          <w:rFonts w:ascii="Times New Roman" w:hAnsi="Times New Roman"/>
          <w:lang w:bidi="en-US"/>
        </w:rPr>
        <w:t xml:space="preserve"> in the 2023 Statement of Deposit Reporting Instructions.   The PRA requirements imposed by Section 42 do not apply to the closures of these </w:t>
      </w:r>
      <w:r w:rsidRPr="00C6748B" w:rsidR="00DB1A5C">
        <w:rPr>
          <w:rFonts w:ascii="Times New Roman" w:hAnsi="Times New Roman"/>
          <w:lang w:bidi="en-US"/>
        </w:rPr>
        <w:t>limited-service</w:t>
      </w:r>
      <w:r w:rsidRPr="00C6748B">
        <w:rPr>
          <w:rFonts w:ascii="Times New Roman" w:hAnsi="Times New Roman"/>
          <w:lang w:bidi="en-US"/>
        </w:rPr>
        <w:t xml:space="preserve"> branches.</w:t>
      </w:r>
    </w:p>
    <w:p w:rsidR="00B77359" w:rsidP="006C1BF2" w14:paraId="53C6443B" w14:textId="77777777">
      <w:pPr>
        <w:suppressAutoHyphens/>
        <w:ind w:left="1440"/>
        <w:rPr>
          <w:rFonts w:ascii="Times New Roman" w:hAnsi="Times New Roman"/>
          <w:lang w:bidi="en-US"/>
        </w:rPr>
      </w:pPr>
    </w:p>
    <w:p w:rsidR="00B77359" w:rsidRPr="00B77359" w:rsidP="006C1BF2" w14:paraId="0F06AA1F" w14:textId="4B12D290">
      <w:pPr>
        <w:suppressAutoHyphens/>
        <w:ind w:left="1440"/>
        <w:rPr>
          <w:rFonts w:ascii="Times New Roman" w:hAnsi="Times New Roman"/>
          <w:b/>
          <w:bCs/>
          <w:lang w:bidi="en-US"/>
        </w:rPr>
      </w:pPr>
      <w:r w:rsidRPr="00B77359">
        <w:rPr>
          <w:rFonts w:ascii="Times New Roman" w:hAnsi="Times New Roman"/>
          <w:b/>
          <w:bCs/>
          <w:lang w:bidi="en-US"/>
        </w:rPr>
        <w:t>Estimated Number of Respondents</w:t>
      </w:r>
    </w:p>
    <w:p w:rsidR="00C6748B" w:rsidP="006C1BF2" w14:paraId="18CB8743" w14:textId="77777777">
      <w:pPr>
        <w:suppressAutoHyphens/>
        <w:ind w:left="1440"/>
        <w:rPr>
          <w:rFonts w:ascii="Times New Roman" w:hAnsi="Times New Roman"/>
          <w:lang w:bidi="en-US"/>
        </w:rPr>
      </w:pPr>
    </w:p>
    <w:p w:rsidR="00C6748B" w:rsidP="006C1BF2" w14:paraId="479B5896" w14:textId="64D9492F">
      <w:pPr>
        <w:suppressAutoHyphens/>
        <w:ind w:left="1440"/>
        <w:rPr>
          <w:rFonts w:ascii="Times New Roman" w:hAnsi="Times New Roman"/>
        </w:rPr>
      </w:pPr>
      <w:r w:rsidRPr="00B77359">
        <w:rPr>
          <w:rFonts w:ascii="Times New Roman" w:hAnsi="Times New Roman"/>
        </w:rPr>
        <w:t xml:space="preserve">Potential respondents to OMB No. 3064-0109 are FDIC-supervised </w:t>
      </w:r>
      <w:r>
        <w:rPr>
          <w:rFonts w:ascii="Times New Roman" w:hAnsi="Times New Roman"/>
        </w:rPr>
        <w:t>Insured Depository Institutions (IDIs)</w:t>
      </w:r>
      <w:r w:rsidRPr="00B77359">
        <w:rPr>
          <w:rFonts w:ascii="Times New Roman" w:hAnsi="Times New Roman"/>
        </w:rPr>
        <w:t>s with branches. The FDIC supervises 2,920 IDIs, as of March 31, 2024. Among all FDIC-supervised IDIs, 2,407 (82 percent) reported operating one or more branches as of December 31, 2023.</w:t>
      </w:r>
      <w:r>
        <w:rPr>
          <w:rStyle w:val="FootnoteReference"/>
          <w:rFonts w:ascii="Times New Roman" w:hAnsi="Times New Roman"/>
        </w:rPr>
        <w:footnoteReference w:id="2"/>
      </w:r>
      <w:r w:rsidRPr="00B77359">
        <w:rPr>
          <w:rFonts w:ascii="Times New Roman" w:hAnsi="Times New Roman"/>
        </w:rPr>
        <w:t xml:space="preserve">   To estimate the number of respondents for IC1 and IC2, </w:t>
      </w:r>
      <w:r>
        <w:rPr>
          <w:rFonts w:ascii="Times New Roman" w:hAnsi="Times New Roman"/>
        </w:rPr>
        <w:t>FDIC</w:t>
      </w:r>
      <w:r w:rsidRPr="00B77359">
        <w:rPr>
          <w:rFonts w:ascii="Times New Roman" w:hAnsi="Times New Roman"/>
        </w:rPr>
        <w:t xml:space="preserve"> used the average number of FDIC-supervised institutions that closed a branch each year from 2018 to 2023.</w:t>
      </w:r>
      <w:r>
        <w:rPr>
          <w:rStyle w:val="FootnoteReference"/>
          <w:rFonts w:ascii="Times New Roman" w:hAnsi="Times New Roman"/>
        </w:rPr>
        <w:footnoteReference w:id="3"/>
      </w:r>
      <w:r w:rsidRPr="00B77359">
        <w:rPr>
          <w:rFonts w:ascii="Times New Roman" w:hAnsi="Times New Roman"/>
        </w:rPr>
        <w:t xml:space="preserve">  To </w:t>
      </w:r>
      <w:r w:rsidRPr="00B77359">
        <w:rPr>
          <w:rFonts w:ascii="Times New Roman" w:hAnsi="Times New Roman"/>
        </w:rPr>
        <w:t xml:space="preserve">estimate the number of respondents for IC3, </w:t>
      </w:r>
      <w:r>
        <w:rPr>
          <w:rFonts w:ascii="Times New Roman" w:hAnsi="Times New Roman"/>
        </w:rPr>
        <w:t>FDIC</w:t>
      </w:r>
      <w:r w:rsidRPr="00B77359">
        <w:rPr>
          <w:rFonts w:ascii="Times New Roman" w:hAnsi="Times New Roman"/>
        </w:rPr>
        <w:t xml:space="preserve"> used the average number of institutions that opened their first branch or began operating as a branch bank during this period.</w:t>
      </w:r>
      <w:r>
        <w:rPr>
          <w:rStyle w:val="FootnoteReference"/>
          <w:rFonts w:ascii="Times New Roman" w:hAnsi="Times New Roman"/>
        </w:rPr>
        <w:footnoteReference w:id="4"/>
      </w:r>
    </w:p>
    <w:p w:rsidR="00B77359" w:rsidP="006C1BF2" w14:paraId="13F68B8D" w14:textId="77777777">
      <w:pPr>
        <w:suppressAutoHyphens/>
        <w:ind w:left="1440"/>
        <w:rPr>
          <w:rFonts w:ascii="Times New Roman" w:hAnsi="Times New Roman"/>
        </w:rPr>
      </w:pPr>
    </w:p>
    <w:p w:rsidR="00B77359" w:rsidP="00B77359" w14:paraId="7914E940" w14:textId="17200C19">
      <w:pPr>
        <w:suppressAutoHyphens/>
        <w:ind w:left="1440"/>
        <w:rPr>
          <w:rFonts w:ascii="Times New Roman" w:hAnsi="Times New Roman"/>
          <w:vertAlign w:val="superscript"/>
        </w:rPr>
      </w:pPr>
      <w:r w:rsidRPr="00B77359">
        <w:rPr>
          <w:rFonts w:ascii="Times New Roman" w:hAnsi="Times New Roman"/>
        </w:rPr>
        <w:t>According to FDIC data, 961 FDIC-supervised IDIs closed a collective total of 4,949 branches</w:t>
      </w:r>
      <w:r>
        <w:rPr>
          <w:rFonts w:ascii="Times New Roman" w:hAnsi="Times New Roman"/>
          <w:vertAlign w:val="superscript"/>
        </w:rPr>
        <w:footnoteReference w:id="5"/>
      </w:r>
      <w:r w:rsidRPr="004B382E">
        <w:rPr>
          <w:rFonts w:ascii="Times New Roman" w:hAnsi="Times New Roman"/>
          <w:vertAlign w:val="superscript"/>
        </w:rPr>
        <w:t xml:space="preserve"> </w:t>
      </w:r>
      <w:r w:rsidRPr="00B77359">
        <w:rPr>
          <w:rFonts w:ascii="Times New Roman" w:hAnsi="Times New Roman"/>
        </w:rPr>
        <w:t>between 2018 and 2023.</w:t>
      </w:r>
      <w:r>
        <w:rPr>
          <w:rFonts w:ascii="Times New Roman" w:hAnsi="Times New Roman"/>
          <w:vertAlign w:val="superscript"/>
        </w:rPr>
        <w:footnoteReference w:id="6"/>
      </w:r>
      <w:r w:rsidRPr="004B382E">
        <w:rPr>
          <w:rFonts w:ascii="Times New Roman" w:hAnsi="Times New Roman"/>
          <w:vertAlign w:val="superscript"/>
        </w:rPr>
        <w:t xml:space="preserve"> </w:t>
      </w:r>
      <w:r w:rsidRPr="00B77359">
        <w:rPr>
          <w:rFonts w:ascii="Times New Roman" w:hAnsi="Times New Roman"/>
        </w:rPr>
        <w:t xml:space="preserve">To account for the fact that the number of IDIs that close branches changes from year to year, </w:t>
      </w:r>
      <w:r w:rsidR="004B382E">
        <w:rPr>
          <w:rFonts w:ascii="Times New Roman" w:hAnsi="Times New Roman"/>
        </w:rPr>
        <w:t>FDIC</w:t>
      </w:r>
      <w:r w:rsidRPr="00B77359">
        <w:rPr>
          <w:rFonts w:ascii="Times New Roman" w:hAnsi="Times New Roman"/>
        </w:rPr>
        <w:t xml:space="preserve"> estimated the number of respondents by adding the number of total distinct FDIC-supervised IDIs in each year from 2018 to 2023 and dividing the total by six, the total number of years in the time period, to calculate the average. See Table 1 for the yearly breakdown of number of IDIs that closed </w:t>
      </w:r>
      <w:r w:rsidRPr="00B77359" w:rsidR="004B382E">
        <w:rPr>
          <w:rFonts w:ascii="Times New Roman" w:hAnsi="Times New Roman"/>
        </w:rPr>
        <w:t>branches,</w:t>
      </w:r>
      <w:r w:rsidRPr="00B77359">
        <w:rPr>
          <w:rFonts w:ascii="Times New Roman" w:hAnsi="Times New Roman"/>
        </w:rPr>
        <w:t xml:space="preserve"> and the number of branches closed. Using this data, </w:t>
      </w:r>
      <w:r w:rsidR="004B382E">
        <w:rPr>
          <w:rFonts w:ascii="Times New Roman" w:hAnsi="Times New Roman"/>
        </w:rPr>
        <w:t>FDIC</w:t>
      </w:r>
      <w:r w:rsidRPr="00B77359">
        <w:rPr>
          <w:rFonts w:ascii="Times New Roman" w:hAnsi="Times New Roman"/>
        </w:rPr>
        <w:t xml:space="preserve"> estimate</w:t>
      </w:r>
      <w:r w:rsidR="004B382E">
        <w:rPr>
          <w:rFonts w:ascii="Times New Roman" w:hAnsi="Times New Roman"/>
        </w:rPr>
        <w:t>s</w:t>
      </w:r>
      <w:r w:rsidRPr="00B77359">
        <w:rPr>
          <w:rFonts w:ascii="Times New Roman" w:hAnsi="Times New Roman"/>
        </w:rPr>
        <w:t xml:space="preserve"> 276 respondents per year (1,657 respondents / six years) to IC1 and IC</w:t>
      </w:r>
      <w:r w:rsidRPr="00B77359" w:rsidR="00E03A6E">
        <w:rPr>
          <w:rFonts w:ascii="Times New Roman" w:hAnsi="Times New Roman"/>
        </w:rPr>
        <w:t>2</w:t>
      </w:r>
      <w:r w:rsidR="00E03A6E">
        <w:rPr>
          <w:rFonts w:ascii="Times New Roman" w:hAnsi="Times New Roman"/>
        </w:rPr>
        <w:t>.</w:t>
      </w:r>
      <w:r>
        <w:rPr>
          <w:rFonts w:ascii="Times New Roman" w:hAnsi="Times New Roman"/>
          <w:vertAlign w:val="superscript"/>
        </w:rPr>
        <w:footnoteReference w:id="7"/>
      </w:r>
    </w:p>
    <w:p w:rsidR="00E03A6E" w:rsidP="00B77359" w14:paraId="2E41A57C" w14:textId="77777777">
      <w:pPr>
        <w:suppressAutoHyphens/>
        <w:ind w:left="1440"/>
        <w:rPr>
          <w:rFonts w:ascii="Times New Roman" w:hAnsi="Times New Roman"/>
          <w:vertAlign w:val="superscript"/>
        </w:rPr>
      </w:pPr>
    </w:p>
    <w:tbl>
      <w:tblPr>
        <w:tblW w:w="9355" w:type="dxa"/>
        <w:tblLook w:val="04A0"/>
      </w:tblPr>
      <w:tblGrid>
        <w:gridCol w:w="2875"/>
        <w:gridCol w:w="3600"/>
        <w:gridCol w:w="2880"/>
      </w:tblGrid>
      <w:tr w14:paraId="0231A8F6" w14:textId="77777777" w:rsidTr="00593E96">
        <w:tblPrEx>
          <w:tblW w:w="9355" w:type="dxa"/>
          <w:tblLook w:val="04A0"/>
        </w:tblPrEx>
        <w:trPr>
          <w:trHeight w:val="330"/>
        </w:trPr>
        <w:tc>
          <w:tcPr>
            <w:tcW w:w="93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3D97C371" w14:textId="77777777">
            <w:pPr>
              <w:widowControl/>
              <w:jc w:val="center"/>
              <w:rPr>
                <w:rFonts w:ascii="Times New Roman" w:hAnsi="Times New Roman"/>
                <w:snapToGrid/>
                <w:color w:val="000000"/>
                <w:szCs w:val="24"/>
              </w:rPr>
            </w:pPr>
            <w:r w:rsidRPr="00E03A6E">
              <w:rPr>
                <w:rFonts w:ascii="Times New Roman" w:hAnsi="Times New Roman"/>
                <w:snapToGrid/>
                <w:color w:val="000000"/>
                <w:szCs w:val="24"/>
              </w:rPr>
              <w:t>Table 1. Summary of Number of FDIC-Supervised IDIs and Branches Closed from 2018-2023 (OMB No. 3064-0109)</w:t>
            </w:r>
          </w:p>
        </w:tc>
      </w:tr>
      <w:tr w14:paraId="5624D7C8"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462B8FDA" w14:textId="77777777">
            <w:pPr>
              <w:widowControl/>
              <w:rPr>
                <w:rFonts w:ascii="Source Sans Pro" w:hAnsi="Source Sans Pro" w:cs="Calibri"/>
                <w:snapToGrid/>
                <w:color w:val="000000"/>
                <w:sz w:val="20"/>
              </w:rPr>
            </w:pPr>
            <w:r w:rsidRPr="00E03A6E">
              <w:rPr>
                <w:rFonts w:ascii="Source Sans Pro" w:hAnsi="Source Sans Pro" w:cs="Calibri"/>
                <w:snapToGrid/>
                <w:color w:val="000000"/>
                <w:sz w:val="20"/>
              </w:rPr>
              <w:t>Year</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103A77AA" w14:textId="77777777">
            <w:pPr>
              <w:widowControl/>
              <w:rPr>
                <w:rFonts w:ascii="Times New Roman" w:hAnsi="Times New Roman"/>
                <w:snapToGrid/>
                <w:color w:val="000000"/>
                <w:sz w:val="20"/>
              </w:rPr>
            </w:pPr>
            <w:r w:rsidRPr="00E03A6E">
              <w:rPr>
                <w:rFonts w:ascii="Times New Roman" w:hAnsi="Times New Roman"/>
                <w:snapToGrid/>
                <w:color w:val="000000"/>
                <w:sz w:val="20"/>
              </w:rPr>
              <w:t>FDIC-Supervised IDIs</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2E0D7A98" w14:textId="77777777">
            <w:pPr>
              <w:widowControl/>
              <w:rPr>
                <w:rFonts w:ascii="Source Sans Pro" w:hAnsi="Source Sans Pro" w:cs="Calibri"/>
                <w:snapToGrid/>
                <w:color w:val="000000"/>
                <w:sz w:val="20"/>
              </w:rPr>
            </w:pPr>
            <w:r w:rsidRPr="00E03A6E">
              <w:rPr>
                <w:rFonts w:ascii="Source Sans Pro" w:hAnsi="Source Sans Pro" w:cs="Calibri"/>
                <w:snapToGrid/>
                <w:color w:val="000000"/>
                <w:sz w:val="20"/>
              </w:rPr>
              <w:t>Branches</w:t>
            </w:r>
          </w:p>
        </w:tc>
      </w:tr>
      <w:tr w14:paraId="36F78CA1"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5E770732"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2018</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175BE674" w14:textId="77777777">
            <w:pPr>
              <w:widowControl/>
              <w:jc w:val="right"/>
              <w:rPr>
                <w:rFonts w:ascii="Times New Roman" w:hAnsi="Times New Roman"/>
                <w:snapToGrid/>
                <w:color w:val="000000"/>
                <w:sz w:val="20"/>
              </w:rPr>
            </w:pPr>
            <w:r w:rsidRPr="00E03A6E">
              <w:rPr>
                <w:rFonts w:ascii="Times New Roman" w:hAnsi="Times New Roman"/>
                <w:snapToGrid/>
                <w:color w:val="000000"/>
                <w:sz w:val="20"/>
              </w:rPr>
              <w:t>269</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3BA4A916"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730</w:t>
            </w:r>
          </w:p>
        </w:tc>
      </w:tr>
      <w:tr w14:paraId="757C8A72"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51DADBF2"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2019</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5434BC7D" w14:textId="77777777">
            <w:pPr>
              <w:widowControl/>
              <w:jc w:val="right"/>
              <w:rPr>
                <w:rFonts w:ascii="Times New Roman" w:hAnsi="Times New Roman"/>
                <w:snapToGrid/>
                <w:color w:val="000000"/>
                <w:sz w:val="20"/>
              </w:rPr>
            </w:pPr>
            <w:r w:rsidRPr="00E03A6E">
              <w:rPr>
                <w:rFonts w:ascii="Times New Roman" w:hAnsi="Times New Roman"/>
                <w:snapToGrid/>
                <w:color w:val="000000"/>
                <w:sz w:val="20"/>
              </w:rPr>
              <w:t>261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062FDEA1"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678</w:t>
            </w:r>
          </w:p>
        </w:tc>
      </w:tr>
      <w:tr w14:paraId="112C2B50"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45D82DF3"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2020</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1167AAE8" w14:textId="77777777">
            <w:pPr>
              <w:widowControl/>
              <w:jc w:val="right"/>
              <w:rPr>
                <w:rFonts w:ascii="Times New Roman" w:hAnsi="Times New Roman"/>
                <w:snapToGrid/>
                <w:color w:val="000000"/>
                <w:sz w:val="20"/>
              </w:rPr>
            </w:pPr>
            <w:r w:rsidRPr="00E03A6E">
              <w:rPr>
                <w:rFonts w:ascii="Times New Roman" w:hAnsi="Times New Roman"/>
                <w:snapToGrid/>
                <w:color w:val="000000"/>
                <w:sz w:val="20"/>
              </w:rPr>
              <w:t>317</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511441C6"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873</w:t>
            </w:r>
          </w:p>
        </w:tc>
      </w:tr>
      <w:tr w14:paraId="0E19DC99"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6686627E"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2021</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4C7D7216" w14:textId="77777777">
            <w:pPr>
              <w:widowControl/>
              <w:jc w:val="right"/>
              <w:rPr>
                <w:rFonts w:ascii="Times New Roman" w:hAnsi="Times New Roman"/>
                <w:snapToGrid/>
                <w:color w:val="000000"/>
                <w:sz w:val="20"/>
              </w:rPr>
            </w:pPr>
            <w:r w:rsidRPr="00E03A6E">
              <w:rPr>
                <w:rFonts w:ascii="Times New Roman" w:hAnsi="Times New Roman"/>
                <w:snapToGrid/>
                <w:color w:val="000000"/>
                <w:sz w:val="20"/>
              </w:rPr>
              <w:t>317</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038E8891"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1097</w:t>
            </w:r>
          </w:p>
        </w:tc>
      </w:tr>
      <w:tr w14:paraId="42FE2F45"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11309CB9"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2022</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10F90F18" w14:textId="77777777">
            <w:pPr>
              <w:widowControl/>
              <w:jc w:val="right"/>
              <w:rPr>
                <w:rFonts w:ascii="Times New Roman" w:hAnsi="Times New Roman"/>
                <w:snapToGrid/>
                <w:color w:val="000000"/>
                <w:sz w:val="20"/>
              </w:rPr>
            </w:pPr>
            <w:r w:rsidRPr="00E03A6E">
              <w:rPr>
                <w:rFonts w:ascii="Times New Roman" w:hAnsi="Times New Roman"/>
                <w:snapToGrid/>
                <w:color w:val="000000"/>
                <w:sz w:val="20"/>
              </w:rPr>
              <w:t>292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3DC4D3CD"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1034</w:t>
            </w:r>
          </w:p>
        </w:tc>
      </w:tr>
      <w:tr w14:paraId="74BF8D90"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2C685511"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2023</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39942F57" w14:textId="77777777">
            <w:pPr>
              <w:widowControl/>
              <w:jc w:val="right"/>
              <w:rPr>
                <w:rFonts w:ascii="Times New Roman" w:hAnsi="Times New Roman"/>
                <w:snapToGrid/>
                <w:color w:val="000000"/>
                <w:sz w:val="20"/>
              </w:rPr>
            </w:pPr>
            <w:r w:rsidRPr="00E03A6E">
              <w:rPr>
                <w:rFonts w:ascii="Times New Roman" w:hAnsi="Times New Roman"/>
                <w:snapToGrid/>
                <w:color w:val="000000"/>
                <w:sz w:val="20"/>
              </w:rPr>
              <w:t>201</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04E8DEFF" w14:textId="77777777">
            <w:pPr>
              <w:widowControl/>
              <w:jc w:val="right"/>
              <w:rPr>
                <w:rFonts w:ascii="Source Sans Pro" w:hAnsi="Source Sans Pro" w:cs="Calibri"/>
                <w:snapToGrid/>
                <w:color w:val="000000"/>
                <w:sz w:val="20"/>
              </w:rPr>
            </w:pPr>
            <w:r w:rsidRPr="00E03A6E">
              <w:rPr>
                <w:rFonts w:ascii="Source Sans Pro" w:hAnsi="Source Sans Pro" w:cs="Calibri"/>
                <w:snapToGrid/>
                <w:color w:val="000000"/>
                <w:sz w:val="20"/>
              </w:rPr>
              <w:t>537</w:t>
            </w:r>
          </w:p>
        </w:tc>
      </w:tr>
      <w:tr w14:paraId="6C7AE6B2"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73A6BE9A" w14:textId="32B7EDC7">
            <w:pPr>
              <w:widowControl/>
              <w:jc w:val="right"/>
              <w:rPr>
                <w:rFonts w:ascii="Source Sans Pro" w:hAnsi="Source Sans Pro" w:cs="Calibri"/>
                <w:b/>
                <w:i/>
                <w:snapToGrid/>
                <w:color w:val="000000"/>
                <w:sz w:val="20"/>
              </w:rPr>
            </w:pPr>
            <w:r w:rsidRPr="00E03A6E">
              <w:rPr>
                <w:rFonts w:ascii="Source Sans Pro" w:hAnsi="Source Sans Pro" w:cs="Calibri"/>
                <w:b/>
                <w:i/>
                <w:snapToGrid/>
                <w:color w:val="000000"/>
                <w:sz w:val="20"/>
              </w:rPr>
              <w:t>TOTAL:</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5EEB0C5C" w14:textId="77777777">
            <w:pPr>
              <w:widowControl/>
              <w:jc w:val="right"/>
              <w:rPr>
                <w:rFonts w:ascii="Times New Roman" w:hAnsi="Times New Roman"/>
                <w:b/>
                <w:i/>
                <w:snapToGrid/>
                <w:color w:val="000000"/>
                <w:sz w:val="20"/>
              </w:rPr>
            </w:pPr>
            <w:r w:rsidRPr="00E03A6E">
              <w:rPr>
                <w:rFonts w:ascii="Times New Roman" w:hAnsi="Times New Roman"/>
                <w:b/>
                <w:i/>
                <w:snapToGrid/>
                <w:color w:val="000000"/>
                <w:sz w:val="20"/>
              </w:rPr>
              <w:t>1657</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3A6E" w:rsidRPr="00E03A6E" w:rsidP="00E03A6E" w14:paraId="7A460D58" w14:textId="77777777">
            <w:pPr>
              <w:widowControl/>
              <w:jc w:val="right"/>
              <w:rPr>
                <w:rFonts w:ascii="Source Sans Pro" w:hAnsi="Source Sans Pro" w:cs="Calibri"/>
                <w:b/>
                <w:i/>
                <w:snapToGrid/>
                <w:color w:val="000000"/>
                <w:sz w:val="20"/>
              </w:rPr>
            </w:pPr>
            <w:r w:rsidRPr="00E03A6E">
              <w:rPr>
                <w:rFonts w:ascii="Source Sans Pro" w:hAnsi="Source Sans Pro" w:cs="Calibri"/>
                <w:b/>
                <w:i/>
                <w:snapToGrid/>
                <w:color w:val="000000"/>
                <w:sz w:val="20"/>
              </w:rPr>
              <w:t>4949</w:t>
            </w:r>
          </w:p>
        </w:tc>
      </w:tr>
      <w:tr w14:paraId="1A20A6BE" w14:textId="77777777" w:rsidTr="00593E96">
        <w:tblPrEx>
          <w:tblW w:w="9355" w:type="dxa"/>
          <w:tblLook w:val="04A0"/>
        </w:tblPrEx>
        <w:trPr>
          <w:trHeight w:val="315"/>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3A6E" w:rsidRPr="00E03A6E" w:rsidP="00E03A6E" w14:paraId="41F13313" w14:textId="77777777">
            <w:pPr>
              <w:widowControl/>
              <w:jc w:val="right"/>
              <w:rPr>
                <w:rFonts w:ascii="Source Sans Pro" w:hAnsi="Source Sans Pro" w:cs="Calibri"/>
                <w:b/>
                <w:i/>
                <w:snapToGrid/>
                <w:color w:val="000000"/>
                <w:sz w:val="20"/>
              </w:rPr>
            </w:pPr>
            <w:r w:rsidRPr="00E03A6E">
              <w:rPr>
                <w:rFonts w:ascii="Source Sans Pro" w:hAnsi="Source Sans Pro" w:cs="Calibri"/>
                <w:b/>
                <w:i/>
                <w:snapToGrid/>
                <w:color w:val="000000"/>
                <w:sz w:val="20"/>
              </w:rPr>
              <w:t>Annual Average:</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3A6E" w:rsidRPr="00E03A6E" w:rsidP="00E03A6E" w14:paraId="5D4135D8" w14:textId="77777777">
            <w:pPr>
              <w:widowControl/>
              <w:jc w:val="right"/>
              <w:rPr>
                <w:rFonts w:ascii="Times New Roman" w:hAnsi="Times New Roman"/>
                <w:b/>
                <w:i/>
                <w:snapToGrid/>
                <w:color w:val="000000"/>
                <w:sz w:val="20"/>
              </w:rPr>
            </w:pPr>
            <w:r w:rsidRPr="00E03A6E">
              <w:rPr>
                <w:rFonts w:ascii="Times New Roman" w:hAnsi="Times New Roman"/>
                <w:b/>
                <w:i/>
                <w:snapToGrid/>
                <w:color w:val="000000"/>
                <w:sz w:val="20"/>
              </w:rPr>
              <w:t>276</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3A6E" w:rsidRPr="00E03A6E" w:rsidP="00E03A6E" w14:paraId="29BB866C" w14:textId="77777777">
            <w:pPr>
              <w:widowControl/>
              <w:jc w:val="right"/>
              <w:rPr>
                <w:rFonts w:ascii="Source Sans Pro" w:hAnsi="Source Sans Pro" w:cs="Calibri"/>
                <w:b/>
                <w:i/>
                <w:snapToGrid/>
                <w:color w:val="000000"/>
                <w:sz w:val="20"/>
              </w:rPr>
            </w:pPr>
            <w:r w:rsidRPr="00E03A6E">
              <w:rPr>
                <w:rFonts w:ascii="Source Sans Pro" w:hAnsi="Source Sans Pro" w:cs="Calibri"/>
                <w:b/>
                <w:i/>
                <w:snapToGrid/>
                <w:color w:val="000000"/>
                <w:sz w:val="20"/>
              </w:rPr>
              <w:t>825</w:t>
            </w:r>
          </w:p>
        </w:tc>
      </w:tr>
      <w:tr w14:paraId="0EE425A1" w14:textId="77777777" w:rsidTr="00593E96">
        <w:tblPrEx>
          <w:tblW w:w="9355" w:type="dxa"/>
          <w:tblLook w:val="04A0"/>
        </w:tblPrEx>
        <w:trPr>
          <w:trHeight w:val="315"/>
        </w:trPr>
        <w:tc>
          <w:tcPr>
            <w:tcW w:w="935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03A6E" w:rsidRPr="00E03A6E" w:rsidP="00E03A6E" w14:paraId="71A981C4" w14:textId="78EE0B36">
            <w:pPr>
              <w:widowControl/>
              <w:rPr>
                <w:rFonts w:ascii="Times New Roman" w:hAnsi="Times New Roman"/>
                <w:snapToGrid/>
                <w:color w:val="000000"/>
                <w:sz w:val="18"/>
                <w:szCs w:val="18"/>
              </w:rPr>
            </w:pPr>
            <w:r w:rsidRPr="00E03A6E">
              <w:rPr>
                <w:rFonts w:ascii="Times New Roman" w:hAnsi="Times New Roman"/>
                <w:snapToGrid/>
                <w:color w:val="000000"/>
                <w:sz w:val="18"/>
                <w:szCs w:val="18"/>
              </w:rPr>
              <w:t xml:space="preserve">Source: </w:t>
            </w:r>
            <w:r>
              <w:rPr>
                <w:rFonts w:ascii="Times New Roman" w:hAnsi="Times New Roman"/>
                <w:snapToGrid/>
                <w:color w:val="000000"/>
                <w:sz w:val="18"/>
                <w:szCs w:val="18"/>
              </w:rPr>
              <w:t>FDIC</w:t>
            </w:r>
            <w:r w:rsidRPr="00E03A6E">
              <w:rPr>
                <w:rFonts w:ascii="Times New Roman" w:hAnsi="Times New Roman"/>
                <w:snapToGrid/>
                <w:color w:val="000000"/>
                <w:sz w:val="18"/>
                <w:szCs w:val="18"/>
              </w:rPr>
              <w:t xml:space="preserve"> data.</w:t>
            </w:r>
          </w:p>
        </w:tc>
      </w:tr>
    </w:tbl>
    <w:p w:rsidR="00E03A6E" w:rsidRPr="004B382E" w:rsidP="00B77359" w14:paraId="4FEE84ED" w14:textId="77777777">
      <w:pPr>
        <w:suppressAutoHyphens/>
        <w:ind w:left="1440"/>
        <w:rPr>
          <w:rFonts w:ascii="Times New Roman" w:hAnsi="Times New Roman"/>
          <w:vertAlign w:val="superscript"/>
        </w:rPr>
      </w:pPr>
    </w:p>
    <w:p w:rsidR="002C529C" w:rsidRPr="002C529C" w:rsidP="002C529C" w14:paraId="2B3CDE5F" w14:textId="0111849F">
      <w:pPr>
        <w:suppressAutoHyphens/>
        <w:ind w:left="1440"/>
        <w:rPr>
          <w:rFonts w:ascii="Times New Roman" w:hAnsi="Times New Roman"/>
        </w:rPr>
      </w:pPr>
      <w:r w:rsidRPr="002C529C">
        <w:rPr>
          <w:rFonts w:ascii="Times New Roman" w:hAnsi="Times New Roman"/>
        </w:rPr>
        <w:t xml:space="preserve">To estimate the number of respondents that adopt branch closure policies, </w:t>
      </w:r>
      <w:r>
        <w:rPr>
          <w:rFonts w:ascii="Times New Roman" w:hAnsi="Times New Roman"/>
        </w:rPr>
        <w:t>FDIC</w:t>
      </w:r>
      <w:r w:rsidRPr="002C529C">
        <w:rPr>
          <w:rFonts w:ascii="Times New Roman" w:hAnsi="Times New Roman"/>
        </w:rPr>
        <w:t xml:space="preserve"> count</w:t>
      </w:r>
      <w:r>
        <w:rPr>
          <w:rFonts w:ascii="Times New Roman" w:hAnsi="Times New Roman"/>
        </w:rPr>
        <w:t>s</w:t>
      </w:r>
      <w:r w:rsidRPr="002C529C">
        <w:rPr>
          <w:rFonts w:ascii="Times New Roman" w:hAnsi="Times New Roman"/>
        </w:rPr>
        <w:t xml:space="preserve"> the number of newly chartered FDIC-supervised branch banks in each year 2018 and 2023, and the number of FDIC-supervised unit banks that opened their first branch during the same </w:t>
      </w:r>
      <w:r w:rsidRPr="002C529C" w:rsidR="0033174D">
        <w:rPr>
          <w:rFonts w:ascii="Times New Roman" w:hAnsi="Times New Roman"/>
        </w:rPr>
        <w:t>period and</w:t>
      </w:r>
      <w:r w:rsidRPr="002C529C">
        <w:rPr>
          <w:rFonts w:ascii="Times New Roman" w:hAnsi="Times New Roman"/>
        </w:rPr>
        <w:t xml:space="preserve"> divide the total by six </w:t>
      </w:r>
      <w:r>
        <w:rPr>
          <w:rFonts w:ascii="Times New Roman" w:hAnsi="Times New Roman"/>
        </w:rPr>
        <w:t>(</w:t>
      </w:r>
      <w:r w:rsidRPr="002C529C">
        <w:rPr>
          <w:rFonts w:ascii="Times New Roman" w:hAnsi="Times New Roman"/>
        </w:rPr>
        <w:t>the total number of years in the time period</w:t>
      </w:r>
      <w:r>
        <w:rPr>
          <w:rFonts w:ascii="Times New Roman" w:hAnsi="Times New Roman"/>
        </w:rPr>
        <w:t>)</w:t>
      </w:r>
      <w:r w:rsidRPr="002C529C">
        <w:rPr>
          <w:rFonts w:ascii="Times New Roman" w:hAnsi="Times New Roman"/>
        </w:rPr>
        <w:t xml:space="preserve"> to calculate the average. Institutions that operate branches need only adopt a branch closure policy once. </w:t>
      </w:r>
      <w:r w:rsidR="00B876A8">
        <w:rPr>
          <w:rFonts w:ascii="Times New Roman" w:hAnsi="Times New Roman"/>
        </w:rPr>
        <w:t>FDIC</w:t>
      </w:r>
      <w:r w:rsidRPr="002C529C">
        <w:rPr>
          <w:rFonts w:ascii="Times New Roman" w:hAnsi="Times New Roman"/>
        </w:rPr>
        <w:t xml:space="preserve"> assume</w:t>
      </w:r>
      <w:r w:rsidR="00B876A8">
        <w:rPr>
          <w:rFonts w:ascii="Times New Roman" w:hAnsi="Times New Roman"/>
        </w:rPr>
        <w:t>s</w:t>
      </w:r>
      <w:r w:rsidRPr="002C529C">
        <w:rPr>
          <w:rFonts w:ascii="Times New Roman" w:hAnsi="Times New Roman"/>
        </w:rPr>
        <w:t xml:space="preserve"> that institutions that operated branches prior to 2018 have already adopted branch closure policies. According to Call Report data, from 2018 to 2023, </w:t>
      </w:r>
      <w:r w:rsidRPr="002C529C" w:rsidR="0033174D">
        <w:rPr>
          <w:rFonts w:ascii="Times New Roman" w:hAnsi="Times New Roman"/>
        </w:rPr>
        <w:t>106 FDIC</w:t>
      </w:r>
      <w:r w:rsidRPr="002C529C">
        <w:rPr>
          <w:rFonts w:ascii="Times New Roman" w:hAnsi="Times New Roman"/>
        </w:rPr>
        <w:t xml:space="preserve">-supervised IDIs reported operating one or more branches as of their first Call </w:t>
      </w:r>
      <w:r w:rsidRPr="002C529C" w:rsidR="0033174D">
        <w:rPr>
          <w:rFonts w:ascii="Times New Roman" w:hAnsi="Times New Roman"/>
        </w:rPr>
        <w:t>Report or</w:t>
      </w:r>
      <w:r w:rsidRPr="002C529C">
        <w:rPr>
          <w:rFonts w:ascii="Times New Roman" w:hAnsi="Times New Roman"/>
        </w:rPr>
        <w:t xml:space="preserve"> were unit banks that had opened their first branch.</w:t>
      </w:r>
      <w:r>
        <w:rPr>
          <w:rFonts w:ascii="Times New Roman" w:hAnsi="Times New Roman"/>
          <w:vertAlign w:val="superscript"/>
        </w:rPr>
        <w:footnoteReference w:id="8"/>
      </w:r>
      <w:r w:rsidRPr="002C529C">
        <w:rPr>
          <w:rFonts w:ascii="Times New Roman" w:hAnsi="Times New Roman"/>
          <w:vertAlign w:val="superscript"/>
        </w:rPr>
        <w:t xml:space="preserve"> </w:t>
      </w:r>
      <w:r w:rsidRPr="002C529C">
        <w:rPr>
          <w:rFonts w:ascii="Times New Roman" w:hAnsi="Times New Roman"/>
        </w:rPr>
        <w:t xml:space="preserve">Using these data, </w:t>
      </w:r>
      <w:r w:rsidR="005A270B">
        <w:rPr>
          <w:rFonts w:ascii="Times New Roman" w:hAnsi="Times New Roman"/>
        </w:rPr>
        <w:t>FDIC</w:t>
      </w:r>
      <w:r w:rsidRPr="002C529C">
        <w:rPr>
          <w:rFonts w:ascii="Times New Roman" w:hAnsi="Times New Roman"/>
        </w:rPr>
        <w:t xml:space="preserve"> estimate</w:t>
      </w:r>
      <w:r w:rsidR="005A270B">
        <w:rPr>
          <w:rFonts w:ascii="Times New Roman" w:hAnsi="Times New Roman"/>
        </w:rPr>
        <w:t>s</w:t>
      </w:r>
      <w:r w:rsidRPr="002C529C">
        <w:rPr>
          <w:rFonts w:ascii="Times New Roman" w:hAnsi="Times New Roman"/>
        </w:rPr>
        <w:t xml:space="preserve"> 18 respondents per year (106/6) to IC3.</w:t>
      </w:r>
      <w:r>
        <w:rPr>
          <w:rFonts w:ascii="Times New Roman" w:hAnsi="Times New Roman"/>
          <w:vertAlign w:val="superscript"/>
        </w:rPr>
        <w:footnoteReference w:id="9"/>
      </w:r>
    </w:p>
    <w:p w:rsidR="0033174D" w:rsidRPr="0033174D" w:rsidP="0033174D" w14:paraId="2A7238C8" w14:textId="77777777">
      <w:pPr>
        <w:suppressAutoHyphens/>
        <w:ind w:left="1440"/>
        <w:rPr>
          <w:rFonts w:ascii="Times New Roman" w:hAnsi="Times New Roman"/>
          <w:b/>
          <w:bCs/>
          <w:lang w:bidi="en-US"/>
        </w:rPr>
      </w:pPr>
      <w:r w:rsidRPr="0033174D">
        <w:rPr>
          <w:rFonts w:ascii="Times New Roman" w:hAnsi="Times New Roman"/>
          <w:b/>
          <w:bCs/>
          <w:lang w:bidi="en-US"/>
        </w:rPr>
        <w:t>Estimated Number of Responses per Respondent</w:t>
      </w:r>
    </w:p>
    <w:p w:rsidR="00B77359" w:rsidP="006C1BF2" w14:paraId="6186526C" w14:textId="77777777">
      <w:pPr>
        <w:suppressAutoHyphens/>
        <w:ind w:left="1440"/>
        <w:rPr>
          <w:rFonts w:ascii="Times New Roman" w:hAnsi="Times New Roman"/>
        </w:rPr>
      </w:pPr>
    </w:p>
    <w:p w:rsidR="0033174D" w:rsidP="0033174D" w14:paraId="47C27A55" w14:textId="554B674C">
      <w:pPr>
        <w:suppressAutoHyphens/>
        <w:ind w:left="1440"/>
        <w:rPr>
          <w:rFonts w:ascii="Times New Roman" w:eastAsia="Source Sans Pro" w:hAnsi="Times New Roman"/>
          <w:snapToGrid/>
          <w:szCs w:val="24"/>
          <w:lang w:bidi="en-US"/>
        </w:rPr>
      </w:pPr>
      <w:r w:rsidRPr="0033174D">
        <w:rPr>
          <w:rFonts w:ascii="Times New Roman" w:eastAsia="Source Sans Pro" w:hAnsi="Times New Roman"/>
          <w:snapToGrid/>
          <w:szCs w:val="24"/>
          <w:lang w:bidi="en-US"/>
        </w:rPr>
        <w:t xml:space="preserve">An institution that closes a branch must submit a branch closure notice to the FDIC and to its customers for each unique branch closure. According to FDIC data, FDIC-supervised institutions closed 4,949 branches between 2018 and 2023. Thus, for the 276 respondents each year, </w:t>
      </w:r>
      <w:r>
        <w:rPr>
          <w:rFonts w:ascii="Times New Roman" w:eastAsia="Source Sans Pro" w:hAnsi="Times New Roman"/>
          <w:snapToGrid/>
          <w:szCs w:val="24"/>
          <w:lang w:bidi="en-US"/>
        </w:rPr>
        <w:t>FDIC</w:t>
      </w:r>
      <w:r w:rsidRPr="0033174D">
        <w:rPr>
          <w:rFonts w:ascii="Times New Roman" w:eastAsia="Source Sans Pro" w:hAnsi="Times New Roman"/>
          <w:snapToGrid/>
          <w:szCs w:val="24"/>
          <w:lang w:bidi="en-US"/>
        </w:rPr>
        <w:t xml:space="preserve"> estimate</w:t>
      </w:r>
      <w:r>
        <w:rPr>
          <w:rFonts w:ascii="Times New Roman" w:eastAsia="Source Sans Pro" w:hAnsi="Times New Roman"/>
          <w:snapToGrid/>
          <w:szCs w:val="24"/>
          <w:lang w:bidi="en-US"/>
        </w:rPr>
        <w:t>s</w:t>
      </w:r>
      <w:r w:rsidRPr="0033174D">
        <w:rPr>
          <w:rFonts w:ascii="Times New Roman" w:eastAsia="Source Sans Pro" w:hAnsi="Times New Roman"/>
          <w:snapToGrid/>
          <w:szCs w:val="24"/>
          <w:lang w:bidi="en-US"/>
        </w:rPr>
        <w:t xml:space="preserve"> </w:t>
      </w:r>
      <w:r w:rsidRPr="0033174D">
        <w:rPr>
          <w:rFonts w:ascii="Times New Roman" w:eastAsia="Source Sans Pro" w:hAnsi="Times New Roman"/>
          <w:bCs/>
          <w:snapToGrid/>
          <w:szCs w:val="24"/>
          <w:lang w:bidi="en-US"/>
        </w:rPr>
        <w:t>2.99 responses per respondent per year</w:t>
      </w:r>
      <w:r w:rsidRPr="0033174D">
        <w:rPr>
          <w:rFonts w:ascii="Times New Roman" w:eastAsia="Source Sans Pro" w:hAnsi="Times New Roman"/>
          <w:snapToGrid/>
          <w:szCs w:val="24"/>
          <w:lang w:bidi="en-US"/>
        </w:rPr>
        <w:t xml:space="preserve"> to both IC1 and IC2.</w:t>
      </w:r>
      <w:r>
        <w:rPr>
          <w:rFonts w:ascii="Times New Roman" w:eastAsia="Source Sans Pro" w:hAnsi="Times New Roman"/>
          <w:snapToGrid/>
          <w:szCs w:val="24"/>
          <w:vertAlign w:val="superscript"/>
          <w:lang w:bidi="en-US"/>
        </w:rPr>
        <w:footnoteReference w:id="10"/>
      </w:r>
    </w:p>
    <w:p w:rsidR="0033174D" w:rsidP="0033174D" w14:paraId="0A35DE90" w14:textId="77777777">
      <w:pPr>
        <w:suppressAutoHyphens/>
        <w:ind w:left="1440"/>
        <w:rPr>
          <w:rFonts w:ascii="Times New Roman" w:eastAsia="Source Sans Pro" w:hAnsi="Times New Roman"/>
          <w:snapToGrid/>
          <w:szCs w:val="24"/>
          <w:lang w:bidi="en-US"/>
        </w:rPr>
      </w:pPr>
    </w:p>
    <w:p w:rsidR="0033174D" w:rsidP="0033174D" w14:paraId="7834D1BC" w14:textId="60C300B6">
      <w:pPr>
        <w:suppressAutoHyphens/>
        <w:ind w:left="1440"/>
        <w:rPr>
          <w:rFonts w:ascii="Times New Roman" w:eastAsia="Source Sans Pro" w:hAnsi="Times New Roman"/>
          <w:snapToGrid/>
          <w:szCs w:val="24"/>
          <w:lang w:bidi="en-US"/>
        </w:rPr>
      </w:pPr>
      <w:r w:rsidRPr="0033174D">
        <w:rPr>
          <w:rFonts w:ascii="Times New Roman" w:eastAsia="Source Sans Pro" w:hAnsi="Times New Roman"/>
          <w:snapToGrid/>
          <w:szCs w:val="24"/>
          <w:lang w:bidi="en-US"/>
        </w:rPr>
        <w:t xml:space="preserve">As stated above, since institutions that operate branches need only adopt a branch closure policy once, for the 18 respondents each year there is </w:t>
      </w:r>
      <w:r w:rsidRPr="0033174D">
        <w:rPr>
          <w:rFonts w:ascii="Times New Roman" w:eastAsia="Source Sans Pro" w:hAnsi="Times New Roman"/>
          <w:bCs/>
          <w:snapToGrid/>
          <w:szCs w:val="24"/>
          <w:lang w:bidi="en-US"/>
        </w:rPr>
        <w:t>1 response per respondent per year</w:t>
      </w:r>
      <w:r w:rsidRPr="0033174D">
        <w:rPr>
          <w:rFonts w:ascii="Times New Roman" w:eastAsia="Source Sans Pro" w:hAnsi="Times New Roman"/>
          <w:b/>
          <w:snapToGrid/>
          <w:szCs w:val="24"/>
          <w:lang w:bidi="en-US"/>
        </w:rPr>
        <w:t xml:space="preserve">, </w:t>
      </w:r>
      <w:r w:rsidRPr="0033174D">
        <w:rPr>
          <w:rFonts w:ascii="Times New Roman" w:eastAsia="Source Sans Pro" w:hAnsi="Times New Roman"/>
          <w:snapToGrid/>
          <w:szCs w:val="24"/>
          <w:lang w:bidi="en-US"/>
        </w:rPr>
        <w:t>to IC3.</w:t>
      </w:r>
      <w:r>
        <w:rPr>
          <w:rFonts w:ascii="Times New Roman" w:eastAsia="Source Sans Pro" w:hAnsi="Times New Roman"/>
          <w:snapToGrid/>
          <w:szCs w:val="24"/>
          <w:vertAlign w:val="superscript"/>
          <w:lang w:bidi="en-US"/>
        </w:rPr>
        <w:footnoteReference w:id="11"/>
      </w:r>
    </w:p>
    <w:p w:rsidR="00344C35" w:rsidRPr="00344C35" w:rsidP="0033174D" w14:paraId="1A1051F0" w14:textId="77777777">
      <w:pPr>
        <w:suppressAutoHyphens/>
        <w:ind w:left="1440"/>
        <w:rPr>
          <w:rFonts w:ascii="Times New Roman" w:hAnsi="Times New Roman"/>
          <w:b/>
          <w:bCs/>
          <w:lang w:bidi="en-US"/>
        </w:rPr>
      </w:pPr>
    </w:p>
    <w:p w:rsidR="00344C35" w:rsidRPr="00344C35" w:rsidP="00344C35" w14:paraId="4FBA728C" w14:textId="77777777">
      <w:pPr>
        <w:suppressAutoHyphens/>
        <w:ind w:left="1440"/>
        <w:rPr>
          <w:rFonts w:ascii="Times New Roman" w:eastAsia="Source Sans Pro" w:hAnsi="Times New Roman"/>
          <w:b/>
          <w:snapToGrid/>
          <w:color w:val="000000"/>
          <w:szCs w:val="24"/>
          <w:lang w:bidi="en-US"/>
        </w:rPr>
      </w:pPr>
      <w:r w:rsidRPr="00344C35">
        <w:rPr>
          <w:rFonts w:ascii="Times New Roman" w:hAnsi="Times New Roman"/>
          <w:b/>
          <w:bCs/>
          <w:szCs w:val="24"/>
          <w:lang w:bidi="en-US"/>
        </w:rPr>
        <w:t>Estimated</w:t>
      </w:r>
      <w:r w:rsidRPr="00344C35">
        <w:rPr>
          <w:rFonts w:ascii="Times New Roman" w:eastAsia="Source Sans Pro" w:hAnsi="Times New Roman"/>
          <w:b/>
          <w:snapToGrid/>
          <w:color w:val="000000"/>
          <w:szCs w:val="24"/>
          <w:lang w:bidi="en-US"/>
        </w:rPr>
        <w:t xml:space="preserve"> Time per Response</w:t>
      </w:r>
    </w:p>
    <w:p w:rsidR="00344C35" w:rsidP="0033174D" w14:paraId="28CBEDFD" w14:textId="77777777">
      <w:pPr>
        <w:suppressAutoHyphens/>
        <w:ind w:left="1440"/>
        <w:rPr>
          <w:rFonts w:ascii="Times New Roman" w:eastAsia="Source Sans Pro" w:hAnsi="Times New Roman"/>
          <w:snapToGrid/>
          <w:szCs w:val="24"/>
          <w:lang w:bidi="en-US"/>
        </w:rPr>
      </w:pPr>
    </w:p>
    <w:p w:rsidR="002C529C" w:rsidRPr="002B27CE" w:rsidP="002B27CE" w14:paraId="684B4DA8" w14:textId="371B9B74">
      <w:pPr>
        <w:suppressAutoHyphens/>
        <w:ind w:left="1440"/>
        <w:rPr>
          <w:rFonts w:ascii="Times New Roman" w:eastAsia="Source Sans Pro" w:hAnsi="Times New Roman"/>
          <w:b/>
          <w:snapToGrid/>
          <w:color w:val="000000"/>
          <w:szCs w:val="24"/>
          <w:lang w:bidi="en-US"/>
        </w:rPr>
      </w:pPr>
      <w:r w:rsidRPr="00344C35">
        <w:rPr>
          <w:rFonts w:ascii="Times New Roman" w:eastAsia="Source Sans Pro" w:hAnsi="Times New Roman"/>
          <w:snapToGrid/>
          <w:color w:val="000000"/>
          <w:szCs w:val="24"/>
          <w:lang w:bidi="en-US"/>
        </w:rPr>
        <w:t xml:space="preserve">The </w:t>
      </w:r>
      <w:r>
        <w:rPr>
          <w:rFonts w:ascii="Times New Roman" w:eastAsia="Source Sans Pro" w:hAnsi="Times New Roman"/>
          <w:snapToGrid/>
          <w:color w:val="000000"/>
          <w:szCs w:val="24"/>
          <w:lang w:bidi="en-US"/>
        </w:rPr>
        <w:t>FDIC</w:t>
      </w:r>
      <w:r w:rsidRPr="00344C35">
        <w:rPr>
          <w:rFonts w:ascii="Times New Roman" w:eastAsia="Source Sans Pro" w:hAnsi="Times New Roman"/>
          <w:snapToGrid/>
          <w:color w:val="000000"/>
          <w:szCs w:val="24"/>
          <w:lang w:bidi="en-US"/>
        </w:rPr>
        <w:t xml:space="preserve"> ha</w:t>
      </w:r>
      <w:r>
        <w:rPr>
          <w:rFonts w:ascii="Times New Roman" w:eastAsia="Source Sans Pro" w:hAnsi="Times New Roman"/>
          <w:snapToGrid/>
          <w:color w:val="000000"/>
          <w:szCs w:val="24"/>
          <w:lang w:bidi="en-US"/>
        </w:rPr>
        <w:t>s</w:t>
      </w:r>
      <w:r w:rsidRPr="00344C35">
        <w:rPr>
          <w:rFonts w:ascii="Times New Roman" w:eastAsia="Source Sans Pro" w:hAnsi="Times New Roman"/>
          <w:snapToGrid/>
          <w:color w:val="000000"/>
          <w:szCs w:val="24"/>
          <w:lang w:bidi="en-US"/>
        </w:rPr>
        <w:t xml:space="preserve"> reviewed Section 42, and the estimated Time per Responses used in the 2021 ICR. Based on </w:t>
      </w:r>
      <w:r>
        <w:rPr>
          <w:rFonts w:ascii="Times New Roman" w:eastAsia="Source Sans Pro" w:hAnsi="Times New Roman"/>
          <w:snapToGrid/>
          <w:color w:val="000000"/>
          <w:szCs w:val="24"/>
          <w:lang w:bidi="en-US"/>
        </w:rPr>
        <w:t>its</w:t>
      </w:r>
      <w:r w:rsidRPr="00344C35">
        <w:rPr>
          <w:rFonts w:ascii="Times New Roman" w:eastAsia="Source Sans Pro" w:hAnsi="Times New Roman"/>
          <w:snapToGrid/>
          <w:color w:val="000000"/>
          <w:szCs w:val="24"/>
          <w:lang w:bidi="en-US"/>
        </w:rPr>
        <w:t xml:space="preserve"> supervisory experience, the </w:t>
      </w:r>
      <w:r>
        <w:rPr>
          <w:rFonts w:ascii="Times New Roman" w:eastAsia="Source Sans Pro" w:hAnsi="Times New Roman"/>
          <w:snapToGrid/>
          <w:color w:val="000000"/>
          <w:szCs w:val="24"/>
          <w:lang w:bidi="en-US"/>
        </w:rPr>
        <w:t>FDIC believes</w:t>
      </w:r>
      <w:r w:rsidRPr="00344C35">
        <w:rPr>
          <w:rFonts w:ascii="Times New Roman" w:eastAsia="Source Sans Pro" w:hAnsi="Times New Roman"/>
          <w:snapToGrid/>
          <w:color w:val="000000"/>
          <w:szCs w:val="24"/>
          <w:lang w:bidi="en-US"/>
        </w:rPr>
        <w:t xml:space="preserve"> that the previous estimated Time per Response of </w:t>
      </w:r>
      <w:r w:rsidRPr="00344C35">
        <w:rPr>
          <w:rFonts w:ascii="Times New Roman" w:eastAsia="Source Sans Pro" w:hAnsi="Times New Roman"/>
          <w:bCs/>
          <w:snapToGrid/>
          <w:color w:val="000000"/>
          <w:szCs w:val="24"/>
          <w:lang w:bidi="en-US"/>
        </w:rPr>
        <w:t>8 hours</w:t>
      </w:r>
      <w:r w:rsidRPr="00344C35">
        <w:rPr>
          <w:rFonts w:ascii="Times New Roman" w:eastAsia="Source Sans Pro" w:hAnsi="Times New Roman"/>
          <w:b/>
          <w:snapToGrid/>
          <w:color w:val="000000"/>
          <w:szCs w:val="24"/>
          <w:lang w:bidi="en-US"/>
        </w:rPr>
        <w:t xml:space="preserve"> </w:t>
      </w:r>
      <w:r w:rsidRPr="00344C35">
        <w:rPr>
          <w:rFonts w:ascii="Times New Roman" w:eastAsia="Source Sans Pro" w:hAnsi="Times New Roman"/>
          <w:snapToGrid/>
          <w:color w:val="000000"/>
          <w:szCs w:val="24"/>
          <w:lang w:bidi="en-US"/>
        </w:rPr>
        <w:t>for IC3, as listed in Table 2 below</w:t>
      </w:r>
      <w:r>
        <w:rPr>
          <w:rFonts w:ascii="Times New Roman" w:eastAsia="Source Sans Pro" w:hAnsi="Times New Roman"/>
          <w:snapToGrid/>
          <w:color w:val="000000"/>
          <w:szCs w:val="24"/>
          <w:lang w:bidi="en-US"/>
        </w:rPr>
        <w:t>, is reasonable</w:t>
      </w:r>
      <w:r w:rsidRPr="00344C35">
        <w:rPr>
          <w:rFonts w:ascii="Times New Roman" w:eastAsia="Source Sans Pro" w:hAnsi="Times New Roman"/>
          <w:snapToGrid/>
          <w:color w:val="000000"/>
          <w:szCs w:val="24"/>
          <w:lang w:bidi="en-US"/>
        </w:rPr>
        <w:t xml:space="preserve">. Based on supervisory experience, the </w:t>
      </w:r>
      <w:r>
        <w:rPr>
          <w:rFonts w:ascii="Times New Roman" w:eastAsia="Source Sans Pro" w:hAnsi="Times New Roman"/>
          <w:snapToGrid/>
          <w:color w:val="000000"/>
          <w:szCs w:val="24"/>
          <w:lang w:bidi="en-US"/>
        </w:rPr>
        <w:t>FDIC</w:t>
      </w:r>
      <w:r w:rsidRPr="00344C35">
        <w:rPr>
          <w:rFonts w:ascii="Times New Roman" w:eastAsia="Source Sans Pro" w:hAnsi="Times New Roman"/>
          <w:snapToGrid/>
          <w:color w:val="000000"/>
          <w:szCs w:val="24"/>
          <w:lang w:bidi="en-US"/>
        </w:rPr>
        <w:t xml:space="preserve"> estimate</w:t>
      </w:r>
      <w:r>
        <w:rPr>
          <w:rFonts w:ascii="Times New Roman" w:eastAsia="Source Sans Pro" w:hAnsi="Times New Roman"/>
          <w:snapToGrid/>
          <w:color w:val="000000"/>
          <w:szCs w:val="24"/>
          <w:lang w:bidi="en-US"/>
        </w:rPr>
        <w:t>s</w:t>
      </w:r>
      <w:r w:rsidRPr="00344C35">
        <w:rPr>
          <w:rFonts w:ascii="Times New Roman" w:eastAsia="Source Sans Pro" w:hAnsi="Times New Roman"/>
          <w:snapToGrid/>
          <w:color w:val="000000"/>
          <w:szCs w:val="24"/>
          <w:lang w:bidi="en-US"/>
        </w:rPr>
        <w:t xml:space="preserve"> that the burden hours per response </w:t>
      </w:r>
      <w:r w:rsidRPr="00344C35">
        <w:rPr>
          <w:rFonts w:ascii="Times New Roman" w:eastAsia="Source Sans Pro" w:hAnsi="Times New Roman"/>
          <w:bCs/>
          <w:snapToGrid/>
          <w:color w:val="000000"/>
          <w:szCs w:val="24"/>
          <w:lang w:bidi="en-US"/>
        </w:rPr>
        <w:t>is 0.5 hours</w:t>
      </w:r>
      <w:r w:rsidRPr="00344C35">
        <w:rPr>
          <w:rFonts w:ascii="Times New Roman" w:eastAsia="Source Sans Pro" w:hAnsi="Times New Roman"/>
          <w:snapToGrid/>
          <w:color w:val="000000"/>
          <w:szCs w:val="24"/>
          <w:lang w:bidi="en-US"/>
        </w:rPr>
        <w:t xml:space="preserve"> for IC1, as it is a single email that includes “a detailed statement of the reasons for the decision to close the branch.”</w:t>
      </w:r>
      <w:r>
        <w:rPr>
          <w:rFonts w:ascii="Times New Roman" w:eastAsia="Source Sans Pro" w:hAnsi="Times New Roman"/>
          <w:snapToGrid/>
          <w:color w:val="000000"/>
          <w:szCs w:val="24"/>
          <w:vertAlign w:val="superscript"/>
          <w:lang w:bidi="en-US"/>
        </w:rPr>
        <w:footnoteReference w:id="12"/>
      </w:r>
      <w:r w:rsidRPr="00344C35">
        <w:rPr>
          <w:rFonts w:ascii="Times New Roman" w:eastAsia="Source Sans Pro" w:hAnsi="Times New Roman"/>
          <w:snapToGrid/>
          <w:color w:val="000000"/>
          <w:szCs w:val="24"/>
          <w:lang w:bidi="en-US"/>
        </w:rPr>
        <w:t xml:space="preserve"> </w:t>
      </w:r>
      <w:r w:rsidRPr="00344C35">
        <w:rPr>
          <w:rFonts w:ascii="Times New Roman" w:eastAsia="Source Sans Pro" w:hAnsi="Times New Roman"/>
          <w:snapToGrid/>
          <w:szCs w:val="24"/>
          <w:lang w:bidi="en-US"/>
        </w:rPr>
        <w:t>The</w:t>
      </w:r>
      <w:r w:rsidRPr="00344C35">
        <w:rPr>
          <w:rFonts w:ascii="Times New Roman" w:eastAsia="Source Sans Pro" w:hAnsi="Times New Roman"/>
          <w:snapToGrid/>
          <w:color w:val="000000"/>
          <w:szCs w:val="24"/>
          <w:lang w:bidi="en-US"/>
        </w:rPr>
        <w:t xml:space="preserve"> </w:t>
      </w:r>
      <w:r>
        <w:rPr>
          <w:rFonts w:ascii="Times New Roman" w:eastAsia="Source Sans Pro" w:hAnsi="Times New Roman"/>
          <w:snapToGrid/>
          <w:color w:val="000000"/>
          <w:szCs w:val="24"/>
          <w:lang w:bidi="en-US"/>
        </w:rPr>
        <w:t>FDIC believes</w:t>
      </w:r>
      <w:r w:rsidRPr="00344C35">
        <w:rPr>
          <w:rFonts w:ascii="Times New Roman" w:eastAsia="Source Sans Pro" w:hAnsi="Times New Roman"/>
          <w:snapToGrid/>
          <w:color w:val="000000"/>
          <w:szCs w:val="24"/>
          <w:lang w:bidi="en-US"/>
        </w:rPr>
        <w:t xml:space="preserve"> that</w:t>
      </w:r>
      <w:r>
        <w:rPr>
          <w:rFonts w:ascii="Times New Roman" w:eastAsia="Source Sans Pro" w:hAnsi="Times New Roman"/>
          <w:snapToGrid/>
          <w:color w:val="000000"/>
          <w:szCs w:val="24"/>
          <w:lang w:bidi="en-US"/>
        </w:rPr>
        <w:t>,</w:t>
      </w:r>
      <w:r w:rsidRPr="00344C35">
        <w:rPr>
          <w:rFonts w:ascii="Times New Roman" w:eastAsia="Source Sans Pro" w:hAnsi="Times New Roman"/>
          <w:snapToGrid/>
          <w:color w:val="000000"/>
          <w:szCs w:val="24"/>
          <w:lang w:bidi="en-US"/>
        </w:rPr>
        <w:t xml:space="preserve"> although the joint policy statement </w:t>
      </w:r>
      <w:r>
        <w:rPr>
          <w:rFonts w:ascii="Times New Roman" w:eastAsia="Source Sans Pro" w:hAnsi="Times New Roman"/>
          <w:snapToGrid/>
          <w:color w:val="000000"/>
          <w:szCs w:val="24"/>
          <w:lang w:bidi="en-US"/>
        </w:rPr>
        <w:t>suggests that</w:t>
      </w:r>
      <w:r w:rsidRPr="00344C35">
        <w:rPr>
          <w:rFonts w:ascii="Times New Roman" w:eastAsia="Source Sans Pro" w:hAnsi="Times New Roman"/>
          <w:snapToGrid/>
          <w:color w:val="000000"/>
          <w:szCs w:val="24"/>
          <w:lang w:bidi="en-US"/>
        </w:rPr>
        <w:t xml:space="preserve"> the email  be “detailed,” </w:t>
      </w:r>
      <w:r>
        <w:rPr>
          <w:rFonts w:ascii="Times New Roman" w:eastAsia="Source Sans Pro" w:hAnsi="Times New Roman"/>
          <w:snapToGrid/>
          <w:color w:val="000000"/>
          <w:szCs w:val="24"/>
          <w:lang w:bidi="en-US"/>
        </w:rPr>
        <w:t xml:space="preserve">in practice, </w:t>
      </w:r>
      <w:r w:rsidRPr="00344C35">
        <w:rPr>
          <w:rFonts w:ascii="Times New Roman" w:eastAsia="Source Sans Pro" w:hAnsi="Times New Roman"/>
          <w:snapToGrid/>
          <w:color w:val="000000"/>
          <w:szCs w:val="24"/>
          <w:lang w:bidi="en-US"/>
        </w:rPr>
        <w:t>the notices are consistently brief and the information included is collected by the bank prior to emailing the FDIC.  Also, based on supervisory</w:t>
      </w:r>
      <w:r w:rsidRPr="00344C35">
        <w:rPr>
          <w:rFonts w:ascii="Times New Roman" w:eastAsia="Source Sans Pro" w:hAnsi="Times New Roman"/>
          <w:b/>
          <w:snapToGrid/>
          <w:color w:val="000000"/>
          <w:szCs w:val="24"/>
          <w:lang w:bidi="en-US"/>
        </w:rPr>
        <w:t xml:space="preserve"> </w:t>
      </w:r>
      <w:r w:rsidRPr="00344C35">
        <w:rPr>
          <w:rFonts w:ascii="Times New Roman" w:eastAsia="Source Sans Pro" w:hAnsi="Times New Roman"/>
          <w:snapToGrid/>
          <w:color w:val="000000"/>
          <w:szCs w:val="24"/>
          <w:lang w:bidi="en-US"/>
        </w:rPr>
        <w:t xml:space="preserve">experience, the </w:t>
      </w:r>
      <w:r>
        <w:rPr>
          <w:rFonts w:ascii="Times New Roman" w:eastAsia="Source Sans Pro" w:hAnsi="Times New Roman"/>
          <w:snapToGrid/>
          <w:color w:val="000000"/>
          <w:szCs w:val="24"/>
          <w:lang w:bidi="en-US"/>
        </w:rPr>
        <w:t>FDIC</w:t>
      </w:r>
      <w:r w:rsidRPr="00344C35">
        <w:rPr>
          <w:rFonts w:ascii="Times New Roman" w:eastAsia="Source Sans Pro" w:hAnsi="Times New Roman"/>
          <w:snapToGrid/>
          <w:color w:val="000000"/>
          <w:szCs w:val="24"/>
          <w:lang w:bidi="en-US"/>
        </w:rPr>
        <w:t xml:space="preserve"> estimate</w:t>
      </w:r>
      <w:r>
        <w:rPr>
          <w:rFonts w:ascii="Times New Roman" w:eastAsia="Source Sans Pro" w:hAnsi="Times New Roman"/>
          <w:snapToGrid/>
          <w:color w:val="000000"/>
          <w:szCs w:val="24"/>
          <w:lang w:bidi="en-US"/>
        </w:rPr>
        <w:t>s</w:t>
      </w:r>
      <w:r w:rsidRPr="00344C35">
        <w:rPr>
          <w:rFonts w:ascii="Times New Roman" w:eastAsia="Source Sans Pro" w:hAnsi="Times New Roman"/>
          <w:snapToGrid/>
          <w:color w:val="000000"/>
          <w:szCs w:val="24"/>
          <w:lang w:bidi="en-US"/>
        </w:rPr>
        <w:t xml:space="preserve"> that respondents to</w:t>
      </w:r>
      <w:r w:rsidRPr="00344C35">
        <w:rPr>
          <w:rFonts w:ascii="Times New Roman" w:eastAsia="Source Sans Pro" w:hAnsi="Times New Roman"/>
          <w:b/>
          <w:snapToGrid/>
          <w:color w:val="000000"/>
          <w:szCs w:val="24"/>
          <w:lang w:bidi="en-US"/>
        </w:rPr>
        <w:t xml:space="preserve"> </w:t>
      </w:r>
      <w:r w:rsidRPr="00344C35">
        <w:rPr>
          <w:rFonts w:ascii="Times New Roman" w:eastAsia="Source Sans Pro" w:hAnsi="Times New Roman"/>
          <w:snapToGrid/>
          <w:color w:val="000000"/>
          <w:szCs w:val="24"/>
          <w:lang w:bidi="en-US"/>
        </w:rPr>
        <w:t xml:space="preserve">IC2 would incur </w:t>
      </w:r>
      <w:r w:rsidRPr="00344C35">
        <w:rPr>
          <w:rFonts w:ascii="Times New Roman" w:eastAsia="Source Sans Pro" w:hAnsi="Times New Roman"/>
          <w:bCs/>
          <w:snapToGrid/>
          <w:color w:val="000000"/>
          <w:szCs w:val="24"/>
          <w:lang w:bidi="en-US"/>
        </w:rPr>
        <w:t>1.5 hours</w:t>
      </w:r>
      <w:r w:rsidRPr="00344C35">
        <w:rPr>
          <w:rFonts w:ascii="Times New Roman" w:eastAsia="Source Sans Pro" w:hAnsi="Times New Roman"/>
          <w:snapToGrid/>
          <w:color w:val="000000"/>
          <w:szCs w:val="24"/>
          <w:lang w:bidi="en-US"/>
        </w:rPr>
        <w:t xml:space="preserve"> to complete the necessary tasks for IC2.</w:t>
      </w:r>
      <w:r>
        <w:rPr>
          <w:rFonts w:ascii="Times New Roman" w:eastAsia="Source Sans Pro" w:hAnsi="Times New Roman"/>
          <w:snapToGrid/>
          <w:color w:val="000000"/>
          <w:szCs w:val="24"/>
          <w:vertAlign w:val="superscript"/>
          <w:lang w:bidi="en-US"/>
        </w:rPr>
        <w:footnoteReference w:id="13"/>
      </w:r>
      <w:r w:rsidRPr="00344C35">
        <w:rPr>
          <w:rFonts w:ascii="Times New Roman" w:eastAsia="Source Sans Pro" w:hAnsi="Times New Roman"/>
          <w:snapToGrid/>
          <w:color w:val="000000"/>
          <w:szCs w:val="24"/>
          <w:lang w:bidi="en-US"/>
        </w:rPr>
        <w:t xml:space="preserve"> The necessary tasks include drafting a written notice using the boilerplate language for branch closings established during the bank’s adoption of its closure policy, and mailing it to all branch customers as well as posting a notice at the physical branch site.</w:t>
      </w:r>
    </w:p>
    <w:p w:rsidR="002C529C" w:rsidRPr="006C1BF2" w:rsidP="006C1BF2" w14:paraId="0EDFF163" w14:textId="77777777">
      <w:pPr>
        <w:suppressAutoHyphens/>
        <w:ind w:left="1440"/>
        <w:rPr>
          <w:rFonts w:ascii="Times New Roman" w:hAnsi="Times New Roman"/>
        </w:rPr>
      </w:pPr>
    </w:p>
    <w:p w:rsidR="00A10641" w14:paraId="1F6C7142" w14:textId="77777777">
      <w:pPr>
        <w:pStyle w:val="EndnoteText"/>
        <w:tabs>
          <w:tab w:val="left" w:pos="2280"/>
          <w:tab w:val="left" w:pos="3720"/>
          <w:tab w:val="left" w:pos="5160"/>
          <w:tab w:val="left" w:pos="6600"/>
          <w:tab w:val="left" w:pos="8040"/>
        </w:tabs>
        <w:suppressAutoHyphens/>
        <w:rPr>
          <w:rFonts w:ascii="Times New Roman" w:hAnsi="Times New Roman"/>
          <w:highlight w:val="yellow"/>
        </w:rPr>
      </w:pPr>
    </w:p>
    <w:tbl>
      <w:tblPr>
        <w:tblW w:w="9820" w:type="dxa"/>
        <w:tblLook w:val="04A0"/>
      </w:tblPr>
      <w:tblGrid>
        <w:gridCol w:w="2245"/>
        <w:gridCol w:w="1435"/>
        <w:gridCol w:w="1061"/>
        <w:gridCol w:w="1289"/>
        <w:gridCol w:w="1230"/>
        <w:gridCol w:w="1033"/>
        <w:gridCol w:w="1527"/>
      </w:tblGrid>
      <w:tr w14:paraId="5A8202F4" w14:textId="77777777" w:rsidTr="0034516E">
        <w:tblPrEx>
          <w:tblW w:w="9820" w:type="dxa"/>
          <w:tblLook w:val="04A0"/>
        </w:tblPrEx>
        <w:trPr>
          <w:trHeight w:val="288"/>
        </w:trPr>
        <w:tc>
          <w:tcPr>
            <w:tcW w:w="98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12187" w:rsidRPr="00037C9B" w:rsidP="00B12187" w14:paraId="1E41B9CF" w14:textId="7939203A">
            <w:pPr>
              <w:widowControl/>
              <w:jc w:val="center"/>
              <w:rPr>
                <w:rFonts w:ascii="Times New Roman" w:hAnsi="Times New Roman"/>
                <w:b/>
                <w:bCs/>
                <w:snapToGrid/>
                <w:color w:val="000000"/>
                <w:sz w:val="20"/>
              </w:rPr>
            </w:pPr>
            <w:r w:rsidRPr="00037C9B">
              <w:rPr>
                <w:rFonts w:ascii="Times New Roman" w:hAnsi="Times New Roman"/>
                <w:b/>
                <w:bCs/>
                <w:snapToGrid/>
                <w:color w:val="000000"/>
                <w:sz w:val="20"/>
              </w:rPr>
              <w:t xml:space="preserve">Table 2 </w:t>
            </w:r>
            <w:r w:rsidRPr="00037C9B">
              <w:rPr>
                <w:rFonts w:ascii="Times New Roman" w:hAnsi="Times New Roman"/>
                <w:b/>
                <w:bCs/>
                <w:snapToGrid/>
                <w:color w:val="000000"/>
                <w:sz w:val="20"/>
              </w:rPr>
              <w:t xml:space="preserve">Summary of Estimated Annual Burden </w:t>
            </w:r>
          </w:p>
        </w:tc>
      </w:tr>
      <w:tr w14:paraId="157F24D0" w14:textId="77777777" w:rsidTr="0034516E">
        <w:tblPrEx>
          <w:tblW w:w="9820" w:type="dxa"/>
          <w:tblLook w:val="04A0"/>
        </w:tblPrEx>
        <w:trPr>
          <w:trHeight w:val="828"/>
        </w:trPr>
        <w:tc>
          <w:tcPr>
            <w:tcW w:w="2420" w:type="dxa"/>
            <w:tcBorders>
              <w:top w:val="nil"/>
              <w:left w:val="single" w:sz="4" w:space="0" w:color="auto"/>
              <w:bottom w:val="single" w:sz="4" w:space="0" w:color="auto"/>
              <w:right w:val="single" w:sz="4" w:space="0" w:color="auto"/>
            </w:tcBorders>
            <w:shd w:val="clear" w:color="000000" w:fill="D9D9D9"/>
            <w:vAlign w:val="center"/>
            <w:hideMark/>
          </w:tcPr>
          <w:p w:rsidR="00B12187" w:rsidRPr="00037C9B" w:rsidP="00B12187" w14:paraId="48B832CA" w14:textId="77777777">
            <w:pPr>
              <w:widowControl/>
              <w:jc w:val="center"/>
              <w:rPr>
                <w:rFonts w:ascii="Times New Roman" w:hAnsi="Times New Roman"/>
                <w:b/>
                <w:bCs/>
                <w:snapToGrid/>
                <w:color w:val="000000"/>
                <w:sz w:val="20"/>
              </w:rPr>
            </w:pPr>
            <w:r w:rsidRPr="00037C9B">
              <w:rPr>
                <w:rFonts w:ascii="Times New Roman" w:hAnsi="Times New Roman"/>
                <w:b/>
                <w:bCs/>
                <w:snapToGrid/>
                <w:color w:val="000000"/>
                <w:sz w:val="20"/>
              </w:rPr>
              <w:t>Information Collection Description </w:t>
            </w:r>
            <w:r w:rsidRPr="00037C9B">
              <w:rPr>
                <w:rFonts w:ascii="Times New Roman" w:hAnsi="Times New Roman"/>
                <w:snapToGrid/>
                <w:color w:val="000000"/>
                <w:sz w:val="20"/>
              </w:rPr>
              <w:t> </w:t>
            </w:r>
          </w:p>
        </w:tc>
        <w:tc>
          <w:tcPr>
            <w:tcW w:w="1500" w:type="dxa"/>
            <w:tcBorders>
              <w:top w:val="nil"/>
              <w:left w:val="nil"/>
              <w:bottom w:val="single" w:sz="4" w:space="0" w:color="auto"/>
              <w:right w:val="single" w:sz="4" w:space="0" w:color="auto"/>
            </w:tcBorders>
            <w:shd w:val="clear" w:color="000000" w:fill="D9D9D9"/>
            <w:vAlign w:val="center"/>
            <w:hideMark/>
          </w:tcPr>
          <w:p w:rsidR="00B12187" w:rsidRPr="00037C9B" w:rsidP="00B12187" w14:paraId="5D815BA7"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Type of Burden (Obligation to Respond) </w:t>
            </w:r>
          </w:p>
        </w:tc>
        <w:tc>
          <w:tcPr>
            <w:tcW w:w="960" w:type="dxa"/>
            <w:tcBorders>
              <w:top w:val="nil"/>
              <w:left w:val="nil"/>
              <w:bottom w:val="single" w:sz="4" w:space="0" w:color="auto"/>
              <w:right w:val="single" w:sz="4" w:space="0" w:color="auto"/>
            </w:tcBorders>
            <w:shd w:val="clear" w:color="000000" w:fill="D9D9D9"/>
            <w:vAlign w:val="center"/>
            <w:hideMark/>
          </w:tcPr>
          <w:p w:rsidR="00B12187" w:rsidRPr="00037C9B" w:rsidP="00B12187" w14:paraId="46A60191"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Frequency of Response </w:t>
            </w:r>
          </w:p>
        </w:tc>
        <w:tc>
          <w:tcPr>
            <w:tcW w:w="1180" w:type="dxa"/>
            <w:tcBorders>
              <w:top w:val="nil"/>
              <w:left w:val="nil"/>
              <w:bottom w:val="single" w:sz="4" w:space="0" w:color="auto"/>
              <w:right w:val="single" w:sz="4" w:space="0" w:color="auto"/>
            </w:tcBorders>
            <w:shd w:val="clear" w:color="000000" w:fill="D9D9D9"/>
            <w:vAlign w:val="center"/>
            <w:hideMark/>
          </w:tcPr>
          <w:p w:rsidR="00B12187" w:rsidRPr="00037C9B" w:rsidP="00B12187" w14:paraId="6996E0BB"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Number of Respondents </w:t>
            </w:r>
          </w:p>
        </w:tc>
        <w:tc>
          <w:tcPr>
            <w:tcW w:w="1380" w:type="dxa"/>
            <w:tcBorders>
              <w:top w:val="nil"/>
              <w:left w:val="nil"/>
              <w:bottom w:val="single" w:sz="4" w:space="0" w:color="auto"/>
              <w:right w:val="single" w:sz="4" w:space="0" w:color="auto"/>
            </w:tcBorders>
            <w:shd w:val="clear" w:color="000000" w:fill="D9D9D9"/>
            <w:vAlign w:val="center"/>
            <w:hideMark/>
          </w:tcPr>
          <w:p w:rsidR="00B12187" w:rsidRPr="00037C9B" w:rsidP="00B12187" w14:paraId="5C384398"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Number of Responses per Respondent </w:t>
            </w:r>
          </w:p>
        </w:tc>
        <w:tc>
          <w:tcPr>
            <w:tcW w:w="960" w:type="dxa"/>
            <w:tcBorders>
              <w:top w:val="nil"/>
              <w:left w:val="nil"/>
              <w:bottom w:val="single" w:sz="4" w:space="0" w:color="auto"/>
              <w:right w:val="single" w:sz="4" w:space="0" w:color="auto"/>
            </w:tcBorders>
            <w:shd w:val="clear" w:color="000000" w:fill="D9D9D9"/>
            <w:vAlign w:val="center"/>
            <w:hideMark/>
          </w:tcPr>
          <w:p w:rsidR="00B12187" w:rsidRPr="00037C9B" w:rsidP="00B12187" w14:paraId="7585FA01"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Hours per Response </w:t>
            </w:r>
          </w:p>
        </w:tc>
        <w:tc>
          <w:tcPr>
            <w:tcW w:w="1420" w:type="dxa"/>
            <w:tcBorders>
              <w:top w:val="nil"/>
              <w:left w:val="nil"/>
              <w:bottom w:val="single" w:sz="4" w:space="0" w:color="auto"/>
              <w:right w:val="single" w:sz="4" w:space="0" w:color="auto"/>
            </w:tcBorders>
            <w:shd w:val="clear" w:color="000000" w:fill="D9D9D9"/>
            <w:vAlign w:val="center"/>
            <w:hideMark/>
          </w:tcPr>
          <w:p w:rsidR="00B12187" w:rsidRPr="00037C9B" w:rsidP="00B12187" w14:paraId="2FD4E5C3"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Annual Burden (Hours) </w:t>
            </w:r>
          </w:p>
        </w:tc>
      </w:tr>
      <w:tr w14:paraId="382B5026" w14:textId="77777777" w:rsidTr="0034516E">
        <w:tblPrEx>
          <w:tblW w:w="9820" w:type="dxa"/>
          <w:tblLook w:val="04A0"/>
        </w:tblPrEx>
        <w:trPr>
          <w:trHeight w:val="55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B12187" w:rsidRPr="00037C9B" w:rsidP="00B12187" w14:paraId="49B3F12A" w14:textId="7FFA56BB">
            <w:pPr>
              <w:widowControl/>
              <w:rPr>
                <w:rFonts w:ascii="Times New Roman" w:hAnsi="Times New Roman"/>
                <w:snapToGrid/>
                <w:color w:val="000000"/>
                <w:sz w:val="20"/>
              </w:rPr>
            </w:pPr>
            <w:r w:rsidRPr="00037C9B">
              <w:rPr>
                <w:rFonts w:ascii="Times New Roman" w:hAnsi="Times New Roman"/>
                <w:snapToGrid/>
                <w:color w:val="000000"/>
                <w:sz w:val="20"/>
              </w:rPr>
              <w:t>Notice of Branch Closure</w:t>
            </w:r>
            <w:r w:rsidRPr="00037C9B" w:rsidR="00797091">
              <w:rPr>
                <w:rFonts w:ascii="Times New Roman" w:hAnsi="Times New Roman"/>
                <w:snapToGrid/>
                <w:color w:val="000000"/>
                <w:sz w:val="20"/>
              </w:rPr>
              <w:t xml:space="preserve"> to FDIC. 12 CFR 1831r(a)</w:t>
            </w:r>
          </w:p>
        </w:tc>
        <w:tc>
          <w:tcPr>
            <w:tcW w:w="1500" w:type="dxa"/>
            <w:tcBorders>
              <w:top w:val="nil"/>
              <w:left w:val="nil"/>
              <w:bottom w:val="single" w:sz="4" w:space="0" w:color="auto"/>
              <w:right w:val="single" w:sz="4" w:space="0" w:color="auto"/>
            </w:tcBorders>
            <w:shd w:val="clear" w:color="auto" w:fill="auto"/>
            <w:vAlign w:val="center"/>
            <w:hideMark/>
          </w:tcPr>
          <w:p w:rsidR="00B12187" w:rsidRPr="00037C9B" w:rsidP="00B12187" w14:paraId="1737BB8A"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Reporting (Mandatory)</w:t>
            </w:r>
          </w:p>
        </w:tc>
        <w:tc>
          <w:tcPr>
            <w:tcW w:w="960" w:type="dxa"/>
            <w:tcBorders>
              <w:top w:val="nil"/>
              <w:left w:val="nil"/>
              <w:bottom w:val="single" w:sz="4" w:space="0" w:color="auto"/>
              <w:right w:val="single" w:sz="4" w:space="0" w:color="auto"/>
            </w:tcBorders>
            <w:shd w:val="clear" w:color="auto" w:fill="auto"/>
            <w:vAlign w:val="center"/>
            <w:hideMark/>
          </w:tcPr>
          <w:p w:rsidR="00B12187" w:rsidRPr="00037C9B" w:rsidP="00B12187" w14:paraId="50226A75"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On occasion </w:t>
            </w:r>
          </w:p>
        </w:tc>
        <w:tc>
          <w:tcPr>
            <w:tcW w:w="1180" w:type="dxa"/>
            <w:tcBorders>
              <w:top w:val="nil"/>
              <w:left w:val="nil"/>
              <w:bottom w:val="single" w:sz="4" w:space="0" w:color="auto"/>
              <w:right w:val="single" w:sz="4" w:space="0" w:color="auto"/>
            </w:tcBorders>
            <w:shd w:val="clear" w:color="auto" w:fill="auto"/>
            <w:vAlign w:val="center"/>
            <w:hideMark/>
          </w:tcPr>
          <w:p w:rsidR="00B12187" w:rsidRPr="00037C9B" w:rsidP="00B12187" w14:paraId="535AF5BA" w14:textId="56974086">
            <w:pPr>
              <w:widowControl/>
              <w:jc w:val="center"/>
              <w:rPr>
                <w:rFonts w:ascii="Times New Roman" w:hAnsi="Times New Roman"/>
                <w:snapToGrid/>
                <w:color w:val="000000"/>
                <w:sz w:val="20"/>
              </w:rPr>
            </w:pPr>
            <w:r w:rsidRPr="00037C9B">
              <w:rPr>
                <w:rFonts w:ascii="Times New Roman" w:hAnsi="Times New Roman"/>
                <w:snapToGrid/>
                <w:color w:val="000000"/>
                <w:sz w:val="20"/>
              </w:rPr>
              <w:t>276</w:t>
            </w:r>
          </w:p>
        </w:tc>
        <w:tc>
          <w:tcPr>
            <w:tcW w:w="1380" w:type="dxa"/>
            <w:tcBorders>
              <w:top w:val="nil"/>
              <w:left w:val="nil"/>
              <w:bottom w:val="single" w:sz="4" w:space="0" w:color="auto"/>
              <w:right w:val="single" w:sz="4" w:space="0" w:color="auto"/>
            </w:tcBorders>
            <w:shd w:val="clear" w:color="auto" w:fill="auto"/>
            <w:vAlign w:val="center"/>
            <w:hideMark/>
          </w:tcPr>
          <w:p w:rsidR="00B12187" w:rsidRPr="00037C9B" w:rsidP="00B12187" w14:paraId="6391B7A3" w14:textId="3CA63F2F">
            <w:pPr>
              <w:widowControl/>
              <w:jc w:val="center"/>
              <w:rPr>
                <w:rFonts w:ascii="Times New Roman" w:hAnsi="Times New Roman"/>
                <w:snapToGrid/>
                <w:color w:val="000000"/>
                <w:sz w:val="20"/>
              </w:rPr>
            </w:pPr>
            <w:r w:rsidRPr="00037C9B">
              <w:rPr>
                <w:rFonts w:ascii="Times New Roman" w:hAnsi="Times New Roman"/>
                <w:snapToGrid/>
                <w:color w:val="000000"/>
                <w:sz w:val="20"/>
              </w:rPr>
              <w:t>2.99</w:t>
            </w:r>
          </w:p>
        </w:tc>
        <w:tc>
          <w:tcPr>
            <w:tcW w:w="960" w:type="dxa"/>
            <w:tcBorders>
              <w:top w:val="nil"/>
              <w:left w:val="nil"/>
              <w:bottom w:val="single" w:sz="4" w:space="0" w:color="auto"/>
              <w:right w:val="single" w:sz="4" w:space="0" w:color="auto"/>
            </w:tcBorders>
            <w:shd w:val="clear" w:color="auto" w:fill="auto"/>
            <w:vAlign w:val="center"/>
            <w:hideMark/>
          </w:tcPr>
          <w:p w:rsidR="00B12187" w:rsidRPr="00037C9B" w:rsidP="00B12187" w14:paraId="683EC499" w14:textId="0E36F06D">
            <w:pPr>
              <w:widowControl/>
              <w:jc w:val="center"/>
              <w:rPr>
                <w:rFonts w:ascii="Times New Roman" w:hAnsi="Times New Roman"/>
                <w:snapToGrid/>
                <w:color w:val="000000"/>
                <w:sz w:val="20"/>
              </w:rPr>
            </w:pPr>
            <w:r w:rsidRPr="00037C9B">
              <w:rPr>
                <w:rFonts w:ascii="Times New Roman" w:hAnsi="Times New Roman"/>
                <w:snapToGrid/>
                <w:color w:val="000000"/>
                <w:sz w:val="20"/>
              </w:rPr>
              <w:t>.5</w:t>
            </w:r>
          </w:p>
        </w:tc>
        <w:tc>
          <w:tcPr>
            <w:tcW w:w="1420" w:type="dxa"/>
            <w:tcBorders>
              <w:top w:val="nil"/>
              <w:left w:val="nil"/>
              <w:bottom w:val="single" w:sz="4" w:space="0" w:color="auto"/>
              <w:right w:val="single" w:sz="4" w:space="0" w:color="auto"/>
            </w:tcBorders>
            <w:shd w:val="clear" w:color="auto" w:fill="auto"/>
            <w:vAlign w:val="center"/>
            <w:hideMark/>
          </w:tcPr>
          <w:p w:rsidR="00B12187" w:rsidRPr="00037C9B" w:rsidP="00B12187" w14:paraId="4B09205C" w14:textId="1C20034A">
            <w:pPr>
              <w:widowControl/>
              <w:jc w:val="center"/>
              <w:rPr>
                <w:rFonts w:ascii="Times New Roman" w:hAnsi="Times New Roman"/>
                <w:snapToGrid/>
                <w:color w:val="000000"/>
                <w:sz w:val="20"/>
              </w:rPr>
            </w:pPr>
            <w:r w:rsidRPr="00037C9B">
              <w:rPr>
                <w:rFonts w:ascii="Times New Roman" w:hAnsi="Times New Roman"/>
                <w:snapToGrid/>
                <w:color w:val="000000"/>
                <w:sz w:val="20"/>
              </w:rPr>
              <w:t>413</w:t>
            </w:r>
          </w:p>
        </w:tc>
      </w:tr>
      <w:tr w14:paraId="6095C225" w14:textId="77777777" w:rsidTr="0034516E">
        <w:tblPrEx>
          <w:tblW w:w="9820" w:type="dxa"/>
          <w:tblLook w:val="04A0"/>
        </w:tblPrEx>
        <w:trPr>
          <w:trHeight w:val="552"/>
        </w:trPr>
        <w:tc>
          <w:tcPr>
            <w:tcW w:w="2420" w:type="dxa"/>
            <w:tcBorders>
              <w:top w:val="nil"/>
              <w:left w:val="single" w:sz="4" w:space="0" w:color="auto"/>
              <w:bottom w:val="single" w:sz="4" w:space="0" w:color="auto"/>
              <w:right w:val="single" w:sz="4" w:space="0" w:color="auto"/>
            </w:tcBorders>
            <w:shd w:val="clear" w:color="auto" w:fill="auto"/>
            <w:vAlign w:val="center"/>
          </w:tcPr>
          <w:p w:rsidR="00797091" w:rsidRPr="00037C9B" w:rsidP="00B12187" w14:paraId="0EDC2187" w14:textId="7D989399">
            <w:pPr>
              <w:widowControl/>
              <w:rPr>
                <w:rFonts w:ascii="Times New Roman" w:hAnsi="Times New Roman"/>
                <w:snapToGrid/>
                <w:color w:val="000000"/>
                <w:sz w:val="20"/>
              </w:rPr>
            </w:pPr>
            <w:r w:rsidRPr="00037C9B">
              <w:rPr>
                <w:rFonts w:ascii="Times New Roman" w:hAnsi="Times New Roman"/>
                <w:snapToGrid/>
                <w:color w:val="000000"/>
                <w:sz w:val="20"/>
              </w:rPr>
              <w:t>Notice of Branch Closure to Customers. 12 CFR 1831r(b)</w:t>
            </w:r>
          </w:p>
        </w:tc>
        <w:tc>
          <w:tcPr>
            <w:tcW w:w="1500" w:type="dxa"/>
            <w:tcBorders>
              <w:top w:val="nil"/>
              <w:left w:val="nil"/>
              <w:bottom w:val="single" w:sz="4" w:space="0" w:color="auto"/>
              <w:right w:val="single" w:sz="4" w:space="0" w:color="auto"/>
            </w:tcBorders>
            <w:shd w:val="clear" w:color="auto" w:fill="auto"/>
            <w:vAlign w:val="center"/>
          </w:tcPr>
          <w:p w:rsidR="00797091" w:rsidRPr="00037C9B" w:rsidP="00B12187" w14:paraId="6BADA850"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Third-Party Disclosure</w:t>
            </w:r>
          </w:p>
          <w:p w:rsidR="00797091" w:rsidRPr="00037C9B" w:rsidP="00B12187" w14:paraId="2DFEE0CE" w14:textId="521716F3">
            <w:pPr>
              <w:widowControl/>
              <w:jc w:val="center"/>
              <w:rPr>
                <w:rFonts w:ascii="Times New Roman" w:hAnsi="Times New Roman"/>
                <w:snapToGrid/>
                <w:color w:val="000000"/>
                <w:sz w:val="20"/>
              </w:rPr>
            </w:pPr>
            <w:r w:rsidRPr="00037C9B">
              <w:rPr>
                <w:rFonts w:ascii="Times New Roman" w:hAnsi="Times New Roman"/>
                <w:snapToGrid/>
                <w:color w:val="000000"/>
                <w:sz w:val="20"/>
              </w:rPr>
              <w:t>(Mandatory)</w:t>
            </w:r>
          </w:p>
        </w:tc>
        <w:tc>
          <w:tcPr>
            <w:tcW w:w="960" w:type="dxa"/>
            <w:tcBorders>
              <w:top w:val="nil"/>
              <w:left w:val="nil"/>
              <w:bottom w:val="single" w:sz="4" w:space="0" w:color="auto"/>
              <w:right w:val="single" w:sz="4" w:space="0" w:color="auto"/>
            </w:tcBorders>
            <w:shd w:val="clear" w:color="auto" w:fill="auto"/>
            <w:vAlign w:val="center"/>
          </w:tcPr>
          <w:p w:rsidR="00797091" w:rsidRPr="00037C9B" w:rsidP="00B12187" w14:paraId="2603117C" w14:textId="46BC1B3C">
            <w:pPr>
              <w:widowControl/>
              <w:jc w:val="center"/>
              <w:rPr>
                <w:rFonts w:ascii="Times New Roman" w:hAnsi="Times New Roman"/>
                <w:snapToGrid/>
                <w:color w:val="000000"/>
                <w:sz w:val="20"/>
              </w:rPr>
            </w:pPr>
            <w:r w:rsidRPr="00037C9B">
              <w:rPr>
                <w:rFonts w:ascii="Times New Roman" w:hAnsi="Times New Roman"/>
                <w:snapToGrid/>
                <w:color w:val="000000"/>
                <w:sz w:val="20"/>
              </w:rPr>
              <w:t>On Occasion</w:t>
            </w:r>
          </w:p>
        </w:tc>
        <w:tc>
          <w:tcPr>
            <w:tcW w:w="1180" w:type="dxa"/>
            <w:tcBorders>
              <w:top w:val="nil"/>
              <w:left w:val="nil"/>
              <w:bottom w:val="single" w:sz="4" w:space="0" w:color="auto"/>
              <w:right w:val="single" w:sz="4" w:space="0" w:color="auto"/>
            </w:tcBorders>
            <w:shd w:val="clear" w:color="auto" w:fill="auto"/>
            <w:vAlign w:val="center"/>
          </w:tcPr>
          <w:p w:rsidR="00797091" w:rsidRPr="00037C9B" w:rsidP="00B12187" w14:paraId="5EC282EF" w14:textId="662DA519">
            <w:pPr>
              <w:widowControl/>
              <w:jc w:val="center"/>
              <w:rPr>
                <w:rFonts w:ascii="Times New Roman" w:hAnsi="Times New Roman"/>
                <w:snapToGrid/>
                <w:color w:val="000000"/>
                <w:sz w:val="20"/>
              </w:rPr>
            </w:pPr>
            <w:r w:rsidRPr="00037C9B">
              <w:rPr>
                <w:rFonts w:ascii="Times New Roman" w:hAnsi="Times New Roman"/>
                <w:snapToGrid/>
                <w:color w:val="000000"/>
                <w:sz w:val="20"/>
              </w:rPr>
              <w:t>276</w:t>
            </w:r>
          </w:p>
        </w:tc>
        <w:tc>
          <w:tcPr>
            <w:tcW w:w="1380" w:type="dxa"/>
            <w:tcBorders>
              <w:top w:val="nil"/>
              <w:left w:val="nil"/>
              <w:bottom w:val="single" w:sz="4" w:space="0" w:color="auto"/>
              <w:right w:val="single" w:sz="4" w:space="0" w:color="auto"/>
            </w:tcBorders>
            <w:shd w:val="clear" w:color="auto" w:fill="auto"/>
            <w:vAlign w:val="center"/>
          </w:tcPr>
          <w:p w:rsidR="00797091" w:rsidRPr="00037C9B" w:rsidP="00B12187" w14:paraId="6725F033" w14:textId="495B39B8">
            <w:pPr>
              <w:widowControl/>
              <w:jc w:val="center"/>
              <w:rPr>
                <w:rFonts w:ascii="Times New Roman" w:hAnsi="Times New Roman"/>
                <w:snapToGrid/>
                <w:color w:val="000000"/>
                <w:sz w:val="20"/>
              </w:rPr>
            </w:pPr>
            <w:r w:rsidRPr="00037C9B">
              <w:rPr>
                <w:rFonts w:ascii="Times New Roman" w:hAnsi="Times New Roman"/>
                <w:snapToGrid/>
                <w:color w:val="000000"/>
                <w:sz w:val="20"/>
              </w:rPr>
              <w:t>2.99</w:t>
            </w:r>
          </w:p>
        </w:tc>
        <w:tc>
          <w:tcPr>
            <w:tcW w:w="960" w:type="dxa"/>
            <w:tcBorders>
              <w:top w:val="nil"/>
              <w:left w:val="nil"/>
              <w:bottom w:val="single" w:sz="4" w:space="0" w:color="auto"/>
              <w:right w:val="single" w:sz="4" w:space="0" w:color="auto"/>
            </w:tcBorders>
            <w:shd w:val="clear" w:color="auto" w:fill="auto"/>
            <w:vAlign w:val="center"/>
          </w:tcPr>
          <w:p w:rsidR="00797091" w:rsidRPr="00037C9B" w:rsidP="00B12187" w14:paraId="357CCB84" w14:textId="65BFDEFC">
            <w:pPr>
              <w:widowControl/>
              <w:jc w:val="center"/>
              <w:rPr>
                <w:rFonts w:ascii="Times New Roman" w:hAnsi="Times New Roman"/>
                <w:snapToGrid/>
                <w:color w:val="000000"/>
                <w:sz w:val="20"/>
              </w:rPr>
            </w:pPr>
            <w:r w:rsidRPr="00037C9B">
              <w:rPr>
                <w:rFonts w:ascii="Times New Roman" w:hAnsi="Times New Roman"/>
                <w:snapToGrid/>
                <w:color w:val="000000"/>
                <w:sz w:val="20"/>
              </w:rPr>
              <w:t>1.5</w:t>
            </w:r>
          </w:p>
        </w:tc>
        <w:tc>
          <w:tcPr>
            <w:tcW w:w="1420" w:type="dxa"/>
            <w:tcBorders>
              <w:top w:val="nil"/>
              <w:left w:val="nil"/>
              <w:bottom w:val="single" w:sz="4" w:space="0" w:color="auto"/>
              <w:right w:val="single" w:sz="4" w:space="0" w:color="auto"/>
            </w:tcBorders>
            <w:shd w:val="clear" w:color="auto" w:fill="auto"/>
            <w:vAlign w:val="center"/>
          </w:tcPr>
          <w:p w:rsidR="00797091" w:rsidRPr="00037C9B" w:rsidP="00B12187" w14:paraId="0F984B84" w14:textId="16280286">
            <w:pPr>
              <w:widowControl/>
              <w:jc w:val="center"/>
              <w:rPr>
                <w:rFonts w:ascii="Times New Roman" w:hAnsi="Times New Roman"/>
                <w:snapToGrid/>
                <w:color w:val="000000"/>
                <w:sz w:val="20"/>
              </w:rPr>
            </w:pPr>
            <w:r w:rsidRPr="00037C9B">
              <w:rPr>
                <w:rFonts w:ascii="Times New Roman" w:hAnsi="Times New Roman"/>
                <w:snapToGrid/>
                <w:color w:val="000000"/>
                <w:sz w:val="20"/>
              </w:rPr>
              <w:t>1,238</w:t>
            </w:r>
          </w:p>
        </w:tc>
      </w:tr>
      <w:tr w14:paraId="6EBFF8EE" w14:textId="77777777" w:rsidTr="0034516E">
        <w:tblPrEx>
          <w:tblW w:w="9820" w:type="dxa"/>
          <w:tblLook w:val="04A0"/>
        </w:tblPrEx>
        <w:trPr>
          <w:trHeight w:val="55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B12187" w:rsidRPr="00037C9B" w:rsidP="00B12187" w14:paraId="70AE9CC4" w14:textId="77777777">
            <w:pPr>
              <w:widowControl/>
              <w:rPr>
                <w:rFonts w:ascii="Times New Roman" w:hAnsi="Times New Roman"/>
                <w:snapToGrid/>
                <w:sz w:val="20"/>
              </w:rPr>
            </w:pPr>
            <w:r w:rsidRPr="00037C9B">
              <w:rPr>
                <w:rFonts w:ascii="Times New Roman" w:hAnsi="Times New Roman"/>
                <w:snapToGrid/>
                <w:sz w:val="20"/>
              </w:rPr>
              <w:t>Adoption of Branch Closure Policy</w:t>
            </w:r>
          </w:p>
        </w:tc>
        <w:tc>
          <w:tcPr>
            <w:tcW w:w="1500" w:type="dxa"/>
            <w:tcBorders>
              <w:top w:val="nil"/>
              <w:left w:val="nil"/>
              <w:bottom w:val="single" w:sz="4" w:space="0" w:color="auto"/>
              <w:right w:val="single" w:sz="4" w:space="0" w:color="auto"/>
            </w:tcBorders>
            <w:shd w:val="clear" w:color="auto" w:fill="auto"/>
            <w:vAlign w:val="center"/>
            <w:hideMark/>
          </w:tcPr>
          <w:p w:rsidR="00B12187" w:rsidRPr="00037C9B" w:rsidP="00B12187" w14:paraId="75C0F8AC"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Recordkeeping (Mandatory)</w:t>
            </w:r>
          </w:p>
        </w:tc>
        <w:tc>
          <w:tcPr>
            <w:tcW w:w="960" w:type="dxa"/>
            <w:tcBorders>
              <w:top w:val="nil"/>
              <w:left w:val="nil"/>
              <w:bottom w:val="single" w:sz="4" w:space="0" w:color="auto"/>
              <w:right w:val="single" w:sz="4" w:space="0" w:color="auto"/>
            </w:tcBorders>
            <w:shd w:val="clear" w:color="auto" w:fill="auto"/>
            <w:vAlign w:val="center"/>
            <w:hideMark/>
          </w:tcPr>
          <w:p w:rsidR="00B12187" w:rsidRPr="00037C9B" w:rsidP="00B12187" w14:paraId="0710C6DD"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On occasion </w:t>
            </w:r>
          </w:p>
        </w:tc>
        <w:tc>
          <w:tcPr>
            <w:tcW w:w="1180" w:type="dxa"/>
            <w:tcBorders>
              <w:top w:val="nil"/>
              <w:left w:val="nil"/>
              <w:bottom w:val="single" w:sz="4" w:space="0" w:color="auto"/>
              <w:right w:val="single" w:sz="4" w:space="0" w:color="auto"/>
            </w:tcBorders>
            <w:shd w:val="clear" w:color="auto" w:fill="auto"/>
            <w:vAlign w:val="center"/>
            <w:hideMark/>
          </w:tcPr>
          <w:p w:rsidR="00B12187" w:rsidRPr="00037C9B" w:rsidP="00B12187" w14:paraId="29A9C0D0" w14:textId="4C08C45E">
            <w:pPr>
              <w:widowControl/>
              <w:jc w:val="center"/>
              <w:rPr>
                <w:rFonts w:ascii="Times New Roman" w:hAnsi="Times New Roman"/>
                <w:snapToGrid/>
                <w:color w:val="000000"/>
                <w:sz w:val="20"/>
              </w:rPr>
            </w:pPr>
            <w:r w:rsidRPr="00037C9B">
              <w:rPr>
                <w:rFonts w:ascii="Times New Roman" w:hAnsi="Times New Roman"/>
                <w:snapToGrid/>
                <w:color w:val="000000"/>
                <w:sz w:val="20"/>
              </w:rPr>
              <w:t>18</w:t>
            </w:r>
          </w:p>
        </w:tc>
        <w:tc>
          <w:tcPr>
            <w:tcW w:w="1380" w:type="dxa"/>
            <w:tcBorders>
              <w:top w:val="nil"/>
              <w:left w:val="nil"/>
              <w:bottom w:val="single" w:sz="4" w:space="0" w:color="auto"/>
              <w:right w:val="single" w:sz="4" w:space="0" w:color="auto"/>
            </w:tcBorders>
            <w:shd w:val="clear" w:color="auto" w:fill="auto"/>
            <w:vAlign w:val="center"/>
            <w:hideMark/>
          </w:tcPr>
          <w:p w:rsidR="00B12187" w:rsidRPr="00037C9B" w:rsidP="00B12187" w14:paraId="7056ABB3" w14:textId="5CB7BF50">
            <w:pPr>
              <w:widowControl/>
              <w:jc w:val="center"/>
              <w:rPr>
                <w:rFonts w:ascii="Times New Roman" w:hAnsi="Times New Roman"/>
                <w:snapToGrid/>
                <w:color w:val="000000"/>
                <w:sz w:val="20"/>
              </w:rPr>
            </w:pPr>
            <w:r w:rsidRPr="00037C9B">
              <w:rPr>
                <w:rFonts w:ascii="Times New Roman" w:hAnsi="Times New Roman"/>
                <w:snapToGrid/>
                <w:color w:val="000000"/>
                <w:sz w:val="20"/>
              </w:rPr>
              <w:t>1</w:t>
            </w:r>
          </w:p>
        </w:tc>
        <w:tc>
          <w:tcPr>
            <w:tcW w:w="960" w:type="dxa"/>
            <w:tcBorders>
              <w:top w:val="nil"/>
              <w:left w:val="nil"/>
              <w:bottom w:val="single" w:sz="4" w:space="0" w:color="auto"/>
              <w:right w:val="single" w:sz="4" w:space="0" w:color="auto"/>
            </w:tcBorders>
            <w:shd w:val="clear" w:color="auto" w:fill="auto"/>
            <w:vAlign w:val="center"/>
            <w:hideMark/>
          </w:tcPr>
          <w:p w:rsidR="00B12187" w:rsidRPr="00037C9B" w:rsidP="00B12187" w14:paraId="4805DE73" w14:textId="77777777">
            <w:pPr>
              <w:widowControl/>
              <w:jc w:val="center"/>
              <w:rPr>
                <w:rFonts w:ascii="Times New Roman" w:hAnsi="Times New Roman"/>
                <w:snapToGrid/>
                <w:color w:val="000000"/>
                <w:sz w:val="20"/>
              </w:rPr>
            </w:pPr>
            <w:r w:rsidRPr="00037C9B">
              <w:rPr>
                <w:rFonts w:ascii="Times New Roman" w:hAnsi="Times New Roman"/>
                <w:snapToGrid/>
                <w:color w:val="000000"/>
                <w:sz w:val="20"/>
              </w:rPr>
              <w:t>8</w:t>
            </w:r>
          </w:p>
        </w:tc>
        <w:tc>
          <w:tcPr>
            <w:tcW w:w="1420" w:type="dxa"/>
            <w:tcBorders>
              <w:top w:val="nil"/>
              <w:left w:val="nil"/>
              <w:bottom w:val="single" w:sz="4" w:space="0" w:color="auto"/>
              <w:right w:val="single" w:sz="4" w:space="0" w:color="auto"/>
            </w:tcBorders>
            <w:shd w:val="clear" w:color="auto" w:fill="auto"/>
            <w:vAlign w:val="center"/>
            <w:hideMark/>
          </w:tcPr>
          <w:p w:rsidR="00B12187" w:rsidRPr="00037C9B" w:rsidP="00B12187" w14:paraId="2433B553" w14:textId="7963CAE1">
            <w:pPr>
              <w:widowControl/>
              <w:jc w:val="center"/>
              <w:rPr>
                <w:rFonts w:ascii="Times New Roman" w:hAnsi="Times New Roman"/>
                <w:snapToGrid/>
                <w:color w:val="000000"/>
                <w:sz w:val="20"/>
              </w:rPr>
            </w:pPr>
            <w:r w:rsidRPr="00037C9B">
              <w:rPr>
                <w:rFonts w:ascii="Times New Roman" w:hAnsi="Times New Roman"/>
                <w:snapToGrid/>
                <w:color w:val="000000"/>
                <w:sz w:val="20"/>
              </w:rPr>
              <w:t>144</w:t>
            </w:r>
          </w:p>
        </w:tc>
      </w:tr>
      <w:tr w14:paraId="65094190" w14:textId="77777777" w:rsidTr="0034516E">
        <w:tblPrEx>
          <w:tblW w:w="9820" w:type="dxa"/>
          <w:tblLook w:val="04A0"/>
        </w:tblPrEx>
        <w:trPr>
          <w:trHeight w:val="288"/>
        </w:trPr>
        <w:tc>
          <w:tcPr>
            <w:tcW w:w="84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12187" w:rsidRPr="00037C9B" w:rsidP="00B12187" w14:paraId="55BDC31D" w14:textId="77777777">
            <w:pPr>
              <w:widowControl/>
              <w:jc w:val="right"/>
              <w:rPr>
                <w:rFonts w:ascii="Times New Roman" w:hAnsi="Times New Roman"/>
                <w:snapToGrid/>
                <w:color w:val="000000"/>
                <w:sz w:val="20"/>
              </w:rPr>
            </w:pPr>
            <w:r w:rsidRPr="00037C9B">
              <w:rPr>
                <w:rFonts w:ascii="Times New Roman" w:hAnsi="Times New Roman"/>
                <w:snapToGrid/>
                <w:color w:val="000000"/>
                <w:sz w:val="20"/>
              </w:rPr>
              <w:t>Total Annual Burden (Hours): </w:t>
            </w:r>
          </w:p>
        </w:tc>
        <w:tc>
          <w:tcPr>
            <w:tcW w:w="1420" w:type="dxa"/>
            <w:tcBorders>
              <w:top w:val="nil"/>
              <w:left w:val="nil"/>
              <w:bottom w:val="single" w:sz="4" w:space="0" w:color="auto"/>
              <w:right w:val="single" w:sz="4" w:space="0" w:color="auto"/>
            </w:tcBorders>
            <w:shd w:val="clear" w:color="auto" w:fill="auto"/>
            <w:vAlign w:val="center"/>
            <w:hideMark/>
          </w:tcPr>
          <w:p w:rsidR="00B12187" w:rsidRPr="00037C9B" w:rsidP="00B12187" w14:paraId="6BF304BA" w14:textId="281806ED">
            <w:pPr>
              <w:widowControl/>
              <w:jc w:val="center"/>
              <w:rPr>
                <w:rFonts w:ascii="Times New Roman" w:hAnsi="Times New Roman"/>
                <w:snapToGrid/>
                <w:color w:val="000000"/>
                <w:sz w:val="20"/>
              </w:rPr>
            </w:pPr>
            <w:r w:rsidRPr="00037C9B">
              <w:rPr>
                <w:rFonts w:ascii="Times New Roman" w:hAnsi="Times New Roman"/>
                <w:snapToGrid/>
                <w:color w:val="000000"/>
                <w:sz w:val="20"/>
              </w:rPr>
              <w:t>1,795</w:t>
            </w:r>
          </w:p>
        </w:tc>
      </w:tr>
      <w:tr w14:paraId="3EE3FDE7" w14:textId="77777777" w:rsidTr="0034516E">
        <w:tblPrEx>
          <w:tblW w:w="9820" w:type="dxa"/>
          <w:tblLook w:val="04A0"/>
        </w:tblPrEx>
        <w:trPr>
          <w:trHeight w:val="288"/>
        </w:trPr>
        <w:tc>
          <w:tcPr>
            <w:tcW w:w="98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37C9B" w:rsidRPr="00037C9B" w:rsidP="00B12187" w14:paraId="2A7E47A8" w14:textId="77777777">
            <w:pPr>
              <w:widowControl/>
              <w:rPr>
                <w:rFonts w:ascii="Times New Roman" w:hAnsi="Times New Roman"/>
                <w:snapToGrid/>
                <w:color w:val="000000"/>
                <w:sz w:val="20"/>
              </w:rPr>
            </w:pPr>
            <w:r w:rsidRPr="00037C9B">
              <w:rPr>
                <w:rFonts w:ascii="Times New Roman" w:hAnsi="Times New Roman"/>
                <w:snapToGrid/>
                <w:color w:val="000000"/>
                <w:sz w:val="20"/>
              </w:rPr>
              <w:t>Source: FDIC. </w:t>
            </w:r>
          </w:p>
          <w:p w:rsidR="00B12187" w:rsidRPr="00B12187" w:rsidP="00B12187" w14:paraId="2F252407" w14:textId="03A34AEE">
            <w:pPr>
              <w:widowControl/>
              <w:rPr>
                <w:rFonts w:ascii="Source Sans Pro" w:hAnsi="Source Sans Pro" w:cs="Calibri"/>
                <w:snapToGrid/>
                <w:color w:val="000000"/>
                <w:sz w:val="20"/>
              </w:rPr>
            </w:pPr>
            <w:r w:rsidRPr="00037C9B">
              <w:rPr>
                <w:rFonts w:ascii="Times New Roman" w:hAnsi="Times New Roman"/>
                <w:snapToGrid/>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bl>
    <w:p w:rsidR="00B12187" w14:paraId="4B906D32" w14:textId="77777777">
      <w:pPr>
        <w:pStyle w:val="EndnoteText"/>
        <w:tabs>
          <w:tab w:val="left" w:pos="2280"/>
          <w:tab w:val="left" w:pos="3720"/>
          <w:tab w:val="left" w:pos="5160"/>
          <w:tab w:val="left" w:pos="6600"/>
          <w:tab w:val="left" w:pos="8040"/>
        </w:tabs>
        <w:suppressAutoHyphens/>
        <w:rPr>
          <w:rFonts w:ascii="Times New Roman" w:hAnsi="Times New Roman"/>
          <w:highlight w:val="yellow"/>
        </w:rPr>
      </w:pPr>
    </w:p>
    <w:p w:rsidR="002B27CE" w:rsidRPr="002B27CE" w:rsidP="002B27CE" w14:paraId="78EBBC59" w14:textId="77777777">
      <w:pPr>
        <w:suppressAutoHyphens/>
        <w:ind w:left="1440"/>
        <w:rPr>
          <w:rFonts w:ascii="Times New Roman" w:eastAsia="Source Sans Pro" w:hAnsi="Times New Roman"/>
          <w:b/>
          <w:snapToGrid/>
          <w:szCs w:val="24"/>
          <w:lang w:bidi="en-US"/>
        </w:rPr>
      </w:pPr>
      <w:r w:rsidRPr="002B27CE">
        <w:rPr>
          <w:rFonts w:ascii="Times New Roman" w:eastAsia="Source Sans Pro" w:hAnsi="Times New Roman"/>
          <w:b/>
          <w:snapToGrid/>
          <w:szCs w:val="24"/>
          <w:lang w:bidi="en-US"/>
        </w:rPr>
        <w:t xml:space="preserve">Total </w:t>
      </w:r>
      <w:r w:rsidRPr="002B27CE">
        <w:rPr>
          <w:rFonts w:ascii="Times New Roman" w:hAnsi="Times New Roman"/>
          <w:b/>
          <w:bCs/>
          <w:szCs w:val="24"/>
          <w:lang w:bidi="en-US"/>
        </w:rPr>
        <w:t>Estimated</w:t>
      </w:r>
      <w:r w:rsidRPr="002B27CE">
        <w:rPr>
          <w:rFonts w:ascii="Times New Roman" w:eastAsia="Source Sans Pro" w:hAnsi="Times New Roman"/>
          <w:b/>
          <w:snapToGrid/>
          <w:szCs w:val="24"/>
          <w:lang w:bidi="en-US"/>
        </w:rPr>
        <w:t xml:space="preserve"> Hourly Labor Compensation Rates</w:t>
      </w:r>
    </w:p>
    <w:p w:rsidR="00B12187" w14:paraId="341A6732" w14:textId="77777777">
      <w:pPr>
        <w:tabs>
          <w:tab w:val="left" w:pos="480"/>
          <w:tab w:val="left" w:pos="1080"/>
          <w:tab w:val="left" w:pos="1680"/>
        </w:tabs>
        <w:suppressAutoHyphens/>
        <w:ind w:left="1080"/>
        <w:rPr>
          <w:rFonts w:ascii="Times New Roman" w:hAnsi="Times New Roman"/>
        </w:rPr>
      </w:pPr>
    </w:p>
    <w:p w:rsidR="002B27CE" w:rsidP="002B27CE" w14:paraId="0F87AD4B" w14:textId="4ECA10B6">
      <w:pPr>
        <w:suppressAutoHyphens/>
        <w:ind w:left="1440"/>
        <w:rPr>
          <w:rFonts w:ascii="Times New Roman" w:eastAsia="Source Sans Pro" w:hAnsi="Times New Roman"/>
          <w:snapToGrid/>
          <w:color w:val="000000"/>
          <w:szCs w:val="24"/>
          <w:bdr w:val="none" w:sz="0" w:space="0" w:color="auto" w:frame="1"/>
          <w:lang w:bidi="en-US"/>
        </w:rPr>
      </w:pPr>
      <w:r w:rsidRPr="002B27CE">
        <w:rPr>
          <w:rFonts w:ascii="Times New Roman" w:eastAsia="Source Sans Pro" w:hAnsi="Times New Roman"/>
          <w:snapToGrid/>
          <w:color w:val="000000"/>
          <w:szCs w:val="24"/>
          <w:lang w:bidi="en-US"/>
        </w:rPr>
        <w:t xml:space="preserve">The </w:t>
      </w:r>
      <w:r>
        <w:rPr>
          <w:rFonts w:ascii="Times New Roman" w:eastAsia="Source Sans Pro" w:hAnsi="Times New Roman"/>
          <w:snapToGrid/>
          <w:color w:val="000000"/>
          <w:szCs w:val="24"/>
          <w:lang w:bidi="en-US"/>
        </w:rPr>
        <w:t xml:space="preserve">FDIC believes the </w:t>
      </w:r>
      <w:r w:rsidRPr="002B27CE">
        <w:rPr>
          <w:rFonts w:ascii="Times New Roman" w:eastAsia="Source Sans Pro" w:hAnsi="Times New Roman"/>
          <w:snapToGrid/>
          <w:color w:val="000000"/>
          <w:szCs w:val="24"/>
          <w:lang w:bidi="en-US"/>
        </w:rPr>
        <w:t>distribution of labor by occupation</w:t>
      </w:r>
      <w:r>
        <w:rPr>
          <w:rFonts w:ascii="Times New Roman" w:eastAsia="Source Sans Pro" w:hAnsi="Times New Roman"/>
          <w:snapToGrid/>
          <w:color w:val="000000"/>
          <w:szCs w:val="24"/>
          <w:lang w:bidi="en-US"/>
        </w:rPr>
        <w:t xml:space="preserve"> for this ICR as reported in 2021 is appropriate and utilizes the same assumption for this submission.</w:t>
      </w:r>
      <w:r w:rsidRPr="002B27CE">
        <w:rPr>
          <w:rFonts w:ascii="Times New Roman" w:eastAsia="Source Sans Pro" w:hAnsi="Times New Roman"/>
          <w:snapToGrid/>
          <w:color w:val="000000"/>
          <w:szCs w:val="24"/>
          <w:lang w:bidi="en-US"/>
        </w:rPr>
        <w:t xml:space="preserve"> I</w:t>
      </w:r>
      <w:r>
        <w:rPr>
          <w:rFonts w:ascii="Times New Roman" w:eastAsia="Source Sans Pro" w:hAnsi="Times New Roman"/>
          <w:snapToGrid/>
          <w:color w:val="000000"/>
          <w:szCs w:val="24"/>
          <w:lang w:bidi="en-US"/>
        </w:rPr>
        <w:t>t</w:t>
      </w:r>
      <w:r w:rsidRPr="002B27CE">
        <w:rPr>
          <w:rFonts w:ascii="Times New Roman" w:eastAsia="Source Sans Pro" w:hAnsi="Times New Roman"/>
          <w:snapToGrid/>
          <w:color w:val="000000"/>
          <w:szCs w:val="24"/>
          <w:lang w:bidi="en-US"/>
        </w:rPr>
        <w:t xml:space="preserve"> used this estimated allocation of labor, along with estimated average cost of compensation for executives, compliance officers, and clerical, to estimate the hourly cost of complying with this ICR. </w:t>
      </w:r>
      <w:r w:rsidRPr="002B27CE">
        <w:rPr>
          <w:rFonts w:ascii="Times New Roman" w:eastAsia="Source Sans Pro" w:hAnsi="Times New Roman"/>
          <w:snapToGrid/>
          <w:color w:val="000000"/>
          <w:szCs w:val="24"/>
          <w:bdr w:val="none" w:sz="0" w:space="0" w:color="auto" w:frame="1"/>
          <w:lang w:bidi="en-US"/>
        </w:rPr>
        <w:t xml:space="preserve">To estimate the average cost of compensation per hour, </w:t>
      </w:r>
      <w:r>
        <w:rPr>
          <w:rFonts w:ascii="Times New Roman" w:eastAsia="Source Sans Pro" w:hAnsi="Times New Roman"/>
          <w:snapToGrid/>
          <w:color w:val="000000"/>
          <w:szCs w:val="24"/>
          <w:bdr w:val="none" w:sz="0" w:space="0" w:color="auto" w:frame="1"/>
          <w:lang w:bidi="en-US"/>
        </w:rPr>
        <w:t>FDIC</w:t>
      </w:r>
      <w:r w:rsidRPr="002B27CE">
        <w:rPr>
          <w:rFonts w:ascii="Times New Roman" w:eastAsia="Source Sans Pro" w:hAnsi="Times New Roman"/>
          <w:snapToGrid/>
          <w:color w:val="000000"/>
          <w:szCs w:val="24"/>
          <w:bdr w:val="none" w:sz="0" w:space="0" w:color="auto" w:frame="1"/>
          <w:lang w:bidi="en-US"/>
        </w:rPr>
        <w:t xml:space="preserve"> use</w:t>
      </w:r>
      <w:r>
        <w:rPr>
          <w:rFonts w:ascii="Times New Roman" w:eastAsia="Source Sans Pro" w:hAnsi="Times New Roman"/>
          <w:snapToGrid/>
          <w:color w:val="000000"/>
          <w:szCs w:val="24"/>
          <w:bdr w:val="none" w:sz="0" w:space="0" w:color="auto" w:frame="1"/>
          <w:lang w:bidi="en-US"/>
        </w:rPr>
        <w:t>s</w:t>
      </w:r>
      <w:r w:rsidRPr="002B27CE">
        <w:rPr>
          <w:rFonts w:ascii="Times New Roman" w:eastAsia="Source Sans Pro" w:hAnsi="Times New Roman"/>
          <w:snapToGrid/>
          <w:color w:val="000000"/>
          <w:szCs w:val="24"/>
          <w:bdr w:val="none" w:sz="0" w:space="0" w:color="auto" w:frame="1"/>
          <w:lang w:bidi="en-US"/>
        </w:rPr>
        <w:t xml:space="preserve"> the 75th percentile hourly wages reported by the Bureau of Labor Statistics (BLS) National Industry-Specific Occupational Employment and Wage Estimates (OEWS) for the relevant occupations in the Depository Credit Intermediation sector. </w:t>
      </w:r>
      <w:r w:rsidRPr="002B27CE">
        <w:rPr>
          <w:rFonts w:ascii="Times New Roman" w:eastAsia="Source Sans Pro" w:hAnsi="Times New Roman"/>
          <w:snapToGrid/>
          <w:color w:val="000000"/>
          <w:szCs w:val="24"/>
          <w:lang w:bidi="en-US"/>
        </w:rPr>
        <w:t>However, the latest OEWS wage data are as of May 2023 and do not include non-wage compensation. To adjust these wages for use in the</w:t>
      </w:r>
      <w:r>
        <w:rPr>
          <w:rFonts w:ascii="Times New Roman" w:eastAsia="Source Sans Pro" w:hAnsi="Times New Roman"/>
          <w:snapToGrid/>
          <w:color w:val="000000"/>
          <w:szCs w:val="24"/>
          <w:lang w:bidi="en-US"/>
        </w:rPr>
        <w:t xml:space="preserve"> estimate</w:t>
      </w:r>
      <w:r w:rsidRPr="002B27CE">
        <w:rPr>
          <w:rFonts w:ascii="Times New Roman" w:eastAsia="Source Sans Pro" w:hAnsi="Times New Roman"/>
          <w:snapToGrid/>
          <w:color w:val="000000"/>
          <w:szCs w:val="24"/>
          <w:lang w:bidi="en-US"/>
        </w:rPr>
        <w:t xml:space="preserve">, </w:t>
      </w:r>
      <w:r>
        <w:rPr>
          <w:rFonts w:ascii="Times New Roman" w:eastAsia="Source Sans Pro" w:hAnsi="Times New Roman"/>
          <w:snapToGrid/>
          <w:color w:val="000000"/>
          <w:szCs w:val="24"/>
          <w:lang w:bidi="en-US"/>
        </w:rPr>
        <w:t>FDIC</w:t>
      </w:r>
      <w:r w:rsidRPr="002B27CE">
        <w:rPr>
          <w:rFonts w:ascii="Times New Roman" w:eastAsia="Source Sans Pro" w:hAnsi="Times New Roman"/>
          <w:snapToGrid/>
          <w:color w:val="000000"/>
          <w:szCs w:val="24"/>
          <w:lang w:bidi="en-US"/>
        </w:rPr>
        <w:t xml:space="preserve"> multipl</w:t>
      </w:r>
      <w:r>
        <w:rPr>
          <w:rFonts w:ascii="Times New Roman" w:eastAsia="Source Sans Pro" w:hAnsi="Times New Roman"/>
          <w:snapToGrid/>
          <w:color w:val="000000"/>
          <w:szCs w:val="24"/>
          <w:lang w:bidi="en-US"/>
        </w:rPr>
        <w:t>ies</w:t>
      </w:r>
      <w:r w:rsidRPr="002B27CE">
        <w:rPr>
          <w:rFonts w:ascii="Times New Roman" w:eastAsia="Source Sans Pro" w:hAnsi="Times New Roman"/>
          <w:snapToGrid/>
          <w:color w:val="000000"/>
          <w:szCs w:val="24"/>
          <w:lang w:bidi="en-US"/>
        </w:rPr>
        <w:t xml:space="preserve"> the OEWS hourly wages by approximately 1.53 to account for non-wage compensation, using the BLS Employer Cost of Employee Compensation (ECEC) data as of March 2023 (the latest published release prior to the OEWS wage data).</w:t>
      </w:r>
      <w:r w:rsidRPr="002B27CE">
        <w:rPr>
          <w:rFonts w:ascii="Times New Roman" w:eastAsia="Source Sans Pro" w:hAnsi="Times New Roman"/>
          <w:b/>
          <w:snapToGrid/>
          <w:color w:val="000000"/>
          <w:szCs w:val="24"/>
          <w:lang w:bidi="en-US"/>
        </w:rPr>
        <w:t xml:space="preserve"> </w:t>
      </w:r>
      <w:r w:rsidRPr="002B27CE">
        <w:rPr>
          <w:rFonts w:ascii="Times New Roman" w:eastAsia="Source Sans Pro" w:hAnsi="Times New Roman"/>
          <w:snapToGrid/>
          <w:color w:val="000000"/>
          <w:szCs w:val="24"/>
          <w:bdr w:val="none" w:sz="0" w:space="0" w:color="auto" w:frame="1"/>
          <w:lang w:bidi="en-US"/>
        </w:rPr>
        <w:t>I</w:t>
      </w:r>
      <w:r>
        <w:rPr>
          <w:rFonts w:ascii="Times New Roman" w:eastAsia="Source Sans Pro" w:hAnsi="Times New Roman"/>
          <w:snapToGrid/>
          <w:color w:val="000000"/>
          <w:szCs w:val="24"/>
          <w:bdr w:val="none" w:sz="0" w:space="0" w:color="auto" w:frame="1"/>
          <w:lang w:bidi="en-US"/>
        </w:rPr>
        <w:t>t</w:t>
      </w:r>
      <w:r w:rsidRPr="002B27CE">
        <w:rPr>
          <w:rFonts w:ascii="Times New Roman" w:eastAsia="Source Sans Pro" w:hAnsi="Times New Roman"/>
          <w:snapToGrid/>
          <w:color w:val="000000"/>
          <w:szCs w:val="24"/>
          <w:bdr w:val="none" w:sz="0" w:space="0" w:color="auto" w:frame="1"/>
          <w:lang w:bidi="en-US"/>
        </w:rPr>
        <w:t xml:space="preserve"> then multipl</w:t>
      </w:r>
      <w:r>
        <w:rPr>
          <w:rFonts w:ascii="Times New Roman" w:eastAsia="Source Sans Pro" w:hAnsi="Times New Roman"/>
          <w:snapToGrid/>
          <w:color w:val="000000"/>
          <w:szCs w:val="24"/>
          <w:bdr w:val="none" w:sz="0" w:space="0" w:color="auto" w:frame="1"/>
          <w:lang w:bidi="en-US"/>
        </w:rPr>
        <w:t>ies</w:t>
      </w:r>
      <w:r w:rsidRPr="002B27CE">
        <w:rPr>
          <w:rFonts w:ascii="Times New Roman" w:eastAsia="Source Sans Pro" w:hAnsi="Times New Roman"/>
          <w:snapToGrid/>
          <w:color w:val="000000"/>
          <w:szCs w:val="24"/>
          <w:bdr w:val="none" w:sz="0" w:space="0" w:color="auto" w:frame="1"/>
          <w:lang w:bidi="en-US"/>
        </w:rPr>
        <w:t xml:space="preserve"> the resulting compensation rates by approximately 1.0</w:t>
      </w:r>
      <w:r w:rsidRPr="002B27CE">
        <w:rPr>
          <w:rFonts w:ascii="Times New Roman" w:eastAsia="Source Sans Pro" w:hAnsi="Times New Roman"/>
          <w:snapToGrid/>
          <w:color w:val="000000"/>
          <w:szCs w:val="24"/>
          <w:lang w:bidi="en-US"/>
        </w:rPr>
        <w:t>3</w:t>
      </w:r>
      <w:r w:rsidRPr="002B27CE">
        <w:rPr>
          <w:rFonts w:ascii="Times New Roman" w:eastAsia="Source Sans Pro" w:hAnsi="Times New Roman"/>
          <w:snapToGrid/>
          <w:color w:val="000000"/>
          <w:szCs w:val="24"/>
          <w:bdr w:val="none" w:sz="0" w:space="0" w:color="auto" w:frame="1"/>
          <w:lang w:bidi="en-US"/>
        </w:rPr>
        <w:t xml:space="preserve"> to account for the change in the seasonally adjusted Employment Cost Index for the Credit Intermediation and Related Activities sector (NAICS Code 522) between March 2022 and December 2023.</w:t>
      </w:r>
    </w:p>
    <w:p w:rsidR="002B27CE" w:rsidP="002B27CE" w14:paraId="69596A37" w14:textId="77777777">
      <w:pPr>
        <w:suppressAutoHyphens/>
        <w:ind w:left="1440"/>
        <w:rPr>
          <w:rFonts w:ascii="Times New Roman" w:eastAsia="Source Sans Pro" w:hAnsi="Times New Roman"/>
          <w:snapToGrid/>
          <w:color w:val="000000"/>
          <w:szCs w:val="24"/>
          <w:bdr w:val="none" w:sz="0" w:space="0" w:color="auto" w:frame="1"/>
          <w:lang w:bidi="en-US"/>
        </w:rPr>
      </w:pPr>
    </w:p>
    <w:p w:rsidR="002B27CE" w:rsidRPr="002B27CE" w:rsidP="002B27CE" w14:paraId="19C0276A" w14:textId="6E0D37F1">
      <w:pPr>
        <w:suppressAutoHyphens/>
        <w:ind w:left="1440"/>
        <w:rPr>
          <w:rFonts w:ascii="Times New Roman" w:eastAsia="Source Sans Pro" w:hAnsi="Times New Roman"/>
          <w:b/>
          <w:snapToGrid/>
          <w:color w:val="000000"/>
          <w:szCs w:val="24"/>
          <w:bdr w:val="none" w:sz="0" w:space="0" w:color="auto" w:frame="1"/>
          <w:lang w:bidi="en-US"/>
        </w:rPr>
      </w:pPr>
      <w:r w:rsidRPr="002B27CE">
        <w:rPr>
          <w:rFonts w:ascii="Times New Roman" w:eastAsia="Source Sans Pro" w:hAnsi="Times New Roman"/>
          <w:snapToGrid/>
          <w:szCs w:val="24"/>
          <w:lang w:bidi="en-US"/>
        </w:rPr>
        <w:t xml:space="preserve">After calculating these adjustments, </w:t>
      </w:r>
      <w:r>
        <w:rPr>
          <w:rFonts w:ascii="Times New Roman" w:eastAsia="Source Sans Pro" w:hAnsi="Times New Roman"/>
          <w:snapToGrid/>
          <w:szCs w:val="24"/>
          <w:lang w:bidi="en-US"/>
        </w:rPr>
        <w:t>FDIC</w:t>
      </w:r>
      <w:r w:rsidRPr="002B27CE">
        <w:rPr>
          <w:rFonts w:ascii="Times New Roman" w:eastAsia="Source Sans Pro" w:hAnsi="Times New Roman"/>
          <w:snapToGrid/>
          <w:szCs w:val="24"/>
          <w:lang w:bidi="en-US"/>
        </w:rPr>
        <w:t xml:space="preserve"> weight</w:t>
      </w:r>
      <w:r>
        <w:rPr>
          <w:rFonts w:ascii="Times New Roman" w:eastAsia="Source Sans Pro" w:hAnsi="Times New Roman"/>
          <w:snapToGrid/>
          <w:szCs w:val="24"/>
          <w:lang w:bidi="en-US"/>
        </w:rPr>
        <w:t>s</w:t>
      </w:r>
      <w:r w:rsidRPr="002B27CE">
        <w:rPr>
          <w:rFonts w:ascii="Times New Roman" w:eastAsia="Source Sans Pro" w:hAnsi="Times New Roman"/>
          <w:snapToGrid/>
          <w:szCs w:val="24"/>
          <w:lang w:bidi="en-US"/>
        </w:rPr>
        <w:t xml:space="preserve"> the total hourly compensation for the occupations shown in the table, using the </w:t>
      </w:r>
      <w:r>
        <w:rPr>
          <w:rFonts w:ascii="Times New Roman" w:eastAsia="Source Sans Pro" w:hAnsi="Times New Roman"/>
          <w:snapToGrid/>
          <w:szCs w:val="24"/>
          <w:lang w:bidi="en-US"/>
        </w:rPr>
        <w:t>assumed</w:t>
      </w:r>
      <w:r w:rsidRPr="002B27CE">
        <w:rPr>
          <w:rFonts w:ascii="Times New Roman" w:eastAsia="Source Sans Pro" w:hAnsi="Times New Roman"/>
          <w:snapToGrid/>
          <w:szCs w:val="24"/>
          <w:lang w:bidi="en-US"/>
        </w:rPr>
        <w:t xml:space="preserve"> allocation of labor to find the estimated hourly cost of complying with this IC.</w:t>
      </w:r>
    </w:p>
    <w:p w:rsidR="002B27CE" w:rsidP="002B27CE" w14:paraId="28D01D22" w14:textId="77777777">
      <w:pPr>
        <w:suppressAutoHyphens/>
        <w:ind w:left="1440"/>
        <w:rPr>
          <w:rFonts w:ascii="Times New Roman" w:hAnsi="Times New Roman"/>
        </w:rPr>
      </w:pPr>
    </w:p>
    <w:tbl>
      <w:tblPr>
        <w:tblW w:w="9530" w:type="dxa"/>
        <w:tblLayout w:type="fixed"/>
        <w:tblLook w:val="04A0"/>
      </w:tblPr>
      <w:tblGrid>
        <w:gridCol w:w="1520"/>
        <w:gridCol w:w="810"/>
        <w:gridCol w:w="990"/>
        <w:gridCol w:w="990"/>
        <w:gridCol w:w="900"/>
        <w:gridCol w:w="990"/>
        <w:gridCol w:w="900"/>
        <w:gridCol w:w="900"/>
        <w:gridCol w:w="1530"/>
      </w:tblGrid>
      <w:tr w14:paraId="1676DA06" w14:textId="77777777" w:rsidTr="00593E96">
        <w:tblPrEx>
          <w:tblW w:w="9530" w:type="dxa"/>
          <w:tblLayout w:type="fixed"/>
          <w:tblLook w:val="04A0"/>
        </w:tblPrEx>
        <w:trPr>
          <w:trHeight w:val="360"/>
        </w:trPr>
        <w:tc>
          <w:tcPr>
            <w:tcW w:w="953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B27CE" w:rsidRPr="002B27CE" w:rsidP="002B27CE" w14:paraId="53EBC1CE" w14:textId="77777777">
            <w:pPr>
              <w:autoSpaceDE w:val="0"/>
              <w:autoSpaceDN w:val="0"/>
              <w:jc w:val="center"/>
              <w:rPr>
                <w:rFonts w:ascii="Times New Roman" w:hAnsi="Times New Roman"/>
                <w:snapToGrid/>
                <w:color w:val="000000"/>
                <w:szCs w:val="24"/>
              </w:rPr>
            </w:pPr>
            <w:r w:rsidRPr="002B27CE">
              <w:rPr>
                <w:rFonts w:ascii="Times New Roman" w:hAnsi="Times New Roman"/>
                <w:snapToGrid/>
                <w:color w:val="000000"/>
                <w:szCs w:val="24"/>
              </w:rPr>
              <w:t>Table 3. Summary of Hourly Burden Cost Estimate (OMB No. 3064-0109)</w:t>
            </w:r>
          </w:p>
        </w:tc>
      </w:tr>
      <w:tr w14:paraId="7E11BA7A" w14:textId="77777777" w:rsidTr="00593E96">
        <w:tblPrEx>
          <w:tblW w:w="9530" w:type="dxa"/>
          <w:tblLayout w:type="fixed"/>
          <w:tblLook w:val="04A0"/>
        </w:tblPrEx>
        <w:trPr>
          <w:trHeight w:val="600"/>
        </w:trPr>
        <w:tc>
          <w:tcPr>
            <w:tcW w:w="152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6896D804" w14:textId="77777777">
            <w:pPr>
              <w:widowControl/>
              <w:rPr>
                <w:rFonts w:ascii="Times New Roman" w:hAnsi="Times New Roman"/>
                <w:snapToGrid/>
                <w:color w:val="000000"/>
                <w:sz w:val="20"/>
              </w:rPr>
            </w:pPr>
            <w:r w:rsidRPr="002B27CE">
              <w:rPr>
                <w:rFonts w:ascii="Times New Roman" w:hAnsi="Times New Roman"/>
                <w:snapToGrid/>
                <w:color w:val="000000"/>
                <w:sz w:val="20"/>
              </w:rPr>
              <w:t xml:space="preserve">Information Collection (IC) (Obligation to Respond) </w:t>
            </w:r>
          </w:p>
        </w:tc>
        <w:tc>
          <w:tcPr>
            <w:tcW w:w="81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7DEA085C"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 xml:space="preserve">Hourly Weight </w:t>
            </w:r>
            <w:r w:rsidRPr="002B27CE">
              <w:rPr>
                <w:rFonts w:ascii="Times New Roman" w:hAnsi="Times New Roman"/>
                <w:snapToGrid/>
                <w:color w:val="000000"/>
                <w:sz w:val="20"/>
              </w:rPr>
              <w:br/>
              <w:t>(%)</w:t>
            </w:r>
          </w:p>
        </w:tc>
        <w:tc>
          <w:tcPr>
            <w:tcW w:w="567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B27CE" w:rsidRPr="002B27CE" w:rsidP="002B27CE" w14:paraId="164FBBBE"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 xml:space="preserve">Percentage Shares of Hours Spent by and </w:t>
            </w:r>
            <w:r w:rsidRPr="002B27CE">
              <w:rPr>
                <w:rFonts w:ascii="Times New Roman" w:hAnsi="Times New Roman"/>
                <w:snapToGrid/>
                <w:color w:val="000000"/>
                <w:sz w:val="20"/>
              </w:rPr>
              <w:br/>
              <w:t xml:space="preserve">Hourly Compensation Rates for each Occupation Group </w:t>
            </w:r>
            <w:r w:rsidRPr="002B27CE">
              <w:rPr>
                <w:rFonts w:ascii="Times New Roman" w:hAnsi="Times New Roman"/>
                <w:snapToGrid/>
                <w:color w:val="000000"/>
                <w:sz w:val="20"/>
              </w:rPr>
              <w:br/>
              <w:t>(by Collection)</w:t>
            </w:r>
          </w:p>
        </w:tc>
        <w:tc>
          <w:tcPr>
            <w:tcW w:w="153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0BE2277E"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Estimated Hourly Compensation Rate</w:t>
            </w:r>
          </w:p>
        </w:tc>
      </w:tr>
      <w:tr w14:paraId="450420A9" w14:textId="77777777" w:rsidTr="00593E96">
        <w:tblPrEx>
          <w:tblW w:w="9530" w:type="dxa"/>
          <w:tblLayout w:type="fixed"/>
          <w:tblLook w:val="04A0"/>
        </w:tblPrEx>
        <w:trPr>
          <w:trHeight w:val="277"/>
        </w:trPr>
        <w:tc>
          <w:tcPr>
            <w:tcW w:w="1520" w:type="dxa"/>
            <w:vMerge/>
            <w:tcBorders>
              <w:top w:val="nil"/>
              <w:left w:val="single" w:sz="8" w:space="0" w:color="auto"/>
              <w:bottom w:val="single" w:sz="8" w:space="0" w:color="auto"/>
              <w:right w:val="single" w:sz="8" w:space="0" w:color="auto"/>
            </w:tcBorders>
            <w:vAlign w:val="center"/>
            <w:hideMark/>
          </w:tcPr>
          <w:p w:rsidR="002B27CE" w:rsidRPr="002B27CE" w:rsidP="002B27CE" w14:paraId="092BD2E2" w14:textId="77777777">
            <w:pPr>
              <w:widowControl/>
              <w:rPr>
                <w:rFonts w:ascii="Times New Roman" w:hAnsi="Times New Roman"/>
                <w:snapToGrid/>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2B27CE" w:rsidRPr="002B27CE" w:rsidP="002B27CE" w14:paraId="7145E59D" w14:textId="77777777">
            <w:pPr>
              <w:widowControl/>
              <w:rPr>
                <w:rFonts w:ascii="Times New Roman" w:hAnsi="Times New Roman"/>
                <w:snapToGrid/>
                <w:color w:val="000000"/>
                <w:sz w:val="20"/>
              </w:rPr>
            </w:pPr>
          </w:p>
        </w:tc>
        <w:tc>
          <w:tcPr>
            <w:tcW w:w="5670" w:type="dxa"/>
            <w:gridSpan w:val="6"/>
            <w:vMerge/>
            <w:tcBorders>
              <w:top w:val="single" w:sz="8" w:space="0" w:color="auto"/>
              <w:left w:val="single" w:sz="8" w:space="0" w:color="auto"/>
              <w:bottom w:val="single" w:sz="8" w:space="0" w:color="auto"/>
              <w:right w:val="single" w:sz="8" w:space="0" w:color="auto"/>
            </w:tcBorders>
            <w:vAlign w:val="center"/>
            <w:hideMark/>
          </w:tcPr>
          <w:p w:rsidR="002B27CE" w:rsidRPr="002B27CE" w:rsidP="002B27CE" w14:paraId="2186BD1C" w14:textId="77777777">
            <w:pPr>
              <w:widowControl/>
              <w:rPr>
                <w:rFonts w:ascii="Times New Roman" w:hAnsi="Times New Roman"/>
                <w:snapToGrid/>
                <w:color w:val="000000"/>
                <w:sz w:val="20"/>
              </w:rPr>
            </w:pPr>
          </w:p>
        </w:tc>
        <w:tc>
          <w:tcPr>
            <w:tcW w:w="1530" w:type="dxa"/>
            <w:vMerge/>
            <w:tcBorders>
              <w:top w:val="nil"/>
              <w:left w:val="single" w:sz="8" w:space="0" w:color="auto"/>
              <w:bottom w:val="single" w:sz="8" w:space="0" w:color="auto"/>
              <w:right w:val="single" w:sz="8" w:space="0" w:color="auto"/>
            </w:tcBorders>
            <w:vAlign w:val="center"/>
            <w:hideMark/>
          </w:tcPr>
          <w:p w:rsidR="002B27CE" w:rsidRPr="002B27CE" w:rsidP="002B27CE" w14:paraId="4911A56D" w14:textId="77777777">
            <w:pPr>
              <w:widowControl/>
              <w:rPr>
                <w:rFonts w:ascii="Times New Roman" w:hAnsi="Times New Roman"/>
                <w:snapToGrid/>
                <w:color w:val="000000"/>
                <w:sz w:val="20"/>
              </w:rPr>
            </w:pPr>
          </w:p>
        </w:tc>
      </w:tr>
      <w:tr w14:paraId="75A650F9" w14:textId="77777777" w:rsidTr="00593E96">
        <w:tblPrEx>
          <w:tblW w:w="9530" w:type="dxa"/>
          <w:tblLayout w:type="fixed"/>
          <w:tblLook w:val="04A0"/>
        </w:tblPrEx>
        <w:trPr>
          <w:trHeight w:val="360"/>
        </w:trPr>
        <w:tc>
          <w:tcPr>
            <w:tcW w:w="1520" w:type="dxa"/>
            <w:vMerge/>
            <w:tcBorders>
              <w:top w:val="nil"/>
              <w:left w:val="single" w:sz="8" w:space="0" w:color="auto"/>
              <w:bottom w:val="single" w:sz="8" w:space="0" w:color="auto"/>
              <w:right w:val="single" w:sz="8" w:space="0" w:color="auto"/>
            </w:tcBorders>
            <w:vAlign w:val="center"/>
            <w:hideMark/>
          </w:tcPr>
          <w:p w:rsidR="002B27CE" w:rsidRPr="002B27CE" w:rsidP="002B27CE" w14:paraId="4A65D9F9" w14:textId="77777777">
            <w:pPr>
              <w:widowControl/>
              <w:rPr>
                <w:rFonts w:ascii="Times New Roman" w:hAnsi="Times New Roman"/>
                <w:snapToGrid/>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2B27CE" w:rsidRPr="002B27CE" w:rsidP="002B27CE" w14:paraId="4067F27C" w14:textId="77777777">
            <w:pPr>
              <w:widowControl/>
              <w:rPr>
                <w:rFonts w:ascii="Times New Roman" w:hAnsi="Times New Roman"/>
                <w:snapToGrid/>
                <w:color w:val="000000"/>
                <w:sz w:val="20"/>
              </w:rPr>
            </w:pP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6ECE4E65" w14:textId="77777777">
            <w:pPr>
              <w:widowControl/>
              <w:jc w:val="center"/>
              <w:rPr>
                <w:rFonts w:ascii="Times New Roman" w:hAnsi="Times New Roman"/>
                <w:snapToGrid/>
                <w:color w:val="000000"/>
                <w:sz w:val="18"/>
                <w:szCs w:val="18"/>
              </w:rPr>
            </w:pPr>
            <w:r w:rsidRPr="002B27CE">
              <w:rPr>
                <w:rFonts w:ascii="Times New Roman" w:hAnsi="Times New Roman"/>
                <w:snapToGrid/>
                <w:color w:val="000000"/>
                <w:sz w:val="18"/>
                <w:szCs w:val="18"/>
              </w:rPr>
              <w:t>Exec. &amp; Mgr.      ($135.69)</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7BA2603D" w14:textId="77777777">
            <w:pPr>
              <w:widowControl/>
              <w:jc w:val="center"/>
              <w:rPr>
                <w:rFonts w:ascii="Times New Roman" w:hAnsi="Times New Roman"/>
                <w:snapToGrid/>
                <w:color w:val="000000"/>
                <w:sz w:val="18"/>
                <w:szCs w:val="18"/>
              </w:rPr>
            </w:pPr>
            <w:r w:rsidRPr="002B27CE">
              <w:rPr>
                <w:rFonts w:ascii="Times New Roman" w:hAnsi="Times New Roman"/>
                <w:snapToGrid/>
                <w:color w:val="000000"/>
                <w:sz w:val="18"/>
                <w:szCs w:val="18"/>
              </w:rPr>
              <w:t>Lawyer   ($175.05)</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1F530590" w14:textId="77777777">
            <w:pPr>
              <w:widowControl/>
              <w:jc w:val="center"/>
              <w:rPr>
                <w:rFonts w:ascii="Times New Roman" w:hAnsi="Times New Roman"/>
                <w:snapToGrid/>
                <w:color w:val="000000"/>
                <w:sz w:val="18"/>
                <w:szCs w:val="18"/>
              </w:rPr>
            </w:pPr>
            <w:r w:rsidRPr="002B27CE">
              <w:rPr>
                <w:rFonts w:ascii="Times New Roman" w:hAnsi="Times New Roman"/>
                <w:snapToGrid/>
                <w:color w:val="000000"/>
                <w:sz w:val="18"/>
                <w:szCs w:val="18"/>
              </w:rPr>
              <w:t>Compl. Ofc.   ($67.27)</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4F093376" w14:textId="77777777">
            <w:pPr>
              <w:widowControl/>
              <w:jc w:val="center"/>
              <w:rPr>
                <w:rFonts w:ascii="Times New Roman" w:hAnsi="Times New Roman"/>
                <w:snapToGrid/>
                <w:color w:val="000000"/>
                <w:sz w:val="18"/>
                <w:szCs w:val="18"/>
              </w:rPr>
            </w:pPr>
            <w:r w:rsidRPr="002B27CE">
              <w:rPr>
                <w:rFonts w:ascii="Times New Roman" w:hAnsi="Times New Roman"/>
                <w:snapToGrid/>
                <w:color w:val="000000"/>
                <w:sz w:val="18"/>
                <w:szCs w:val="18"/>
              </w:rPr>
              <w:t>IT    ($106.92)</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2F082104" w14:textId="77777777">
            <w:pPr>
              <w:widowControl/>
              <w:jc w:val="center"/>
              <w:rPr>
                <w:rFonts w:ascii="Times New Roman" w:hAnsi="Times New Roman"/>
                <w:snapToGrid/>
                <w:color w:val="000000"/>
                <w:sz w:val="18"/>
                <w:szCs w:val="18"/>
              </w:rPr>
            </w:pPr>
            <w:r w:rsidRPr="002B27CE">
              <w:rPr>
                <w:rFonts w:ascii="Times New Roman" w:hAnsi="Times New Roman"/>
                <w:snapToGrid/>
                <w:color w:val="000000"/>
                <w:sz w:val="18"/>
                <w:szCs w:val="18"/>
              </w:rPr>
              <w:t>Fin. Anlst.    ($99.24)</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65E7668D" w14:textId="77777777">
            <w:pPr>
              <w:widowControl/>
              <w:jc w:val="center"/>
              <w:rPr>
                <w:rFonts w:ascii="Times New Roman" w:hAnsi="Times New Roman"/>
                <w:snapToGrid/>
                <w:color w:val="000000"/>
                <w:sz w:val="18"/>
                <w:szCs w:val="18"/>
              </w:rPr>
            </w:pPr>
            <w:r w:rsidRPr="002B27CE">
              <w:rPr>
                <w:rFonts w:ascii="Times New Roman" w:hAnsi="Times New Roman"/>
                <w:snapToGrid/>
                <w:color w:val="000000"/>
                <w:sz w:val="18"/>
                <w:szCs w:val="18"/>
              </w:rPr>
              <w:t>Clerical    ($38.23)</w:t>
            </w:r>
          </w:p>
        </w:tc>
        <w:tc>
          <w:tcPr>
            <w:tcW w:w="1530" w:type="dxa"/>
            <w:vMerge/>
            <w:tcBorders>
              <w:top w:val="nil"/>
              <w:left w:val="single" w:sz="8" w:space="0" w:color="auto"/>
              <w:bottom w:val="single" w:sz="8" w:space="0" w:color="auto"/>
              <w:right w:val="single" w:sz="8" w:space="0" w:color="auto"/>
            </w:tcBorders>
            <w:vAlign w:val="center"/>
            <w:hideMark/>
          </w:tcPr>
          <w:p w:rsidR="002B27CE" w:rsidRPr="002B27CE" w:rsidP="002B27CE" w14:paraId="79560FBA" w14:textId="77777777">
            <w:pPr>
              <w:widowControl/>
              <w:rPr>
                <w:rFonts w:ascii="Times New Roman" w:hAnsi="Times New Roman"/>
                <w:snapToGrid/>
                <w:color w:val="000000"/>
                <w:sz w:val="20"/>
              </w:rPr>
            </w:pPr>
          </w:p>
        </w:tc>
      </w:tr>
      <w:tr w14:paraId="3D658A2C" w14:textId="77777777" w:rsidTr="00593E96">
        <w:tblPrEx>
          <w:tblW w:w="9530" w:type="dxa"/>
          <w:tblLayout w:type="fixed"/>
          <w:tblLook w:val="04A0"/>
        </w:tblPrEx>
        <w:trPr>
          <w:trHeight w:val="840"/>
        </w:trPr>
        <w:tc>
          <w:tcPr>
            <w:tcW w:w="1520" w:type="dxa"/>
            <w:vMerge/>
            <w:tcBorders>
              <w:top w:val="nil"/>
              <w:left w:val="single" w:sz="8" w:space="0" w:color="auto"/>
              <w:bottom w:val="single" w:sz="8" w:space="0" w:color="auto"/>
              <w:right w:val="single" w:sz="8" w:space="0" w:color="auto"/>
            </w:tcBorders>
            <w:vAlign w:val="center"/>
            <w:hideMark/>
          </w:tcPr>
          <w:p w:rsidR="002B27CE" w:rsidRPr="002B27CE" w:rsidP="002B27CE" w14:paraId="087D4AC9" w14:textId="77777777">
            <w:pPr>
              <w:widowControl/>
              <w:rPr>
                <w:rFonts w:ascii="Times New Roman" w:hAnsi="Times New Roman"/>
                <w:snapToGrid/>
                <w:color w:val="000000"/>
                <w:sz w:val="20"/>
              </w:rPr>
            </w:pPr>
          </w:p>
        </w:tc>
        <w:tc>
          <w:tcPr>
            <w:tcW w:w="810" w:type="dxa"/>
            <w:vMerge/>
            <w:tcBorders>
              <w:top w:val="nil"/>
              <w:left w:val="single" w:sz="8" w:space="0" w:color="auto"/>
              <w:bottom w:val="single" w:sz="8" w:space="0" w:color="auto"/>
              <w:right w:val="single" w:sz="8" w:space="0" w:color="auto"/>
            </w:tcBorders>
            <w:vAlign w:val="center"/>
            <w:hideMark/>
          </w:tcPr>
          <w:p w:rsidR="002B27CE" w:rsidRPr="002B27CE" w:rsidP="002B27CE" w14:paraId="49AAAAE7" w14:textId="77777777">
            <w:pPr>
              <w:widowControl/>
              <w:rPr>
                <w:rFonts w:ascii="Times New Roman" w:hAnsi="Times New Roman"/>
                <w:snapToGrid/>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2B27CE" w:rsidRPr="002B27CE" w:rsidP="002B27CE" w14:paraId="336B4E5D" w14:textId="77777777">
            <w:pPr>
              <w:widowControl/>
              <w:rPr>
                <w:rFonts w:ascii="Times New Roman" w:hAnsi="Times New Roman"/>
                <w:snapToGrid/>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2B27CE" w:rsidRPr="002B27CE" w:rsidP="002B27CE" w14:paraId="36AA1596" w14:textId="77777777">
            <w:pPr>
              <w:widowControl/>
              <w:rPr>
                <w:rFonts w:ascii="Times New Roman" w:hAnsi="Times New Roman"/>
                <w:snapToGrid/>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2B27CE" w:rsidRPr="002B27CE" w:rsidP="002B27CE" w14:paraId="360AE021" w14:textId="77777777">
            <w:pPr>
              <w:widowControl/>
              <w:rPr>
                <w:rFonts w:ascii="Times New Roman" w:hAnsi="Times New Roman"/>
                <w:snapToGrid/>
                <w:color w:val="000000"/>
                <w:sz w:val="20"/>
              </w:rPr>
            </w:pPr>
          </w:p>
        </w:tc>
        <w:tc>
          <w:tcPr>
            <w:tcW w:w="990" w:type="dxa"/>
            <w:vMerge/>
            <w:tcBorders>
              <w:top w:val="nil"/>
              <w:left w:val="single" w:sz="8" w:space="0" w:color="auto"/>
              <w:bottom w:val="single" w:sz="8" w:space="0" w:color="auto"/>
              <w:right w:val="single" w:sz="8" w:space="0" w:color="auto"/>
            </w:tcBorders>
            <w:vAlign w:val="center"/>
            <w:hideMark/>
          </w:tcPr>
          <w:p w:rsidR="002B27CE" w:rsidRPr="002B27CE" w:rsidP="002B27CE" w14:paraId="5A451426" w14:textId="77777777">
            <w:pPr>
              <w:widowControl/>
              <w:rPr>
                <w:rFonts w:ascii="Times New Roman" w:hAnsi="Times New Roman"/>
                <w:snapToGrid/>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2B27CE" w:rsidRPr="002B27CE" w:rsidP="002B27CE" w14:paraId="2722DE8E" w14:textId="77777777">
            <w:pPr>
              <w:widowControl/>
              <w:rPr>
                <w:rFonts w:ascii="Times New Roman" w:hAnsi="Times New Roman"/>
                <w:snapToGrid/>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2B27CE" w:rsidRPr="002B27CE" w:rsidP="002B27CE" w14:paraId="7FC0C4E0" w14:textId="77777777">
            <w:pPr>
              <w:widowControl/>
              <w:rPr>
                <w:rFonts w:ascii="Times New Roman" w:hAnsi="Times New Roman"/>
                <w:snapToGrid/>
                <w:color w:val="000000"/>
                <w:sz w:val="20"/>
              </w:rPr>
            </w:pPr>
          </w:p>
        </w:tc>
        <w:tc>
          <w:tcPr>
            <w:tcW w:w="1530" w:type="dxa"/>
            <w:vMerge/>
            <w:tcBorders>
              <w:top w:val="nil"/>
              <w:left w:val="single" w:sz="8" w:space="0" w:color="auto"/>
              <w:bottom w:val="single" w:sz="8" w:space="0" w:color="auto"/>
              <w:right w:val="single" w:sz="8" w:space="0" w:color="auto"/>
            </w:tcBorders>
            <w:vAlign w:val="center"/>
            <w:hideMark/>
          </w:tcPr>
          <w:p w:rsidR="002B27CE" w:rsidRPr="002B27CE" w:rsidP="002B27CE" w14:paraId="214DB6AB" w14:textId="77777777">
            <w:pPr>
              <w:widowControl/>
              <w:rPr>
                <w:rFonts w:ascii="Times New Roman" w:hAnsi="Times New Roman"/>
                <w:snapToGrid/>
                <w:color w:val="000000"/>
                <w:sz w:val="20"/>
              </w:rPr>
            </w:pPr>
          </w:p>
        </w:tc>
      </w:tr>
      <w:tr w14:paraId="2B25E4E3" w14:textId="77777777" w:rsidTr="00593E96">
        <w:tblPrEx>
          <w:tblW w:w="9530" w:type="dxa"/>
          <w:tblLayout w:type="fixed"/>
          <w:tblLook w:val="04A0"/>
        </w:tblPrEx>
        <w:trPr>
          <w:trHeight w:val="1095"/>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7B72A1D5" w14:textId="77777777">
            <w:pPr>
              <w:widowControl/>
              <w:rPr>
                <w:rFonts w:ascii="Times New Roman" w:hAnsi="Times New Roman"/>
                <w:snapToGrid/>
                <w:color w:val="000000"/>
                <w:sz w:val="20"/>
              </w:rPr>
            </w:pPr>
            <w:r w:rsidRPr="002B27CE">
              <w:rPr>
                <w:rFonts w:ascii="Times New Roman" w:hAnsi="Times New Roman"/>
                <w:snapToGrid/>
                <w:color w:val="000000"/>
                <w:sz w:val="20"/>
              </w:rPr>
              <w:t>1. Notice of Branch Closure to FDIC,</w:t>
            </w:r>
            <w:r w:rsidRPr="002B27CE">
              <w:rPr>
                <w:rFonts w:ascii="Times New Roman" w:hAnsi="Times New Roman"/>
                <w:snapToGrid/>
                <w:color w:val="000000"/>
                <w:sz w:val="20"/>
              </w:rPr>
              <w:br/>
              <w:t>12 U.S.C. 1831r--(a) (Mandatory)</w:t>
            </w:r>
          </w:p>
        </w:tc>
        <w:tc>
          <w:tcPr>
            <w:tcW w:w="810" w:type="dxa"/>
            <w:tcBorders>
              <w:top w:val="nil"/>
              <w:left w:val="nil"/>
              <w:bottom w:val="single" w:sz="8" w:space="0" w:color="auto"/>
              <w:right w:val="single" w:sz="8" w:space="0" w:color="auto"/>
            </w:tcBorders>
            <w:shd w:val="clear" w:color="auto" w:fill="auto"/>
            <w:vAlign w:val="center"/>
            <w:hideMark/>
          </w:tcPr>
          <w:p w:rsidR="002B27CE" w:rsidRPr="002B27CE" w:rsidP="002B27CE" w14:paraId="77B75F23"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23.01</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50C9BE2C"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10</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66916C95"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73FF7EB8"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20</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2BAD5CF2"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34D36C62"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2DF1B57B"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70</w:t>
            </w:r>
          </w:p>
        </w:tc>
        <w:tc>
          <w:tcPr>
            <w:tcW w:w="1530" w:type="dxa"/>
            <w:tcBorders>
              <w:top w:val="nil"/>
              <w:left w:val="nil"/>
              <w:bottom w:val="single" w:sz="8" w:space="0" w:color="auto"/>
              <w:right w:val="single" w:sz="8" w:space="0" w:color="auto"/>
            </w:tcBorders>
            <w:shd w:val="clear" w:color="auto" w:fill="auto"/>
            <w:vAlign w:val="center"/>
            <w:hideMark/>
          </w:tcPr>
          <w:p w:rsidR="002B27CE" w:rsidRPr="002B27CE" w:rsidP="002B27CE" w14:paraId="2CCC0D45" w14:textId="77777777">
            <w:pPr>
              <w:widowControl/>
              <w:ind w:firstLine="200" w:firstLineChars="100"/>
              <w:jc w:val="right"/>
              <w:rPr>
                <w:rFonts w:ascii="Times New Roman" w:hAnsi="Times New Roman"/>
                <w:snapToGrid/>
                <w:color w:val="000000"/>
                <w:sz w:val="20"/>
              </w:rPr>
            </w:pPr>
            <w:r w:rsidRPr="002B27CE">
              <w:rPr>
                <w:rFonts w:ascii="Times New Roman" w:hAnsi="Times New Roman"/>
                <w:snapToGrid/>
                <w:color w:val="000000"/>
                <w:sz w:val="20"/>
              </w:rPr>
              <w:t xml:space="preserve">$57.39 </w:t>
            </w:r>
          </w:p>
        </w:tc>
      </w:tr>
      <w:tr w14:paraId="03872796" w14:textId="77777777" w:rsidTr="00593E96">
        <w:tblPrEx>
          <w:tblW w:w="9530" w:type="dxa"/>
          <w:tblLayout w:type="fixed"/>
          <w:tblLook w:val="04A0"/>
        </w:tblPrEx>
        <w:trPr>
          <w:trHeight w:val="1095"/>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67CAA39E" w14:textId="77777777">
            <w:pPr>
              <w:widowControl/>
              <w:rPr>
                <w:rFonts w:ascii="Times New Roman" w:hAnsi="Times New Roman"/>
                <w:snapToGrid/>
                <w:color w:val="000000"/>
                <w:sz w:val="20"/>
              </w:rPr>
            </w:pPr>
            <w:r w:rsidRPr="002B27CE">
              <w:rPr>
                <w:rFonts w:ascii="Times New Roman" w:hAnsi="Times New Roman"/>
                <w:snapToGrid/>
                <w:color w:val="000000"/>
                <w:sz w:val="20"/>
              </w:rPr>
              <w:t>2. Notice of Branch Closure to Customers,</w:t>
            </w:r>
            <w:r w:rsidRPr="002B27CE">
              <w:rPr>
                <w:rFonts w:ascii="Times New Roman" w:hAnsi="Times New Roman"/>
                <w:snapToGrid/>
                <w:color w:val="000000"/>
                <w:sz w:val="20"/>
              </w:rPr>
              <w:br/>
              <w:t>12 U.S.C. 1831r--(b) (Mandatory)</w:t>
            </w:r>
          </w:p>
        </w:tc>
        <w:tc>
          <w:tcPr>
            <w:tcW w:w="810" w:type="dxa"/>
            <w:tcBorders>
              <w:top w:val="nil"/>
              <w:left w:val="nil"/>
              <w:bottom w:val="single" w:sz="8" w:space="0" w:color="auto"/>
              <w:right w:val="single" w:sz="8" w:space="0" w:color="auto"/>
            </w:tcBorders>
            <w:shd w:val="clear" w:color="auto" w:fill="auto"/>
            <w:vAlign w:val="center"/>
            <w:hideMark/>
          </w:tcPr>
          <w:p w:rsidR="002B27CE" w:rsidRPr="002B27CE" w:rsidP="002B27CE" w14:paraId="63F3C55B"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68.97</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19E70F8C"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10</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504C3F61"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18285E0F"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20</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5FAD158D"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0E20B398"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17967AE1"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70</w:t>
            </w:r>
          </w:p>
        </w:tc>
        <w:tc>
          <w:tcPr>
            <w:tcW w:w="1530" w:type="dxa"/>
            <w:tcBorders>
              <w:top w:val="nil"/>
              <w:left w:val="nil"/>
              <w:bottom w:val="single" w:sz="8" w:space="0" w:color="auto"/>
              <w:right w:val="single" w:sz="8" w:space="0" w:color="auto"/>
            </w:tcBorders>
            <w:shd w:val="clear" w:color="auto" w:fill="auto"/>
            <w:vAlign w:val="center"/>
            <w:hideMark/>
          </w:tcPr>
          <w:p w:rsidR="002B27CE" w:rsidRPr="002B27CE" w:rsidP="002B27CE" w14:paraId="02F4C71C" w14:textId="77777777">
            <w:pPr>
              <w:widowControl/>
              <w:ind w:firstLine="200" w:firstLineChars="100"/>
              <w:jc w:val="right"/>
              <w:rPr>
                <w:rFonts w:ascii="Times New Roman" w:hAnsi="Times New Roman"/>
                <w:snapToGrid/>
                <w:color w:val="000000"/>
                <w:sz w:val="20"/>
              </w:rPr>
            </w:pPr>
            <w:r w:rsidRPr="002B27CE">
              <w:rPr>
                <w:rFonts w:ascii="Times New Roman" w:hAnsi="Times New Roman"/>
                <w:snapToGrid/>
                <w:color w:val="000000"/>
                <w:sz w:val="20"/>
              </w:rPr>
              <w:t xml:space="preserve">$57.39 </w:t>
            </w:r>
          </w:p>
        </w:tc>
      </w:tr>
      <w:tr w14:paraId="217559D6" w14:textId="77777777" w:rsidTr="00593E96">
        <w:tblPrEx>
          <w:tblW w:w="9530" w:type="dxa"/>
          <w:tblLayout w:type="fixed"/>
          <w:tblLook w:val="04A0"/>
        </w:tblPrEx>
        <w:trPr>
          <w:trHeight w:val="960"/>
        </w:trPr>
        <w:tc>
          <w:tcPr>
            <w:tcW w:w="1520" w:type="dxa"/>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730651A0" w14:textId="77777777">
            <w:pPr>
              <w:widowControl/>
              <w:rPr>
                <w:rFonts w:ascii="Times New Roman" w:hAnsi="Times New Roman"/>
                <w:snapToGrid/>
                <w:color w:val="000000"/>
                <w:sz w:val="20"/>
              </w:rPr>
            </w:pPr>
            <w:r w:rsidRPr="002B27CE">
              <w:rPr>
                <w:rFonts w:ascii="Times New Roman" w:hAnsi="Times New Roman"/>
                <w:snapToGrid/>
                <w:color w:val="000000"/>
                <w:sz w:val="20"/>
              </w:rPr>
              <w:t>3. Adoption of Branch Closure Policy,</w:t>
            </w:r>
            <w:r w:rsidRPr="002B27CE">
              <w:rPr>
                <w:rFonts w:ascii="Times New Roman" w:hAnsi="Times New Roman"/>
                <w:snapToGrid/>
                <w:color w:val="000000"/>
                <w:sz w:val="20"/>
              </w:rPr>
              <w:br/>
              <w:t>12 U.S.C. 1831r--1 (Mandatory)</w:t>
            </w:r>
          </w:p>
        </w:tc>
        <w:tc>
          <w:tcPr>
            <w:tcW w:w="810" w:type="dxa"/>
            <w:tcBorders>
              <w:top w:val="nil"/>
              <w:left w:val="nil"/>
              <w:bottom w:val="single" w:sz="8" w:space="0" w:color="auto"/>
              <w:right w:val="single" w:sz="8" w:space="0" w:color="auto"/>
            </w:tcBorders>
            <w:shd w:val="clear" w:color="auto" w:fill="auto"/>
            <w:vAlign w:val="center"/>
            <w:hideMark/>
          </w:tcPr>
          <w:p w:rsidR="002B27CE" w:rsidRPr="002B27CE" w:rsidP="002B27CE" w14:paraId="5476576F"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8.02</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5B0512AB"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20</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6CA9FFB0"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50C2ED69"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80</w:t>
            </w:r>
          </w:p>
        </w:tc>
        <w:tc>
          <w:tcPr>
            <w:tcW w:w="990" w:type="dxa"/>
            <w:tcBorders>
              <w:top w:val="nil"/>
              <w:left w:val="nil"/>
              <w:bottom w:val="single" w:sz="8" w:space="0" w:color="auto"/>
              <w:right w:val="single" w:sz="8" w:space="0" w:color="auto"/>
            </w:tcBorders>
            <w:shd w:val="clear" w:color="auto" w:fill="auto"/>
            <w:vAlign w:val="center"/>
            <w:hideMark/>
          </w:tcPr>
          <w:p w:rsidR="002B27CE" w:rsidRPr="002B27CE" w:rsidP="002B27CE" w14:paraId="611AB354"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585E83B7"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2B27CE" w:rsidRPr="002B27CE" w:rsidP="002B27CE" w14:paraId="3CEFFA64" w14:textId="77777777">
            <w:pPr>
              <w:widowControl/>
              <w:jc w:val="center"/>
              <w:rPr>
                <w:rFonts w:ascii="Times New Roman" w:hAnsi="Times New Roman"/>
                <w:snapToGrid/>
                <w:color w:val="000000"/>
                <w:sz w:val="20"/>
              </w:rPr>
            </w:pPr>
            <w:r w:rsidRPr="002B27CE">
              <w:rPr>
                <w:rFonts w:ascii="Times New Roman" w:hAnsi="Times New Roman"/>
                <w:snapToGrid/>
                <w:color w:val="000000"/>
                <w:sz w:val="20"/>
              </w:rPr>
              <w:t>0</w:t>
            </w:r>
          </w:p>
        </w:tc>
        <w:tc>
          <w:tcPr>
            <w:tcW w:w="1530" w:type="dxa"/>
            <w:tcBorders>
              <w:top w:val="nil"/>
              <w:left w:val="nil"/>
              <w:bottom w:val="single" w:sz="8" w:space="0" w:color="auto"/>
              <w:right w:val="single" w:sz="8" w:space="0" w:color="auto"/>
            </w:tcBorders>
            <w:shd w:val="clear" w:color="auto" w:fill="auto"/>
            <w:vAlign w:val="center"/>
            <w:hideMark/>
          </w:tcPr>
          <w:p w:rsidR="002B27CE" w:rsidRPr="002B27CE" w:rsidP="002B27CE" w14:paraId="5D65B248" w14:textId="77777777">
            <w:pPr>
              <w:widowControl/>
              <w:ind w:firstLine="200" w:firstLineChars="100"/>
              <w:jc w:val="right"/>
              <w:rPr>
                <w:rFonts w:ascii="Times New Roman" w:hAnsi="Times New Roman"/>
                <w:snapToGrid/>
                <w:color w:val="000000"/>
                <w:sz w:val="20"/>
              </w:rPr>
            </w:pPr>
            <w:r w:rsidRPr="002B27CE">
              <w:rPr>
                <w:rFonts w:ascii="Times New Roman" w:hAnsi="Times New Roman"/>
                <w:snapToGrid/>
                <w:color w:val="000000"/>
                <w:sz w:val="20"/>
              </w:rPr>
              <w:t xml:space="preserve">$90.55 </w:t>
            </w:r>
          </w:p>
        </w:tc>
      </w:tr>
      <w:tr w14:paraId="68AD799E" w14:textId="77777777" w:rsidTr="00593E96">
        <w:tblPrEx>
          <w:tblW w:w="9530" w:type="dxa"/>
          <w:tblLayout w:type="fixed"/>
          <w:tblLook w:val="04A0"/>
        </w:tblPrEx>
        <w:trPr>
          <w:trHeight w:val="300"/>
        </w:trPr>
        <w:tc>
          <w:tcPr>
            <w:tcW w:w="8000" w:type="dxa"/>
            <w:gridSpan w:val="8"/>
            <w:tcBorders>
              <w:top w:val="single" w:sz="8" w:space="0" w:color="auto"/>
              <w:left w:val="single" w:sz="8" w:space="0" w:color="auto"/>
              <w:bottom w:val="nil"/>
              <w:right w:val="single" w:sz="8" w:space="0" w:color="auto"/>
            </w:tcBorders>
            <w:shd w:val="clear" w:color="auto" w:fill="auto"/>
            <w:vAlign w:val="center"/>
            <w:hideMark/>
          </w:tcPr>
          <w:p w:rsidR="002B27CE" w:rsidRPr="002B27CE" w:rsidP="002B27CE" w14:paraId="2E042CE0" w14:textId="77777777">
            <w:pPr>
              <w:widowControl/>
              <w:jc w:val="right"/>
              <w:rPr>
                <w:rFonts w:ascii="Times New Roman" w:hAnsi="Times New Roman"/>
                <w:b/>
                <w:bCs/>
                <w:i/>
                <w:iCs/>
                <w:snapToGrid/>
                <w:color w:val="000000"/>
                <w:sz w:val="22"/>
                <w:szCs w:val="22"/>
              </w:rPr>
            </w:pPr>
            <w:r w:rsidRPr="002B27CE">
              <w:rPr>
                <w:rFonts w:ascii="Times New Roman" w:hAnsi="Times New Roman"/>
                <w:b/>
                <w:bCs/>
                <w:i/>
                <w:iCs/>
                <w:snapToGrid/>
                <w:color w:val="000000"/>
                <w:sz w:val="22"/>
                <w:szCs w:val="22"/>
              </w:rPr>
              <w:t>Weighted Average Hourly Compensation Rate:</w:t>
            </w:r>
          </w:p>
        </w:tc>
        <w:tc>
          <w:tcPr>
            <w:tcW w:w="1530" w:type="dxa"/>
            <w:tcBorders>
              <w:top w:val="nil"/>
              <w:left w:val="nil"/>
              <w:bottom w:val="nil"/>
              <w:right w:val="single" w:sz="8" w:space="0" w:color="auto"/>
            </w:tcBorders>
            <w:shd w:val="clear" w:color="auto" w:fill="auto"/>
            <w:vAlign w:val="center"/>
            <w:hideMark/>
          </w:tcPr>
          <w:p w:rsidR="002B27CE" w:rsidRPr="002B27CE" w:rsidP="002B27CE" w14:paraId="713A67D0" w14:textId="77777777">
            <w:pPr>
              <w:widowControl/>
              <w:ind w:firstLine="220" w:firstLineChars="100"/>
              <w:jc w:val="right"/>
              <w:rPr>
                <w:rFonts w:ascii="Times New Roman" w:hAnsi="Times New Roman"/>
                <w:b/>
                <w:bCs/>
                <w:i/>
                <w:iCs/>
                <w:snapToGrid/>
                <w:color w:val="000000"/>
                <w:sz w:val="22"/>
                <w:szCs w:val="22"/>
              </w:rPr>
            </w:pPr>
            <w:r w:rsidRPr="002B27CE">
              <w:rPr>
                <w:rFonts w:ascii="Times New Roman" w:hAnsi="Times New Roman"/>
                <w:b/>
                <w:bCs/>
                <w:i/>
                <w:iCs/>
                <w:snapToGrid/>
                <w:color w:val="000000"/>
                <w:sz w:val="22"/>
                <w:szCs w:val="22"/>
              </w:rPr>
              <w:t xml:space="preserve">$60.05 </w:t>
            </w:r>
          </w:p>
        </w:tc>
      </w:tr>
      <w:tr w14:paraId="6DB17909" w14:textId="77777777" w:rsidTr="00593E96">
        <w:tblPrEx>
          <w:tblW w:w="9530" w:type="dxa"/>
          <w:tblLayout w:type="fixed"/>
          <w:tblLook w:val="04A0"/>
        </w:tblPrEx>
        <w:trPr>
          <w:trHeight w:val="272"/>
        </w:trPr>
        <w:tc>
          <w:tcPr>
            <w:tcW w:w="953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2B27CE" w:rsidRPr="002B27CE" w:rsidP="002B27CE" w14:paraId="621F8155" w14:textId="77777777">
            <w:pPr>
              <w:widowControl/>
              <w:rPr>
                <w:rFonts w:ascii="Times New Roman" w:hAnsi="Times New Roman"/>
                <w:snapToGrid/>
                <w:color w:val="000000"/>
                <w:sz w:val="18"/>
                <w:szCs w:val="18"/>
              </w:rPr>
            </w:pPr>
            <w:r w:rsidRPr="002B27CE">
              <w:rPr>
                <w:rFonts w:ascii="Times New Roman" w:eastAsia="Source Sans Pro" w:hAnsi="Times New Roman"/>
                <w:snapToGrid/>
                <w:color w:val="000000"/>
                <w:sz w:val="18"/>
                <w:szCs w:val="18"/>
                <w:lang w:bidi="en-US"/>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7C669EA7" w14:textId="77777777" w:rsidTr="00593E96">
        <w:tblPrEx>
          <w:tblW w:w="9530" w:type="dxa"/>
          <w:tblLayout w:type="fixed"/>
          <w:tblLook w:val="04A0"/>
        </w:tblPrEx>
        <w:trPr>
          <w:trHeight w:val="289"/>
        </w:trPr>
        <w:tc>
          <w:tcPr>
            <w:tcW w:w="9530" w:type="dxa"/>
            <w:gridSpan w:val="9"/>
            <w:vMerge/>
            <w:tcBorders>
              <w:top w:val="single" w:sz="8" w:space="0" w:color="auto"/>
              <w:left w:val="single" w:sz="8" w:space="0" w:color="auto"/>
              <w:bottom w:val="nil"/>
              <w:right w:val="single" w:sz="8" w:space="0" w:color="000000"/>
            </w:tcBorders>
            <w:vAlign w:val="center"/>
            <w:hideMark/>
          </w:tcPr>
          <w:p w:rsidR="002B27CE" w:rsidRPr="002B27CE" w:rsidP="002B27CE" w14:paraId="4C7D4255" w14:textId="77777777">
            <w:pPr>
              <w:widowControl/>
              <w:rPr>
                <w:rFonts w:ascii="Times New Roman" w:hAnsi="Times New Roman"/>
                <w:snapToGrid/>
                <w:color w:val="000000"/>
                <w:sz w:val="18"/>
                <w:szCs w:val="18"/>
              </w:rPr>
            </w:pPr>
          </w:p>
        </w:tc>
      </w:tr>
      <w:tr w14:paraId="6BA4F501" w14:textId="77777777" w:rsidTr="00593E96">
        <w:tblPrEx>
          <w:tblW w:w="9530" w:type="dxa"/>
          <w:tblLayout w:type="fixed"/>
          <w:tblLook w:val="04A0"/>
        </w:tblPrEx>
        <w:trPr>
          <w:trHeight w:val="300"/>
        </w:trPr>
        <w:tc>
          <w:tcPr>
            <w:tcW w:w="9530" w:type="dxa"/>
            <w:gridSpan w:val="9"/>
            <w:vMerge/>
            <w:tcBorders>
              <w:top w:val="single" w:sz="8" w:space="0" w:color="auto"/>
              <w:left w:val="single" w:sz="8" w:space="0" w:color="auto"/>
              <w:bottom w:val="nil"/>
              <w:right w:val="single" w:sz="8" w:space="0" w:color="000000"/>
            </w:tcBorders>
            <w:vAlign w:val="center"/>
            <w:hideMark/>
          </w:tcPr>
          <w:p w:rsidR="002B27CE" w:rsidRPr="002B27CE" w:rsidP="002B27CE" w14:paraId="07E15C77" w14:textId="77777777">
            <w:pPr>
              <w:widowControl/>
              <w:rPr>
                <w:rFonts w:ascii="Times New Roman" w:hAnsi="Times New Roman"/>
                <w:snapToGrid/>
                <w:color w:val="000000"/>
                <w:sz w:val="18"/>
                <w:szCs w:val="18"/>
              </w:rPr>
            </w:pPr>
          </w:p>
        </w:tc>
      </w:tr>
      <w:tr w14:paraId="7826F7B2" w14:textId="77777777" w:rsidTr="00593E96">
        <w:tblPrEx>
          <w:tblW w:w="9530" w:type="dxa"/>
          <w:tblLayout w:type="fixed"/>
          <w:tblLook w:val="04A0"/>
        </w:tblPrEx>
        <w:trPr>
          <w:trHeight w:val="312"/>
        </w:trPr>
        <w:tc>
          <w:tcPr>
            <w:tcW w:w="9530" w:type="dxa"/>
            <w:gridSpan w:val="9"/>
            <w:vMerge/>
            <w:tcBorders>
              <w:top w:val="single" w:sz="8" w:space="0" w:color="auto"/>
              <w:left w:val="single" w:sz="8" w:space="0" w:color="auto"/>
              <w:bottom w:val="nil"/>
              <w:right w:val="single" w:sz="8" w:space="0" w:color="000000"/>
            </w:tcBorders>
            <w:vAlign w:val="center"/>
            <w:hideMark/>
          </w:tcPr>
          <w:p w:rsidR="002B27CE" w:rsidRPr="002B27CE" w:rsidP="002B27CE" w14:paraId="325814E9" w14:textId="77777777">
            <w:pPr>
              <w:widowControl/>
              <w:rPr>
                <w:rFonts w:ascii="Times New Roman" w:hAnsi="Times New Roman"/>
                <w:snapToGrid/>
                <w:color w:val="000000"/>
                <w:sz w:val="18"/>
                <w:szCs w:val="18"/>
              </w:rPr>
            </w:pPr>
          </w:p>
        </w:tc>
      </w:tr>
      <w:tr w14:paraId="40A51AE0" w14:textId="77777777" w:rsidTr="00593E96">
        <w:tblPrEx>
          <w:tblW w:w="9530" w:type="dxa"/>
          <w:tblLayout w:type="fixed"/>
          <w:tblLook w:val="04A0"/>
        </w:tblPrEx>
        <w:trPr>
          <w:trHeight w:val="349"/>
        </w:trPr>
        <w:tc>
          <w:tcPr>
            <w:tcW w:w="9530" w:type="dxa"/>
            <w:gridSpan w:val="9"/>
            <w:vMerge w:val="restart"/>
            <w:tcBorders>
              <w:top w:val="nil"/>
              <w:left w:val="single" w:sz="8" w:space="0" w:color="auto"/>
              <w:bottom w:val="single" w:sz="8" w:space="0" w:color="auto"/>
              <w:right w:val="single" w:sz="8" w:space="0" w:color="auto"/>
            </w:tcBorders>
            <w:shd w:val="clear" w:color="auto" w:fill="auto"/>
            <w:vAlign w:val="center"/>
            <w:hideMark/>
          </w:tcPr>
          <w:p w:rsidR="002B27CE" w:rsidRPr="002B27CE" w:rsidP="002B27CE" w14:paraId="09F96BB1" w14:textId="77777777">
            <w:pPr>
              <w:widowControl/>
              <w:rPr>
                <w:rFonts w:ascii="Times New Roman" w:hAnsi="Times New Roman"/>
                <w:snapToGrid/>
                <w:color w:val="000000"/>
                <w:sz w:val="18"/>
                <w:szCs w:val="18"/>
              </w:rPr>
            </w:pPr>
            <w:r w:rsidRPr="002B27CE">
              <w:rPr>
                <w:rFonts w:ascii="Times New Roman" w:eastAsia="Source Sans Pro" w:hAnsi="Times New Roman"/>
                <w:snapToGrid/>
                <w:color w:val="000000"/>
                <w:sz w:val="18"/>
                <w:szCs w:val="18"/>
                <w:lang w:bidi="en-US"/>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69EC810E" w14:textId="77777777" w:rsidTr="00593E96">
        <w:tblPrEx>
          <w:tblW w:w="9530" w:type="dxa"/>
          <w:tblLayout w:type="fixed"/>
          <w:tblLook w:val="04A0"/>
        </w:tblPrEx>
        <w:trPr>
          <w:trHeight w:val="289"/>
        </w:trPr>
        <w:tc>
          <w:tcPr>
            <w:tcW w:w="9530" w:type="dxa"/>
            <w:gridSpan w:val="9"/>
            <w:vMerge/>
            <w:tcBorders>
              <w:top w:val="nil"/>
              <w:left w:val="single" w:sz="8" w:space="0" w:color="auto"/>
              <w:bottom w:val="single" w:sz="8" w:space="0" w:color="auto"/>
              <w:right w:val="single" w:sz="8" w:space="0" w:color="auto"/>
            </w:tcBorders>
            <w:vAlign w:val="center"/>
            <w:hideMark/>
          </w:tcPr>
          <w:p w:rsidR="002B27CE" w:rsidRPr="002B27CE" w:rsidP="002B27CE" w14:paraId="1904D859" w14:textId="77777777">
            <w:pPr>
              <w:widowControl/>
              <w:rPr>
                <w:rFonts w:ascii="Source Sans Pro" w:hAnsi="Source Sans Pro" w:cs="Calibri"/>
                <w:snapToGrid/>
                <w:color w:val="000000"/>
                <w:sz w:val="18"/>
                <w:szCs w:val="18"/>
              </w:rPr>
            </w:pPr>
          </w:p>
        </w:tc>
      </w:tr>
      <w:tr w14:paraId="320D287F" w14:textId="77777777" w:rsidTr="00593E96">
        <w:tblPrEx>
          <w:tblW w:w="9530" w:type="dxa"/>
          <w:tblLayout w:type="fixed"/>
          <w:tblLook w:val="04A0"/>
        </w:tblPrEx>
        <w:trPr>
          <w:trHeight w:val="289"/>
        </w:trPr>
        <w:tc>
          <w:tcPr>
            <w:tcW w:w="9530" w:type="dxa"/>
            <w:gridSpan w:val="9"/>
            <w:vMerge/>
            <w:tcBorders>
              <w:top w:val="nil"/>
              <w:left w:val="single" w:sz="8" w:space="0" w:color="auto"/>
              <w:bottom w:val="single" w:sz="8" w:space="0" w:color="auto"/>
              <w:right w:val="single" w:sz="8" w:space="0" w:color="auto"/>
            </w:tcBorders>
            <w:vAlign w:val="center"/>
            <w:hideMark/>
          </w:tcPr>
          <w:p w:rsidR="002B27CE" w:rsidRPr="002B27CE" w:rsidP="002B27CE" w14:paraId="311FF52A" w14:textId="77777777">
            <w:pPr>
              <w:widowControl/>
              <w:rPr>
                <w:rFonts w:ascii="Source Sans Pro" w:hAnsi="Source Sans Pro" w:cs="Calibri"/>
                <w:snapToGrid/>
                <w:color w:val="000000"/>
                <w:sz w:val="18"/>
                <w:szCs w:val="18"/>
              </w:rPr>
            </w:pPr>
          </w:p>
        </w:tc>
      </w:tr>
      <w:tr w14:paraId="09BC2802" w14:textId="77777777" w:rsidTr="00593E96">
        <w:tblPrEx>
          <w:tblW w:w="9530" w:type="dxa"/>
          <w:tblLayout w:type="fixed"/>
          <w:tblLook w:val="04A0"/>
        </w:tblPrEx>
        <w:trPr>
          <w:trHeight w:val="315"/>
        </w:trPr>
        <w:tc>
          <w:tcPr>
            <w:tcW w:w="9530" w:type="dxa"/>
            <w:gridSpan w:val="9"/>
            <w:vMerge/>
            <w:tcBorders>
              <w:top w:val="nil"/>
              <w:left w:val="single" w:sz="8" w:space="0" w:color="auto"/>
              <w:bottom w:val="single" w:sz="8" w:space="0" w:color="auto"/>
              <w:right w:val="single" w:sz="8" w:space="0" w:color="auto"/>
            </w:tcBorders>
            <w:vAlign w:val="center"/>
            <w:hideMark/>
          </w:tcPr>
          <w:p w:rsidR="002B27CE" w:rsidRPr="002B27CE" w:rsidP="002B27CE" w14:paraId="3DD75A9E" w14:textId="77777777">
            <w:pPr>
              <w:widowControl/>
              <w:rPr>
                <w:rFonts w:ascii="Source Sans Pro" w:hAnsi="Source Sans Pro" w:cs="Calibri"/>
                <w:snapToGrid/>
                <w:color w:val="000000"/>
                <w:sz w:val="18"/>
                <w:szCs w:val="18"/>
              </w:rPr>
            </w:pPr>
          </w:p>
        </w:tc>
      </w:tr>
    </w:tbl>
    <w:p w:rsidR="002B27CE" w14:paraId="76127E25" w14:textId="77777777">
      <w:pPr>
        <w:tabs>
          <w:tab w:val="left" w:pos="480"/>
          <w:tab w:val="left" w:pos="1080"/>
          <w:tab w:val="left" w:pos="1680"/>
        </w:tabs>
        <w:suppressAutoHyphens/>
        <w:ind w:left="1080"/>
        <w:rPr>
          <w:rFonts w:ascii="Times New Roman" w:hAnsi="Times New Roman"/>
        </w:rPr>
      </w:pPr>
    </w:p>
    <w:p w:rsidR="002B27CE" w:rsidP="002B27CE" w14:paraId="0DE6E5F0" w14:textId="110AEAD3">
      <w:pPr>
        <w:suppressAutoHyphens/>
        <w:ind w:left="1440"/>
        <w:rPr>
          <w:rFonts w:ascii="Times New Roman" w:eastAsia="Source Sans Pro" w:hAnsi="Times New Roman"/>
          <w:b/>
          <w:snapToGrid/>
          <w:szCs w:val="24"/>
          <w:lang w:bidi="en-US"/>
        </w:rPr>
      </w:pPr>
      <w:r w:rsidRPr="002B27CE">
        <w:rPr>
          <w:rFonts w:ascii="Times New Roman" w:eastAsia="Source Sans Pro" w:hAnsi="Times New Roman"/>
          <w:b/>
          <w:snapToGrid/>
          <w:szCs w:val="24"/>
          <w:lang w:bidi="en-US"/>
        </w:rPr>
        <w:t xml:space="preserve">Total Estimated </w:t>
      </w:r>
      <w:r>
        <w:rPr>
          <w:rFonts w:ascii="Times New Roman" w:eastAsia="Source Sans Pro" w:hAnsi="Times New Roman"/>
          <w:b/>
          <w:snapToGrid/>
          <w:szCs w:val="24"/>
          <w:lang w:bidi="en-US"/>
        </w:rPr>
        <w:t>Labor</w:t>
      </w:r>
      <w:r w:rsidRPr="002B27CE">
        <w:rPr>
          <w:rFonts w:ascii="Times New Roman" w:eastAsia="Source Sans Pro" w:hAnsi="Times New Roman"/>
          <w:b/>
          <w:snapToGrid/>
          <w:szCs w:val="24"/>
          <w:lang w:bidi="en-US"/>
        </w:rPr>
        <w:t xml:space="preserve"> Cost</w:t>
      </w:r>
    </w:p>
    <w:p w:rsidR="002B27CE" w:rsidP="002B27CE" w14:paraId="14F8E42C" w14:textId="77777777">
      <w:pPr>
        <w:suppressAutoHyphens/>
        <w:ind w:left="1440"/>
        <w:rPr>
          <w:rFonts w:ascii="Times New Roman" w:eastAsia="Source Sans Pro" w:hAnsi="Times New Roman"/>
          <w:b/>
          <w:snapToGrid/>
          <w:szCs w:val="24"/>
          <w:lang w:bidi="en-US"/>
        </w:rPr>
      </w:pPr>
    </w:p>
    <w:p w:rsidR="002B27CE" w:rsidRPr="00B71C9F" w:rsidP="00B71C9F" w14:paraId="12323AB9" w14:textId="493C561B">
      <w:pPr>
        <w:suppressAutoHyphens/>
        <w:ind w:left="1440"/>
        <w:rPr>
          <w:rFonts w:ascii="Source Sans Pro" w:eastAsia="Source Sans Pro" w:hAnsi="Source Sans Pro"/>
          <w:b/>
          <w:snapToGrid/>
          <w:color w:val="000000"/>
          <w:sz w:val="20"/>
          <w:szCs w:val="19"/>
          <w:lang w:bidi="en-US"/>
        </w:rPr>
      </w:pPr>
      <w:r w:rsidRPr="002B27CE">
        <w:rPr>
          <w:rFonts w:ascii="Times New Roman" w:eastAsia="Source Sans Pro" w:hAnsi="Times New Roman"/>
          <w:snapToGrid/>
          <w:color w:val="000000"/>
          <w:szCs w:val="24"/>
          <w:shd w:val="clear" w:color="auto" w:fill="FFFFFF"/>
          <w:lang w:bidi="en-US"/>
        </w:rPr>
        <w:t xml:space="preserve">Using the estimated hour burden, and the estimate of the weighted average hourly compensation rate, the total cost </w:t>
      </w:r>
      <w:r w:rsidRPr="002B27CE">
        <w:rPr>
          <w:rFonts w:ascii="Times New Roman" w:eastAsia="Source Sans Pro" w:hAnsi="Times New Roman"/>
          <w:snapToGrid/>
          <w:color w:val="000000"/>
          <w:szCs w:val="24"/>
          <w:bdr w:val="none" w:sz="0" w:space="0" w:color="auto" w:frame="1"/>
          <w:lang w:bidi="en-US"/>
        </w:rPr>
        <w:t>burden</w:t>
      </w:r>
      <w:r w:rsidRPr="002B27CE">
        <w:rPr>
          <w:rFonts w:ascii="Times New Roman" w:eastAsia="Source Sans Pro" w:hAnsi="Times New Roman"/>
          <w:snapToGrid/>
          <w:color w:val="000000"/>
          <w:szCs w:val="24"/>
          <w:shd w:val="clear" w:color="auto" w:fill="FFFFFF"/>
          <w:lang w:bidi="en-US"/>
        </w:rPr>
        <w:t>, as reported in Table 3, for OMB No. 3064-0109 is</w:t>
      </w:r>
      <w:r w:rsidRPr="002B27CE">
        <w:rPr>
          <w:rFonts w:ascii="Times New Roman" w:eastAsia="Source Sans Pro" w:hAnsi="Times New Roman"/>
          <w:b/>
          <w:snapToGrid/>
          <w:color w:val="000000"/>
          <w:szCs w:val="24"/>
          <w:shd w:val="clear" w:color="auto" w:fill="FFFFFF"/>
          <w:lang w:bidi="en-US"/>
        </w:rPr>
        <w:t xml:space="preserve"> $</w:t>
      </w:r>
      <w:r w:rsidRPr="002B27CE">
        <w:rPr>
          <w:rFonts w:ascii="Times New Roman" w:eastAsia="Source Sans Pro" w:hAnsi="Times New Roman"/>
          <w:b/>
          <w:snapToGrid/>
          <w:color w:val="000000"/>
          <w:szCs w:val="24"/>
          <w:lang w:bidi="en-US"/>
        </w:rPr>
        <w:t>107,790</w:t>
      </w:r>
      <w:r w:rsidRPr="002B27CE">
        <w:rPr>
          <w:rFonts w:ascii="Times New Roman" w:eastAsia="Source Sans Pro" w:hAnsi="Times New Roman"/>
          <w:b/>
          <w:snapToGrid/>
          <w:color w:val="000000"/>
          <w:szCs w:val="24"/>
          <w:shd w:val="clear" w:color="auto" w:fill="FFFFFF"/>
          <w:lang w:bidi="en-US"/>
        </w:rPr>
        <w:t xml:space="preserve"> per year</w:t>
      </w:r>
      <w:r w:rsidRPr="002B27CE">
        <w:rPr>
          <w:rFonts w:ascii="Times New Roman" w:eastAsia="Source Sans Pro" w:hAnsi="Times New Roman"/>
          <w:snapToGrid/>
          <w:color w:val="000000"/>
          <w:szCs w:val="24"/>
          <w:shd w:val="clear" w:color="auto" w:fill="FFFFFF"/>
          <w:lang w:bidi="en-US"/>
        </w:rPr>
        <w:t xml:space="preserve">. The estimated cost burden is higher </w:t>
      </w:r>
      <w:r w:rsidRPr="002B27CE">
        <w:rPr>
          <w:rFonts w:ascii="Times New Roman" w:eastAsia="Source Sans Pro" w:hAnsi="Times New Roman"/>
          <w:snapToGrid/>
          <w:szCs w:val="24"/>
          <w:shd w:val="clear" w:color="auto" w:fill="FFFFFF"/>
          <w:lang w:bidi="en-US"/>
        </w:rPr>
        <w:t>than the estimate in</w:t>
      </w:r>
      <w:r w:rsidRPr="002B27CE">
        <w:rPr>
          <w:rFonts w:ascii="Times New Roman" w:eastAsia="Source Sans Pro" w:hAnsi="Times New Roman"/>
          <w:snapToGrid/>
          <w:szCs w:val="24"/>
          <w:u w:val="single"/>
          <w:shd w:val="clear" w:color="auto" w:fill="FFFFFF"/>
          <w:lang w:bidi="en-US"/>
        </w:rPr>
        <w:t xml:space="preserve"> </w:t>
      </w:r>
      <w:r w:rsidRPr="002B27CE">
        <w:rPr>
          <w:rFonts w:ascii="Times New Roman" w:eastAsia="Source Sans Pro" w:hAnsi="Times New Roman"/>
          <w:snapToGrid/>
          <w:color w:val="000000"/>
          <w:szCs w:val="24"/>
          <w:shd w:val="clear" w:color="auto" w:fill="FFFFFF"/>
          <w:lang w:bidi="en-US"/>
        </w:rPr>
        <w:t>the 2021 ICR ($90,689.06) by $</w:t>
      </w:r>
      <w:r w:rsidRPr="002B27CE">
        <w:rPr>
          <w:rFonts w:ascii="Times New Roman" w:eastAsia="Source Sans Pro" w:hAnsi="Times New Roman"/>
          <w:snapToGrid/>
          <w:color w:val="000000"/>
          <w:szCs w:val="24"/>
          <w:lang w:bidi="en-US"/>
        </w:rPr>
        <w:t>17,100.94</w:t>
      </w:r>
      <w:r w:rsidRPr="002B27CE">
        <w:rPr>
          <w:rFonts w:ascii="Times New Roman" w:eastAsia="Source Sans Pro" w:hAnsi="Times New Roman"/>
          <w:snapToGrid/>
          <w:color w:val="000000"/>
          <w:szCs w:val="24"/>
          <w:shd w:val="clear" w:color="auto" w:fill="FFFFFF"/>
          <w:lang w:bidi="en-US"/>
        </w:rPr>
        <w:t>. As described previously, the increase is driven by the increase in responses per respondent for the Notice of Branch Closure to FDIC and the Notice of Branch Closure to Customers ICs</w:t>
      </w:r>
      <w:r w:rsidRPr="002B27CE">
        <w:rPr>
          <w:rFonts w:ascii="Source Sans Pro" w:eastAsia="Source Sans Pro" w:hAnsi="Source Sans Pro"/>
          <w:snapToGrid/>
          <w:color w:val="000000"/>
          <w:sz w:val="20"/>
          <w:szCs w:val="19"/>
          <w:shd w:val="clear" w:color="auto" w:fill="FFFFFF"/>
          <w:lang w:bidi="en-US"/>
        </w:rPr>
        <w:t>. </w:t>
      </w:r>
    </w:p>
    <w:p w:rsidR="002B27CE" w14:paraId="202ACE33" w14:textId="77777777">
      <w:pPr>
        <w:tabs>
          <w:tab w:val="left" w:pos="480"/>
          <w:tab w:val="left" w:pos="1080"/>
          <w:tab w:val="left" w:pos="1680"/>
        </w:tabs>
        <w:suppressAutoHyphens/>
        <w:ind w:left="1080"/>
        <w:rPr>
          <w:rFonts w:ascii="Times New Roman" w:hAnsi="Times New Roman"/>
        </w:rPr>
      </w:pPr>
    </w:p>
    <w:p w:rsidR="00A10641" w14:paraId="73F5C3D3" w14:textId="77777777">
      <w:pPr>
        <w:numPr>
          <w:ilvl w:val="0"/>
          <w:numId w:val="2"/>
        </w:numPr>
        <w:tabs>
          <w:tab w:val="left" w:pos="480"/>
          <w:tab w:val="left" w:pos="1680"/>
        </w:tabs>
        <w:suppressAutoHyphens/>
        <w:rPr>
          <w:rFonts w:ascii="Times New Roman" w:hAnsi="Times New Roman"/>
        </w:rPr>
      </w:pPr>
      <w:r w:rsidRPr="00366534">
        <w:rPr>
          <w:rFonts w:ascii="Times New Roman" w:hAnsi="Times New Roman"/>
          <w:u w:val="single"/>
        </w:rPr>
        <w:t>Estimate of start-up cost to respondents:</w:t>
      </w:r>
    </w:p>
    <w:p w:rsidR="00A10641" w14:paraId="36666D9D" w14:textId="77777777">
      <w:pPr>
        <w:tabs>
          <w:tab w:val="left" w:pos="480"/>
          <w:tab w:val="left" w:pos="1080"/>
          <w:tab w:val="left" w:pos="1680"/>
        </w:tabs>
        <w:suppressAutoHyphens/>
        <w:rPr>
          <w:rFonts w:ascii="Times New Roman" w:hAnsi="Times New Roman"/>
        </w:rPr>
      </w:pPr>
    </w:p>
    <w:p w:rsidR="00366534" w:rsidRPr="00366534" w:rsidP="00366534" w14:paraId="1287F289" w14:textId="77777777">
      <w:pPr>
        <w:tabs>
          <w:tab w:val="left" w:pos="480"/>
          <w:tab w:val="left" w:pos="1080"/>
          <w:tab w:val="left" w:pos="1680"/>
        </w:tabs>
        <w:suppressAutoHyphens/>
        <w:ind w:left="1080"/>
        <w:rPr>
          <w:rFonts w:ascii="Times New Roman" w:hAnsi="Times New Roman"/>
        </w:rPr>
      </w:pPr>
      <w:r w:rsidRPr="00366534">
        <w:rPr>
          <w:rFonts w:ascii="Times New Roman" w:hAnsi="Times New Roman"/>
        </w:rPr>
        <w:t xml:space="preserve">There are no anticipated capital, start-up, or operating costs. </w:t>
      </w:r>
    </w:p>
    <w:p w:rsidR="00A10641" w14:paraId="047024BA" w14:textId="77777777">
      <w:pPr>
        <w:tabs>
          <w:tab w:val="left" w:pos="480"/>
          <w:tab w:val="left" w:pos="1080"/>
          <w:tab w:val="left" w:pos="1680"/>
        </w:tabs>
        <w:suppressAutoHyphens/>
        <w:rPr>
          <w:rFonts w:ascii="Times New Roman" w:hAnsi="Times New Roman"/>
        </w:rPr>
      </w:pPr>
    </w:p>
    <w:p w:rsidR="00A10641" w:rsidRPr="00366534" w:rsidP="00366534" w14:paraId="5D3D9476" w14:textId="77777777">
      <w:pPr>
        <w:widowControl/>
        <w:numPr>
          <w:ilvl w:val="0"/>
          <w:numId w:val="6"/>
        </w:numPr>
        <w:tabs>
          <w:tab w:val="left" w:pos="432"/>
          <w:tab w:val="num" w:pos="1080"/>
          <w:tab w:val="clear" w:pos="1290"/>
          <w:tab w:val="left" w:pos="1728"/>
          <w:tab w:val="left" w:pos="4176"/>
        </w:tabs>
        <w:rPr>
          <w:rFonts w:ascii="Times New Roman" w:hAnsi="Times New Roman"/>
          <w:color w:val="000000"/>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A10641" w14:paraId="1E75691B" w14:textId="77777777">
      <w:pPr>
        <w:tabs>
          <w:tab w:val="left" w:pos="480"/>
          <w:tab w:val="left" w:pos="1080"/>
          <w:tab w:val="left" w:pos="1680"/>
        </w:tabs>
        <w:suppressAutoHyphens/>
        <w:rPr>
          <w:rFonts w:ascii="Times New Roman" w:hAnsi="Times New Roman"/>
        </w:rPr>
      </w:pPr>
    </w:p>
    <w:p w:rsidR="00A10641" w14:paraId="194DFC6A" w14:textId="77777777">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B32BB8">
        <w:rPr>
          <w:rFonts w:ascii="Times New Roman" w:hAnsi="Times New Roman"/>
        </w:rPr>
        <w:t>None.</w:t>
      </w:r>
      <w:r>
        <w:rPr>
          <w:rFonts w:ascii="Times New Roman" w:hAnsi="Times New Roman"/>
        </w:rPr>
        <w:tab/>
      </w:r>
    </w:p>
    <w:p w:rsidR="00A10641" w14:paraId="5FD92C8C" w14:textId="77777777">
      <w:pPr>
        <w:tabs>
          <w:tab w:val="left" w:pos="480"/>
          <w:tab w:val="left" w:pos="1080"/>
          <w:tab w:val="left" w:pos="1680"/>
        </w:tabs>
        <w:suppressAutoHyphens/>
        <w:rPr>
          <w:rFonts w:ascii="Times New Roman" w:hAnsi="Times New Roman"/>
        </w:rPr>
      </w:pPr>
    </w:p>
    <w:p w:rsidR="00A10641" w14:paraId="298EDFFC" w14:textId="77777777">
      <w:pPr>
        <w:tabs>
          <w:tab w:val="left" w:pos="480"/>
          <w:tab w:val="left" w:pos="1080"/>
          <w:tab w:val="left" w:pos="1680"/>
        </w:tabs>
        <w:suppressAutoHyphens/>
        <w:ind w:left="480"/>
        <w:rPr>
          <w:rFonts w:ascii="Times New Roman" w:hAnsi="Times New Roman"/>
        </w:rPr>
      </w:pPr>
      <w:r>
        <w:rPr>
          <w:rFonts w:ascii="Times New Roman" w:hAnsi="Times New Roman"/>
        </w:rPr>
        <w:t>15.</w:t>
      </w:r>
      <w:r>
        <w:rPr>
          <w:rFonts w:ascii="Times New Roman" w:hAnsi="Times New Roman"/>
        </w:rPr>
        <w:tab/>
      </w:r>
      <w:r w:rsidRPr="00366534" w:rsidR="00366534">
        <w:rPr>
          <w:rFonts w:ascii="Times New Roman" w:hAnsi="Times New Roman"/>
          <w:u w:val="single"/>
        </w:rPr>
        <w:t>Analysis of change in burden:</w:t>
      </w:r>
    </w:p>
    <w:p w:rsidR="00A10641" w14:paraId="69339A51" w14:textId="77777777">
      <w:pPr>
        <w:tabs>
          <w:tab w:val="left" w:pos="480"/>
          <w:tab w:val="left" w:pos="1080"/>
          <w:tab w:val="left" w:pos="1680"/>
        </w:tabs>
        <w:suppressAutoHyphens/>
        <w:ind w:left="480"/>
        <w:rPr>
          <w:rFonts w:ascii="Times New Roman" w:hAnsi="Times New Roman"/>
        </w:rPr>
      </w:pPr>
    </w:p>
    <w:p w:rsidR="00A10641" w:rsidP="00B71C9F" w14:paraId="35FDEFA2" w14:textId="7BA28BE8">
      <w:pPr>
        <w:tabs>
          <w:tab w:val="left" w:pos="480"/>
          <w:tab w:val="left" w:pos="1080"/>
          <w:tab w:val="left" w:pos="1680"/>
        </w:tabs>
        <w:suppressAutoHyphens/>
        <w:ind w:left="1080"/>
        <w:rPr>
          <w:rFonts w:ascii="Times New Roman" w:hAnsi="Times New Roman"/>
        </w:rPr>
      </w:pPr>
      <w:r>
        <w:rPr>
          <w:rFonts w:ascii="Times New Roman" w:hAnsi="Times New Roman"/>
        </w:rPr>
        <w:t>See section 12 above.</w:t>
      </w:r>
    </w:p>
    <w:p w:rsidR="00F856B0" w:rsidP="00F856B0" w14:paraId="69DEF93C" w14:textId="77777777">
      <w:pPr>
        <w:tabs>
          <w:tab w:val="left" w:pos="480"/>
          <w:tab w:val="left" w:pos="1080"/>
          <w:tab w:val="left" w:pos="1680"/>
        </w:tabs>
        <w:suppressAutoHyphens/>
        <w:ind w:left="960"/>
        <w:rPr>
          <w:rFonts w:ascii="Times New Roman" w:hAnsi="Times New Roman"/>
        </w:rPr>
      </w:pPr>
    </w:p>
    <w:p w:rsidR="00A10641" w:rsidP="00366534" w14:paraId="2A0C5567" w14:textId="77777777">
      <w:pPr>
        <w:tabs>
          <w:tab w:val="left" w:pos="480"/>
          <w:tab w:val="left" w:pos="990"/>
          <w:tab w:val="left" w:pos="1680"/>
        </w:tabs>
        <w:suppressAutoHyphens/>
        <w:ind w:left="960" w:hanging="480"/>
        <w:rPr>
          <w:rFonts w:ascii="Times New Roman" w:hAnsi="Times New Roman"/>
          <w:u w:val="single"/>
        </w:rPr>
      </w:pPr>
      <w:r>
        <w:rPr>
          <w:rFonts w:ascii="Times New Roman" w:hAnsi="Times New Roman"/>
        </w:rPr>
        <w:t>16.</w:t>
      </w:r>
      <w:r>
        <w:rPr>
          <w:rFonts w:ascii="Times New Roman" w:hAnsi="Times New Roman"/>
        </w:rPr>
        <w:tab/>
      </w:r>
      <w:r w:rsidRPr="00366534" w:rsidR="00366534">
        <w:rPr>
          <w:rFonts w:ascii="Times New Roman" w:hAnsi="Times New Roman"/>
          <w:u w:val="single"/>
        </w:rPr>
        <w:t>Information regarding collections whose results are planned to be published for statistical use:</w:t>
      </w:r>
    </w:p>
    <w:p w:rsidR="00A10641" w14:paraId="36352BC2" w14:textId="77777777">
      <w:pPr>
        <w:tabs>
          <w:tab w:val="left" w:pos="480"/>
          <w:tab w:val="left" w:pos="1080"/>
          <w:tab w:val="left" w:pos="1680"/>
        </w:tabs>
        <w:suppressAutoHyphens/>
        <w:ind w:left="480"/>
        <w:jc w:val="both"/>
        <w:rPr>
          <w:rFonts w:ascii="Times New Roman" w:hAnsi="Times New Roman"/>
        </w:rPr>
      </w:pPr>
    </w:p>
    <w:p w:rsidR="00A10641" w14:paraId="30DC7510" w14:textId="77777777">
      <w:pPr>
        <w:tabs>
          <w:tab w:val="left" w:pos="480"/>
          <w:tab w:val="left" w:pos="1080"/>
          <w:tab w:val="left" w:pos="1680"/>
        </w:tabs>
        <w:suppressAutoHyphens/>
        <w:ind w:left="960"/>
        <w:jc w:val="both"/>
        <w:rPr>
          <w:rFonts w:ascii="Times New Roman" w:hAnsi="Times New Roman"/>
        </w:rPr>
      </w:pPr>
      <w:r>
        <w:rPr>
          <w:rFonts w:ascii="Times New Roman" w:hAnsi="Times New Roman"/>
        </w:rPr>
        <w:t>Collections of information under the interagency statement are not published.</w:t>
      </w:r>
    </w:p>
    <w:p w:rsidR="00A10641" w14:paraId="1483BA83" w14:textId="77777777">
      <w:pPr>
        <w:tabs>
          <w:tab w:val="left" w:pos="480"/>
          <w:tab w:val="left" w:pos="1080"/>
          <w:tab w:val="left" w:pos="1680"/>
        </w:tabs>
        <w:suppressAutoHyphens/>
        <w:ind w:left="1560" w:hanging="480"/>
        <w:rPr>
          <w:rFonts w:ascii="Times New Roman" w:hAnsi="Times New Roman"/>
        </w:rPr>
      </w:pPr>
    </w:p>
    <w:p w:rsidR="00A10641" w14:paraId="1C96E2F2" w14:textId="77777777">
      <w:pPr>
        <w:numPr>
          <w:ilvl w:val="0"/>
          <w:numId w:val="3"/>
        </w:numPr>
        <w:tabs>
          <w:tab w:val="num" w:pos="960"/>
          <w:tab w:val="clear" w:pos="1080"/>
          <w:tab w:val="left" w:pos="1680"/>
        </w:tabs>
        <w:suppressAutoHyphens/>
        <w:ind w:left="960"/>
        <w:rPr>
          <w:rFonts w:ascii="Times New Roman" w:hAnsi="Times New Roman"/>
          <w:u w:val="single"/>
        </w:rPr>
      </w:pPr>
      <w:r w:rsidRPr="00366534">
        <w:rPr>
          <w:rFonts w:ascii="Times New Roman" w:hAnsi="Times New Roman"/>
          <w:u w:val="single"/>
        </w:rPr>
        <w:t>Exceptions to expiration date display</w:t>
      </w:r>
      <w:r>
        <w:rPr>
          <w:rFonts w:ascii="Times New Roman" w:hAnsi="Times New Roman"/>
          <w:u w:val="single"/>
        </w:rPr>
        <w:t>:</w:t>
      </w:r>
    </w:p>
    <w:p w:rsidR="00A10641" w14:paraId="638D2FF5" w14:textId="77777777">
      <w:pPr>
        <w:tabs>
          <w:tab w:val="left" w:pos="480"/>
          <w:tab w:val="left" w:pos="1080"/>
          <w:tab w:val="left" w:pos="1680"/>
        </w:tabs>
        <w:suppressAutoHyphens/>
        <w:rPr>
          <w:rFonts w:ascii="Times New Roman" w:hAnsi="Times New Roman"/>
          <w:u w:val="single"/>
        </w:rPr>
      </w:pPr>
    </w:p>
    <w:p w:rsidR="00A10641" w14:paraId="3A75C63C" w14:textId="41C87118">
      <w:pPr>
        <w:tabs>
          <w:tab w:val="left" w:pos="480"/>
          <w:tab w:val="left" w:pos="1080"/>
          <w:tab w:val="left" w:pos="1680"/>
        </w:tabs>
        <w:suppressAutoHyphens/>
        <w:ind w:left="960"/>
        <w:rPr>
          <w:rFonts w:ascii="Times New Roman" w:hAnsi="Times New Roman"/>
        </w:rPr>
      </w:pPr>
      <w:r>
        <w:rPr>
          <w:rFonts w:ascii="Times New Roman" w:hAnsi="Times New Roman"/>
        </w:rPr>
        <w:t>None</w:t>
      </w:r>
      <w:r>
        <w:rPr>
          <w:rFonts w:ascii="Times New Roman" w:hAnsi="Times New Roman"/>
        </w:rPr>
        <w:t>.</w:t>
      </w:r>
    </w:p>
    <w:p w:rsidR="00366534" w:rsidP="00366534" w14:paraId="5342CBC7" w14:textId="77777777">
      <w:pPr>
        <w:tabs>
          <w:tab w:val="left" w:pos="480"/>
          <w:tab w:val="left" w:pos="1080"/>
          <w:tab w:val="left" w:pos="1680"/>
        </w:tabs>
        <w:suppressAutoHyphens/>
        <w:rPr>
          <w:rFonts w:ascii="Times New Roman" w:hAnsi="Times New Roman"/>
        </w:rPr>
      </w:pPr>
    </w:p>
    <w:p w:rsidR="00A10641" w:rsidRPr="00366534" w:rsidP="00366534" w14:paraId="44908548" w14:textId="77777777">
      <w:pPr>
        <w:pStyle w:val="ListParagraph"/>
        <w:numPr>
          <w:ilvl w:val="0"/>
          <w:numId w:val="5"/>
        </w:numPr>
        <w:tabs>
          <w:tab w:val="left" w:pos="480"/>
          <w:tab w:val="left" w:pos="1080"/>
          <w:tab w:val="left" w:pos="1680"/>
        </w:tabs>
        <w:suppressAutoHyphens/>
        <w:ind w:hanging="1755"/>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A10641" w14:paraId="7755FBE3" w14:textId="77777777">
      <w:pPr>
        <w:tabs>
          <w:tab w:val="left" w:pos="480"/>
          <w:tab w:val="left" w:pos="1080"/>
          <w:tab w:val="left" w:pos="1680"/>
        </w:tabs>
        <w:suppressAutoHyphens/>
        <w:rPr>
          <w:rFonts w:ascii="Times New Roman" w:hAnsi="Times New Roman"/>
        </w:rPr>
      </w:pPr>
    </w:p>
    <w:p w:rsidR="00A10641" w14:paraId="38AD2069" w14:textId="77777777">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None.</w:t>
      </w:r>
      <w:r>
        <w:rPr>
          <w:rFonts w:ascii="Times New Roman" w:hAnsi="Times New Roman"/>
        </w:rPr>
        <w:tab/>
      </w:r>
    </w:p>
    <w:p w:rsidR="00A10641" w14:paraId="64C13A2D" w14:textId="77777777">
      <w:pPr>
        <w:tabs>
          <w:tab w:val="left" w:pos="480"/>
          <w:tab w:val="left" w:pos="1080"/>
          <w:tab w:val="left" w:pos="1680"/>
        </w:tabs>
        <w:suppressAutoHyphens/>
        <w:ind w:left="1080"/>
        <w:rPr>
          <w:rFonts w:ascii="Times New Roman" w:hAnsi="Times New Roman"/>
        </w:rPr>
      </w:pPr>
    </w:p>
    <w:p w:rsidR="00A10641" w14:paraId="63E1CEF9" w14:textId="77777777">
      <w:pPr>
        <w:tabs>
          <w:tab w:val="left" w:pos="480"/>
          <w:tab w:val="left" w:pos="1080"/>
          <w:tab w:val="left" w:pos="1680"/>
        </w:tabs>
        <w:suppressAutoHyphen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A10641" w14:paraId="68CE259C" w14:textId="77777777">
      <w:pPr>
        <w:tabs>
          <w:tab w:val="left" w:pos="480"/>
          <w:tab w:val="left" w:pos="1080"/>
          <w:tab w:val="left" w:pos="1680"/>
        </w:tabs>
        <w:suppressAutoHyphens/>
        <w:rPr>
          <w:rFonts w:ascii="Times New Roman" w:hAnsi="Times New Roman"/>
        </w:rPr>
      </w:pPr>
    </w:p>
    <w:p w:rsidR="00A10641" w14:paraId="4785B4E0" w14:textId="77777777">
      <w:pPr>
        <w:tabs>
          <w:tab w:val="left" w:pos="480"/>
          <w:tab w:val="left" w:pos="1080"/>
          <w:tab w:val="left" w:pos="1680"/>
        </w:tabs>
        <w:suppressAutoHyphens/>
        <w:ind w:left="480" w:hanging="480"/>
        <w:rPr>
          <w:rFonts w:ascii="Times New Roman" w:hAnsi="Times New Roman"/>
        </w:rPr>
      </w:pPr>
      <w:r>
        <w:rPr>
          <w:rFonts w:ascii="Times New Roman" w:hAnsi="Times New Roman"/>
        </w:rPr>
        <w:tab/>
        <w:t>Statistical methods are not employed in this collection.</w:t>
      </w:r>
    </w:p>
    <w:p w:rsidR="00A10641" w14:paraId="6F78E218" w14:textId="77777777">
      <w:pPr>
        <w:tabs>
          <w:tab w:val="left" w:pos="480"/>
          <w:tab w:val="left" w:pos="1080"/>
          <w:tab w:val="left" w:pos="1680"/>
        </w:tabs>
        <w:suppressAutoHyphens/>
        <w:rPr>
          <w:rFonts w:ascii="Times New Roman" w:hAnsi="Times New Roman"/>
        </w:rPr>
      </w:pPr>
    </w:p>
    <w:p w:rsidR="00A10641" w14:paraId="0B86A211" w14:textId="77777777">
      <w:pPr>
        <w:tabs>
          <w:tab w:val="left" w:pos="480"/>
          <w:tab w:val="left" w:pos="1080"/>
          <w:tab w:val="left" w:pos="1680"/>
        </w:tabs>
        <w:suppressAutoHyphens/>
        <w:rPr>
          <w:rFonts w:ascii="Times New Roman" w:hAnsi="Times New Roman"/>
        </w:rPr>
      </w:pPr>
    </w:p>
    <w:p w:rsidR="00A10641" w14:paraId="470416A7" w14:textId="77777777">
      <w:pPr>
        <w:tabs>
          <w:tab w:val="left" w:pos="480"/>
          <w:tab w:val="left" w:pos="1080"/>
          <w:tab w:val="left" w:pos="1680"/>
        </w:tabs>
        <w:suppressAutoHyphens/>
        <w:rPr>
          <w:rFonts w:ascii="Times New Roman" w:hAnsi="Times New Roman"/>
        </w:rPr>
      </w:pPr>
    </w:p>
    <w:p w:rsidR="00A10641" w14:paraId="02E5F284" w14:textId="77777777">
      <w:pPr>
        <w:tabs>
          <w:tab w:val="left" w:pos="480"/>
          <w:tab w:val="left" w:pos="1080"/>
          <w:tab w:val="left" w:pos="1680"/>
        </w:tabs>
        <w:suppressAutoHyphens/>
        <w:rPr>
          <w:rFonts w:ascii="Times New Roman" w:hAnsi="Times New Roman"/>
        </w:rPr>
      </w:pPr>
    </w:p>
    <w:p w:rsidR="00A10641" w14:paraId="4A95705E" w14:textId="77777777">
      <w:pPr>
        <w:tabs>
          <w:tab w:val="left" w:pos="480"/>
          <w:tab w:val="left" w:pos="1080"/>
          <w:tab w:val="left" w:pos="1680"/>
        </w:tabs>
        <w:suppressAutoHyphens/>
        <w:rPr>
          <w:rFonts w:ascii="Times New Roman" w:hAnsi="Times New Roman"/>
        </w:rPr>
      </w:pPr>
    </w:p>
    <w:sectPr>
      <w:headerReference w:type="even" r:id="rId7"/>
      <w:footerReference w:type="even" r:id="rId8"/>
      <w:footerReference w:type="default" r:id="rId9"/>
      <w:headerReference w:type="first" r:id="rId10"/>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585D" w14:paraId="1F7595B0" w14:textId="77777777">
      <w:pPr>
        <w:spacing w:line="20" w:lineRule="exact"/>
      </w:pPr>
    </w:p>
  </w:endnote>
  <w:endnote w:type="continuationSeparator" w:id="1">
    <w:p w:rsidR="0004585D" w14:paraId="72009D5A" w14:textId="77777777">
      <w:r>
        <w:t xml:space="preserve"> </w:t>
      </w:r>
    </w:p>
  </w:endnote>
  <w:endnote w:type="continuationNotice" w:id="2">
    <w:p w:rsidR="0004585D" w14:paraId="7784495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Cambria Math"/>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2DE" w14:paraId="7F1B85E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772DE" w14:paraId="5DEE1E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2DE" w14:paraId="6551A612" w14:textId="4BD9A7FB">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F7E80">
      <w:rPr>
        <w:rStyle w:val="PageNumber"/>
        <w:rFonts w:ascii="Times New Roman" w:hAnsi="Times New Roman"/>
        <w:noProof/>
      </w:rPr>
      <w:t>1</w:t>
    </w:r>
    <w:r>
      <w:rPr>
        <w:rStyle w:val="PageNumber"/>
        <w:rFonts w:ascii="Times New Roman" w:hAnsi="Times New Roman"/>
      </w:rPr>
      <w:fldChar w:fldCharType="end"/>
    </w:r>
  </w:p>
  <w:p w:rsidR="003772DE" w14:paraId="085CE506"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585D" w14:paraId="2291C2BB" w14:textId="77777777">
      <w:r>
        <w:separator/>
      </w:r>
    </w:p>
  </w:footnote>
  <w:footnote w:type="continuationSeparator" w:id="1">
    <w:p w:rsidR="0004585D" w14:paraId="03FA89F5" w14:textId="77777777">
      <w:r>
        <w:continuationSeparator/>
      </w:r>
    </w:p>
  </w:footnote>
  <w:footnote w:id="2">
    <w:p w:rsidR="00B77359" w:rsidRPr="00B77359" w14:paraId="77B061B2" w14:textId="552D7C2C">
      <w:pPr>
        <w:pStyle w:val="FootnoteText"/>
        <w:rPr>
          <w:rFonts w:ascii="Times New Roman" w:hAnsi="Times New Roman"/>
        </w:rPr>
      </w:pPr>
      <w:r w:rsidRPr="00B77359">
        <w:rPr>
          <w:rStyle w:val="FootnoteReference"/>
          <w:rFonts w:ascii="Times New Roman" w:hAnsi="Times New Roman"/>
          <w:sz w:val="20"/>
        </w:rPr>
        <w:footnoteRef/>
      </w:r>
      <w:r>
        <w:t xml:space="preserve"> </w:t>
      </w:r>
      <w:r w:rsidRPr="00B77359">
        <w:rPr>
          <w:rFonts w:ascii="Times New Roman" w:eastAsia="Source Sans Pro" w:hAnsi="Times New Roman"/>
          <w:snapToGrid/>
          <w:sz w:val="20"/>
          <w:lang w:bidi="en-US"/>
        </w:rPr>
        <w:t xml:space="preserve">For purposes of the Regulatory Flexibility Act (RFA), 1,756 (73 percent) of the IDIs that reported operating one or more branches were small. December 31, 2023, Call Report data. </w:t>
      </w:r>
      <w:r w:rsidRPr="00B77359">
        <w:rPr>
          <w:rFonts w:ascii="Times New Roman" w:eastAsia="Source Sans Pro" w:hAnsi="Times New Roman"/>
          <w:i/>
          <w:snapToGrid/>
          <w:sz w:val="20"/>
          <w:lang w:bidi="en-US"/>
        </w:rPr>
        <w:t>Id</w:t>
      </w:r>
      <w:r w:rsidRPr="00B77359">
        <w:rPr>
          <w:rFonts w:ascii="Times New Roman" w:eastAsia="Source Sans Pro" w:hAnsi="Times New Roman"/>
          <w:snapToGrid/>
          <w:sz w:val="20"/>
          <w:lang w:bidi="en-US"/>
        </w:rPr>
        <w:t xml:space="preserve">. The Small Business Administration (SBA) defines a small banking organization as having $850 million or less in assets, where an organization’s “assets are determined by averaging the assets reported on its four quarterly financial statements for the preceding year.” </w:t>
      </w:r>
      <w:r w:rsidRPr="00B77359">
        <w:rPr>
          <w:rFonts w:ascii="Times New Roman" w:eastAsia="Source Sans Pro" w:hAnsi="Times New Roman"/>
          <w:i/>
          <w:snapToGrid/>
          <w:sz w:val="20"/>
          <w:lang w:bidi="en-US"/>
        </w:rPr>
        <w:t>See</w:t>
      </w:r>
      <w:r w:rsidRPr="00B77359">
        <w:rPr>
          <w:rFonts w:ascii="Times New Roman" w:eastAsia="Source Sans Pro" w:hAnsi="Times New Roman"/>
          <w:snapToGrid/>
          <w:sz w:val="20"/>
          <w:lang w:bidi="en-US"/>
        </w:rPr>
        <w:t xml:space="preserve"> 13 CFR 121.201 (as amended by 87 FR 69118, effective December 19, 2022). In its determination, the “SBA counts the receipts, employees, or other measure of size of the concern whose size is at issue and all of its domestic and foreign affiliates.” </w:t>
      </w:r>
      <w:r w:rsidRPr="00B77359">
        <w:rPr>
          <w:rFonts w:ascii="Times New Roman" w:eastAsia="Source Sans Pro" w:hAnsi="Times New Roman"/>
          <w:i/>
          <w:snapToGrid/>
          <w:sz w:val="20"/>
          <w:lang w:bidi="en-US"/>
        </w:rPr>
        <w:t>See</w:t>
      </w:r>
      <w:r w:rsidRPr="00B77359">
        <w:rPr>
          <w:rFonts w:ascii="Times New Roman" w:eastAsia="Source Sans Pro" w:hAnsi="Times New Roman"/>
          <w:snapToGrid/>
          <w:sz w:val="20"/>
          <w:lang w:bidi="en-US"/>
        </w:rPr>
        <w:t xml:space="preserve"> 13 CFR 121.103. Following these regulations, the FDIC uses a covered entity’s affiliated and acquired assets, averaged over the preceding four quarters, to determine whether the covered entity is “small” for the purposes of RFA.</w:t>
      </w:r>
    </w:p>
  </w:footnote>
  <w:footnote w:id="3">
    <w:p w:rsidR="00B77359" w:rsidRPr="00B77359" w14:paraId="7066A5F2" w14:textId="0CC38BB5">
      <w:pPr>
        <w:pStyle w:val="FootnoteText"/>
        <w:rPr>
          <w:rFonts w:ascii="Times New Roman" w:hAnsi="Times New Roman"/>
          <w:sz w:val="20"/>
        </w:rPr>
      </w:pPr>
      <w:r w:rsidRPr="00B77359">
        <w:rPr>
          <w:rStyle w:val="FootnoteReference"/>
          <w:rFonts w:ascii="Times New Roman" w:hAnsi="Times New Roman"/>
          <w:sz w:val="20"/>
        </w:rPr>
        <w:footnoteRef/>
      </w:r>
      <w:r w:rsidRPr="00B77359">
        <w:rPr>
          <w:rFonts w:ascii="Times New Roman" w:hAnsi="Times New Roman"/>
          <w:sz w:val="20"/>
        </w:rPr>
        <w:t xml:space="preserve"> </w:t>
      </w:r>
      <w:r w:rsidRPr="00B77359">
        <w:rPr>
          <w:rFonts w:ascii="Times New Roman" w:eastAsia="Source Sans Pro" w:hAnsi="Times New Roman"/>
          <w:snapToGrid/>
          <w:sz w:val="20"/>
          <w:lang w:bidi="en-US"/>
        </w:rPr>
        <w:t>FDIC data contains a record for every branch closed by an FDIC-supervised institution between 2018 and 2023, as well as the institution to which the branch belonged.</w:t>
      </w:r>
    </w:p>
  </w:footnote>
  <w:footnote w:id="4">
    <w:p w:rsidR="00B77359" w:rsidRPr="00B77359" w14:paraId="7ED97227" w14:textId="3985C169">
      <w:pPr>
        <w:pStyle w:val="FootnoteText"/>
        <w:rPr>
          <w:rFonts w:ascii="Times New Roman" w:hAnsi="Times New Roman"/>
          <w:sz w:val="20"/>
        </w:rPr>
      </w:pPr>
      <w:r w:rsidRPr="00B77359">
        <w:rPr>
          <w:rStyle w:val="FootnoteReference"/>
          <w:rFonts w:ascii="Times New Roman" w:hAnsi="Times New Roman"/>
          <w:sz w:val="20"/>
        </w:rPr>
        <w:footnoteRef/>
      </w:r>
      <w:r w:rsidRPr="00B77359">
        <w:rPr>
          <w:rFonts w:ascii="Times New Roman" w:hAnsi="Times New Roman"/>
          <w:sz w:val="20"/>
        </w:rPr>
        <w:t xml:space="preserve"> </w:t>
      </w:r>
      <w:r>
        <w:rPr>
          <w:rFonts w:ascii="Times New Roman" w:hAnsi="Times New Roman"/>
          <w:sz w:val="20"/>
        </w:rPr>
        <w:t>Call Report data.</w:t>
      </w:r>
    </w:p>
  </w:footnote>
  <w:footnote w:id="5">
    <w:p w:rsidR="00B77359" w:rsidRPr="00E6645B" w:rsidP="00B77359" w14:paraId="32452B4B" w14:textId="5C3D9775">
      <w:pPr>
        <w:pStyle w:val="FootnoteText"/>
        <w:rPr>
          <w:rFonts w:ascii="Times New Roman" w:hAnsi="Times New Roman"/>
          <w:sz w:val="20"/>
        </w:rPr>
      </w:pPr>
      <w:r w:rsidRPr="00E6645B">
        <w:rPr>
          <w:rStyle w:val="FootnoteReference"/>
          <w:rFonts w:ascii="Times New Roman" w:hAnsi="Times New Roman"/>
          <w:sz w:val="20"/>
        </w:rPr>
        <w:footnoteRef/>
      </w:r>
      <w:r w:rsidRPr="00E6645B">
        <w:rPr>
          <w:rFonts w:ascii="Times New Roman" w:hAnsi="Times New Roman"/>
          <w:sz w:val="20"/>
        </w:rPr>
        <w:t xml:space="preserve"> A total of 4,949 branch closings were processed as of June 18</w:t>
      </w:r>
      <w:r w:rsidRPr="00E6645B">
        <w:rPr>
          <w:rFonts w:ascii="Times New Roman" w:hAnsi="Times New Roman"/>
          <w:sz w:val="20"/>
          <w:vertAlign w:val="superscript"/>
        </w:rPr>
        <w:t>th</w:t>
      </w:r>
      <w:r w:rsidRPr="00E6645B">
        <w:rPr>
          <w:rFonts w:ascii="Times New Roman" w:hAnsi="Times New Roman"/>
          <w:sz w:val="20"/>
        </w:rPr>
        <w:t xml:space="preserve">, 2024. Additional branch closings might have occurred in </w:t>
      </w:r>
      <w:r w:rsidRPr="00E6645B" w:rsidR="00E6645B">
        <w:rPr>
          <w:rFonts w:ascii="Times New Roman" w:hAnsi="Times New Roman"/>
          <w:sz w:val="20"/>
        </w:rPr>
        <w:t>2023 but</w:t>
      </w:r>
      <w:r w:rsidRPr="00E6645B">
        <w:rPr>
          <w:rFonts w:ascii="Times New Roman" w:hAnsi="Times New Roman"/>
          <w:sz w:val="20"/>
        </w:rPr>
        <w:t xml:space="preserve"> have not yet been processed and present in the data</w:t>
      </w:r>
      <w:r w:rsidR="00E6645B">
        <w:rPr>
          <w:rFonts w:ascii="Times New Roman" w:hAnsi="Times New Roman"/>
          <w:sz w:val="20"/>
        </w:rPr>
        <w:t xml:space="preserve"> base</w:t>
      </w:r>
      <w:r w:rsidRPr="00E6645B">
        <w:rPr>
          <w:rFonts w:ascii="Times New Roman" w:hAnsi="Times New Roman"/>
          <w:sz w:val="20"/>
        </w:rPr>
        <w:t xml:space="preserve">. </w:t>
      </w:r>
    </w:p>
  </w:footnote>
  <w:footnote w:id="6">
    <w:p w:rsidR="00B77359" w:rsidRPr="00E6645B" w:rsidP="00B77359" w14:paraId="229ABD94" w14:textId="77777777">
      <w:pPr>
        <w:pStyle w:val="FootnoteText"/>
        <w:rPr>
          <w:rFonts w:ascii="Times New Roman" w:hAnsi="Times New Roman"/>
          <w:sz w:val="20"/>
        </w:rPr>
      </w:pPr>
      <w:r w:rsidRPr="00E6645B">
        <w:rPr>
          <w:rStyle w:val="FootnoteReference"/>
          <w:rFonts w:ascii="Times New Roman" w:hAnsi="Times New Roman"/>
          <w:sz w:val="20"/>
        </w:rPr>
        <w:footnoteRef/>
      </w:r>
      <w:r w:rsidRPr="00E6645B">
        <w:rPr>
          <w:rFonts w:ascii="Times New Roman" w:hAnsi="Times New Roman"/>
          <w:sz w:val="20"/>
        </w:rPr>
        <w:t xml:space="preserve"> For purposes of the RFA, 446 (47 percent) were also small entities in the quarter the branch was closed.</w:t>
      </w:r>
    </w:p>
  </w:footnote>
  <w:footnote w:id="7">
    <w:p w:rsidR="00B77359" w:rsidP="00B77359" w14:paraId="2567AEBC" w14:textId="77777777">
      <w:pPr>
        <w:pStyle w:val="FootnoteText"/>
      </w:pPr>
      <w:r w:rsidRPr="00E6645B">
        <w:rPr>
          <w:rStyle w:val="FootnoteReference"/>
          <w:rFonts w:ascii="Times New Roman" w:hAnsi="Times New Roman"/>
          <w:sz w:val="20"/>
        </w:rPr>
        <w:footnoteRef/>
      </w:r>
      <w:r w:rsidRPr="00E6645B">
        <w:rPr>
          <w:rFonts w:ascii="Times New Roman" w:hAnsi="Times New Roman"/>
          <w:sz w:val="20"/>
        </w:rPr>
        <w:t xml:space="preserve"> [(269 + 261 + 317 + 317 + 292 + 201) / 6] = 276.167</w:t>
      </w:r>
    </w:p>
  </w:footnote>
  <w:footnote w:id="8">
    <w:p w:rsidR="002C529C" w:rsidRPr="00B876A8" w:rsidP="002C529C" w14:paraId="592BB1EF" w14:textId="77777777">
      <w:pPr>
        <w:pStyle w:val="FootnoteText"/>
        <w:rPr>
          <w:rFonts w:ascii="Times New Roman" w:hAnsi="Times New Roman"/>
          <w:sz w:val="20"/>
        </w:rPr>
      </w:pPr>
      <w:r w:rsidRPr="00B876A8">
        <w:rPr>
          <w:rStyle w:val="FootnoteReference"/>
          <w:rFonts w:ascii="Times New Roman" w:hAnsi="Times New Roman"/>
          <w:sz w:val="20"/>
        </w:rPr>
        <w:footnoteRef/>
      </w:r>
      <w:r w:rsidRPr="00B876A8">
        <w:rPr>
          <w:rFonts w:ascii="Times New Roman" w:hAnsi="Times New Roman"/>
          <w:sz w:val="20"/>
        </w:rPr>
        <w:t xml:space="preserve"> For purposes of the RFA, 97 (92 percent) were also small entities in the quarter the branch was closed.</w:t>
      </w:r>
    </w:p>
  </w:footnote>
  <w:footnote w:id="9">
    <w:p w:rsidR="002C529C" w:rsidP="002C529C" w14:paraId="7C560C57" w14:textId="1BA545BA">
      <w:pPr>
        <w:pStyle w:val="FootnoteText"/>
      </w:pPr>
      <w:r w:rsidRPr="00B876A8">
        <w:rPr>
          <w:rStyle w:val="FootnoteReference"/>
          <w:rFonts w:ascii="Times New Roman" w:hAnsi="Times New Roman"/>
        </w:rPr>
        <w:footnoteRef/>
      </w:r>
      <w:r w:rsidRPr="00B876A8">
        <w:rPr>
          <w:rFonts w:ascii="Times New Roman" w:hAnsi="Times New Roman"/>
        </w:rPr>
        <w:t xml:space="preserve"> </w:t>
      </w:r>
      <w:r w:rsidRPr="00B876A8">
        <w:rPr>
          <w:rFonts w:ascii="Times New Roman" w:hAnsi="Times New Roman"/>
          <w:sz w:val="20"/>
        </w:rPr>
        <w:t>[(21+23+12+13+21+16) / 6] = 17.67 respondents per year</w:t>
      </w:r>
      <w:r w:rsidR="00B876A8">
        <w:rPr>
          <w:rFonts w:ascii="Times New Roman" w:hAnsi="Times New Roman"/>
          <w:sz w:val="20"/>
        </w:rPr>
        <w:t>.</w:t>
      </w:r>
    </w:p>
  </w:footnote>
  <w:footnote w:id="10">
    <w:p w:rsidR="0033174D" w:rsidRPr="0033174D" w:rsidP="0033174D" w14:paraId="0ADBE4FA" w14:textId="49AB8CF5">
      <w:pPr>
        <w:pStyle w:val="FootnoteText"/>
        <w:rPr>
          <w:rFonts w:ascii="Times New Roman" w:hAnsi="Times New Roman"/>
          <w:sz w:val="20"/>
        </w:rPr>
      </w:pPr>
      <w:r w:rsidRPr="0033174D">
        <w:rPr>
          <w:rStyle w:val="FootnoteReference"/>
          <w:rFonts w:ascii="Times New Roman" w:hAnsi="Times New Roman"/>
          <w:sz w:val="20"/>
        </w:rPr>
        <w:footnoteRef/>
      </w:r>
      <w:r w:rsidRPr="0033174D">
        <w:rPr>
          <w:rFonts w:ascii="Times New Roman" w:hAnsi="Times New Roman"/>
          <w:sz w:val="20"/>
        </w:rPr>
        <w:t xml:space="preserve"> (4,949 responses / 6 years / 276 annual respondents) = 2.99</w:t>
      </w:r>
    </w:p>
  </w:footnote>
  <w:footnote w:id="11">
    <w:p w:rsidR="0033174D" w:rsidRPr="004443D0" w:rsidP="0033174D" w14:paraId="33FF279A" w14:textId="77777777">
      <w:pPr>
        <w:pStyle w:val="FootnoteText"/>
        <w:rPr>
          <w:rFonts w:ascii="Times New Roman" w:hAnsi="Times New Roman"/>
          <w:sz w:val="20"/>
        </w:rPr>
      </w:pPr>
      <w:r w:rsidRPr="004443D0">
        <w:rPr>
          <w:rStyle w:val="FootnoteReference"/>
          <w:rFonts w:ascii="Times New Roman" w:hAnsi="Times New Roman"/>
          <w:sz w:val="20"/>
        </w:rPr>
        <w:footnoteRef/>
      </w:r>
      <w:r w:rsidRPr="004443D0">
        <w:rPr>
          <w:rFonts w:ascii="Times New Roman" w:hAnsi="Times New Roman"/>
          <w:sz w:val="20"/>
        </w:rPr>
        <w:t xml:space="preserve"> (106 responses / 106 respondents) = 1.0</w:t>
      </w:r>
    </w:p>
  </w:footnote>
  <w:footnote w:id="12">
    <w:p w:rsidR="00344C35" w:rsidRPr="00057B91" w:rsidP="00344C35" w14:paraId="7A848EFA" w14:textId="77777777">
      <w:pPr>
        <w:pStyle w:val="FootnoteText"/>
        <w:rPr>
          <w:rFonts w:ascii="Times New Roman" w:hAnsi="Times New Roman"/>
          <w:sz w:val="20"/>
        </w:rPr>
      </w:pPr>
      <w:r w:rsidRPr="00057B91">
        <w:rPr>
          <w:rStyle w:val="FootnoteReference"/>
          <w:rFonts w:ascii="Times New Roman" w:hAnsi="Times New Roman"/>
          <w:sz w:val="20"/>
        </w:rPr>
        <w:footnoteRef/>
      </w:r>
      <w:r w:rsidRPr="00057B91">
        <w:rPr>
          <w:rFonts w:ascii="Times New Roman" w:hAnsi="Times New Roman"/>
          <w:sz w:val="20"/>
        </w:rPr>
        <w:t xml:space="preserve"> See the Joint Policy Statement on Branch Closings at </w:t>
      </w:r>
      <w:hyperlink r:id="rId1" w:history="1">
        <w:r w:rsidRPr="00057B91">
          <w:rPr>
            <w:rStyle w:val="Hyperlink"/>
            <w:rFonts w:ascii="Times New Roman" w:hAnsi="Times New Roman"/>
            <w:sz w:val="20"/>
          </w:rPr>
          <w:t>https://www.reginfo.gov/public/do/PRAViewICR?ref_nbr=202108-3064-005</w:t>
        </w:r>
      </w:hyperlink>
      <w:r w:rsidRPr="00057B91">
        <w:rPr>
          <w:rFonts w:ascii="Times New Roman" w:hAnsi="Times New Roman"/>
          <w:sz w:val="20"/>
        </w:rPr>
        <w:t xml:space="preserve">. </w:t>
      </w:r>
    </w:p>
  </w:footnote>
  <w:footnote w:id="13">
    <w:p w:rsidR="00344C35" w:rsidP="00344C35" w14:paraId="4A6DF4D2" w14:textId="77777777">
      <w:pPr>
        <w:pStyle w:val="FootnoteText"/>
      </w:pPr>
      <w:r w:rsidRPr="00057B91">
        <w:rPr>
          <w:rStyle w:val="FootnoteReference"/>
          <w:rFonts w:ascii="Times New Roman" w:hAnsi="Times New Roman"/>
          <w:sz w:val="20"/>
        </w:rPr>
        <w:footnoteRef/>
      </w:r>
      <w:r w:rsidRPr="00057B91">
        <w:rPr>
          <w:rFonts w:ascii="Times New Roman" w:hAnsi="Times New Roman"/>
          <w:sz w:val="20"/>
        </w:rPr>
        <w:t xml:space="preserve"> The corresponding IC in the 2021 ICR, which comprised both reporting to the FDIC and disclosures to customers, had a time per response estimate of 2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2DE" w14:paraId="7846E953" w14:textId="0C0A2CD8">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274570" cy="382270"/>
              <wp:effectExtent l="0" t="0" r="11430" b="17780"/>
              <wp:wrapNone/>
              <wp:docPr id="486619325" name="Text Box 2"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797091" w:rsidRPr="00797091" w:rsidP="00797091" w14:textId="62946050">
                          <w:pPr>
                            <w:rPr>
                              <w:rFonts w:ascii="Source Sans Pro Semibold" w:eastAsia="Source Sans Pro Semibold" w:hAnsi="Source Sans Pro Semibold" w:cs="Source Sans Pro Semibold"/>
                              <w:noProof/>
                              <w:color w:val="000000"/>
                              <w:szCs w:val="24"/>
                            </w:rPr>
                          </w:pPr>
                          <w:r w:rsidRPr="00797091">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797091" w:rsidRPr="00797091" w:rsidP="00797091" w14:paraId="26A3522D" w14:textId="62946050">
                    <w:pPr>
                      <w:rPr>
                        <w:rFonts w:ascii="Source Sans Pro Semibold" w:eastAsia="Source Sans Pro Semibold" w:hAnsi="Source Sans Pro Semibold" w:cs="Source Sans Pro Semibold"/>
                        <w:noProof/>
                        <w:color w:val="000000"/>
                        <w:szCs w:val="24"/>
                      </w:rPr>
                    </w:pPr>
                    <w:r w:rsidRPr="00797091">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2DE" w14:paraId="72635C81" w14:textId="3E37F9AC">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274570" cy="382270"/>
              <wp:effectExtent l="0" t="0" r="11430" b="17780"/>
              <wp:wrapNone/>
              <wp:docPr id="1156624099" name="Text Box 1" descr="NONPUBLIC//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570" cy="382270"/>
                      </a:xfrm>
                      <a:prstGeom prst="rect">
                        <a:avLst/>
                      </a:prstGeom>
                      <a:noFill/>
                      <a:ln>
                        <a:noFill/>
                      </a:ln>
                    </wps:spPr>
                    <wps:txbx>
                      <w:txbxContent>
                        <w:p w:rsidR="00797091" w:rsidRPr="00797091" w:rsidP="00797091" w14:textId="2A4A55CA">
                          <w:pPr>
                            <w:rPr>
                              <w:rFonts w:ascii="Source Sans Pro Semibold" w:eastAsia="Source Sans Pro Semibold" w:hAnsi="Source Sans Pro Semibold" w:cs="Source Sans Pro Semibold"/>
                              <w:noProof/>
                              <w:color w:val="000000"/>
                              <w:szCs w:val="24"/>
                            </w:rPr>
                          </w:pPr>
                          <w:r w:rsidRPr="00797091">
                            <w:rPr>
                              <w:rFonts w:ascii="Source Sans Pro Semibold" w:eastAsia="Source Sans Pro Semibold" w:hAnsi="Source Sans Pro Semibold" w:cs="Source Sans Pro Semibold"/>
                              <w:noProof/>
                              <w:color w:val="000000"/>
                              <w:szCs w:val="24"/>
                            </w:rPr>
                            <w:t>NONPUBLIC//FDIC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NONPUBLIC//FDIC INTERNAL ONLY" style="width:179.1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797091" w:rsidRPr="00797091" w:rsidP="00797091" w14:paraId="75DC94EE" w14:textId="2A4A55CA">
                    <w:pPr>
                      <w:rPr>
                        <w:rFonts w:ascii="Source Sans Pro Semibold" w:eastAsia="Source Sans Pro Semibold" w:hAnsi="Source Sans Pro Semibold" w:cs="Source Sans Pro Semibold"/>
                        <w:noProof/>
                        <w:color w:val="000000"/>
                        <w:szCs w:val="24"/>
                      </w:rPr>
                    </w:pPr>
                    <w:r w:rsidRPr="00797091">
                      <w:rPr>
                        <w:rFonts w:ascii="Source Sans Pro Semibold" w:eastAsia="Source Sans Pro Semibold" w:hAnsi="Source Sans Pro Semibold" w:cs="Source Sans Pro Semibold"/>
                        <w:noProof/>
                        <w:color w:val="000000"/>
                        <w:szCs w:val="24"/>
                      </w:rPr>
                      <w:t>NONPUBLIC//FDIC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1">
    <w:nsid w:val="0B0A3E59"/>
    <w:multiLevelType w:val="singleLevel"/>
    <w:tmpl w:val="2EDE856C"/>
    <w:lvl w:ilvl="0">
      <w:start w:val="9"/>
      <w:numFmt w:val="decimal"/>
      <w:lvlText w:val="%1."/>
      <w:lvlJc w:val="left"/>
      <w:pPr>
        <w:tabs>
          <w:tab w:val="num" w:pos="1440"/>
        </w:tabs>
        <w:ind w:left="1440" w:hanging="660"/>
      </w:pPr>
      <w:rPr>
        <w:rFonts w:hint="default"/>
      </w:rPr>
    </w:lvl>
  </w:abstractNum>
  <w:abstractNum w:abstractNumId="2">
    <w:nsid w:val="27BD2C1B"/>
    <w:multiLevelType w:val="multilevel"/>
    <w:tmpl w:val="B5004CAC"/>
    <w:lvl w:ilvl="0">
      <w:start w:val="9"/>
      <w:numFmt w:val="decimal"/>
      <w:lvlText w:val="%1."/>
      <w:lvlJc w:val="left"/>
      <w:pPr>
        <w:tabs>
          <w:tab w:val="num" w:pos="2295"/>
        </w:tabs>
        <w:ind w:left="2295" w:hanging="855"/>
      </w:pPr>
      <w:rPr>
        <w:rFonts w:hint="default"/>
      </w:rPr>
    </w:lvl>
    <w:lvl w:ilvl="1">
      <w:start w:val="1"/>
      <w:numFmt w:val="lowerLetter"/>
      <w:lvlText w:val="%2."/>
      <w:lvlJc w:val="left"/>
      <w:pPr>
        <w:ind w:left="2805" w:hanging="360"/>
      </w:pPr>
      <w:rPr>
        <w:rFonts w:hint="default"/>
      </w:rPr>
    </w:lvl>
    <w:lvl w:ilvl="2">
      <w:start w:val="1"/>
      <w:numFmt w:val="lowerRoman"/>
      <w:lvlText w:val="%3."/>
      <w:lvlJc w:val="right"/>
      <w:pPr>
        <w:ind w:left="3525" w:hanging="180"/>
      </w:pPr>
      <w:rPr>
        <w:rFonts w:hint="default"/>
      </w:rPr>
    </w:lvl>
    <w:lvl w:ilvl="3">
      <w:start w:val="1"/>
      <w:numFmt w:val="decimal"/>
      <w:lvlText w:val="%4."/>
      <w:lvlJc w:val="left"/>
      <w:pPr>
        <w:ind w:left="4245" w:hanging="360"/>
      </w:pPr>
      <w:rPr>
        <w:rFonts w:hint="default"/>
      </w:rPr>
    </w:lvl>
    <w:lvl w:ilvl="4">
      <w:start w:val="1"/>
      <w:numFmt w:val="lowerLetter"/>
      <w:lvlText w:val="%5."/>
      <w:lvlJc w:val="left"/>
      <w:pPr>
        <w:ind w:left="4965" w:hanging="360"/>
      </w:pPr>
      <w:rPr>
        <w:rFonts w:hint="default"/>
      </w:rPr>
    </w:lvl>
    <w:lvl w:ilvl="5">
      <w:start w:val="1"/>
      <w:numFmt w:val="lowerRoman"/>
      <w:lvlText w:val="%6."/>
      <w:lvlJc w:val="right"/>
      <w:pPr>
        <w:ind w:left="5685" w:hanging="180"/>
      </w:pPr>
      <w:rPr>
        <w:rFonts w:hint="default"/>
      </w:rPr>
    </w:lvl>
    <w:lvl w:ilvl="6">
      <w:start w:val="1"/>
      <w:numFmt w:val="decimal"/>
      <w:lvlText w:val="%7."/>
      <w:lvlJc w:val="left"/>
      <w:pPr>
        <w:ind w:left="6405" w:hanging="360"/>
      </w:pPr>
      <w:rPr>
        <w:rFonts w:hint="default"/>
      </w:rPr>
    </w:lvl>
    <w:lvl w:ilvl="7">
      <w:start w:val="1"/>
      <w:numFmt w:val="lowerLetter"/>
      <w:lvlText w:val="%8."/>
      <w:lvlJc w:val="left"/>
      <w:pPr>
        <w:ind w:left="7125" w:hanging="360"/>
      </w:pPr>
      <w:rPr>
        <w:rFonts w:hint="default"/>
      </w:rPr>
    </w:lvl>
    <w:lvl w:ilvl="8">
      <w:start w:val="1"/>
      <w:numFmt w:val="lowerRoman"/>
      <w:lvlText w:val="%9."/>
      <w:lvlJc w:val="right"/>
      <w:pPr>
        <w:ind w:left="7845" w:hanging="180"/>
      </w:pPr>
      <w:rPr>
        <w:rFonts w:hint="default"/>
      </w:rPr>
    </w:lvl>
  </w:abstractNum>
  <w:abstractNum w:abstractNumId="3">
    <w:nsid w:val="2BD12CC3"/>
    <w:multiLevelType w:val="singleLevel"/>
    <w:tmpl w:val="E4A63036"/>
    <w:lvl w:ilvl="0">
      <w:start w:val="17"/>
      <w:numFmt w:val="decimal"/>
      <w:lvlText w:val="%1."/>
      <w:lvlJc w:val="left"/>
      <w:pPr>
        <w:tabs>
          <w:tab w:val="num" w:pos="1080"/>
        </w:tabs>
        <w:ind w:left="1080" w:hanging="480"/>
      </w:pPr>
      <w:rPr>
        <w:rFonts w:hint="default"/>
        <w:u w:val="none"/>
      </w:rPr>
    </w:lvl>
  </w:abstractNum>
  <w:abstractNum w:abstractNumId="4">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nsid w:val="778D34FB"/>
    <w:multiLevelType w:val="singleLevel"/>
    <w:tmpl w:val="77628284"/>
    <w:lvl w:ilvl="0">
      <w:start w:val="2"/>
      <w:numFmt w:val="decimal"/>
      <w:lvlText w:val="%1."/>
      <w:lvlJc w:val="left"/>
      <w:pPr>
        <w:tabs>
          <w:tab w:val="num" w:pos="480"/>
        </w:tabs>
        <w:ind w:left="480" w:hanging="480"/>
      </w:pPr>
      <w:rPr>
        <w:rFonts w:hint="default"/>
      </w:rPr>
    </w:lvl>
  </w:abstractNum>
  <w:num w:numId="1" w16cid:durableId="2001348206">
    <w:abstractNumId w:val="1"/>
  </w:num>
  <w:num w:numId="2" w16cid:durableId="944264363">
    <w:abstractNumId w:val="0"/>
  </w:num>
  <w:num w:numId="3" w16cid:durableId="1739548020">
    <w:abstractNumId w:val="3"/>
  </w:num>
  <w:num w:numId="4" w16cid:durableId="648825131">
    <w:abstractNumId w:val="5"/>
  </w:num>
  <w:num w:numId="5" w16cid:durableId="708267015">
    <w:abstractNumId w:val="2"/>
  </w:num>
  <w:num w:numId="6" w16cid:durableId="1373649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B0"/>
    <w:rsid w:val="00016F47"/>
    <w:rsid w:val="00037C9B"/>
    <w:rsid w:val="00040571"/>
    <w:rsid w:val="0004585D"/>
    <w:rsid w:val="00057B91"/>
    <w:rsid w:val="000B6E90"/>
    <w:rsid w:val="0010443B"/>
    <w:rsid w:val="001510AD"/>
    <w:rsid w:val="001A0299"/>
    <w:rsid w:val="001F0880"/>
    <w:rsid w:val="00243153"/>
    <w:rsid w:val="002B27CE"/>
    <w:rsid w:val="002C529C"/>
    <w:rsid w:val="002E2F49"/>
    <w:rsid w:val="0033174D"/>
    <w:rsid w:val="00334A34"/>
    <w:rsid w:val="00344C35"/>
    <w:rsid w:val="00366534"/>
    <w:rsid w:val="003772DE"/>
    <w:rsid w:val="003E7A05"/>
    <w:rsid w:val="004443D0"/>
    <w:rsid w:val="00472470"/>
    <w:rsid w:val="004B382E"/>
    <w:rsid w:val="005323ED"/>
    <w:rsid w:val="00533183"/>
    <w:rsid w:val="005751B7"/>
    <w:rsid w:val="00584FC9"/>
    <w:rsid w:val="005A270B"/>
    <w:rsid w:val="005D7C4F"/>
    <w:rsid w:val="005E1A91"/>
    <w:rsid w:val="006C1BF2"/>
    <w:rsid w:val="006C6E51"/>
    <w:rsid w:val="00797091"/>
    <w:rsid w:val="00821F26"/>
    <w:rsid w:val="008C4AFC"/>
    <w:rsid w:val="008C6BF8"/>
    <w:rsid w:val="008D55B7"/>
    <w:rsid w:val="008D6BC4"/>
    <w:rsid w:val="0097303A"/>
    <w:rsid w:val="009A2D93"/>
    <w:rsid w:val="009F7E80"/>
    <w:rsid w:val="00A10641"/>
    <w:rsid w:val="00A3164F"/>
    <w:rsid w:val="00A37A17"/>
    <w:rsid w:val="00A616B5"/>
    <w:rsid w:val="00A70D79"/>
    <w:rsid w:val="00AF65B5"/>
    <w:rsid w:val="00B12187"/>
    <w:rsid w:val="00B32BB8"/>
    <w:rsid w:val="00B71C9F"/>
    <w:rsid w:val="00B77359"/>
    <w:rsid w:val="00B876A8"/>
    <w:rsid w:val="00C56C82"/>
    <w:rsid w:val="00C6727F"/>
    <w:rsid w:val="00C6748B"/>
    <w:rsid w:val="00C71BC7"/>
    <w:rsid w:val="00C90302"/>
    <w:rsid w:val="00CB0D1A"/>
    <w:rsid w:val="00CB27AA"/>
    <w:rsid w:val="00CB70C1"/>
    <w:rsid w:val="00CE5C66"/>
    <w:rsid w:val="00D22383"/>
    <w:rsid w:val="00D310EC"/>
    <w:rsid w:val="00D73AB8"/>
    <w:rsid w:val="00DB15CE"/>
    <w:rsid w:val="00DB1A5C"/>
    <w:rsid w:val="00DE18CF"/>
    <w:rsid w:val="00E03A6E"/>
    <w:rsid w:val="00E47080"/>
    <w:rsid w:val="00E53557"/>
    <w:rsid w:val="00E61526"/>
    <w:rsid w:val="00E6645B"/>
    <w:rsid w:val="00EF07D1"/>
    <w:rsid w:val="00F009E6"/>
    <w:rsid w:val="00F471B6"/>
    <w:rsid w:val="00F52BA7"/>
    <w:rsid w:val="00F856B0"/>
    <w:rsid w:val="00FB0701"/>
    <w:rsid w:val="00FB0C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2C269F"/>
  <w15:docId w15:val="{8D03A060-37D7-4B7B-8EC4-7E9AA465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BF2"/>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qFormat/>
  </w:style>
  <w:style w:type="character" w:styleId="FootnoteReference">
    <w:name w:val="footnote reference"/>
    <w:aliases w:val=" BVI fnr,(Footnote Reference),12,Appel note de bas de p,BVI fnr,EN Footnote Reference,Footnote,Footnote Reference Superscript,Footnote reference number,Footnote symbol,Nota,Ref,SUPERS,Style 16,Style 19,Voetnootverwijzing,fr,note TESI"/>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 w:type="paragraph" w:styleId="ListParagraph">
    <w:name w:val="List Paragraph"/>
    <w:basedOn w:val="Normal"/>
    <w:uiPriority w:val="34"/>
    <w:qFormat/>
    <w:rsid w:val="00366534"/>
    <w:pPr>
      <w:ind w:left="720"/>
      <w:contextualSpacing/>
    </w:pPr>
  </w:style>
  <w:style w:type="character" w:styleId="CommentReference">
    <w:name w:val="annotation reference"/>
    <w:basedOn w:val="DefaultParagraphFont"/>
    <w:semiHidden/>
    <w:unhideWhenUsed/>
    <w:rsid w:val="00F52BA7"/>
    <w:rPr>
      <w:sz w:val="16"/>
      <w:szCs w:val="16"/>
    </w:rPr>
  </w:style>
  <w:style w:type="paragraph" w:styleId="CommentText">
    <w:name w:val="annotation text"/>
    <w:basedOn w:val="Normal"/>
    <w:link w:val="CommentTextChar"/>
    <w:semiHidden/>
    <w:unhideWhenUsed/>
    <w:rsid w:val="00F52BA7"/>
    <w:rPr>
      <w:sz w:val="20"/>
    </w:rPr>
  </w:style>
  <w:style w:type="character" w:customStyle="1" w:styleId="CommentTextChar">
    <w:name w:val="Comment Text Char"/>
    <w:basedOn w:val="DefaultParagraphFont"/>
    <w:link w:val="CommentText"/>
    <w:semiHidden/>
    <w:rsid w:val="00F52BA7"/>
    <w:rPr>
      <w:rFonts w:ascii="Courier New" w:hAnsi="Courier New"/>
      <w:snapToGrid w:val="0"/>
    </w:rPr>
  </w:style>
  <w:style w:type="paragraph" w:styleId="CommentSubject">
    <w:name w:val="annotation subject"/>
    <w:basedOn w:val="CommentText"/>
    <w:next w:val="CommentText"/>
    <w:link w:val="CommentSubjectChar"/>
    <w:semiHidden/>
    <w:unhideWhenUsed/>
    <w:rsid w:val="00F52BA7"/>
    <w:rPr>
      <w:b/>
      <w:bCs/>
    </w:rPr>
  </w:style>
  <w:style w:type="character" w:customStyle="1" w:styleId="CommentSubjectChar">
    <w:name w:val="Comment Subject Char"/>
    <w:basedOn w:val="CommentTextChar"/>
    <w:link w:val="CommentSubject"/>
    <w:semiHidden/>
    <w:rsid w:val="00F52BA7"/>
    <w:rPr>
      <w:rFonts w:ascii="Courier New" w:hAnsi="Courier New"/>
      <w:b/>
      <w:bCs/>
      <w:snapToGrid w:val="0"/>
    </w:rPr>
  </w:style>
  <w:style w:type="character" w:styleId="Hyperlink">
    <w:name w:val="Hyperlink"/>
    <w:basedOn w:val="DefaultParagraphFont"/>
    <w:uiPriority w:val="99"/>
    <w:unhideWhenUsed/>
    <w:rsid w:val="00F52BA7"/>
    <w:rPr>
      <w:color w:val="0000FF"/>
      <w:u w:val="single"/>
    </w:rPr>
  </w:style>
  <w:style w:type="paragraph" w:styleId="BodyText">
    <w:name w:val="Body Text"/>
    <w:link w:val="BodyTextChar"/>
    <w:autoRedefine/>
    <w:uiPriority w:val="1"/>
    <w:qFormat/>
    <w:rsid w:val="00B77359"/>
    <w:pPr>
      <w:widowControl w:val="0"/>
      <w:autoSpaceDE w:val="0"/>
      <w:autoSpaceDN w:val="0"/>
      <w:spacing w:before="240" w:after="120" w:line="240" w:lineRule="exact"/>
      <w:ind w:firstLine="720"/>
      <w:contextualSpacing/>
    </w:pPr>
    <w:rPr>
      <w:rFonts w:ascii="Source Sans Pro" w:eastAsia="Source Sans Pro" w:hAnsi="Source Sans Pro"/>
      <w:b/>
      <w:color w:val="000000" w:themeColor="text1"/>
      <w:szCs w:val="19"/>
      <w:lang w:bidi="en-US"/>
    </w:rPr>
  </w:style>
  <w:style w:type="character" w:customStyle="1" w:styleId="BodyTextChar">
    <w:name w:val="Body Text Char"/>
    <w:basedOn w:val="DefaultParagraphFont"/>
    <w:link w:val="BodyText"/>
    <w:uiPriority w:val="1"/>
    <w:rsid w:val="00B77359"/>
    <w:rPr>
      <w:rFonts w:ascii="Source Sans Pro" w:eastAsia="Source Sans Pro" w:hAnsi="Source Sans Pro"/>
      <w:b/>
      <w:color w:val="000000" w:themeColor="text1"/>
      <w:szCs w:val="19"/>
      <w:lang w:bidi="en-US"/>
    </w:rPr>
  </w:style>
  <w:style w:type="character" w:customStyle="1" w:styleId="FootnoteTextChar">
    <w:name w:val="Footnote Text Char"/>
    <w:basedOn w:val="DefaultParagraphFont"/>
    <w:link w:val="FootnoteText"/>
    <w:uiPriority w:val="99"/>
    <w:rsid w:val="00B77359"/>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108-3064-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8858-9EB9-4D20-831D-2CF96F46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2365</Words>
  <Characters>13134</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Cabeza, Manuel E.</cp:lastModifiedBy>
  <cp:revision>3</cp:revision>
  <dcterms:created xsi:type="dcterms:W3CDTF">2024-10-09T15:47:00Z</dcterms:created>
  <dcterms:modified xsi:type="dcterms:W3CDTF">2024-10-22T18:12:00Z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cce356-e509-49ed-98d7-798eeced7fb1_ActionId">
    <vt:lpwstr>ebfbfe8a-0271-47b0-bf2b-f929ab4e350e</vt:lpwstr>
  </property>
  <property fmtid="{D5CDD505-2E9C-101B-9397-08002B2CF9AE}" pid="3" name="MSIP_Label_4acce356-e509-49ed-98d7-798eeced7fb1_ContentBits">
    <vt:lpwstr>0</vt:lpwstr>
  </property>
  <property fmtid="{D5CDD505-2E9C-101B-9397-08002B2CF9AE}" pid="4" name="MSIP_Label_4acce356-e509-49ed-98d7-798eeced7fb1_Enabled">
    <vt:lpwstr>true</vt:lpwstr>
  </property>
  <property fmtid="{D5CDD505-2E9C-101B-9397-08002B2CF9AE}" pid="5" name="MSIP_Label_4acce356-e509-49ed-98d7-798eeced7fb1_Method">
    <vt:lpwstr>Privileged</vt:lpwstr>
  </property>
  <property fmtid="{D5CDD505-2E9C-101B-9397-08002B2CF9AE}" pid="6" name="MSIP_Label_4acce356-e509-49ed-98d7-798eeced7fb1_Name">
    <vt:lpwstr>4acce356-e509-49ed-98d7-798eeced7fb1</vt:lpwstr>
  </property>
  <property fmtid="{D5CDD505-2E9C-101B-9397-08002B2CF9AE}" pid="7" name="MSIP_Label_4acce356-e509-49ed-98d7-798eeced7fb1_SetDate">
    <vt:lpwstr>2024-10-16T12:43:31Z</vt:lpwstr>
  </property>
  <property fmtid="{D5CDD505-2E9C-101B-9397-08002B2CF9AE}" pid="8" name="MSIP_Label_4acce356-e509-49ed-98d7-798eeced7fb1_SiteId">
    <vt:lpwstr>26c83bc9-31c1-4d77-a523-0816095aba31</vt:lpwstr>
  </property>
</Properties>
</file>