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7F9E" w:rsidP="00397F9E" w14:paraId="703E9C4F" w14:textId="77777777">
      <w:pPr>
        <w:jc w:val="center"/>
      </w:pPr>
      <w:r>
        <w:t>SUPPORTING STATEMENT</w:t>
      </w:r>
    </w:p>
    <w:p w:rsidR="00397F9E" w:rsidP="00397F9E" w14:paraId="2CFF7544" w14:textId="77777777">
      <w:pPr>
        <w:jc w:val="center"/>
      </w:pPr>
      <w:r>
        <w:t xml:space="preserve">LARGE-BANK DEPOSIT INSURANCE PROGRAMS  </w:t>
      </w:r>
    </w:p>
    <w:p w:rsidR="00D56F91" w:rsidP="00397F9E" w14:paraId="5F428133" w14:textId="77777777">
      <w:pPr>
        <w:jc w:val="center"/>
      </w:pPr>
      <w:r>
        <w:t>OMB No. 3064-0162</w:t>
      </w:r>
    </w:p>
    <w:p w:rsidR="00D56F91" w14:paraId="15637705" w14:textId="77777777"/>
    <w:p w:rsidR="00D56F91" w14:paraId="23D9A71A" w14:textId="77777777">
      <w:r>
        <w:rPr>
          <w:u w:val="single"/>
        </w:rPr>
        <w:t>INTRODUCTION</w:t>
      </w:r>
    </w:p>
    <w:p w:rsidR="00D56F91" w14:paraId="6FEC5155" w14:textId="77777777"/>
    <w:p w:rsidR="00397F9E" w:rsidRPr="00397F9E" w:rsidP="00397F9E" w14:paraId="57F90F41" w14:textId="2B226B83">
      <w:r w:rsidRPr="00397F9E">
        <w:t>The Federal Deposit Insurance Corporation requests OMB approval to extend, for three years</w:t>
      </w:r>
      <w:r w:rsidR="00687790">
        <w:t>, with</w:t>
      </w:r>
      <w:r w:rsidR="00CD71F8">
        <w:t xml:space="preserve"> revisions</w:t>
      </w:r>
      <w:r w:rsidR="00687790">
        <w:t>,</w:t>
      </w:r>
      <w:r w:rsidRPr="00397F9E">
        <w:t xml:space="preserve"> the above-captioned collection of information.  The clearance for the collection expires on </w:t>
      </w:r>
      <w:r w:rsidR="00162217">
        <w:t>November 30, 2024</w:t>
      </w:r>
      <w:r w:rsidRPr="00397F9E">
        <w:t>.</w:t>
      </w:r>
    </w:p>
    <w:p w:rsidR="00397F9E" w:rsidRPr="00397F9E" w:rsidP="00397F9E" w14:paraId="08CB27AE" w14:textId="77777777"/>
    <w:p w:rsidR="00397F9E" w:rsidRPr="00397F9E" w:rsidP="00397F9E" w14:paraId="74BDE35F" w14:textId="6BFBBACA">
      <w:r w:rsidRPr="00397F9E">
        <w:rPr>
          <w:bCs/>
        </w:rPr>
        <w:t>Upon the failure of an FDIC-insured depository institution, the FDIC is required to pay insured deposits as soon as possible</w:t>
      </w:r>
      <w:r>
        <w:rPr>
          <w:bCs/>
          <w:vertAlign w:val="superscript"/>
        </w:rPr>
        <w:footnoteReference w:id="2"/>
      </w:r>
      <w:r w:rsidRPr="00397F9E">
        <w:rPr>
          <w:bCs/>
        </w:rPr>
        <w:t xml:space="preserve">.  To do so, the FDIC must be able to quickly determine the total insured amount for each depositor.  To make this determination, the FDIC must ascertain the balances of all deposit accounts owned by the same depositor in the same ownership capacity at a failed institution as of the day of failure.  </w:t>
      </w:r>
      <w:r w:rsidRPr="00397F9E">
        <w:t xml:space="preserve">The FDIC established a rule (12 CFR 360.9) to modernize the process of determining the insurance status of each depositor in the event of such a failure.  </w:t>
      </w:r>
    </w:p>
    <w:p w:rsidR="00397F9E" w:rsidRPr="00397F9E" w:rsidP="00397F9E" w14:paraId="33C8B750" w14:textId="77777777"/>
    <w:p w:rsidR="00D56F91" w:rsidP="00397F9E" w14:paraId="362D3F05" w14:textId="36C50FFC">
      <w:r w:rsidRPr="00397F9E">
        <w:t>The rule requires the largest insured depository institutions to adopt mechanisms that would, in the event of the institution’s failure (1) provide the FDIC with standard deposit account and other customer information, and (2) allow the placement and release of holds on liability accounts, including deposits.  The rule applies only to insured depository institutions having at least $2 billion in domestic deposits and either: more than 250,000 deposit accounts; or total assets over $20 billion, regardless of the number of deposit accounts.</w:t>
      </w:r>
    </w:p>
    <w:p w:rsidR="00D56F91" w14:paraId="00D77D2F" w14:textId="77777777"/>
    <w:p w:rsidR="00D56F91" w14:paraId="65EA29CC" w14:textId="77777777"/>
    <w:p w:rsidR="00D56F91" w14:paraId="63525A04" w14:textId="77777777">
      <w:r>
        <w:t>A.</w:t>
      </w:r>
      <w:r>
        <w:tab/>
      </w:r>
      <w:r>
        <w:rPr>
          <w:u w:val="single"/>
        </w:rPr>
        <w:t>JUSTIFICATION</w:t>
      </w:r>
    </w:p>
    <w:p w:rsidR="00D56F91" w14:paraId="695427C3" w14:textId="77777777"/>
    <w:p w:rsidR="00E729AC" w:rsidRPr="00E729AC" w:rsidP="00E729AC" w14:paraId="5C865BA6" w14:textId="77777777">
      <w:pPr>
        <w:numPr>
          <w:ilvl w:val="0"/>
          <w:numId w:val="4"/>
        </w:numPr>
        <w:rPr>
          <w:u w:val="single"/>
        </w:rPr>
      </w:pPr>
      <w:bookmarkStart w:id="0" w:name="OLE_LINK5"/>
      <w:bookmarkStart w:id="1" w:name="OLE_LINK6"/>
      <w:r w:rsidRPr="00E729AC">
        <w:rPr>
          <w:bCs/>
          <w:iCs/>
          <w:u w:val="single"/>
        </w:rPr>
        <w:t>Circumstances that make the collection necessary:</w:t>
      </w:r>
      <w:bookmarkEnd w:id="0"/>
      <w:bookmarkEnd w:id="1"/>
    </w:p>
    <w:p w:rsidR="00D56F91" w14:paraId="2976DA27" w14:textId="77777777">
      <w:pPr>
        <w:ind w:firstLine="720"/>
      </w:pPr>
    </w:p>
    <w:p w:rsidR="00397F9E" w:rsidRPr="00397F9E" w:rsidP="00397F9E" w14:paraId="4F9BE4C1" w14:textId="18258B26">
      <w:pPr>
        <w:ind w:left="1440"/>
      </w:pPr>
      <w:r w:rsidRPr="00397F9E">
        <w:t xml:space="preserve">Section 360.9 </w:t>
      </w:r>
      <w:r w:rsidRPr="00397F9E">
        <w:rPr>
          <w:bCs/>
        </w:rPr>
        <w:t>requires the largest insured depository institutions to adopt mechanisms that, in the event of the institution’s failure</w:t>
      </w:r>
      <w:r w:rsidRPr="00397F9E" w:rsidR="00C83ECC">
        <w:rPr>
          <w:bCs/>
        </w:rPr>
        <w:t>: (</w:t>
      </w:r>
      <w:r w:rsidRPr="00397F9E">
        <w:rPr>
          <w:bCs/>
        </w:rPr>
        <w:t>1) provide the FDIC with standard deposit account and customer information; and (2) allow the FDIC to place and release holds on liability accounts, including deposits</w:t>
      </w:r>
      <w:r w:rsidRPr="00397F9E">
        <w:t xml:space="preserve">.  Section 360.9 applies only to insured depository institutions having at least $2 billion in domestic deposits and either: (1) more than 250,000 deposit accounts; or (2) total assets over $20 billion, regardless of the number of deposit accounts (referred to hereinafter as “Covered Institutions”). </w:t>
      </w:r>
    </w:p>
    <w:p w:rsidR="00397F9E" w:rsidRPr="00397F9E" w:rsidP="00397F9E" w14:paraId="2AA3B11B" w14:textId="77777777">
      <w:pPr>
        <w:ind w:left="1440"/>
        <w:rPr>
          <w:i/>
        </w:rPr>
      </w:pPr>
    </w:p>
    <w:p w:rsidR="00397F9E" w:rsidRPr="00397F9E" w:rsidP="00397F9E" w14:paraId="64CE2F59" w14:textId="04A17E3A">
      <w:pPr>
        <w:ind w:left="1440"/>
      </w:pPr>
      <w:r w:rsidRPr="00397F9E">
        <w:t xml:space="preserve">When handling a depository institution </w:t>
      </w:r>
      <w:r w:rsidRPr="00397F9E" w:rsidR="00C83ECC">
        <w:t>failure,</w:t>
      </w:r>
      <w:r w:rsidRPr="00397F9E">
        <w:t xml:space="preserve"> the FDIC is required to structure the least costly of all possible resolution transactions, except in the event of systemic risk.  In addition, the FDIC is required to pay insured deposits “as soon as possible” after an institution fails.  The FDIC places a high priority on providing access to insured deposits promptly and, in the past, has usually been </w:t>
      </w:r>
      <w:r w:rsidRPr="00397F9E">
        <w:t>able to allow most depositors access to their deposits on the business day following closing.  Doing so enables the FDIC to: (1) maintain public confidence in the banking industry and the FDIC; (2) provide the best possible service to insured depositors by minimizing uncertainty about their status and avoiding costly disruptions that may limit their ability to meet financial obligations; (3) mitigate the spillover effects of a failure, such as risks to the payments system, problems stemming from depositor illiquidity and a substantial reduction in credit availability; and (4) retain, where feasible, the franchise value of the failed institution.</w:t>
      </w:r>
    </w:p>
    <w:p w:rsidR="00397F9E" w:rsidRPr="00397F9E" w:rsidP="00397F9E" w14:paraId="54FB61AA" w14:textId="77777777">
      <w:pPr>
        <w:ind w:left="1440"/>
      </w:pPr>
    </w:p>
    <w:p w:rsidR="00397F9E" w:rsidRPr="00397F9E" w:rsidP="00397F9E" w14:paraId="4ADEAC05" w14:textId="77777777">
      <w:pPr>
        <w:ind w:left="1440"/>
      </w:pPr>
      <w:r w:rsidRPr="00397F9E">
        <w:t>The largest insured depository institutions are growing increasingly complex.  Section 360.9 is intended to allow the deposit operations of a failed institution to be continued on the day following failure.  It helps facilitate an insurance determination and dramatically improve upon access to depositor funds when one of these institutions fails.  It also permits the FDIC to meet its legal mandates regarding the resolution of failed insured institutions, provide liquidity to depositors promptly, enhance market discipline, ensure equitable treatment of depositors at different institutions and reduce the FDIC’s costs by preserving the franchise value of a failed institution.</w:t>
      </w:r>
    </w:p>
    <w:p w:rsidR="00397F9E" w:rsidRPr="00397F9E" w:rsidP="00397F9E" w14:paraId="5B7A1FEB" w14:textId="77777777">
      <w:pPr>
        <w:ind w:left="1440"/>
      </w:pPr>
    </w:p>
    <w:p w:rsidR="00397F9E" w:rsidRPr="00397F9E" w:rsidP="00397F9E" w14:paraId="77276DFB" w14:textId="77777777">
      <w:pPr>
        <w:ind w:left="1440"/>
      </w:pPr>
      <w:r w:rsidRPr="00397F9E">
        <w:t xml:space="preserve">Making deposit insurance determinations is inherently complex because a single depositor may have more than one account and may hold accounts in different ownership capacities, each of which may be separately insured.  To make insurance determinations, the FDIC must aggregate all accounts owned by a depositor in a single ownership capacity.  This process often requires reviewing detailed account agreements and other documents.  The larger the number of deposit accounts at an institution, the more complex and difficult the insurance determination becomes.  Complexity also depends upon the volume of transactions, the amount of uninsured funds, the number of separate computer systems or “platforms” on which deposit accounts are maintained and the speed at which the institution’s deposit operations must be resumed following failure.  In most instances, larger institutions are considerably more complex, have more deposit accounts, are more geographically dispersed and have more diverse systems and data-integration issues than small institutions.  </w:t>
      </w:r>
    </w:p>
    <w:p w:rsidR="00397F9E" w:rsidRPr="00397F9E" w:rsidP="00397F9E" w14:paraId="3EB340CD" w14:textId="77777777">
      <w:pPr>
        <w:ind w:left="1440"/>
      </w:pPr>
    </w:p>
    <w:p w:rsidR="00D56F91" w:rsidP="00397F9E" w14:paraId="7DC9D3CF" w14:textId="4ACA7EF9">
      <w:pPr>
        <w:ind w:left="1440"/>
      </w:pPr>
      <w:r w:rsidRPr="00397F9E">
        <w:t xml:space="preserve">Under the rule, on a case-by-case basis and in consultation with the Covered Institution’s primary federal regulator, the FDIC can accelerate the implementation timeframe for Covered Institutions that are “troubled”.  That is, a Covered Institution that either: (1) has a composite rating of 3, 4 or 5 under the Uniform Financial Institutions Rating System (commonly referred to as CAMELS) or (2) is undercapitalized as defined for purposes of the prompt corrective action rules.  In determining the accelerated implementation timeframe for such institutions, the FDIC would be required to consider such factors as the: (1) complexity of the institution’s deposit systems and operations; (2) extent of asset quality difficulties; (3) volatility of funding sources; (4) expected near-term changes in capital levels; and (5) other relevant factors appropriate for the FDIC </w:t>
      </w:r>
      <w:r w:rsidRPr="00397F9E">
        <w:t>to consider in its roles as insurer and possible receiver of the institution.</w:t>
      </w:r>
      <w:r>
        <w:t xml:space="preserve">  </w:t>
      </w:r>
    </w:p>
    <w:p w:rsidR="00D56F91" w14:paraId="42CF9626" w14:textId="77777777"/>
    <w:p w:rsidR="00D56F91" w14:paraId="30C003A7" w14:textId="77777777">
      <w:pPr>
        <w:ind w:firstLine="720"/>
      </w:pPr>
      <w:r>
        <w:t>2.</w:t>
      </w:r>
      <w:r>
        <w:tab/>
      </w:r>
      <w:r w:rsidRPr="00E729AC" w:rsidR="00E729AC">
        <w:rPr>
          <w:color w:val="000000"/>
          <w:u w:val="single"/>
        </w:rPr>
        <w:t>Use of information collected:</w:t>
      </w:r>
    </w:p>
    <w:p w:rsidR="00D56F91" w14:paraId="5158DAF5" w14:textId="77777777"/>
    <w:p w:rsidR="00397F9E" w:rsidRPr="00397F9E" w:rsidP="00397F9E" w14:paraId="58D4D92C" w14:textId="4B6B7F82">
      <w:pPr>
        <w:ind w:left="1440"/>
      </w:pPr>
      <w:r w:rsidRPr="00397F9E">
        <w:rPr>
          <w:i/>
        </w:rPr>
        <w:t xml:space="preserve">Provisional holds:  </w:t>
      </w:r>
      <w:r w:rsidRPr="00397F9E">
        <w:t xml:space="preserve"> Covered Institutions are required to have in place an automated process for implementing provisional holds concurrent with or immediately following the daily deposit account processing on the day of failure.  After completion of the failed institution’s final daily processing, the Successor Institution places provisional holds on selected deposit accounts.  Provisional holds, once posted, allow depositors access to the remaining balance in their accounts the day following failure, yet guard against the possibility of an uninsured depositor or unsecured general creditor receiving more than allowed under deposit insurance rules or the depositor preference statute.</w:t>
      </w:r>
      <w:r w:rsidRPr="00397F9E">
        <w:rPr>
          <w:vertAlign w:val="superscript"/>
        </w:rPr>
        <w:t xml:space="preserve"> </w:t>
      </w:r>
      <w:r w:rsidRPr="00397F9E">
        <w:t xml:space="preserve"> The FDIC uses a standard set of depositor and customer data to make deposit insurance determinations.  These determinations are provided to the Successor Institution shortly after failure. </w:t>
      </w:r>
    </w:p>
    <w:p w:rsidR="00397F9E" w:rsidRPr="00397F9E" w:rsidP="00397F9E" w14:paraId="789C4399" w14:textId="77777777">
      <w:pPr>
        <w:ind w:left="1440"/>
      </w:pPr>
    </w:p>
    <w:p w:rsidR="00D56F91" w:rsidP="00397F9E" w14:paraId="1DDA43E3" w14:textId="7E57659B">
      <w:pPr>
        <w:ind w:left="1440"/>
      </w:pPr>
      <w:r w:rsidRPr="00397F9E">
        <w:rPr>
          <w:i/>
        </w:rPr>
        <w:t xml:space="preserve">The generation of deposit account and customer data in a standard structure:  </w:t>
      </w:r>
      <w:r w:rsidRPr="00397F9E">
        <w:t xml:space="preserve">A Covered Institution is required to have in place practices and procedures to provide the FDIC with required depositor and customer data in a standard format following the close of any day’s business.  Covered Institutions are not required to collect or generate new depositor or customer information.  Instead, the standard data files are created through a mapping of pre-existing data elements and internal institution codes into standard data formats.  The standard data files would be used in the period immediately before and after a Covered Institution’s failure to calculate the amount of deposit insurance coverage and to identify the least costly of all possible resolution transactions. The FDIC conduct infrequently at institutions that do not make major changes to their deposit systems—perhaps only once every three-to-five </w:t>
      </w:r>
      <w:r w:rsidRPr="00397F9E" w:rsidR="00C83ECC">
        <w:t>year</w:t>
      </w:r>
      <w:r w:rsidR="0059041A">
        <w:t>.</w:t>
      </w:r>
    </w:p>
    <w:p w:rsidR="00D56F91" w14:paraId="596B2651" w14:textId="77777777"/>
    <w:p w:rsidR="00D56F91" w14:paraId="7EA9DCDF" w14:textId="77777777">
      <w:pPr>
        <w:ind w:firstLine="720"/>
      </w:pPr>
      <w:r>
        <w:t>3.</w:t>
      </w:r>
      <w:r>
        <w:tab/>
      </w:r>
      <w:r w:rsidRPr="00E729AC" w:rsidR="00E729AC">
        <w:rPr>
          <w:u w:val="single"/>
        </w:rPr>
        <w:t>Consideration of the use of improved information technology:</w:t>
      </w:r>
    </w:p>
    <w:p w:rsidR="00D56F91" w14:paraId="558B42FB" w14:textId="77777777"/>
    <w:p w:rsidR="00D56F91" w14:paraId="5A958DA5" w14:textId="77777777">
      <w:pPr>
        <w:ind w:left="1440"/>
      </w:pPr>
      <w:r w:rsidRPr="00397F9E">
        <w:t>Insured depository institutions provide deposit account information via electronic file.</w:t>
      </w:r>
    </w:p>
    <w:p w:rsidR="00D56F91" w14:paraId="3667D373" w14:textId="77777777"/>
    <w:p w:rsidR="00D56F91" w14:paraId="4827BAD1" w14:textId="77777777">
      <w:pPr>
        <w:ind w:firstLine="720"/>
      </w:pPr>
      <w:r>
        <w:t>4.</w:t>
      </w:r>
      <w:r>
        <w:tab/>
      </w:r>
      <w:r w:rsidRPr="00E729AC" w:rsidR="00E729AC">
        <w:rPr>
          <w:color w:val="000000"/>
          <w:u w:val="single"/>
        </w:rPr>
        <w:t>Efforts to identify duplication:</w:t>
      </w:r>
    </w:p>
    <w:p w:rsidR="00D56F91" w14:paraId="3736CE2D" w14:textId="77777777"/>
    <w:p w:rsidR="00D56F91" w14:paraId="4C905D8D" w14:textId="77777777">
      <w:pPr>
        <w:ind w:left="1440"/>
      </w:pPr>
      <w:r w:rsidRPr="00E90CB3">
        <w:t>The information sought in this collection is not duplicated elsewhere</w:t>
      </w:r>
      <w:r>
        <w:t>.</w:t>
      </w:r>
      <w:r>
        <w:t xml:space="preserve">  </w:t>
      </w:r>
    </w:p>
    <w:p w:rsidR="00D56F91" w14:paraId="5961D5D2" w14:textId="77777777"/>
    <w:p w:rsidR="00D56F91" w:rsidP="00E729AC" w14:paraId="1954ACD6" w14:textId="77777777">
      <w:pPr>
        <w:ind w:left="1440" w:hanging="720"/>
      </w:pPr>
      <w:r>
        <w:t>5.</w:t>
      </w:r>
      <w:r>
        <w:tab/>
      </w:r>
      <w:r w:rsidRPr="00E729AC" w:rsidR="00E729AC">
        <w:rPr>
          <w:u w:val="single"/>
        </w:rPr>
        <w:t>Methods used to minimize burden if the collection has a significant impact on a substantial number of small entities</w:t>
      </w:r>
      <w:r w:rsidR="00E729AC">
        <w:rPr>
          <w:u w:val="single"/>
        </w:rPr>
        <w:t>:</w:t>
      </w:r>
    </w:p>
    <w:p w:rsidR="00D56F91" w14:paraId="60775586" w14:textId="77777777"/>
    <w:p w:rsidR="00D56F91" w14:paraId="5D18CFF8" w14:textId="27367CA5">
      <w:pPr>
        <w:ind w:left="1440"/>
      </w:pPr>
      <w:r w:rsidRPr="00E90CB3">
        <w:t>The rule applies to the largest banks only.  It does not impose any burden on small entities</w:t>
      </w:r>
      <w:r>
        <w:t>.</w:t>
      </w:r>
      <w:r>
        <w:t xml:space="preserve">  </w:t>
      </w:r>
    </w:p>
    <w:p w:rsidR="00D56F91" w14:paraId="1BEF3237" w14:textId="77777777"/>
    <w:p w:rsidR="00D56F91" w:rsidP="00E729AC" w14:paraId="426628A5" w14:textId="77777777">
      <w:pPr>
        <w:ind w:left="1440" w:hanging="720"/>
      </w:pPr>
      <w:r>
        <w:t>6.</w:t>
      </w:r>
      <w:r>
        <w:tab/>
      </w:r>
      <w:r w:rsidRPr="00E729AC" w:rsidR="00E729AC">
        <w:rPr>
          <w:u w:val="single"/>
        </w:rPr>
        <w:t>Consequences to the Federal program if the collection were conducted less frequently:</w:t>
      </w:r>
      <w:r>
        <w:t xml:space="preserve">   </w:t>
      </w:r>
    </w:p>
    <w:p w:rsidR="00D56F91" w14:paraId="6432126A" w14:textId="77777777"/>
    <w:p w:rsidR="00D56F91" w14:paraId="6FF9497E" w14:textId="77777777">
      <w:pPr>
        <w:ind w:left="1440"/>
      </w:pPr>
      <w:r w:rsidRPr="00E90CB3">
        <w:t xml:space="preserve">Section 360.9 </w:t>
      </w:r>
      <w:r w:rsidRPr="00E90CB3">
        <w:rPr>
          <w:bCs/>
        </w:rPr>
        <w:t>requires the largest insured depository institutions to adopt mechanisms that would, in the event of the institution’s failure, provide the FDIC with standard deposit account and customer information and allow the FDIC to place and release holds on liability accounts, including deposits</w:t>
      </w:r>
      <w:r w:rsidRPr="00E90CB3">
        <w:t>.  Thus, Covered Institutions are required to have the mechanisms in place and are subject to periodic testing, but the collection would be accessed only when a large bank is close to failing</w:t>
      </w:r>
      <w:r>
        <w:t>.</w:t>
      </w:r>
      <w:r>
        <w:t xml:space="preserve"> </w:t>
      </w:r>
    </w:p>
    <w:p w:rsidR="00D56F91" w14:paraId="49855092" w14:textId="77777777"/>
    <w:p w:rsidR="00D56F91" w:rsidP="00E729AC" w14:paraId="1A70DD2A" w14:textId="77777777">
      <w:pPr>
        <w:ind w:left="1440" w:hanging="720"/>
      </w:pPr>
      <w:r>
        <w:t>7.</w:t>
      </w:r>
      <w:r>
        <w:tab/>
      </w:r>
      <w:r w:rsidRPr="00E729AC" w:rsidR="00E729AC">
        <w:rPr>
          <w:szCs w:val="24"/>
          <w:u w:val="single"/>
        </w:rPr>
        <w:t>Special circumstances necessitating collection inconsistent with 5 CFR Part 1320.5(d)(2):</w:t>
      </w:r>
    </w:p>
    <w:p w:rsidR="00D56F91" w14:paraId="76E14BDA" w14:textId="77777777"/>
    <w:p w:rsidR="00D56F91" w:rsidP="00E729AC" w14:paraId="3C27E1DB" w14:textId="77777777">
      <w:pPr>
        <w:ind w:left="1440"/>
      </w:pPr>
      <w:r w:rsidRPr="00E729AC">
        <w:t>None.  The</w:t>
      </w:r>
      <w:r w:rsidRPr="00E729AC">
        <w:rPr>
          <w:bCs/>
          <w:iCs/>
        </w:rPr>
        <w:t xml:space="preserve"> information is collected in a manner consistent with 5 CFR Part 1320.5(d)(2).</w:t>
      </w:r>
    </w:p>
    <w:p w:rsidR="00D56F91" w14:paraId="61106B8B" w14:textId="77777777"/>
    <w:p w:rsidR="00D56F91" w14:paraId="4DFA9D4B" w14:textId="77777777">
      <w:pPr>
        <w:ind w:firstLine="720"/>
      </w:pPr>
      <w:r>
        <w:t>8.</w:t>
      </w:r>
      <w:r>
        <w:tab/>
      </w:r>
      <w:bookmarkStart w:id="2" w:name="OLE_LINK9"/>
      <w:bookmarkStart w:id="3" w:name="OLE_LINK10"/>
      <w:r w:rsidRPr="00E729AC" w:rsidR="00E729AC">
        <w:rPr>
          <w:u w:val="single"/>
        </w:rPr>
        <w:t>Efforts to consult with persons outside the agency:</w:t>
      </w:r>
      <w:bookmarkEnd w:id="2"/>
      <w:bookmarkEnd w:id="3"/>
    </w:p>
    <w:p w:rsidR="00D56F91" w14:paraId="2271325F" w14:textId="77777777"/>
    <w:p w:rsidR="001E5BA8" w:rsidRPr="001E5BA8" w:rsidP="001E5BA8" w14:paraId="6BA61E1B" w14:textId="3D4948B5">
      <w:pPr>
        <w:suppressAutoHyphens/>
        <w:ind w:left="1440"/>
      </w:pPr>
      <w:r w:rsidRPr="001E5BA8">
        <w:t>A 60-day notice seeking public comment on the FDIC’s renewal of the information collection was published on</w:t>
      </w:r>
      <w:r w:rsidR="0059041A">
        <w:t xml:space="preserve"> September 9, 2024 </w:t>
      </w:r>
      <w:r w:rsidR="00E729AC">
        <w:t>(8</w:t>
      </w:r>
      <w:r w:rsidR="0059041A">
        <w:t>9</w:t>
      </w:r>
      <w:r w:rsidRPr="001E5BA8">
        <w:t xml:space="preserve"> FR </w:t>
      </w:r>
      <w:r w:rsidR="0059041A">
        <w:t>73090</w:t>
      </w:r>
      <w:r w:rsidRPr="001E5BA8">
        <w:t xml:space="preserve">).  No comments </w:t>
      </w:r>
      <w:r w:rsidR="0059041A">
        <w:t>have been</w:t>
      </w:r>
      <w:r w:rsidRPr="001E5BA8">
        <w:t xml:space="preserve"> received.</w:t>
      </w:r>
    </w:p>
    <w:p w:rsidR="00D56F91" w14:paraId="5EDDE978" w14:textId="77777777">
      <w:pPr>
        <w:ind w:left="1440"/>
      </w:pPr>
    </w:p>
    <w:p w:rsidR="00D56F91" w14:paraId="02527D95" w14:textId="77777777">
      <w:pPr>
        <w:ind w:firstLine="720"/>
      </w:pPr>
      <w:r>
        <w:t>9.</w:t>
      </w:r>
      <w:r>
        <w:tab/>
      </w:r>
      <w:r w:rsidRPr="00E729AC" w:rsidR="00E729AC">
        <w:rPr>
          <w:color w:val="000000"/>
          <w:u w:val="single"/>
        </w:rPr>
        <w:t>Payment or gift to respondents:</w:t>
      </w:r>
    </w:p>
    <w:p w:rsidR="00D56F91" w14:paraId="31A88091" w14:textId="77777777"/>
    <w:p w:rsidR="00D56F91" w14:paraId="28590070" w14:textId="77777777">
      <w:pPr>
        <w:ind w:left="720" w:firstLine="720"/>
      </w:pPr>
      <w:r w:rsidRPr="00E729AC">
        <w:rPr>
          <w:color w:val="000000"/>
        </w:rPr>
        <w:t>No payments or gifts will be given to respondents.</w:t>
      </w:r>
    </w:p>
    <w:p w:rsidR="00D56F91" w14:paraId="79729749" w14:textId="77777777"/>
    <w:p w:rsidR="00D56F91" w14:paraId="3C22BA1D" w14:textId="77777777">
      <w:pPr>
        <w:ind w:firstLine="720"/>
      </w:pPr>
      <w:r>
        <w:t>10.</w:t>
      </w:r>
      <w:r>
        <w:tab/>
      </w:r>
      <w:r w:rsidRPr="00E729AC" w:rsidR="00E729AC">
        <w:rPr>
          <w:u w:val="single"/>
        </w:rPr>
        <w:t>Any assurance of confidentiality:</w:t>
      </w:r>
    </w:p>
    <w:p w:rsidR="00D56F91" w14:paraId="1B4AC846" w14:textId="77777777"/>
    <w:p w:rsidR="00D56F91" w:rsidP="00E90CB3" w14:paraId="1EF1E1D3" w14:textId="77777777">
      <w:pPr>
        <w:ind w:left="1440"/>
      </w:pPr>
      <w:r w:rsidRPr="00E90CB3">
        <w:t>No individual bank or custo</w:t>
      </w:r>
      <w:smartTag w:uri="urn:schemas-microsoft-com:office:smarttags" w:element="PersonName">
        <w:r w:rsidRPr="00E90CB3">
          <w:t>me</w:t>
        </w:r>
      </w:smartTag>
      <w:r w:rsidRPr="00E90CB3">
        <w:t xml:space="preserve">r information will be made available outside the FDIC.  In addition, to protect financial privacy, the FDIC’s testing process would not require that Covered Institutions transmit </w:t>
      </w:r>
      <w:r w:rsidRPr="00E90CB3">
        <w:rPr>
          <w:b/>
          <w:i/>
        </w:rPr>
        <w:t>any</w:t>
      </w:r>
      <w:r w:rsidRPr="00E90CB3">
        <w:t xml:space="preserve"> sensitive customer data outside of the institution’s premises.  Therefore, all testing involving any sensitive customer data would be conducted on the institution’s premises.</w:t>
      </w:r>
      <w:r>
        <w:t xml:space="preserve"> </w:t>
      </w:r>
    </w:p>
    <w:p w:rsidR="00D56F91" w14:paraId="40711E90" w14:textId="77777777"/>
    <w:p w:rsidR="00D56F91" w14:paraId="4EAE5C05" w14:textId="77777777">
      <w:pPr>
        <w:ind w:firstLine="720"/>
      </w:pPr>
      <w:r>
        <w:t>11.</w:t>
      </w:r>
      <w:r>
        <w:tab/>
      </w:r>
      <w:r w:rsidRPr="00E729AC" w:rsidR="00E729AC">
        <w:rPr>
          <w:szCs w:val="24"/>
          <w:u w:val="single"/>
        </w:rPr>
        <w:t>Justification for questions of a sensitive nature:</w:t>
      </w:r>
    </w:p>
    <w:p w:rsidR="00D56F91" w14:paraId="120D0044" w14:textId="77777777"/>
    <w:p w:rsidR="00D15045" w:rsidP="001826AF" w14:paraId="46FEC059" w14:textId="38499A90">
      <w:pPr>
        <w:ind w:left="720" w:firstLine="720"/>
      </w:pPr>
      <w:r>
        <w:t>None.</w:t>
      </w:r>
    </w:p>
    <w:p w:rsidR="00D15045" w14:paraId="3625EA67" w14:textId="77777777">
      <w:pPr>
        <w:ind w:left="720" w:firstLine="720"/>
      </w:pPr>
    </w:p>
    <w:p w:rsidR="00D56F91" w:rsidP="00D15045" w14:paraId="679E439D" w14:textId="77777777">
      <w:pPr>
        <w:ind w:firstLine="720"/>
        <w:rPr>
          <w:u w:val="single"/>
        </w:rPr>
      </w:pPr>
      <w:r>
        <w:t>12.</w:t>
      </w:r>
      <w:r>
        <w:tab/>
      </w:r>
      <w:r w:rsidRPr="0047407F">
        <w:rPr>
          <w:u w:val="single"/>
        </w:rPr>
        <w:t>Estimate of Annual Burden</w:t>
      </w:r>
    </w:p>
    <w:p w:rsidR="001826AF" w:rsidP="00D15045" w14:paraId="05AFD17C" w14:textId="77777777">
      <w:pPr>
        <w:ind w:firstLine="720"/>
        <w:rPr>
          <w:u w:val="single"/>
        </w:rPr>
      </w:pPr>
    </w:p>
    <w:p w:rsidR="001826AF" w:rsidP="001826AF" w14:paraId="78414882" w14:textId="7BA5CF2F">
      <w:pPr>
        <w:ind w:left="1440"/>
      </w:pPr>
      <w:r>
        <w:t>There has been no change in the methodology or substance of this information collection.</w:t>
      </w:r>
      <w:r w:rsidR="00CE01D7">
        <w:t xml:space="preserve">  The FDIC has revised the number of institutions it tests for compliance with the requirements of the rule from 40 </w:t>
      </w:r>
      <w:r w:rsidR="00114911">
        <w:t>institutions</w:t>
      </w:r>
      <w:r w:rsidR="00CE01D7">
        <w:t xml:space="preserve"> annually to 30 institutions per year.  This had resulted in a reduction in the number of estimated respondents for one of the IC</w:t>
      </w:r>
      <w:r w:rsidR="00114911">
        <w:t xml:space="preserve">s comprising this ICR. </w:t>
      </w:r>
      <w:r>
        <w:t xml:space="preserve">  The estimated number of response</w:t>
      </w:r>
      <w:r w:rsidR="00114911">
        <w:t>s</w:t>
      </w:r>
      <w:r>
        <w:t xml:space="preserve"> and time per response </w:t>
      </w:r>
      <w:r w:rsidR="00114911">
        <w:t xml:space="preserve">for all ICs </w:t>
      </w:r>
      <w:r>
        <w:t>remain the same.  The number of respondents has changed as follows:</w:t>
      </w:r>
    </w:p>
    <w:p w:rsidR="001826AF" w:rsidP="001826AF" w14:paraId="4297453A" w14:textId="77777777">
      <w:pPr>
        <w:ind w:left="1440"/>
      </w:pPr>
    </w:p>
    <w:p w:rsidR="001826AF" w:rsidRPr="001826AF" w:rsidP="0076242E" w14:paraId="4C0A053F" w14:textId="77777777">
      <w:pPr>
        <w:keepNext/>
        <w:spacing w:after="120"/>
        <w:ind w:left="1440"/>
        <w:rPr>
          <w:rFonts w:eastAsia="Source Sans Pro"/>
          <w:b/>
          <w:bCs/>
          <w:snapToGrid/>
          <w:sz w:val="22"/>
          <w:szCs w:val="22"/>
          <w:lang w:bidi="en-US"/>
        </w:rPr>
      </w:pPr>
      <w:r w:rsidRPr="001826AF">
        <w:rPr>
          <w:b/>
          <w:bCs/>
        </w:rPr>
        <w:t>Estimated</w:t>
      </w:r>
      <w:r w:rsidRPr="001826AF">
        <w:rPr>
          <w:rFonts w:eastAsia="Source Sans Pro"/>
          <w:b/>
          <w:bCs/>
          <w:snapToGrid/>
          <w:sz w:val="22"/>
          <w:szCs w:val="22"/>
          <w:lang w:bidi="en-US"/>
        </w:rPr>
        <w:t xml:space="preserve"> Number of Respondents</w:t>
      </w:r>
    </w:p>
    <w:p w:rsidR="001826AF" w:rsidRPr="001826AF" w:rsidP="0076242E" w14:paraId="377825D8" w14:textId="16FE9DB9">
      <w:pPr>
        <w:spacing w:after="120"/>
        <w:ind w:left="1440"/>
      </w:pPr>
      <w:r w:rsidRPr="001826AF">
        <w:t xml:space="preserve">Potential respondents to </w:t>
      </w:r>
      <w:r>
        <w:t>this information collection</w:t>
      </w:r>
      <w:r w:rsidRPr="001826AF">
        <w:t xml:space="preserve"> are IDIs that meet the definition of a “covered institution” under Section 360.9, excluding the IDIs that are released from the requirements of Section 360.9 due to previously approved exemptions. Under 12 CFR 370.8(d), covered institutions are exempt after submitting a certification that the institution </w:t>
      </w:r>
      <w:r w:rsidRPr="001826AF">
        <w:t>is following</w:t>
      </w:r>
      <w:r w:rsidRPr="001826AF">
        <w:t xml:space="preserve"> the requirements of 12 CFR Section 370 (Section 370). Also, Institutions can apply for an exemption from the requirements of Section 360.9 if the institution has a “high concentration of deposits incidental to credit card operations.”</w:t>
      </w:r>
      <w:r>
        <w:rPr>
          <w:vertAlign w:val="superscript"/>
        </w:rPr>
        <w:footnoteReference w:id="3"/>
      </w:r>
      <w:r w:rsidRPr="001826AF">
        <w:rPr>
          <w:vertAlign w:val="superscript"/>
        </w:rPr>
        <w:t xml:space="preserve"> </w:t>
      </w:r>
      <w:r w:rsidRPr="001826AF">
        <w:t xml:space="preserve">Additionally, the SME informed me that, according to internal FDIC policy, an institution ceases to be covered by the requirements of Section 360.9 if it has not met the definition of a covered institution for three consecutive quarters prior to the current quarter. </w:t>
      </w:r>
    </w:p>
    <w:p w:rsidR="001826AF" w:rsidRPr="001826AF" w:rsidP="0076242E" w14:paraId="17508EC9" w14:textId="6BEC1B0D">
      <w:pPr>
        <w:spacing w:after="120"/>
        <w:ind w:left="1440"/>
      </w:pPr>
      <w:r w:rsidRPr="001826AF">
        <w:t>As of December 31, 2023, there were 4,596 IDIs in total,</w:t>
      </w:r>
      <w:r>
        <w:rPr>
          <w:vertAlign w:val="superscript"/>
        </w:rPr>
        <w:footnoteReference w:id="4"/>
      </w:r>
      <w:r w:rsidRPr="001826AF">
        <w:rPr>
          <w:vertAlign w:val="superscript"/>
        </w:rPr>
        <w:t xml:space="preserve"> </w:t>
      </w:r>
      <w:r w:rsidRPr="001826AF">
        <w:t xml:space="preserve">and of these there were 168 IDIs that meet the definition of covered institution. Of these 168 IDIs, 26 have been released from the requirements of Section 360.9 due to compliance with Section 370, zero IDIs received exemptions under Section 360.9(f), and 21 IDIs ceased to meet the definition of a covered institution for three consecutive quarters as per internal policy. Therefore, the estimated number of institutions that are subject to the requirements of Section 360.9 as of December 31, </w:t>
      </w:r>
      <w:r w:rsidRPr="001826AF" w:rsidR="00C83ECC">
        <w:t>2023,</w:t>
      </w:r>
      <w:r w:rsidRPr="001826AF">
        <w:t xml:space="preserve"> is 121.</w:t>
      </w:r>
      <w:r>
        <w:rPr>
          <w:vertAlign w:val="superscript"/>
        </w:rPr>
        <w:footnoteReference w:id="5"/>
      </w:r>
      <w:r w:rsidRPr="001826AF">
        <w:rPr>
          <w:vertAlign w:val="superscript"/>
        </w:rPr>
        <w:t xml:space="preserve"> </w:t>
      </w:r>
      <w:r>
        <w:t>A</w:t>
      </w:r>
      <w:r w:rsidRPr="001826AF">
        <w:t xml:space="preserve">s of December 31, </w:t>
      </w:r>
      <w:r w:rsidRPr="001826AF">
        <w:t>2021</w:t>
      </w:r>
      <w:r w:rsidRPr="001826AF">
        <w:t xml:space="preserve"> an</w:t>
      </w:r>
      <w:r w:rsidR="0076242E">
        <w:t>d</w:t>
      </w:r>
      <w:r>
        <w:t xml:space="preserve"> </w:t>
      </w:r>
      <w:r w:rsidRPr="001826AF">
        <w:t xml:space="preserve">2022, there were 128 and 125 CIs respectively for an annual average of 125 newly covered institutions per year. The </w:t>
      </w:r>
      <w:r w:rsidR="0076242E">
        <w:t xml:space="preserve">FDIC </w:t>
      </w:r>
      <w:r w:rsidR="00C83ECC">
        <w:t>expects</w:t>
      </w:r>
      <w:r w:rsidRPr="001826AF" w:rsidR="00C83ECC">
        <w:t xml:space="preserve"> the</w:t>
      </w:r>
      <w:r w:rsidRPr="001826AF">
        <w:t xml:space="preserve"> number of institutions subject to Section 360.9 to remain approximately the same over the next three years, so using these historical data, </w:t>
      </w:r>
      <w:r w:rsidR="0076242E">
        <w:t>it</w:t>
      </w:r>
      <w:r w:rsidRPr="001826AF">
        <w:t xml:space="preserve"> estimate</w:t>
      </w:r>
      <w:r w:rsidR="0076242E">
        <w:t>s</w:t>
      </w:r>
      <w:r w:rsidRPr="001826AF">
        <w:t xml:space="preserve"> the number of covered institutions in each of the next three years is 125. </w:t>
      </w:r>
      <w:r w:rsidR="0076242E">
        <w:t>FDIC</w:t>
      </w:r>
      <w:r w:rsidRPr="001826AF">
        <w:t xml:space="preserve"> do</w:t>
      </w:r>
      <w:r w:rsidR="0076242E">
        <w:t>es</w:t>
      </w:r>
      <w:r w:rsidRPr="001826AF">
        <w:t xml:space="preserve"> not expect any small entities to be affected.</w:t>
      </w:r>
      <w:r>
        <w:rPr>
          <w:vertAlign w:val="superscript"/>
        </w:rPr>
        <w:footnoteReference w:id="6"/>
      </w:r>
    </w:p>
    <w:p w:rsidR="001826AF" w:rsidRPr="001826AF" w:rsidP="0076242E" w14:paraId="08827B28" w14:textId="225CDCE2">
      <w:pPr>
        <w:spacing w:after="120"/>
        <w:ind w:left="1440"/>
      </w:pPr>
      <w:r w:rsidRPr="001826AF">
        <w:t xml:space="preserve">To estimate the number of respondents for IC1, IC2, IC3, and IC4, </w:t>
      </w:r>
      <w:r w:rsidR="0076242E">
        <w:t>FDIC</w:t>
      </w:r>
      <w:r w:rsidRPr="001826AF">
        <w:t xml:space="preserve"> use</w:t>
      </w:r>
      <w:r w:rsidR="0076242E">
        <w:t>s</w:t>
      </w:r>
      <w:r w:rsidRPr="001826AF">
        <w:t xml:space="preserve"> the average number of IDIs that became newly subject to the requirements of Section 360.9 after meeting the definition of a covered institution for two consecutive quarters in 2021, 2022, and 2023. FDIC Call Report data show that in 2021, 2022, and 2023 there were 8, 5, and 10 newly qualified covered institutions, respectively. Meaning between 2021 and 2023, 23 institutions became newly subject to the requirements of Section 360.9, which equates to an annual average of 7.67 newly covered institutions per year.</w:t>
      </w:r>
      <w:r>
        <w:rPr>
          <w:vertAlign w:val="superscript"/>
        </w:rPr>
        <w:footnoteReference w:id="7"/>
      </w:r>
      <w:r w:rsidRPr="001826AF">
        <w:rPr>
          <w:vertAlign w:val="superscript"/>
        </w:rPr>
        <w:t xml:space="preserve"> </w:t>
      </w:r>
      <w:r w:rsidRPr="001826AF">
        <w:t xml:space="preserve">Using these historical data, </w:t>
      </w:r>
      <w:r w:rsidR="0076242E">
        <w:t>FDIC</w:t>
      </w:r>
      <w:r w:rsidRPr="001826AF">
        <w:t xml:space="preserve"> estimate</w:t>
      </w:r>
      <w:r w:rsidR="0076242E">
        <w:t>s</w:t>
      </w:r>
      <w:r w:rsidRPr="001826AF">
        <w:t xml:space="preserve"> 8 respondents per year to IC1, IC2, IC3, and IC4.</w:t>
      </w:r>
      <w:r>
        <w:rPr>
          <w:vertAlign w:val="superscript"/>
        </w:rPr>
        <w:footnoteReference w:id="8"/>
      </w:r>
      <w:r w:rsidRPr="001826AF">
        <w:rPr>
          <w:vertAlign w:val="superscript"/>
        </w:rPr>
        <w:t xml:space="preserve"> </w:t>
      </w:r>
      <w:r w:rsidRPr="001826AF">
        <w:t>These estimates are one more than the corresponding estimates in the 2021 ICR, due to the small increase in the historical number of newly covered institutions.</w:t>
      </w:r>
    </w:p>
    <w:p w:rsidR="001826AF" w:rsidRPr="001826AF" w:rsidP="0076242E" w14:paraId="10BB619C" w14:textId="73C5F75D">
      <w:pPr>
        <w:spacing w:after="120"/>
        <w:ind w:left="1440"/>
      </w:pPr>
      <w:r w:rsidRPr="001826AF">
        <w:t xml:space="preserve">To estimate the number of respondents for IC5, IC6, and IC7 </w:t>
      </w:r>
      <w:r w:rsidR="0076242E">
        <w:t>FDIC</w:t>
      </w:r>
      <w:r w:rsidRPr="001826AF">
        <w:t xml:space="preserve"> use the average number of IDIs that submitted a request for exemption from provisional hold requirements, extension of compliance deadline, and exemption from Section 360.9, respectively, for newly covered institutions from 2021 to 2023. </w:t>
      </w:r>
      <w:r w:rsidR="0076242E">
        <w:t>T</w:t>
      </w:r>
      <w:r w:rsidRPr="001826AF">
        <w:t xml:space="preserve">he FDIC received no exemption requests pursuant to 360.9(c)(9) (IC5), one institution submitted an extension request pursuant to 360.9(e)(7) (IC6), and no institutions submitted an exemption request pursuant to 360.9(f) (IC7) from 2021 to 2023. Given the lack of historical requests, </w:t>
      </w:r>
      <w:r w:rsidR="0076242E">
        <w:t>FDIC</w:t>
      </w:r>
      <w:r w:rsidRPr="001826AF">
        <w:t xml:space="preserve"> use</w:t>
      </w:r>
      <w:r w:rsidR="0076242E">
        <w:t>s</w:t>
      </w:r>
      <w:r w:rsidRPr="001826AF">
        <w:t xml:space="preserve"> a placeholder respondent count of one (1) respondent per year to IC 5, IC6, and IC7 to account for the possibility that a newly covered institution may submit these requests as part of their implementation phase in the future. These estimates are identical to the corresponding estimates in the 2021 ICR.</w:t>
      </w:r>
    </w:p>
    <w:p w:rsidR="001826AF" w:rsidRPr="001826AF" w:rsidP="006D1533" w14:paraId="7F9C5A5C" w14:textId="2C37EDC9">
      <w:pPr>
        <w:spacing w:after="120"/>
        <w:ind w:left="1440"/>
      </w:pPr>
      <w:r w:rsidRPr="001826AF">
        <w:t xml:space="preserve">To estimate the number of respondents for IC8, </w:t>
      </w:r>
      <w:r w:rsidR="0076242E">
        <w:t>FDIC</w:t>
      </w:r>
      <w:r w:rsidRPr="001826AF">
        <w:t xml:space="preserve"> use the average number of covered institutions that notif</w:t>
      </w:r>
      <w:r w:rsidR="006D1533">
        <w:t>ied</w:t>
      </w:r>
      <w:r w:rsidRPr="001826AF">
        <w:t xml:space="preserve"> the FDIC </w:t>
      </w:r>
      <w:r w:rsidR="0076242E">
        <w:t>of</w:t>
      </w:r>
      <w:r w:rsidRPr="001826AF">
        <w:t xml:space="preserve"> the identity of their responsible person from 2021 to 2023. </w:t>
      </w:r>
      <w:r w:rsidR="0076242E">
        <w:t>B</w:t>
      </w:r>
      <w:r w:rsidRPr="001826AF">
        <w:t>etween 2021 and 2023, 370 institutions notified the FDIC of the identity of the person responsible for producing standard data downloads,</w:t>
      </w:r>
      <w:r>
        <w:rPr>
          <w:vertAlign w:val="superscript"/>
        </w:rPr>
        <w:footnoteReference w:id="9"/>
      </w:r>
      <w:r w:rsidRPr="001826AF">
        <w:t xml:space="preserve"> for an annual average of 123.33 (370/3) newly covered institutions per year. Using these historical data, </w:t>
      </w:r>
      <w:r w:rsidR="0076242E">
        <w:t>FDIC</w:t>
      </w:r>
      <w:r w:rsidRPr="001826AF">
        <w:t xml:space="preserve"> estimate 123 respondents per year to IC8. These estimates are three less than the corresponding estimates in the 2021 ICR, due to the small decrease in the historical number of notifications. </w:t>
      </w:r>
    </w:p>
    <w:p w:rsidR="001826AF" w:rsidRPr="001826AF" w:rsidP="006D1533" w14:paraId="2C438092" w14:textId="5A7986AF">
      <w:pPr>
        <w:spacing w:after="120"/>
        <w:ind w:left="1440"/>
      </w:pPr>
      <w:r w:rsidRPr="001826AF">
        <w:t xml:space="preserve">To estimate the number of respondents for IC9 and IC10, which are the ongoing counterparts to IC5 and IC7 respectively, </w:t>
      </w:r>
      <w:r w:rsidR="006D1533">
        <w:t>FDIC</w:t>
      </w:r>
      <w:r w:rsidRPr="001826AF">
        <w:t xml:space="preserve"> use</w:t>
      </w:r>
      <w:r w:rsidR="006D1533">
        <w:t>s</w:t>
      </w:r>
      <w:r w:rsidRPr="001826AF">
        <w:t xml:space="preserve"> the average number of covered entities that submitted requests for exemptions from the provisional hold requirements of Section 360.9 pursuant to Section 360.9(c)(9) and Section 360.9 for institutions that were already covered institutions in compliance with Section 360.9 prior to the request. </w:t>
      </w:r>
      <w:r w:rsidR="006D1533">
        <w:t>T</w:t>
      </w:r>
      <w:r w:rsidRPr="001826AF">
        <w:t xml:space="preserve">he FDIC received no exemption requests pursuant to 360.9(c)(9) (IC9) or exemption requests pursuant to 360.9(f) (IC10) from 2021 to 2023. As such, </w:t>
      </w:r>
      <w:r w:rsidR="006D1533">
        <w:t>FDIC</w:t>
      </w:r>
      <w:r w:rsidRPr="001826AF">
        <w:t xml:space="preserve"> use</w:t>
      </w:r>
      <w:r w:rsidR="006D1533">
        <w:t>s</w:t>
      </w:r>
      <w:r w:rsidRPr="001826AF">
        <w:t xml:space="preserve"> a placeholder respondent count of one (1) institution per year to account for the possibility that covered institutions that are already in compliance with Section 360.9 may submit requests pursuant to Section 360.9(f) in the future. These estimates are identical to the corresponding estimates in the 2021 ICR.</w:t>
      </w:r>
    </w:p>
    <w:p w:rsidR="001826AF" w:rsidRPr="001826AF" w:rsidP="001826AF" w14:paraId="34A83256" w14:textId="487A8745">
      <w:pPr>
        <w:ind w:left="1440"/>
      </w:pPr>
      <w:r>
        <w:t>I</w:t>
      </w:r>
      <w:r w:rsidRPr="001826AF">
        <w:t xml:space="preserve">n 2022, </w:t>
      </w:r>
      <w:r>
        <w:t>FDIC</w:t>
      </w:r>
      <w:r w:rsidRPr="001826AF">
        <w:t xml:space="preserve"> changed the number of IDIs whose systems are tested annually for compliance with the requirements of Section 360.9, pursuant to Section 360.9(h) from 40 to 30 covered institutions per year. As such, </w:t>
      </w:r>
      <w:r>
        <w:t>FDIC</w:t>
      </w:r>
      <w:r w:rsidRPr="001826AF">
        <w:t xml:space="preserve"> estimate</w:t>
      </w:r>
      <w:r>
        <w:t>s that</w:t>
      </w:r>
      <w:r w:rsidRPr="001826AF">
        <w:t xml:space="preserve"> </w:t>
      </w:r>
      <w:r>
        <w:t xml:space="preserve">there will be </w:t>
      </w:r>
      <w:r w:rsidRPr="001826AF">
        <w:t>30 respondents per year for IC11. This estimate is ten less than the corresponding estimate in the 2021 ICR, due to the change in FDIC policy.</w:t>
      </w:r>
    </w:p>
    <w:p w:rsidR="001826AF" w:rsidRPr="001826AF" w:rsidP="001826AF" w14:paraId="13974974" w14:textId="77777777">
      <w:pPr>
        <w:ind w:left="1440"/>
        <w:rPr>
          <w:highlight w:val="yellow"/>
        </w:rPr>
      </w:pPr>
    </w:p>
    <w:p w:rsidR="00D15045" w:rsidRPr="00E16993" w14:paraId="3D94C1D7" w14:textId="77777777">
      <w:pPr>
        <w:rPr>
          <w:highlight w:val="yellow"/>
        </w:rPr>
      </w:pPr>
    </w:p>
    <w:tbl>
      <w:tblPr>
        <w:tblW w:w="10340" w:type="dxa"/>
        <w:tblLook w:val="04A0"/>
      </w:tblPr>
      <w:tblGrid>
        <w:gridCol w:w="2480"/>
        <w:gridCol w:w="1290"/>
        <w:gridCol w:w="1170"/>
        <w:gridCol w:w="1170"/>
        <w:gridCol w:w="1170"/>
        <w:gridCol w:w="900"/>
        <w:gridCol w:w="1170"/>
        <w:gridCol w:w="990"/>
      </w:tblGrid>
      <w:tr w14:paraId="560E4F35" w14:textId="77777777" w:rsidTr="00E27A7D">
        <w:tblPrEx>
          <w:tblW w:w="10340" w:type="dxa"/>
          <w:tblLook w:val="04A0"/>
        </w:tblPrEx>
        <w:trPr>
          <w:trHeight w:val="250"/>
        </w:trPr>
        <w:tc>
          <w:tcPr>
            <w:tcW w:w="1034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15045" w:rsidRPr="00D15045" w:rsidP="00D15045" w14:paraId="0EDD2CDA" w14:textId="77777777">
            <w:pPr>
              <w:widowControl/>
              <w:jc w:val="center"/>
              <w:rPr>
                <w:rFonts w:ascii="Source Sans Pro" w:hAnsi="Source Sans Pro"/>
                <w:b/>
                <w:bCs/>
                <w:snapToGrid/>
                <w:color w:val="000000"/>
                <w:sz w:val="20"/>
              </w:rPr>
            </w:pPr>
            <w:r w:rsidRPr="00D15045">
              <w:rPr>
                <w:rFonts w:ascii="Source Sans Pro" w:hAnsi="Source Sans Pro"/>
                <w:b/>
                <w:bCs/>
                <w:snapToGrid/>
                <w:color w:val="000000"/>
                <w:sz w:val="20"/>
              </w:rPr>
              <w:t xml:space="preserve">Summary of Annual Burden and Internal Cost </w:t>
            </w:r>
          </w:p>
        </w:tc>
      </w:tr>
      <w:tr w14:paraId="0049D621" w14:textId="77777777" w:rsidTr="00E27A7D">
        <w:tblPrEx>
          <w:tblW w:w="10340" w:type="dxa"/>
          <w:tblLook w:val="04A0"/>
        </w:tblPrEx>
        <w:trPr>
          <w:trHeight w:val="640"/>
        </w:trPr>
        <w:tc>
          <w:tcPr>
            <w:tcW w:w="2480" w:type="dxa"/>
            <w:tcBorders>
              <w:top w:val="nil"/>
              <w:left w:val="single" w:sz="8" w:space="0" w:color="auto"/>
              <w:bottom w:val="nil"/>
              <w:right w:val="single" w:sz="4" w:space="0" w:color="auto"/>
            </w:tcBorders>
            <w:shd w:val="clear" w:color="auto" w:fill="auto"/>
            <w:noWrap/>
            <w:vAlign w:val="bottom"/>
            <w:hideMark/>
          </w:tcPr>
          <w:p w:rsidR="00D15045" w:rsidRPr="00D15045" w:rsidP="00D15045" w14:paraId="7E017DF1" w14:textId="77777777">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290" w:type="dxa"/>
            <w:tcBorders>
              <w:top w:val="nil"/>
              <w:left w:val="nil"/>
              <w:bottom w:val="nil"/>
              <w:right w:val="single" w:sz="4" w:space="0" w:color="auto"/>
            </w:tcBorders>
            <w:shd w:val="clear" w:color="auto" w:fill="auto"/>
            <w:vAlign w:val="center"/>
            <w:hideMark/>
          </w:tcPr>
          <w:p w:rsidR="00D15045" w:rsidRPr="00D15045" w:rsidP="00D15045" w14:paraId="1A4970A7"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Type of Burden</w:t>
            </w:r>
          </w:p>
        </w:tc>
        <w:tc>
          <w:tcPr>
            <w:tcW w:w="1170" w:type="dxa"/>
            <w:tcBorders>
              <w:top w:val="nil"/>
              <w:left w:val="nil"/>
              <w:bottom w:val="nil"/>
              <w:right w:val="single" w:sz="4" w:space="0" w:color="auto"/>
            </w:tcBorders>
            <w:shd w:val="clear" w:color="auto" w:fill="auto"/>
            <w:vAlign w:val="center"/>
            <w:hideMark/>
          </w:tcPr>
          <w:p w:rsidR="00D15045" w:rsidRPr="00D15045" w:rsidP="00D15045" w14:paraId="0E7371F1"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Obligation to Respond</w:t>
            </w:r>
          </w:p>
        </w:tc>
        <w:tc>
          <w:tcPr>
            <w:tcW w:w="1170" w:type="dxa"/>
            <w:tcBorders>
              <w:top w:val="nil"/>
              <w:left w:val="nil"/>
              <w:bottom w:val="nil"/>
              <w:right w:val="single" w:sz="4" w:space="0" w:color="auto"/>
            </w:tcBorders>
            <w:shd w:val="clear" w:color="auto" w:fill="auto"/>
            <w:vAlign w:val="center"/>
            <w:hideMark/>
          </w:tcPr>
          <w:p w:rsidR="00D15045" w:rsidRPr="00D15045" w:rsidP="00D15045" w14:paraId="7DE6D1A9"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Estimated Number of Respondents</w:t>
            </w:r>
          </w:p>
        </w:tc>
        <w:tc>
          <w:tcPr>
            <w:tcW w:w="1170" w:type="dxa"/>
            <w:tcBorders>
              <w:top w:val="nil"/>
              <w:left w:val="nil"/>
              <w:bottom w:val="nil"/>
              <w:right w:val="single" w:sz="4" w:space="0" w:color="auto"/>
            </w:tcBorders>
            <w:shd w:val="clear" w:color="auto" w:fill="auto"/>
            <w:vAlign w:val="center"/>
            <w:hideMark/>
          </w:tcPr>
          <w:p w:rsidR="00D15045" w:rsidRPr="00D15045" w:rsidP="00D15045" w14:paraId="1B06398E"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Estimated Frequency of Responses</w:t>
            </w:r>
          </w:p>
        </w:tc>
        <w:tc>
          <w:tcPr>
            <w:tcW w:w="900" w:type="dxa"/>
            <w:tcBorders>
              <w:top w:val="nil"/>
              <w:left w:val="nil"/>
              <w:bottom w:val="nil"/>
              <w:right w:val="single" w:sz="4" w:space="0" w:color="auto"/>
            </w:tcBorders>
            <w:shd w:val="clear" w:color="auto" w:fill="auto"/>
            <w:vAlign w:val="center"/>
            <w:hideMark/>
          </w:tcPr>
          <w:p w:rsidR="00D15045" w:rsidRPr="00D15045" w:rsidP="00D15045" w14:paraId="58DACB7C"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Estimated Time per Response</w:t>
            </w:r>
          </w:p>
        </w:tc>
        <w:tc>
          <w:tcPr>
            <w:tcW w:w="1170" w:type="dxa"/>
            <w:tcBorders>
              <w:top w:val="nil"/>
              <w:left w:val="nil"/>
              <w:bottom w:val="nil"/>
              <w:right w:val="single" w:sz="4" w:space="0" w:color="auto"/>
            </w:tcBorders>
            <w:shd w:val="clear" w:color="auto" w:fill="auto"/>
            <w:vAlign w:val="center"/>
            <w:hideMark/>
          </w:tcPr>
          <w:p w:rsidR="00D15045" w:rsidRPr="00D15045" w:rsidP="00D15045" w14:paraId="5CBD3826"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Frequency of Response</w:t>
            </w:r>
          </w:p>
        </w:tc>
        <w:tc>
          <w:tcPr>
            <w:tcW w:w="990" w:type="dxa"/>
            <w:tcBorders>
              <w:top w:val="nil"/>
              <w:left w:val="nil"/>
              <w:bottom w:val="nil"/>
              <w:right w:val="single" w:sz="8" w:space="0" w:color="auto"/>
            </w:tcBorders>
            <w:shd w:val="clear" w:color="auto" w:fill="auto"/>
            <w:vAlign w:val="center"/>
            <w:hideMark/>
          </w:tcPr>
          <w:p w:rsidR="00D15045" w:rsidRPr="00D15045" w:rsidP="00D15045" w14:paraId="621FFD6B"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Total Annual Estimated Burden</w:t>
            </w:r>
          </w:p>
        </w:tc>
      </w:tr>
      <w:tr w14:paraId="76305B93" w14:textId="77777777" w:rsidTr="00E27A7D">
        <w:tblPrEx>
          <w:tblW w:w="10340" w:type="dxa"/>
          <w:tblLook w:val="04A0"/>
        </w:tblPrEx>
        <w:trPr>
          <w:trHeight w:val="290"/>
        </w:trPr>
        <w:tc>
          <w:tcPr>
            <w:tcW w:w="1034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D15045" w:rsidRPr="00D15045" w:rsidP="00D15045" w14:paraId="2BA864D0" w14:textId="77777777">
            <w:pPr>
              <w:widowControl/>
              <w:jc w:val="center"/>
              <w:rPr>
                <w:rFonts w:ascii="Source Sans Pro" w:hAnsi="Source Sans Pro"/>
                <w:b/>
                <w:bCs/>
                <w:snapToGrid/>
                <w:color w:val="000000"/>
                <w:sz w:val="16"/>
                <w:szCs w:val="16"/>
              </w:rPr>
            </w:pPr>
            <w:r w:rsidRPr="00D15045">
              <w:rPr>
                <w:rFonts w:ascii="Source Sans Pro" w:hAnsi="Source Sans Pro"/>
                <w:b/>
                <w:bCs/>
                <w:snapToGrid/>
                <w:color w:val="000000"/>
                <w:sz w:val="16"/>
                <w:szCs w:val="16"/>
              </w:rPr>
              <w:t>Implementation</w:t>
            </w:r>
          </w:p>
        </w:tc>
      </w:tr>
      <w:tr w14:paraId="01A2821E" w14:textId="77777777" w:rsidTr="00E27A7D">
        <w:tblPrEx>
          <w:tblW w:w="10340" w:type="dxa"/>
          <w:tblLook w:val="04A0"/>
        </w:tblPrEx>
        <w:trPr>
          <w:trHeight w:val="420"/>
        </w:trPr>
        <w:tc>
          <w:tcPr>
            <w:tcW w:w="2480" w:type="dxa"/>
            <w:tcBorders>
              <w:top w:val="nil"/>
              <w:left w:val="single" w:sz="8" w:space="0" w:color="auto"/>
              <w:bottom w:val="single" w:sz="4" w:space="0" w:color="auto"/>
              <w:right w:val="single" w:sz="4" w:space="0" w:color="auto"/>
            </w:tcBorders>
            <w:shd w:val="clear" w:color="auto" w:fill="auto"/>
            <w:vAlign w:val="center"/>
            <w:hideMark/>
          </w:tcPr>
          <w:p w:rsidR="00D15045" w:rsidRPr="00D15045" w:rsidP="00D15045" w14:paraId="383600BA" w14:textId="77777777">
            <w:pPr>
              <w:widowControl/>
              <w:rPr>
                <w:rFonts w:ascii="Source Sans Pro" w:hAnsi="Source Sans Pro"/>
                <w:b/>
                <w:bCs/>
                <w:snapToGrid/>
                <w:sz w:val="16"/>
                <w:szCs w:val="16"/>
              </w:rPr>
            </w:pPr>
            <w:r w:rsidRPr="00D15045">
              <w:rPr>
                <w:rFonts w:ascii="Source Sans Pro" w:hAnsi="Source Sans Pro"/>
                <w:b/>
                <w:bCs/>
                <w:snapToGrid/>
                <w:sz w:val="16"/>
                <w:szCs w:val="16"/>
              </w:rPr>
              <w:t>Posting and removing provisional holds - 360.9(c)(1) and (2)</w:t>
            </w:r>
          </w:p>
        </w:tc>
        <w:tc>
          <w:tcPr>
            <w:tcW w:w="1290" w:type="dxa"/>
            <w:tcBorders>
              <w:top w:val="nil"/>
              <w:left w:val="nil"/>
              <w:bottom w:val="single" w:sz="4" w:space="0" w:color="auto"/>
              <w:right w:val="single" w:sz="4" w:space="0" w:color="auto"/>
            </w:tcBorders>
            <w:shd w:val="clear" w:color="auto" w:fill="auto"/>
            <w:vAlign w:val="center"/>
            <w:hideMark/>
          </w:tcPr>
          <w:p w:rsidR="00D15045" w:rsidRPr="00D15045" w:rsidP="00D15045" w14:paraId="0AC6AFD2"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Recordkeeping</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0353D360"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Mandatory</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41E0B350" w14:textId="7E902A6D">
            <w:pPr>
              <w:widowControl/>
              <w:jc w:val="center"/>
              <w:rPr>
                <w:rFonts w:ascii="Source Sans Pro" w:hAnsi="Source Sans Pro"/>
                <w:snapToGrid/>
                <w:color w:val="000000"/>
                <w:sz w:val="16"/>
                <w:szCs w:val="16"/>
              </w:rPr>
            </w:pPr>
            <w:r>
              <w:rPr>
                <w:rFonts w:ascii="Source Sans Pro" w:hAnsi="Source Sans Pro"/>
                <w:snapToGrid/>
                <w:color w:val="000000"/>
                <w:sz w:val="16"/>
                <w:szCs w:val="16"/>
              </w:rPr>
              <w:t>8</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644BC8B3"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D15045" w:rsidRPr="00D15045" w:rsidP="00D15045" w14:paraId="4A5F5431"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150</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462DBB7C"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One time</w:t>
            </w:r>
          </w:p>
        </w:tc>
        <w:tc>
          <w:tcPr>
            <w:tcW w:w="990" w:type="dxa"/>
            <w:tcBorders>
              <w:top w:val="nil"/>
              <w:left w:val="nil"/>
              <w:bottom w:val="single" w:sz="4" w:space="0" w:color="auto"/>
              <w:right w:val="single" w:sz="8" w:space="0" w:color="auto"/>
            </w:tcBorders>
            <w:shd w:val="clear" w:color="auto" w:fill="auto"/>
            <w:vAlign w:val="center"/>
            <w:hideMark/>
          </w:tcPr>
          <w:p w:rsidR="00D15045" w:rsidRPr="00D15045" w:rsidP="00D15045" w14:paraId="637E5C29"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1,050</w:t>
            </w:r>
          </w:p>
        </w:tc>
      </w:tr>
      <w:tr w14:paraId="2C281E6F" w14:textId="77777777" w:rsidTr="00E27A7D">
        <w:tblPrEx>
          <w:tblW w:w="10340" w:type="dxa"/>
          <w:tblLook w:val="04A0"/>
        </w:tblPrEx>
        <w:trPr>
          <w:trHeight w:val="630"/>
        </w:trPr>
        <w:tc>
          <w:tcPr>
            <w:tcW w:w="2480" w:type="dxa"/>
            <w:tcBorders>
              <w:top w:val="nil"/>
              <w:left w:val="single" w:sz="8" w:space="0" w:color="auto"/>
              <w:bottom w:val="single" w:sz="4" w:space="0" w:color="auto"/>
              <w:right w:val="single" w:sz="4" w:space="0" w:color="auto"/>
            </w:tcBorders>
            <w:shd w:val="clear" w:color="auto" w:fill="auto"/>
            <w:vAlign w:val="center"/>
            <w:hideMark/>
          </w:tcPr>
          <w:p w:rsidR="00D15045" w:rsidRPr="00D15045" w:rsidP="00D15045" w14:paraId="5266579E" w14:textId="77777777">
            <w:pPr>
              <w:widowControl/>
              <w:rPr>
                <w:rFonts w:ascii="Source Sans Pro" w:hAnsi="Source Sans Pro"/>
                <w:b/>
                <w:bCs/>
                <w:snapToGrid/>
                <w:sz w:val="16"/>
                <w:szCs w:val="16"/>
              </w:rPr>
            </w:pPr>
            <w:r w:rsidRPr="00D15045">
              <w:rPr>
                <w:rFonts w:ascii="Source Sans Pro" w:hAnsi="Source Sans Pro"/>
                <w:b/>
                <w:bCs/>
                <w:snapToGrid/>
                <w:sz w:val="16"/>
                <w:szCs w:val="16"/>
              </w:rPr>
              <w:t>Providing standard data format for deposit account and customer information - 360.9(d)(1)</w:t>
            </w:r>
          </w:p>
        </w:tc>
        <w:tc>
          <w:tcPr>
            <w:tcW w:w="1290" w:type="dxa"/>
            <w:tcBorders>
              <w:top w:val="nil"/>
              <w:left w:val="nil"/>
              <w:bottom w:val="single" w:sz="4" w:space="0" w:color="auto"/>
              <w:right w:val="single" w:sz="4" w:space="0" w:color="auto"/>
            </w:tcBorders>
            <w:shd w:val="clear" w:color="auto" w:fill="auto"/>
            <w:vAlign w:val="center"/>
            <w:hideMark/>
          </w:tcPr>
          <w:p w:rsidR="00D15045" w:rsidRPr="00D15045" w:rsidP="00D15045" w14:paraId="3B3C345F"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Recordkeeping</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0FB1FC01"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Mandatory</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3A1D5D86" w14:textId="74006114">
            <w:pPr>
              <w:widowControl/>
              <w:jc w:val="center"/>
              <w:rPr>
                <w:rFonts w:ascii="Source Sans Pro" w:hAnsi="Source Sans Pro"/>
                <w:snapToGrid/>
                <w:color w:val="000000"/>
                <w:sz w:val="16"/>
                <w:szCs w:val="16"/>
              </w:rPr>
            </w:pPr>
            <w:r>
              <w:rPr>
                <w:rFonts w:ascii="Source Sans Pro" w:hAnsi="Source Sans Pro"/>
                <w:snapToGrid/>
                <w:color w:val="000000"/>
                <w:sz w:val="16"/>
                <w:szCs w:val="16"/>
              </w:rPr>
              <w:t>8</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1399A923"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D15045" w:rsidRPr="00D15045" w:rsidP="00D15045" w14:paraId="08FA53D3"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110</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066E6A4C"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One time</w:t>
            </w:r>
          </w:p>
        </w:tc>
        <w:tc>
          <w:tcPr>
            <w:tcW w:w="990" w:type="dxa"/>
            <w:tcBorders>
              <w:top w:val="nil"/>
              <w:left w:val="nil"/>
              <w:bottom w:val="single" w:sz="4" w:space="0" w:color="auto"/>
              <w:right w:val="single" w:sz="8" w:space="0" w:color="auto"/>
            </w:tcBorders>
            <w:shd w:val="clear" w:color="auto" w:fill="auto"/>
            <w:vAlign w:val="center"/>
            <w:hideMark/>
          </w:tcPr>
          <w:p w:rsidR="00D15045" w:rsidRPr="00D15045" w:rsidP="00D15045" w14:paraId="54F09244"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770</w:t>
            </w:r>
          </w:p>
        </w:tc>
      </w:tr>
      <w:tr w14:paraId="4471534D" w14:textId="77777777" w:rsidTr="00E27A7D">
        <w:tblPrEx>
          <w:tblW w:w="10340" w:type="dxa"/>
          <w:tblLook w:val="04A0"/>
        </w:tblPrEx>
        <w:trPr>
          <w:trHeight w:val="630"/>
        </w:trPr>
        <w:tc>
          <w:tcPr>
            <w:tcW w:w="2480" w:type="dxa"/>
            <w:tcBorders>
              <w:top w:val="nil"/>
              <w:left w:val="single" w:sz="8" w:space="0" w:color="auto"/>
              <w:bottom w:val="single" w:sz="4" w:space="0" w:color="auto"/>
              <w:right w:val="single" w:sz="4" w:space="0" w:color="auto"/>
            </w:tcBorders>
            <w:shd w:val="clear" w:color="auto" w:fill="auto"/>
            <w:vAlign w:val="center"/>
            <w:hideMark/>
          </w:tcPr>
          <w:p w:rsidR="00D15045" w:rsidRPr="00D15045" w:rsidP="00D15045" w14:paraId="1A245919" w14:textId="77777777">
            <w:pPr>
              <w:widowControl/>
              <w:rPr>
                <w:rFonts w:ascii="Source Sans Pro" w:hAnsi="Source Sans Pro"/>
                <w:b/>
                <w:bCs/>
                <w:snapToGrid/>
                <w:sz w:val="16"/>
                <w:szCs w:val="16"/>
              </w:rPr>
            </w:pPr>
            <w:r w:rsidRPr="00D15045">
              <w:rPr>
                <w:rFonts w:ascii="Source Sans Pro" w:hAnsi="Source Sans Pro"/>
                <w:b/>
                <w:bCs/>
                <w:snapToGrid/>
                <w:sz w:val="16"/>
                <w:szCs w:val="16"/>
              </w:rPr>
              <w:t>Notification of identity of person responsible for producing standard data downloads - 360.9(c)(3)</w:t>
            </w:r>
          </w:p>
        </w:tc>
        <w:tc>
          <w:tcPr>
            <w:tcW w:w="1290" w:type="dxa"/>
            <w:tcBorders>
              <w:top w:val="nil"/>
              <w:left w:val="nil"/>
              <w:bottom w:val="single" w:sz="4" w:space="0" w:color="auto"/>
              <w:right w:val="single" w:sz="4" w:space="0" w:color="auto"/>
            </w:tcBorders>
            <w:shd w:val="clear" w:color="auto" w:fill="auto"/>
            <w:vAlign w:val="center"/>
            <w:hideMark/>
          </w:tcPr>
          <w:p w:rsidR="00D15045" w:rsidRPr="00D15045" w:rsidP="00D15045" w14:paraId="7F7AE693"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28EC9515"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Mandatory</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17200DE3" w14:textId="092AAAEF">
            <w:pPr>
              <w:widowControl/>
              <w:jc w:val="center"/>
              <w:rPr>
                <w:rFonts w:ascii="Source Sans Pro" w:hAnsi="Source Sans Pro"/>
                <w:snapToGrid/>
                <w:color w:val="000000"/>
                <w:sz w:val="16"/>
                <w:szCs w:val="16"/>
              </w:rPr>
            </w:pPr>
            <w:r>
              <w:rPr>
                <w:rFonts w:ascii="Source Sans Pro" w:hAnsi="Source Sans Pro"/>
                <w:snapToGrid/>
                <w:color w:val="000000"/>
                <w:sz w:val="16"/>
                <w:szCs w:val="16"/>
              </w:rPr>
              <w:t>8</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43C18D57"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D15045" w:rsidRPr="00D15045" w:rsidP="00D15045" w14:paraId="73580E35"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8</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1425EBA9"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One time</w:t>
            </w:r>
          </w:p>
        </w:tc>
        <w:tc>
          <w:tcPr>
            <w:tcW w:w="990" w:type="dxa"/>
            <w:tcBorders>
              <w:top w:val="nil"/>
              <w:left w:val="nil"/>
              <w:bottom w:val="single" w:sz="4" w:space="0" w:color="auto"/>
              <w:right w:val="single" w:sz="8" w:space="0" w:color="auto"/>
            </w:tcBorders>
            <w:shd w:val="clear" w:color="auto" w:fill="auto"/>
            <w:vAlign w:val="center"/>
            <w:hideMark/>
          </w:tcPr>
          <w:p w:rsidR="00D15045" w:rsidRPr="00D15045" w:rsidP="00D15045" w14:paraId="0DCE7529"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56</w:t>
            </w:r>
          </w:p>
        </w:tc>
      </w:tr>
      <w:tr w14:paraId="1350AD8F" w14:textId="77777777" w:rsidTr="00E27A7D">
        <w:tblPrEx>
          <w:tblW w:w="10340" w:type="dxa"/>
          <w:tblLook w:val="04A0"/>
        </w:tblPrEx>
        <w:trPr>
          <w:trHeight w:val="630"/>
        </w:trPr>
        <w:tc>
          <w:tcPr>
            <w:tcW w:w="2480" w:type="dxa"/>
            <w:tcBorders>
              <w:top w:val="nil"/>
              <w:left w:val="single" w:sz="8" w:space="0" w:color="auto"/>
              <w:bottom w:val="single" w:sz="4" w:space="0" w:color="auto"/>
              <w:right w:val="single" w:sz="4" w:space="0" w:color="auto"/>
            </w:tcBorders>
            <w:shd w:val="clear" w:color="auto" w:fill="auto"/>
            <w:vAlign w:val="center"/>
            <w:hideMark/>
          </w:tcPr>
          <w:p w:rsidR="00D15045" w:rsidRPr="00D15045" w:rsidP="00D15045" w14:paraId="4A958DA9" w14:textId="77777777">
            <w:pPr>
              <w:widowControl/>
              <w:rPr>
                <w:rFonts w:ascii="Source Sans Pro" w:hAnsi="Source Sans Pro"/>
                <w:b/>
                <w:bCs/>
                <w:snapToGrid/>
                <w:sz w:val="16"/>
                <w:szCs w:val="16"/>
              </w:rPr>
            </w:pPr>
            <w:r w:rsidRPr="00D15045">
              <w:rPr>
                <w:rFonts w:ascii="Source Sans Pro" w:hAnsi="Source Sans Pro"/>
                <w:b/>
                <w:bCs/>
                <w:snapToGrid/>
                <w:sz w:val="16"/>
                <w:szCs w:val="16"/>
              </w:rPr>
              <w:t>Request for exemption from provisional hold requirements - 360.9(c)(9)</w:t>
            </w:r>
          </w:p>
        </w:tc>
        <w:tc>
          <w:tcPr>
            <w:tcW w:w="1290" w:type="dxa"/>
            <w:tcBorders>
              <w:top w:val="nil"/>
              <w:left w:val="nil"/>
              <w:bottom w:val="single" w:sz="4" w:space="0" w:color="auto"/>
              <w:right w:val="single" w:sz="4" w:space="0" w:color="auto"/>
            </w:tcBorders>
            <w:shd w:val="clear" w:color="auto" w:fill="auto"/>
            <w:vAlign w:val="center"/>
            <w:hideMark/>
          </w:tcPr>
          <w:p w:rsidR="00D15045" w:rsidRPr="00D15045" w:rsidP="00D15045" w14:paraId="66685A51"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4C5DD208"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Voluntary</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464F595E"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6D244A88"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D15045" w:rsidRPr="00D15045" w:rsidP="00D15045" w14:paraId="244C2604"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185B1C6E"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 occasion</w:t>
            </w:r>
          </w:p>
        </w:tc>
        <w:tc>
          <w:tcPr>
            <w:tcW w:w="990" w:type="dxa"/>
            <w:tcBorders>
              <w:top w:val="nil"/>
              <w:left w:val="nil"/>
              <w:bottom w:val="single" w:sz="4" w:space="0" w:color="auto"/>
              <w:right w:val="single" w:sz="8" w:space="0" w:color="auto"/>
            </w:tcBorders>
            <w:shd w:val="clear" w:color="auto" w:fill="auto"/>
            <w:vAlign w:val="center"/>
            <w:hideMark/>
          </w:tcPr>
          <w:p w:rsidR="00D15045" w:rsidRPr="00D15045" w:rsidP="00D15045" w14:paraId="7A5E6B8B"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r>
      <w:tr w14:paraId="7D21A1C2" w14:textId="77777777" w:rsidTr="00E27A7D">
        <w:tblPrEx>
          <w:tblW w:w="10340" w:type="dxa"/>
          <w:tblLook w:val="04A0"/>
        </w:tblPrEx>
        <w:trPr>
          <w:trHeight w:val="630"/>
        </w:trPr>
        <w:tc>
          <w:tcPr>
            <w:tcW w:w="2480" w:type="dxa"/>
            <w:tcBorders>
              <w:top w:val="nil"/>
              <w:left w:val="single" w:sz="8" w:space="0" w:color="auto"/>
              <w:bottom w:val="single" w:sz="4" w:space="0" w:color="auto"/>
              <w:right w:val="single" w:sz="4" w:space="0" w:color="auto"/>
            </w:tcBorders>
            <w:shd w:val="clear" w:color="auto" w:fill="auto"/>
            <w:vAlign w:val="center"/>
            <w:hideMark/>
          </w:tcPr>
          <w:p w:rsidR="00D15045" w:rsidRPr="00D15045" w:rsidP="00D15045" w14:paraId="191EF662" w14:textId="77777777">
            <w:pPr>
              <w:widowControl/>
              <w:rPr>
                <w:rFonts w:ascii="Source Sans Pro" w:hAnsi="Source Sans Pro"/>
                <w:b/>
                <w:bCs/>
                <w:snapToGrid/>
                <w:sz w:val="16"/>
                <w:szCs w:val="16"/>
              </w:rPr>
            </w:pPr>
            <w:r w:rsidRPr="00D15045">
              <w:rPr>
                <w:rFonts w:ascii="Source Sans Pro" w:hAnsi="Source Sans Pro"/>
                <w:b/>
                <w:bCs/>
                <w:snapToGrid/>
                <w:sz w:val="16"/>
                <w:szCs w:val="16"/>
              </w:rPr>
              <w:t>Provide deposit account and customer information in required standard format - 360.9(d)(3)</w:t>
            </w:r>
          </w:p>
        </w:tc>
        <w:tc>
          <w:tcPr>
            <w:tcW w:w="1290" w:type="dxa"/>
            <w:tcBorders>
              <w:top w:val="nil"/>
              <w:left w:val="nil"/>
              <w:bottom w:val="single" w:sz="4" w:space="0" w:color="auto"/>
              <w:right w:val="single" w:sz="4" w:space="0" w:color="auto"/>
            </w:tcBorders>
            <w:shd w:val="clear" w:color="auto" w:fill="auto"/>
            <w:vAlign w:val="center"/>
            <w:hideMark/>
          </w:tcPr>
          <w:p w:rsidR="00D15045" w:rsidRPr="00D15045" w:rsidP="00D15045" w14:paraId="53DEC041"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23824F5D"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Mandatory</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592B5CC7" w14:textId="360CF842">
            <w:pPr>
              <w:widowControl/>
              <w:jc w:val="center"/>
              <w:rPr>
                <w:rFonts w:ascii="Source Sans Pro" w:hAnsi="Source Sans Pro"/>
                <w:snapToGrid/>
                <w:color w:val="000000"/>
                <w:sz w:val="16"/>
                <w:szCs w:val="16"/>
              </w:rPr>
            </w:pPr>
            <w:r>
              <w:rPr>
                <w:rFonts w:ascii="Source Sans Pro" w:hAnsi="Source Sans Pro"/>
                <w:snapToGrid/>
                <w:color w:val="000000"/>
                <w:sz w:val="16"/>
                <w:szCs w:val="16"/>
              </w:rPr>
              <w:t>8</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6F932EC2"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D15045" w:rsidRPr="00D15045" w:rsidP="00D15045" w14:paraId="7C75BAF7"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40</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4B92848D"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 occasion</w:t>
            </w:r>
          </w:p>
        </w:tc>
        <w:tc>
          <w:tcPr>
            <w:tcW w:w="990" w:type="dxa"/>
            <w:tcBorders>
              <w:top w:val="nil"/>
              <w:left w:val="nil"/>
              <w:bottom w:val="single" w:sz="4" w:space="0" w:color="auto"/>
              <w:right w:val="single" w:sz="8" w:space="0" w:color="auto"/>
            </w:tcBorders>
            <w:shd w:val="clear" w:color="auto" w:fill="auto"/>
            <w:vAlign w:val="center"/>
            <w:hideMark/>
          </w:tcPr>
          <w:p w:rsidR="00D15045" w:rsidRPr="00D15045" w:rsidP="00D15045" w14:paraId="4EF3E193"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280</w:t>
            </w:r>
          </w:p>
        </w:tc>
      </w:tr>
      <w:tr w14:paraId="4A422B3D" w14:textId="77777777" w:rsidTr="00E27A7D">
        <w:tblPrEx>
          <w:tblW w:w="10340" w:type="dxa"/>
          <w:tblLook w:val="04A0"/>
        </w:tblPrEx>
        <w:trPr>
          <w:trHeight w:val="420"/>
        </w:trPr>
        <w:tc>
          <w:tcPr>
            <w:tcW w:w="2480" w:type="dxa"/>
            <w:tcBorders>
              <w:top w:val="nil"/>
              <w:left w:val="single" w:sz="8" w:space="0" w:color="auto"/>
              <w:bottom w:val="single" w:sz="4" w:space="0" w:color="auto"/>
              <w:right w:val="single" w:sz="4" w:space="0" w:color="auto"/>
            </w:tcBorders>
            <w:shd w:val="clear" w:color="auto" w:fill="auto"/>
            <w:vAlign w:val="center"/>
            <w:hideMark/>
          </w:tcPr>
          <w:p w:rsidR="00D15045" w:rsidRPr="00D15045" w:rsidP="00D15045" w14:paraId="0E479C1F" w14:textId="77777777">
            <w:pPr>
              <w:widowControl/>
              <w:rPr>
                <w:rFonts w:ascii="Source Sans Pro" w:hAnsi="Source Sans Pro"/>
                <w:b/>
                <w:bCs/>
                <w:snapToGrid/>
                <w:sz w:val="16"/>
                <w:szCs w:val="16"/>
              </w:rPr>
            </w:pPr>
            <w:r w:rsidRPr="00D15045">
              <w:rPr>
                <w:rFonts w:ascii="Source Sans Pro" w:hAnsi="Source Sans Pro"/>
                <w:b/>
                <w:bCs/>
                <w:snapToGrid/>
                <w:sz w:val="16"/>
                <w:szCs w:val="16"/>
              </w:rPr>
              <w:t>Request for extension of compliance deadline - 360.9(e)(7)</w:t>
            </w:r>
          </w:p>
        </w:tc>
        <w:tc>
          <w:tcPr>
            <w:tcW w:w="1290" w:type="dxa"/>
            <w:tcBorders>
              <w:top w:val="nil"/>
              <w:left w:val="nil"/>
              <w:bottom w:val="single" w:sz="4" w:space="0" w:color="auto"/>
              <w:right w:val="single" w:sz="4" w:space="0" w:color="auto"/>
            </w:tcBorders>
            <w:shd w:val="clear" w:color="auto" w:fill="auto"/>
            <w:vAlign w:val="center"/>
            <w:hideMark/>
          </w:tcPr>
          <w:p w:rsidR="00D15045" w:rsidRPr="00D15045" w:rsidP="00D15045" w14:paraId="6C3D027D"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7B955C35"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Voluntary</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2BFF658D"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7FE79548"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D15045" w:rsidRPr="00D15045" w:rsidP="00D15045" w14:paraId="7256DACC"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0914B6D4"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 occasion</w:t>
            </w:r>
          </w:p>
        </w:tc>
        <w:tc>
          <w:tcPr>
            <w:tcW w:w="990" w:type="dxa"/>
            <w:tcBorders>
              <w:top w:val="nil"/>
              <w:left w:val="nil"/>
              <w:bottom w:val="single" w:sz="4" w:space="0" w:color="auto"/>
              <w:right w:val="single" w:sz="8" w:space="0" w:color="auto"/>
            </w:tcBorders>
            <w:shd w:val="clear" w:color="auto" w:fill="auto"/>
            <w:vAlign w:val="center"/>
            <w:hideMark/>
          </w:tcPr>
          <w:p w:rsidR="00D15045" w:rsidRPr="00D15045" w:rsidP="00D15045" w14:paraId="7AB69A16"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r>
      <w:tr w14:paraId="41F15D50" w14:textId="77777777" w:rsidTr="00E27A7D">
        <w:tblPrEx>
          <w:tblW w:w="10340" w:type="dxa"/>
          <w:tblLook w:val="04A0"/>
        </w:tblPrEx>
        <w:trPr>
          <w:trHeight w:val="370"/>
        </w:trPr>
        <w:tc>
          <w:tcPr>
            <w:tcW w:w="2480" w:type="dxa"/>
            <w:tcBorders>
              <w:top w:val="nil"/>
              <w:left w:val="single" w:sz="8" w:space="0" w:color="auto"/>
              <w:bottom w:val="nil"/>
              <w:right w:val="single" w:sz="4" w:space="0" w:color="auto"/>
            </w:tcBorders>
            <w:shd w:val="clear" w:color="auto" w:fill="auto"/>
            <w:vAlign w:val="center"/>
            <w:hideMark/>
          </w:tcPr>
          <w:p w:rsidR="00D15045" w:rsidRPr="00D15045" w:rsidP="00D15045" w14:paraId="678196B4" w14:textId="77777777">
            <w:pPr>
              <w:widowControl/>
              <w:rPr>
                <w:rFonts w:ascii="Source Sans Pro" w:hAnsi="Source Sans Pro"/>
                <w:b/>
                <w:bCs/>
                <w:snapToGrid/>
                <w:sz w:val="16"/>
                <w:szCs w:val="16"/>
              </w:rPr>
            </w:pPr>
            <w:r w:rsidRPr="00D15045">
              <w:rPr>
                <w:rFonts w:ascii="Source Sans Pro" w:hAnsi="Source Sans Pro"/>
                <w:b/>
                <w:bCs/>
                <w:snapToGrid/>
                <w:sz w:val="16"/>
                <w:szCs w:val="16"/>
              </w:rPr>
              <w:t>Request for exemption - 360.9(f)</w:t>
            </w:r>
          </w:p>
        </w:tc>
        <w:tc>
          <w:tcPr>
            <w:tcW w:w="1290" w:type="dxa"/>
            <w:tcBorders>
              <w:top w:val="nil"/>
              <w:left w:val="nil"/>
              <w:bottom w:val="nil"/>
              <w:right w:val="single" w:sz="4" w:space="0" w:color="auto"/>
            </w:tcBorders>
            <w:shd w:val="clear" w:color="auto" w:fill="auto"/>
            <w:vAlign w:val="center"/>
            <w:hideMark/>
          </w:tcPr>
          <w:p w:rsidR="00D15045" w:rsidRPr="00D15045" w:rsidP="00D15045" w14:paraId="717F6588"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nil"/>
              <w:right w:val="single" w:sz="4" w:space="0" w:color="auto"/>
            </w:tcBorders>
            <w:shd w:val="clear" w:color="auto" w:fill="auto"/>
            <w:vAlign w:val="center"/>
            <w:hideMark/>
          </w:tcPr>
          <w:p w:rsidR="00D15045" w:rsidRPr="00D15045" w:rsidP="00D15045" w14:paraId="3F67130F"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Voluntary</w:t>
            </w:r>
          </w:p>
        </w:tc>
        <w:tc>
          <w:tcPr>
            <w:tcW w:w="1170" w:type="dxa"/>
            <w:tcBorders>
              <w:top w:val="nil"/>
              <w:left w:val="nil"/>
              <w:bottom w:val="nil"/>
              <w:right w:val="single" w:sz="4" w:space="0" w:color="auto"/>
            </w:tcBorders>
            <w:shd w:val="clear" w:color="auto" w:fill="auto"/>
            <w:vAlign w:val="center"/>
            <w:hideMark/>
          </w:tcPr>
          <w:p w:rsidR="00D15045" w:rsidRPr="00D15045" w:rsidP="00D15045" w14:paraId="7052FBA4"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1170" w:type="dxa"/>
            <w:tcBorders>
              <w:top w:val="nil"/>
              <w:left w:val="nil"/>
              <w:bottom w:val="nil"/>
              <w:right w:val="single" w:sz="4" w:space="0" w:color="auto"/>
            </w:tcBorders>
            <w:shd w:val="clear" w:color="auto" w:fill="auto"/>
            <w:vAlign w:val="center"/>
            <w:hideMark/>
          </w:tcPr>
          <w:p w:rsidR="00D15045" w:rsidRPr="00D15045" w:rsidP="00D15045" w14:paraId="3A8CB093"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nil"/>
              <w:right w:val="single" w:sz="4" w:space="0" w:color="auto"/>
            </w:tcBorders>
            <w:shd w:val="clear" w:color="auto" w:fill="auto"/>
            <w:vAlign w:val="center"/>
            <w:hideMark/>
          </w:tcPr>
          <w:p w:rsidR="00D15045" w:rsidRPr="00D15045" w:rsidP="00D15045" w14:paraId="425EC3C1"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c>
          <w:tcPr>
            <w:tcW w:w="1170" w:type="dxa"/>
            <w:tcBorders>
              <w:top w:val="nil"/>
              <w:left w:val="nil"/>
              <w:bottom w:val="nil"/>
              <w:right w:val="single" w:sz="4" w:space="0" w:color="auto"/>
            </w:tcBorders>
            <w:shd w:val="clear" w:color="auto" w:fill="auto"/>
            <w:vAlign w:val="center"/>
            <w:hideMark/>
          </w:tcPr>
          <w:p w:rsidR="00D15045" w:rsidRPr="00D15045" w:rsidP="00D15045" w14:paraId="4888A079"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 occasion</w:t>
            </w:r>
          </w:p>
        </w:tc>
        <w:tc>
          <w:tcPr>
            <w:tcW w:w="990" w:type="dxa"/>
            <w:tcBorders>
              <w:top w:val="nil"/>
              <w:left w:val="nil"/>
              <w:bottom w:val="nil"/>
              <w:right w:val="single" w:sz="8" w:space="0" w:color="auto"/>
            </w:tcBorders>
            <w:shd w:val="clear" w:color="auto" w:fill="auto"/>
            <w:vAlign w:val="center"/>
            <w:hideMark/>
          </w:tcPr>
          <w:p w:rsidR="00D15045" w:rsidRPr="00D15045" w:rsidP="00D15045" w14:paraId="3C81283C"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r>
      <w:tr w14:paraId="43CC4F6F" w14:textId="77777777" w:rsidTr="00E27A7D">
        <w:tblPrEx>
          <w:tblW w:w="10340" w:type="dxa"/>
          <w:tblLook w:val="04A0"/>
        </w:tblPrEx>
        <w:trPr>
          <w:trHeight w:val="322"/>
        </w:trPr>
        <w:tc>
          <w:tcPr>
            <w:tcW w:w="2480" w:type="dxa"/>
            <w:tcBorders>
              <w:top w:val="single" w:sz="8" w:space="0" w:color="auto"/>
              <w:left w:val="single" w:sz="8" w:space="0" w:color="auto"/>
              <w:bottom w:val="single" w:sz="8" w:space="0" w:color="auto"/>
              <w:right w:val="nil"/>
            </w:tcBorders>
            <w:shd w:val="clear" w:color="auto" w:fill="auto"/>
            <w:vAlign w:val="center"/>
            <w:hideMark/>
          </w:tcPr>
          <w:p w:rsidR="00D15045" w:rsidRPr="00D15045" w:rsidP="00D15045" w14:paraId="6395A5E5" w14:textId="77777777">
            <w:pPr>
              <w:widowControl/>
              <w:jc w:val="right"/>
              <w:rPr>
                <w:rFonts w:ascii="Source Sans Pro" w:hAnsi="Source Sans Pro"/>
                <w:b/>
                <w:bCs/>
                <w:snapToGrid/>
                <w:sz w:val="16"/>
                <w:szCs w:val="16"/>
              </w:rPr>
            </w:pPr>
            <w:r w:rsidRPr="00D15045">
              <w:rPr>
                <w:rFonts w:ascii="Source Sans Pro" w:hAnsi="Source Sans Pro"/>
                <w:b/>
                <w:bCs/>
                <w:snapToGrid/>
                <w:sz w:val="16"/>
                <w:szCs w:val="16"/>
              </w:rPr>
              <w:t>Total Implementation Burden</w:t>
            </w:r>
          </w:p>
        </w:tc>
        <w:tc>
          <w:tcPr>
            <w:tcW w:w="1290" w:type="dxa"/>
            <w:tcBorders>
              <w:top w:val="single" w:sz="8" w:space="0" w:color="auto"/>
              <w:left w:val="single" w:sz="4" w:space="0" w:color="auto"/>
              <w:bottom w:val="single" w:sz="8" w:space="0" w:color="auto"/>
              <w:right w:val="nil"/>
            </w:tcBorders>
            <w:shd w:val="clear" w:color="auto" w:fill="auto"/>
            <w:vAlign w:val="center"/>
            <w:hideMark/>
          </w:tcPr>
          <w:p w:rsidR="00D15045" w:rsidRPr="00D15045" w:rsidP="00D15045" w14:paraId="7F0A283D"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single" w:sz="8" w:space="0" w:color="auto"/>
              <w:left w:val="nil"/>
              <w:bottom w:val="single" w:sz="8" w:space="0" w:color="auto"/>
              <w:right w:val="nil"/>
            </w:tcBorders>
            <w:shd w:val="clear" w:color="auto" w:fill="auto"/>
            <w:vAlign w:val="center"/>
            <w:hideMark/>
          </w:tcPr>
          <w:p w:rsidR="00D15045" w:rsidRPr="00D15045" w:rsidP="00D15045" w14:paraId="43B6BB80"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single" w:sz="8" w:space="0" w:color="auto"/>
              <w:left w:val="nil"/>
              <w:bottom w:val="single" w:sz="8" w:space="0" w:color="auto"/>
              <w:right w:val="nil"/>
            </w:tcBorders>
            <w:shd w:val="clear" w:color="auto" w:fill="auto"/>
            <w:vAlign w:val="center"/>
            <w:hideMark/>
          </w:tcPr>
          <w:p w:rsidR="00D15045" w:rsidRPr="00D15045" w:rsidP="00D15045" w14:paraId="5443E368"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single" w:sz="8" w:space="0" w:color="auto"/>
              <w:left w:val="nil"/>
              <w:bottom w:val="single" w:sz="8" w:space="0" w:color="auto"/>
              <w:right w:val="nil"/>
            </w:tcBorders>
            <w:shd w:val="clear" w:color="auto" w:fill="auto"/>
            <w:vAlign w:val="center"/>
            <w:hideMark/>
          </w:tcPr>
          <w:p w:rsidR="00D15045" w:rsidRPr="00D15045" w:rsidP="00D15045" w14:paraId="4B77F8AD"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900" w:type="dxa"/>
            <w:tcBorders>
              <w:top w:val="single" w:sz="8" w:space="0" w:color="auto"/>
              <w:left w:val="nil"/>
              <w:bottom w:val="single" w:sz="8" w:space="0" w:color="auto"/>
              <w:right w:val="nil"/>
            </w:tcBorders>
            <w:shd w:val="clear" w:color="auto" w:fill="auto"/>
            <w:vAlign w:val="center"/>
            <w:hideMark/>
          </w:tcPr>
          <w:p w:rsidR="00D15045" w:rsidRPr="00D15045" w:rsidP="00D15045" w14:paraId="548BF444"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single" w:sz="8" w:space="0" w:color="auto"/>
              <w:left w:val="nil"/>
              <w:bottom w:val="single" w:sz="8" w:space="0" w:color="auto"/>
              <w:right w:val="nil"/>
            </w:tcBorders>
            <w:shd w:val="clear" w:color="auto" w:fill="auto"/>
            <w:vAlign w:val="center"/>
            <w:hideMark/>
          </w:tcPr>
          <w:p w:rsidR="00D15045" w:rsidRPr="00D15045" w:rsidP="00D15045" w14:paraId="1826B25E"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D15045" w:rsidRPr="00D15045" w:rsidP="00D15045" w14:paraId="1F957593"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2,216</w:t>
            </w:r>
          </w:p>
        </w:tc>
      </w:tr>
      <w:tr w14:paraId="590DA2FF" w14:textId="77777777" w:rsidTr="00E27A7D">
        <w:tblPrEx>
          <w:tblW w:w="10340" w:type="dxa"/>
          <w:tblLook w:val="04A0"/>
        </w:tblPrEx>
        <w:trPr>
          <w:trHeight w:val="290"/>
        </w:trPr>
        <w:tc>
          <w:tcPr>
            <w:tcW w:w="1034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D15045" w:rsidRPr="00D15045" w:rsidP="00D15045" w14:paraId="101036A9" w14:textId="77777777">
            <w:pPr>
              <w:widowControl/>
              <w:jc w:val="center"/>
              <w:rPr>
                <w:rFonts w:ascii="Source Sans Pro" w:hAnsi="Source Sans Pro"/>
                <w:b/>
                <w:bCs/>
                <w:snapToGrid/>
                <w:color w:val="000000"/>
                <w:sz w:val="16"/>
                <w:szCs w:val="16"/>
              </w:rPr>
            </w:pPr>
            <w:r w:rsidRPr="00D15045">
              <w:rPr>
                <w:rFonts w:ascii="Source Sans Pro" w:hAnsi="Source Sans Pro"/>
                <w:b/>
                <w:bCs/>
                <w:snapToGrid/>
                <w:color w:val="000000"/>
                <w:sz w:val="16"/>
                <w:szCs w:val="16"/>
              </w:rPr>
              <w:t>Ongoing</w:t>
            </w:r>
          </w:p>
        </w:tc>
      </w:tr>
      <w:tr w14:paraId="5DB6F279" w14:textId="77777777" w:rsidTr="00E27A7D">
        <w:tblPrEx>
          <w:tblW w:w="10340" w:type="dxa"/>
          <w:tblLook w:val="04A0"/>
        </w:tblPrEx>
        <w:trPr>
          <w:trHeight w:val="720"/>
        </w:trPr>
        <w:tc>
          <w:tcPr>
            <w:tcW w:w="2480" w:type="dxa"/>
            <w:tcBorders>
              <w:top w:val="nil"/>
              <w:left w:val="single" w:sz="8" w:space="0" w:color="auto"/>
              <w:bottom w:val="single" w:sz="4" w:space="0" w:color="auto"/>
              <w:right w:val="single" w:sz="4" w:space="0" w:color="auto"/>
            </w:tcBorders>
            <w:shd w:val="clear" w:color="auto" w:fill="auto"/>
            <w:vAlign w:val="center"/>
            <w:hideMark/>
          </w:tcPr>
          <w:p w:rsidR="00D15045" w:rsidRPr="00D15045" w:rsidP="00D15045" w14:paraId="7B32F3EA" w14:textId="77777777">
            <w:pPr>
              <w:widowControl/>
              <w:rPr>
                <w:rFonts w:ascii="Source Sans Pro" w:hAnsi="Source Sans Pro"/>
                <w:b/>
                <w:bCs/>
                <w:snapToGrid/>
                <w:sz w:val="16"/>
                <w:szCs w:val="16"/>
              </w:rPr>
            </w:pPr>
            <w:r w:rsidRPr="00D15045">
              <w:rPr>
                <w:rFonts w:ascii="Source Sans Pro" w:hAnsi="Source Sans Pro"/>
                <w:b/>
                <w:bCs/>
                <w:snapToGrid/>
                <w:sz w:val="16"/>
                <w:szCs w:val="16"/>
              </w:rPr>
              <w:t>Notification of identity of person responsible for producing standard data downloads - 360.9(c)(3)</w:t>
            </w:r>
          </w:p>
        </w:tc>
        <w:tc>
          <w:tcPr>
            <w:tcW w:w="1290" w:type="dxa"/>
            <w:tcBorders>
              <w:top w:val="nil"/>
              <w:left w:val="nil"/>
              <w:bottom w:val="single" w:sz="4" w:space="0" w:color="auto"/>
              <w:right w:val="single" w:sz="4" w:space="0" w:color="auto"/>
            </w:tcBorders>
            <w:shd w:val="clear" w:color="auto" w:fill="auto"/>
            <w:vAlign w:val="center"/>
            <w:hideMark/>
          </w:tcPr>
          <w:p w:rsidR="00D15045" w:rsidRPr="00D15045" w:rsidP="00D15045" w14:paraId="6CC44BB2"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4198D6E3"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Mandatory</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1F78999C"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126</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70A9B2A9"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D15045" w:rsidRPr="00D15045" w:rsidP="00D15045" w14:paraId="3937F80E"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8</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3333F1E6"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One time</w:t>
            </w:r>
          </w:p>
        </w:tc>
        <w:tc>
          <w:tcPr>
            <w:tcW w:w="990" w:type="dxa"/>
            <w:tcBorders>
              <w:top w:val="nil"/>
              <w:left w:val="nil"/>
              <w:bottom w:val="single" w:sz="4" w:space="0" w:color="auto"/>
              <w:right w:val="single" w:sz="8" w:space="0" w:color="auto"/>
            </w:tcBorders>
            <w:shd w:val="clear" w:color="auto" w:fill="auto"/>
            <w:vAlign w:val="center"/>
            <w:hideMark/>
          </w:tcPr>
          <w:p w:rsidR="00D15045" w:rsidRPr="00D15045" w:rsidP="00D15045" w14:paraId="6AD3E2F6"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1,008</w:t>
            </w:r>
          </w:p>
        </w:tc>
      </w:tr>
      <w:tr w14:paraId="7B80CCA2" w14:textId="77777777" w:rsidTr="00E27A7D">
        <w:tblPrEx>
          <w:tblW w:w="10340" w:type="dxa"/>
          <w:tblLook w:val="04A0"/>
        </w:tblPrEx>
        <w:trPr>
          <w:trHeight w:val="700"/>
        </w:trPr>
        <w:tc>
          <w:tcPr>
            <w:tcW w:w="2480" w:type="dxa"/>
            <w:tcBorders>
              <w:top w:val="nil"/>
              <w:left w:val="single" w:sz="8" w:space="0" w:color="auto"/>
              <w:bottom w:val="single" w:sz="4" w:space="0" w:color="auto"/>
              <w:right w:val="single" w:sz="4" w:space="0" w:color="auto"/>
            </w:tcBorders>
            <w:shd w:val="clear" w:color="auto" w:fill="auto"/>
            <w:vAlign w:val="center"/>
            <w:hideMark/>
          </w:tcPr>
          <w:p w:rsidR="00D15045" w:rsidRPr="00D15045" w:rsidP="00D15045" w14:paraId="4E80F694" w14:textId="77777777">
            <w:pPr>
              <w:widowControl/>
              <w:rPr>
                <w:rFonts w:ascii="Source Sans Pro" w:hAnsi="Source Sans Pro"/>
                <w:b/>
                <w:bCs/>
                <w:snapToGrid/>
                <w:sz w:val="16"/>
                <w:szCs w:val="16"/>
              </w:rPr>
            </w:pPr>
            <w:r w:rsidRPr="00D15045">
              <w:rPr>
                <w:rFonts w:ascii="Source Sans Pro" w:hAnsi="Source Sans Pro"/>
                <w:b/>
                <w:bCs/>
                <w:snapToGrid/>
                <w:sz w:val="16"/>
                <w:szCs w:val="16"/>
              </w:rPr>
              <w:t>Request for exemption from provisional hold requirements - 360.9(c)(9)</w:t>
            </w:r>
          </w:p>
        </w:tc>
        <w:tc>
          <w:tcPr>
            <w:tcW w:w="1290" w:type="dxa"/>
            <w:tcBorders>
              <w:top w:val="nil"/>
              <w:left w:val="nil"/>
              <w:bottom w:val="single" w:sz="4" w:space="0" w:color="auto"/>
              <w:right w:val="single" w:sz="4" w:space="0" w:color="auto"/>
            </w:tcBorders>
            <w:shd w:val="clear" w:color="auto" w:fill="auto"/>
            <w:vAlign w:val="center"/>
            <w:hideMark/>
          </w:tcPr>
          <w:p w:rsidR="00D15045" w:rsidRPr="00D15045" w:rsidP="00D15045" w14:paraId="448077D0"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0F813D8F"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Voluntary</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6C234600"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204170E7"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D15045" w:rsidRPr="00D15045" w:rsidP="00D15045" w14:paraId="09950DFC"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36463BA3"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 occasion</w:t>
            </w:r>
          </w:p>
        </w:tc>
        <w:tc>
          <w:tcPr>
            <w:tcW w:w="990" w:type="dxa"/>
            <w:tcBorders>
              <w:top w:val="nil"/>
              <w:left w:val="nil"/>
              <w:bottom w:val="single" w:sz="4" w:space="0" w:color="auto"/>
              <w:right w:val="single" w:sz="8" w:space="0" w:color="auto"/>
            </w:tcBorders>
            <w:shd w:val="clear" w:color="auto" w:fill="auto"/>
            <w:vAlign w:val="center"/>
            <w:hideMark/>
          </w:tcPr>
          <w:p w:rsidR="00D15045" w:rsidRPr="00D15045" w:rsidP="00D15045" w14:paraId="3F6AB3CE"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r>
      <w:tr w14:paraId="77983F0E" w14:textId="77777777" w:rsidTr="00E27A7D">
        <w:tblPrEx>
          <w:tblW w:w="10340" w:type="dxa"/>
          <w:tblLook w:val="04A0"/>
        </w:tblPrEx>
        <w:trPr>
          <w:trHeight w:val="290"/>
        </w:trPr>
        <w:tc>
          <w:tcPr>
            <w:tcW w:w="2480" w:type="dxa"/>
            <w:tcBorders>
              <w:top w:val="nil"/>
              <w:left w:val="single" w:sz="8" w:space="0" w:color="auto"/>
              <w:bottom w:val="single" w:sz="4" w:space="0" w:color="auto"/>
              <w:right w:val="single" w:sz="4" w:space="0" w:color="auto"/>
            </w:tcBorders>
            <w:shd w:val="clear" w:color="auto" w:fill="auto"/>
            <w:vAlign w:val="center"/>
            <w:hideMark/>
          </w:tcPr>
          <w:p w:rsidR="00D15045" w:rsidRPr="00D15045" w:rsidP="00D15045" w14:paraId="17376B26" w14:textId="77777777">
            <w:pPr>
              <w:widowControl/>
              <w:rPr>
                <w:rFonts w:ascii="Source Sans Pro" w:hAnsi="Source Sans Pro"/>
                <w:b/>
                <w:bCs/>
                <w:snapToGrid/>
                <w:sz w:val="16"/>
                <w:szCs w:val="16"/>
              </w:rPr>
            </w:pPr>
            <w:r w:rsidRPr="00D15045">
              <w:rPr>
                <w:rFonts w:ascii="Source Sans Pro" w:hAnsi="Source Sans Pro"/>
                <w:b/>
                <w:bCs/>
                <w:snapToGrid/>
                <w:sz w:val="16"/>
                <w:szCs w:val="16"/>
              </w:rPr>
              <w:t>Request for exemption - 360.9(f)</w:t>
            </w:r>
          </w:p>
        </w:tc>
        <w:tc>
          <w:tcPr>
            <w:tcW w:w="1290" w:type="dxa"/>
            <w:tcBorders>
              <w:top w:val="nil"/>
              <w:left w:val="nil"/>
              <w:bottom w:val="single" w:sz="4" w:space="0" w:color="auto"/>
              <w:right w:val="single" w:sz="4" w:space="0" w:color="auto"/>
            </w:tcBorders>
            <w:shd w:val="clear" w:color="auto" w:fill="auto"/>
            <w:vAlign w:val="center"/>
            <w:hideMark/>
          </w:tcPr>
          <w:p w:rsidR="00D15045" w:rsidRPr="00D15045" w:rsidP="00D15045" w14:paraId="441653DE"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279C34EE"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Voluntary</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2EA75AAA"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654DFB2E"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D15045" w:rsidRPr="00D15045" w:rsidP="00D15045" w14:paraId="7BAA023A"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c>
          <w:tcPr>
            <w:tcW w:w="1170" w:type="dxa"/>
            <w:tcBorders>
              <w:top w:val="nil"/>
              <w:left w:val="nil"/>
              <w:bottom w:val="single" w:sz="4" w:space="0" w:color="auto"/>
              <w:right w:val="single" w:sz="4" w:space="0" w:color="auto"/>
            </w:tcBorders>
            <w:shd w:val="clear" w:color="auto" w:fill="auto"/>
            <w:vAlign w:val="center"/>
            <w:hideMark/>
          </w:tcPr>
          <w:p w:rsidR="00D15045" w:rsidRPr="00D15045" w:rsidP="00D15045" w14:paraId="44246833"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 occasion</w:t>
            </w:r>
          </w:p>
        </w:tc>
        <w:tc>
          <w:tcPr>
            <w:tcW w:w="990" w:type="dxa"/>
            <w:tcBorders>
              <w:top w:val="nil"/>
              <w:left w:val="nil"/>
              <w:bottom w:val="single" w:sz="4" w:space="0" w:color="auto"/>
              <w:right w:val="single" w:sz="8" w:space="0" w:color="auto"/>
            </w:tcBorders>
            <w:shd w:val="clear" w:color="auto" w:fill="auto"/>
            <w:vAlign w:val="center"/>
            <w:hideMark/>
          </w:tcPr>
          <w:p w:rsidR="00D15045" w:rsidRPr="00D15045" w:rsidP="00D15045" w14:paraId="43BE538E"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20</w:t>
            </w:r>
          </w:p>
        </w:tc>
      </w:tr>
      <w:tr w14:paraId="68EF893B" w14:textId="77777777" w:rsidTr="00E27A7D">
        <w:tblPrEx>
          <w:tblW w:w="10340" w:type="dxa"/>
          <w:tblLook w:val="04A0"/>
        </w:tblPrEx>
        <w:trPr>
          <w:trHeight w:val="530"/>
        </w:trPr>
        <w:tc>
          <w:tcPr>
            <w:tcW w:w="2480" w:type="dxa"/>
            <w:tcBorders>
              <w:top w:val="nil"/>
              <w:left w:val="single" w:sz="8" w:space="0" w:color="auto"/>
              <w:bottom w:val="nil"/>
              <w:right w:val="single" w:sz="4" w:space="0" w:color="auto"/>
            </w:tcBorders>
            <w:shd w:val="clear" w:color="auto" w:fill="auto"/>
            <w:vAlign w:val="center"/>
            <w:hideMark/>
          </w:tcPr>
          <w:p w:rsidR="00D15045" w:rsidRPr="00D15045" w:rsidP="00D15045" w14:paraId="26B7FF70" w14:textId="77777777">
            <w:pPr>
              <w:widowControl/>
              <w:rPr>
                <w:rFonts w:ascii="Source Sans Pro" w:hAnsi="Source Sans Pro"/>
                <w:b/>
                <w:bCs/>
                <w:snapToGrid/>
                <w:sz w:val="16"/>
                <w:szCs w:val="16"/>
              </w:rPr>
            </w:pPr>
            <w:r w:rsidRPr="00D15045">
              <w:rPr>
                <w:rFonts w:ascii="Source Sans Pro" w:hAnsi="Source Sans Pro"/>
                <w:b/>
                <w:bCs/>
                <w:snapToGrid/>
                <w:sz w:val="16"/>
                <w:szCs w:val="16"/>
              </w:rPr>
              <w:t>Test compliance with 360.9 (c) - (d) pursuant to 360.9(h)</w:t>
            </w:r>
          </w:p>
        </w:tc>
        <w:tc>
          <w:tcPr>
            <w:tcW w:w="1290" w:type="dxa"/>
            <w:tcBorders>
              <w:top w:val="nil"/>
              <w:left w:val="nil"/>
              <w:bottom w:val="nil"/>
              <w:right w:val="single" w:sz="4" w:space="0" w:color="auto"/>
            </w:tcBorders>
            <w:shd w:val="clear" w:color="auto" w:fill="auto"/>
            <w:vAlign w:val="center"/>
            <w:hideMark/>
          </w:tcPr>
          <w:p w:rsidR="00D15045" w:rsidRPr="00D15045" w:rsidP="00D15045" w14:paraId="7BCF2F32"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Reporting</w:t>
            </w:r>
          </w:p>
        </w:tc>
        <w:tc>
          <w:tcPr>
            <w:tcW w:w="1170" w:type="dxa"/>
            <w:tcBorders>
              <w:top w:val="nil"/>
              <w:left w:val="nil"/>
              <w:bottom w:val="nil"/>
              <w:right w:val="single" w:sz="4" w:space="0" w:color="auto"/>
            </w:tcBorders>
            <w:shd w:val="clear" w:color="auto" w:fill="auto"/>
            <w:vAlign w:val="center"/>
            <w:hideMark/>
          </w:tcPr>
          <w:p w:rsidR="00D15045" w:rsidRPr="00D15045" w:rsidP="00D15045" w14:paraId="56528441"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Mandatory</w:t>
            </w:r>
          </w:p>
        </w:tc>
        <w:tc>
          <w:tcPr>
            <w:tcW w:w="1170" w:type="dxa"/>
            <w:tcBorders>
              <w:top w:val="nil"/>
              <w:left w:val="nil"/>
              <w:bottom w:val="nil"/>
              <w:right w:val="single" w:sz="4" w:space="0" w:color="auto"/>
            </w:tcBorders>
            <w:shd w:val="clear" w:color="auto" w:fill="auto"/>
            <w:vAlign w:val="center"/>
            <w:hideMark/>
          </w:tcPr>
          <w:p w:rsidR="00D15045" w:rsidRPr="00D15045" w:rsidP="00D15045" w14:paraId="36A88B74"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40</w:t>
            </w:r>
          </w:p>
        </w:tc>
        <w:tc>
          <w:tcPr>
            <w:tcW w:w="1170" w:type="dxa"/>
            <w:tcBorders>
              <w:top w:val="nil"/>
              <w:left w:val="nil"/>
              <w:bottom w:val="nil"/>
              <w:right w:val="single" w:sz="4" w:space="0" w:color="auto"/>
            </w:tcBorders>
            <w:shd w:val="clear" w:color="auto" w:fill="auto"/>
            <w:vAlign w:val="center"/>
            <w:hideMark/>
          </w:tcPr>
          <w:p w:rsidR="00D15045" w:rsidRPr="00D15045" w:rsidP="00D15045" w14:paraId="7AFAB2CF"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1</w:t>
            </w:r>
          </w:p>
        </w:tc>
        <w:tc>
          <w:tcPr>
            <w:tcW w:w="900" w:type="dxa"/>
            <w:tcBorders>
              <w:top w:val="nil"/>
              <w:left w:val="nil"/>
              <w:bottom w:val="nil"/>
              <w:right w:val="single" w:sz="4" w:space="0" w:color="auto"/>
            </w:tcBorders>
            <w:shd w:val="clear" w:color="auto" w:fill="auto"/>
            <w:vAlign w:val="center"/>
            <w:hideMark/>
          </w:tcPr>
          <w:p w:rsidR="00D15045" w:rsidRPr="00D15045" w:rsidP="00D15045" w14:paraId="7EAAAEF3"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80</w:t>
            </w:r>
          </w:p>
        </w:tc>
        <w:tc>
          <w:tcPr>
            <w:tcW w:w="1170" w:type="dxa"/>
            <w:tcBorders>
              <w:top w:val="nil"/>
              <w:left w:val="nil"/>
              <w:bottom w:val="nil"/>
              <w:right w:val="single" w:sz="4" w:space="0" w:color="auto"/>
            </w:tcBorders>
            <w:shd w:val="clear" w:color="auto" w:fill="auto"/>
            <w:vAlign w:val="center"/>
            <w:hideMark/>
          </w:tcPr>
          <w:p w:rsidR="00D15045" w:rsidRPr="00D15045" w:rsidP="00D15045" w14:paraId="750694F0"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On occasion</w:t>
            </w:r>
          </w:p>
        </w:tc>
        <w:tc>
          <w:tcPr>
            <w:tcW w:w="990" w:type="dxa"/>
            <w:tcBorders>
              <w:top w:val="nil"/>
              <w:left w:val="nil"/>
              <w:bottom w:val="nil"/>
              <w:right w:val="single" w:sz="8" w:space="0" w:color="auto"/>
            </w:tcBorders>
            <w:shd w:val="clear" w:color="auto" w:fill="auto"/>
            <w:vAlign w:val="center"/>
            <w:hideMark/>
          </w:tcPr>
          <w:p w:rsidR="00D15045" w:rsidRPr="00D15045" w:rsidP="00D15045" w14:paraId="188CB459"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3,200</w:t>
            </w:r>
          </w:p>
        </w:tc>
      </w:tr>
      <w:tr w14:paraId="02A2F07F" w14:textId="77777777" w:rsidTr="00E27A7D">
        <w:tblPrEx>
          <w:tblW w:w="10340" w:type="dxa"/>
          <w:tblLook w:val="04A0"/>
        </w:tblPrEx>
        <w:trPr>
          <w:trHeight w:val="250"/>
        </w:trPr>
        <w:tc>
          <w:tcPr>
            <w:tcW w:w="24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15045" w:rsidRPr="00D15045" w:rsidP="00D15045" w14:paraId="4870808A" w14:textId="77777777">
            <w:pPr>
              <w:widowControl/>
              <w:jc w:val="right"/>
              <w:rPr>
                <w:rFonts w:ascii="Source Sans Pro" w:hAnsi="Source Sans Pro"/>
                <w:b/>
                <w:bCs/>
                <w:snapToGrid/>
                <w:sz w:val="16"/>
                <w:szCs w:val="16"/>
              </w:rPr>
            </w:pPr>
            <w:r w:rsidRPr="00D15045">
              <w:rPr>
                <w:rFonts w:ascii="Source Sans Pro" w:hAnsi="Source Sans Pro"/>
                <w:b/>
                <w:bCs/>
                <w:snapToGrid/>
                <w:sz w:val="16"/>
                <w:szCs w:val="16"/>
              </w:rPr>
              <w:t>Total Ongoing Burden</w:t>
            </w:r>
          </w:p>
        </w:tc>
        <w:tc>
          <w:tcPr>
            <w:tcW w:w="1290" w:type="dxa"/>
            <w:tcBorders>
              <w:top w:val="single" w:sz="8" w:space="0" w:color="auto"/>
              <w:left w:val="nil"/>
              <w:bottom w:val="single" w:sz="8" w:space="0" w:color="auto"/>
              <w:right w:val="nil"/>
            </w:tcBorders>
            <w:shd w:val="clear" w:color="auto" w:fill="auto"/>
            <w:noWrap/>
            <w:vAlign w:val="bottom"/>
            <w:hideMark/>
          </w:tcPr>
          <w:p w:rsidR="00D15045" w:rsidRPr="00D15045" w:rsidP="00D15045" w14:paraId="1EFFFB63" w14:textId="77777777">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single" w:sz="8" w:space="0" w:color="auto"/>
              <w:left w:val="nil"/>
              <w:bottom w:val="single" w:sz="8" w:space="0" w:color="auto"/>
              <w:right w:val="nil"/>
            </w:tcBorders>
            <w:shd w:val="clear" w:color="auto" w:fill="auto"/>
            <w:vAlign w:val="center"/>
            <w:hideMark/>
          </w:tcPr>
          <w:p w:rsidR="00D15045" w:rsidRPr="00D15045" w:rsidP="00D15045" w14:paraId="5D5BC2DB" w14:textId="77777777">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single" w:sz="8" w:space="0" w:color="auto"/>
              <w:left w:val="nil"/>
              <w:bottom w:val="single" w:sz="8" w:space="0" w:color="auto"/>
              <w:right w:val="nil"/>
            </w:tcBorders>
            <w:shd w:val="clear" w:color="auto" w:fill="auto"/>
            <w:vAlign w:val="center"/>
            <w:hideMark/>
          </w:tcPr>
          <w:p w:rsidR="00D15045" w:rsidRPr="00D15045" w:rsidP="00D15045" w14:paraId="244F26C0" w14:textId="77777777">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single" w:sz="8" w:space="0" w:color="auto"/>
              <w:left w:val="nil"/>
              <w:bottom w:val="single" w:sz="8" w:space="0" w:color="auto"/>
              <w:right w:val="nil"/>
            </w:tcBorders>
            <w:shd w:val="clear" w:color="auto" w:fill="auto"/>
            <w:vAlign w:val="center"/>
            <w:hideMark/>
          </w:tcPr>
          <w:p w:rsidR="00D15045" w:rsidRPr="00D15045" w:rsidP="00D15045" w14:paraId="0B8E4967" w14:textId="77777777">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900" w:type="dxa"/>
            <w:tcBorders>
              <w:top w:val="single" w:sz="8" w:space="0" w:color="auto"/>
              <w:left w:val="nil"/>
              <w:bottom w:val="single" w:sz="8" w:space="0" w:color="auto"/>
              <w:right w:val="nil"/>
            </w:tcBorders>
            <w:shd w:val="clear" w:color="auto" w:fill="auto"/>
            <w:vAlign w:val="center"/>
            <w:hideMark/>
          </w:tcPr>
          <w:p w:rsidR="00D15045" w:rsidRPr="00D15045" w:rsidP="00D15045" w14:paraId="6CA2A9FD" w14:textId="77777777">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single" w:sz="8" w:space="0" w:color="auto"/>
              <w:left w:val="nil"/>
              <w:bottom w:val="single" w:sz="8" w:space="0" w:color="auto"/>
              <w:right w:val="nil"/>
            </w:tcBorders>
            <w:shd w:val="clear" w:color="auto" w:fill="auto"/>
            <w:vAlign w:val="center"/>
            <w:hideMark/>
          </w:tcPr>
          <w:p w:rsidR="00D15045" w:rsidRPr="00D15045" w:rsidP="00D15045" w14:paraId="37604A3E" w14:textId="77777777">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D15045" w:rsidRPr="00D15045" w:rsidP="00D15045" w14:paraId="040D05C4"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4,248</w:t>
            </w:r>
          </w:p>
        </w:tc>
      </w:tr>
      <w:tr w14:paraId="73CB3F3D" w14:textId="77777777" w:rsidTr="00E27A7D">
        <w:tblPrEx>
          <w:tblW w:w="10340" w:type="dxa"/>
          <w:tblLook w:val="04A0"/>
        </w:tblPrEx>
        <w:trPr>
          <w:trHeight w:val="331"/>
        </w:trPr>
        <w:tc>
          <w:tcPr>
            <w:tcW w:w="2480" w:type="dxa"/>
            <w:tcBorders>
              <w:top w:val="nil"/>
              <w:left w:val="single" w:sz="8" w:space="0" w:color="auto"/>
              <w:bottom w:val="single" w:sz="8" w:space="0" w:color="auto"/>
              <w:right w:val="single" w:sz="4" w:space="0" w:color="auto"/>
            </w:tcBorders>
            <w:shd w:val="clear" w:color="auto" w:fill="auto"/>
            <w:vAlign w:val="center"/>
            <w:hideMark/>
          </w:tcPr>
          <w:p w:rsidR="00D15045" w:rsidRPr="00D15045" w:rsidP="00D15045" w14:paraId="3FF0E5C5" w14:textId="77777777">
            <w:pPr>
              <w:widowControl/>
              <w:jc w:val="right"/>
              <w:rPr>
                <w:rFonts w:ascii="Source Sans Pro" w:hAnsi="Source Sans Pro"/>
                <w:b/>
                <w:bCs/>
                <w:snapToGrid/>
                <w:sz w:val="16"/>
                <w:szCs w:val="16"/>
              </w:rPr>
            </w:pPr>
            <w:r w:rsidRPr="00D15045">
              <w:rPr>
                <w:rFonts w:ascii="Source Sans Pro" w:hAnsi="Source Sans Pro"/>
                <w:b/>
                <w:bCs/>
                <w:snapToGrid/>
                <w:sz w:val="16"/>
                <w:szCs w:val="16"/>
              </w:rPr>
              <w:t>Total Estimated Annual Burden</w:t>
            </w:r>
          </w:p>
        </w:tc>
        <w:tc>
          <w:tcPr>
            <w:tcW w:w="1290" w:type="dxa"/>
            <w:tcBorders>
              <w:top w:val="nil"/>
              <w:left w:val="nil"/>
              <w:bottom w:val="single" w:sz="8" w:space="0" w:color="auto"/>
              <w:right w:val="nil"/>
            </w:tcBorders>
            <w:shd w:val="clear" w:color="auto" w:fill="auto"/>
            <w:noWrap/>
            <w:vAlign w:val="bottom"/>
            <w:hideMark/>
          </w:tcPr>
          <w:p w:rsidR="00D15045" w:rsidRPr="00D15045" w:rsidP="00D15045" w14:paraId="17AB81CD" w14:textId="77777777">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nil"/>
              <w:left w:val="nil"/>
              <w:bottom w:val="single" w:sz="8" w:space="0" w:color="auto"/>
              <w:right w:val="nil"/>
            </w:tcBorders>
            <w:shd w:val="clear" w:color="auto" w:fill="auto"/>
            <w:vAlign w:val="center"/>
            <w:hideMark/>
          </w:tcPr>
          <w:p w:rsidR="00D15045" w:rsidRPr="00D15045" w:rsidP="00D15045" w14:paraId="299F47AD" w14:textId="77777777">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nil"/>
              <w:left w:val="nil"/>
              <w:bottom w:val="single" w:sz="8" w:space="0" w:color="auto"/>
              <w:right w:val="nil"/>
            </w:tcBorders>
            <w:shd w:val="clear" w:color="auto" w:fill="auto"/>
            <w:vAlign w:val="center"/>
            <w:hideMark/>
          </w:tcPr>
          <w:p w:rsidR="00D15045" w:rsidRPr="00D15045" w:rsidP="00D15045" w14:paraId="5E8D8625" w14:textId="77777777">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nil"/>
              <w:left w:val="nil"/>
              <w:bottom w:val="single" w:sz="8" w:space="0" w:color="auto"/>
              <w:right w:val="nil"/>
            </w:tcBorders>
            <w:shd w:val="clear" w:color="auto" w:fill="auto"/>
            <w:vAlign w:val="center"/>
            <w:hideMark/>
          </w:tcPr>
          <w:p w:rsidR="00D15045" w:rsidRPr="00D15045" w:rsidP="00D15045" w14:paraId="76603286" w14:textId="77777777">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900" w:type="dxa"/>
            <w:tcBorders>
              <w:top w:val="nil"/>
              <w:left w:val="nil"/>
              <w:bottom w:val="single" w:sz="8" w:space="0" w:color="auto"/>
              <w:right w:val="nil"/>
            </w:tcBorders>
            <w:shd w:val="clear" w:color="auto" w:fill="auto"/>
            <w:vAlign w:val="center"/>
            <w:hideMark/>
          </w:tcPr>
          <w:p w:rsidR="00D15045" w:rsidRPr="00D15045" w:rsidP="00D15045" w14:paraId="637F2CE6" w14:textId="77777777">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1170" w:type="dxa"/>
            <w:tcBorders>
              <w:top w:val="nil"/>
              <w:left w:val="nil"/>
              <w:bottom w:val="single" w:sz="8" w:space="0" w:color="auto"/>
              <w:right w:val="nil"/>
            </w:tcBorders>
            <w:shd w:val="clear" w:color="auto" w:fill="auto"/>
            <w:vAlign w:val="center"/>
            <w:hideMark/>
          </w:tcPr>
          <w:p w:rsidR="00D15045" w:rsidRPr="00D15045" w:rsidP="00D15045" w14:paraId="20EA54E4" w14:textId="77777777">
            <w:pPr>
              <w:widowControl/>
              <w:rPr>
                <w:rFonts w:ascii="Source Sans Pro" w:hAnsi="Source Sans Pro"/>
                <w:snapToGrid/>
                <w:color w:val="000000"/>
                <w:sz w:val="16"/>
                <w:szCs w:val="16"/>
              </w:rPr>
            </w:pPr>
            <w:r w:rsidRPr="00D15045">
              <w:rPr>
                <w:rFonts w:ascii="Source Sans Pro" w:hAnsi="Source Sans Pro"/>
                <w:snapToGrid/>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D15045" w:rsidRPr="00D15045" w:rsidP="00D15045" w14:paraId="58C7606E" w14:textId="77777777">
            <w:pPr>
              <w:widowControl/>
              <w:jc w:val="center"/>
              <w:rPr>
                <w:rFonts w:ascii="Source Sans Pro" w:hAnsi="Source Sans Pro"/>
                <w:snapToGrid/>
                <w:color w:val="000000"/>
                <w:sz w:val="16"/>
                <w:szCs w:val="16"/>
              </w:rPr>
            </w:pPr>
            <w:r w:rsidRPr="00D15045">
              <w:rPr>
                <w:rFonts w:ascii="Source Sans Pro" w:hAnsi="Source Sans Pro"/>
                <w:snapToGrid/>
                <w:color w:val="000000"/>
                <w:sz w:val="16"/>
                <w:szCs w:val="16"/>
              </w:rPr>
              <w:t>6,464</w:t>
            </w:r>
          </w:p>
        </w:tc>
      </w:tr>
    </w:tbl>
    <w:p w:rsidR="00D6294F" w:rsidP="00D6294F" w14:paraId="072AB68F" w14:textId="7D5E2523">
      <w:pPr>
        <w:rPr>
          <w:highlight w:val="yellow"/>
        </w:rPr>
      </w:pPr>
    </w:p>
    <w:p w:rsidR="00D15045" w14:paraId="0CAA3E14" w14:textId="77777777">
      <w:pPr>
        <w:rPr>
          <w:highlight w:val="yellow"/>
        </w:rPr>
      </w:pPr>
    </w:p>
    <w:p w:rsidR="00D15045" w14:paraId="7A1C4C98" w14:textId="77777777">
      <w:pPr>
        <w:rPr>
          <w:highlight w:val="yellow"/>
        </w:rPr>
      </w:pPr>
    </w:p>
    <w:p w:rsidR="00D6294F" w:rsidRPr="00E53232" w:rsidP="00E53232" w14:paraId="2AB3606D" w14:textId="77777777">
      <w:pPr>
        <w:spacing w:after="120"/>
        <w:ind w:left="1440"/>
        <w:rPr>
          <w:b/>
          <w:bCs/>
          <w:color w:val="000000"/>
        </w:rPr>
      </w:pPr>
      <w:r w:rsidRPr="00E53232">
        <w:rPr>
          <w:b/>
          <w:bCs/>
          <w:color w:val="000000"/>
        </w:rPr>
        <w:t xml:space="preserve">Total </w:t>
      </w:r>
      <w:r w:rsidRPr="00E53232">
        <w:rPr>
          <w:b/>
          <w:bCs/>
        </w:rPr>
        <w:t>Labor</w:t>
      </w:r>
      <w:r w:rsidRPr="00E53232">
        <w:rPr>
          <w:b/>
          <w:bCs/>
          <w:color w:val="000000"/>
        </w:rPr>
        <w:t xml:space="preserve"> Cost of </w:t>
      </w:r>
      <w:r w:rsidRPr="00E53232">
        <w:rPr>
          <w:b/>
          <w:bCs/>
          <w:szCs w:val="24"/>
          <w:lang w:bidi="en-US"/>
        </w:rPr>
        <w:t>Estimated</w:t>
      </w:r>
      <w:r w:rsidRPr="00E53232">
        <w:rPr>
          <w:b/>
          <w:bCs/>
          <w:color w:val="000000"/>
        </w:rPr>
        <w:t xml:space="preserve"> Annual Burden</w:t>
      </w:r>
    </w:p>
    <w:p w:rsidR="00D6294F" w:rsidP="0047407F" w14:paraId="3E86FD28" w14:textId="77777777">
      <w:pPr>
        <w:rPr>
          <w:szCs w:val="24"/>
          <w:lang w:bidi="en-US"/>
        </w:rPr>
      </w:pPr>
    </w:p>
    <w:p w:rsidR="00E53232" w:rsidP="00E53232" w14:paraId="7A14A3E5" w14:textId="18FEC1E1">
      <w:pPr>
        <w:spacing w:after="120"/>
        <w:ind w:left="1440"/>
      </w:pPr>
      <w:r>
        <w:t>The</w:t>
      </w:r>
      <w:r w:rsidR="00C83ECC">
        <w:t xml:space="preserve"> FDIC</w:t>
      </w:r>
      <w:r>
        <w:t xml:space="preserve"> </w:t>
      </w:r>
      <w:r>
        <w:t xml:space="preserve">is not making any changes to the </w:t>
      </w:r>
      <w:r>
        <w:t>distribution of labor by occupation</w:t>
      </w:r>
      <w:r>
        <w:t xml:space="preserve"> used to estimate the dollar value of the estimated total annual burden</w:t>
      </w:r>
      <w:r>
        <w:t xml:space="preserve">. </w:t>
      </w:r>
      <w:r>
        <w:t>It</w:t>
      </w:r>
      <w:r>
        <w:t xml:space="preserve"> use</w:t>
      </w:r>
      <w:r>
        <w:t>s</w:t>
      </w:r>
      <w:r>
        <w:t xml:space="preserve"> this estimated allocation of labor, along with estimated average cost of compensation for executives, compliance officers, and clerical, to estimate the hourly cost of complying with this ICR. To estimate the average cost of compensation per hour, </w:t>
      </w:r>
      <w:r>
        <w:t>FDIC</w:t>
      </w:r>
      <w:r>
        <w:t xml:space="preserve"> use the 75th percentile hourly wages reported by the Bureau of Labor Statistics (BLS) National Industry-Specific Occupational Employment and Wage Estimates (OEWS) for the relevant occupations in the Depository Credit Intermediation sector. However, the latest OEWS wage data are as of May 2023 and do not include non-wage compensation. To adjust these wages for use in the </w:t>
      </w:r>
      <w:r>
        <w:t>burden estimate</w:t>
      </w:r>
      <w:r>
        <w:t xml:space="preserve">, </w:t>
      </w:r>
      <w:r>
        <w:t>FDIC</w:t>
      </w:r>
      <w:r>
        <w:t xml:space="preserve"> multipl</w:t>
      </w:r>
      <w:r>
        <w:t>ies</w:t>
      </w:r>
      <w:r>
        <w:t xml:space="preserve"> the OEWS hourly wages by approximately 1.53 to account for non-wage compensation, using the BLS Employer Cost of Employee Compensation (ECEC) data as of March 2023 (the latest published release prior to the OEWS wage data). I</w:t>
      </w:r>
      <w:r>
        <w:t>t</w:t>
      </w:r>
      <w:r>
        <w:t xml:space="preserve"> then multipl</w:t>
      </w:r>
      <w:r>
        <w:t>ies</w:t>
      </w:r>
      <w:r>
        <w:t xml:space="preserve"> the resulting compensation rates by approximately 1.03 to account for the change in the seasonally adjusted Employment Cost Index for the Credit Intermediation and Related Activities sector (NAICS Code 522) between March 2022 and December 2023.</w:t>
      </w:r>
    </w:p>
    <w:p w:rsidR="00D15045" w:rsidP="00E53232" w14:paraId="486D4CE4" w14:textId="093823F4">
      <w:pPr>
        <w:spacing w:after="120"/>
        <w:ind w:left="1440"/>
      </w:pPr>
      <w:r>
        <w:t xml:space="preserve">After calculating these adjustments, </w:t>
      </w:r>
      <w:r>
        <w:t>FDIC</w:t>
      </w:r>
      <w:r>
        <w:t xml:space="preserve"> weight</w:t>
      </w:r>
      <w:r>
        <w:t>s</w:t>
      </w:r>
      <w:r>
        <w:t xml:space="preserve"> the total hourly compensation for the occupations shown in the table, using the </w:t>
      </w:r>
      <w:r>
        <w:t xml:space="preserve">assumed </w:t>
      </w:r>
      <w:r>
        <w:t>allocation of labor to find the estimated hourly cost of complying with this IC</w:t>
      </w:r>
      <w:r>
        <w:t>R</w:t>
      </w:r>
      <w:r>
        <w:t>.</w:t>
      </w:r>
    </w:p>
    <w:p w:rsidR="00625942" w:rsidP="00E53232" w14:paraId="5DAC4A68" w14:textId="77777777">
      <w:pPr>
        <w:spacing w:after="120"/>
        <w:ind w:left="1440"/>
      </w:pPr>
    </w:p>
    <w:tbl>
      <w:tblPr>
        <w:tblW w:w="9540" w:type="dxa"/>
        <w:tblInd w:w="-10" w:type="dxa"/>
        <w:tblLayout w:type="fixed"/>
        <w:tblCellMar>
          <w:top w:w="15" w:type="dxa"/>
          <w:bottom w:w="15" w:type="dxa"/>
        </w:tblCellMar>
        <w:tblLook w:val="04A0"/>
      </w:tblPr>
      <w:tblGrid>
        <w:gridCol w:w="1530"/>
        <w:gridCol w:w="810"/>
        <w:gridCol w:w="990"/>
        <w:gridCol w:w="900"/>
        <w:gridCol w:w="900"/>
        <w:gridCol w:w="900"/>
        <w:gridCol w:w="990"/>
        <w:gridCol w:w="900"/>
        <w:gridCol w:w="1620"/>
      </w:tblGrid>
      <w:tr w14:paraId="75AAEC40" w14:textId="77777777" w:rsidTr="004A0F9B">
        <w:tblPrEx>
          <w:tblW w:w="9540" w:type="dxa"/>
          <w:tblInd w:w="-10" w:type="dxa"/>
          <w:tblLayout w:type="fixed"/>
          <w:tblCellMar>
            <w:top w:w="15" w:type="dxa"/>
            <w:bottom w:w="15" w:type="dxa"/>
          </w:tblCellMar>
          <w:tblLook w:val="04A0"/>
        </w:tblPrEx>
        <w:trPr>
          <w:trHeight w:val="215"/>
        </w:trPr>
        <w:tc>
          <w:tcPr>
            <w:tcW w:w="9540" w:type="dxa"/>
            <w:gridSpan w:val="9"/>
            <w:tcBorders>
              <w:top w:val="single" w:sz="8" w:space="0" w:color="auto"/>
              <w:left w:val="single" w:sz="8" w:space="0" w:color="auto"/>
              <w:bottom w:val="single" w:sz="8" w:space="0" w:color="auto"/>
              <w:right w:val="single" w:sz="8" w:space="0" w:color="auto"/>
            </w:tcBorders>
            <w:noWrap/>
            <w:vAlign w:val="bottom"/>
            <w:hideMark/>
          </w:tcPr>
          <w:p w:rsidR="00625942" w:rsidRPr="00F0209F" w:rsidP="004A0F9B" w14:paraId="500BF460" w14:textId="77777777">
            <w:pPr>
              <w:widowControl/>
              <w:jc w:val="center"/>
              <w:rPr>
                <w:rFonts w:cs="Calibri"/>
                <w:color w:val="000000"/>
                <w:szCs w:val="24"/>
              </w:rPr>
            </w:pPr>
            <w:r w:rsidRPr="00F0209F">
              <w:rPr>
                <w:rFonts w:cs="Calibri"/>
                <w:color w:val="000000"/>
                <w:szCs w:val="24"/>
              </w:rPr>
              <w:t>Table 2. Summary of Hourly Burden Cost Estimate (OMB No. 3064-0162)</w:t>
            </w:r>
          </w:p>
        </w:tc>
      </w:tr>
      <w:tr w14:paraId="0A8061C2" w14:textId="77777777" w:rsidTr="004A0F9B">
        <w:tblPrEx>
          <w:tblW w:w="9540" w:type="dxa"/>
          <w:tblInd w:w="-10" w:type="dxa"/>
          <w:tblLayout w:type="fixed"/>
          <w:tblCellMar>
            <w:top w:w="15" w:type="dxa"/>
            <w:bottom w:w="15" w:type="dxa"/>
          </w:tblCellMar>
          <w:tblLook w:val="04A0"/>
        </w:tblPrEx>
        <w:trPr>
          <w:trHeight w:val="359"/>
        </w:trPr>
        <w:tc>
          <w:tcPr>
            <w:tcW w:w="1530" w:type="dxa"/>
            <w:vMerge w:val="restart"/>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39364A3D" w14:textId="77777777">
            <w:pPr>
              <w:widowControl/>
              <w:rPr>
                <w:rFonts w:cs="Calibri"/>
                <w:color w:val="000000"/>
                <w:sz w:val="20"/>
              </w:rPr>
            </w:pPr>
            <w:r w:rsidRPr="00C83ECC">
              <w:rPr>
                <w:rFonts w:cs="Calibri"/>
                <w:color w:val="000000"/>
                <w:sz w:val="20"/>
              </w:rPr>
              <w:t xml:space="preserve">Information Collection (IC) (Obligation to Respond) </w:t>
            </w:r>
          </w:p>
        </w:tc>
        <w:tc>
          <w:tcPr>
            <w:tcW w:w="810" w:type="dxa"/>
            <w:vMerge w:val="restart"/>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72CACAB7" w14:textId="77777777">
            <w:pPr>
              <w:widowControl/>
              <w:jc w:val="center"/>
              <w:rPr>
                <w:rFonts w:cs="Calibri"/>
                <w:color w:val="000000"/>
                <w:sz w:val="20"/>
              </w:rPr>
            </w:pPr>
            <w:r w:rsidRPr="00C83ECC">
              <w:rPr>
                <w:rFonts w:cs="Calibri"/>
                <w:color w:val="000000"/>
                <w:sz w:val="20"/>
              </w:rPr>
              <w:t xml:space="preserve">Hourly Weight </w:t>
            </w:r>
            <w:r w:rsidRPr="00C83ECC">
              <w:rPr>
                <w:rFonts w:cs="Calibri"/>
                <w:color w:val="000000"/>
                <w:sz w:val="20"/>
              </w:rPr>
              <w:br/>
              <w:t>(%)</w:t>
            </w:r>
          </w:p>
        </w:tc>
        <w:tc>
          <w:tcPr>
            <w:tcW w:w="5580"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8CFD666" w14:textId="77777777">
            <w:pPr>
              <w:widowControl/>
              <w:jc w:val="center"/>
              <w:rPr>
                <w:rFonts w:cs="Calibri"/>
                <w:color w:val="000000"/>
                <w:sz w:val="20"/>
              </w:rPr>
            </w:pPr>
            <w:r w:rsidRPr="00C83ECC">
              <w:rPr>
                <w:rFonts w:cs="Calibri"/>
                <w:color w:val="000000"/>
                <w:sz w:val="20"/>
              </w:rPr>
              <w:t xml:space="preserve">Percentage Shares of Hours Spent by and </w:t>
            </w:r>
            <w:r w:rsidRPr="00C83ECC">
              <w:rPr>
                <w:rFonts w:cs="Calibri"/>
                <w:color w:val="000000"/>
                <w:sz w:val="20"/>
              </w:rPr>
              <w:br/>
              <w:t xml:space="preserve">Hourly Compensation Rates for each Occupation Group </w:t>
            </w:r>
            <w:r w:rsidRPr="00C83ECC">
              <w:rPr>
                <w:rFonts w:cs="Calibri"/>
                <w:color w:val="000000"/>
                <w:sz w:val="20"/>
              </w:rPr>
              <w:br/>
              <w:t>(by Collection)</w:t>
            </w:r>
          </w:p>
        </w:tc>
        <w:tc>
          <w:tcPr>
            <w:tcW w:w="1620" w:type="dxa"/>
            <w:vMerge w:val="restart"/>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0860F414" w14:textId="77777777">
            <w:pPr>
              <w:widowControl/>
              <w:jc w:val="center"/>
              <w:rPr>
                <w:rFonts w:cs="Calibri"/>
                <w:color w:val="000000"/>
                <w:sz w:val="20"/>
              </w:rPr>
            </w:pPr>
            <w:r w:rsidRPr="00C83ECC">
              <w:rPr>
                <w:rFonts w:cs="Calibri"/>
                <w:color w:val="000000"/>
                <w:sz w:val="20"/>
              </w:rPr>
              <w:t>Estimated Hourly Compensation Rate</w:t>
            </w:r>
          </w:p>
        </w:tc>
      </w:tr>
      <w:tr w14:paraId="1BBC3627" w14:textId="77777777" w:rsidTr="004A0F9B">
        <w:tblPrEx>
          <w:tblW w:w="9540" w:type="dxa"/>
          <w:tblInd w:w="-10" w:type="dxa"/>
          <w:tblLayout w:type="fixed"/>
          <w:tblCellMar>
            <w:top w:w="15" w:type="dxa"/>
            <w:bottom w:w="15" w:type="dxa"/>
          </w:tblCellMar>
          <w:tblLook w:val="04A0"/>
        </w:tblPrEx>
        <w:trPr>
          <w:trHeight w:val="276"/>
        </w:trPr>
        <w:tc>
          <w:tcPr>
            <w:tcW w:w="1530" w:type="dxa"/>
            <w:vMerge/>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7A3315AE" w14:textId="77777777">
            <w:pPr>
              <w:widowControl/>
              <w:rPr>
                <w:rFonts w:cs="Calibri"/>
                <w:color w:val="000000"/>
                <w:sz w:val="20"/>
              </w:rPr>
            </w:pPr>
          </w:p>
        </w:tc>
        <w:tc>
          <w:tcPr>
            <w:tcW w:w="810" w:type="dxa"/>
            <w:vMerge/>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4D3BBFC" w14:textId="77777777">
            <w:pPr>
              <w:widowControl/>
              <w:rPr>
                <w:rFonts w:cs="Calibri"/>
                <w:color w:val="000000"/>
                <w:sz w:val="20"/>
              </w:rPr>
            </w:pPr>
          </w:p>
        </w:tc>
        <w:tc>
          <w:tcPr>
            <w:tcW w:w="5580" w:type="dxa"/>
            <w:gridSpan w:val="6"/>
            <w:vMerge/>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9DF6B1F" w14:textId="77777777">
            <w:pPr>
              <w:widowControl/>
              <w:rPr>
                <w:rFonts w:cs="Calibri"/>
                <w:color w:val="000000"/>
                <w:sz w:val="20"/>
              </w:rPr>
            </w:pPr>
          </w:p>
        </w:tc>
        <w:tc>
          <w:tcPr>
            <w:tcW w:w="1620" w:type="dxa"/>
            <w:vMerge/>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2B1D3D0F" w14:textId="77777777">
            <w:pPr>
              <w:widowControl/>
              <w:rPr>
                <w:rFonts w:cs="Calibri"/>
                <w:color w:val="000000"/>
                <w:sz w:val="20"/>
              </w:rPr>
            </w:pPr>
          </w:p>
        </w:tc>
      </w:tr>
      <w:tr w14:paraId="2B9EA91A" w14:textId="77777777" w:rsidTr="004A0F9B">
        <w:tblPrEx>
          <w:tblW w:w="9540" w:type="dxa"/>
          <w:tblInd w:w="-10" w:type="dxa"/>
          <w:tblLayout w:type="fixed"/>
          <w:tblCellMar>
            <w:top w:w="15" w:type="dxa"/>
            <w:bottom w:w="15" w:type="dxa"/>
          </w:tblCellMar>
          <w:tblLook w:val="04A0"/>
        </w:tblPrEx>
        <w:trPr>
          <w:trHeight w:val="276"/>
        </w:trPr>
        <w:tc>
          <w:tcPr>
            <w:tcW w:w="1530" w:type="dxa"/>
            <w:vMerge/>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E763782" w14:textId="77777777">
            <w:pPr>
              <w:widowControl/>
              <w:rPr>
                <w:rFonts w:cs="Calibri"/>
                <w:color w:val="000000"/>
                <w:sz w:val="20"/>
              </w:rPr>
            </w:pPr>
          </w:p>
        </w:tc>
        <w:tc>
          <w:tcPr>
            <w:tcW w:w="810" w:type="dxa"/>
            <w:vMerge/>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383C38B0" w14:textId="77777777">
            <w:pPr>
              <w:widowControl/>
              <w:rPr>
                <w:rFonts w:cs="Calibri"/>
                <w:color w:val="000000"/>
                <w:sz w:val="20"/>
              </w:rPr>
            </w:pPr>
          </w:p>
        </w:tc>
        <w:tc>
          <w:tcPr>
            <w:tcW w:w="990" w:type="dxa"/>
            <w:vMerge w:val="restart"/>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79579632" w14:textId="77777777">
            <w:pPr>
              <w:widowControl/>
              <w:jc w:val="center"/>
              <w:rPr>
                <w:rFonts w:cs="Calibri"/>
                <w:color w:val="000000"/>
                <w:sz w:val="20"/>
              </w:rPr>
            </w:pPr>
            <w:r w:rsidRPr="00C83ECC">
              <w:rPr>
                <w:rFonts w:cs="Calibri"/>
                <w:color w:val="000000"/>
                <w:sz w:val="20"/>
              </w:rPr>
              <w:t>Exec. &amp; Mgr.      ($145.59)</w:t>
            </w:r>
          </w:p>
        </w:tc>
        <w:tc>
          <w:tcPr>
            <w:tcW w:w="900" w:type="dxa"/>
            <w:vMerge w:val="restart"/>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3029E956" w14:textId="77777777">
            <w:pPr>
              <w:widowControl/>
              <w:jc w:val="center"/>
              <w:rPr>
                <w:rFonts w:cs="Calibri"/>
                <w:color w:val="000000"/>
                <w:sz w:val="20"/>
              </w:rPr>
            </w:pPr>
            <w:r w:rsidRPr="00C83ECC">
              <w:rPr>
                <w:rFonts w:cs="Calibri"/>
                <w:color w:val="000000"/>
                <w:sz w:val="20"/>
              </w:rPr>
              <w:t>Lawyer</w:t>
            </w:r>
            <w:r w:rsidRPr="00C83ECC">
              <w:rPr>
                <w:rFonts w:cs="Calibri"/>
                <w:color w:val="000000"/>
                <w:sz w:val="20"/>
              </w:rPr>
              <w:t xml:space="preserve">   (</w:t>
            </w:r>
            <w:r w:rsidRPr="00C83ECC">
              <w:rPr>
                <w:rFonts w:cs="Calibri"/>
                <w:color w:val="000000"/>
                <w:sz w:val="20"/>
              </w:rPr>
              <w:t>$181.4)</w:t>
            </w:r>
          </w:p>
        </w:tc>
        <w:tc>
          <w:tcPr>
            <w:tcW w:w="900" w:type="dxa"/>
            <w:vMerge w:val="restart"/>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2E954BE" w14:textId="77777777">
            <w:pPr>
              <w:widowControl/>
              <w:jc w:val="center"/>
              <w:rPr>
                <w:rFonts w:cs="Calibri"/>
                <w:color w:val="000000"/>
                <w:sz w:val="20"/>
              </w:rPr>
            </w:pPr>
            <w:r w:rsidRPr="00C83ECC">
              <w:rPr>
                <w:rFonts w:cs="Calibri"/>
                <w:color w:val="000000"/>
                <w:sz w:val="20"/>
              </w:rPr>
              <w:t>Compl. Ofc.   ($76.79)</w:t>
            </w:r>
          </w:p>
        </w:tc>
        <w:tc>
          <w:tcPr>
            <w:tcW w:w="900" w:type="dxa"/>
            <w:vMerge w:val="restart"/>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C64E852" w14:textId="77777777">
            <w:pPr>
              <w:widowControl/>
              <w:jc w:val="center"/>
              <w:rPr>
                <w:rFonts w:cs="Calibri"/>
                <w:color w:val="000000"/>
                <w:sz w:val="20"/>
              </w:rPr>
            </w:pPr>
            <w:r w:rsidRPr="00C83ECC">
              <w:rPr>
                <w:rFonts w:cs="Calibri"/>
                <w:color w:val="000000"/>
                <w:sz w:val="20"/>
              </w:rPr>
              <w:t xml:space="preserve">IT </w:t>
            </w:r>
            <w:r w:rsidRPr="00C83ECC">
              <w:rPr>
                <w:rFonts w:cs="Calibri"/>
                <w:color w:val="000000"/>
                <w:sz w:val="20"/>
              </w:rPr>
              <w:t xml:space="preserve">   (</w:t>
            </w:r>
            <w:r w:rsidRPr="00C83ECC">
              <w:rPr>
                <w:rFonts w:cs="Calibri"/>
                <w:color w:val="000000"/>
                <w:sz w:val="20"/>
              </w:rPr>
              <w:t>$110.5)</w:t>
            </w:r>
          </w:p>
        </w:tc>
        <w:tc>
          <w:tcPr>
            <w:tcW w:w="990" w:type="dxa"/>
            <w:vMerge w:val="restart"/>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26316FD3" w14:textId="77777777">
            <w:pPr>
              <w:widowControl/>
              <w:jc w:val="center"/>
              <w:rPr>
                <w:rFonts w:cs="Calibri"/>
                <w:color w:val="000000"/>
                <w:sz w:val="20"/>
              </w:rPr>
            </w:pPr>
            <w:r w:rsidRPr="00C83ECC">
              <w:rPr>
                <w:rFonts w:cs="Calibri"/>
                <w:color w:val="000000"/>
                <w:sz w:val="20"/>
              </w:rPr>
              <w:t>Fin. Anlst.    ($99.92)</w:t>
            </w:r>
          </w:p>
        </w:tc>
        <w:tc>
          <w:tcPr>
            <w:tcW w:w="900" w:type="dxa"/>
            <w:vMerge w:val="restart"/>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19BC9EB" w14:textId="77777777">
            <w:pPr>
              <w:widowControl/>
              <w:jc w:val="center"/>
              <w:rPr>
                <w:rFonts w:cs="Calibri"/>
                <w:color w:val="000000"/>
                <w:sz w:val="20"/>
              </w:rPr>
            </w:pPr>
            <w:r w:rsidRPr="00C83ECC">
              <w:rPr>
                <w:rFonts w:cs="Calibri"/>
                <w:color w:val="000000"/>
                <w:sz w:val="20"/>
              </w:rPr>
              <w:t xml:space="preserve">Clerical </w:t>
            </w:r>
            <w:r w:rsidRPr="00C83ECC">
              <w:rPr>
                <w:rFonts w:cs="Calibri"/>
                <w:color w:val="000000"/>
                <w:sz w:val="20"/>
              </w:rPr>
              <w:t xml:space="preserve">   (</w:t>
            </w:r>
            <w:r w:rsidRPr="00C83ECC">
              <w:rPr>
                <w:rFonts w:cs="Calibri"/>
                <w:color w:val="000000"/>
                <w:sz w:val="20"/>
              </w:rPr>
              <w:t>$39.25)</w:t>
            </w:r>
          </w:p>
        </w:tc>
        <w:tc>
          <w:tcPr>
            <w:tcW w:w="1620" w:type="dxa"/>
            <w:vMerge/>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09E1529" w14:textId="77777777">
            <w:pPr>
              <w:widowControl/>
              <w:rPr>
                <w:rFonts w:cs="Calibri"/>
                <w:color w:val="000000"/>
                <w:sz w:val="20"/>
              </w:rPr>
            </w:pPr>
          </w:p>
        </w:tc>
      </w:tr>
      <w:tr w14:paraId="416E7037" w14:textId="77777777" w:rsidTr="004A0F9B">
        <w:tblPrEx>
          <w:tblW w:w="9540" w:type="dxa"/>
          <w:tblInd w:w="-10" w:type="dxa"/>
          <w:tblLayout w:type="fixed"/>
          <w:tblCellMar>
            <w:top w:w="15" w:type="dxa"/>
            <w:bottom w:w="15" w:type="dxa"/>
          </w:tblCellMar>
          <w:tblLook w:val="04A0"/>
        </w:tblPrEx>
        <w:trPr>
          <w:trHeight w:val="276"/>
        </w:trPr>
        <w:tc>
          <w:tcPr>
            <w:tcW w:w="1530" w:type="dxa"/>
            <w:vMerge/>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00CA10CF" w14:textId="77777777">
            <w:pPr>
              <w:widowControl/>
              <w:rPr>
                <w:rFonts w:cs="Calibri"/>
                <w:color w:val="000000"/>
                <w:sz w:val="20"/>
              </w:rPr>
            </w:pPr>
          </w:p>
        </w:tc>
        <w:tc>
          <w:tcPr>
            <w:tcW w:w="810" w:type="dxa"/>
            <w:vMerge/>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2F377D0" w14:textId="77777777">
            <w:pPr>
              <w:widowControl/>
              <w:rPr>
                <w:rFonts w:cs="Calibri"/>
                <w:color w:val="000000"/>
                <w:sz w:val="20"/>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3148639F" w14:textId="77777777">
            <w:pPr>
              <w:widowControl/>
              <w:rPr>
                <w:rFonts w:cs="Calibri"/>
                <w:color w:val="000000"/>
                <w:sz w:val="20"/>
              </w:rPr>
            </w:pPr>
          </w:p>
        </w:tc>
        <w:tc>
          <w:tcPr>
            <w:tcW w:w="900" w:type="dxa"/>
            <w:vMerge/>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41228FC5" w14:textId="77777777">
            <w:pPr>
              <w:widowControl/>
              <w:rPr>
                <w:rFonts w:cs="Calibri"/>
                <w:color w:val="000000"/>
                <w:sz w:val="20"/>
              </w:rPr>
            </w:pPr>
          </w:p>
        </w:tc>
        <w:tc>
          <w:tcPr>
            <w:tcW w:w="900" w:type="dxa"/>
            <w:vMerge/>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5F25D91" w14:textId="77777777">
            <w:pPr>
              <w:widowControl/>
              <w:rPr>
                <w:rFonts w:cs="Calibri"/>
                <w:color w:val="000000"/>
                <w:sz w:val="20"/>
              </w:rPr>
            </w:pPr>
          </w:p>
        </w:tc>
        <w:tc>
          <w:tcPr>
            <w:tcW w:w="900" w:type="dxa"/>
            <w:vMerge/>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DFC7E30" w14:textId="77777777">
            <w:pPr>
              <w:widowControl/>
              <w:rPr>
                <w:rFonts w:cs="Calibri"/>
                <w:color w:val="000000"/>
                <w:sz w:val="20"/>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7A81AA3C" w14:textId="77777777">
            <w:pPr>
              <w:widowControl/>
              <w:rPr>
                <w:rFonts w:cs="Calibri"/>
                <w:color w:val="000000"/>
                <w:sz w:val="20"/>
              </w:rPr>
            </w:pPr>
          </w:p>
        </w:tc>
        <w:tc>
          <w:tcPr>
            <w:tcW w:w="900" w:type="dxa"/>
            <w:vMerge/>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B6CC5D8" w14:textId="77777777">
            <w:pPr>
              <w:widowControl/>
              <w:rPr>
                <w:rFonts w:cs="Calibri"/>
                <w:color w:val="000000"/>
                <w:sz w:val="20"/>
              </w:rPr>
            </w:pPr>
          </w:p>
        </w:tc>
        <w:tc>
          <w:tcPr>
            <w:tcW w:w="1620" w:type="dxa"/>
            <w:vMerge/>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76EEC7A8" w14:textId="77777777">
            <w:pPr>
              <w:widowControl/>
              <w:rPr>
                <w:rFonts w:cs="Calibri"/>
                <w:color w:val="000000"/>
                <w:sz w:val="20"/>
              </w:rPr>
            </w:pPr>
          </w:p>
        </w:tc>
      </w:tr>
      <w:tr w14:paraId="7ADE3328" w14:textId="77777777" w:rsidTr="004A0F9B">
        <w:tblPrEx>
          <w:tblW w:w="9540" w:type="dxa"/>
          <w:tblInd w:w="-10" w:type="dxa"/>
          <w:tblLayout w:type="fixed"/>
          <w:tblCellMar>
            <w:top w:w="15" w:type="dxa"/>
            <w:bottom w:w="15" w:type="dxa"/>
          </w:tblCellMar>
          <w:tblLook w:val="04A0"/>
        </w:tblPrEx>
        <w:trPr>
          <w:trHeight w:val="533"/>
        </w:trPr>
        <w:tc>
          <w:tcPr>
            <w:tcW w:w="153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44D3D54E" w14:textId="77777777">
            <w:pPr>
              <w:widowControl/>
              <w:rPr>
                <w:rFonts w:cs="Calibri"/>
                <w:color w:val="000000"/>
                <w:sz w:val="20"/>
              </w:rPr>
            </w:pPr>
            <w:r w:rsidRPr="00C83ECC">
              <w:rPr>
                <w:rFonts w:cs="Calibri"/>
                <w:color w:val="000000"/>
                <w:sz w:val="20"/>
              </w:rPr>
              <w:t>1. Posting and removing provisional holds - Implementation - 360.9(c)(1) and (2) (Mandatory)</w:t>
            </w:r>
          </w:p>
        </w:tc>
        <w:tc>
          <w:tcPr>
            <w:tcW w:w="81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0DAAFDB0" w14:textId="77777777">
            <w:pPr>
              <w:widowControl/>
              <w:jc w:val="center"/>
              <w:rPr>
                <w:rFonts w:cs="Calibri"/>
                <w:color w:val="000000"/>
                <w:sz w:val="20"/>
              </w:rPr>
            </w:pPr>
            <w:r w:rsidRPr="00C83ECC">
              <w:rPr>
                <w:rFonts w:cs="Calibri"/>
                <w:color w:val="000000"/>
                <w:sz w:val="20"/>
              </w:rPr>
              <w:t>20.17</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73D2EF13"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7E2A9732"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42F75D90" w14:textId="77777777">
            <w:pPr>
              <w:widowControl/>
              <w:jc w:val="center"/>
              <w:rPr>
                <w:rFonts w:cs="Calibri"/>
                <w:color w:val="000000"/>
                <w:sz w:val="20"/>
              </w:rPr>
            </w:pPr>
            <w:r w:rsidRPr="00C83ECC">
              <w:rPr>
                <w:rFonts w:cs="Calibri"/>
                <w:color w:val="000000"/>
                <w:sz w:val="20"/>
              </w:rPr>
              <w:t>25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26CD35A8" w14:textId="77777777">
            <w:pPr>
              <w:widowControl/>
              <w:jc w:val="center"/>
              <w:rPr>
                <w:rFonts w:cs="Calibri"/>
                <w:color w:val="000000"/>
                <w:sz w:val="20"/>
              </w:rPr>
            </w:pPr>
            <w:r w:rsidRPr="00C83ECC">
              <w:rPr>
                <w:rFonts w:cs="Calibri"/>
                <w:color w:val="000000"/>
                <w:sz w:val="20"/>
              </w:rPr>
              <w:t>60</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2990276E"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A455FAF" w14:textId="77777777">
            <w:pPr>
              <w:widowControl/>
              <w:jc w:val="center"/>
              <w:rPr>
                <w:rFonts w:cs="Calibri"/>
                <w:color w:val="000000"/>
                <w:sz w:val="20"/>
              </w:rPr>
            </w:pPr>
            <w:r w:rsidRPr="00C83ECC">
              <w:rPr>
                <w:rFonts w:cs="Calibri"/>
                <w:color w:val="000000"/>
                <w:sz w:val="20"/>
              </w:rPr>
              <w:t>0</w:t>
            </w:r>
          </w:p>
        </w:tc>
        <w:tc>
          <w:tcPr>
            <w:tcW w:w="162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7274834E" w14:textId="77777777">
            <w:pPr>
              <w:widowControl/>
              <w:ind w:firstLine="200" w:firstLineChars="100"/>
              <w:jc w:val="right"/>
              <w:rPr>
                <w:rFonts w:cs="Calibri"/>
                <w:color w:val="000000"/>
                <w:sz w:val="20"/>
              </w:rPr>
            </w:pPr>
            <w:r w:rsidRPr="00C83ECC">
              <w:rPr>
                <w:rFonts w:cs="Calibri"/>
                <w:color w:val="000000"/>
                <w:sz w:val="20"/>
              </w:rPr>
              <w:t xml:space="preserve">$106.84 </w:t>
            </w:r>
          </w:p>
        </w:tc>
      </w:tr>
      <w:tr w14:paraId="51DD94D2" w14:textId="77777777" w:rsidTr="004A0F9B">
        <w:tblPrEx>
          <w:tblW w:w="9540" w:type="dxa"/>
          <w:tblInd w:w="-10" w:type="dxa"/>
          <w:tblLayout w:type="fixed"/>
          <w:tblCellMar>
            <w:top w:w="15" w:type="dxa"/>
            <w:bottom w:w="15" w:type="dxa"/>
          </w:tblCellMar>
          <w:tblLook w:val="04A0"/>
        </w:tblPrEx>
        <w:trPr>
          <w:trHeight w:val="708"/>
        </w:trPr>
        <w:tc>
          <w:tcPr>
            <w:tcW w:w="153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395D6E0F" w14:textId="77777777">
            <w:pPr>
              <w:widowControl/>
              <w:rPr>
                <w:rFonts w:cs="Calibri"/>
                <w:color w:val="000000"/>
                <w:sz w:val="20"/>
              </w:rPr>
            </w:pPr>
            <w:r w:rsidRPr="00C83ECC">
              <w:rPr>
                <w:rFonts w:cs="Calibri"/>
                <w:color w:val="000000"/>
                <w:sz w:val="20"/>
              </w:rPr>
              <w:t xml:space="preserve">2. Providing standard data format for deposit account and customer information - Implementation </w:t>
            </w:r>
            <w:r w:rsidRPr="00C83ECC">
              <w:rPr>
                <w:rFonts w:cs="Calibri"/>
                <w:color w:val="000000"/>
                <w:sz w:val="20"/>
              </w:rPr>
              <w:t>-  360.9</w:t>
            </w:r>
            <w:r w:rsidRPr="00C83ECC">
              <w:rPr>
                <w:rFonts w:cs="Calibri"/>
                <w:color w:val="000000"/>
                <w:sz w:val="20"/>
              </w:rPr>
              <w:t>(d)(1) (Mandatory)</w:t>
            </w:r>
          </w:p>
        </w:tc>
        <w:tc>
          <w:tcPr>
            <w:tcW w:w="81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053F7E9" w14:textId="77777777">
            <w:pPr>
              <w:widowControl/>
              <w:jc w:val="center"/>
              <w:rPr>
                <w:rFonts w:cs="Calibri"/>
                <w:color w:val="000000"/>
                <w:sz w:val="20"/>
              </w:rPr>
            </w:pPr>
            <w:r w:rsidRPr="00C83ECC">
              <w:rPr>
                <w:rFonts w:cs="Calibri"/>
                <w:color w:val="000000"/>
                <w:sz w:val="20"/>
              </w:rPr>
              <w:t>14.79</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405A83E8"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B832216"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20BF98C9" w14:textId="77777777">
            <w:pPr>
              <w:widowControl/>
              <w:jc w:val="center"/>
              <w:rPr>
                <w:rFonts w:cs="Calibri"/>
                <w:color w:val="000000"/>
                <w:sz w:val="20"/>
              </w:rPr>
            </w:pPr>
            <w:r w:rsidRPr="00C83ECC">
              <w:rPr>
                <w:rFonts w:cs="Calibri"/>
                <w:color w:val="000000"/>
                <w:sz w:val="20"/>
              </w:rPr>
              <w:t>25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715514FC" w14:textId="77777777">
            <w:pPr>
              <w:widowControl/>
              <w:jc w:val="center"/>
              <w:rPr>
                <w:rFonts w:cs="Calibri"/>
                <w:color w:val="000000"/>
                <w:sz w:val="20"/>
              </w:rPr>
            </w:pPr>
            <w:r w:rsidRPr="00C83ECC">
              <w:rPr>
                <w:rFonts w:cs="Calibri"/>
                <w:color w:val="000000"/>
                <w:sz w:val="20"/>
              </w:rPr>
              <w:t>60</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812E9B3"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389C766F" w14:textId="77777777">
            <w:pPr>
              <w:widowControl/>
              <w:jc w:val="center"/>
              <w:rPr>
                <w:rFonts w:cs="Calibri"/>
                <w:color w:val="000000"/>
                <w:sz w:val="20"/>
              </w:rPr>
            </w:pPr>
            <w:r w:rsidRPr="00C83ECC">
              <w:rPr>
                <w:rFonts w:cs="Calibri"/>
                <w:color w:val="000000"/>
                <w:sz w:val="20"/>
              </w:rPr>
              <w:t>0</w:t>
            </w:r>
          </w:p>
        </w:tc>
        <w:tc>
          <w:tcPr>
            <w:tcW w:w="162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5784435" w14:textId="77777777">
            <w:pPr>
              <w:widowControl/>
              <w:ind w:firstLine="200" w:firstLineChars="100"/>
              <w:jc w:val="right"/>
              <w:rPr>
                <w:rFonts w:cs="Calibri"/>
                <w:color w:val="000000"/>
                <w:sz w:val="20"/>
              </w:rPr>
            </w:pPr>
            <w:r w:rsidRPr="00C83ECC">
              <w:rPr>
                <w:rFonts w:cs="Calibri"/>
                <w:color w:val="000000"/>
                <w:sz w:val="20"/>
              </w:rPr>
              <w:t xml:space="preserve">$106.84 </w:t>
            </w:r>
          </w:p>
        </w:tc>
      </w:tr>
      <w:tr w14:paraId="368B0776" w14:textId="77777777" w:rsidTr="004A0F9B">
        <w:tblPrEx>
          <w:tblW w:w="9540" w:type="dxa"/>
          <w:tblInd w:w="-10" w:type="dxa"/>
          <w:tblLayout w:type="fixed"/>
          <w:tblCellMar>
            <w:top w:w="15" w:type="dxa"/>
            <w:bottom w:w="15" w:type="dxa"/>
          </w:tblCellMar>
          <w:tblLook w:val="04A0"/>
        </w:tblPrEx>
        <w:trPr>
          <w:trHeight w:val="708"/>
        </w:trPr>
        <w:tc>
          <w:tcPr>
            <w:tcW w:w="153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3CA327E3" w14:textId="77777777">
            <w:pPr>
              <w:widowControl/>
              <w:rPr>
                <w:rFonts w:cs="Calibri"/>
                <w:color w:val="000000"/>
                <w:sz w:val="20"/>
              </w:rPr>
            </w:pPr>
            <w:r w:rsidRPr="00C83ECC">
              <w:rPr>
                <w:rFonts w:cs="Calibri"/>
                <w:color w:val="000000"/>
                <w:sz w:val="20"/>
              </w:rPr>
              <w:t>3. Notification of identity of person responsible for producing standard data downloads - Implementation - 360.9(c)(3) (Mandatory)</w:t>
            </w:r>
          </w:p>
        </w:tc>
        <w:tc>
          <w:tcPr>
            <w:tcW w:w="81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A3E0302" w14:textId="77777777">
            <w:pPr>
              <w:widowControl/>
              <w:jc w:val="center"/>
              <w:rPr>
                <w:rFonts w:cs="Calibri"/>
                <w:color w:val="000000"/>
                <w:sz w:val="20"/>
              </w:rPr>
            </w:pPr>
            <w:r w:rsidRPr="00C83ECC">
              <w:rPr>
                <w:rFonts w:cs="Calibri"/>
                <w:color w:val="000000"/>
                <w:sz w:val="20"/>
              </w:rPr>
              <w:t>1.08</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80651E0"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457FB24D"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4EE80917" w14:textId="77777777">
            <w:pPr>
              <w:widowControl/>
              <w:jc w:val="center"/>
              <w:rPr>
                <w:rFonts w:cs="Calibri"/>
                <w:color w:val="000000"/>
                <w:sz w:val="20"/>
              </w:rPr>
            </w:pPr>
            <w:r w:rsidRPr="00C83ECC">
              <w:rPr>
                <w:rFonts w:cs="Calibri"/>
                <w:color w:val="000000"/>
                <w:sz w:val="20"/>
              </w:rPr>
              <w:t>60</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36B19E62" w14:textId="77777777">
            <w:pPr>
              <w:widowControl/>
              <w:jc w:val="center"/>
              <w:rPr>
                <w:rFonts w:cs="Calibri"/>
                <w:color w:val="000000"/>
                <w:sz w:val="20"/>
              </w:rPr>
            </w:pPr>
            <w:r w:rsidRPr="00C83ECC">
              <w:rPr>
                <w:rFonts w:cs="Calibri"/>
                <w:color w:val="000000"/>
                <w:sz w:val="20"/>
              </w:rPr>
              <w:t>25</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715E613"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7E2843E3" w14:textId="77777777">
            <w:pPr>
              <w:widowControl/>
              <w:jc w:val="center"/>
              <w:rPr>
                <w:rFonts w:cs="Calibri"/>
                <w:color w:val="000000"/>
                <w:sz w:val="20"/>
              </w:rPr>
            </w:pPr>
            <w:r w:rsidRPr="00C83ECC">
              <w:rPr>
                <w:rFonts w:cs="Calibri"/>
                <w:color w:val="000000"/>
                <w:sz w:val="20"/>
              </w:rPr>
              <w:t>0</w:t>
            </w:r>
          </w:p>
        </w:tc>
        <w:tc>
          <w:tcPr>
            <w:tcW w:w="162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9C14543" w14:textId="77777777">
            <w:pPr>
              <w:widowControl/>
              <w:ind w:firstLine="200" w:firstLineChars="100"/>
              <w:jc w:val="right"/>
              <w:rPr>
                <w:rFonts w:cs="Calibri"/>
                <w:color w:val="000000"/>
                <w:sz w:val="20"/>
              </w:rPr>
            </w:pPr>
            <w:r w:rsidRPr="00C83ECC">
              <w:rPr>
                <w:rFonts w:cs="Calibri"/>
                <w:color w:val="000000"/>
                <w:sz w:val="20"/>
              </w:rPr>
              <w:t xml:space="preserve">$95.04 </w:t>
            </w:r>
          </w:p>
        </w:tc>
      </w:tr>
      <w:tr w14:paraId="01DF08F2" w14:textId="77777777" w:rsidTr="004A0F9B">
        <w:tblPrEx>
          <w:tblW w:w="9540" w:type="dxa"/>
          <w:tblInd w:w="-10" w:type="dxa"/>
          <w:tblLayout w:type="fixed"/>
          <w:tblCellMar>
            <w:top w:w="15" w:type="dxa"/>
            <w:bottom w:w="15" w:type="dxa"/>
          </w:tblCellMar>
          <w:tblLook w:val="04A0"/>
        </w:tblPrEx>
        <w:trPr>
          <w:trHeight w:val="862"/>
        </w:trPr>
        <w:tc>
          <w:tcPr>
            <w:tcW w:w="153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0EAA17D5" w14:textId="77777777">
            <w:pPr>
              <w:widowControl/>
              <w:rPr>
                <w:rFonts w:cs="Calibri"/>
                <w:color w:val="000000"/>
                <w:sz w:val="20"/>
              </w:rPr>
            </w:pPr>
            <w:r w:rsidRPr="00C83ECC">
              <w:rPr>
                <w:rFonts w:cs="Calibri"/>
                <w:color w:val="000000"/>
                <w:sz w:val="20"/>
              </w:rPr>
              <w:t xml:space="preserve"> 4. Provide deposit account and customer information in required standard format - Implementation - 360.9(d)(3) (Mandatory)</w:t>
            </w:r>
          </w:p>
        </w:tc>
        <w:tc>
          <w:tcPr>
            <w:tcW w:w="81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2E60F150" w14:textId="77777777">
            <w:pPr>
              <w:widowControl/>
              <w:jc w:val="center"/>
              <w:rPr>
                <w:rFonts w:cs="Calibri"/>
                <w:color w:val="000000"/>
                <w:sz w:val="20"/>
              </w:rPr>
            </w:pPr>
            <w:r w:rsidRPr="00C83ECC">
              <w:rPr>
                <w:rFonts w:cs="Calibri"/>
                <w:color w:val="000000"/>
                <w:sz w:val="20"/>
              </w:rPr>
              <w:t>5.38</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81666F9"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E794149"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3CCA7DC3" w14:textId="77777777">
            <w:pPr>
              <w:widowControl/>
              <w:jc w:val="center"/>
              <w:rPr>
                <w:rFonts w:cs="Calibri"/>
                <w:color w:val="000000"/>
                <w:sz w:val="20"/>
              </w:rPr>
            </w:pPr>
            <w:r w:rsidRPr="00C83ECC">
              <w:rPr>
                <w:rFonts w:cs="Calibri"/>
                <w:color w:val="000000"/>
                <w:sz w:val="20"/>
              </w:rPr>
              <w:t>25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3F477F93" w14:textId="77777777">
            <w:pPr>
              <w:widowControl/>
              <w:jc w:val="center"/>
              <w:rPr>
                <w:rFonts w:cs="Calibri"/>
                <w:color w:val="000000"/>
                <w:sz w:val="20"/>
              </w:rPr>
            </w:pPr>
            <w:r w:rsidRPr="00C83ECC">
              <w:rPr>
                <w:rFonts w:cs="Calibri"/>
                <w:color w:val="000000"/>
                <w:sz w:val="20"/>
              </w:rPr>
              <w:t>60</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34F60D29"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E63A0CE" w14:textId="77777777">
            <w:pPr>
              <w:widowControl/>
              <w:jc w:val="center"/>
              <w:rPr>
                <w:rFonts w:cs="Calibri"/>
                <w:color w:val="000000"/>
                <w:sz w:val="20"/>
              </w:rPr>
            </w:pPr>
            <w:r w:rsidRPr="00C83ECC">
              <w:rPr>
                <w:rFonts w:cs="Calibri"/>
                <w:color w:val="000000"/>
                <w:sz w:val="20"/>
              </w:rPr>
              <w:t>0</w:t>
            </w:r>
          </w:p>
        </w:tc>
        <w:tc>
          <w:tcPr>
            <w:tcW w:w="162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2F1CE08B" w14:textId="77777777">
            <w:pPr>
              <w:widowControl/>
              <w:ind w:firstLine="200" w:firstLineChars="100"/>
              <w:jc w:val="right"/>
              <w:rPr>
                <w:rFonts w:cs="Calibri"/>
                <w:color w:val="000000"/>
                <w:sz w:val="20"/>
              </w:rPr>
            </w:pPr>
            <w:r w:rsidRPr="00C83ECC">
              <w:rPr>
                <w:rFonts w:cs="Calibri"/>
                <w:color w:val="000000"/>
                <w:sz w:val="20"/>
              </w:rPr>
              <w:t xml:space="preserve">$106.84 </w:t>
            </w:r>
          </w:p>
        </w:tc>
      </w:tr>
      <w:tr w14:paraId="5627250F" w14:textId="77777777" w:rsidTr="004A0F9B">
        <w:tblPrEx>
          <w:tblW w:w="9540" w:type="dxa"/>
          <w:tblInd w:w="-10" w:type="dxa"/>
          <w:tblLayout w:type="fixed"/>
          <w:tblCellMar>
            <w:top w:w="15" w:type="dxa"/>
            <w:bottom w:w="15" w:type="dxa"/>
          </w:tblCellMar>
          <w:tblLook w:val="04A0"/>
        </w:tblPrEx>
        <w:trPr>
          <w:trHeight w:val="708"/>
        </w:trPr>
        <w:tc>
          <w:tcPr>
            <w:tcW w:w="153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466D439" w14:textId="77777777">
            <w:pPr>
              <w:widowControl/>
              <w:rPr>
                <w:rFonts w:cs="Calibri"/>
                <w:color w:val="000000"/>
                <w:sz w:val="20"/>
              </w:rPr>
            </w:pPr>
            <w:r w:rsidRPr="00C83ECC">
              <w:rPr>
                <w:rFonts w:cs="Calibri"/>
                <w:color w:val="000000"/>
                <w:sz w:val="20"/>
              </w:rPr>
              <w:t xml:space="preserve">5. Request for exemption from provisional hold requirements </w:t>
            </w:r>
            <w:r w:rsidRPr="00C83ECC">
              <w:rPr>
                <w:rFonts w:cs="Calibri"/>
                <w:color w:val="000000"/>
                <w:sz w:val="20"/>
              </w:rPr>
              <w:t>-  Implementation</w:t>
            </w:r>
            <w:r w:rsidRPr="00C83ECC">
              <w:rPr>
                <w:rFonts w:cs="Calibri"/>
                <w:color w:val="000000"/>
                <w:sz w:val="20"/>
              </w:rPr>
              <w:t xml:space="preserve"> - 360.9(c)(9) (Voluntary)</w:t>
            </w:r>
          </w:p>
        </w:tc>
        <w:tc>
          <w:tcPr>
            <w:tcW w:w="81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7E88445" w14:textId="77777777">
            <w:pPr>
              <w:widowControl/>
              <w:jc w:val="center"/>
              <w:rPr>
                <w:rFonts w:cs="Calibri"/>
                <w:color w:val="000000"/>
                <w:sz w:val="20"/>
              </w:rPr>
            </w:pPr>
            <w:r w:rsidRPr="00C83ECC">
              <w:rPr>
                <w:rFonts w:cs="Calibri"/>
                <w:color w:val="000000"/>
                <w:sz w:val="20"/>
              </w:rPr>
              <w:t>0.34</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0E273BB0"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22982A4" w14:textId="77777777">
            <w:pPr>
              <w:widowControl/>
              <w:jc w:val="center"/>
              <w:rPr>
                <w:rFonts w:cs="Calibri"/>
                <w:color w:val="000000"/>
                <w:sz w:val="20"/>
              </w:rPr>
            </w:pPr>
            <w:r w:rsidRPr="00C83ECC">
              <w:rPr>
                <w:rFonts w:cs="Calibri"/>
                <w:color w:val="000000"/>
                <w:sz w:val="20"/>
              </w:rPr>
              <w:t>30</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D858DCA" w14:textId="77777777">
            <w:pPr>
              <w:widowControl/>
              <w:jc w:val="center"/>
              <w:rPr>
                <w:rFonts w:cs="Calibri"/>
                <w:color w:val="000000"/>
                <w:sz w:val="20"/>
              </w:rPr>
            </w:pPr>
            <w:r w:rsidRPr="00C83ECC">
              <w:rPr>
                <w:rFonts w:cs="Calibri"/>
                <w:color w:val="000000"/>
                <w:sz w:val="20"/>
              </w:rPr>
              <w:t>40</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79D71C5" w14:textId="77777777">
            <w:pPr>
              <w:widowControl/>
              <w:jc w:val="center"/>
              <w:rPr>
                <w:rFonts w:cs="Calibri"/>
                <w:color w:val="000000"/>
                <w:sz w:val="20"/>
              </w:rPr>
            </w:pPr>
            <w:r w:rsidRPr="00C83ECC">
              <w:rPr>
                <w:rFonts w:cs="Calibri"/>
                <w:color w:val="000000"/>
                <w:sz w:val="20"/>
              </w:rPr>
              <w:t>20</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E228848"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2DD2F358" w14:textId="77777777">
            <w:pPr>
              <w:widowControl/>
              <w:jc w:val="center"/>
              <w:rPr>
                <w:rFonts w:cs="Calibri"/>
                <w:color w:val="000000"/>
                <w:sz w:val="20"/>
              </w:rPr>
            </w:pPr>
            <w:r w:rsidRPr="00C83ECC">
              <w:rPr>
                <w:rFonts w:cs="Calibri"/>
                <w:color w:val="000000"/>
                <w:sz w:val="20"/>
              </w:rPr>
              <w:t>0</w:t>
            </w:r>
          </w:p>
        </w:tc>
        <w:tc>
          <w:tcPr>
            <w:tcW w:w="162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0CE51DC" w14:textId="77777777">
            <w:pPr>
              <w:widowControl/>
              <w:ind w:firstLine="200" w:firstLineChars="100"/>
              <w:jc w:val="right"/>
              <w:rPr>
                <w:rFonts w:cs="Calibri"/>
                <w:color w:val="000000"/>
                <w:sz w:val="20"/>
              </w:rPr>
            </w:pPr>
            <w:r w:rsidRPr="00C83ECC">
              <w:rPr>
                <w:rFonts w:cs="Calibri"/>
                <w:color w:val="000000"/>
                <w:sz w:val="20"/>
              </w:rPr>
              <w:t xml:space="preserve">$119.51 </w:t>
            </w:r>
          </w:p>
        </w:tc>
      </w:tr>
      <w:tr w14:paraId="164AE0B7" w14:textId="77777777" w:rsidTr="004A0F9B">
        <w:tblPrEx>
          <w:tblW w:w="9540" w:type="dxa"/>
          <w:tblInd w:w="-10" w:type="dxa"/>
          <w:tblLayout w:type="fixed"/>
          <w:tblCellMar>
            <w:top w:w="15" w:type="dxa"/>
            <w:bottom w:w="15" w:type="dxa"/>
          </w:tblCellMar>
          <w:tblLook w:val="04A0"/>
        </w:tblPrEx>
        <w:trPr>
          <w:trHeight w:val="944"/>
        </w:trPr>
        <w:tc>
          <w:tcPr>
            <w:tcW w:w="153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36C59CDF" w14:textId="77777777">
            <w:pPr>
              <w:widowControl/>
              <w:rPr>
                <w:rFonts w:cs="Calibri"/>
                <w:color w:val="000000"/>
                <w:sz w:val="20"/>
              </w:rPr>
            </w:pPr>
            <w:r w:rsidRPr="00C83ECC">
              <w:rPr>
                <w:rFonts w:cs="Calibri"/>
                <w:color w:val="000000"/>
                <w:sz w:val="20"/>
              </w:rPr>
              <w:t xml:space="preserve">6. Request for extension of compliance deadline </w:t>
            </w:r>
            <w:r w:rsidRPr="00C83ECC">
              <w:rPr>
                <w:rFonts w:cs="Calibri"/>
                <w:color w:val="000000"/>
                <w:sz w:val="20"/>
              </w:rPr>
              <w:t>-  Implementation</w:t>
            </w:r>
            <w:r w:rsidRPr="00C83ECC">
              <w:rPr>
                <w:rFonts w:cs="Calibri"/>
                <w:color w:val="000000"/>
                <w:sz w:val="20"/>
              </w:rPr>
              <w:t xml:space="preserve"> - 360.9(e)(7) (Voluntary)</w:t>
            </w:r>
          </w:p>
        </w:tc>
        <w:tc>
          <w:tcPr>
            <w:tcW w:w="81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61FEA7B" w14:textId="77777777">
            <w:pPr>
              <w:widowControl/>
              <w:jc w:val="center"/>
              <w:rPr>
                <w:rFonts w:cs="Calibri"/>
                <w:color w:val="000000"/>
                <w:sz w:val="20"/>
              </w:rPr>
            </w:pPr>
            <w:r w:rsidRPr="00C83ECC">
              <w:rPr>
                <w:rFonts w:cs="Calibri"/>
                <w:color w:val="000000"/>
                <w:sz w:val="20"/>
              </w:rPr>
              <w:t>0.34</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217357DD"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0FE7154" w14:textId="77777777">
            <w:pPr>
              <w:widowControl/>
              <w:jc w:val="center"/>
              <w:rPr>
                <w:rFonts w:cs="Calibri"/>
                <w:color w:val="000000"/>
                <w:sz w:val="20"/>
              </w:rPr>
            </w:pPr>
            <w:r w:rsidRPr="00C83ECC">
              <w:rPr>
                <w:rFonts w:cs="Calibri"/>
                <w:color w:val="000000"/>
                <w:sz w:val="20"/>
              </w:rPr>
              <w:t>30</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C4E9EA0" w14:textId="77777777">
            <w:pPr>
              <w:widowControl/>
              <w:jc w:val="center"/>
              <w:rPr>
                <w:rFonts w:cs="Calibri"/>
                <w:color w:val="000000"/>
                <w:sz w:val="20"/>
              </w:rPr>
            </w:pPr>
            <w:r w:rsidRPr="00C83ECC">
              <w:rPr>
                <w:rFonts w:cs="Calibri"/>
                <w:color w:val="000000"/>
                <w:sz w:val="20"/>
              </w:rPr>
              <w:t>40</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0F282450" w14:textId="77777777">
            <w:pPr>
              <w:widowControl/>
              <w:jc w:val="center"/>
              <w:rPr>
                <w:rFonts w:cs="Calibri"/>
                <w:color w:val="000000"/>
                <w:sz w:val="20"/>
              </w:rPr>
            </w:pPr>
            <w:r w:rsidRPr="00C83ECC">
              <w:rPr>
                <w:rFonts w:cs="Calibri"/>
                <w:color w:val="000000"/>
                <w:sz w:val="20"/>
              </w:rPr>
              <w:t>20</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205CFC8"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0400E069" w14:textId="77777777">
            <w:pPr>
              <w:widowControl/>
              <w:jc w:val="center"/>
              <w:rPr>
                <w:rFonts w:cs="Calibri"/>
                <w:color w:val="000000"/>
                <w:sz w:val="20"/>
              </w:rPr>
            </w:pPr>
            <w:r w:rsidRPr="00C83ECC">
              <w:rPr>
                <w:rFonts w:cs="Calibri"/>
                <w:color w:val="000000"/>
                <w:sz w:val="20"/>
              </w:rPr>
              <w:t>0</w:t>
            </w:r>
          </w:p>
        </w:tc>
        <w:tc>
          <w:tcPr>
            <w:tcW w:w="162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30ADCAD3" w14:textId="77777777">
            <w:pPr>
              <w:widowControl/>
              <w:ind w:firstLine="200" w:firstLineChars="100"/>
              <w:jc w:val="right"/>
              <w:rPr>
                <w:rFonts w:cs="Calibri"/>
                <w:color w:val="000000"/>
                <w:sz w:val="20"/>
              </w:rPr>
            </w:pPr>
            <w:r w:rsidRPr="00C83ECC">
              <w:rPr>
                <w:rFonts w:cs="Calibri"/>
                <w:color w:val="000000"/>
                <w:sz w:val="20"/>
              </w:rPr>
              <w:t xml:space="preserve">$119.51 </w:t>
            </w:r>
          </w:p>
        </w:tc>
      </w:tr>
      <w:tr w14:paraId="0965EF7E" w14:textId="77777777" w:rsidTr="004A0F9B">
        <w:tblPrEx>
          <w:tblW w:w="9540" w:type="dxa"/>
          <w:tblInd w:w="-10" w:type="dxa"/>
          <w:tblLayout w:type="fixed"/>
          <w:tblCellMar>
            <w:top w:w="15" w:type="dxa"/>
            <w:bottom w:w="15" w:type="dxa"/>
          </w:tblCellMar>
          <w:tblLook w:val="04A0"/>
        </w:tblPrEx>
        <w:trPr>
          <w:trHeight w:val="769"/>
        </w:trPr>
        <w:tc>
          <w:tcPr>
            <w:tcW w:w="153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19B7AB6" w14:textId="77777777">
            <w:pPr>
              <w:widowControl/>
              <w:rPr>
                <w:rFonts w:cs="Calibri"/>
                <w:color w:val="000000"/>
                <w:sz w:val="20"/>
              </w:rPr>
            </w:pPr>
            <w:r w:rsidRPr="00C83ECC">
              <w:rPr>
                <w:rFonts w:cs="Calibri"/>
                <w:color w:val="000000"/>
                <w:sz w:val="20"/>
              </w:rPr>
              <w:t>7. Request for exemption - Implementation 360.9(f) (Voluntary)</w:t>
            </w:r>
          </w:p>
        </w:tc>
        <w:tc>
          <w:tcPr>
            <w:tcW w:w="81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4BF74BA" w14:textId="77777777">
            <w:pPr>
              <w:widowControl/>
              <w:jc w:val="center"/>
              <w:rPr>
                <w:rFonts w:cs="Calibri"/>
                <w:color w:val="000000"/>
                <w:sz w:val="20"/>
              </w:rPr>
            </w:pPr>
            <w:r w:rsidRPr="00C83ECC">
              <w:rPr>
                <w:rFonts w:cs="Calibri"/>
                <w:color w:val="000000"/>
                <w:sz w:val="20"/>
              </w:rPr>
              <w:t>0.34</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4FEDF0E4"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763F3530" w14:textId="77777777">
            <w:pPr>
              <w:widowControl/>
              <w:jc w:val="center"/>
              <w:rPr>
                <w:rFonts w:cs="Calibri"/>
                <w:color w:val="000000"/>
                <w:sz w:val="20"/>
              </w:rPr>
            </w:pPr>
            <w:r w:rsidRPr="00C83ECC">
              <w:rPr>
                <w:rFonts w:cs="Calibri"/>
                <w:color w:val="000000"/>
                <w:sz w:val="20"/>
              </w:rPr>
              <w:t>30</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71E874E3" w14:textId="77777777">
            <w:pPr>
              <w:widowControl/>
              <w:jc w:val="center"/>
              <w:rPr>
                <w:rFonts w:cs="Calibri"/>
                <w:color w:val="000000"/>
                <w:sz w:val="20"/>
              </w:rPr>
            </w:pPr>
            <w:r w:rsidRPr="00C83ECC">
              <w:rPr>
                <w:rFonts w:cs="Calibri"/>
                <w:color w:val="000000"/>
                <w:sz w:val="20"/>
              </w:rPr>
              <w:t>40</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7DD90B71" w14:textId="77777777">
            <w:pPr>
              <w:widowControl/>
              <w:jc w:val="center"/>
              <w:rPr>
                <w:rFonts w:cs="Calibri"/>
                <w:color w:val="000000"/>
                <w:sz w:val="20"/>
              </w:rPr>
            </w:pPr>
            <w:r w:rsidRPr="00C83ECC">
              <w:rPr>
                <w:rFonts w:cs="Calibri"/>
                <w:color w:val="000000"/>
                <w:sz w:val="20"/>
              </w:rPr>
              <w:t>20</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0A98EC4F"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27AE48B9" w14:textId="77777777">
            <w:pPr>
              <w:widowControl/>
              <w:jc w:val="center"/>
              <w:rPr>
                <w:rFonts w:cs="Calibri"/>
                <w:color w:val="000000"/>
                <w:sz w:val="20"/>
              </w:rPr>
            </w:pPr>
            <w:r w:rsidRPr="00C83ECC">
              <w:rPr>
                <w:rFonts w:cs="Calibri"/>
                <w:color w:val="000000"/>
                <w:sz w:val="20"/>
              </w:rPr>
              <w:t>0</w:t>
            </w:r>
          </w:p>
        </w:tc>
        <w:tc>
          <w:tcPr>
            <w:tcW w:w="162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428B99F" w14:textId="77777777">
            <w:pPr>
              <w:widowControl/>
              <w:ind w:firstLine="200" w:firstLineChars="100"/>
              <w:jc w:val="right"/>
              <w:rPr>
                <w:rFonts w:cs="Calibri"/>
                <w:color w:val="000000"/>
                <w:sz w:val="20"/>
              </w:rPr>
            </w:pPr>
            <w:r w:rsidRPr="00C83ECC">
              <w:rPr>
                <w:rFonts w:cs="Calibri"/>
                <w:color w:val="000000"/>
                <w:sz w:val="20"/>
              </w:rPr>
              <w:t xml:space="preserve">$119.51 </w:t>
            </w:r>
          </w:p>
        </w:tc>
      </w:tr>
      <w:tr w14:paraId="68E7AF5A" w14:textId="77777777" w:rsidTr="004A0F9B">
        <w:tblPrEx>
          <w:tblW w:w="9540" w:type="dxa"/>
          <w:tblInd w:w="-10" w:type="dxa"/>
          <w:tblLayout w:type="fixed"/>
          <w:tblCellMar>
            <w:top w:w="15" w:type="dxa"/>
            <w:bottom w:w="15" w:type="dxa"/>
          </w:tblCellMar>
          <w:tblLook w:val="04A0"/>
        </w:tblPrEx>
        <w:trPr>
          <w:trHeight w:val="708"/>
        </w:trPr>
        <w:tc>
          <w:tcPr>
            <w:tcW w:w="153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26A16960" w14:textId="77777777">
            <w:pPr>
              <w:widowControl/>
              <w:rPr>
                <w:rFonts w:cs="Calibri"/>
                <w:color w:val="000000"/>
                <w:sz w:val="20"/>
              </w:rPr>
            </w:pPr>
            <w:r w:rsidRPr="00C83ECC">
              <w:rPr>
                <w:rFonts w:cs="Calibri"/>
                <w:color w:val="000000"/>
                <w:sz w:val="20"/>
              </w:rPr>
              <w:t>8. Notification of identity of person responsible for producing standard data downloads - Ongoing - 360.9(c)(3) (Mandatory)</w:t>
            </w:r>
          </w:p>
        </w:tc>
        <w:tc>
          <w:tcPr>
            <w:tcW w:w="81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9544EFC" w14:textId="77777777">
            <w:pPr>
              <w:widowControl/>
              <w:jc w:val="center"/>
              <w:rPr>
                <w:rFonts w:cs="Calibri"/>
                <w:color w:val="000000"/>
                <w:sz w:val="20"/>
              </w:rPr>
            </w:pPr>
            <w:r w:rsidRPr="00C83ECC">
              <w:rPr>
                <w:rFonts w:cs="Calibri"/>
                <w:color w:val="000000"/>
                <w:sz w:val="20"/>
              </w:rPr>
              <w:t>16.54</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266DB7C"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4EFEF7E4"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2678C97C" w14:textId="77777777">
            <w:pPr>
              <w:widowControl/>
              <w:jc w:val="center"/>
              <w:rPr>
                <w:rFonts w:cs="Calibri"/>
                <w:color w:val="000000"/>
                <w:sz w:val="20"/>
              </w:rPr>
            </w:pPr>
            <w:r w:rsidRPr="00C83ECC">
              <w:rPr>
                <w:rFonts w:cs="Calibri"/>
                <w:color w:val="000000"/>
                <w:sz w:val="20"/>
              </w:rPr>
              <w:t>60</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02D663DB" w14:textId="77777777">
            <w:pPr>
              <w:widowControl/>
              <w:jc w:val="center"/>
              <w:rPr>
                <w:rFonts w:cs="Calibri"/>
                <w:color w:val="000000"/>
                <w:sz w:val="20"/>
              </w:rPr>
            </w:pPr>
            <w:r w:rsidRPr="00C83ECC">
              <w:rPr>
                <w:rFonts w:cs="Calibri"/>
                <w:color w:val="000000"/>
                <w:sz w:val="20"/>
              </w:rPr>
              <w:t>25</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75C178CF"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A449C82" w14:textId="77777777">
            <w:pPr>
              <w:widowControl/>
              <w:jc w:val="center"/>
              <w:rPr>
                <w:rFonts w:cs="Calibri"/>
                <w:color w:val="000000"/>
                <w:sz w:val="20"/>
              </w:rPr>
            </w:pPr>
            <w:r w:rsidRPr="00C83ECC">
              <w:rPr>
                <w:rFonts w:cs="Calibri"/>
                <w:color w:val="000000"/>
                <w:sz w:val="20"/>
              </w:rPr>
              <w:t>0</w:t>
            </w:r>
          </w:p>
        </w:tc>
        <w:tc>
          <w:tcPr>
            <w:tcW w:w="162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534E2A5" w14:textId="77777777">
            <w:pPr>
              <w:widowControl/>
              <w:ind w:firstLine="200" w:firstLineChars="100"/>
              <w:jc w:val="right"/>
              <w:rPr>
                <w:rFonts w:cs="Calibri"/>
                <w:color w:val="000000"/>
                <w:sz w:val="20"/>
              </w:rPr>
            </w:pPr>
            <w:r w:rsidRPr="00C83ECC">
              <w:rPr>
                <w:rFonts w:cs="Calibri"/>
                <w:color w:val="000000"/>
                <w:sz w:val="20"/>
              </w:rPr>
              <w:t xml:space="preserve">$95.04 </w:t>
            </w:r>
          </w:p>
        </w:tc>
      </w:tr>
      <w:tr w14:paraId="322D5767" w14:textId="77777777" w:rsidTr="004A0F9B">
        <w:tblPrEx>
          <w:tblW w:w="9540" w:type="dxa"/>
          <w:tblInd w:w="-10" w:type="dxa"/>
          <w:tblLayout w:type="fixed"/>
          <w:tblCellMar>
            <w:top w:w="15" w:type="dxa"/>
            <w:bottom w:w="15" w:type="dxa"/>
          </w:tblCellMar>
          <w:tblLook w:val="04A0"/>
        </w:tblPrEx>
        <w:trPr>
          <w:trHeight w:val="533"/>
        </w:trPr>
        <w:tc>
          <w:tcPr>
            <w:tcW w:w="153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B3F009D" w14:textId="77777777">
            <w:pPr>
              <w:widowControl/>
              <w:rPr>
                <w:rFonts w:cs="Calibri"/>
                <w:color w:val="000000"/>
                <w:sz w:val="20"/>
              </w:rPr>
            </w:pPr>
            <w:r w:rsidRPr="00C83ECC">
              <w:rPr>
                <w:rFonts w:cs="Calibri"/>
                <w:color w:val="000000"/>
                <w:sz w:val="20"/>
              </w:rPr>
              <w:t>9. Request for exemption from provisional hold requirements - Ongoing - 360.9(c)(9) (Voluntary)</w:t>
            </w:r>
          </w:p>
        </w:tc>
        <w:tc>
          <w:tcPr>
            <w:tcW w:w="81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B07569C" w14:textId="77777777">
            <w:pPr>
              <w:widowControl/>
              <w:jc w:val="center"/>
              <w:rPr>
                <w:rFonts w:cs="Calibri"/>
                <w:color w:val="000000"/>
                <w:sz w:val="20"/>
              </w:rPr>
            </w:pPr>
            <w:r w:rsidRPr="00C83ECC">
              <w:rPr>
                <w:rFonts w:cs="Calibri"/>
                <w:color w:val="000000"/>
                <w:sz w:val="20"/>
              </w:rPr>
              <w:t>0.34</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439274C4"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49651BA" w14:textId="77777777">
            <w:pPr>
              <w:widowControl/>
              <w:jc w:val="center"/>
              <w:rPr>
                <w:rFonts w:cs="Calibri"/>
                <w:color w:val="000000"/>
                <w:sz w:val="20"/>
              </w:rPr>
            </w:pPr>
            <w:r w:rsidRPr="00C83ECC">
              <w:rPr>
                <w:rFonts w:cs="Calibri"/>
                <w:color w:val="000000"/>
                <w:sz w:val="20"/>
              </w:rPr>
              <w:t>30</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75CA3431" w14:textId="77777777">
            <w:pPr>
              <w:widowControl/>
              <w:jc w:val="center"/>
              <w:rPr>
                <w:rFonts w:cs="Calibri"/>
                <w:color w:val="000000"/>
                <w:sz w:val="20"/>
              </w:rPr>
            </w:pPr>
            <w:r w:rsidRPr="00C83ECC">
              <w:rPr>
                <w:rFonts w:cs="Calibri"/>
                <w:color w:val="000000"/>
                <w:sz w:val="20"/>
              </w:rPr>
              <w:t>40</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9414405" w14:textId="77777777">
            <w:pPr>
              <w:widowControl/>
              <w:jc w:val="center"/>
              <w:rPr>
                <w:rFonts w:cs="Calibri"/>
                <w:color w:val="000000"/>
                <w:sz w:val="20"/>
              </w:rPr>
            </w:pPr>
            <w:r w:rsidRPr="00C83ECC">
              <w:rPr>
                <w:rFonts w:cs="Calibri"/>
                <w:color w:val="000000"/>
                <w:sz w:val="20"/>
              </w:rPr>
              <w:t>20</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07DB565A"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048C68B5" w14:textId="77777777">
            <w:pPr>
              <w:widowControl/>
              <w:jc w:val="center"/>
              <w:rPr>
                <w:rFonts w:cs="Calibri"/>
                <w:color w:val="000000"/>
                <w:sz w:val="20"/>
              </w:rPr>
            </w:pPr>
            <w:r w:rsidRPr="00C83ECC">
              <w:rPr>
                <w:rFonts w:cs="Calibri"/>
                <w:color w:val="000000"/>
                <w:sz w:val="20"/>
              </w:rPr>
              <w:t>0</w:t>
            </w:r>
          </w:p>
        </w:tc>
        <w:tc>
          <w:tcPr>
            <w:tcW w:w="162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999891A" w14:textId="77777777">
            <w:pPr>
              <w:widowControl/>
              <w:ind w:firstLine="200" w:firstLineChars="100"/>
              <w:jc w:val="right"/>
              <w:rPr>
                <w:rFonts w:cs="Calibri"/>
                <w:color w:val="000000"/>
                <w:sz w:val="20"/>
              </w:rPr>
            </w:pPr>
            <w:r w:rsidRPr="00C83ECC">
              <w:rPr>
                <w:rFonts w:cs="Calibri"/>
                <w:color w:val="000000"/>
                <w:sz w:val="20"/>
              </w:rPr>
              <w:t xml:space="preserve">$119.51 </w:t>
            </w:r>
          </w:p>
        </w:tc>
      </w:tr>
      <w:tr w14:paraId="22275541" w14:textId="77777777" w:rsidTr="004A0F9B">
        <w:tblPrEx>
          <w:tblW w:w="9540" w:type="dxa"/>
          <w:tblInd w:w="-10" w:type="dxa"/>
          <w:tblLayout w:type="fixed"/>
          <w:tblCellMar>
            <w:top w:w="15" w:type="dxa"/>
            <w:bottom w:w="15" w:type="dxa"/>
          </w:tblCellMar>
          <w:tblLook w:val="04A0"/>
        </w:tblPrEx>
        <w:trPr>
          <w:trHeight w:val="359"/>
        </w:trPr>
        <w:tc>
          <w:tcPr>
            <w:tcW w:w="153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07EE3A9" w14:textId="77777777">
            <w:pPr>
              <w:widowControl/>
              <w:rPr>
                <w:rFonts w:cs="Calibri"/>
                <w:color w:val="000000"/>
                <w:sz w:val="20"/>
              </w:rPr>
            </w:pPr>
            <w:r w:rsidRPr="00C83ECC">
              <w:rPr>
                <w:rFonts w:cs="Calibri"/>
                <w:color w:val="000000"/>
                <w:sz w:val="20"/>
              </w:rPr>
              <w:t>10. Request for exemption - Ongoing - 360.9(f) (Voluntary)</w:t>
            </w:r>
          </w:p>
        </w:tc>
        <w:tc>
          <w:tcPr>
            <w:tcW w:w="81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EF08AAE" w14:textId="77777777">
            <w:pPr>
              <w:widowControl/>
              <w:jc w:val="center"/>
              <w:rPr>
                <w:rFonts w:cs="Calibri"/>
                <w:color w:val="000000"/>
                <w:sz w:val="20"/>
              </w:rPr>
            </w:pPr>
            <w:r w:rsidRPr="00C83ECC">
              <w:rPr>
                <w:rFonts w:cs="Calibri"/>
                <w:color w:val="000000"/>
                <w:sz w:val="20"/>
              </w:rPr>
              <w:t>0.34</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D052F92"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AFEBF57" w14:textId="77777777">
            <w:pPr>
              <w:widowControl/>
              <w:jc w:val="center"/>
              <w:rPr>
                <w:rFonts w:cs="Calibri"/>
                <w:color w:val="000000"/>
                <w:sz w:val="20"/>
              </w:rPr>
            </w:pPr>
            <w:r w:rsidRPr="00C83ECC">
              <w:rPr>
                <w:rFonts w:cs="Calibri"/>
                <w:color w:val="000000"/>
                <w:sz w:val="20"/>
              </w:rPr>
              <w:t>30</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49FF5B80" w14:textId="77777777">
            <w:pPr>
              <w:widowControl/>
              <w:jc w:val="center"/>
              <w:rPr>
                <w:rFonts w:cs="Calibri"/>
                <w:color w:val="000000"/>
                <w:sz w:val="20"/>
              </w:rPr>
            </w:pPr>
            <w:r w:rsidRPr="00C83ECC">
              <w:rPr>
                <w:rFonts w:cs="Calibri"/>
                <w:color w:val="000000"/>
                <w:sz w:val="20"/>
              </w:rPr>
              <w:t>40</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46610BE" w14:textId="77777777">
            <w:pPr>
              <w:widowControl/>
              <w:jc w:val="center"/>
              <w:rPr>
                <w:rFonts w:cs="Calibri"/>
                <w:color w:val="000000"/>
                <w:sz w:val="20"/>
              </w:rPr>
            </w:pPr>
            <w:r w:rsidRPr="00C83ECC">
              <w:rPr>
                <w:rFonts w:cs="Calibri"/>
                <w:color w:val="000000"/>
                <w:sz w:val="20"/>
              </w:rPr>
              <w:t>20</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3A9D41A9"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3DECB4CE" w14:textId="77777777">
            <w:pPr>
              <w:widowControl/>
              <w:jc w:val="center"/>
              <w:rPr>
                <w:rFonts w:cs="Calibri"/>
                <w:color w:val="000000"/>
                <w:sz w:val="20"/>
              </w:rPr>
            </w:pPr>
            <w:r w:rsidRPr="00C83ECC">
              <w:rPr>
                <w:rFonts w:cs="Calibri"/>
                <w:color w:val="000000"/>
                <w:sz w:val="20"/>
              </w:rPr>
              <w:t>0</w:t>
            </w:r>
          </w:p>
        </w:tc>
        <w:tc>
          <w:tcPr>
            <w:tcW w:w="162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3CE11675" w14:textId="77777777">
            <w:pPr>
              <w:widowControl/>
              <w:ind w:firstLine="200" w:firstLineChars="100"/>
              <w:jc w:val="right"/>
              <w:rPr>
                <w:rFonts w:cs="Calibri"/>
                <w:color w:val="000000"/>
                <w:sz w:val="20"/>
              </w:rPr>
            </w:pPr>
            <w:r w:rsidRPr="00C83ECC">
              <w:rPr>
                <w:rFonts w:cs="Calibri"/>
                <w:color w:val="000000"/>
                <w:sz w:val="20"/>
              </w:rPr>
              <w:t xml:space="preserve">$119.51 </w:t>
            </w:r>
          </w:p>
        </w:tc>
      </w:tr>
      <w:tr w14:paraId="3F0F90C2" w14:textId="77777777" w:rsidTr="004A0F9B">
        <w:tblPrEx>
          <w:tblW w:w="9540" w:type="dxa"/>
          <w:tblInd w:w="-10" w:type="dxa"/>
          <w:tblLayout w:type="fixed"/>
          <w:tblCellMar>
            <w:top w:w="15" w:type="dxa"/>
            <w:bottom w:w="15" w:type="dxa"/>
          </w:tblCellMar>
          <w:tblLook w:val="04A0"/>
        </w:tblPrEx>
        <w:trPr>
          <w:trHeight w:val="533"/>
        </w:trPr>
        <w:tc>
          <w:tcPr>
            <w:tcW w:w="153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9FE74C8" w14:textId="77777777">
            <w:pPr>
              <w:widowControl/>
              <w:rPr>
                <w:rFonts w:cs="Calibri"/>
                <w:color w:val="000000"/>
                <w:sz w:val="20"/>
              </w:rPr>
            </w:pPr>
            <w:r w:rsidRPr="00C83ECC">
              <w:rPr>
                <w:rFonts w:cs="Calibri"/>
                <w:color w:val="000000"/>
                <w:sz w:val="20"/>
              </w:rPr>
              <w:t>11. Test compliance with 360.9 (c) - (d) pursuant to 360.9(</w:t>
            </w:r>
            <w:r w:rsidRPr="00C83ECC">
              <w:rPr>
                <w:rFonts w:cs="Calibri"/>
                <w:color w:val="000000"/>
                <w:sz w:val="20"/>
              </w:rPr>
              <w:t>h)  -</w:t>
            </w:r>
            <w:r w:rsidRPr="00C83ECC">
              <w:rPr>
                <w:rFonts w:cs="Calibri"/>
                <w:color w:val="000000"/>
                <w:sz w:val="20"/>
              </w:rPr>
              <w:t xml:space="preserve"> Ongoing -  360.9 (h) (Mandatory)</w:t>
            </w:r>
          </w:p>
        </w:tc>
        <w:tc>
          <w:tcPr>
            <w:tcW w:w="81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11D2F227" w14:textId="77777777">
            <w:pPr>
              <w:widowControl/>
              <w:jc w:val="center"/>
              <w:rPr>
                <w:rFonts w:cs="Calibri"/>
                <w:color w:val="000000"/>
                <w:sz w:val="20"/>
              </w:rPr>
            </w:pPr>
            <w:r w:rsidRPr="00C83ECC">
              <w:rPr>
                <w:rFonts w:cs="Calibri"/>
                <w:color w:val="000000"/>
                <w:sz w:val="20"/>
              </w:rPr>
              <w:t>40.35</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64A07F4F"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7C40DBED"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5F421852" w14:textId="77777777">
            <w:pPr>
              <w:widowControl/>
              <w:jc w:val="center"/>
              <w:rPr>
                <w:rFonts w:cs="Calibri"/>
                <w:color w:val="000000"/>
                <w:sz w:val="20"/>
              </w:rPr>
            </w:pPr>
            <w:r w:rsidRPr="00C83ECC">
              <w:rPr>
                <w:rFonts w:cs="Calibri"/>
                <w:color w:val="000000"/>
                <w:sz w:val="20"/>
              </w:rPr>
              <w:t>40</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05ABDA22" w14:textId="77777777">
            <w:pPr>
              <w:widowControl/>
              <w:jc w:val="center"/>
              <w:rPr>
                <w:rFonts w:cs="Calibri"/>
                <w:color w:val="000000"/>
                <w:sz w:val="20"/>
              </w:rPr>
            </w:pPr>
            <w:r w:rsidRPr="00C83ECC">
              <w:rPr>
                <w:rFonts w:cs="Calibri"/>
                <w:color w:val="000000"/>
                <w:sz w:val="20"/>
              </w:rPr>
              <w:t>45</w:t>
            </w:r>
          </w:p>
        </w:tc>
        <w:tc>
          <w:tcPr>
            <w:tcW w:w="99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2CDC03C0" w14:textId="77777777">
            <w:pPr>
              <w:widowControl/>
              <w:jc w:val="center"/>
              <w:rPr>
                <w:rFonts w:cs="Calibri"/>
                <w:color w:val="000000"/>
                <w:sz w:val="20"/>
              </w:rPr>
            </w:pPr>
            <w:r w:rsidRPr="00C83ECC">
              <w:rPr>
                <w:rFonts w:cs="Calibri"/>
                <w:color w:val="000000"/>
                <w:sz w:val="20"/>
              </w:rPr>
              <w:t>5</w:t>
            </w:r>
          </w:p>
        </w:tc>
        <w:tc>
          <w:tcPr>
            <w:tcW w:w="90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0F889579" w14:textId="77777777">
            <w:pPr>
              <w:widowControl/>
              <w:jc w:val="center"/>
              <w:rPr>
                <w:rFonts w:cs="Calibri"/>
                <w:color w:val="000000"/>
                <w:sz w:val="20"/>
              </w:rPr>
            </w:pPr>
            <w:r w:rsidRPr="00C83ECC">
              <w:rPr>
                <w:rFonts w:cs="Calibri"/>
                <w:color w:val="000000"/>
                <w:sz w:val="20"/>
              </w:rPr>
              <w:t>0</w:t>
            </w:r>
          </w:p>
        </w:tc>
        <w:tc>
          <w:tcPr>
            <w:tcW w:w="1620" w:type="dxa"/>
            <w:tcBorders>
              <w:top w:val="single" w:sz="8" w:space="0" w:color="auto"/>
              <w:left w:val="single" w:sz="8" w:space="0" w:color="auto"/>
              <w:bottom w:val="single" w:sz="8" w:space="0" w:color="auto"/>
              <w:right w:val="single" w:sz="8" w:space="0" w:color="auto"/>
            </w:tcBorders>
            <w:vAlign w:val="center"/>
            <w:hideMark/>
          </w:tcPr>
          <w:p w:rsidR="00625942" w:rsidRPr="00C83ECC" w:rsidP="004A0F9B" w14:paraId="05DB09B1" w14:textId="77777777">
            <w:pPr>
              <w:widowControl/>
              <w:ind w:firstLine="200" w:firstLineChars="100"/>
              <w:jc w:val="right"/>
              <w:rPr>
                <w:rFonts w:cs="Calibri"/>
                <w:color w:val="000000"/>
                <w:sz w:val="20"/>
              </w:rPr>
            </w:pPr>
            <w:r w:rsidRPr="00C83ECC">
              <w:rPr>
                <w:rFonts w:cs="Calibri"/>
                <w:color w:val="000000"/>
                <w:sz w:val="20"/>
              </w:rPr>
              <w:t xml:space="preserve">$101.79 </w:t>
            </w:r>
          </w:p>
        </w:tc>
      </w:tr>
      <w:tr w14:paraId="16165E27" w14:textId="77777777" w:rsidTr="004A0F9B">
        <w:tblPrEx>
          <w:tblW w:w="9540" w:type="dxa"/>
          <w:tblInd w:w="-10" w:type="dxa"/>
          <w:tblLayout w:type="fixed"/>
          <w:tblCellMar>
            <w:top w:w="15" w:type="dxa"/>
            <w:bottom w:w="15" w:type="dxa"/>
          </w:tblCellMar>
          <w:tblLook w:val="04A0"/>
        </w:tblPrEx>
        <w:trPr>
          <w:trHeight w:val="205"/>
        </w:trPr>
        <w:tc>
          <w:tcPr>
            <w:tcW w:w="7920" w:type="dxa"/>
            <w:gridSpan w:val="8"/>
            <w:tcBorders>
              <w:top w:val="single" w:sz="8" w:space="0" w:color="auto"/>
              <w:left w:val="single" w:sz="8" w:space="0" w:color="auto"/>
              <w:bottom w:val="single" w:sz="4" w:space="0" w:color="auto"/>
              <w:right w:val="single" w:sz="8" w:space="0" w:color="auto"/>
            </w:tcBorders>
            <w:vAlign w:val="center"/>
            <w:hideMark/>
          </w:tcPr>
          <w:p w:rsidR="00625942" w:rsidRPr="00F0209F" w:rsidP="004A0F9B" w14:paraId="53314AED" w14:textId="77777777">
            <w:pPr>
              <w:widowControl/>
              <w:jc w:val="right"/>
              <w:rPr>
                <w:rFonts w:cs="Calibri"/>
                <w:b/>
                <w:bCs/>
                <w:i/>
                <w:iCs/>
                <w:color w:val="000000"/>
                <w:sz w:val="22"/>
                <w:szCs w:val="22"/>
              </w:rPr>
            </w:pPr>
            <w:r w:rsidRPr="00F0209F">
              <w:rPr>
                <w:rFonts w:cs="Calibri"/>
                <w:b/>
                <w:bCs/>
                <w:i/>
                <w:iCs/>
                <w:color w:val="000000"/>
                <w:sz w:val="22"/>
                <w:szCs w:val="22"/>
              </w:rPr>
              <w:t>Weighted Average Hourly Compensation Rate:</w:t>
            </w:r>
          </w:p>
        </w:tc>
        <w:tc>
          <w:tcPr>
            <w:tcW w:w="1620" w:type="dxa"/>
            <w:tcBorders>
              <w:top w:val="single" w:sz="8" w:space="0" w:color="auto"/>
              <w:left w:val="single" w:sz="8" w:space="0" w:color="auto"/>
              <w:bottom w:val="single" w:sz="4" w:space="0" w:color="auto"/>
              <w:right w:val="single" w:sz="8" w:space="0" w:color="auto"/>
            </w:tcBorders>
            <w:vAlign w:val="center"/>
            <w:hideMark/>
          </w:tcPr>
          <w:p w:rsidR="00625942" w:rsidRPr="00F0209F" w:rsidP="004A0F9B" w14:paraId="251447E2" w14:textId="77777777">
            <w:pPr>
              <w:widowControl/>
              <w:ind w:firstLine="220" w:firstLineChars="100"/>
              <w:jc w:val="right"/>
              <w:rPr>
                <w:rFonts w:cs="Calibri"/>
                <w:b/>
                <w:bCs/>
                <w:i/>
                <w:iCs/>
                <w:color w:val="000000"/>
                <w:sz w:val="22"/>
                <w:szCs w:val="22"/>
              </w:rPr>
            </w:pPr>
            <w:r w:rsidRPr="00F0209F">
              <w:rPr>
                <w:rFonts w:cs="Calibri"/>
                <w:b/>
                <w:bCs/>
                <w:i/>
                <w:iCs/>
                <w:color w:val="000000"/>
                <w:sz w:val="22"/>
                <w:szCs w:val="22"/>
              </w:rPr>
              <w:t xml:space="preserve">$102.94 </w:t>
            </w:r>
          </w:p>
        </w:tc>
      </w:tr>
      <w:tr w14:paraId="31EF30C8" w14:textId="77777777" w:rsidTr="004A0F9B">
        <w:tblPrEx>
          <w:tblW w:w="9540" w:type="dxa"/>
          <w:tblInd w:w="-10" w:type="dxa"/>
          <w:tblLayout w:type="fixed"/>
          <w:tblCellMar>
            <w:top w:w="15" w:type="dxa"/>
            <w:bottom w:w="15" w:type="dxa"/>
          </w:tblCellMar>
          <w:tblLook w:val="04A0"/>
        </w:tblPrEx>
        <w:trPr>
          <w:trHeight w:val="276"/>
        </w:trPr>
        <w:tc>
          <w:tcPr>
            <w:tcW w:w="9540" w:type="dxa"/>
            <w:gridSpan w:val="9"/>
            <w:vMerge w:val="restart"/>
            <w:tcBorders>
              <w:top w:val="single" w:sz="4" w:space="0" w:color="auto"/>
              <w:left w:val="single" w:sz="4" w:space="0" w:color="auto"/>
              <w:bottom w:val="single" w:sz="4" w:space="0" w:color="auto"/>
              <w:right w:val="single" w:sz="4" w:space="0" w:color="auto"/>
            </w:tcBorders>
            <w:vAlign w:val="center"/>
            <w:hideMark/>
          </w:tcPr>
          <w:p w:rsidR="00625942" w:rsidRPr="00F0209F" w:rsidP="004A0F9B" w14:paraId="7326C8B8" w14:textId="77777777">
            <w:pPr>
              <w:widowControl/>
              <w:rPr>
                <w:rFonts w:cs="Calibri"/>
                <w:color w:val="000000"/>
                <w:sz w:val="18"/>
                <w:szCs w:val="18"/>
              </w:rPr>
            </w:pPr>
            <w:r w:rsidRPr="00F0209F">
              <w:rPr>
                <w:rFonts w:cs="Calibri"/>
                <w:color w:val="000000"/>
                <w:sz w:val="18"/>
                <w:szCs w:val="18"/>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March 2024). Standard Occupational Classification (SOC) Codes: Exec. And </w:t>
            </w:r>
            <w:r w:rsidRPr="00F0209F">
              <w:rPr>
                <w:rFonts w:cs="Calibri"/>
                <w:color w:val="000000"/>
                <w:sz w:val="18"/>
                <w:szCs w:val="18"/>
              </w:rPr>
              <w:t>Mgr</w:t>
            </w:r>
            <w:r w:rsidRPr="00F0209F">
              <w:rPr>
                <w:rFonts w:cs="Calibri"/>
                <w:color w:val="000000"/>
                <w:sz w:val="18"/>
                <w:szCs w:val="18"/>
              </w:rPr>
              <w:t xml:space="preserve"> = 11-0000 Management Occupations; Lawyer = 23-0000 Legal Occupations; </w:t>
            </w:r>
            <w:r w:rsidRPr="00F0209F">
              <w:rPr>
                <w:rFonts w:cs="Calibri"/>
                <w:color w:val="000000"/>
                <w:sz w:val="18"/>
                <w:szCs w:val="18"/>
              </w:rPr>
              <w:t>Compl</w:t>
            </w:r>
            <w:r w:rsidRPr="00F0209F">
              <w:rPr>
                <w:rFonts w:cs="Calibri"/>
                <w:color w:val="000000"/>
                <w:sz w:val="18"/>
                <w:szCs w:val="18"/>
              </w:rPr>
              <w:t xml:space="preserve">. Ofc. = 13-1040 Compliance Officers; IT = 15-0000 Computer and Mathematical Occupations; Fin. </w:t>
            </w:r>
            <w:r w:rsidRPr="00F0209F">
              <w:rPr>
                <w:rFonts w:cs="Calibri"/>
                <w:color w:val="000000"/>
                <w:sz w:val="18"/>
                <w:szCs w:val="18"/>
              </w:rPr>
              <w:t>Anlst</w:t>
            </w:r>
            <w:r w:rsidRPr="00F0209F">
              <w:rPr>
                <w:rFonts w:cs="Calibri"/>
                <w:color w:val="000000"/>
                <w:sz w:val="18"/>
                <w:szCs w:val="18"/>
              </w:rPr>
              <w:t xml:space="preserve">. = 13-2051 Financial and Investment Analysts; Clerical = 43-0000 Office and Administrative Support Occupations. </w:t>
            </w:r>
          </w:p>
        </w:tc>
      </w:tr>
      <w:tr w14:paraId="6F8CDA03" w14:textId="77777777" w:rsidTr="004A0F9B">
        <w:tblPrEx>
          <w:tblW w:w="9540" w:type="dxa"/>
          <w:tblInd w:w="-10" w:type="dxa"/>
          <w:tblLayout w:type="fixed"/>
          <w:tblCellMar>
            <w:top w:w="15" w:type="dxa"/>
            <w:bottom w:w="15" w:type="dxa"/>
          </w:tblCellMar>
          <w:tblLook w:val="04A0"/>
        </w:tblPrEx>
        <w:trPr>
          <w:trHeight w:val="276"/>
        </w:trPr>
        <w:tc>
          <w:tcPr>
            <w:tcW w:w="9540" w:type="dxa"/>
            <w:gridSpan w:val="9"/>
            <w:vMerge/>
            <w:tcBorders>
              <w:top w:val="single" w:sz="8" w:space="0" w:color="auto"/>
              <w:left w:val="single" w:sz="4" w:space="0" w:color="auto"/>
              <w:bottom w:val="single" w:sz="4" w:space="0" w:color="auto"/>
              <w:right w:val="single" w:sz="4" w:space="0" w:color="auto"/>
            </w:tcBorders>
            <w:vAlign w:val="center"/>
            <w:hideMark/>
          </w:tcPr>
          <w:p w:rsidR="00625942" w:rsidRPr="00F0209F" w:rsidP="004A0F9B" w14:paraId="402F3EE6" w14:textId="77777777">
            <w:pPr>
              <w:widowControl/>
              <w:rPr>
                <w:rFonts w:cs="Calibri"/>
                <w:color w:val="000000"/>
                <w:sz w:val="18"/>
                <w:szCs w:val="18"/>
              </w:rPr>
            </w:pPr>
          </w:p>
        </w:tc>
      </w:tr>
      <w:tr w14:paraId="276AB66D" w14:textId="77777777" w:rsidTr="004A0F9B">
        <w:tblPrEx>
          <w:tblW w:w="9540" w:type="dxa"/>
          <w:tblInd w:w="-10" w:type="dxa"/>
          <w:tblLayout w:type="fixed"/>
          <w:tblCellMar>
            <w:top w:w="15" w:type="dxa"/>
            <w:bottom w:w="15" w:type="dxa"/>
          </w:tblCellMar>
          <w:tblLook w:val="04A0"/>
        </w:tblPrEx>
        <w:trPr>
          <w:trHeight w:val="276"/>
        </w:trPr>
        <w:tc>
          <w:tcPr>
            <w:tcW w:w="9540" w:type="dxa"/>
            <w:gridSpan w:val="9"/>
            <w:vMerge/>
            <w:tcBorders>
              <w:top w:val="single" w:sz="8" w:space="0" w:color="auto"/>
              <w:left w:val="single" w:sz="4" w:space="0" w:color="auto"/>
              <w:bottom w:val="single" w:sz="4" w:space="0" w:color="auto"/>
              <w:right w:val="single" w:sz="4" w:space="0" w:color="auto"/>
            </w:tcBorders>
            <w:vAlign w:val="center"/>
            <w:hideMark/>
          </w:tcPr>
          <w:p w:rsidR="00625942" w:rsidRPr="00F0209F" w:rsidP="004A0F9B" w14:paraId="0994AAD7" w14:textId="77777777">
            <w:pPr>
              <w:widowControl/>
              <w:rPr>
                <w:rFonts w:cs="Calibri"/>
                <w:color w:val="000000"/>
                <w:sz w:val="18"/>
                <w:szCs w:val="18"/>
              </w:rPr>
            </w:pPr>
          </w:p>
        </w:tc>
      </w:tr>
      <w:tr w14:paraId="4A5DA6F6" w14:textId="77777777" w:rsidTr="004A0F9B">
        <w:tblPrEx>
          <w:tblW w:w="9540" w:type="dxa"/>
          <w:tblInd w:w="-10" w:type="dxa"/>
          <w:tblLayout w:type="fixed"/>
          <w:tblCellMar>
            <w:top w:w="15" w:type="dxa"/>
            <w:bottom w:w="15" w:type="dxa"/>
          </w:tblCellMar>
          <w:tblLook w:val="04A0"/>
        </w:tblPrEx>
        <w:trPr>
          <w:trHeight w:val="302"/>
        </w:trPr>
        <w:tc>
          <w:tcPr>
            <w:tcW w:w="9540" w:type="dxa"/>
            <w:gridSpan w:val="9"/>
            <w:vMerge/>
            <w:tcBorders>
              <w:top w:val="single" w:sz="8" w:space="0" w:color="auto"/>
              <w:left w:val="single" w:sz="4" w:space="0" w:color="auto"/>
              <w:bottom w:val="single" w:sz="4" w:space="0" w:color="auto"/>
              <w:right w:val="single" w:sz="4" w:space="0" w:color="auto"/>
            </w:tcBorders>
            <w:vAlign w:val="center"/>
            <w:hideMark/>
          </w:tcPr>
          <w:p w:rsidR="00625942" w:rsidRPr="00F0209F" w:rsidP="004A0F9B" w14:paraId="43E52F8A" w14:textId="77777777">
            <w:pPr>
              <w:widowControl/>
              <w:rPr>
                <w:rFonts w:cs="Calibri"/>
                <w:color w:val="000000"/>
                <w:sz w:val="18"/>
                <w:szCs w:val="18"/>
              </w:rPr>
            </w:pPr>
          </w:p>
        </w:tc>
      </w:tr>
      <w:tr w14:paraId="3D863DE2" w14:textId="77777777" w:rsidTr="004A0F9B">
        <w:tblPrEx>
          <w:tblW w:w="9540" w:type="dxa"/>
          <w:tblInd w:w="-10" w:type="dxa"/>
          <w:tblLayout w:type="fixed"/>
          <w:tblCellMar>
            <w:top w:w="15" w:type="dxa"/>
            <w:bottom w:w="15" w:type="dxa"/>
          </w:tblCellMar>
          <w:tblLook w:val="04A0"/>
        </w:tblPrEx>
        <w:trPr>
          <w:trHeight w:val="276"/>
        </w:trPr>
        <w:tc>
          <w:tcPr>
            <w:tcW w:w="9540" w:type="dxa"/>
            <w:gridSpan w:val="9"/>
            <w:vMerge w:val="restart"/>
            <w:tcBorders>
              <w:top w:val="single" w:sz="4" w:space="0" w:color="auto"/>
              <w:left w:val="single" w:sz="4" w:space="0" w:color="auto"/>
              <w:bottom w:val="single" w:sz="4" w:space="0" w:color="auto"/>
              <w:right w:val="single" w:sz="4" w:space="0" w:color="auto"/>
            </w:tcBorders>
            <w:vAlign w:val="center"/>
            <w:hideMark/>
          </w:tcPr>
          <w:p w:rsidR="00625942" w:rsidRPr="00F0209F" w:rsidP="004A0F9B" w14:paraId="05DAFF71" w14:textId="77777777">
            <w:pPr>
              <w:widowControl/>
              <w:rPr>
                <w:rFonts w:cs="Calibri"/>
                <w:color w:val="000000"/>
                <w:sz w:val="18"/>
                <w:szCs w:val="18"/>
              </w:rPr>
            </w:pPr>
            <w:r w:rsidRPr="00F0209F">
              <w:rPr>
                <w:rFonts w:cs="Calibri"/>
                <w:color w:val="000000"/>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r>
      <w:tr w14:paraId="58409E05" w14:textId="77777777" w:rsidTr="004A0F9B">
        <w:tblPrEx>
          <w:tblW w:w="9540" w:type="dxa"/>
          <w:tblInd w:w="-10" w:type="dxa"/>
          <w:tblLayout w:type="fixed"/>
          <w:tblCellMar>
            <w:top w:w="15" w:type="dxa"/>
            <w:bottom w:w="15" w:type="dxa"/>
          </w:tblCellMar>
          <w:tblLook w:val="04A0"/>
        </w:tblPrEx>
        <w:trPr>
          <w:trHeight w:val="276"/>
        </w:trPr>
        <w:tc>
          <w:tcPr>
            <w:tcW w:w="9540" w:type="dxa"/>
            <w:gridSpan w:val="9"/>
            <w:vMerge/>
            <w:tcBorders>
              <w:top w:val="single" w:sz="8" w:space="0" w:color="auto"/>
              <w:left w:val="single" w:sz="4" w:space="0" w:color="auto"/>
              <w:bottom w:val="single" w:sz="4" w:space="0" w:color="auto"/>
              <w:right w:val="single" w:sz="4" w:space="0" w:color="auto"/>
            </w:tcBorders>
            <w:vAlign w:val="center"/>
            <w:hideMark/>
          </w:tcPr>
          <w:p w:rsidR="00625942" w:rsidRPr="00F0209F" w:rsidP="004A0F9B" w14:paraId="6200EAE7" w14:textId="77777777">
            <w:pPr>
              <w:widowControl/>
              <w:rPr>
                <w:rFonts w:cs="Calibri"/>
                <w:color w:val="000000"/>
                <w:sz w:val="18"/>
                <w:szCs w:val="18"/>
              </w:rPr>
            </w:pPr>
          </w:p>
        </w:tc>
      </w:tr>
      <w:tr w14:paraId="59369346" w14:textId="77777777" w:rsidTr="004A0F9B">
        <w:tblPrEx>
          <w:tblW w:w="9540" w:type="dxa"/>
          <w:tblInd w:w="-10" w:type="dxa"/>
          <w:tblLayout w:type="fixed"/>
          <w:tblCellMar>
            <w:top w:w="15" w:type="dxa"/>
            <w:bottom w:w="15" w:type="dxa"/>
          </w:tblCellMar>
          <w:tblLook w:val="04A0"/>
        </w:tblPrEx>
        <w:trPr>
          <w:trHeight w:val="276"/>
        </w:trPr>
        <w:tc>
          <w:tcPr>
            <w:tcW w:w="9540" w:type="dxa"/>
            <w:gridSpan w:val="9"/>
            <w:vMerge/>
            <w:tcBorders>
              <w:top w:val="single" w:sz="8" w:space="0" w:color="auto"/>
              <w:left w:val="single" w:sz="4" w:space="0" w:color="auto"/>
              <w:bottom w:val="single" w:sz="4" w:space="0" w:color="auto"/>
              <w:right w:val="single" w:sz="4" w:space="0" w:color="auto"/>
            </w:tcBorders>
            <w:vAlign w:val="center"/>
            <w:hideMark/>
          </w:tcPr>
          <w:p w:rsidR="00625942" w:rsidRPr="00F0209F" w:rsidP="004A0F9B" w14:paraId="41FB1A8E" w14:textId="77777777">
            <w:pPr>
              <w:widowControl/>
              <w:rPr>
                <w:rFonts w:cs="Calibri"/>
                <w:color w:val="000000"/>
                <w:sz w:val="18"/>
                <w:szCs w:val="18"/>
              </w:rPr>
            </w:pPr>
          </w:p>
        </w:tc>
      </w:tr>
      <w:tr w14:paraId="6F4BF2AC" w14:textId="77777777" w:rsidTr="004A0F9B">
        <w:tblPrEx>
          <w:tblW w:w="9540" w:type="dxa"/>
          <w:tblInd w:w="-10" w:type="dxa"/>
          <w:tblLayout w:type="fixed"/>
          <w:tblCellMar>
            <w:top w:w="15" w:type="dxa"/>
            <w:bottom w:w="15" w:type="dxa"/>
          </w:tblCellMar>
          <w:tblLook w:val="04A0"/>
        </w:tblPrEx>
        <w:trPr>
          <w:trHeight w:val="276"/>
        </w:trPr>
        <w:tc>
          <w:tcPr>
            <w:tcW w:w="9540" w:type="dxa"/>
            <w:gridSpan w:val="9"/>
            <w:vMerge/>
            <w:tcBorders>
              <w:top w:val="single" w:sz="8" w:space="0" w:color="auto"/>
              <w:left w:val="single" w:sz="4" w:space="0" w:color="auto"/>
              <w:bottom w:val="single" w:sz="4" w:space="0" w:color="auto"/>
              <w:right w:val="single" w:sz="4" w:space="0" w:color="auto"/>
            </w:tcBorders>
            <w:vAlign w:val="center"/>
            <w:hideMark/>
          </w:tcPr>
          <w:p w:rsidR="00625942" w:rsidRPr="00F0209F" w:rsidP="004A0F9B" w14:paraId="1DBCCE88" w14:textId="77777777">
            <w:pPr>
              <w:widowControl/>
              <w:rPr>
                <w:rFonts w:cs="Calibri"/>
                <w:color w:val="000000"/>
                <w:sz w:val="18"/>
                <w:szCs w:val="18"/>
              </w:rPr>
            </w:pPr>
          </w:p>
        </w:tc>
      </w:tr>
      <w:tr w14:paraId="3A11D719" w14:textId="77777777" w:rsidTr="004A0F9B">
        <w:tblPrEx>
          <w:tblW w:w="9540" w:type="dxa"/>
          <w:tblInd w:w="-10" w:type="dxa"/>
          <w:tblLayout w:type="fixed"/>
          <w:tblCellMar>
            <w:top w:w="15" w:type="dxa"/>
            <w:bottom w:w="15" w:type="dxa"/>
          </w:tblCellMar>
          <w:tblLook w:val="04A0"/>
        </w:tblPrEx>
        <w:trPr>
          <w:trHeight w:val="276"/>
        </w:trPr>
        <w:tc>
          <w:tcPr>
            <w:tcW w:w="9540" w:type="dxa"/>
            <w:gridSpan w:val="9"/>
            <w:vMerge/>
            <w:tcBorders>
              <w:top w:val="single" w:sz="8" w:space="0" w:color="auto"/>
              <w:left w:val="single" w:sz="4" w:space="0" w:color="auto"/>
              <w:bottom w:val="single" w:sz="4" w:space="0" w:color="auto"/>
              <w:right w:val="single" w:sz="4" w:space="0" w:color="auto"/>
            </w:tcBorders>
            <w:vAlign w:val="center"/>
            <w:hideMark/>
          </w:tcPr>
          <w:p w:rsidR="00625942" w:rsidRPr="005B7505" w:rsidP="004A0F9B" w14:paraId="4FA9A453" w14:textId="77777777">
            <w:pPr>
              <w:widowControl/>
              <w:rPr>
                <w:rFonts w:cs="Calibri"/>
                <w:color w:val="000000"/>
                <w:sz w:val="18"/>
                <w:szCs w:val="18"/>
              </w:rPr>
            </w:pPr>
          </w:p>
        </w:tc>
      </w:tr>
      <w:tr w14:paraId="13F4515E" w14:textId="77777777" w:rsidTr="004A0F9B">
        <w:tblPrEx>
          <w:tblW w:w="9540" w:type="dxa"/>
          <w:tblInd w:w="-10" w:type="dxa"/>
          <w:tblLayout w:type="fixed"/>
          <w:tblCellMar>
            <w:top w:w="15" w:type="dxa"/>
            <w:bottom w:w="15" w:type="dxa"/>
          </w:tblCellMar>
          <w:tblLook w:val="04A0"/>
        </w:tblPrEx>
        <w:trPr>
          <w:trHeight w:val="276"/>
        </w:trPr>
        <w:tc>
          <w:tcPr>
            <w:tcW w:w="9540" w:type="dxa"/>
            <w:gridSpan w:val="9"/>
            <w:vMerge/>
            <w:tcBorders>
              <w:top w:val="single" w:sz="8" w:space="0" w:color="auto"/>
              <w:left w:val="single" w:sz="4" w:space="0" w:color="auto"/>
              <w:bottom w:val="single" w:sz="4" w:space="0" w:color="auto"/>
              <w:right w:val="single" w:sz="4" w:space="0" w:color="auto"/>
            </w:tcBorders>
            <w:vAlign w:val="center"/>
            <w:hideMark/>
          </w:tcPr>
          <w:p w:rsidR="00625942" w:rsidRPr="005B7505" w:rsidP="004A0F9B" w14:paraId="5975B6D8" w14:textId="77777777">
            <w:pPr>
              <w:widowControl/>
              <w:rPr>
                <w:rFonts w:cs="Calibri"/>
                <w:color w:val="000000"/>
                <w:sz w:val="18"/>
                <w:szCs w:val="18"/>
              </w:rPr>
            </w:pPr>
          </w:p>
        </w:tc>
      </w:tr>
      <w:tr w14:paraId="662E571E" w14:textId="77777777" w:rsidTr="004A0F9B">
        <w:tblPrEx>
          <w:tblW w:w="9540" w:type="dxa"/>
          <w:tblInd w:w="-10" w:type="dxa"/>
          <w:tblLayout w:type="fixed"/>
          <w:tblCellMar>
            <w:top w:w="15" w:type="dxa"/>
            <w:bottom w:w="15" w:type="dxa"/>
          </w:tblCellMar>
          <w:tblLook w:val="04A0"/>
        </w:tblPrEx>
        <w:trPr>
          <w:trHeight w:val="276"/>
        </w:trPr>
        <w:tc>
          <w:tcPr>
            <w:tcW w:w="9540" w:type="dxa"/>
            <w:gridSpan w:val="9"/>
            <w:vMerge/>
            <w:tcBorders>
              <w:top w:val="single" w:sz="8" w:space="0" w:color="auto"/>
              <w:left w:val="single" w:sz="4" w:space="0" w:color="auto"/>
              <w:bottom w:val="single" w:sz="4" w:space="0" w:color="auto"/>
              <w:right w:val="single" w:sz="4" w:space="0" w:color="auto"/>
            </w:tcBorders>
            <w:vAlign w:val="center"/>
            <w:hideMark/>
          </w:tcPr>
          <w:p w:rsidR="00625942" w:rsidRPr="005B7505" w:rsidP="004A0F9B" w14:paraId="1EE22EE9" w14:textId="77777777">
            <w:pPr>
              <w:widowControl/>
              <w:rPr>
                <w:rFonts w:cs="Calibri"/>
                <w:color w:val="000000"/>
                <w:sz w:val="18"/>
                <w:szCs w:val="18"/>
              </w:rPr>
            </w:pPr>
          </w:p>
        </w:tc>
      </w:tr>
    </w:tbl>
    <w:p w:rsidR="00625942" w:rsidP="00E53232" w14:paraId="18699A88" w14:textId="77777777">
      <w:pPr>
        <w:spacing w:after="120"/>
        <w:ind w:left="1440"/>
      </w:pPr>
    </w:p>
    <w:p w:rsidR="009F15D3" w:rsidRPr="009F15D3" w:rsidP="009F15D3" w14:paraId="40B34E91" w14:textId="0965F68D">
      <w:pPr>
        <w:spacing w:after="120"/>
        <w:ind w:left="1440"/>
        <w:rPr>
          <w:b/>
          <w:bCs/>
        </w:rPr>
      </w:pPr>
      <w:r w:rsidRPr="009F15D3">
        <w:rPr>
          <w:b/>
          <w:bCs/>
        </w:rPr>
        <w:t xml:space="preserve">Total Estimated Annual </w:t>
      </w:r>
      <w:r w:rsidRPr="009F15D3">
        <w:rPr>
          <w:b/>
          <w:bCs/>
        </w:rPr>
        <w:t>Labor</w:t>
      </w:r>
      <w:r w:rsidRPr="009F15D3">
        <w:rPr>
          <w:b/>
          <w:bCs/>
        </w:rPr>
        <w:t xml:space="preserve"> Cost</w:t>
      </w:r>
    </w:p>
    <w:p w:rsidR="00D15045" w:rsidP="009F15D3" w14:paraId="242BA8C3" w14:textId="219789BC">
      <w:pPr>
        <w:spacing w:after="120"/>
        <w:ind w:left="1440"/>
        <w:rPr>
          <w:highlight w:val="yellow"/>
        </w:rPr>
      </w:pPr>
      <w:r w:rsidRPr="009F15D3">
        <w:t>Using the total estimated burden hours, and the estimate of the weighted average hourly compensation rate, the total cost burden, as reported in Table 2, for OMB</w:t>
      </w:r>
      <w:r w:rsidRPr="009F15D3">
        <w:rPr>
          <w:u w:val="single"/>
        </w:rPr>
        <w:t xml:space="preserve"> </w:t>
      </w:r>
      <w:r>
        <w:t>No. 3064-0162 is estimated to be $612,287 per year. The estimated cost burden is higher than the estimate in the 2021 ICR ($561,112.16) by $51,195.84. The increase is a result of the increase in weighted average hourly compensation rate from $93.02 in 2021 to $102.94 in 2024, driven by an increase in wages, and an increase in the estimated number of newly covered institutions annually. The overall increase was attenuated by a decrease in the estimated annual responses to 190, a decrease of nine from the 2021 (199). This decrease was driven by a lower estimated number of institutions that will be tested for compliance each year in 2024 (IC11) a decrease in the number of institutions notifying the FDIC of the identity of the person producing standard data downloads (IC8).</w:t>
      </w:r>
    </w:p>
    <w:p w:rsidR="00D15045" w:rsidP="00E90CB3" w14:paraId="39F603D4" w14:textId="77777777">
      <w:pPr>
        <w:tabs>
          <w:tab w:val="left" w:pos="480"/>
          <w:tab w:val="left" w:pos="1080"/>
          <w:tab w:val="left" w:pos="1680"/>
        </w:tabs>
        <w:suppressAutoHyphens/>
        <w:rPr>
          <w:highlight w:val="yellow"/>
        </w:rPr>
      </w:pPr>
    </w:p>
    <w:p w:rsidR="00D56F91" w14:paraId="2DFD9E54" w14:textId="77777777">
      <w:pPr>
        <w:ind w:firstLine="720"/>
      </w:pPr>
      <w:r w:rsidRPr="00687790">
        <w:t>13.</w:t>
      </w:r>
      <w:r w:rsidRPr="00687790">
        <w:tab/>
      </w:r>
      <w:r w:rsidRPr="00687790" w:rsidR="00E16993">
        <w:rPr>
          <w:u w:val="single"/>
        </w:rPr>
        <w:t>Estimate of start-up cost to respondents:</w:t>
      </w:r>
    </w:p>
    <w:p w:rsidR="00D56F91" w14:paraId="75AFCCD6" w14:textId="77777777"/>
    <w:p w:rsidR="00A513C8" w:rsidP="00E90CB3" w14:paraId="74522327" w14:textId="77777777">
      <w:pPr>
        <w:ind w:left="1440"/>
      </w:pPr>
      <w:r w:rsidRPr="00E90CB3">
        <w:rPr>
          <w:color w:val="000000"/>
        </w:rPr>
        <w:t>On-going costs for testing, maintenance and other periodic items is estimated to range between $6,000 and $13,000 for those Covered Institutions using software or servicing provided by a vendor.  For super-regional organizations on-going costs are estimated to be between $150,000 and $250,000.  The largest, most complex Covered Institution was estimated to have on-going costs as high as $500,000 per year.  Overall, on-going industry cost estimates ranged from $4 million to $6.5 million.  Placed in context, this is 0.8 to 1.4 percent of a one basis point assessment against the deposits of Covered Institutions.  This analysis assumes an hourly cost of $160 for Covered Institutions</w:t>
      </w:r>
      <w:r w:rsidRPr="00E16993" w:rsidR="00E16993">
        <w:rPr>
          <w:color w:val="000000"/>
        </w:rPr>
        <w:t>.</w:t>
      </w:r>
    </w:p>
    <w:p w:rsidR="00A513C8" w:rsidP="00A513C8" w14:paraId="0E1B814A" w14:textId="77777777">
      <w:pPr>
        <w:ind w:left="720" w:firstLine="720"/>
      </w:pPr>
    </w:p>
    <w:p w:rsidR="00E16993" w:rsidRPr="00A513C8" w:rsidP="00A513C8" w14:paraId="503B9992" w14:textId="77777777">
      <w:pPr>
        <w:numPr>
          <w:ilvl w:val="0"/>
          <w:numId w:val="6"/>
        </w:numPr>
      </w:pPr>
      <w:r w:rsidRPr="00A513C8">
        <w:rPr>
          <w:color w:val="000000"/>
          <w:u w:val="single"/>
        </w:rPr>
        <w:t>Estimates of annualized cost to the federal government</w:t>
      </w:r>
      <w:r w:rsidR="00A513C8">
        <w:rPr>
          <w:color w:val="000000"/>
          <w:u w:val="single"/>
        </w:rPr>
        <w:t>:</w:t>
      </w:r>
    </w:p>
    <w:p w:rsidR="00D56F91" w14:paraId="197F5DE4" w14:textId="77777777">
      <w:pPr>
        <w:ind w:firstLine="720"/>
      </w:pPr>
    </w:p>
    <w:p w:rsidR="00D56F91" w14:paraId="4641C43A" w14:textId="77777777">
      <w:pPr>
        <w:ind w:left="1440"/>
      </w:pPr>
      <w:r>
        <w:t>N</w:t>
      </w:r>
      <w:r w:rsidR="00627F1A">
        <w:t>one</w:t>
      </w:r>
      <w:r w:rsidR="006D2F50">
        <w:t>.</w:t>
      </w:r>
    </w:p>
    <w:p w:rsidR="00D56F91" w14:paraId="6411BB16" w14:textId="77777777"/>
    <w:p w:rsidR="00D56F91" w:rsidRPr="0047407F" w14:paraId="174328EA" w14:textId="77777777">
      <w:pPr>
        <w:numPr>
          <w:ilvl w:val="0"/>
          <w:numId w:val="1"/>
        </w:numPr>
        <w:rPr>
          <w:u w:val="single"/>
        </w:rPr>
      </w:pPr>
      <w:r w:rsidRPr="0047407F">
        <w:rPr>
          <w:u w:val="single"/>
        </w:rPr>
        <w:t>Analysis of change in burden:</w:t>
      </w:r>
    </w:p>
    <w:p w:rsidR="00D56F91" w14:paraId="06855E65" w14:textId="77777777">
      <w:pPr>
        <w:ind w:left="720"/>
      </w:pPr>
    </w:p>
    <w:p w:rsidR="00CD71F8" w:rsidRPr="00CD71F8" w:rsidP="00CD71F8" w14:paraId="1023B5AE" w14:textId="38DB60F2">
      <w:pPr>
        <w:ind w:left="1440"/>
        <w:rPr>
          <w:szCs w:val="24"/>
          <w:lang w:bidi="en-US"/>
        </w:rPr>
      </w:pPr>
      <w:r>
        <w:rPr>
          <w:szCs w:val="24"/>
          <w:lang w:bidi="en-US"/>
        </w:rPr>
        <w:t xml:space="preserve">There is no change in the methodology or substance of this information collection.  </w:t>
      </w:r>
      <w:r w:rsidRPr="00CD71F8">
        <w:rPr>
          <w:szCs w:val="24"/>
          <w:lang w:bidi="en-US"/>
        </w:rPr>
        <w:t xml:space="preserve">The estimated annual burden hours associated with this </w:t>
      </w:r>
      <w:r>
        <w:rPr>
          <w:szCs w:val="24"/>
          <w:lang w:bidi="en-US"/>
        </w:rPr>
        <w:t>information collection</w:t>
      </w:r>
      <w:r w:rsidRPr="00CD71F8">
        <w:rPr>
          <w:szCs w:val="24"/>
          <w:lang w:bidi="en-US"/>
        </w:rPr>
        <w:t xml:space="preserve"> is</w:t>
      </w:r>
      <w:r w:rsidRPr="00CD71F8">
        <w:rPr>
          <w:b/>
          <w:szCs w:val="24"/>
          <w:lang w:bidi="en-US"/>
        </w:rPr>
        <w:t xml:space="preserve"> </w:t>
      </w:r>
      <w:r w:rsidRPr="00CD71F8">
        <w:rPr>
          <w:bCs/>
          <w:szCs w:val="24"/>
          <w:lang w:bidi="en-US"/>
        </w:rPr>
        <w:t>5,948</w:t>
      </w:r>
      <w:r w:rsidRPr="00CD71F8">
        <w:rPr>
          <w:szCs w:val="24"/>
          <w:lang w:bidi="en-US"/>
        </w:rPr>
        <w:t>, as compared to an estimated 6,464 burden hours in the 2021 OMB clearance. The decrease in estimated burden hours associated with this IC</w:t>
      </w:r>
      <w:r>
        <w:rPr>
          <w:szCs w:val="24"/>
          <w:lang w:bidi="en-US"/>
        </w:rPr>
        <w:t>R</w:t>
      </w:r>
      <w:r w:rsidRPr="00CD71F8">
        <w:rPr>
          <w:szCs w:val="24"/>
          <w:lang w:bidi="en-US"/>
        </w:rPr>
        <w:t xml:space="preserve"> is primarily the result of a lower estimated number of institutions that will be tested for compliance each year in 2024 (30) than in 2021 (40). This lower estimate of the number of institutions that will be tested for compliance each year contributed to a reduction of 800 estimated burden hours. The lower estimated number of notifications to the FDIC of the identity of the person</w:t>
      </w:r>
      <w:r w:rsidRPr="00CD71F8">
        <w:rPr>
          <w:szCs w:val="24"/>
        </w:rPr>
        <w:t xml:space="preserve"> responsible for producing standard data downloads</w:t>
      </w:r>
      <w:r w:rsidRPr="00CD71F8">
        <w:rPr>
          <w:szCs w:val="24"/>
          <w:lang w:bidi="en-US"/>
        </w:rPr>
        <w:t xml:space="preserve"> in 2024 (123) than in 2021 (126) reduced the estimated annual burden associated with this IC by 24 hours. However, the higher estimated number of new covered institutions per year in 2024 (8) than in 2021 (7) attenuated the decrease by increasing the estimated annual burden by 308 hours.</w:t>
      </w:r>
    </w:p>
    <w:p w:rsidR="00D56F91" w:rsidP="009F15D3" w14:paraId="4E36021A" w14:textId="77777777">
      <w:pPr>
        <w:rPr>
          <w:u w:val="single"/>
        </w:rPr>
      </w:pPr>
      <w:r>
        <w:t xml:space="preserve"> </w:t>
      </w:r>
      <w:r w:rsidR="006D2F50">
        <w:t xml:space="preserve"> </w:t>
      </w:r>
    </w:p>
    <w:p w:rsidR="00D56F91" w:rsidP="00A513C8" w14:paraId="08FB7A7D" w14:textId="77777777">
      <w:pPr>
        <w:ind w:left="1440" w:hanging="720"/>
      </w:pPr>
      <w:r>
        <w:t>16.</w:t>
      </w:r>
      <w:r>
        <w:tab/>
      </w:r>
      <w:r w:rsidRPr="00A513C8" w:rsidR="00A513C8">
        <w:rPr>
          <w:szCs w:val="24"/>
          <w:u w:val="single"/>
        </w:rPr>
        <w:t>Information regarding collections whose results are planned to be published for statistical use:</w:t>
      </w:r>
    </w:p>
    <w:p w:rsidR="00D56F91" w14:paraId="3296B520" w14:textId="77777777">
      <w:pPr>
        <w:ind w:left="720"/>
      </w:pPr>
    </w:p>
    <w:p w:rsidR="00D56F91" w14:paraId="5AAF4A71" w14:textId="77777777">
      <w:pPr>
        <w:ind w:left="720" w:firstLine="720"/>
      </w:pPr>
      <w:r>
        <w:t>No publication will be made of this information.</w:t>
      </w:r>
    </w:p>
    <w:p w:rsidR="00D56F91" w14:paraId="11C7A546" w14:textId="77777777"/>
    <w:p w:rsidR="00D56F91" w14:paraId="331C2833" w14:textId="77777777">
      <w:pPr>
        <w:ind w:firstLine="720"/>
      </w:pPr>
      <w:r>
        <w:t>17.</w:t>
      </w:r>
      <w:r>
        <w:tab/>
      </w:r>
      <w:r w:rsidRPr="00A513C8" w:rsidR="00A513C8">
        <w:rPr>
          <w:color w:val="000000"/>
          <w:u w:val="single"/>
        </w:rPr>
        <w:t>Exceptions to expiration date display</w:t>
      </w:r>
    </w:p>
    <w:p w:rsidR="00D56F91" w14:paraId="5A3F0817" w14:textId="77777777"/>
    <w:p w:rsidR="00D56F91" w14:paraId="3F2632D9" w14:textId="77777777">
      <w:pPr>
        <w:ind w:left="720" w:firstLine="720"/>
      </w:pPr>
      <w:r>
        <w:t>Not applicable.</w:t>
      </w:r>
    </w:p>
    <w:p w:rsidR="00D56F91" w14:paraId="3779762A" w14:textId="77777777">
      <w:pPr>
        <w:ind w:left="720" w:firstLine="720"/>
      </w:pPr>
    </w:p>
    <w:p w:rsidR="00D56F91" w14:paraId="49B70019" w14:textId="77777777">
      <w:pPr>
        <w:ind w:left="720"/>
      </w:pPr>
      <w:r>
        <w:t>18.</w:t>
      </w:r>
      <w:r>
        <w:tab/>
      </w:r>
      <w:r w:rsidRPr="00A513C8" w:rsidR="00A513C8">
        <w:rPr>
          <w:color w:val="000000"/>
          <w:u w:val="single"/>
        </w:rPr>
        <w:t>Exceptions to certification</w:t>
      </w:r>
      <w:r w:rsidR="00A513C8">
        <w:rPr>
          <w:color w:val="000000"/>
          <w:u w:val="single"/>
        </w:rPr>
        <w:t>:</w:t>
      </w:r>
    </w:p>
    <w:p w:rsidR="00D56F91" w14:paraId="0C8BACEE" w14:textId="77777777"/>
    <w:p w:rsidR="00D56F91" w14:paraId="6575E4E0" w14:textId="77777777">
      <w:pPr>
        <w:ind w:left="720" w:firstLine="720"/>
      </w:pPr>
      <w:r>
        <w:t xml:space="preserve">There are no exceptions to certification. </w:t>
      </w:r>
    </w:p>
    <w:sectPr>
      <w:footerReference w:type="even" r:id="rId5"/>
      <w:footerReference w:type="default" r:id="rId6"/>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altName w:val="Cambria Math"/>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F91" w14:paraId="13B969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6F91" w14:paraId="4B20BF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F91" w14:paraId="72CF325A" w14:textId="77777777">
    <w:pPr>
      <w:spacing w:line="240" w:lineRule="exact"/>
    </w:pPr>
  </w:p>
  <w:p w:rsidR="00D56F91" w14:paraId="11CB89AE" w14:textId="77777777">
    <w:pPr>
      <w:framePr w:wrap="around" w:vAnchor="text" w:hAnchor="margin" w:xAlign="center" w:y="1"/>
    </w:pPr>
    <w:r>
      <w:fldChar w:fldCharType="begin"/>
    </w:r>
    <w:r>
      <w:instrText xml:space="preserve">PAGE </w:instrText>
    </w:r>
    <w:r>
      <w:fldChar w:fldCharType="separate"/>
    </w:r>
    <w:r w:rsidR="006B176E">
      <w:rPr>
        <w:noProof/>
      </w:rPr>
      <w:t>1</w:t>
    </w:r>
    <w:r>
      <w:fldChar w:fldCharType="end"/>
    </w:r>
  </w:p>
  <w:p w:rsidR="00D56F91" w14:paraId="486D89B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5D8F" w14:paraId="2F7B3E59" w14:textId="77777777">
      <w:r>
        <w:separator/>
      </w:r>
    </w:p>
  </w:footnote>
  <w:footnote w:type="continuationSeparator" w:id="1">
    <w:p w:rsidR="007A5D8F" w14:paraId="5DF87F61" w14:textId="77777777">
      <w:r>
        <w:continuationSeparator/>
      </w:r>
    </w:p>
  </w:footnote>
  <w:footnote w:id="2">
    <w:p w:rsidR="00397F9E" w:rsidRPr="001826AF" w:rsidP="00397F9E" w14:paraId="017062D9" w14:textId="77777777">
      <w:pPr>
        <w:pStyle w:val="FootnoteText"/>
        <w:rPr>
          <w:rFonts w:ascii="Times New Roman" w:hAnsi="Times New Roman"/>
        </w:rPr>
      </w:pPr>
      <w:r w:rsidRPr="001826AF">
        <w:rPr>
          <w:rStyle w:val="FootnoteReference"/>
          <w:rFonts w:ascii="Times New Roman" w:hAnsi="Times New Roman"/>
          <w:vertAlign w:val="superscript"/>
        </w:rPr>
        <w:footnoteRef/>
      </w:r>
      <w:r w:rsidRPr="001826AF">
        <w:rPr>
          <w:rFonts w:ascii="Times New Roman" w:hAnsi="Times New Roman"/>
          <w:vertAlign w:val="superscript"/>
        </w:rPr>
        <w:t xml:space="preserve"> </w:t>
      </w:r>
      <w:r w:rsidRPr="001826AF">
        <w:rPr>
          <w:rFonts w:ascii="Times New Roman" w:hAnsi="Times New Roman"/>
        </w:rPr>
        <w:t xml:space="preserve">The FDIC can meet its obligation to pay insured deposits either by payment in cash or by making available to each depositor a transferred deposit in </w:t>
      </w:r>
      <w:r w:rsidRPr="001826AF">
        <w:rPr>
          <w:rFonts w:ascii="Times New Roman" w:hAnsi="Times New Roman"/>
        </w:rPr>
        <w:t>a another</w:t>
      </w:r>
      <w:r w:rsidRPr="001826AF">
        <w:rPr>
          <w:rFonts w:ascii="Times New Roman" w:hAnsi="Times New Roman"/>
        </w:rPr>
        <w:t xml:space="preserve"> insured depository institution. 12 U.S.C §1821(f)(1).</w:t>
      </w:r>
    </w:p>
  </w:footnote>
  <w:footnote w:id="3">
    <w:p w:rsidR="001826AF" w:rsidRPr="0076242E" w:rsidP="001826AF" w14:paraId="339FEA28" w14:textId="77777777">
      <w:pPr>
        <w:pStyle w:val="FootnoteText"/>
        <w:rPr>
          <w:rFonts w:ascii="Times New Roman" w:hAnsi="Times New Roman"/>
        </w:rPr>
      </w:pPr>
      <w:r w:rsidRPr="0076242E">
        <w:rPr>
          <w:rStyle w:val="FootnoteReference"/>
          <w:rFonts w:ascii="Times New Roman" w:hAnsi="Times New Roman"/>
          <w:vertAlign w:val="superscript"/>
        </w:rPr>
        <w:footnoteRef/>
      </w:r>
      <w:r w:rsidRPr="0076242E">
        <w:rPr>
          <w:rFonts w:ascii="Times New Roman" w:hAnsi="Times New Roman"/>
          <w:vertAlign w:val="superscript"/>
        </w:rPr>
        <w:t xml:space="preserve"> </w:t>
      </w:r>
      <w:r w:rsidRPr="0076242E">
        <w:rPr>
          <w:rFonts w:ascii="Times New Roman" w:hAnsi="Times New Roman"/>
        </w:rPr>
        <w:t>12 CFR 360.9(f).</w:t>
      </w:r>
    </w:p>
  </w:footnote>
  <w:footnote w:id="4">
    <w:p w:rsidR="001826AF" w:rsidRPr="0076242E" w:rsidP="001826AF" w14:paraId="18E6BD00" w14:textId="77777777">
      <w:pPr>
        <w:pStyle w:val="FootnoteText"/>
        <w:rPr>
          <w:rFonts w:ascii="Times New Roman" w:hAnsi="Times New Roman"/>
        </w:rPr>
      </w:pPr>
      <w:r w:rsidRPr="0076242E">
        <w:rPr>
          <w:rStyle w:val="FootnoteReference"/>
          <w:rFonts w:ascii="Times New Roman" w:hAnsi="Times New Roman"/>
          <w:vertAlign w:val="superscript"/>
        </w:rPr>
        <w:footnoteRef/>
      </w:r>
      <w:r w:rsidRPr="0076242E">
        <w:rPr>
          <w:rFonts w:ascii="Times New Roman" w:hAnsi="Times New Roman"/>
        </w:rPr>
        <w:t xml:space="preserve"> Call Report data for the period ending December 31, 2023.</w:t>
      </w:r>
    </w:p>
  </w:footnote>
  <w:footnote w:id="5">
    <w:p w:rsidR="001826AF" w:rsidRPr="0076242E" w:rsidP="001826AF" w14:paraId="13BF069D" w14:textId="77777777">
      <w:pPr>
        <w:pStyle w:val="FootnoteText"/>
        <w:rPr>
          <w:rFonts w:ascii="Times New Roman" w:hAnsi="Times New Roman"/>
        </w:rPr>
      </w:pPr>
      <w:r w:rsidRPr="0076242E">
        <w:rPr>
          <w:rStyle w:val="FootnoteReference"/>
          <w:rFonts w:ascii="Times New Roman" w:hAnsi="Times New Roman"/>
          <w:vertAlign w:val="superscript"/>
        </w:rPr>
        <w:footnoteRef/>
      </w:r>
      <w:r w:rsidRPr="0076242E">
        <w:rPr>
          <w:rFonts w:ascii="Times New Roman" w:hAnsi="Times New Roman"/>
          <w:vertAlign w:val="superscript"/>
        </w:rPr>
        <w:t xml:space="preserve"> </w:t>
      </w:r>
      <w:r w:rsidRPr="0076242E">
        <w:rPr>
          <w:rFonts w:ascii="Times New Roman" w:hAnsi="Times New Roman"/>
        </w:rPr>
        <w:t>168 – 26 – 0 – 21 = 121</w:t>
      </w:r>
    </w:p>
  </w:footnote>
  <w:footnote w:id="6">
    <w:p w:rsidR="001826AF" w:rsidRPr="0076242E" w:rsidP="001826AF" w14:paraId="5B604EF9" w14:textId="77777777">
      <w:pPr>
        <w:pStyle w:val="FootnoteText"/>
        <w:rPr>
          <w:rFonts w:ascii="Times New Roman" w:hAnsi="Times New Roman"/>
        </w:rPr>
      </w:pPr>
      <w:r w:rsidRPr="0076242E">
        <w:rPr>
          <w:rStyle w:val="FootnoteReference"/>
          <w:rFonts w:ascii="Times New Roman" w:hAnsi="Times New Roman"/>
          <w:vertAlign w:val="superscript"/>
        </w:rPr>
        <w:footnoteRef/>
      </w:r>
      <w:r w:rsidRPr="0076242E">
        <w:rPr>
          <w:rFonts w:ascii="Times New Roman" w:hAnsi="Times New Roman"/>
        </w:rPr>
        <w:t xml:space="preserve"> For purposes of the Regulatory Flexibility Act (RFA), no IDIs meet the criteria to be a covered institution and be considered “small.” March 31, 2024, Call Report data. </w:t>
      </w:r>
      <w:r w:rsidRPr="0076242E">
        <w:rPr>
          <w:rFonts w:ascii="Times New Roman" w:hAnsi="Times New Roman"/>
          <w:i/>
        </w:rPr>
        <w:t>Id</w:t>
      </w:r>
      <w:r w:rsidRPr="0076242E">
        <w:rPr>
          <w:rFonts w:ascii="Times New Roman" w:hAnsi="Times New Roman"/>
        </w:rPr>
        <w:t xml:space="preserve">. The Small Business Administration (SBA) defines a small banking organization as having $850 million or less in assets, where an organization’s “assets are determined by averaging the assets reported on its four quarterly financial statements for the preceding year.” </w:t>
      </w:r>
      <w:r w:rsidRPr="0076242E">
        <w:rPr>
          <w:rFonts w:ascii="Times New Roman" w:hAnsi="Times New Roman"/>
          <w:i/>
        </w:rPr>
        <w:t>See</w:t>
      </w:r>
      <w:r w:rsidRPr="0076242E">
        <w:rPr>
          <w:rFonts w:ascii="Times New Roman" w:hAnsi="Times New Roman"/>
        </w:rPr>
        <w:t xml:space="preserve"> 13 CFR 121.201 (as amended by 87 FR 69118, effective December 19, 2022). In its determination, the “SBA counts the receipts, employees, or other measure of size of the concern whose size is at issue and all of its domestic and foreign affiliates.” </w:t>
      </w:r>
      <w:r w:rsidRPr="0076242E">
        <w:rPr>
          <w:rFonts w:ascii="Times New Roman" w:hAnsi="Times New Roman"/>
          <w:i/>
        </w:rPr>
        <w:t>See</w:t>
      </w:r>
      <w:r w:rsidRPr="0076242E">
        <w:rPr>
          <w:rFonts w:ascii="Times New Roman" w:hAnsi="Times New Roman"/>
        </w:rPr>
        <w:t xml:space="preserve"> 13 CFR 121.103. Following these regulations, the FDIC uses a covered entity’s affiliated and acquired assets, averaged over the preceding four quarters, to determine whether the covered entity is “small” for the purposes of RFA.​</w:t>
      </w:r>
    </w:p>
  </w:footnote>
  <w:footnote w:id="7">
    <w:p w:rsidR="001826AF" w:rsidRPr="0076242E" w:rsidP="001826AF" w14:paraId="18C29E58" w14:textId="77777777">
      <w:pPr>
        <w:pStyle w:val="FootnoteText"/>
        <w:rPr>
          <w:rFonts w:ascii="Times New Roman" w:hAnsi="Times New Roman"/>
        </w:rPr>
      </w:pPr>
      <w:r w:rsidRPr="0076242E">
        <w:rPr>
          <w:rStyle w:val="FootnoteReference"/>
          <w:rFonts w:ascii="Times New Roman" w:hAnsi="Times New Roman"/>
          <w:vertAlign w:val="superscript"/>
        </w:rPr>
        <w:footnoteRef/>
      </w:r>
      <w:r w:rsidRPr="0076242E">
        <w:rPr>
          <w:rFonts w:ascii="Times New Roman" w:hAnsi="Times New Roman"/>
          <w:vertAlign w:val="superscript"/>
        </w:rPr>
        <w:t xml:space="preserve"> </w:t>
      </w:r>
      <w:r w:rsidRPr="0076242E">
        <w:rPr>
          <w:rFonts w:ascii="Times New Roman" w:hAnsi="Times New Roman"/>
        </w:rPr>
        <w:t>FDIC Call Report data, December 2020 through December 2023</w:t>
      </w:r>
    </w:p>
  </w:footnote>
  <w:footnote w:id="8">
    <w:p w:rsidR="001826AF" w:rsidP="001826AF" w14:paraId="7D41616B" w14:textId="77777777">
      <w:pPr>
        <w:pStyle w:val="FootnoteText"/>
      </w:pPr>
      <w:r>
        <w:rPr>
          <w:rStyle w:val="FootnoteReference"/>
        </w:rPr>
        <w:footnoteRef/>
      </w:r>
      <w:r>
        <w:t xml:space="preserve"> 8 IDIs in 2021, 5 IDIs in 2022, and 10 IDIs in 2023 newly qualified as covered institutions and became subject to the requirements of Section 360.9. ((8 + 5 + 23) / 3 years) = 7.67</w:t>
      </w:r>
    </w:p>
  </w:footnote>
  <w:footnote w:id="9">
    <w:p w:rsidR="001826AF" w:rsidP="001826AF" w14:paraId="3F62BE8B" w14:textId="77777777">
      <w:pPr>
        <w:pStyle w:val="FootnoteText"/>
      </w:pPr>
      <w:r>
        <w:rPr>
          <w:rStyle w:val="FootnoteReference"/>
        </w:rPr>
        <w:footnoteRef/>
      </w:r>
      <w:r>
        <w:t xml:space="preserve"> 134 institutions in 2021, 118 institutions in 2022, 118 institutions in 2023. ((134 + 118 + </w:t>
      </w:r>
      <w:r>
        <w:t>118 )</w:t>
      </w:r>
      <w:r>
        <w:t xml:space="preserve"> / 3 years) = 123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A2088"/>
    <w:multiLevelType w:val="hybridMultilevel"/>
    <w:tmpl w:val="92F42F3A"/>
    <w:lvl w:ilvl="0">
      <w:start w:val="14"/>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2">
    <w:nsid w:val="4090117C"/>
    <w:multiLevelType w:val="hybridMultilevel"/>
    <w:tmpl w:val="A0EE42C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4BEB3431"/>
    <w:multiLevelType w:val="hybridMultilevel"/>
    <w:tmpl w:val="A6F8F10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FA109F3"/>
    <w:multiLevelType w:val="singleLevel"/>
    <w:tmpl w:val="9EDE298C"/>
    <w:lvl w:ilvl="0">
      <w:start w:val="15"/>
      <w:numFmt w:val="decimal"/>
      <w:lvlText w:val="%1."/>
      <w:lvlJc w:val="left"/>
      <w:pPr>
        <w:tabs>
          <w:tab w:val="num" w:pos="1440"/>
        </w:tabs>
        <w:ind w:left="1440" w:hanging="720"/>
      </w:pPr>
      <w:rPr>
        <w:rFonts w:hint="default"/>
        <w:u w:val="none"/>
      </w:rPr>
    </w:lvl>
  </w:abstractNum>
  <w:abstractNum w:abstractNumId="5">
    <w:nsid w:val="7B803481"/>
    <w:multiLevelType w:val="hybridMultilevel"/>
    <w:tmpl w:val="F22C33CE"/>
    <w:lvl w:ilvl="0">
      <w:start w:val="1"/>
      <w:numFmt w:val="decimal"/>
      <w:lvlText w:val="%1."/>
      <w:lvlJc w:val="left"/>
      <w:pPr>
        <w:tabs>
          <w:tab w:val="num" w:pos="1287"/>
        </w:tabs>
        <w:ind w:left="1287" w:hanging="855"/>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num w:numId="1" w16cid:durableId="233122598">
    <w:abstractNumId w:val="4"/>
  </w:num>
  <w:num w:numId="2" w16cid:durableId="209272521">
    <w:abstractNumId w:val="2"/>
  </w:num>
  <w:num w:numId="3" w16cid:durableId="1935239466">
    <w:abstractNumId w:val="5"/>
  </w:num>
  <w:num w:numId="4" w16cid:durableId="470750753">
    <w:abstractNumId w:val="3"/>
  </w:num>
  <w:num w:numId="5" w16cid:durableId="2110663541">
    <w:abstractNumId w:val="1"/>
  </w:num>
  <w:num w:numId="6" w16cid:durableId="45976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8FD"/>
    <w:rsid w:val="000F38A9"/>
    <w:rsid w:val="00114911"/>
    <w:rsid w:val="00125218"/>
    <w:rsid w:val="00132ED5"/>
    <w:rsid w:val="00162217"/>
    <w:rsid w:val="001826AF"/>
    <w:rsid w:val="00186A98"/>
    <w:rsid w:val="001A496E"/>
    <w:rsid w:val="001E5BA8"/>
    <w:rsid w:val="001F3807"/>
    <w:rsid w:val="002438FD"/>
    <w:rsid w:val="00253C09"/>
    <w:rsid w:val="002C06CC"/>
    <w:rsid w:val="002F507A"/>
    <w:rsid w:val="00367470"/>
    <w:rsid w:val="00397F9E"/>
    <w:rsid w:val="003A3988"/>
    <w:rsid w:val="003C6CF2"/>
    <w:rsid w:val="004213B6"/>
    <w:rsid w:val="0047407F"/>
    <w:rsid w:val="004A0F9B"/>
    <w:rsid w:val="004D3377"/>
    <w:rsid w:val="0059041A"/>
    <w:rsid w:val="005B7505"/>
    <w:rsid w:val="005E7E7B"/>
    <w:rsid w:val="005F2AC5"/>
    <w:rsid w:val="00625942"/>
    <w:rsid w:val="00627F1A"/>
    <w:rsid w:val="00687790"/>
    <w:rsid w:val="006B176E"/>
    <w:rsid w:val="006D1533"/>
    <w:rsid w:val="006D2F50"/>
    <w:rsid w:val="00722859"/>
    <w:rsid w:val="0076242E"/>
    <w:rsid w:val="0078666B"/>
    <w:rsid w:val="00792766"/>
    <w:rsid w:val="007A5D8F"/>
    <w:rsid w:val="007B03BD"/>
    <w:rsid w:val="007D4124"/>
    <w:rsid w:val="007D5D01"/>
    <w:rsid w:val="00817BB9"/>
    <w:rsid w:val="009F15D3"/>
    <w:rsid w:val="00A513C8"/>
    <w:rsid w:val="00A57C61"/>
    <w:rsid w:val="00AE63BB"/>
    <w:rsid w:val="00B97C6E"/>
    <w:rsid w:val="00BA6CCA"/>
    <w:rsid w:val="00BE1FA4"/>
    <w:rsid w:val="00C83ECC"/>
    <w:rsid w:val="00CB2DAB"/>
    <w:rsid w:val="00CD71F8"/>
    <w:rsid w:val="00CE01D7"/>
    <w:rsid w:val="00D060A5"/>
    <w:rsid w:val="00D15045"/>
    <w:rsid w:val="00D56F91"/>
    <w:rsid w:val="00D6294F"/>
    <w:rsid w:val="00E16993"/>
    <w:rsid w:val="00E27A7D"/>
    <w:rsid w:val="00E306DE"/>
    <w:rsid w:val="00E309D9"/>
    <w:rsid w:val="00E53232"/>
    <w:rsid w:val="00E729AC"/>
    <w:rsid w:val="00E90CB3"/>
    <w:rsid w:val="00E92904"/>
    <w:rsid w:val="00F0209F"/>
    <w:rsid w:val="00F62637"/>
    <w:rsid w:val="00F71435"/>
    <w:rsid w:val="00FB4726"/>
    <w:rsid w:val="00FC14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112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unhideWhenUsed/>
    <w:qFormat/>
    <w:rsid w:val="00BE1FA4"/>
    <w:pPr>
      <w:widowControl/>
    </w:pPr>
    <w:rPr>
      <w:rFonts w:ascii="Calibri" w:eastAsia="Calibri" w:hAnsi="Calibri"/>
      <w:snapToGrid/>
      <w:sz w:val="20"/>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link w:val="FootnoteText"/>
    <w:uiPriority w:val="99"/>
    <w:rsid w:val="00BE1FA4"/>
    <w:rPr>
      <w:rFonts w:ascii="Calibri" w:eastAsia="Calibri" w:hAnsi="Calibri"/>
    </w:rPr>
  </w:style>
  <w:style w:type="paragraph" w:styleId="BodyText">
    <w:name w:val="Body Text"/>
    <w:link w:val="BodyTextChar"/>
    <w:autoRedefine/>
    <w:uiPriority w:val="1"/>
    <w:qFormat/>
    <w:rsid w:val="00D6294F"/>
    <w:pPr>
      <w:widowControl w:val="0"/>
      <w:autoSpaceDE w:val="0"/>
      <w:autoSpaceDN w:val="0"/>
      <w:spacing w:before="240" w:after="120"/>
    </w:pPr>
    <w:rPr>
      <w:rFonts w:ascii="Source Sans Pro" w:eastAsia="Source Sans Pro" w:hAnsi="Source Sans Pro"/>
      <w:color w:val="000000"/>
      <w:szCs w:val="19"/>
      <w:lang w:bidi="en-US"/>
    </w:rPr>
  </w:style>
  <w:style w:type="character" w:customStyle="1" w:styleId="BodyTextChar">
    <w:name w:val="Body Text Char"/>
    <w:link w:val="BodyText"/>
    <w:uiPriority w:val="1"/>
    <w:rsid w:val="00D6294F"/>
    <w:rPr>
      <w:rFonts w:ascii="Source Sans Pro" w:eastAsia="Source Sans Pro" w:hAnsi="Source Sans Pro"/>
      <w:color w:val="000000"/>
      <w:szCs w:val="19"/>
      <w:lang w:bidi="en-US"/>
    </w:rPr>
  </w:style>
  <w:style w:type="paragraph" w:styleId="BalloonText">
    <w:name w:val="Balloon Text"/>
    <w:basedOn w:val="Normal"/>
    <w:link w:val="BalloonTextChar"/>
    <w:rsid w:val="00D6294F"/>
    <w:rPr>
      <w:rFonts w:ascii="Segoe UI" w:hAnsi="Segoe UI" w:cs="Segoe UI"/>
      <w:sz w:val="18"/>
      <w:szCs w:val="18"/>
    </w:rPr>
  </w:style>
  <w:style w:type="character" w:customStyle="1" w:styleId="BalloonTextChar">
    <w:name w:val="Balloon Text Char"/>
    <w:link w:val="BalloonText"/>
    <w:rsid w:val="00D6294F"/>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3804</Words>
  <Characters>21685</Characters>
  <Application>Microsoft Office Word</Application>
  <DocSecurity>0</DocSecurity>
  <Lines>180</Lines>
  <Paragraphs>50</Paragraphs>
  <ScaleCrop>false</ScaleCrop>
  <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2024-10-22T19:31:00Z</dcterms:created>
  <dcterms:modified xsi:type="dcterms:W3CDTF">2024-10-22T19:31:00Z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15fa1cdc-1ee9-4b08-afef-8972f01b73b6</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2024-10-22T19:31:15Z</vt:lpwstr>
  </property>
  <property fmtid="{D5CDD505-2E9C-101B-9397-08002B2CF9AE}" pid="8" name="MSIP_Label_3be8ab8c-433c-4394-a4fb-cd2d5c4d0a5e_SiteId">
    <vt:lpwstr>26c83bc9-31c1-4d77-a523-0816095aba31</vt:lpwstr>
  </property>
</Properties>
</file>