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E04" w:rsidP="00082C3B" w14:paraId="139C054F" w14:textId="77777777">
      <w:pPr>
        <w:pStyle w:val="Footer"/>
        <w:widowControl/>
        <w:tabs>
          <w:tab w:val="clear" w:pos="4320"/>
          <w:tab w:val="center" w:pos="4680"/>
          <w:tab w:val="clear" w:pos="8640"/>
        </w:tabs>
        <w:jc w:val="center"/>
        <w:rPr>
          <w:rFonts w:ascii="Times New Roman" w:hAnsi="Times New Roman"/>
        </w:rPr>
      </w:pPr>
      <w:r>
        <w:rPr>
          <w:rFonts w:ascii="Times New Roman" w:hAnsi="Times New Roman"/>
        </w:rPr>
        <w:t>SUPPORTING STATEMENT</w:t>
      </w:r>
    </w:p>
    <w:p w:rsidR="00B10FA3" w:rsidP="00082C3B" w14:paraId="63845CF9" w14:textId="77777777">
      <w:pPr>
        <w:widowControl/>
        <w:tabs>
          <w:tab w:val="center" w:pos="4680"/>
        </w:tabs>
        <w:jc w:val="center"/>
        <w:rPr>
          <w:rFonts w:ascii="Times New Roman" w:hAnsi="Times New Roman"/>
        </w:rPr>
      </w:pPr>
      <w:r>
        <w:rPr>
          <w:rFonts w:ascii="Times New Roman" w:hAnsi="Times New Roman"/>
        </w:rPr>
        <w:t xml:space="preserve">ASSESSMENT RATE ADJUSTMENT GUIDELINES </w:t>
      </w:r>
    </w:p>
    <w:p w:rsidR="00B46E04" w:rsidP="00082C3B" w14:paraId="67EF9BEA" w14:textId="77777777">
      <w:pPr>
        <w:widowControl/>
        <w:tabs>
          <w:tab w:val="center" w:pos="4680"/>
        </w:tabs>
        <w:jc w:val="center"/>
        <w:rPr>
          <w:rFonts w:ascii="Times New Roman" w:hAnsi="Times New Roman"/>
        </w:rPr>
      </w:pPr>
      <w:r>
        <w:rPr>
          <w:rFonts w:ascii="Times New Roman" w:hAnsi="Times New Roman"/>
        </w:rPr>
        <w:t>FOR</w:t>
      </w:r>
      <w:r w:rsidR="006F2B59">
        <w:rPr>
          <w:rFonts w:ascii="Times New Roman" w:hAnsi="Times New Roman"/>
        </w:rPr>
        <w:t xml:space="preserve"> </w:t>
      </w:r>
      <w:r w:rsidR="00154A0B">
        <w:rPr>
          <w:rFonts w:ascii="Times New Roman" w:hAnsi="Times New Roman"/>
        </w:rPr>
        <w:t xml:space="preserve">LARGE AND HIGHLY COMPLEX </w:t>
      </w:r>
      <w:r w:rsidR="00D66659">
        <w:rPr>
          <w:rFonts w:ascii="Times New Roman" w:hAnsi="Times New Roman"/>
        </w:rPr>
        <w:t>INSTITUTIONS</w:t>
      </w:r>
    </w:p>
    <w:p w:rsidR="00082C3B" w:rsidP="00082C3B" w14:paraId="6E3D4994" w14:textId="77777777">
      <w:pPr>
        <w:widowControl/>
        <w:tabs>
          <w:tab w:val="center" w:pos="5112"/>
        </w:tabs>
        <w:jc w:val="center"/>
        <w:rPr>
          <w:rFonts w:ascii="Times New Roman" w:hAnsi="Times New Roman"/>
        </w:rPr>
      </w:pPr>
      <w:r>
        <w:rPr>
          <w:rFonts w:ascii="Times New Roman" w:hAnsi="Times New Roman"/>
        </w:rPr>
        <w:t xml:space="preserve">(OMB </w:t>
      </w:r>
      <w:r w:rsidR="00BF59F5">
        <w:rPr>
          <w:rFonts w:ascii="Times New Roman" w:hAnsi="Times New Roman"/>
        </w:rPr>
        <w:t xml:space="preserve">Control </w:t>
      </w:r>
      <w:r>
        <w:rPr>
          <w:rFonts w:ascii="Times New Roman" w:hAnsi="Times New Roman"/>
        </w:rPr>
        <w:t>No. 3064</w:t>
      </w:r>
      <w:r>
        <w:rPr>
          <w:rFonts w:ascii="Times New Roman" w:hAnsi="Times New Roman"/>
        </w:rPr>
        <w:noBreakHyphen/>
        <w:t>0179)</w:t>
      </w:r>
    </w:p>
    <w:p w:rsidR="00B46E04" w:rsidP="00082C3B" w14:paraId="403CB059" w14:textId="77777777">
      <w:pPr>
        <w:widowControl/>
        <w:tabs>
          <w:tab w:val="left" w:pos="-240"/>
          <w:tab w:val="left" w:pos="480"/>
          <w:tab w:val="left" w:pos="1080"/>
          <w:tab w:val="left" w:pos="1680"/>
          <w:tab w:val="left" w:pos="2280"/>
          <w:tab w:val="left" w:pos="2880"/>
        </w:tabs>
        <w:rPr>
          <w:rFonts w:ascii="Times New Roman" w:hAnsi="Times New Roman"/>
        </w:rPr>
      </w:pPr>
    </w:p>
    <w:p w:rsidR="00082C3B" w:rsidP="00082C3B" w14:paraId="73460A4A" w14:textId="77777777">
      <w:pPr>
        <w:widowControl/>
        <w:tabs>
          <w:tab w:val="left" w:pos="-240"/>
          <w:tab w:val="left" w:pos="480"/>
          <w:tab w:val="left" w:pos="1080"/>
          <w:tab w:val="left" w:pos="1680"/>
          <w:tab w:val="left" w:pos="2280"/>
          <w:tab w:val="left" w:pos="2880"/>
        </w:tabs>
        <w:rPr>
          <w:rFonts w:ascii="Times New Roman" w:hAnsi="Times New Roman"/>
          <w:u w:val="single"/>
        </w:rPr>
      </w:pPr>
    </w:p>
    <w:p w:rsidR="00B46E04" w:rsidP="00082C3B" w14:paraId="6105AF6B" w14:textId="77777777">
      <w:pPr>
        <w:widowControl/>
        <w:tabs>
          <w:tab w:val="left" w:pos="-240"/>
          <w:tab w:val="left" w:pos="480"/>
          <w:tab w:val="left" w:pos="1080"/>
          <w:tab w:val="left" w:pos="1680"/>
          <w:tab w:val="left" w:pos="2280"/>
          <w:tab w:val="left" w:pos="2880"/>
        </w:tabs>
        <w:rPr>
          <w:rFonts w:ascii="Times New Roman" w:hAnsi="Times New Roman"/>
        </w:rPr>
      </w:pPr>
      <w:r>
        <w:rPr>
          <w:rFonts w:ascii="Times New Roman" w:hAnsi="Times New Roman"/>
          <w:u w:val="single"/>
        </w:rPr>
        <w:t>INTRODUCTION</w:t>
      </w:r>
    </w:p>
    <w:p w:rsidR="00B46E04" w:rsidP="00082C3B" w14:paraId="32278380" w14:textId="77777777">
      <w:pPr>
        <w:widowControl/>
        <w:tabs>
          <w:tab w:val="left" w:pos="-240"/>
          <w:tab w:val="left" w:pos="480"/>
          <w:tab w:val="left" w:pos="1080"/>
          <w:tab w:val="left" w:pos="1680"/>
          <w:tab w:val="left" w:pos="2280"/>
          <w:tab w:val="left" w:pos="2880"/>
        </w:tabs>
        <w:rPr>
          <w:rFonts w:ascii="Times New Roman" w:hAnsi="Times New Roman"/>
        </w:rPr>
      </w:pPr>
    </w:p>
    <w:p w:rsidR="00BF59F5" w:rsidRPr="00CB7D84" w:rsidP="00BF59F5" w14:paraId="30EC80FF" w14:textId="1BE2ACFD">
      <w:pPr>
        <w:tabs>
          <w:tab w:val="left" w:pos="-1440"/>
        </w:tabs>
        <w:rPr>
          <w:rFonts w:ascii="Times New Roman" w:hAnsi="Times New Roman"/>
        </w:rPr>
      </w:pPr>
      <w:r w:rsidRPr="00CB7D84">
        <w:rPr>
          <w:rFonts w:ascii="Times New Roman" w:hAnsi="Times New Roman"/>
        </w:rPr>
        <w:t xml:space="preserve">The Federal Deposit Insurance Corporation (FDIC) is requesting a three-year </w:t>
      </w:r>
      <w:r w:rsidR="0051519D">
        <w:rPr>
          <w:rFonts w:ascii="Times New Roman" w:hAnsi="Times New Roman"/>
        </w:rPr>
        <w:t>extension, without change,</w:t>
      </w:r>
      <w:r w:rsidRPr="00CB7D84">
        <w:rPr>
          <w:rFonts w:ascii="Times New Roman" w:hAnsi="Times New Roman"/>
        </w:rPr>
        <w:t xml:space="preserve"> of </w:t>
      </w:r>
      <w:r>
        <w:rPr>
          <w:rFonts w:ascii="Times New Roman" w:hAnsi="Times New Roman"/>
        </w:rPr>
        <w:t>t</w:t>
      </w:r>
      <w:r w:rsidRPr="00CB7D84">
        <w:rPr>
          <w:rFonts w:ascii="Times New Roman" w:hAnsi="Times New Roman"/>
        </w:rPr>
        <w:t xml:space="preserve">he </w:t>
      </w:r>
      <w:r>
        <w:rPr>
          <w:rFonts w:ascii="Times New Roman" w:hAnsi="Times New Roman"/>
          <w:spacing w:val="-3"/>
        </w:rPr>
        <w:t xml:space="preserve">information collection for </w:t>
      </w:r>
      <w:r>
        <w:rPr>
          <w:rFonts w:ascii="Times New Roman" w:hAnsi="Times New Roman"/>
          <w:color w:val="000000"/>
        </w:rPr>
        <w:t xml:space="preserve">its collection (3064-0179) associated with the </w:t>
      </w:r>
      <w:r>
        <w:rPr>
          <w:rFonts w:ascii="Times New Roman" w:hAnsi="Times New Roman"/>
        </w:rPr>
        <w:t>Assessment Rate Adjustment Guidelines for Large and Highly Complex Institutions</w:t>
      </w:r>
      <w:r w:rsidR="0051519D">
        <w:rPr>
          <w:rFonts w:ascii="Times New Roman" w:hAnsi="Times New Roman"/>
        </w:rPr>
        <w:t>.</w:t>
      </w:r>
      <w:r w:rsidRPr="00BF59F5">
        <w:rPr>
          <w:rFonts w:ascii="Times New Roman" w:hAnsi="Times New Roman"/>
        </w:rPr>
        <w:t xml:space="preserve"> </w:t>
      </w:r>
      <w:r w:rsidR="0051519D">
        <w:rPr>
          <w:rFonts w:ascii="Times New Roman" w:hAnsi="Times New Roman"/>
        </w:rPr>
        <w:t>FDIC’s regulation</w:t>
      </w:r>
      <w:r>
        <w:rPr>
          <w:rFonts w:ascii="Times New Roman" w:hAnsi="Times New Roman"/>
        </w:rPr>
        <w:t xml:space="preserve"> allows a large </w:t>
      </w:r>
      <w:r w:rsidR="00D25586">
        <w:rPr>
          <w:rFonts w:ascii="Times New Roman" w:hAnsi="Times New Roman"/>
        </w:rPr>
        <w:t>or</w:t>
      </w:r>
      <w:r>
        <w:rPr>
          <w:rFonts w:ascii="Times New Roman" w:hAnsi="Times New Roman"/>
        </w:rPr>
        <w:t xml:space="preserve"> highly complex insured depository institution to request that the FDIC make an adjustment to its total score determined under the large institution assessment scorecard or the highly complex institution assessment scorecard.  </w:t>
      </w:r>
      <w:r w:rsidRPr="00CC7B69">
        <w:rPr>
          <w:rFonts w:ascii="Times New Roman" w:hAnsi="Times New Roman"/>
          <w:spacing w:val="-3"/>
        </w:rPr>
        <w:t xml:space="preserve">The current clearance for the collection expires on </w:t>
      </w:r>
      <w:r w:rsidR="0051519D">
        <w:rPr>
          <w:rFonts w:ascii="Times New Roman" w:hAnsi="Times New Roman"/>
          <w:spacing w:val="-3"/>
        </w:rPr>
        <w:t>November</w:t>
      </w:r>
      <w:r w:rsidR="00DD48A8">
        <w:rPr>
          <w:rFonts w:ascii="Times New Roman" w:hAnsi="Times New Roman"/>
          <w:spacing w:val="-3"/>
        </w:rPr>
        <w:t xml:space="preserve"> 30, 202</w:t>
      </w:r>
      <w:r w:rsidR="0051519D">
        <w:rPr>
          <w:rFonts w:ascii="Times New Roman" w:hAnsi="Times New Roman"/>
          <w:spacing w:val="-3"/>
        </w:rPr>
        <w:t>4</w:t>
      </w:r>
      <w:r w:rsidRPr="00CC7B69">
        <w:rPr>
          <w:rFonts w:ascii="Times New Roman" w:hAnsi="Times New Roman"/>
          <w:spacing w:val="-3"/>
        </w:rPr>
        <w:t>.</w:t>
      </w:r>
      <w:r>
        <w:rPr>
          <w:rFonts w:ascii="Times New Roman" w:hAnsi="Times New Roman"/>
          <w:spacing w:val="-3"/>
        </w:rPr>
        <w:t xml:space="preserve">  </w:t>
      </w:r>
      <w:r w:rsidRPr="007E526E">
        <w:rPr>
          <w:rFonts w:ascii="Times New Roman" w:hAnsi="Times New Roman"/>
        </w:rPr>
        <w:t>There</w:t>
      </w:r>
      <w:r w:rsidRPr="007E526E">
        <w:rPr>
          <w:rFonts w:ascii="Times New Roman" w:hAnsi="Times New Roman"/>
          <w:spacing w:val="-6"/>
        </w:rPr>
        <w:t xml:space="preserve"> </w:t>
      </w:r>
      <w:r w:rsidRPr="007E526E">
        <w:rPr>
          <w:rFonts w:ascii="Times New Roman" w:hAnsi="Times New Roman"/>
        </w:rPr>
        <w:t>is no change</w:t>
      </w:r>
      <w:r w:rsidRPr="007E526E">
        <w:rPr>
          <w:rFonts w:ascii="Times New Roman" w:hAnsi="Times New Roman"/>
          <w:spacing w:val="-7"/>
        </w:rPr>
        <w:t xml:space="preserve"> </w:t>
      </w:r>
      <w:r w:rsidRPr="007E526E">
        <w:rPr>
          <w:rFonts w:ascii="Times New Roman" w:hAnsi="Times New Roman"/>
        </w:rPr>
        <w:t>in</w:t>
      </w:r>
      <w:r w:rsidRPr="007E526E">
        <w:rPr>
          <w:rFonts w:ascii="Times New Roman" w:hAnsi="Times New Roman"/>
          <w:spacing w:val="-2"/>
        </w:rPr>
        <w:t xml:space="preserve"> </w:t>
      </w:r>
      <w:r w:rsidRPr="007E526E">
        <w:rPr>
          <w:rFonts w:ascii="Times New Roman" w:hAnsi="Times New Roman"/>
        </w:rPr>
        <w:t>the</w:t>
      </w:r>
      <w:r w:rsidRPr="007E526E">
        <w:rPr>
          <w:rFonts w:ascii="Times New Roman" w:hAnsi="Times New Roman"/>
          <w:spacing w:val="-3"/>
        </w:rPr>
        <w:t xml:space="preserve"> </w:t>
      </w:r>
      <w:r w:rsidRPr="007E526E">
        <w:rPr>
          <w:rFonts w:ascii="Times New Roman" w:hAnsi="Times New Roman"/>
          <w:spacing w:val="-2"/>
        </w:rPr>
        <w:t>m</w:t>
      </w:r>
      <w:r w:rsidRPr="007E526E">
        <w:rPr>
          <w:rFonts w:ascii="Times New Roman" w:hAnsi="Times New Roman"/>
        </w:rPr>
        <w:t>ethod</w:t>
      </w:r>
      <w:r w:rsidRPr="007E526E">
        <w:rPr>
          <w:rFonts w:ascii="Times New Roman" w:hAnsi="Times New Roman"/>
          <w:spacing w:val="-7"/>
        </w:rPr>
        <w:t xml:space="preserve"> </w:t>
      </w:r>
      <w:r w:rsidRPr="007E526E">
        <w:rPr>
          <w:rFonts w:ascii="Times New Roman" w:hAnsi="Times New Roman"/>
        </w:rPr>
        <w:t>or substance</w:t>
      </w:r>
      <w:r w:rsidRPr="007E526E">
        <w:rPr>
          <w:rFonts w:ascii="Times New Roman" w:hAnsi="Times New Roman"/>
          <w:spacing w:val="-9"/>
        </w:rPr>
        <w:t xml:space="preserve"> </w:t>
      </w:r>
      <w:r w:rsidRPr="007E526E">
        <w:rPr>
          <w:rFonts w:ascii="Times New Roman" w:hAnsi="Times New Roman"/>
        </w:rPr>
        <w:t>of the</w:t>
      </w:r>
      <w:r w:rsidRPr="007E526E">
        <w:rPr>
          <w:rFonts w:ascii="Times New Roman" w:hAnsi="Times New Roman"/>
          <w:spacing w:val="-3"/>
        </w:rPr>
        <w:t xml:space="preserve"> </w:t>
      </w:r>
      <w:r w:rsidRPr="007E526E">
        <w:rPr>
          <w:rFonts w:ascii="Times New Roman" w:hAnsi="Times New Roman"/>
        </w:rPr>
        <w:t>collection.</w:t>
      </w:r>
      <w:r w:rsidRPr="007E526E">
        <w:rPr>
          <w:rFonts w:ascii="Times New Roman" w:hAnsi="Times New Roman"/>
          <w:spacing w:val="50"/>
        </w:rPr>
        <w:t xml:space="preserve"> </w:t>
      </w:r>
    </w:p>
    <w:p w:rsidR="00BF59F5" w:rsidP="00082C3B" w14:paraId="7C1D72A7" w14:textId="77777777">
      <w:pPr>
        <w:rPr>
          <w:rFonts w:ascii="Times New Roman" w:hAnsi="Times New Roman"/>
        </w:rPr>
      </w:pPr>
    </w:p>
    <w:p w:rsidR="006941FF" w:rsidP="00082C3B" w14:paraId="10C45D78" w14:textId="77777777">
      <w:pPr>
        <w:widowControl/>
        <w:autoSpaceDE w:val="0"/>
        <w:autoSpaceDN w:val="0"/>
        <w:adjustRightInd w:val="0"/>
        <w:rPr>
          <w:rFonts w:ascii="Times New Roman" w:hAnsi="Times New Roman"/>
        </w:rPr>
      </w:pPr>
      <w:r>
        <w:rPr>
          <w:rFonts w:ascii="Times New Roman" w:hAnsi="Times New Roman"/>
        </w:rPr>
        <w:t>I</w:t>
      </w:r>
      <w:r w:rsidR="005442F1">
        <w:rPr>
          <w:rFonts w:ascii="Times New Roman" w:hAnsi="Times New Roman"/>
        </w:rPr>
        <w:t>nstitutions c</w:t>
      </w:r>
      <w:r>
        <w:rPr>
          <w:rFonts w:ascii="Times New Roman" w:hAnsi="Times New Roman"/>
        </w:rPr>
        <w:t>an</w:t>
      </w:r>
      <w:r w:rsidR="005442F1">
        <w:rPr>
          <w:rFonts w:ascii="Times New Roman" w:hAnsi="Times New Roman"/>
        </w:rPr>
        <w:t xml:space="preserve"> submit a written request for an adjustment to the FDIC’s Director of the </w:t>
      </w:r>
      <w:r w:rsidRPr="004B3F95" w:rsidR="005442F1">
        <w:rPr>
          <w:rFonts w:ascii="Times New Roman" w:hAnsi="Times New Roman"/>
        </w:rPr>
        <w:t>Division of Insurance and Research in Washington, D</w:t>
      </w:r>
      <w:r w:rsidR="003233B2">
        <w:rPr>
          <w:rFonts w:ascii="Times New Roman" w:hAnsi="Times New Roman"/>
        </w:rPr>
        <w:t>.</w:t>
      </w:r>
      <w:r w:rsidRPr="004B3F95" w:rsidR="005442F1">
        <w:rPr>
          <w:rFonts w:ascii="Times New Roman" w:hAnsi="Times New Roman"/>
        </w:rPr>
        <w:t xml:space="preserve">C.  </w:t>
      </w:r>
      <w:r w:rsidRPr="004B3F95" w:rsidR="005442F1">
        <w:rPr>
          <w:rFonts w:ascii="Times New Roman" w:hAnsi="Times New Roman"/>
        </w:rPr>
        <w:t>Similar to</w:t>
      </w:r>
      <w:r w:rsidRPr="004B3F95" w:rsidR="005442F1">
        <w:rPr>
          <w:rFonts w:ascii="Times New Roman" w:hAnsi="Times New Roman"/>
        </w:rPr>
        <w:t xml:space="preserve"> FDIC-initiated adjustments, an institution’s request for an adjustment </w:t>
      </w:r>
      <w:r w:rsidR="004112C0">
        <w:rPr>
          <w:rFonts w:ascii="Times New Roman" w:hAnsi="Times New Roman"/>
        </w:rPr>
        <w:t>is</w:t>
      </w:r>
      <w:r w:rsidRPr="004B3F95" w:rsidR="005442F1">
        <w:rPr>
          <w:rFonts w:ascii="Times New Roman" w:hAnsi="Times New Roman"/>
        </w:rPr>
        <w:t xml:space="preserve"> considered only if it is supported by evidence of a material risk or risk-mitigating factor that is not adequately accounted for in the scorecard.  The FDIC consider</w:t>
      </w:r>
      <w:r w:rsidR="004112C0">
        <w:rPr>
          <w:rFonts w:ascii="Times New Roman" w:hAnsi="Times New Roman"/>
        </w:rPr>
        <w:t>s</w:t>
      </w:r>
      <w:r w:rsidRPr="004B3F95" w:rsidR="005442F1">
        <w:rPr>
          <w:rFonts w:ascii="Times New Roman" w:hAnsi="Times New Roman"/>
        </w:rPr>
        <w:t xml:space="preserve"> these requests as part of its ongoing effort to identify and adjust scores that require adjustment.  An institution-initiated request would not preclude a subsequent request for review (</w:t>
      </w:r>
      <w:r w:rsidR="005442F1">
        <w:rPr>
          <w:rFonts w:ascii="Times New Roman" w:hAnsi="Times New Roman"/>
        </w:rPr>
        <w:t xml:space="preserve">under </w:t>
      </w:r>
      <w:r w:rsidRPr="004B3F95" w:rsidR="005442F1">
        <w:rPr>
          <w:rFonts w:ascii="Times New Roman" w:hAnsi="Times New Roman"/>
        </w:rPr>
        <w:t xml:space="preserve">12 CFR </w:t>
      </w:r>
      <w:r w:rsidR="00523BDC">
        <w:rPr>
          <w:rFonts w:ascii="Times New Roman" w:hAnsi="Times New Roman"/>
        </w:rPr>
        <w:t xml:space="preserve">§ </w:t>
      </w:r>
      <w:r w:rsidRPr="004B3F95" w:rsidR="005442F1">
        <w:rPr>
          <w:rFonts w:ascii="Times New Roman" w:hAnsi="Times New Roman"/>
        </w:rPr>
        <w:t>327.4(c)) or appeal pursuant to the assessment appeals process.</w:t>
      </w:r>
      <w:r w:rsidR="005442F1">
        <w:rPr>
          <w:rFonts w:ascii="Times New Roman" w:hAnsi="Times New Roman"/>
        </w:rPr>
        <w:t xml:space="preserve">  </w:t>
      </w:r>
      <w:r w:rsidRPr="006941FF">
        <w:rPr>
          <w:rFonts w:ascii="Times New Roman" w:hAnsi="Times New Roman"/>
        </w:rPr>
        <w:t xml:space="preserve">  </w:t>
      </w:r>
    </w:p>
    <w:p w:rsidR="00082C3B" w:rsidP="00082C3B" w14:paraId="58426E2E" w14:textId="77777777">
      <w:pPr>
        <w:widowControl/>
        <w:tabs>
          <w:tab w:val="left" w:pos="360"/>
        </w:tabs>
        <w:rPr>
          <w:rFonts w:ascii="Times New Roman" w:hAnsi="Times New Roman"/>
        </w:rPr>
      </w:pPr>
    </w:p>
    <w:p w:rsidR="00082C3B" w:rsidP="00082C3B" w14:paraId="0789AD49" w14:textId="77777777">
      <w:pPr>
        <w:widowControl/>
        <w:numPr>
          <w:ilvl w:val="0"/>
          <w:numId w:val="4"/>
        </w:numPr>
        <w:rPr>
          <w:rFonts w:ascii="Times New Roman" w:hAnsi="Times New Roman"/>
        </w:rPr>
      </w:pPr>
      <w:r>
        <w:rPr>
          <w:rFonts w:ascii="Times New Roman" w:hAnsi="Times New Roman"/>
          <w:u w:val="single"/>
        </w:rPr>
        <w:t>JUSTIFICATION</w:t>
      </w:r>
    </w:p>
    <w:p w:rsidR="00B46E04" w:rsidP="00082C3B" w14:paraId="47C98370" w14:textId="77777777">
      <w:pPr>
        <w:widowControl/>
        <w:tabs>
          <w:tab w:val="left" w:pos="-240"/>
          <w:tab w:val="left" w:pos="480"/>
          <w:tab w:val="left" w:pos="1080"/>
          <w:tab w:val="left" w:pos="1680"/>
          <w:tab w:val="left" w:pos="2280"/>
          <w:tab w:val="left" w:pos="2880"/>
        </w:tabs>
        <w:rPr>
          <w:rFonts w:ascii="Times New Roman" w:hAnsi="Times New Roman"/>
        </w:rPr>
      </w:pPr>
    </w:p>
    <w:p w:rsidR="00B46E04" w:rsidP="00082C3B" w14:paraId="18C44930" w14:textId="77777777">
      <w:pPr>
        <w:widowControl/>
        <w:numPr>
          <w:ilvl w:val="0"/>
          <w:numId w:val="6"/>
        </w:numPr>
        <w:tabs>
          <w:tab w:val="left" w:pos="360"/>
        </w:tabs>
        <w:rPr>
          <w:rFonts w:ascii="Times New Roman" w:hAnsi="Times New Roman"/>
        </w:rPr>
      </w:pPr>
      <w:r w:rsidRPr="00DD48A8">
        <w:rPr>
          <w:rFonts w:ascii="Times New Roman" w:hAnsi="Times New Roman"/>
          <w:bCs/>
          <w:iCs/>
          <w:u w:val="single"/>
        </w:rPr>
        <w:t>Circumstances that make the collection necessary:</w:t>
      </w:r>
    </w:p>
    <w:p w:rsidR="00B46E04" w:rsidP="00082C3B" w14:paraId="3D3886B0" w14:textId="77777777">
      <w:pPr>
        <w:pStyle w:val="Footer"/>
        <w:widowControl/>
        <w:tabs>
          <w:tab w:val="left" w:pos="-360"/>
          <w:tab w:val="left" w:pos="-240"/>
          <w:tab w:val="left" w:pos="480"/>
          <w:tab w:val="left" w:pos="1680"/>
          <w:tab w:val="left" w:pos="2280"/>
          <w:tab w:val="left" w:pos="2880"/>
          <w:tab w:val="clear" w:pos="4320"/>
          <w:tab w:val="clear" w:pos="8640"/>
        </w:tabs>
        <w:rPr>
          <w:rFonts w:ascii="Times New Roman" w:hAnsi="Times New Roman"/>
        </w:rPr>
      </w:pPr>
    </w:p>
    <w:p w:rsidR="00715A26" w:rsidP="00082C3B" w14:paraId="3C93D605" w14:textId="77777777">
      <w:pPr>
        <w:ind w:left="720"/>
        <w:rPr>
          <w:rFonts w:ascii="Times New Roman" w:hAnsi="Times New Roman"/>
        </w:rPr>
      </w:pPr>
      <w:r>
        <w:rPr>
          <w:rFonts w:ascii="Times New Roman" w:hAnsi="Times New Roman"/>
        </w:rPr>
        <w:t>The FDIC’s assessment authority is set forth in Section 7 of the Federal Deposit Insurance Act, 12 U.S.C. § 1817(b) and (c)</w:t>
      </w:r>
      <w:r w:rsidR="005442F1">
        <w:rPr>
          <w:rFonts w:ascii="Times New Roman" w:hAnsi="Times New Roman"/>
        </w:rPr>
        <w:t>.  Pursuant to this statutory authority, the FDIC promulgated regulations that</w:t>
      </w:r>
      <w:r w:rsidR="00EB72A7">
        <w:rPr>
          <w:rFonts w:ascii="Times New Roman" w:hAnsi="Times New Roman"/>
        </w:rPr>
        <w:t xml:space="preserve"> </w:t>
      </w:r>
      <w:r w:rsidR="003233B2">
        <w:rPr>
          <w:rFonts w:ascii="Times New Roman" w:hAnsi="Times New Roman"/>
        </w:rPr>
        <w:t>rev</w:t>
      </w:r>
      <w:r w:rsidR="00D25586">
        <w:rPr>
          <w:rFonts w:ascii="Times New Roman" w:hAnsi="Times New Roman"/>
        </w:rPr>
        <w:t>ised</w:t>
      </w:r>
      <w:r w:rsidR="003233B2">
        <w:rPr>
          <w:rFonts w:ascii="Times New Roman" w:hAnsi="Times New Roman"/>
        </w:rPr>
        <w:t xml:space="preserve"> the assessment system for large and highly complex insured depository institutions.  These regulations also </w:t>
      </w:r>
      <w:r w:rsidR="00EB72A7">
        <w:rPr>
          <w:rFonts w:ascii="Times New Roman" w:hAnsi="Times New Roman"/>
        </w:rPr>
        <w:t xml:space="preserve">set out the process for </w:t>
      </w:r>
      <w:r w:rsidR="00EB72A7">
        <w:rPr>
          <w:rFonts w:ascii="Times New Roman" w:hAnsi="Times New Roman"/>
        </w:rPr>
        <w:t>making adjustments to</w:t>
      </w:r>
      <w:r w:rsidR="00EB72A7">
        <w:rPr>
          <w:rFonts w:ascii="Times New Roman" w:hAnsi="Times New Roman"/>
        </w:rPr>
        <w:t xml:space="preserve"> the total score of </w:t>
      </w:r>
      <w:r w:rsidR="003233B2">
        <w:rPr>
          <w:rFonts w:ascii="Times New Roman" w:hAnsi="Times New Roman"/>
        </w:rPr>
        <w:t>these</w:t>
      </w:r>
      <w:r w:rsidR="00EB72A7">
        <w:rPr>
          <w:rFonts w:ascii="Times New Roman" w:hAnsi="Times New Roman"/>
        </w:rPr>
        <w:t xml:space="preserve"> institutions.  </w:t>
      </w:r>
      <w:r w:rsidR="003233B2">
        <w:rPr>
          <w:rFonts w:ascii="Times New Roman" w:hAnsi="Times New Roman"/>
        </w:rPr>
        <w:t>12 C.F.R. § 327.</w:t>
      </w:r>
      <w:r w:rsidR="00D25586">
        <w:rPr>
          <w:rFonts w:ascii="Times New Roman" w:hAnsi="Times New Roman"/>
        </w:rPr>
        <w:t>16</w:t>
      </w:r>
      <w:r w:rsidR="003233B2">
        <w:rPr>
          <w:rFonts w:ascii="Times New Roman" w:hAnsi="Times New Roman"/>
        </w:rPr>
        <w:t>(b)(3)</w:t>
      </w:r>
      <w:r w:rsidR="00EB72A7">
        <w:rPr>
          <w:rFonts w:ascii="Times New Roman" w:hAnsi="Times New Roman"/>
        </w:rPr>
        <w:t xml:space="preserve">.  </w:t>
      </w:r>
      <w:r w:rsidR="00967D9E">
        <w:rPr>
          <w:rFonts w:ascii="Times New Roman" w:hAnsi="Times New Roman"/>
        </w:rPr>
        <w:t>Further, t</w:t>
      </w:r>
      <w:r w:rsidR="00AE0741">
        <w:rPr>
          <w:rFonts w:ascii="Times New Roman" w:hAnsi="Times New Roman"/>
        </w:rPr>
        <w:t xml:space="preserve">he </w:t>
      </w:r>
      <w:r w:rsidR="00EB72A7">
        <w:rPr>
          <w:rFonts w:ascii="Times New Roman" w:hAnsi="Times New Roman"/>
        </w:rPr>
        <w:t>regulations</w:t>
      </w:r>
      <w:r w:rsidR="00D673F2">
        <w:rPr>
          <w:rFonts w:ascii="Times New Roman" w:hAnsi="Times New Roman"/>
        </w:rPr>
        <w:t xml:space="preserve"> </w:t>
      </w:r>
      <w:r w:rsidR="00EB72A7">
        <w:rPr>
          <w:rFonts w:ascii="Times New Roman" w:hAnsi="Times New Roman"/>
        </w:rPr>
        <w:t xml:space="preserve">set out the parameters of the adjustment process, </w:t>
      </w:r>
      <w:r w:rsidR="00967D9E">
        <w:rPr>
          <w:rFonts w:ascii="Times New Roman" w:hAnsi="Times New Roman"/>
        </w:rPr>
        <w:t xml:space="preserve">including </w:t>
      </w:r>
      <w:r w:rsidR="00EB72A7">
        <w:rPr>
          <w:rFonts w:ascii="Times New Roman" w:hAnsi="Times New Roman"/>
        </w:rPr>
        <w:t xml:space="preserve">the scorecard point range for adjustments (up or down a maximum of 15 points), the requirement that the FDIC provide </w:t>
      </w:r>
      <w:r w:rsidR="0044360F">
        <w:rPr>
          <w:rFonts w:ascii="Times New Roman" w:hAnsi="Times New Roman"/>
        </w:rPr>
        <w:t>the institution and its primary federal regulato</w:t>
      </w:r>
      <w:r w:rsidR="00DF27A3">
        <w:rPr>
          <w:rFonts w:ascii="Times New Roman" w:hAnsi="Times New Roman"/>
        </w:rPr>
        <w:t>r</w:t>
      </w:r>
      <w:r w:rsidR="0044360F">
        <w:rPr>
          <w:rFonts w:ascii="Times New Roman" w:hAnsi="Times New Roman"/>
        </w:rPr>
        <w:t xml:space="preserve"> with </w:t>
      </w:r>
      <w:r w:rsidR="00EB72A7">
        <w:rPr>
          <w:rFonts w:ascii="Times New Roman" w:hAnsi="Times New Roman"/>
        </w:rPr>
        <w:t>notice and an opportunity to respond when proposing a</w:t>
      </w:r>
      <w:r w:rsidR="0044360F">
        <w:rPr>
          <w:rFonts w:ascii="Times New Roman" w:hAnsi="Times New Roman"/>
        </w:rPr>
        <w:t>n</w:t>
      </w:r>
      <w:r w:rsidR="00EB72A7">
        <w:rPr>
          <w:rFonts w:ascii="Times New Roman" w:hAnsi="Times New Roman"/>
        </w:rPr>
        <w:t xml:space="preserve"> </w:t>
      </w:r>
      <w:r w:rsidR="0044360F">
        <w:rPr>
          <w:rFonts w:ascii="Times New Roman" w:hAnsi="Times New Roman"/>
        </w:rPr>
        <w:t xml:space="preserve">upward </w:t>
      </w:r>
      <w:r w:rsidR="00EB72A7">
        <w:rPr>
          <w:rFonts w:ascii="Times New Roman" w:hAnsi="Times New Roman"/>
        </w:rPr>
        <w:t>adjustment</w:t>
      </w:r>
      <w:r w:rsidR="00DF27A3">
        <w:rPr>
          <w:rFonts w:ascii="Times New Roman" w:hAnsi="Times New Roman"/>
        </w:rPr>
        <w:t xml:space="preserve"> or removal of a previously imp</w:t>
      </w:r>
      <w:r w:rsidR="00F20F2D">
        <w:rPr>
          <w:rFonts w:ascii="Times New Roman" w:hAnsi="Times New Roman"/>
        </w:rPr>
        <w:t>lemented downward adjustment</w:t>
      </w:r>
      <w:r w:rsidR="00EB72A7">
        <w:rPr>
          <w:rFonts w:ascii="Times New Roman" w:hAnsi="Times New Roman"/>
        </w:rPr>
        <w:t xml:space="preserve">, the requirement that the FDIC consider the response of the institution and its primary federal regulator, and </w:t>
      </w:r>
      <w:r w:rsidR="0044360F">
        <w:rPr>
          <w:rFonts w:ascii="Times New Roman" w:hAnsi="Times New Roman"/>
        </w:rPr>
        <w:t>the ability</w:t>
      </w:r>
      <w:r w:rsidR="00DF27A3">
        <w:rPr>
          <w:rFonts w:ascii="Times New Roman" w:hAnsi="Times New Roman"/>
        </w:rPr>
        <w:t xml:space="preserve"> </w:t>
      </w:r>
      <w:r w:rsidR="00AA7906">
        <w:rPr>
          <w:rFonts w:ascii="Times New Roman" w:hAnsi="Times New Roman"/>
        </w:rPr>
        <w:t>of</w:t>
      </w:r>
      <w:r w:rsidR="00DF27A3">
        <w:rPr>
          <w:rFonts w:ascii="Times New Roman" w:hAnsi="Times New Roman"/>
        </w:rPr>
        <w:t xml:space="preserve"> the FDIC</w:t>
      </w:r>
      <w:r w:rsidR="0044360F">
        <w:rPr>
          <w:rFonts w:ascii="Times New Roman" w:hAnsi="Times New Roman"/>
        </w:rPr>
        <w:t xml:space="preserve"> to make</w:t>
      </w:r>
      <w:r w:rsidR="00EB72A7">
        <w:rPr>
          <w:rFonts w:ascii="Times New Roman" w:hAnsi="Times New Roman"/>
        </w:rPr>
        <w:t xml:space="preserve"> adjustments without notice under limited circums</w:t>
      </w:r>
      <w:r w:rsidR="003233B2">
        <w:rPr>
          <w:rFonts w:ascii="Times New Roman" w:hAnsi="Times New Roman"/>
        </w:rPr>
        <w:t xml:space="preserve">tances.  </w:t>
      </w:r>
    </w:p>
    <w:p w:rsidR="00967D9E" w:rsidP="00082C3B" w14:paraId="0E864D9E" w14:textId="77777777">
      <w:pPr>
        <w:ind w:left="720"/>
        <w:rPr>
          <w:rFonts w:ascii="Times New Roman" w:hAnsi="Times New Roman"/>
        </w:rPr>
      </w:pPr>
    </w:p>
    <w:p w:rsidR="000A3242" w:rsidP="00082C3B" w14:paraId="515C6B08" w14:textId="77777777">
      <w:pPr>
        <w:ind w:left="720"/>
        <w:rPr>
          <w:rFonts w:ascii="Times New Roman" w:hAnsi="Times New Roman"/>
        </w:rPr>
      </w:pPr>
      <w:r>
        <w:rPr>
          <w:rFonts w:ascii="Times New Roman" w:hAnsi="Times New Roman"/>
        </w:rPr>
        <w:t>U</w:t>
      </w:r>
      <w:r w:rsidRPr="00A47984" w:rsidR="00CB77F8">
        <w:rPr>
          <w:rFonts w:ascii="Times New Roman" w:hAnsi="Times New Roman"/>
        </w:rPr>
        <w:t>nder the</w:t>
      </w:r>
      <w:r w:rsidR="004112C0">
        <w:rPr>
          <w:rFonts w:ascii="Times New Roman" w:hAnsi="Times New Roman"/>
        </w:rPr>
        <w:t xml:space="preserve">se </w:t>
      </w:r>
      <w:r>
        <w:rPr>
          <w:rFonts w:ascii="Times New Roman" w:hAnsi="Times New Roman"/>
        </w:rPr>
        <w:t xml:space="preserve">guidelines, the </w:t>
      </w:r>
      <w:r w:rsidR="00A47984">
        <w:rPr>
          <w:rFonts w:ascii="Times New Roman" w:hAnsi="Times New Roman"/>
        </w:rPr>
        <w:t xml:space="preserve">FDIC – proactively </w:t>
      </w:r>
      <w:r w:rsidR="002A2323">
        <w:rPr>
          <w:rFonts w:ascii="Times New Roman" w:hAnsi="Times New Roman"/>
        </w:rPr>
        <w:t>–</w:t>
      </w:r>
      <w:r w:rsidR="00A47984">
        <w:rPr>
          <w:rFonts w:ascii="Times New Roman" w:hAnsi="Times New Roman"/>
        </w:rPr>
        <w:t xml:space="preserve"> </w:t>
      </w:r>
      <w:r>
        <w:rPr>
          <w:rFonts w:ascii="Times New Roman" w:hAnsi="Times New Roman"/>
        </w:rPr>
        <w:t>focus</w:t>
      </w:r>
      <w:r w:rsidR="00B2116A">
        <w:rPr>
          <w:rFonts w:ascii="Times New Roman" w:hAnsi="Times New Roman"/>
        </w:rPr>
        <w:t>es</w:t>
      </w:r>
      <w:r>
        <w:rPr>
          <w:rFonts w:ascii="Times New Roman" w:hAnsi="Times New Roman"/>
        </w:rPr>
        <w:t xml:space="preserve"> on identifying institutions for which a combination of risk measures and other information suggests either a materially higher or lower risk than their total scores indicate.  The FDIC primarily focus</w:t>
      </w:r>
      <w:r w:rsidR="00B2116A">
        <w:rPr>
          <w:rFonts w:ascii="Times New Roman" w:hAnsi="Times New Roman"/>
        </w:rPr>
        <w:t>es</w:t>
      </w:r>
      <w:r>
        <w:rPr>
          <w:rFonts w:ascii="Times New Roman" w:hAnsi="Times New Roman"/>
        </w:rPr>
        <w:t xml:space="preserve"> on two types of </w:t>
      </w:r>
      <w:r w:rsidRPr="000A3242">
        <w:rPr>
          <w:rFonts w:ascii="Times New Roman" w:hAnsi="Times New Roman"/>
        </w:rPr>
        <w:t xml:space="preserve">information in determining whether to make a large bank adjustment: a </w:t>
      </w:r>
      <w:r w:rsidRPr="000A3242">
        <w:rPr>
          <w:rFonts w:ascii="Times New Roman" w:hAnsi="Times New Roman"/>
        </w:rPr>
        <w:t xml:space="preserve">scorecard ratio or measure that exceeds the maximum cutoff value for a ratio or measure or is less than the minimum cutoff value for a ratio or measure along with the degree to which the ratio or measure differs from the cutoff value (scorecard measure outliers); </w:t>
      </w:r>
      <w:r>
        <w:rPr>
          <w:rFonts w:ascii="Times New Roman" w:hAnsi="Times New Roman"/>
        </w:rPr>
        <w:t xml:space="preserve">and </w:t>
      </w:r>
      <w:r w:rsidRPr="000A3242">
        <w:rPr>
          <w:rFonts w:ascii="Times New Roman" w:hAnsi="Times New Roman"/>
        </w:rPr>
        <w:t>information not directly captured in the scorecard, including complementary quantitative risk measures and qualitative risk considerations.</w:t>
      </w:r>
      <w:r>
        <w:rPr>
          <w:rFonts w:ascii="Times New Roman" w:hAnsi="Times New Roman"/>
        </w:rPr>
        <w:t xml:space="preserve"> </w:t>
      </w:r>
      <w:r w:rsidRPr="000A3242">
        <w:rPr>
          <w:rFonts w:ascii="Times New Roman" w:hAnsi="Times New Roman"/>
        </w:rPr>
        <w:t>Adjustments w</w:t>
      </w:r>
      <w:r w:rsidR="00B2116A">
        <w:rPr>
          <w:rFonts w:ascii="Times New Roman" w:hAnsi="Times New Roman"/>
        </w:rPr>
        <w:t>ill</w:t>
      </w:r>
      <w:r w:rsidRPr="000A3242">
        <w:rPr>
          <w:rFonts w:ascii="Times New Roman" w:hAnsi="Times New Roman"/>
        </w:rPr>
        <w:t xml:space="preserve"> be made only if the comprehensive analysis of an institution’s risk, generally based on the</w:t>
      </w:r>
      <w:r w:rsidR="00CD18F0">
        <w:rPr>
          <w:rFonts w:ascii="Times New Roman" w:hAnsi="Times New Roman"/>
        </w:rPr>
        <w:t>se</w:t>
      </w:r>
      <w:r w:rsidRPr="000A3242">
        <w:rPr>
          <w:rFonts w:ascii="Times New Roman" w:hAnsi="Times New Roman"/>
        </w:rPr>
        <w:t xml:space="preserve"> two types of information, and the institution’s relative risk ranking</w:t>
      </w:r>
      <w:r w:rsidR="00CD18F0">
        <w:rPr>
          <w:rFonts w:ascii="Times New Roman" w:hAnsi="Times New Roman"/>
        </w:rPr>
        <w:t>,</w:t>
      </w:r>
      <w:r w:rsidRPr="000A3242">
        <w:rPr>
          <w:rFonts w:ascii="Times New Roman" w:hAnsi="Times New Roman"/>
        </w:rPr>
        <w:t xml:space="preserve"> warrant a meaningful adjustment of the institution’s total score (generally, an adjustment of five points or more).</w:t>
      </w:r>
    </w:p>
    <w:p w:rsidR="00715A26" w:rsidP="00082C3B" w14:paraId="6182FA6E" w14:textId="77777777">
      <w:pPr>
        <w:ind w:left="720"/>
        <w:rPr>
          <w:rFonts w:ascii="Times New Roman" w:hAnsi="Times New Roman"/>
        </w:rPr>
      </w:pPr>
    </w:p>
    <w:p w:rsidR="00715A26" w:rsidRPr="00715A26" w:rsidP="00082C3B" w14:paraId="78CE36B5" w14:textId="77777777">
      <w:pPr>
        <w:widowControl/>
        <w:ind w:left="720"/>
        <w:rPr>
          <w:rFonts w:ascii="Times New Roman" w:hAnsi="Times New Roman"/>
        </w:rPr>
      </w:pPr>
      <w:r w:rsidRPr="00715A26">
        <w:rPr>
          <w:rFonts w:ascii="Times New Roman" w:hAnsi="Times New Roman"/>
        </w:rPr>
        <w:t>The FDIC w</w:t>
      </w:r>
      <w:r w:rsidR="00B2116A">
        <w:rPr>
          <w:rFonts w:ascii="Times New Roman" w:hAnsi="Times New Roman"/>
        </w:rPr>
        <w:t>ill</w:t>
      </w:r>
      <w:r w:rsidRPr="00715A26">
        <w:rPr>
          <w:rFonts w:ascii="Times New Roman" w:hAnsi="Times New Roman"/>
        </w:rPr>
        <w:t xml:space="preserve"> consult with an institution’s primary federal regulator and appropriate state banking supervisor before making any decision to adjust an institution’s total score (and before removing a previously implemented adjustment).</w:t>
      </w:r>
    </w:p>
    <w:p w:rsidR="00715A26" w:rsidP="00082C3B" w14:paraId="1A15BB69" w14:textId="77777777">
      <w:pPr>
        <w:widowControl/>
        <w:ind w:left="720"/>
        <w:rPr>
          <w:rFonts w:ascii="Times New Roman" w:hAnsi="Times New Roman"/>
        </w:rPr>
      </w:pPr>
      <w:r w:rsidRPr="00715A26">
        <w:rPr>
          <w:rFonts w:ascii="Times New Roman" w:hAnsi="Times New Roman"/>
        </w:rPr>
        <w:t>The FDIC give</w:t>
      </w:r>
      <w:r w:rsidR="00A04269">
        <w:rPr>
          <w:rFonts w:ascii="Times New Roman" w:hAnsi="Times New Roman"/>
        </w:rPr>
        <w:t>s</w:t>
      </w:r>
      <w:r w:rsidRPr="00715A26">
        <w:rPr>
          <w:rFonts w:ascii="Times New Roman" w:hAnsi="Times New Roman"/>
        </w:rPr>
        <w:t xml:space="preserve"> institutions advance notice of any decision to make an upward adjustment to a total score, or to remove a previously implemented downward adjustment.  The notice w</w:t>
      </w:r>
      <w:r w:rsidR="00B2116A">
        <w:rPr>
          <w:rFonts w:ascii="Times New Roman" w:hAnsi="Times New Roman"/>
        </w:rPr>
        <w:t>ill</w:t>
      </w:r>
      <w:r w:rsidRPr="00715A26">
        <w:rPr>
          <w:rFonts w:ascii="Times New Roman" w:hAnsi="Times New Roman"/>
        </w:rPr>
        <w:t xml:space="preserve"> include the reasons for the proposed adjustment or removal, the size of the proposed adjustment or removal, specify when the adjustment or removal would take effect, and provide institutions with up to 60 days to respond. </w:t>
      </w:r>
    </w:p>
    <w:p w:rsidR="00082C3B" w:rsidRPr="00715A26" w:rsidP="00082C3B" w14:paraId="4EC37626" w14:textId="77777777">
      <w:pPr>
        <w:widowControl/>
        <w:ind w:left="720"/>
        <w:rPr>
          <w:rFonts w:ascii="Times New Roman" w:hAnsi="Times New Roman"/>
        </w:rPr>
      </w:pPr>
    </w:p>
    <w:p w:rsidR="00715A26" w:rsidRPr="00715A26" w:rsidP="00082C3B" w14:paraId="3B9862D3" w14:textId="77777777">
      <w:pPr>
        <w:widowControl/>
        <w:ind w:left="720"/>
        <w:rPr>
          <w:rFonts w:ascii="Times New Roman" w:hAnsi="Times New Roman"/>
        </w:rPr>
      </w:pPr>
      <w:r w:rsidRPr="00715A26">
        <w:rPr>
          <w:rFonts w:ascii="Times New Roman" w:hAnsi="Times New Roman"/>
        </w:rPr>
        <w:t>The FDIC re-evaluate</w:t>
      </w:r>
      <w:r w:rsidR="00A04269">
        <w:rPr>
          <w:rFonts w:ascii="Times New Roman" w:hAnsi="Times New Roman"/>
        </w:rPr>
        <w:t>s</w:t>
      </w:r>
      <w:r w:rsidRPr="00715A26">
        <w:rPr>
          <w:rFonts w:ascii="Times New Roman" w:hAnsi="Times New Roman"/>
        </w:rPr>
        <w:t xml:space="preserve"> the need for total score adjustments on a quarterly basis. </w:t>
      </w:r>
    </w:p>
    <w:p w:rsidR="00EF23D7" w:rsidP="00082C3B" w14:paraId="60141C61" w14:textId="77777777">
      <w:pPr>
        <w:widowControl/>
        <w:ind w:left="720"/>
        <w:rPr>
          <w:rFonts w:ascii="Times New Roman" w:hAnsi="Times New Roman"/>
        </w:rPr>
      </w:pPr>
      <w:r>
        <w:rPr>
          <w:rFonts w:ascii="Times New Roman" w:hAnsi="Times New Roman"/>
        </w:rPr>
        <w:t xml:space="preserve">The FDIC </w:t>
      </w:r>
      <w:r w:rsidR="00715A26">
        <w:rPr>
          <w:rFonts w:ascii="Times New Roman" w:hAnsi="Times New Roman"/>
        </w:rPr>
        <w:t>allow</w:t>
      </w:r>
      <w:r w:rsidR="00A04269">
        <w:rPr>
          <w:rFonts w:ascii="Times New Roman" w:hAnsi="Times New Roman"/>
        </w:rPr>
        <w:t>s</w:t>
      </w:r>
      <w:r w:rsidR="00715A26">
        <w:rPr>
          <w:rFonts w:ascii="Times New Roman" w:hAnsi="Times New Roman"/>
        </w:rPr>
        <w:t xml:space="preserve"> institutions to make a</w:t>
      </w:r>
      <w:r w:rsidRPr="000A3242">
        <w:rPr>
          <w:rFonts w:ascii="Times New Roman" w:hAnsi="Times New Roman"/>
        </w:rPr>
        <w:t xml:space="preserve"> written request to the FDIC for an adjustment</w:t>
      </w:r>
      <w:r w:rsidR="00CD18F0">
        <w:rPr>
          <w:rFonts w:ascii="Times New Roman" w:hAnsi="Times New Roman"/>
        </w:rPr>
        <w:t>.  I</w:t>
      </w:r>
      <w:r w:rsidR="00715A26">
        <w:rPr>
          <w:rFonts w:ascii="Times New Roman" w:hAnsi="Times New Roman"/>
        </w:rPr>
        <w:t>n making such a request, the institution w</w:t>
      </w:r>
      <w:r w:rsidR="00BB648F">
        <w:rPr>
          <w:rFonts w:ascii="Times New Roman" w:hAnsi="Times New Roman"/>
        </w:rPr>
        <w:t>ill</w:t>
      </w:r>
      <w:r w:rsidR="00715A26">
        <w:rPr>
          <w:rFonts w:ascii="Times New Roman" w:hAnsi="Times New Roman"/>
        </w:rPr>
        <w:t xml:space="preserve"> provide support by including evidence of a material risk or risk-mitigating factor that is not adequately accounted for in the scorecard.  In this way, the FDIC will further ensure that the adjustment process is </w:t>
      </w:r>
      <w:r w:rsidR="00AA7906">
        <w:rPr>
          <w:rFonts w:ascii="Times New Roman" w:hAnsi="Times New Roman"/>
        </w:rPr>
        <w:t xml:space="preserve">accessible, </w:t>
      </w:r>
      <w:r w:rsidR="00715A26">
        <w:rPr>
          <w:rFonts w:ascii="Times New Roman" w:hAnsi="Times New Roman"/>
        </w:rPr>
        <w:t>fair and transparent</w:t>
      </w:r>
      <w:r w:rsidR="00AA7906">
        <w:rPr>
          <w:rFonts w:ascii="Times New Roman" w:hAnsi="Times New Roman"/>
        </w:rPr>
        <w:t>,</w:t>
      </w:r>
      <w:r w:rsidR="00715A26">
        <w:rPr>
          <w:rFonts w:ascii="Times New Roman" w:hAnsi="Times New Roman"/>
        </w:rPr>
        <w:t xml:space="preserve"> and that any decision to adjust is well-supported.  </w:t>
      </w:r>
      <w:r w:rsidRPr="000A3242">
        <w:rPr>
          <w:rFonts w:ascii="Times New Roman" w:hAnsi="Times New Roman"/>
        </w:rPr>
        <w:t xml:space="preserve"> </w:t>
      </w:r>
    </w:p>
    <w:p w:rsidR="00715A26" w:rsidP="00082C3B" w14:paraId="7E91AC5F" w14:textId="77777777">
      <w:pPr>
        <w:widowControl/>
        <w:ind w:left="720"/>
        <w:rPr>
          <w:rFonts w:ascii="Times New Roman" w:hAnsi="Times New Roman"/>
        </w:rPr>
      </w:pPr>
      <w:r>
        <w:rPr>
          <w:rFonts w:ascii="Times New Roman" w:hAnsi="Times New Roman"/>
        </w:rPr>
        <w:t>A</w:t>
      </w:r>
      <w:r w:rsidRPr="00715A26">
        <w:rPr>
          <w:rFonts w:ascii="Times New Roman" w:hAnsi="Times New Roman"/>
        </w:rPr>
        <w:t>n institu</w:t>
      </w:r>
      <w:r w:rsidR="00247C3C">
        <w:rPr>
          <w:rFonts w:ascii="Times New Roman" w:hAnsi="Times New Roman"/>
        </w:rPr>
        <w:t xml:space="preserve">tion </w:t>
      </w:r>
      <w:r>
        <w:rPr>
          <w:rFonts w:ascii="Times New Roman" w:hAnsi="Times New Roman"/>
        </w:rPr>
        <w:t>is</w:t>
      </w:r>
      <w:r w:rsidR="00247C3C">
        <w:rPr>
          <w:rFonts w:ascii="Times New Roman" w:hAnsi="Times New Roman"/>
        </w:rPr>
        <w:t xml:space="preserve"> able to</w:t>
      </w:r>
      <w:r w:rsidR="00247C3C">
        <w:rPr>
          <w:rFonts w:ascii="Times New Roman" w:hAnsi="Times New Roman"/>
        </w:rPr>
        <w:t xml:space="preserve"> </w:t>
      </w:r>
      <w:r w:rsidRPr="00715A26">
        <w:rPr>
          <w:rFonts w:ascii="Times New Roman" w:hAnsi="Times New Roman"/>
        </w:rPr>
        <w:t xml:space="preserve">request review of or appeal an upward adjustment, the magnitude of an upward adjustment, removal of a previously implemented downward adjustment or an increase in a previously implemented upward adjustment </w:t>
      </w:r>
      <w:r w:rsidR="00AE0741">
        <w:rPr>
          <w:rFonts w:ascii="Times New Roman" w:hAnsi="Times New Roman"/>
        </w:rPr>
        <w:t>through the FDIC’s internal review process set forth at</w:t>
      </w:r>
      <w:r w:rsidRPr="00715A26">
        <w:rPr>
          <w:rFonts w:ascii="Times New Roman" w:hAnsi="Times New Roman"/>
        </w:rPr>
        <w:t xml:space="preserve"> 12 C.F.R. </w:t>
      </w:r>
      <w:r w:rsidR="007C494F">
        <w:rPr>
          <w:rFonts w:ascii="Times New Roman" w:hAnsi="Times New Roman"/>
        </w:rPr>
        <w:t xml:space="preserve">§ </w:t>
      </w:r>
      <w:r w:rsidRPr="00715A26">
        <w:rPr>
          <w:rFonts w:ascii="Times New Roman" w:hAnsi="Times New Roman"/>
        </w:rPr>
        <w:t>327.4(c).  An institution c</w:t>
      </w:r>
      <w:r w:rsidR="00BB648F">
        <w:rPr>
          <w:rFonts w:ascii="Times New Roman" w:hAnsi="Times New Roman"/>
        </w:rPr>
        <w:t>an</w:t>
      </w:r>
      <w:r w:rsidRPr="00715A26">
        <w:rPr>
          <w:rFonts w:ascii="Times New Roman" w:hAnsi="Times New Roman"/>
        </w:rPr>
        <w:t xml:space="preserve"> similarly request review of or appeal a decision not to apply an adjustment following a request by the institution for an adjustment.  </w:t>
      </w:r>
    </w:p>
    <w:p w:rsidR="00082C3B" w:rsidRPr="00715A26" w:rsidP="00082C3B" w14:paraId="358EB15F" w14:textId="77777777">
      <w:pPr>
        <w:widowControl/>
        <w:ind w:left="720"/>
        <w:rPr>
          <w:rFonts w:ascii="Times New Roman" w:hAnsi="Times New Roman"/>
        </w:rPr>
      </w:pPr>
    </w:p>
    <w:p w:rsidR="00B46E04" w:rsidRPr="00AE0741" w:rsidP="00082C3B" w14:paraId="3E3762E7" w14:textId="77777777">
      <w:pPr>
        <w:widowControl/>
        <w:tabs>
          <w:tab w:val="left" w:pos="360"/>
        </w:tabs>
        <w:ind w:left="720" w:hanging="720"/>
        <w:rPr>
          <w:rFonts w:ascii="Times New Roman" w:hAnsi="Times New Roman"/>
        </w:rPr>
      </w:pPr>
      <w:r>
        <w:rPr>
          <w:rFonts w:ascii="Times New Roman" w:hAnsi="Times New Roman"/>
        </w:rPr>
        <w:tab/>
      </w:r>
      <w:r w:rsidR="00BF59F5">
        <w:rPr>
          <w:rFonts w:ascii="Times New Roman" w:hAnsi="Times New Roman"/>
        </w:rPr>
        <w:tab/>
      </w:r>
      <w:r w:rsidR="009A47F5">
        <w:rPr>
          <w:rFonts w:ascii="Times New Roman" w:hAnsi="Times New Roman"/>
        </w:rPr>
        <w:t>An institution w</w:t>
      </w:r>
      <w:r w:rsidR="00BB648F">
        <w:rPr>
          <w:rFonts w:ascii="Times New Roman" w:hAnsi="Times New Roman"/>
        </w:rPr>
        <w:t>ill</w:t>
      </w:r>
      <w:r w:rsidRPr="00AE0741" w:rsidR="00AE0741">
        <w:rPr>
          <w:rFonts w:ascii="Times New Roman" w:hAnsi="Times New Roman"/>
        </w:rPr>
        <w:t xml:space="preserve"> request that the FDIC make an adjustment to its score by submitting a written request to the FDIC’s Director of the Division of Insurance and Research in Washington, D</w:t>
      </w:r>
      <w:r w:rsidR="00AE0741">
        <w:rPr>
          <w:rFonts w:ascii="Times New Roman" w:hAnsi="Times New Roman"/>
        </w:rPr>
        <w:t>.</w:t>
      </w:r>
      <w:r w:rsidRPr="00AE0741" w:rsidR="00AE0741">
        <w:rPr>
          <w:rFonts w:ascii="Times New Roman" w:hAnsi="Times New Roman"/>
        </w:rPr>
        <w:t xml:space="preserve">C.  </w:t>
      </w:r>
    </w:p>
    <w:p w:rsidR="00AE0741" w:rsidRPr="00AE0741" w:rsidP="00082C3B" w14:paraId="6DDA0624" w14:textId="77777777">
      <w:pPr>
        <w:widowControl/>
        <w:tabs>
          <w:tab w:val="left" w:pos="360"/>
        </w:tabs>
        <w:ind w:left="720" w:hanging="720"/>
        <w:rPr>
          <w:rFonts w:ascii="Times New Roman" w:hAnsi="Times New Roman"/>
        </w:rPr>
      </w:pPr>
    </w:p>
    <w:p w:rsidR="00B46E04" w:rsidP="00082C3B" w14:paraId="602A8531" w14:textId="77777777">
      <w:pPr>
        <w:widowControl/>
        <w:numPr>
          <w:ilvl w:val="0"/>
          <w:numId w:val="6"/>
        </w:numPr>
        <w:tabs>
          <w:tab w:val="left" w:pos="360"/>
        </w:tabs>
        <w:rPr>
          <w:rFonts w:ascii="Times New Roman" w:hAnsi="Times New Roman"/>
        </w:rPr>
      </w:pPr>
      <w:r>
        <w:rPr>
          <w:rFonts w:ascii="Times New Roman" w:hAnsi="Times New Roman"/>
          <w:u w:val="single"/>
        </w:rPr>
        <w:t>Use of information c</w:t>
      </w:r>
      <w:r>
        <w:rPr>
          <w:rFonts w:ascii="Times New Roman" w:hAnsi="Times New Roman"/>
          <w:u w:val="single"/>
        </w:rPr>
        <w:t>ollected</w:t>
      </w:r>
      <w:r>
        <w:rPr>
          <w:rFonts w:ascii="Times New Roman" w:hAnsi="Times New Roman"/>
          <w:u w:val="single"/>
        </w:rPr>
        <w:t>:</w:t>
      </w:r>
    </w:p>
    <w:p w:rsidR="00B46E04" w:rsidP="00082C3B" w14:paraId="5A449B37" w14:textId="77777777">
      <w:pPr>
        <w:widowControl/>
        <w:tabs>
          <w:tab w:val="left" w:pos="360"/>
        </w:tabs>
        <w:ind w:left="720" w:hanging="720"/>
        <w:rPr>
          <w:rFonts w:ascii="Times New Roman" w:hAnsi="Times New Roman"/>
        </w:rPr>
      </w:pPr>
    </w:p>
    <w:p w:rsidR="00C50E9D" w:rsidP="00082C3B" w14:paraId="150374D6" w14:textId="77777777">
      <w:pPr>
        <w:widowControl/>
        <w:tabs>
          <w:tab w:val="left" w:pos="360"/>
        </w:tabs>
        <w:ind w:left="720" w:hanging="720"/>
        <w:rPr>
          <w:rFonts w:ascii="Times New Roman" w:hAnsi="Times New Roman"/>
        </w:rPr>
      </w:pPr>
      <w:r>
        <w:rPr>
          <w:rFonts w:ascii="Times New Roman" w:hAnsi="Times New Roman"/>
        </w:rPr>
        <w:tab/>
      </w:r>
      <w:r>
        <w:rPr>
          <w:rFonts w:ascii="Times New Roman" w:hAnsi="Times New Roman"/>
        </w:rPr>
        <w:tab/>
        <w:t xml:space="preserve">The FDIC </w:t>
      </w:r>
      <w:r>
        <w:rPr>
          <w:rFonts w:ascii="Times New Roman" w:hAnsi="Times New Roman"/>
        </w:rPr>
        <w:t>w</w:t>
      </w:r>
      <w:r w:rsidR="00BB648F">
        <w:rPr>
          <w:rFonts w:ascii="Times New Roman" w:hAnsi="Times New Roman"/>
        </w:rPr>
        <w:t>ill</w:t>
      </w:r>
      <w:r>
        <w:rPr>
          <w:rFonts w:ascii="Times New Roman" w:hAnsi="Times New Roman"/>
        </w:rPr>
        <w:t xml:space="preserve"> </w:t>
      </w:r>
      <w:r>
        <w:rPr>
          <w:rFonts w:ascii="Times New Roman" w:hAnsi="Times New Roman"/>
        </w:rPr>
        <w:t>use</w:t>
      </w:r>
      <w:r>
        <w:rPr>
          <w:rFonts w:ascii="Times New Roman" w:hAnsi="Times New Roman"/>
        </w:rPr>
        <w:t xml:space="preserve"> </w:t>
      </w:r>
      <w:r w:rsidR="009A47F5">
        <w:rPr>
          <w:rFonts w:ascii="Times New Roman" w:hAnsi="Times New Roman"/>
        </w:rPr>
        <w:t xml:space="preserve">the information collected </w:t>
      </w:r>
      <w:r w:rsidR="00665925">
        <w:rPr>
          <w:rFonts w:ascii="Times New Roman" w:hAnsi="Times New Roman"/>
        </w:rPr>
        <w:t>with</w:t>
      </w:r>
      <w:r w:rsidR="009A47F5">
        <w:rPr>
          <w:rFonts w:ascii="Times New Roman" w:hAnsi="Times New Roman"/>
        </w:rPr>
        <w:t xml:space="preserve"> a</w:t>
      </w:r>
      <w:r>
        <w:rPr>
          <w:rFonts w:ascii="Times New Roman" w:hAnsi="Times New Roman"/>
        </w:rPr>
        <w:t xml:space="preserve"> </w:t>
      </w:r>
      <w:r w:rsidR="009A47F5">
        <w:rPr>
          <w:rFonts w:ascii="Times New Roman" w:hAnsi="Times New Roman"/>
        </w:rPr>
        <w:t xml:space="preserve">request for adjustment </w:t>
      </w:r>
      <w:r>
        <w:rPr>
          <w:rFonts w:ascii="Times New Roman" w:hAnsi="Times New Roman"/>
        </w:rPr>
        <w:t>to</w:t>
      </w:r>
      <w:r w:rsidR="009A47F5">
        <w:rPr>
          <w:rFonts w:ascii="Times New Roman" w:hAnsi="Times New Roman"/>
        </w:rPr>
        <w:t xml:space="preserve"> ensure that the adjustment process is fair and transparent and that any decision to adjust is well-supported.  The </w:t>
      </w:r>
      <w:r>
        <w:rPr>
          <w:rFonts w:ascii="Times New Roman" w:hAnsi="Times New Roman"/>
        </w:rPr>
        <w:t>information obtained w</w:t>
      </w:r>
      <w:r w:rsidR="00BB648F">
        <w:rPr>
          <w:rFonts w:ascii="Times New Roman" w:hAnsi="Times New Roman"/>
        </w:rPr>
        <w:t>ill</w:t>
      </w:r>
      <w:r>
        <w:rPr>
          <w:rFonts w:ascii="Times New Roman" w:hAnsi="Times New Roman"/>
        </w:rPr>
        <w:t xml:space="preserve"> supplement any information used when the FDIC on its own initiative reviewed th</w:t>
      </w:r>
      <w:r w:rsidR="00F20F2D">
        <w:rPr>
          <w:rFonts w:ascii="Times New Roman" w:hAnsi="Times New Roman"/>
        </w:rPr>
        <w:t>e</w:t>
      </w:r>
      <w:r>
        <w:rPr>
          <w:rFonts w:ascii="Times New Roman" w:hAnsi="Times New Roman"/>
        </w:rPr>
        <w:t xml:space="preserve"> </w:t>
      </w:r>
      <w:r w:rsidR="00F20F2D">
        <w:rPr>
          <w:rFonts w:ascii="Times New Roman" w:hAnsi="Times New Roman"/>
        </w:rPr>
        <w:t xml:space="preserve">requesting </w:t>
      </w:r>
      <w:r>
        <w:rPr>
          <w:rFonts w:ascii="Times New Roman" w:hAnsi="Times New Roman"/>
        </w:rPr>
        <w:t>institution’s condition for purposes</w:t>
      </w:r>
      <w:r w:rsidR="00F20F2D">
        <w:rPr>
          <w:rFonts w:ascii="Times New Roman" w:hAnsi="Times New Roman"/>
        </w:rPr>
        <w:t xml:space="preserve"> of</w:t>
      </w:r>
      <w:r w:rsidR="00665925">
        <w:rPr>
          <w:rFonts w:ascii="Times New Roman" w:hAnsi="Times New Roman"/>
        </w:rPr>
        <w:t xml:space="preserve"> determining whether to adjust an institution’s assessment rate under </w:t>
      </w:r>
      <w:r>
        <w:rPr>
          <w:rFonts w:ascii="Times New Roman" w:hAnsi="Times New Roman"/>
        </w:rPr>
        <w:t xml:space="preserve">the </w:t>
      </w:r>
      <w:r w:rsidR="009A47F5">
        <w:rPr>
          <w:rFonts w:ascii="Times New Roman" w:hAnsi="Times New Roman"/>
        </w:rPr>
        <w:t xml:space="preserve">large and highly complex </w:t>
      </w:r>
      <w:r w:rsidR="00665925">
        <w:rPr>
          <w:rFonts w:ascii="Times New Roman" w:hAnsi="Times New Roman"/>
        </w:rPr>
        <w:t xml:space="preserve">institution </w:t>
      </w:r>
      <w:r w:rsidR="009A47F5">
        <w:rPr>
          <w:rFonts w:ascii="Times New Roman" w:hAnsi="Times New Roman"/>
        </w:rPr>
        <w:t>adjustment process.</w:t>
      </w:r>
    </w:p>
    <w:p w:rsidR="0048486D" w:rsidP="00082C3B" w14:paraId="40A5DFC7" w14:textId="77777777">
      <w:pPr>
        <w:widowControl/>
        <w:tabs>
          <w:tab w:val="left" w:pos="360"/>
        </w:tabs>
        <w:ind w:left="720" w:hanging="720"/>
        <w:jc w:val="right"/>
        <w:rPr>
          <w:rFonts w:ascii="Times New Roman" w:hAnsi="Times New Roman"/>
        </w:rPr>
      </w:pPr>
    </w:p>
    <w:p w:rsidR="00D25586" w:rsidP="00082C3B" w14:paraId="3686AB50" w14:textId="77777777">
      <w:pPr>
        <w:widowControl/>
        <w:tabs>
          <w:tab w:val="left" w:pos="360"/>
        </w:tabs>
        <w:ind w:left="720" w:hanging="720"/>
        <w:jc w:val="right"/>
        <w:rPr>
          <w:rFonts w:ascii="Times New Roman" w:hAnsi="Times New Roman"/>
        </w:rPr>
      </w:pPr>
    </w:p>
    <w:p w:rsidR="00D25586" w:rsidP="00082C3B" w14:paraId="6766E39E" w14:textId="77777777">
      <w:pPr>
        <w:widowControl/>
        <w:tabs>
          <w:tab w:val="left" w:pos="360"/>
        </w:tabs>
        <w:ind w:left="720" w:hanging="720"/>
        <w:jc w:val="right"/>
        <w:rPr>
          <w:rFonts w:ascii="Times New Roman" w:hAnsi="Times New Roman"/>
        </w:rPr>
      </w:pPr>
    </w:p>
    <w:p w:rsidR="00D25586" w:rsidP="00082C3B" w14:paraId="71371025" w14:textId="77777777">
      <w:pPr>
        <w:widowControl/>
        <w:tabs>
          <w:tab w:val="left" w:pos="360"/>
        </w:tabs>
        <w:ind w:left="720" w:hanging="720"/>
        <w:jc w:val="right"/>
        <w:rPr>
          <w:rFonts w:ascii="Times New Roman" w:hAnsi="Times New Roman"/>
        </w:rPr>
      </w:pPr>
    </w:p>
    <w:p w:rsidR="00B46E04" w:rsidP="00082C3B" w14:paraId="68733CEC" w14:textId="77777777">
      <w:pPr>
        <w:widowControl/>
        <w:numPr>
          <w:ilvl w:val="0"/>
          <w:numId w:val="6"/>
        </w:numPr>
        <w:tabs>
          <w:tab w:val="left" w:pos="360"/>
        </w:tabs>
        <w:rPr>
          <w:rFonts w:ascii="Times New Roman" w:hAnsi="Times New Roman"/>
        </w:rPr>
      </w:pPr>
      <w:r w:rsidRPr="00DD48A8">
        <w:rPr>
          <w:rFonts w:ascii="Times New Roman" w:hAnsi="Times New Roman"/>
          <w:u w:val="single"/>
        </w:rPr>
        <w:t>Consideration of the use of improved information technology:</w:t>
      </w:r>
    </w:p>
    <w:p w:rsidR="00B46E04" w:rsidP="00082C3B" w14:paraId="27F50FB7" w14:textId="77777777">
      <w:pPr>
        <w:widowControl/>
        <w:tabs>
          <w:tab w:val="left" w:pos="360"/>
        </w:tabs>
        <w:ind w:left="720" w:hanging="720"/>
        <w:rPr>
          <w:rFonts w:ascii="Times New Roman" w:hAnsi="Times New Roman"/>
        </w:rPr>
      </w:pPr>
    </w:p>
    <w:p w:rsidR="00B46E04" w:rsidP="00082C3B" w14:paraId="7F689B1F" w14:textId="77777777">
      <w:pPr>
        <w:widowControl/>
        <w:tabs>
          <w:tab w:val="left" w:pos="360"/>
        </w:tabs>
        <w:ind w:left="720" w:hanging="720"/>
        <w:rPr>
          <w:rFonts w:ascii="Times New Roman" w:hAnsi="Times New Roman"/>
        </w:rPr>
      </w:pPr>
      <w:r>
        <w:rPr>
          <w:rFonts w:ascii="Times New Roman" w:hAnsi="Times New Roman"/>
        </w:rPr>
        <w:tab/>
      </w:r>
      <w:r>
        <w:rPr>
          <w:rFonts w:ascii="Times New Roman" w:hAnsi="Times New Roman"/>
        </w:rPr>
        <w:tab/>
      </w:r>
      <w:r w:rsidR="00884418">
        <w:rPr>
          <w:rFonts w:ascii="Times New Roman" w:hAnsi="Times New Roman"/>
        </w:rPr>
        <w:t>Because the FDIC on its own initiative review</w:t>
      </w:r>
      <w:r w:rsidR="00A04269">
        <w:rPr>
          <w:rFonts w:ascii="Times New Roman" w:hAnsi="Times New Roman"/>
        </w:rPr>
        <w:t>s</w:t>
      </w:r>
      <w:r w:rsidR="00884418">
        <w:rPr>
          <w:rFonts w:ascii="Times New Roman" w:hAnsi="Times New Roman"/>
        </w:rPr>
        <w:t xml:space="preserve"> the condition of all </w:t>
      </w:r>
      <w:r w:rsidR="00665925">
        <w:rPr>
          <w:rFonts w:ascii="Times New Roman" w:hAnsi="Times New Roman"/>
        </w:rPr>
        <w:t>large and highly complex insured institutions as part of the adjustment process, adjustment request</w:t>
      </w:r>
      <w:r w:rsidR="00884418">
        <w:rPr>
          <w:rFonts w:ascii="Times New Roman" w:hAnsi="Times New Roman"/>
        </w:rPr>
        <w:t>s w</w:t>
      </w:r>
      <w:r w:rsidR="00BB648F">
        <w:rPr>
          <w:rFonts w:ascii="Times New Roman" w:hAnsi="Times New Roman"/>
        </w:rPr>
        <w:t>ill</w:t>
      </w:r>
      <w:r w:rsidR="00884418">
        <w:rPr>
          <w:rFonts w:ascii="Times New Roman" w:hAnsi="Times New Roman"/>
        </w:rPr>
        <w:t xml:space="preserve"> likely involve supplemental information that the FDIC w</w:t>
      </w:r>
      <w:r w:rsidR="00BB648F">
        <w:rPr>
          <w:rFonts w:ascii="Times New Roman" w:hAnsi="Times New Roman"/>
        </w:rPr>
        <w:t>ill</w:t>
      </w:r>
      <w:r w:rsidR="00884418">
        <w:rPr>
          <w:rFonts w:ascii="Times New Roman" w:hAnsi="Times New Roman"/>
        </w:rPr>
        <w:t xml:space="preserve"> b</w:t>
      </w:r>
      <w:r w:rsidR="00665925">
        <w:rPr>
          <w:rFonts w:ascii="Times New Roman" w:hAnsi="Times New Roman"/>
        </w:rPr>
        <w:t>e receiving.  The FDIC may, in the normal course of business, receive supervisory material from large and highly complex institutions as part of the assessment process.  N</w:t>
      </w:r>
      <w:r>
        <w:rPr>
          <w:rFonts w:ascii="Times New Roman" w:hAnsi="Times New Roman"/>
        </w:rPr>
        <w:t>o special efforts have been undertaken by the FDIC to use improved information technology to reduce the burden associated with preparing and filing the</w:t>
      </w:r>
      <w:r w:rsidR="00665925">
        <w:rPr>
          <w:rFonts w:ascii="Times New Roman" w:hAnsi="Times New Roman"/>
        </w:rPr>
        <w:t xml:space="preserve"> request for adjustment.</w:t>
      </w:r>
      <w:r>
        <w:rPr>
          <w:rFonts w:ascii="Times New Roman" w:hAnsi="Times New Roman"/>
        </w:rPr>
        <w:t xml:space="preserve">  </w:t>
      </w:r>
    </w:p>
    <w:p w:rsidR="00B46E04" w:rsidP="00082C3B" w14:paraId="6B13E494" w14:textId="77777777">
      <w:pPr>
        <w:widowControl/>
        <w:tabs>
          <w:tab w:val="left" w:pos="360"/>
        </w:tabs>
        <w:ind w:left="720" w:hanging="720"/>
        <w:rPr>
          <w:rFonts w:ascii="Times New Roman" w:hAnsi="Times New Roman"/>
        </w:rPr>
      </w:pPr>
    </w:p>
    <w:p w:rsidR="00B46E04" w:rsidP="00082C3B" w14:paraId="7534E664" w14:textId="77777777">
      <w:pPr>
        <w:widowControl/>
        <w:numPr>
          <w:ilvl w:val="0"/>
          <w:numId w:val="6"/>
        </w:numPr>
        <w:tabs>
          <w:tab w:val="left" w:pos="360"/>
        </w:tabs>
        <w:rPr>
          <w:rFonts w:ascii="Times New Roman" w:hAnsi="Times New Roman"/>
        </w:rPr>
      </w:pPr>
      <w:r>
        <w:rPr>
          <w:rFonts w:ascii="Times New Roman" w:hAnsi="Times New Roman"/>
          <w:u w:val="single"/>
        </w:rPr>
        <w:t>Efforts to identify d</w:t>
      </w:r>
      <w:r>
        <w:rPr>
          <w:rFonts w:ascii="Times New Roman" w:hAnsi="Times New Roman"/>
          <w:u w:val="single"/>
        </w:rPr>
        <w:t>uplication</w:t>
      </w:r>
      <w:r>
        <w:rPr>
          <w:rFonts w:ascii="Times New Roman" w:hAnsi="Times New Roman"/>
          <w:u w:val="single"/>
        </w:rPr>
        <w:t>:</w:t>
      </w:r>
    </w:p>
    <w:p w:rsidR="00B46E04" w:rsidP="00082C3B" w14:paraId="09778870" w14:textId="77777777">
      <w:pPr>
        <w:widowControl/>
        <w:tabs>
          <w:tab w:val="left" w:pos="360"/>
        </w:tabs>
        <w:ind w:left="720" w:hanging="720"/>
        <w:rPr>
          <w:rFonts w:ascii="Times New Roman" w:hAnsi="Times New Roman"/>
        </w:rPr>
      </w:pPr>
    </w:p>
    <w:p w:rsidR="00B46E04" w:rsidP="00082C3B" w14:paraId="49B9D8C6" w14:textId="77777777">
      <w:pPr>
        <w:widowControl/>
        <w:tabs>
          <w:tab w:val="left" w:pos="360"/>
        </w:tabs>
        <w:ind w:left="720" w:hanging="720"/>
        <w:rPr>
          <w:rFonts w:ascii="Times New Roman" w:hAnsi="Times New Roman"/>
        </w:rPr>
      </w:pPr>
      <w:r>
        <w:rPr>
          <w:rFonts w:ascii="Times New Roman" w:hAnsi="Times New Roman"/>
        </w:rPr>
        <w:tab/>
      </w:r>
      <w:r>
        <w:rPr>
          <w:rFonts w:ascii="Times New Roman" w:hAnsi="Times New Roman"/>
        </w:rPr>
        <w:tab/>
        <w:t>Because the FDIC on its own initiative wi</w:t>
      </w:r>
      <w:r w:rsidR="00665925">
        <w:rPr>
          <w:rFonts w:ascii="Times New Roman" w:hAnsi="Times New Roman"/>
        </w:rPr>
        <w:t xml:space="preserve">ll review the condition of all large and highly complex </w:t>
      </w:r>
      <w:r>
        <w:rPr>
          <w:rFonts w:ascii="Times New Roman" w:hAnsi="Times New Roman"/>
        </w:rPr>
        <w:t xml:space="preserve">institutions and </w:t>
      </w:r>
      <w:r w:rsidR="00665925">
        <w:rPr>
          <w:rFonts w:ascii="Times New Roman" w:hAnsi="Times New Roman"/>
        </w:rPr>
        <w:t>initiate adjustments where warranted, adjustment requests</w:t>
      </w:r>
      <w:r>
        <w:rPr>
          <w:rFonts w:ascii="Times New Roman" w:hAnsi="Times New Roman"/>
        </w:rPr>
        <w:t xml:space="preserve"> inv</w:t>
      </w:r>
      <w:r w:rsidR="001A4AC8">
        <w:rPr>
          <w:rFonts w:ascii="Times New Roman" w:hAnsi="Times New Roman"/>
        </w:rPr>
        <w:t>o</w:t>
      </w:r>
      <w:r>
        <w:rPr>
          <w:rFonts w:ascii="Times New Roman" w:hAnsi="Times New Roman"/>
        </w:rPr>
        <w:t xml:space="preserve">lve supplemental information that the FDIC would be receiving for the first time. </w:t>
      </w:r>
    </w:p>
    <w:p w:rsidR="002F4189" w:rsidP="00082C3B" w14:paraId="79BE0496" w14:textId="77777777">
      <w:pPr>
        <w:widowControl/>
        <w:tabs>
          <w:tab w:val="left" w:pos="360"/>
        </w:tabs>
        <w:ind w:left="720" w:hanging="720"/>
        <w:rPr>
          <w:rFonts w:ascii="Times New Roman" w:hAnsi="Times New Roman"/>
        </w:rPr>
      </w:pPr>
    </w:p>
    <w:p w:rsidR="00B46E04" w:rsidP="00082C3B" w14:paraId="09C2D479" w14:textId="77777777">
      <w:pPr>
        <w:widowControl/>
        <w:numPr>
          <w:ilvl w:val="0"/>
          <w:numId w:val="6"/>
        </w:numPr>
        <w:tabs>
          <w:tab w:val="left" w:pos="360"/>
        </w:tabs>
        <w:rPr>
          <w:rFonts w:ascii="Times New Roman" w:hAnsi="Times New Roman"/>
        </w:rPr>
      </w:pPr>
      <w:r w:rsidRPr="00DD48A8">
        <w:rPr>
          <w:rFonts w:ascii="Times New Roman" w:hAnsi="Times New Roman"/>
          <w:u w:val="single"/>
        </w:rPr>
        <w:t>Methods used to minimize burden if the collection has a significant impact on a substantial number of small entities:</w:t>
      </w:r>
    </w:p>
    <w:p w:rsidR="00B46E04" w:rsidP="00082C3B" w14:paraId="125DE1AE" w14:textId="77777777">
      <w:pPr>
        <w:widowControl/>
        <w:tabs>
          <w:tab w:val="left" w:pos="360"/>
        </w:tabs>
        <w:ind w:left="720" w:hanging="720"/>
        <w:rPr>
          <w:rFonts w:ascii="Times New Roman" w:hAnsi="Times New Roman"/>
        </w:rPr>
      </w:pPr>
    </w:p>
    <w:p w:rsidR="004B2F96" w:rsidP="00082C3B" w14:paraId="36A77AC5" w14:textId="77777777">
      <w:pPr>
        <w:widowControl/>
        <w:tabs>
          <w:tab w:val="left" w:pos="360"/>
        </w:tabs>
        <w:ind w:left="720" w:hanging="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Because only large and highly complex institutions (i.e., those with over $</w:t>
      </w:r>
      <w:r w:rsidR="00214488">
        <w:rPr>
          <w:rFonts w:ascii="Times New Roman" w:hAnsi="Times New Roman"/>
        </w:rPr>
        <w:t>10</w:t>
      </w:r>
      <w:r>
        <w:rPr>
          <w:rFonts w:ascii="Times New Roman" w:hAnsi="Times New Roman"/>
        </w:rPr>
        <w:t xml:space="preserve"> billion</w:t>
      </w:r>
      <w:r w:rsidR="00214488">
        <w:rPr>
          <w:rFonts w:ascii="Times New Roman" w:hAnsi="Times New Roman"/>
        </w:rPr>
        <w:t xml:space="preserve"> </w:t>
      </w:r>
      <w:r>
        <w:rPr>
          <w:rFonts w:ascii="Times New Roman" w:hAnsi="Times New Roman"/>
        </w:rPr>
        <w:t xml:space="preserve">in total assets) are subject to the assessment adjustment process, no burden will be imposed on small banks. </w:t>
      </w:r>
    </w:p>
    <w:p w:rsidR="004B2F96" w:rsidP="00082C3B" w14:paraId="521DB800" w14:textId="77777777">
      <w:pPr>
        <w:widowControl/>
        <w:tabs>
          <w:tab w:val="left" w:pos="360"/>
        </w:tabs>
        <w:ind w:left="720" w:hanging="720"/>
        <w:rPr>
          <w:rFonts w:ascii="Times New Roman" w:hAnsi="Times New Roman"/>
        </w:rPr>
      </w:pPr>
    </w:p>
    <w:p w:rsidR="00B46E04" w:rsidP="00082C3B" w14:paraId="5928A912" w14:textId="77777777">
      <w:pPr>
        <w:widowControl/>
        <w:numPr>
          <w:ilvl w:val="0"/>
          <w:numId w:val="6"/>
        </w:numPr>
        <w:tabs>
          <w:tab w:val="left" w:pos="360"/>
        </w:tabs>
        <w:rPr>
          <w:rFonts w:ascii="Times New Roman" w:hAnsi="Times New Roman"/>
        </w:rPr>
      </w:pPr>
      <w:r w:rsidRPr="003749DB">
        <w:rPr>
          <w:rFonts w:ascii="Times New Roman" w:hAnsi="Times New Roman"/>
          <w:u w:val="single"/>
        </w:rPr>
        <w:t>Consequences to the Federal program if the collection were conducted less frequently:</w:t>
      </w:r>
    </w:p>
    <w:p w:rsidR="00B46E04" w:rsidP="00082C3B" w14:paraId="07EB05EA" w14:textId="77777777">
      <w:pPr>
        <w:widowControl/>
        <w:tabs>
          <w:tab w:val="left" w:pos="360"/>
        </w:tabs>
        <w:ind w:left="720" w:hanging="720"/>
        <w:rPr>
          <w:rFonts w:ascii="Times New Roman" w:hAnsi="Times New Roman"/>
        </w:rPr>
      </w:pPr>
    </w:p>
    <w:p w:rsidR="00835B55" w:rsidP="00082C3B" w14:paraId="5E4E8479" w14:textId="77777777">
      <w:pPr>
        <w:widowControl/>
        <w:tabs>
          <w:tab w:val="left" w:pos="360"/>
        </w:tabs>
        <w:ind w:left="720" w:hanging="720"/>
        <w:rPr>
          <w:rFonts w:ascii="Times New Roman" w:hAnsi="Times New Roman"/>
        </w:rPr>
      </w:pPr>
      <w:r>
        <w:tab/>
      </w:r>
      <w:r>
        <w:tab/>
      </w:r>
      <w:r w:rsidRPr="004B2F96" w:rsidR="004B2F96">
        <w:rPr>
          <w:rFonts w:ascii="Times New Roman" w:hAnsi="Times New Roman"/>
        </w:rPr>
        <w:t xml:space="preserve">Large and highly complex institutions may request an adjustment to their total score when they believe such an adjustment is merited.  Because the FDIC will on its own initiative review every large and highly complex institution for potential adjustments every quarter, </w:t>
      </w:r>
      <w:r w:rsidR="004B2F96">
        <w:rPr>
          <w:rFonts w:ascii="Times New Roman" w:hAnsi="Times New Roman"/>
        </w:rPr>
        <w:t>i</w:t>
      </w:r>
      <w:r w:rsidRPr="004B2F96" w:rsidR="004B2F96">
        <w:rPr>
          <w:rFonts w:ascii="Times New Roman" w:hAnsi="Times New Roman"/>
        </w:rPr>
        <w:t xml:space="preserve">t is anticipated that the number of requests will be limited.  </w:t>
      </w:r>
      <w:r w:rsidR="004B2F96">
        <w:rPr>
          <w:rFonts w:ascii="Times New Roman" w:hAnsi="Times New Roman"/>
        </w:rPr>
        <w:t>Institutions may make such requests at their own discretion.</w:t>
      </w:r>
    </w:p>
    <w:p w:rsidR="00F20F2D" w:rsidRPr="004B2F96" w:rsidP="00082C3B" w14:paraId="053D0514" w14:textId="77777777">
      <w:pPr>
        <w:widowControl/>
        <w:tabs>
          <w:tab w:val="left" w:pos="360"/>
        </w:tabs>
        <w:ind w:left="720" w:hanging="720"/>
        <w:rPr>
          <w:rFonts w:ascii="Times New Roman" w:hAnsi="Times New Roman"/>
        </w:rPr>
      </w:pPr>
    </w:p>
    <w:p w:rsidR="00B46E04" w:rsidP="00082C3B" w14:paraId="10F8920E" w14:textId="77777777">
      <w:pPr>
        <w:pStyle w:val="Heading1"/>
        <w:numPr>
          <w:ilvl w:val="0"/>
          <w:numId w:val="6"/>
        </w:numPr>
      </w:pPr>
      <w:r w:rsidRPr="003749DB">
        <w:t>Special circumstances necessitating collection inconsistent with 5 CFR Part 1320.5(d)(2):</w:t>
      </w:r>
    </w:p>
    <w:p w:rsidR="00B46E04" w:rsidP="00082C3B" w14:paraId="2B07E8FF" w14:textId="77777777">
      <w:pPr>
        <w:widowControl/>
        <w:tabs>
          <w:tab w:val="left" w:pos="360"/>
        </w:tabs>
        <w:ind w:left="720" w:hanging="720"/>
        <w:rPr>
          <w:rFonts w:ascii="Times New Roman" w:hAnsi="Times New Roman"/>
        </w:rPr>
      </w:pPr>
    </w:p>
    <w:p w:rsidR="00B46E04" w:rsidP="00082C3B" w14:paraId="6982442B" w14:textId="77777777">
      <w:pPr>
        <w:widowControl/>
        <w:tabs>
          <w:tab w:val="left" w:pos="360"/>
        </w:tabs>
        <w:ind w:left="720" w:hanging="720"/>
        <w:rPr>
          <w:rFonts w:ascii="Times New Roman" w:hAnsi="Times New Roman"/>
        </w:rPr>
      </w:pPr>
      <w:r>
        <w:rPr>
          <w:rFonts w:ascii="Times New Roman" w:hAnsi="Times New Roman"/>
        </w:rPr>
        <w:tab/>
      </w:r>
      <w:r>
        <w:rPr>
          <w:rFonts w:ascii="Times New Roman" w:hAnsi="Times New Roman"/>
        </w:rPr>
        <w:tab/>
      </w:r>
      <w:r w:rsidRPr="003749DB" w:rsidR="003749DB">
        <w:rPr>
          <w:rFonts w:ascii="Times New Roman" w:hAnsi="Times New Roman"/>
        </w:rPr>
        <w:t>None.  The</w:t>
      </w:r>
      <w:r w:rsidRPr="003749DB" w:rsidR="003749DB">
        <w:rPr>
          <w:rFonts w:ascii="Times New Roman" w:hAnsi="Times New Roman"/>
          <w:bCs/>
          <w:iCs/>
        </w:rPr>
        <w:t xml:space="preserve"> information is collected in a manner consistent with 5 CFR Part 1320.5(d)(2).</w:t>
      </w:r>
    </w:p>
    <w:p w:rsidR="00B46E04" w:rsidP="00082C3B" w14:paraId="457E150A" w14:textId="77777777">
      <w:pPr>
        <w:widowControl/>
        <w:tabs>
          <w:tab w:val="left" w:pos="360"/>
        </w:tabs>
        <w:ind w:left="720" w:hanging="720"/>
        <w:rPr>
          <w:rFonts w:ascii="Times New Roman" w:hAnsi="Times New Roman"/>
        </w:rPr>
      </w:pPr>
    </w:p>
    <w:p w:rsidR="00B46E04" w:rsidP="00082C3B" w14:paraId="10F9FE4C" w14:textId="77777777">
      <w:pPr>
        <w:widowControl/>
        <w:numPr>
          <w:ilvl w:val="0"/>
          <w:numId w:val="6"/>
        </w:numPr>
        <w:tabs>
          <w:tab w:val="left" w:pos="360"/>
        </w:tabs>
        <w:rPr>
          <w:rFonts w:ascii="Times New Roman" w:hAnsi="Times New Roman"/>
        </w:rPr>
      </w:pPr>
      <w:r w:rsidRPr="003749DB">
        <w:rPr>
          <w:rFonts w:ascii="Times New Roman" w:hAnsi="Times New Roman"/>
          <w:u w:val="single"/>
        </w:rPr>
        <w:t>Efforts to consult with persons outside the agency:</w:t>
      </w:r>
    </w:p>
    <w:p w:rsidR="00B46E04" w:rsidP="00082C3B" w14:paraId="619D5F08" w14:textId="77777777">
      <w:pPr>
        <w:widowControl/>
        <w:tabs>
          <w:tab w:val="left" w:pos="360"/>
        </w:tabs>
        <w:ind w:left="720" w:hanging="720"/>
        <w:rPr>
          <w:rFonts w:ascii="Times New Roman" w:hAnsi="Times New Roman"/>
        </w:rPr>
      </w:pPr>
    </w:p>
    <w:p w:rsidR="00214488" w:rsidRPr="00CB7D84" w:rsidP="00214488" w14:paraId="6D53A34D" w14:textId="2A808519">
      <w:pPr>
        <w:pStyle w:val="BodyTextIndent"/>
      </w:pPr>
      <w:r w:rsidRPr="003749DB">
        <w:t xml:space="preserve">A 60-day notice seeking public comment on the FDIC’s renewal of the information collection was published on </w:t>
      </w:r>
      <w:r w:rsidR="0051519D">
        <w:t>September 9, 2024</w:t>
      </w:r>
      <w:r w:rsidRPr="003749DB">
        <w:t xml:space="preserve"> (8</w:t>
      </w:r>
      <w:r w:rsidR="0051519D">
        <w:t>9</w:t>
      </w:r>
      <w:r w:rsidRPr="003749DB">
        <w:t xml:space="preserve"> FR </w:t>
      </w:r>
      <w:r w:rsidR="0051519D">
        <w:t>73090</w:t>
      </w:r>
      <w:r w:rsidRPr="003749DB">
        <w:t xml:space="preserve">).  No comments </w:t>
      </w:r>
      <w:r w:rsidR="0051519D">
        <w:t>have been</w:t>
      </w:r>
      <w:r w:rsidRPr="003749DB">
        <w:t xml:space="preserve"> received.</w:t>
      </w:r>
    </w:p>
    <w:p w:rsidR="00B46E04" w:rsidP="00082C3B" w14:paraId="3CACA24E" w14:textId="77777777">
      <w:pPr>
        <w:widowControl/>
        <w:tabs>
          <w:tab w:val="left" w:pos="360"/>
        </w:tabs>
        <w:ind w:left="720" w:hanging="720"/>
        <w:rPr>
          <w:rFonts w:ascii="Times New Roman" w:hAnsi="Times New Roman"/>
        </w:rPr>
      </w:pPr>
    </w:p>
    <w:p w:rsidR="00B46E04" w:rsidP="00082C3B" w14:paraId="45DB6260" w14:textId="77777777">
      <w:pPr>
        <w:widowControl/>
        <w:numPr>
          <w:ilvl w:val="0"/>
          <w:numId w:val="6"/>
        </w:numPr>
        <w:tabs>
          <w:tab w:val="left" w:pos="360"/>
        </w:tabs>
        <w:rPr>
          <w:rFonts w:ascii="Times New Roman" w:hAnsi="Times New Roman"/>
        </w:rPr>
      </w:pPr>
      <w:r>
        <w:rPr>
          <w:rFonts w:ascii="Times New Roman" w:hAnsi="Times New Roman"/>
          <w:u w:val="single"/>
        </w:rPr>
        <w:t>Payment of gift to r</w:t>
      </w:r>
      <w:r>
        <w:rPr>
          <w:rFonts w:ascii="Times New Roman" w:hAnsi="Times New Roman"/>
          <w:u w:val="single"/>
        </w:rPr>
        <w:t>espondents</w:t>
      </w:r>
      <w:r>
        <w:rPr>
          <w:rFonts w:ascii="Times New Roman" w:hAnsi="Times New Roman"/>
          <w:u w:val="single"/>
        </w:rPr>
        <w:t>:</w:t>
      </w:r>
    </w:p>
    <w:p w:rsidR="00B46E04" w:rsidP="00082C3B" w14:paraId="0C59E720" w14:textId="77777777">
      <w:pPr>
        <w:widowControl/>
        <w:tabs>
          <w:tab w:val="left" w:pos="360"/>
        </w:tabs>
        <w:ind w:left="720" w:hanging="720"/>
        <w:rPr>
          <w:rFonts w:ascii="Times New Roman" w:hAnsi="Times New Roman"/>
        </w:rPr>
      </w:pPr>
    </w:p>
    <w:p w:rsidR="00B46E04" w:rsidP="00082C3B" w14:paraId="70047FD4" w14:textId="77777777">
      <w:pPr>
        <w:widowControl/>
        <w:tabs>
          <w:tab w:val="left" w:pos="360"/>
        </w:tabs>
        <w:ind w:left="720" w:hanging="720"/>
        <w:rPr>
          <w:rFonts w:ascii="Times New Roman" w:hAnsi="Times New Roman"/>
        </w:rPr>
      </w:pPr>
      <w:r>
        <w:rPr>
          <w:rFonts w:ascii="Times New Roman" w:hAnsi="Times New Roman"/>
        </w:rPr>
        <w:tab/>
      </w:r>
      <w:r>
        <w:rPr>
          <w:rFonts w:ascii="Times New Roman" w:hAnsi="Times New Roman"/>
        </w:rPr>
        <w:tab/>
      </w:r>
      <w:r w:rsidR="006E243A">
        <w:rPr>
          <w:rFonts w:ascii="Times New Roman" w:hAnsi="Times New Roman"/>
        </w:rPr>
        <w:t>None</w:t>
      </w:r>
      <w:r>
        <w:rPr>
          <w:rFonts w:ascii="Times New Roman" w:hAnsi="Times New Roman"/>
        </w:rPr>
        <w:t>.</w:t>
      </w:r>
    </w:p>
    <w:p w:rsidR="006E243A" w:rsidP="00082C3B" w14:paraId="77A8D39C" w14:textId="77777777">
      <w:pPr>
        <w:widowControl/>
        <w:tabs>
          <w:tab w:val="left" w:pos="360"/>
        </w:tabs>
        <w:ind w:left="720" w:hanging="720"/>
        <w:rPr>
          <w:rFonts w:ascii="Times New Roman" w:hAnsi="Times New Roman"/>
        </w:rPr>
      </w:pPr>
    </w:p>
    <w:p w:rsidR="00C8619C" w:rsidP="00082C3B" w14:paraId="22CB0195" w14:textId="77777777">
      <w:pPr>
        <w:widowControl/>
        <w:tabs>
          <w:tab w:val="left" w:pos="360"/>
        </w:tabs>
        <w:ind w:left="720" w:hanging="720"/>
        <w:rPr>
          <w:rFonts w:ascii="Times New Roman" w:hAnsi="Times New Roman"/>
        </w:rPr>
      </w:pPr>
    </w:p>
    <w:p w:rsidR="00C8619C" w:rsidP="00082C3B" w14:paraId="610878FC" w14:textId="77777777">
      <w:pPr>
        <w:widowControl/>
        <w:tabs>
          <w:tab w:val="left" w:pos="360"/>
        </w:tabs>
        <w:ind w:left="720" w:hanging="720"/>
        <w:rPr>
          <w:rFonts w:ascii="Times New Roman" w:hAnsi="Times New Roman"/>
        </w:rPr>
      </w:pPr>
    </w:p>
    <w:p w:rsidR="00B46E04" w:rsidP="00082C3B" w14:paraId="1D163CCE" w14:textId="77777777">
      <w:pPr>
        <w:widowControl/>
        <w:numPr>
          <w:ilvl w:val="0"/>
          <w:numId w:val="6"/>
        </w:numPr>
        <w:tabs>
          <w:tab w:val="left" w:pos="360"/>
        </w:tabs>
        <w:rPr>
          <w:rFonts w:ascii="Times New Roman" w:hAnsi="Times New Roman"/>
        </w:rPr>
      </w:pPr>
      <w:r w:rsidRPr="003749DB">
        <w:rPr>
          <w:rFonts w:ascii="Times New Roman" w:hAnsi="Times New Roman"/>
          <w:u w:val="single"/>
        </w:rPr>
        <w:t>Any assurance of confidentiality:</w:t>
      </w:r>
    </w:p>
    <w:p w:rsidR="00B46E04" w:rsidP="00082C3B" w14:paraId="79277BD5" w14:textId="77777777">
      <w:pPr>
        <w:widowControl/>
        <w:tabs>
          <w:tab w:val="left" w:pos="360"/>
        </w:tabs>
        <w:ind w:left="720" w:hanging="720"/>
        <w:rPr>
          <w:rFonts w:ascii="Times New Roman" w:hAnsi="Times New Roman"/>
        </w:rPr>
      </w:pPr>
    </w:p>
    <w:p w:rsidR="006E243A" w:rsidP="006E243A" w14:paraId="7AC681C7" w14:textId="77777777">
      <w:pPr>
        <w:ind w:left="720"/>
        <w:rPr>
          <w:rFonts w:ascii="Times New Roman" w:hAnsi="Times New Roman"/>
        </w:rPr>
      </w:pPr>
      <w:r>
        <w:rPr>
          <w:rFonts w:ascii="Times New Roman" w:hAnsi="Times New Roman"/>
        </w:rPr>
        <w:t xml:space="preserve">The </w:t>
      </w:r>
      <w:r w:rsidR="004B2F96">
        <w:rPr>
          <w:rFonts w:ascii="Times New Roman" w:hAnsi="Times New Roman"/>
        </w:rPr>
        <w:t>adjustment request</w:t>
      </w:r>
      <w:r>
        <w:rPr>
          <w:rFonts w:ascii="Times New Roman" w:hAnsi="Times New Roman"/>
        </w:rPr>
        <w:t xml:space="preserve"> would relate to the supervisory condition of an institution and would likely contain confidential supervisory information</w:t>
      </w:r>
      <w:r w:rsidR="00683F37">
        <w:rPr>
          <w:rFonts w:ascii="Times New Roman" w:hAnsi="Times New Roman"/>
        </w:rPr>
        <w:t xml:space="preserve"> that will be kept private to the extent allowed by law</w:t>
      </w:r>
      <w:r>
        <w:rPr>
          <w:rFonts w:ascii="Times New Roman" w:hAnsi="Times New Roman"/>
        </w:rPr>
        <w:t>.</w:t>
      </w:r>
      <w:r>
        <w:rPr>
          <w:rFonts w:ascii="Times New Roman" w:hAnsi="Times New Roman"/>
        </w:rPr>
        <w:t xml:space="preserve">  </w:t>
      </w:r>
      <w:r w:rsidRPr="00CB7D84">
        <w:rPr>
          <w:rFonts w:ascii="Times New Roman" w:hAnsi="Times New Roman"/>
        </w:rPr>
        <w:t>Any information deemed to be of a confidential nature would be exempt from public disclosure in accordance with the provisions of the Freedom of Information Act (5 U.S.C. 552).</w:t>
      </w:r>
    </w:p>
    <w:p w:rsidR="00835B55" w:rsidP="00082C3B" w14:paraId="2C6DA29C" w14:textId="77777777">
      <w:pPr>
        <w:widowControl/>
        <w:tabs>
          <w:tab w:val="left" w:pos="360"/>
        </w:tabs>
        <w:ind w:left="720" w:hanging="720"/>
        <w:rPr>
          <w:rFonts w:ascii="Times New Roman" w:hAnsi="Times New Roman"/>
        </w:rPr>
      </w:pPr>
    </w:p>
    <w:p w:rsidR="00B46E04" w:rsidP="00082C3B" w14:paraId="05040322" w14:textId="77777777">
      <w:pPr>
        <w:widowControl/>
        <w:numPr>
          <w:ilvl w:val="0"/>
          <w:numId w:val="6"/>
        </w:numPr>
        <w:tabs>
          <w:tab w:val="left" w:pos="360"/>
        </w:tabs>
        <w:rPr>
          <w:rFonts w:ascii="Times New Roman" w:hAnsi="Times New Roman"/>
        </w:rPr>
      </w:pPr>
      <w:r w:rsidRPr="003749DB">
        <w:rPr>
          <w:rFonts w:ascii="Times New Roman" w:hAnsi="Times New Roman"/>
          <w:u w:val="single"/>
        </w:rPr>
        <w:t>Justification for questions of a sensitive nature:</w:t>
      </w:r>
    </w:p>
    <w:p w:rsidR="00B46E04" w:rsidP="00082C3B" w14:paraId="05F8D545" w14:textId="77777777">
      <w:pPr>
        <w:widowControl/>
        <w:tabs>
          <w:tab w:val="left" w:pos="360"/>
        </w:tabs>
        <w:ind w:left="720" w:hanging="720"/>
        <w:rPr>
          <w:rFonts w:ascii="Times New Roman" w:hAnsi="Times New Roman"/>
        </w:rPr>
      </w:pPr>
    </w:p>
    <w:p w:rsidR="00B46E04" w:rsidP="00082C3B" w14:paraId="361A6819" w14:textId="77777777">
      <w:pPr>
        <w:widowControl/>
        <w:tabs>
          <w:tab w:val="left" w:pos="360"/>
        </w:tabs>
        <w:ind w:left="720" w:hanging="720"/>
        <w:rPr>
          <w:rFonts w:ascii="Times New Roman" w:hAnsi="Times New Roman"/>
        </w:rPr>
      </w:pPr>
      <w:r>
        <w:rPr>
          <w:rFonts w:ascii="Times New Roman" w:hAnsi="Times New Roman"/>
        </w:rPr>
        <w:tab/>
      </w:r>
      <w:r>
        <w:rPr>
          <w:rFonts w:ascii="Times New Roman" w:hAnsi="Times New Roman"/>
        </w:rPr>
        <w:tab/>
      </w:r>
      <w:r w:rsidRPr="003749DB" w:rsidR="003749DB">
        <w:rPr>
          <w:rFonts w:ascii="Times New Roman" w:hAnsi="Times New Roman"/>
          <w:spacing w:val="-3"/>
        </w:rPr>
        <w:t>No questions of a sensitive nature are included in the collections.</w:t>
      </w:r>
    </w:p>
    <w:p w:rsidR="00B46E04" w:rsidP="00082C3B" w14:paraId="2E184B1E" w14:textId="77777777">
      <w:pPr>
        <w:widowControl/>
        <w:tabs>
          <w:tab w:val="left" w:pos="360"/>
        </w:tabs>
        <w:ind w:left="720" w:hanging="720"/>
        <w:rPr>
          <w:rFonts w:ascii="Times New Roman" w:hAnsi="Times New Roman"/>
        </w:rPr>
      </w:pPr>
    </w:p>
    <w:p w:rsidR="00B46E04" w:rsidRPr="00C8619C" w:rsidP="00082C3B" w14:paraId="7506950A" w14:textId="77777777">
      <w:pPr>
        <w:widowControl/>
        <w:numPr>
          <w:ilvl w:val="0"/>
          <w:numId w:val="6"/>
        </w:numPr>
        <w:tabs>
          <w:tab w:val="left" w:pos="360"/>
        </w:tabs>
        <w:rPr>
          <w:rFonts w:ascii="Times New Roman" w:hAnsi="Times New Roman"/>
        </w:rPr>
      </w:pPr>
      <w:r w:rsidRPr="00C8619C">
        <w:rPr>
          <w:rFonts w:ascii="Times New Roman" w:hAnsi="Times New Roman"/>
          <w:u w:val="single"/>
        </w:rPr>
        <w:t>Estimate of Annual Burden</w:t>
      </w:r>
    </w:p>
    <w:p w:rsidR="00B46E04" w:rsidRPr="003749DB" w:rsidP="00082C3B" w14:paraId="189083FE" w14:textId="77777777">
      <w:pPr>
        <w:widowControl/>
        <w:tabs>
          <w:tab w:val="left" w:pos="-240"/>
          <w:tab w:val="left" w:pos="360"/>
          <w:tab w:val="left" w:pos="480"/>
          <w:tab w:val="left" w:pos="1080"/>
          <w:tab w:val="left" w:pos="1680"/>
          <w:tab w:val="left" w:pos="2280"/>
          <w:tab w:val="left" w:pos="2880"/>
        </w:tabs>
        <w:ind w:hanging="720"/>
        <w:rPr>
          <w:rFonts w:ascii="Times New Roman" w:hAnsi="Times New Roman"/>
          <w:highlight w:val="yellow"/>
        </w:rPr>
      </w:pPr>
    </w:p>
    <w:tbl>
      <w:tblPr>
        <w:tblW w:w="9340" w:type="dxa"/>
        <w:tblLook w:val="04A0"/>
      </w:tblPr>
      <w:tblGrid>
        <w:gridCol w:w="2420"/>
        <w:gridCol w:w="1344"/>
        <w:gridCol w:w="1097"/>
        <w:gridCol w:w="1313"/>
        <w:gridCol w:w="1229"/>
        <w:gridCol w:w="1025"/>
        <w:gridCol w:w="912"/>
      </w:tblGrid>
      <w:tr w14:paraId="3BEB52BC" w14:textId="77777777" w:rsidTr="00487AEC">
        <w:tblPrEx>
          <w:tblW w:w="9340" w:type="dxa"/>
          <w:tblLook w:val="04A0"/>
        </w:tblPrEx>
        <w:trPr>
          <w:trHeight w:val="300"/>
        </w:trPr>
        <w:tc>
          <w:tcPr>
            <w:tcW w:w="93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619C" w:rsidRPr="00C8619C" w:rsidP="00C8619C" w14:paraId="7B24555A" w14:textId="77777777">
            <w:pPr>
              <w:widowControl/>
              <w:jc w:val="center"/>
              <w:rPr>
                <w:rFonts w:ascii="Source Sans Pro" w:hAnsi="Source Sans Pro" w:cs="Calibri"/>
                <w:b/>
                <w:bCs/>
                <w:snapToGrid/>
                <w:color w:val="000000"/>
                <w:sz w:val="20"/>
              </w:rPr>
            </w:pPr>
            <w:r w:rsidRPr="00C8619C">
              <w:rPr>
                <w:rFonts w:ascii="Source Sans Pro" w:hAnsi="Source Sans Pro" w:cs="Calibri"/>
                <w:b/>
                <w:bCs/>
                <w:snapToGrid/>
                <w:color w:val="000000"/>
                <w:sz w:val="20"/>
              </w:rPr>
              <w:t xml:space="preserve">Summary of Estimated Annual Burden </w:t>
            </w:r>
          </w:p>
        </w:tc>
      </w:tr>
      <w:tr w14:paraId="3A858A53" w14:textId="77777777" w:rsidTr="00487AEC">
        <w:tblPrEx>
          <w:tblW w:w="9340" w:type="dxa"/>
          <w:tblLook w:val="04A0"/>
        </w:tblPrEx>
        <w:trPr>
          <w:trHeight w:val="1380"/>
        </w:trPr>
        <w:tc>
          <w:tcPr>
            <w:tcW w:w="24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8619C" w:rsidRPr="00C8619C" w:rsidP="00C8619C" w14:paraId="4DD1C5A5" w14:textId="77777777">
            <w:pPr>
              <w:widowControl/>
              <w:jc w:val="center"/>
              <w:rPr>
                <w:rFonts w:ascii="Source Sans Pro" w:hAnsi="Source Sans Pro" w:cs="Calibri"/>
                <w:b/>
                <w:bCs/>
                <w:snapToGrid/>
                <w:color w:val="000000"/>
                <w:sz w:val="20"/>
              </w:rPr>
            </w:pPr>
            <w:r w:rsidRPr="00C8619C">
              <w:rPr>
                <w:rFonts w:ascii="Source Sans Pro" w:hAnsi="Source Sans Pro" w:cs="Calibri"/>
                <w:b/>
                <w:bCs/>
                <w:snapToGrid/>
                <w:color w:val="000000"/>
                <w:sz w:val="20"/>
              </w:rPr>
              <w:t xml:space="preserve">Information Collection Description </w:t>
            </w:r>
          </w:p>
        </w:tc>
        <w:tc>
          <w:tcPr>
            <w:tcW w:w="1344"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8619C" w:rsidRPr="00C8619C" w:rsidP="00C8619C" w14:paraId="0398327F" w14:textId="77777777">
            <w:pPr>
              <w:widowControl/>
              <w:jc w:val="center"/>
              <w:rPr>
                <w:rFonts w:ascii="Source Sans Pro" w:hAnsi="Source Sans Pro" w:cs="Calibri"/>
                <w:snapToGrid/>
                <w:color w:val="000000"/>
                <w:sz w:val="20"/>
              </w:rPr>
            </w:pPr>
            <w:r w:rsidRPr="00C8619C">
              <w:rPr>
                <w:rFonts w:ascii="Source Sans Pro" w:hAnsi="Source Sans Pro" w:cs="Calibri"/>
                <w:snapToGrid/>
                <w:color w:val="000000"/>
                <w:sz w:val="20"/>
              </w:rPr>
              <w:t>Type of Burden (Obligation to Respond)</w:t>
            </w:r>
          </w:p>
        </w:tc>
        <w:tc>
          <w:tcPr>
            <w:tcW w:w="109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8619C" w:rsidRPr="00C8619C" w:rsidP="00C8619C" w14:paraId="00D5E6AA" w14:textId="77777777">
            <w:pPr>
              <w:widowControl/>
              <w:jc w:val="center"/>
              <w:rPr>
                <w:rFonts w:ascii="Source Sans Pro" w:hAnsi="Source Sans Pro" w:cs="Calibri"/>
                <w:snapToGrid/>
                <w:color w:val="000000"/>
                <w:sz w:val="20"/>
              </w:rPr>
            </w:pPr>
            <w:r w:rsidRPr="00C8619C">
              <w:rPr>
                <w:rFonts w:ascii="Source Sans Pro" w:hAnsi="Source Sans Pro" w:cs="Calibri"/>
                <w:snapToGrid/>
                <w:color w:val="000000"/>
                <w:sz w:val="20"/>
              </w:rPr>
              <w:t>Frequency of Response</w:t>
            </w:r>
          </w:p>
        </w:tc>
        <w:tc>
          <w:tcPr>
            <w:tcW w:w="131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8619C" w:rsidRPr="00C8619C" w:rsidP="00C8619C" w14:paraId="28FEC7E6" w14:textId="77777777">
            <w:pPr>
              <w:widowControl/>
              <w:jc w:val="center"/>
              <w:rPr>
                <w:rFonts w:ascii="Source Sans Pro" w:hAnsi="Source Sans Pro" w:cs="Calibri"/>
                <w:snapToGrid/>
                <w:color w:val="000000"/>
                <w:sz w:val="20"/>
              </w:rPr>
            </w:pPr>
            <w:r w:rsidRPr="00C8619C">
              <w:rPr>
                <w:rFonts w:ascii="Source Sans Pro" w:hAnsi="Source Sans Pro" w:cs="Calibri"/>
                <w:snapToGrid/>
                <w:color w:val="000000"/>
                <w:sz w:val="20"/>
              </w:rPr>
              <w:t>Number of Respondents</w:t>
            </w:r>
          </w:p>
        </w:tc>
        <w:tc>
          <w:tcPr>
            <w:tcW w:w="122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8619C" w:rsidRPr="00C8619C" w:rsidP="00C8619C" w14:paraId="5147889D" w14:textId="77777777">
            <w:pPr>
              <w:widowControl/>
              <w:jc w:val="center"/>
              <w:rPr>
                <w:rFonts w:ascii="Source Sans Pro" w:hAnsi="Source Sans Pro" w:cs="Calibri"/>
                <w:snapToGrid/>
                <w:color w:val="000000"/>
                <w:sz w:val="20"/>
              </w:rPr>
            </w:pPr>
            <w:r w:rsidRPr="00C8619C">
              <w:rPr>
                <w:rFonts w:ascii="Source Sans Pro" w:hAnsi="Source Sans Pro" w:cs="Calibri"/>
                <w:snapToGrid/>
                <w:color w:val="000000"/>
                <w:sz w:val="20"/>
              </w:rPr>
              <w:t>Number of Responses per Respondent</w:t>
            </w:r>
          </w:p>
        </w:tc>
        <w:tc>
          <w:tcPr>
            <w:tcW w:w="1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8619C" w:rsidRPr="00C8619C" w:rsidP="00C8619C" w14:paraId="4050CE02" w14:textId="77777777">
            <w:pPr>
              <w:widowControl/>
              <w:jc w:val="center"/>
              <w:rPr>
                <w:rFonts w:ascii="Source Sans Pro" w:hAnsi="Source Sans Pro" w:cs="Calibri"/>
                <w:snapToGrid/>
                <w:color w:val="000000"/>
                <w:sz w:val="20"/>
              </w:rPr>
            </w:pPr>
            <w:r w:rsidRPr="00C8619C">
              <w:rPr>
                <w:rFonts w:ascii="Source Sans Pro" w:hAnsi="Source Sans Pro" w:cs="Calibri"/>
                <w:snapToGrid/>
                <w:color w:val="000000"/>
                <w:sz w:val="20"/>
              </w:rPr>
              <w:t>Hours per Response</w:t>
            </w:r>
          </w:p>
        </w:tc>
        <w:tc>
          <w:tcPr>
            <w:tcW w:w="91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8619C" w:rsidRPr="00C8619C" w:rsidP="00C8619C" w14:paraId="76FBF226" w14:textId="77777777">
            <w:pPr>
              <w:widowControl/>
              <w:jc w:val="center"/>
              <w:rPr>
                <w:rFonts w:ascii="Source Sans Pro" w:hAnsi="Source Sans Pro" w:cs="Calibri"/>
                <w:snapToGrid/>
                <w:color w:val="000000"/>
                <w:sz w:val="20"/>
              </w:rPr>
            </w:pPr>
            <w:r w:rsidRPr="00C8619C">
              <w:rPr>
                <w:rFonts w:ascii="Source Sans Pro" w:hAnsi="Source Sans Pro" w:cs="Calibri"/>
                <w:snapToGrid/>
                <w:color w:val="000000"/>
                <w:sz w:val="20"/>
              </w:rPr>
              <w:t>Annual Burden (Hours)</w:t>
            </w:r>
          </w:p>
        </w:tc>
      </w:tr>
      <w:tr w14:paraId="47D7260F" w14:textId="77777777" w:rsidTr="00487AEC">
        <w:tblPrEx>
          <w:tblW w:w="9340" w:type="dxa"/>
          <w:tblLook w:val="04A0"/>
        </w:tblPrEx>
        <w:trPr>
          <w:trHeight w:val="1231"/>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tcPr>
          <w:p w:rsidR="00C8619C" w:rsidRPr="00C8619C" w:rsidP="00C8619C" w14:paraId="301868FF" w14:textId="77777777">
            <w:pPr>
              <w:widowControl/>
              <w:rPr>
                <w:rFonts w:ascii="Source Sans Pro" w:hAnsi="Source Sans Pro" w:cs="Calibri"/>
                <w:i/>
                <w:iCs/>
                <w:snapToGrid/>
                <w:color w:val="000000"/>
                <w:sz w:val="20"/>
              </w:rPr>
            </w:pPr>
            <w:r w:rsidRPr="00C8619C">
              <w:rPr>
                <w:rFonts w:ascii="Source Sans Pro" w:eastAsia="Source Sans Pro" w:hAnsi="Source Sans Pro" w:cs="Source Sans Pro"/>
                <w:snapToGrid/>
                <w:sz w:val="20"/>
                <w:lang w:bidi="en-US"/>
              </w:rPr>
              <w:t xml:space="preserve">Assessment Rate Adjustment Guidelines for Large and Highly Complex Institutions </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tcPr>
          <w:p w:rsidR="00C8619C" w:rsidRPr="00C8619C" w:rsidP="00C8619C" w14:paraId="3380C61F" w14:textId="77777777">
            <w:pPr>
              <w:widowControl/>
              <w:jc w:val="center"/>
              <w:rPr>
                <w:rFonts w:ascii="Source Sans Pro" w:hAnsi="Source Sans Pro" w:cs="Calibri"/>
                <w:snapToGrid/>
                <w:color w:val="000000"/>
                <w:sz w:val="20"/>
              </w:rPr>
            </w:pPr>
            <w:r w:rsidRPr="00C8619C">
              <w:rPr>
                <w:rFonts w:ascii="Source Sans Pro" w:hAnsi="Source Sans Pro" w:cs="Calibri"/>
                <w:snapToGrid/>
                <w:color w:val="000000"/>
                <w:sz w:val="20"/>
              </w:rPr>
              <w:t>Reporting (Required to obtain or retain benefits)</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C8619C" w:rsidRPr="00C8619C" w:rsidP="00C8619C" w14:paraId="6E3D51AD" w14:textId="77777777">
            <w:pPr>
              <w:widowControl/>
              <w:jc w:val="center"/>
              <w:rPr>
                <w:rFonts w:ascii="Source Sans Pro" w:hAnsi="Source Sans Pro" w:cs="Calibri"/>
                <w:snapToGrid/>
                <w:color w:val="000000"/>
                <w:sz w:val="20"/>
              </w:rPr>
            </w:pPr>
            <w:r w:rsidRPr="00C8619C">
              <w:rPr>
                <w:rFonts w:ascii="Source Sans Pro" w:hAnsi="Source Sans Pro" w:cs="Calibri"/>
                <w:snapToGrid/>
                <w:color w:val="000000"/>
                <w:sz w:val="20"/>
              </w:rPr>
              <w:t>On occasion</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C8619C" w:rsidRPr="00C8619C" w:rsidP="00C8619C" w14:paraId="41733F73" w14:textId="6173C4D4">
            <w:pPr>
              <w:widowControl/>
              <w:jc w:val="center"/>
              <w:rPr>
                <w:rFonts w:ascii="Source Sans Pro" w:hAnsi="Source Sans Pro" w:cs="Calibri"/>
                <w:snapToGrid/>
                <w:color w:val="000000"/>
                <w:sz w:val="20"/>
              </w:rPr>
            </w:pPr>
            <w:r>
              <w:rPr>
                <w:rFonts w:ascii="Source Sans Pro" w:hAnsi="Source Sans Pro" w:cs="Calibri"/>
                <w:snapToGrid/>
                <w:color w:val="000000"/>
                <w:sz w:val="20"/>
              </w:rPr>
              <w:t>1</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C8619C" w:rsidRPr="00C8619C" w:rsidP="00C8619C" w14:paraId="7D56044D" w14:textId="77777777">
            <w:pPr>
              <w:widowControl/>
              <w:jc w:val="center"/>
              <w:rPr>
                <w:rFonts w:ascii="Source Sans Pro" w:hAnsi="Source Sans Pro" w:cs="Calibri"/>
                <w:snapToGrid/>
                <w:color w:val="000000"/>
                <w:sz w:val="20"/>
              </w:rPr>
            </w:pPr>
            <w:r w:rsidRPr="00C8619C">
              <w:rPr>
                <w:rFonts w:ascii="Source Sans Pro" w:hAnsi="Source Sans Pro" w:cs="Calibri"/>
                <w:snapToGrid/>
                <w:color w:val="000000"/>
                <w:sz w:val="20"/>
              </w:rPr>
              <w:t>1</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C8619C" w:rsidRPr="00C8619C" w:rsidP="00C8619C" w14:paraId="67F002E5" w14:textId="77777777">
            <w:pPr>
              <w:widowControl/>
              <w:jc w:val="center"/>
              <w:rPr>
                <w:rFonts w:ascii="Source Sans Pro" w:hAnsi="Source Sans Pro" w:cs="Calibri"/>
                <w:snapToGrid/>
                <w:color w:val="000000"/>
                <w:sz w:val="20"/>
              </w:rPr>
            </w:pPr>
            <w:r w:rsidRPr="00C8619C">
              <w:rPr>
                <w:rFonts w:ascii="Source Sans Pro" w:hAnsi="Source Sans Pro" w:cs="Calibri"/>
                <w:snapToGrid/>
                <w:color w:val="000000"/>
                <w:sz w:val="20"/>
              </w:rPr>
              <w:t>80</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C8619C" w:rsidRPr="00C8619C" w:rsidP="00C8619C" w14:paraId="7DABEE05" w14:textId="65984CC0">
            <w:pPr>
              <w:widowControl/>
              <w:jc w:val="center"/>
              <w:rPr>
                <w:rFonts w:ascii="Source Sans Pro" w:hAnsi="Source Sans Pro" w:cs="Calibri"/>
                <w:snapToGrid/>
                <w:color w:val="000000"/>
                <w:sz w:val="20"/>
              </w:rPr>
            </w:pPr>
            <w:r>
              <w:rPr>
                <w:rFonts w:ascii="Source Sans Pro" w:hAnsi="Source Sans Pro" w:cs="Calibri"/>
                <w:snapToGrid/>
                <w:color w:val="000000"/>
                <w:sz w:val="20"/>
              </w:rPr>
              <w:t>80</w:t>
            </w:r>
          </w:p>
        </w:tc>
      </w:tr>
      <w:tr w14:paraId="3FC24A4A" w14:textId="77777777" w:rsidTr="00487AEC">
        <w:tblPrEx>
          <w:tblW w:w="9340" w:type="dxa"/>
          <w:tblLook w:val="04A0"/>
        </w:tblPrEx>
        <w:trPr>
          <w:trHeight w:val="432"/>
        </w:trPr>
        <w:tc>
          <w:tcPr>
            <w:tcW w:w="842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8619C" w:rsidRPr="00C8619C" w:rsidP="00C8619C" w14:paraId="23DBEB30" w14:textId="77777777">
            <w:pPr>
              <w:widowControl/>
              <w:jc w:val="right"/>
              <w:rPr>
                <w:rFonts w:ascii="Source Sans Pro" w:hAnsi="Source Sans Pro" w:cs="Calibri"/>
                <w:snapToGrid/>
                <w:color w:val="000000"/>
                <w:sz w:val="20"/>
              </w:rPr>
            </w:pPr>
            <w:r w:rsidRPr="00C8619C">
              <w:rPr>
                <w:rFonts w:ascii="Source Sans Pro" w:hAnsi="Source Sans Pro" w:cs="Calibri"/>
                <w:snapToGrid/>
                <w:color w:val="000000"/>
                <w:sz w:val="20"/>
              </w:rPr>
              <w:t>Total Annual Burden (Hours):</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C8619C" w:rsidRPr="00C8619C" w:rsidP="00C8619C" w14:paraId="46DA4CD4" w14:textId="6E239212">
            <w:pPr>
              <w:widowControl/>
              <w:jc w:val="center"/>
              <w:rPr>
                <w:rFonts w:ascii="Source Sans Pro" w:hAnsi="Source Sans Pro" w:cs="Calibri"/>
                <w:snapToGrid/>
                <w:color w:val="000000"/>
                <w:sz w:val="20"/>
              </w:rPr>
            </w:pPr>
            <w:r>
              <w:rPr>
                <w:rFonts w:ascii="Source Sans Pro" w:hAnsi="Source Sans Pro" w:cs="Calibri"/>
                <w:snapToGrid/>
                <w:color w:val="000000"/>
                <w:sz w:val="20"/>
              </w:rPr>
              <w:t>80</w:t>
            </w:r>
          </w:p>
        </w:tc>
      </w:tr>
      <w:tr w14:paraId="37D6A74D" w14:textId="77777777" w:rsidTr="00487AEC">
        <w:tblPrEx>
          <w:tblW w:w="9340" w:type="dxa"/>
          <w:tblLook w:val="04A0"/>
        </w:tblPrEx>
        <w:trPr>
          <w:trHeight w:val="300"/>
        </w:trPr>
        <w:tc>
          <w:tcPr>
            <w:tcW w:w="934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8619C" w:rsidRPr="00C8619C" w:rsidP="00C8619C" w14:paraId="1BA8DA98" w14:textId="77777777">
            <w:pPr>
              <w:widowControl/>
              <w:rPr>
                <w:rFonts w:ascii="Source Sans Pro" w:hAnsi="Source Sans Pro" w:cs="Calibri"/>
                <w:snapToGrid/>
                <w:color w:val="000000"/>
                <w:sz w:val="20"/>
              </w:rPr>
            </w:pPr>
            <w:r w:rsidRPr="00C8619C">
              <w:rPr>
                <w:rFonts w:ascii="Source Sans Pro" w:hAnsi="Source Sans Pro" w:cs="Calibri"/>
                <w:snapToGrid/>
                <w:color w:val="000000"/>
                <w:sz w:val="20"/>
              </w:rPr>
              <w:t>Source: FDIC.</w:t>
            </w:r>
          </w:p>
        </w:tc>
      </w:tr>
    </w:tbl>
    <w:p w:rsidR="00B46E04" w:rsidP="00C8619C" w14:paraId="40DD03A6" w14:textId="77777777">
      <w:pPr>
        <w:widowControl/>
        <w:tabs>
          <w:tab w:val="left" w:pos="360"/>
          <w:tab w:val="left" w:pos="1080"/>
          <w:tab w:val="right" w:pos="6120"/>
        </w:tabs>
        <w:ind w:right="-900"/>
        <w:rPr>
          <w:rFonts w:ascii="Times New Roman" w:hAnsi="Times New Roman"/>
          <w:highlight w:val="yellow"/>
        </w:rPr>
      </w:pPr>
    </w:p>
    <w:p w:rsidR="00C8619C" w:rsidRPr="00377132" w:rsidP="00C8619C" w14:paraId="79E1C680" w14:textId="40D0B89E">
      <w:pPr>
        <w:tabs>
          <w:tab w:val="left" w:pos="-1440"/>
        </w:tabs>
        <w:spacing w:line="276" w:lineRule="auto"/>
        <w:ind w:left="1440"/>
        <w:contextualSpacing/>
        <w:rPr>
          <w:rFonts w:ascii="Times New Roman" w:hAnsi="Times New Roman"/>
        </w:rPr>
      </w:pPr>
      <w:r w:rsidRPr="00377132">
        <w:rPr>
          <w:rFonts w:ascii="Times New Roman" w:hAnsi="Times New Roman"/>
        </w:rPr>
        <w:t xml:space="preserve">Total </w:t>
      </w:r>
      <w:r>
        <w:rPr>
          <w:rFonts w:ascii="Times New Roman" w:hAnsi="Times New Roman"/>
        </w:rPr>
        <w:t>estimated</w:t>
      </w:r>
      <w:r w:rsidRPr="00377132">
        <w:rPr>
          <w:rFonts w:ascii="Times New Roman" w:hAnsi="Times New Roman"/>
        </w:rPr>
        <w:t xml:space="preserve"> </w:t>
      </w:r>
      <w:r>
        <w:rPr>
          <w:rFonts w:ascii="Times New Roman" w:hAnsi="Times New Roman"/>
        </w:rPr>
        <w:t>a</w:t>
      </w:r>
      <w:r w:rsidRPr="00377132">
        <w:rPr>
          <w:rFonts w:ascii="Times New Roman" w:hAnsi="Times New Roman"/>
        </w:rPr>
        <w:t xml:space="preserve">nnual </w:t>
      </w:r>
      <w:r>
        <w:rPr>
          <w:rFonts w:ascii="Times New Roman" w:hAnsi="Times New Roman"/>
        </w:rPr>
        <w:t>b</w:t>
      </w:r>
      <w:r w:rsidRPr="00377132">
        <w:rPr>
          <w:rFonts w:ascii="Times New Roman" w:hAnsi="Times New Roman"/>
        </w:rPr>
        <w:t xml:space="preserve">urden:  </w:t>
      </w:r>
      <w:r w:rsidR="0051519D">
        <w:rPr>
          <w:rFonts w:ascii="Times New Roman" w:hAnsi="Times New Roman"/>
        </w:rPr>
        <w:t>80</w:t>
      </w:r>
      <w:r w:rsidRPr="00377132">
        <w:rPr>
          <w:rFonts w:ascii="Times New Roman" w:hAnsi="Times New Roman"/>
        </w:rPr>
        <w:t xml:space="preserve"> hours</w:t>
      </w:r>
    </w:p>
    <w:p w:rsidR="00C8619C" w:rsidRPr="00377132" w:rsidP="00C8619C" w14:paraId="65891C7A" w14:textId="77777777">
      <w:pPr>
        <w:tabs>
          <w:tab w:val="left" w:pos="-1440"/>
        </w:tabs>
        <w:spacing w:line="276" w:lineRule="auto"/>
        <w:ind w:left="1440"/>
        <w:contextualSpacing/>
        <w:rPr>
          <w:rFonts w:ascii="Times New Roman" w:hAnsi="Times New Roman"/>
        </w:rPr>
      </w:pPr>
      <w:r w:rsidRPr="00377132">
        <w:rPr>
          <w:rFonts w:ascii="Times New Roman" w:hAnsi="Times New Roman"/>
        </w:rPr>
        <w:t xml:space="preserve">The </w:t>
      </w:r>
      <w:r>
        <w:rPr>
          <w:rFonts w:ascii="Times New Roman" w:hAnsi="Times New Roman"/>
        </w:rPr>
        <w:t>total estimated annual cost</w:t>
      </w:r>
      <w:r w:rsidRPr="00377132">
        <w:rPr>
          <w:rFonts w:ascii="Times New Roman" w:hAnsi="Times New Roman"/>
        </w:rPr>
        <w:t xml:space="preserve"> is:</w:t>
      </w:r>
    </w:p>
    <w:p w:rsidR="00C8619C" w:rsidP="00C8619C" w14:paraId="58165773" w14:textId="6A872618">
      <w:pPr>
        <w:tabs>
          <w:tab w:val="left" w:pos="-1440"/>
        </w:tabs>
        <w:spacing w:line="276" w:lineRule="auto"/>
        <w:ind w:left="1440"/>
        <w:contextualSpacing/>
        <w:rPr>
          <w:rFonts w:ascii="Times New Roman" w:hAnsi="Times New Roman"/>
        </w:rPr>
      </w:pPr>
      <w:r>
        <w:rPr>
          <w:rFonts w:ascii="Times New Roman" w:hAnsi="Times New Roman"/>
        </w:rPr>
        <w:t>80</w:t>
      </w:r>
      <w:r w:rsidRPr="00377132">
        <w:rPr>
          <w:rFonts w:ascii="Times New Roman" w:hAnsi="Times New Roman"/>
        </w:rPr>
        <w:t xml:space="preserve"> hours x $</w:t>
      </w:r>
      <w:r>
        <w:rPr>
          <w:rFonts w:ascii="Times New Roman" w:hAnsi="Times New Roman"/>
        </w:rPr>
        <w:t>1</w:t>
      </w:r>
      <w:r>
        <w:rPr>
          <w:rFonts w:ascii="Times New Roman" w:hAnsi="Times New Roman"/>
        </w:rPr>
        <w:t>32.22</w:t>
      </w:r>
      <w:r w:rsidRPr="00377132">
        <w:rPr>
          <w:rFonts w:ascii="Times New Roman" w:hAnsi="Times New Roman"/>
        </w:rPr>
        <w:t xml:space="preserve"> = $</w:t>
      </w:r>
      <w:r>
        <w:rPr>
          <w:rFonts w:ascii="Times New Roman" w:hAnsi="Times New Roman"/>
        </w:rPr>
        <w:t>1</w:t>
      </w:r>
      <w:r>
        <w:rPr>
          <w:rFonts w:ascii="Times New Roman" w:hAnsi="Times New Roman"/>
        </w:rPr>
        <w:t>0,578.</w:t>
      </w:r>
    </w:p>
    <w:p w:rsidR="00BC693C" w:rsidP="00BC693C" w14:paraId="1F5F5CBF" w14:textId="77777777">
      <w:pPr>
        <w:tabs>
          <w:tab w:val="left" w:pos="-1440"/>
        </w:tabs>
        <w:spacing w:line="276" w:lineRule="auto"/>
        <w:contextualSpacing/>
        <w:rPr>
          <w:rFonts w:ascii="Times New Roman" w:hAnsi="Times New Roman"/>
        </w:rPr>
      </w:pPr>
    </w:p>
    <w:p w:rsidR="00BC693C" w:rsidRPr="00BC693C" w:rsidP="00BC693C" w14:paraId="45C087CF" w14:textId="77777777">
      <w:pPr>
        <w:ind w:left="720"/>
        <w:rPr>
          <w:rFonts w:ascii="Times New Roman" w:hAnsi="Times New Roman"/>
        </w:rPr>
      </w:pPr>
      <w:r w:rsidRPr="00BC693C">
        <w:rPr>
          <w:rFonts w:ascii="Times New Roman" w:hAnsi="Times New Roman"/>
        </w:rPr>
        <w:t>Total Estimated Hourly Labor Compensation Rates</w:t>
      </w:r>
    </w:p>
    <w:p w:rsidR="00BC693C" w:rsidRPr="00BC693C" w:rsidP="00BC693C" w14:paraId="0626EEFD" w14:textId="77777777">
      <w:pPr>
        <w:tabs>
          <w:tab w:val="left" w:pos="-1440"/>
        </w:tabs>
        <w:spacing w:line="276" w:lineRule="auto"/>
        <w:contextualSpacing/>
        <w:rPr>
          <w:rFonts w:ascii="Times New Roman" w:hAnsi="Times New Roman"/>
        </w:rPr>
      </w:pPr>
    </w:p>
    <w:p w:rsidR="00BC693C" w:rsidRPr="00BC693C" w:rsidP="00BC693C" w14:paraId="1EAB0AC6" w14:textId="252B4161">
      <w:pPr>
        <w:ind w:left="720"/>
        <w:rPr>
          <w:rFonts w:ascii="Times New Roman" w:hAnsi="Times New Roman"/>
        </w:rPr>
      </w:pPr>
      <w:r w:rsidRPr="00BC693C">
        <w:rPr>
          <w:rFonts w:ascii="Times New Roman" w:hAnsi="Times New Roman"/>
        </w:rPr>
        <w:t xml:space="preserve">To estimate the average cost of compensation per hour, </w:t>
      </w:r>
      <w:r>
        <w:rPr>
          <w:rFonts w:ascii="Times New Roman" w:hAnsi="Times New Roman"/>
        </w:rPr>
        <w:t>FDIC</w:t>
      </w:r>
      <w:r w:rsidRPr="00BC693C">
        <w:rPr>
          <w:rFonts w:ascii="Times New Roman" w:hAnsi="Times New Roman"/>
        </w:rPr>
        <w:t xml:space="preserve"> use</w:t>
      </w:r>
      <w:r>
        <w:rPr>
          <w:rFonts w:ascii="Times New Roman" w:hAnsi="Times New Roman"/>
        </w:rPr>
        <w:t>s</w:t>
      </w:r>
      <w:r w:rsidRPr="00BC693C">
        <w:rPr>
          <w:rFonts w:ascii="Times New Roman" w:hAnsi="Times New Roman"/>
        </w:rPr>
        <w:t xml:space="preserve"> the 75th percentile hourly wages reported by the Bureau of Labor Statistics (BLS) National Industry-Specific Occupational Employment and Wage Estimates (OEWS) for the relevant occupations in the Depository Credit Intermediation sector. However, the latest OEWS wage data are as of May 2023 and do not include non-wage compensation. To adjust these wages for use in the memo, </w:t>
      </w:r>
      <w:r>
        <w:rPr>
          <w:rFonts w:ascii="Times New Roman" w:hAnsi="Times New Roman"/>
        </w:rPr>
        <w:t>FDIC</w:t>
      </w:r>
      <w:r w:rsidRPr="00BC693C">
        <w:rPr>
          <w:rFonts w:ascii="Times New Roman" w:hAnsi="Times New Roman"/>
        </w:rPr>
        <w:t xml:space="preserve"> multipl</w:t>
      </w:r>
      <w:r>
        <w:rPr>
          <w:rFonts w:ascii="Times New Roman" w:hAnsi="Times New Roman"/>
        </w:rPr>
        <w:t>ies</w:t>
      </w:r>
      <w:r w:rsidRPr="00BC693C">
        <w:rPr>
          <w:rFonts w:ascii="Times New Roman" w:hAnsi="Times New Roman"/>
        </w:rPr>
        <w:t xml:space="preserve"> the OEWS hourly wages by approximately 1.53 to account for non-wage compensation, using the BLS Employer Cost of Employee Compensation (ECEC) data as of March 2023 (the latest published release prior to the OEWS wage data). I</w:t>
      </w:r>
      <w:r>
        <w:rPr>
          <w:rFonts w:ascii="Times New Roman" w:hAnsi="Times New Roman"/>
        </w:rPr>
        <w:t>t</w:t>
      </w:r>
      <w:r w:rsidRPr="00BC693C">
        <w:rPr>
          <w:rFonts w:ascii="Times New Roman" w:hAnsi="Times New Roman"/>
        </w:rPr>
        <w:t xml:space="preserve"> then multipl</w:t>
      </w:r>
      <w:r>
        <w:rPr>
          <w:rFonts w:ascii="Times New Roman" w:hAnsi="Times New Roman"/>
        </w:rPr>
        <w:t>ies</w:t>
      </w:r>
      <w:r w:rsidRPr="00BC693C">
        <w:rPr>
          <w:rFonts w:ascii="Times New Roman" w:hAnsi="Times New Roman"/>
        </w:rPr>
        <w:t xml:space="preserve"> the resulting compensation rates </w:t>
      </w:r>
      <w:r w:rsidRPr="00BC693C">
        <w:rPr>
          <w:rFonts w:ascii="Times New Roman" w:hAnsi="Times New Roman"/>
        </w:rPr>
        <w:t>by approximately 1.03 to account for the change in the seasonally adjusted Employment Cost Index for the Credit Intermediation and Related Activities sector (NAICS Code 522) between March 2023 and December 2023.</w:t>
      </w:r>
    </w:p>
    <w:p w:rsidR="00BC693C" w:rsidRPr="00BC693C" w:rsidP="00BC693C" w14:paraId="22C8FD83" w14:textId="77777777">
      <w:pPr>
        <w:tabs>
          <w:tab w:val="left" w:pos="-1440"/>
        </w:tabs>
        <w:spacing w:line="276" w:lineRule="auto"/>
        <w:contextualSpacing/>
        <w:rPr>
          <w:rFonts w:ascii="Times New Roman" w:hAnsi="Times New Roman"/>
        </w:rPr>
      </w:pPr>
    </w:p>
    <w:p w:rsidR="00BC693C" w:rsidP="00BC693C" w14:paraId="59FCD7BE" w14:textId="0898202A">
      <w:pPr>
        <w:ind w:left="720"/>
        <w:rPr>
          <w:rFonts w:ascii="Times New Roman" w:hAnsi="Times New Roman"/>
        </w:rPr>
      </w:pPr>
      <w:r w:rsidRPr="00BC693C">
        <w:rPr>
          <w:rFonts w:ascii="Times New Roman" w:hAnsi="Times New Roman"/>
        </w:rPr>
        <w:t xml:space="preserve">After making these adjustments, </w:t>
      </w:r>
      <w:r>
        <w:rPr>
          <w:rFonts w:ascii="Times New Roman" w:hAnsi="Times New Roman"/>
        </w:rPr>
        <w:t>FDIC</w:t>
      </w:r>
      <w:r w:rsidRPr="00BC693C">
        <w:rPr>
          <w:rFonts w:ascii="Times New Roman" w:hAnsi="Times New Roman"/>
        </w:rPr>
        <w:t xml:space="preserve"> weight</w:t>
      </w:r>
      <w:r>
        <w:rPr>
          <w:rFonts w:ascii="Times New Roman" w:hAnsi="Times New Roman"/>
        </w:rPr>
        <w:t>s</w:t>
      </w:r>
      <w:r w:rsidRPr="00BC693C">
        <w:rPr>
          <w:rFonts w:ascii="Times New Roman" w:hAnsi="Times New Roman"/>
        </w:rPr>
        <w:t xml:space="preserve"> the total hourly compensation by the relevant shares of the occupations shown in Table 2</w:t>
      </w:r>
      <w:r>
        <w:rPr>
          <w:rFonts w:ascii="Times New Roman" w:hAnsi="Times New Roman"/>
        </w:rPr>
        <w:t xml:space="preserve"> below</w:t>
      </w:r>
      <w:r w:rsidRPr="00BC693C">
        <w:rPr>
          <w:rFonts w:ascii="Times New Roman" w:hAnsi="Times New Roman"/>
        </w:rPr>
        <w:t xml:space="preserve">. Consistent with the methodology used in the 2021 ICR, I estimate that Executives and Managers, Lawyers, IT Specialists, and Financial Analysts each perform 25 percent of the labor for these notices. They have been reviewed by the LBP SME, who confirms that these allocations remain reasonable and appropriate. I report the estimated weighted hourly compensation rate and the occupational distribution for each IC in Table 2 </w:t>
      </w:r>
      <w:r>
        <w:rPr>
          <w:rFonts w:ascii="Times New Roman" w:hAnsi="Times New Roman"/>
        </w:rPr>
        <w:t>and</w:t>
      </w:r>
      <w:r w:rsidRPr="00BC693C">
        <w:rPr>
          <w:rFonts w:ascii="Times New Roman" w:hAnsi="Times New Roman"/>
        </w:rPr>
        <w:t xml:space="preserve"> then weight</w:t>
      </w:r>
      <w:r>
        <w:rPr>
          <w:rFonts w:ascii="Times New Roman" w:hAnsi="Times New Roman"/>
        </w:rPr>
        <w:t>s</w:t>
      </w:r>
      <w:r w:rsidRPr="00BC693C">
        <w:rPr>
          <w:rFonts w:ascii="Times New Roman" w:hAnsi="Times New Roman"/>
        </w:rPr>
        <w:t xml:space="preserve"> the hourly compensation rate for each IC by its annual estimated burden hours</w:t>
      </w:r>
      <w:r>
        <w:rPr>
          <w:rFonts w:ascii="Times New Roman" w:hAnsi="Times New Roman"/>
        </w:rPr>
        <w:t>.</w:t>
      </w:r>
    </w:p>
    <w:p w:rsidR="00BC693C" w:rsidP="0051519D" w14:paraId="58A4D18C" w14:textId="77777777">
      <w:pPr>
        <w:tabs>
          <w:tab w:val="left" w:pos="-1440"/>
        </w:tabs>
        <w:spacing w:line="276" w:lineRule="auto"/>
        <w:contextualSpacing/>
        <w:rPr>
          <w:rFonts w:ascii="Times New Roman" w:hAnsi="Times New Roman"/>
        </w:rPr>
      </w:pPr>
    </w:p>
    <w:tbl>
      <w:tblPr>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4"/>
        <w:gridCol w:w="845"/>
        <w:gridCol w:w="1000"/>
        <w:gridCol w:w="1000"/>
        <w:gridCol w:w="900"/>
        <w:gridCol w:w="1000"/>
        <w:gridCol w:w="931"/>
        <w:gridCol w:w="900"/>
        <w:gridCol w:w="1110"/>
        <w:gridCol w:w="330"/>
        <w:gridCol w:w="227"/>
      </w:tblGrid>
      <w:tr w14:paraId="3EA24155" w14:textId="77777777" w:rsidTr="00BC693C">
        <w:tblPrEx>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2"/>
          <w:wAfter w:w="557" w:type="dxa"/>
          <w:trHeight w:val="113"/>
        </w:trPr>
        <w:tc>
          <w:tcPr>
            <w:tcW w:w="987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51519D" w:rsidRPr="0051519D" w:rsidP="0051519D" w14:paraId="3BC639C0" w14:textId="69316291">
            <w:pPr>
              <w:keepNext/>
              <w:keepLines/>
              <w:suppressAutoHyphens/>
              <w:autoSpaceDE w:val="0"/>
              <w:autoSpaceDN w:val="0"/>
              <w:spacing w:after="120" w:line="260" w:lineRule="exact"/>
              <w:ind w:right="-86"/>
              <w:jc w:val="center"/>
              <w:rPr>
                <w:rFonts w:ascii="Times New Roman" w:eastAsia="Calibri" w:hAnsi="Times New Roman"/>
                <w:b/>
                <w:bCs/>
                <w:snapToGrid/>
                <w:color w:val="000000"/>
                <w:sz w:val="20"/>
              </w:rPr>
            </w:pPr>
            <w:r>
              <w:rPr>
                <w:rFonts w:ascii="Times New Roman" w:eastAsia="Calibri" w:hAnsi="Times New Roman"/>
                <w:b/>
                <w:bCs/>
                <w:snapToGrid/>
                <w:color w:val="000000"/>
                <w:sz w:val="20"/>
              </w:rPr>
              <w:t xml:space="preserve">Table 2 - </w:t>
            </w:r>
            <w:r>
              <w:rPr>
                <w:rFonts w:ascii="Times New Roman" w:eastAsia="Calibri" w:hAnsi="Times New Roman"/>
                <w:b/>
                <w:bCs/>
                <w:snapToGrid/>
                <w:color w:val="000000"/>
                <w:sz w:val="20"/>
              </w:rPr>
              <w:t>Labor Allocation and Hourly Labor Cost</w:t>
            </w:r>
            <w:r w:rsidRPr="0051519D">
              <w:rPr>
                <w:rFonts w:ascii="Times New Roman" w:eastAsia="Calibri" w:hAnsi="Times New Roman"/>
                <w:b/>
                <w:bCs/>
                <w:snapToGrid/>
                <w:color w:val="000000"/>
                <w:sz w:val="20"/>
              </w:rPr>
              <w:t xml:space="preserve"> (OMB No. 3064-0179)</w:t>
            </w:r>
          </w:p>
        </w:tc>
      </w:tr>
      <w:tr w14:paraId="36BBFDD8" w14:textId="77777777" w:rsidTr="00BC693C">
        <w:tblPrEx>
          <w:tblW w:w="10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tblCellMar>
          <w:tblLook w:val="04A0"/>
        </w:tblPrEx>
        <w:trPr>
          <w:gridAfter w:val="1"/>
          <w:wAfter w:w="227" w:type="dxa"/>
          <w:trHeight w:val="600"/>
        </w:trPr>
        <w:tc>
          <w:tcPr>
            <w:tcW w:w="2184" w:type="dxa"/>
            <w:vMerge w:val="restart"/>
            <w:tcBorders>
              <w:top w:val="nil"/>
              <w:left w:val="single" w:sz="8" w:space="0" w:color="auto"/>
              <w:bottom w:val="single" w:sz="8" w:space="0" w:color="000000"/>
              <w:right w:val="single" w:sz="8" w:space="0" w:color="auto"/>
            </w:tcBorders>
            <w:shd w:val="clear" w:color="auto" w:fill="auto"/>
            <w:vAlign w:val="center"/>
            <w:hideMark/>
          </w:tcPr>
          <w:p w:rsidR="0051519D" w:rsidRPr="0051519D" w:rsidP="0005621E" w14:paraId="71B137C3" w14:textId="77777777">
            <w:pPr>
              <w:widowControl/>
              <w:rPr>
                <w:rFonts w:ascii="Times New Roman" w:hAnsi="Times New Roman"/>
                <w:color w:val="000000"/>
                <w:sz w:val="20"/>
              </w:rPr>
            </w:pPr>
            <w:r w:rsidRPr="0051519D">
              <w:rPr>
                <w:rFonts w:ascii="Times New Roman" w:hAnsi="Times New Roman"/>
                <w:color w:val="000000"/>
                <w:sz w:val="20"/>
              </w:rPr>
              <w:t xml:space="preserve">Information Collection (IC) (Obligation to Respond) </w:t>
            </w:r>
          </w:p>
        </w:tc>
        <w:tc>
          <w:tcPr>
            <w:tcW w:w="845" w:type="dxa"/>
            <w:vMerge w:val="restart"/>
            <w:tcBorders>
              <w:top w:val="nil"/>
              <w:left w:val="single" w:sz="8" w:space="0" w:color="auto"/>
              <w:bottom w:val="single" w:sz="8" w:space="0" w:color="000000"/>
              <w:right w:val="single" w:sz="8" w:space="0" w:color="auto"/>
            </w:tcBorders>
            <w:shd w:val="clear" w:color="auto" w:fill="auto"/>
            <w:vAlign w:val="center"/>
            <w:hideMark/>
          </w:tcPr>
          <w:p w:rsidR="0051519D" w:rsidRPr="0051519D" w:rsidP="0005621E" w14:paraId="36B52488" w14:textId="77777777">
            <w:pPr>
              <w:widowControl/>
              <w:jc w:val="center"/>
              <w:rPr>
                <w:rFonts w:ascii="Times New Roman" w:hAnsi="Times New Roman"/>
                <w:color w:val="000000"/>
                <w:sz w:val="20"/>
              </w:rPr>
            </w:pPr>
            <w:r w:rsidRPr="0051519D">
              <w:rPr>
                <w:rFonts w:ascii="Times New Roman" w:hAnsi="Times New Roman"/>
                <w:color w:val="000000"/>
                <w:sz w:val="20"/>
              </w:rPr>
              <w:t xml:space="preserve">Hourly Weight </w:t>
            </w:r>
            <w:r w:rsidRPr="0051519D">
              <w:rPr>
                <w:rFonts w:ascii="Times New Roman" w:hAnsi="Times New Roman"/>
                <w:color w:val="000000"/>
                <w:sz w:val="20"/>
              </w:rPr>
              <w:br/>
              <w:t>(%)</w:t>
            </w:r>
          </w:p>
        </w:tc>
        <w:tc>
          <w:tcPr>
            <w:tcW w:w="5731"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51519D" w:rsidRPr="0051519D" w:rsidP="0005621E" w14:paraId="5E475670" w14:textId="77777777">
            <w:pPr>
              <w:widowControl/>
              <w:jc w:val="center"/>
              <w:rPr>
                <w:rFonts w:ascii="Times New Roman" w:hAnsi="Times New Roman"/>
                <w:color w:val="000000"/>
                <w:sz w:val="20"/>
              </w:rPr>
            </w:pPr>
            <w:r w:rsidRPr="0051519D">
              <w:rPr>
                <w:rFonts w:ascii="Times New Roman" w:hAnsi="Times New Roman"/>
                <w:color w:val="000000"/>
                <w:sz w:val="20"/>
              </w:rPr>
              <w:t xml:space="preserve">Percentage Shares of Hours Spent by and </w:t>
            </w:r>
            <w:r w:rsidRPr="0051519D">
              <w:rPr>
                <w:rFonts w:ascii="Times New Roman" w:hAnsi="Times New Roman"/>
                <w:color w:val="000000"/>
                <w:sz w:val="20"/>
              </w:rPr>
              <w:br/>
              <w:t xml:space="preserve">Hourly Compensation Rates for each Occupation Group </w:t>
            </w:r>
            <w:r w:rsidRPr="0051519D">
              <w:rPr>
                <w:rFonts w:ascii="Times New Roman" w:hAnsi="Times New Roman"/>
                <w:color w:val="000000"/>
                <w:sz w:val="20"/>
              </w:rPr>
              <w:br/>
              <w:t>(by Collection)</w:t>
            </w:r>
          </w:p>
        </w:tc>
        <w:tc>
          <w:tcPr>
            <w:tcW w:w="144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51519D" w:rsidRPr="0051519D" w:rsidP="0005621E" w14:paraId="71CBE924" w14:textId="77777777">
            <w:pPr>
              <w:widowControl/>
              <w:jc w:val="center"/>
              <w:rPr>
                <w:rFonts w:ascii="Times New Roman" w:hAnsi="Times New Roman"/>
                <w:color w:val="000000"/>
                <w:sz w:val="20"/>
              </w:rPr>
            </w:pPr>
            <w:r w:rsidRPr="0051519D">
              <w:rPr>
                <w:rFonts w:ascii="Times New Roman" w:hAnsi="Times New Roman"/>
                <w:color w:val="000000"/>
                <w:sz w:val="20"/>
              </w:rPr>
              <w:t>Estimated Hourly Compensation Rate</w:t>
            </w:r>
          </w:p>
        </w:tc>
      </w:tr>
      <w:tr w14:paraId="7CE9F248" w14:textId="77777777" w:rsidTr="00BC693C">
        <w:tblPrEx>
          <w:tblW w:w="10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tblCellMar>
          <w:tblLook w:val="04A0"/>
        </w:tblPrEx>
        <w:trPr>
          <w:trHeight w:val="864"/>
        </w:trPr>
        <w:tc>
          <w:tcPr>
            <w:tcW w:w="2184" w:type="dxa"/>
            <w:vMerge/>
            <w:tcBorders>
              <w:top w:val="nil"/>
              <w:left w:val="single" w:sz="8" w:space="0" w:color="auto"/>
              <w:bottom w:val="single" w:sz="8" w:space="0" w:color="000000"/>
              <w:right w:val="single" w:sz="8" w:space="0" w:color="auto"/>
            </w:tcBorders>
            <w:vAlign w:val="center"/>
            <w:hideMark/>
          </w:tcPr>
          <w:p w:rsidR="0051519D" w:rsidRPr="0051519D" w:rsidP="0005621E" w14:paraId="6506135F" w14:textId="77777777">
            <w:pPr>
              <w:widowControl/>
              <w:rPr>
                <w:rFonts w:ascii="Times New Roman" w:hAnsi="Times New Roman"/>
                <w:color w:val="000000"/>
                <w:sz w:val="20"/>
              </w:rPr>
            </w:pPr>
          </w:p>
        </w:tc>
        <w:tc>
          <w:tcPr>
            <w:tcW w:w="845" w:type="dxa"/>
            <w:vMerge/>
            <w:tcBorders>
              <w:top w:val="nil"/>
              <w:left w:val="single" w:sz="8" w:space="0" w:color="auto"/>
              <w:bottom w:val="single" w:sz="8" w:space="0" w:color="000000"/>
              <w:right w:val="single" w:sz="8" w:space="0" w:color="auto"/>
            </w:tcBorders>
            <w:vAlign w:val="center"/>
            <w:hideMark/>
          </w:tcPr>
          <w:p w:rsidR="0051519D" w:rsidRPr="0051519D" w:rsidP="0005621E" w14:paraId="3521FD6D" w14:textId="77777777">
            <w:pPr>
              <w:widowControl/>
              <w:rPr>
                <w:rFonts w:ascii="Times New Roman" w:hAnsi="Times New Roman"/>
                <w:color w:val="000000"/>
                <w:sz w:val="20"/>
              </w:rPr>
            </w:pPr>
          </w:p>
        </w:tc>
        <w:tc>
          <w:tcPr>
            <w:tcW w:w="5731" w:type="dxa"/>
            <w:gridSpan w:val="6"/>
            <w:vMerge/>
            <w:tcBorders>
              <w:top w:val="single" w:sz="8" w:space="0" w:color="auto"/>
              <w:left w:val="single" w:sz="8" w:space="0" w:color="auto"/>
              <w:bottom w:val="single" w:sz="8" w:space="0" w:color="000000"/>
              <w:right w:val="single" w:sz="8" w:space="0" w:color="000000"/>
            </w:tcBorders>
            <w:vAlign w:val="center"/>
            <w:hideMark/>
          </w:tcPr>
          <w:p w:rsidR="0051519D" w:rsidRPr="0051519D" w:rsidP="0005621E" w14:paraId="7404173C" w14:textId="77777777">
            <w:pPr>
              <w:widowControl/>
              <w:rPr>
                <w:rFonts w:ascii="Times New Roman" w:hAnsi="Times New Roman"/>
                <w:color w:val="000000"/>
                <w:sz w:val="20"/>
              </w:rPr>
            </w:pPr>
          </w:p>
        </w:tc>
        <w:tc>
          <w:tcPr>
            <w:tcW w:w="1440" w:type="dxa"/>
            <w:gridSpan w:val="2"/>
            <w:vMerge/>
            <w:tcBorders>
              <w:top w:val="nil"/>
              <w:left w:val="single" w:sz="8" w:space="0" w:color="auto"/>
              <w:bottom w:val="single" w:sz="8" w:space="0" w:color="000000"/>
              <w:right w:val="single" w:sz="8" w:space="0" w:color="auto"/>
            </w:tcBorders>
            <w:vAlign w:val="center"/>
            <w:hideMark/>
          </w:tcPr>
          <w:p w:rsidR="0051519D" w:rsidRPr="0051519D" w:rsidP="0005621E" w14:paraId="5BFC546D" w14:textId="77777777">
            <w:pPr>
              <w:widowControl/>
              <w:rPr>
                <w:rFonts w:ascii="Times New Roman" w:hAnsi="Times New Roman"/>
                <w:color w:val="000000"/>
                <w:sz w:val="20"/>
              </w:rPr>
            </w:pPr>
          </w:p>
        </w:tc>
        <w:tc>
          <w:tcPr>
            <w:tcW w:w="227" w:type="dxa"/>
            <w:tcBorders>
              <w:top w:val="nil"/>
              <w:left w:val="nil"/>
              <w:bottom w:val="nil"/>
              <w:right w:val="nil"/>
            </w:tcBorders>
            <w:shd w:val="clear" w:color="auto" w:fill="auto"/>
            <w:noWrap/>
            <w:vAlign w:val="bottom"/>
            <w:hideMark/>
          </w:tcPr>
          <w:p w:rsidR="0051519D" w:rsidRPr="0051519D" w:rsidP="0005621E" w14:paraId="7A3FCEB5" w14:textId="77777777">
            <w:pPr>
              <w:widowControl/>
              <w:jc w:val="center"/>
              <w:rPr>
                <w:rFonts w:ascii="Times New Roman" w:hAnsi="Times New Roman"/>
                <w:color w:val="000000"/>
                <w:sz w:val="20"/>
              </w:rPr>
            </w:pPr>
          </w:p>
        </w:tc>
      </w:tr>
      <w:tr w14:paraId="52E6A94A" w14:textId="77777777" w:rsidTr="00BC693C">
        <w:tblPrEx>
          <w:tblW w:w="10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tblCellMar>
          <w:tblLook w:val="04A0"/>
        </w:tblPrEx>
        <w:trPr>
          <w:trHeight w:val="360"/>
        </w:trPr>
        <w:tc>
          <w:tcPr>
            <w:tcW w:w="2184" w:type="dxa"/>
            <w:vMerge/>
            <w:tcBorders>
              <w:top w:val="nil"/>
              <w:left w:val="single" w:sz="8" w:space="0" w:color="auto"/>
              <w:bottom w:val="single" w:sz="8" w:space="0" w:color="000000"/>
              <w:right w:val="single" w:sz="8" w:space="0" w:color="auto"/>
            </w:tcBorders>
            <w:vAlign w:val="center"/>
            <w:hideMark/>
          </w:tcPr>
          <w:p w:rsidR="0051519D" w:rsidRPr="0051519D" w:rsidP="0005621E" w14:paraId="3600B02A" w14:textId="77777777">
            <w:pPr>
              <w:widowControl/>
              <w:rPr>
                <w:rFonts w:ascii="Times New Roman" w:hAnsi="Times New Roman"/>
                <w:color w:val="000000"/>
                <w:sz w:val="20"/>
              </w:rPr>
            </w:pPr>
          </w:p>
        </w:tc>
        <w:tc>
          <w:tcPr>
            <w:tcW w:w="845" w:type="dxa"/>
            <w:vMerge/>
            <w:tcBorders>
              <w:top w:val="nil"/>
              <w:left w:val="single" w:sz="8" w:space="0" w:color="auto"/>
              <w:bottom w:val="single" w:sz="8" w:space="0" w:color="000000"/>
              <w:right w:val="single" w:sz="8" w:space="0" w:color="auto"/>
            </w:tcBorders>
            <w:vAlign w:val="center"/>
            <w:hideMark/>
          </w:tcPr>
          <w:p w:rsidR="0051519D" w:rsidRPr="0051519D" w:rsidP="0005621E" w14:paraId="53730669" w14:textId="77777777">
            <w:pPr>
              <w:widowControl/>
              <w:rPr>
                <w:rFonts w:ascii="Times New Roman" w:hAnsi="Times New Roman"/>
                <w:color w:val="000000"/>
                <w:sz w:val="20"/>
              </w:rPr>
            </w:pPr>
          </w:p>
        </w:tc>
        <w:tc>
          <w:tcPr>
            <w:tcW w:w="1000" w:type="dxa"/>
            <w:vMerge w:val="restart"/>
            <w:tcBorders>
              <w:top w:val="nil"/>
              <w:left w:val="single" w:sz="8" w:space="0" w:color="auto"/>
              <w:bottom w:val="single" w:sz="8" w:space="0" w:color="000000"/>
              <w:right w:val="single" w:sz="8" w:space="0" w:color="auto"/>
            </w:tcBorders>
            <w:shd w:val="clear" w:color="auto" w:fill="auto"/>
            <w:vAlign w:val="center"/>
            <w:hideMark/>
          </w:tcPr>
          <w:p w:rsidR="0051519D" w:rsidRPr="0051519D" w:rsidP="0005621E" w14:paraId="7EC9CB19" w14:textId="77777777">
            <w:pPr>
              <w:widowControl/>
              <w:jc w:val="center"/>
              <w:rPr>
                <w:rFonts w:ascii="Times New Roman" w:hAnsi="Times New Roman"/>
                <w:color w:val="000000"/>
                <w:sz w:val="20"/>
              </w:rPr>
            </w:pPr>
            <w:r w:rsidRPr="0051519D">
              <w:rPr>
                <w:rFonts w:ascii="Times New Roman" w:hAnsi="Times New Roman"/>
                <w:color w:val="000000"/>
                <w:sz w:val="20"/>
              </w:rPr>
              <w:t>Exec. &amp; Mgr.      ($143.28)</w:t>
            </w:r>
          </w:p>
        </w:tc>
        <w:tc>
          <w:tcPr>
            <w:tcW w:w="1000" w:type="dxa"/>
            <w:vMerge w:val="restart"/>
            <w:tcBorders>
              <w:top w:val="nil"/>
              <w:left w:val="single" w:sz="8" w:space="0" w:color="auto"/>
              <w:bottom w:val="single" w:sz="8" w:space="0" w:color="000000"/>
              <w:right w:val="single" w:sz="8" w:space="0" w:color="auto"/>
            </w:tcBorders>
            <w:shd w:val="clear" w:color="auto" w:fill="auto"/>
            <w:vAlign w:val="center"/>
            <w:hideMark/>
          </w:tcPr>
          <w:p w:rsidR="0051519D" w:rsidRPr="0051519D" w:rsidP="0005621E" w14:paraId="1E817FEF" w14:textId="77777777">
            <w:pPr>
              <w:widowControl/>
              <w:jc w:val="center"/>
              <w:rPr>
                <w:rFonts w:ascii="Times New Roman" w:hAnsi="Times New Roman"/>
                <w:color w:val="000000"/>
                <w:sz w:val="20"/>
              </w:rPr>
            </w:pPr>
            <w:r w:rsidRPr="0051519D">
              <w:rPr>
                <w:rFonts w:ascii="Times New Roman" w:hAnsi="Times New Roman"/>
                <w:color w:val="000000"/>
                <w:sz w:val="20"/>
              </w:rPr>
              <w:t>Lawyer   ($178.53)</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rsidR="0051519D" w:rsidRPr="0051519D" w:rsidP="0005621E" w14:paraId="6915C56B" w14:textId="77777777">
            <w:pPr>
              <w:widowControl/>
              <w:jc w:val="center"/>
              <w:rPr>
                <w:rFonts w:ascii="Times New Roman" w:hAnsi="Times New Roman"/>
                <w:color w:val="000000"/>
                <w:sz w:val="20"/>
              </w:rPr>
            </w:pPr>
            <w:r w:rsidRPr="0051519D">
              <w:rPr>
                <w:rFonts w:ascii="Times New Roman" w:hAnsi="Times New Roman"/>
                <w:color w:val="000000"/>
                <w:sz w:val="20"/>
              </w:rPr>
              <w:t>Compl. Ofc.   ($75.57)</w:t>
            </w:r>
          </w:p>
        </w:tc>
        <w:tc>
          <w:tcPr>
            <w:tcW w:w="1000" w:type="dxa"/>
            <w:vMerge w:val="restart"/>
            <w:tcBorders>
              <w:top w:val="nil"/>
              <w:left w:val="single" w:sz="8" w:space="0" w:color="auto"/>
              <w:bottom w:val="single" w:sz="8" w:space="0" w:color="000000"/>
              <w:right w:val="single" w:sz="8" w:space="0" w:color="auto"/>
            </w:tcBorders>
            <w:shd w:val="clear" w:color="auto" w:fill="auto"/>
            <w:vAlign w:val="center"/>
            <w:hideMark/>
          </w:tcPr>
          <w:p w:rsidR="0051519D" w:rsidRPr="0051519D" w:rsidP="0005621E" w14:paraId="034392A9" w14:textId="77777777">
            <w:pPr>
              <w:widowControl/>
              <w:jc w:val="center"/>
              <w:rPr>
                <w:rFonts w:ascii="Times New Roman" w:hAnsi="Times New Roman"/>
                <w:color w:val="000000"/>
                <w:sz w:val="20"/>
              </w:rPr>
            </w:pPr>
            <w:r w:rsidRPr="0051519D">
              <w:rPr>
                <w:rFonts w:ascii="Times New Roman" w:hAnsi="Times New Roman"/>
                <w:color w:val="000000"/>
                <w:sz w:val="20"/>
              </w:rPr>
              <w:t>IT    ($108.75)</w:t>
            </w:r>
          </w:p>
        </w:tc>
        <w:tc>
          <w:tcPr>
            <w:tcW w:w="931" w:type="dxa"/>
            <w:vMerge w:val="restart"/>
            <w:tcBorders>
              <w:top w:val="nil"/>
              <w:left w:val="single" w:sz="8" w:space="0" w:color="auto"/>
              <w:bottom w:val="single" w:sz="8" w:space="0" w:color="000000"/>
              <w:right w:val="single" w:sz="8" w:space="0" w:color="auto"/>
            </w:tcBorders>
            <w:shd w:val="clear" w:color="auto" w:fill="auto"/>
            <w:vAlign w:val="center"/>
            <w:hideMark/>
          </w:tcPr>
          <w:p w:rsidR="0051519D" w:rsidRPr="0051519D" w:rsidP="0005621E" w14:paraId="525E0960" w14:textId="77777777">
            <w:pPr>
              <w:widowControl/>
              <w:jc w:val="center"/>
              <w:rPr>
                <w:rFonts w:ascii="Times New Roman" w:hAnsi="Times New Roman"/>
                <w:color w:val="000000"/>
                <w:sz w:val="20"/>
              </w:rPr>
            </w:pPr>
            <w:r w:rsidRPr="0051519D">
              <w:rPr>
                <w:rFonts w:ascii="Times New Roman" w:hAnsi="Times New Roman"/>
                <w:color w:val="000000"/>
                <w:sz w:val="20"/>
              </w:rPr>
              <w:t>Fin. Anlst.    ($98.33)</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rsidR="0051519D" w:rsidRPr="0051519D" w:rsidP="0005621E" w14:paraId="7C9A999D" w14:textId="77777777">
            <w:pPr>
              <w:widowControl/>
              <w:jc w:val="center"/>
              <w:rPr>
                <w:rFonts w:ascii="Times New Roman" w:hAnsi="Times New Roman"/>
                <w:color w:val="000000"/>
                <w:sz w:val="20"/>
              </w:rPr>
            </w:pPr>
            <w:r w:rsidRPr="0051519D">
              <w:rPr>
                <w:rFonts w:ascii="Times New Roman" w:hAnsi="Times New Roman"/>
                <w:color w:val="000000"/>
                <w:sz w:val="20"/>
              </w:rPr>
              <w:t>Clerical    ($38.63)</w:t>
            </w:r>
          </w:p>
        </w:tc>
        <w:tc>
          <w:tcPr>
            <w:tcW w:w="1440" w:type="dxa"/>
            <w:gridSpan w:val="2"/>
            <w:vMerge/>
            <w:tcBorders>
              <w:top w:val="nil"/>
              <w:left w:val="single" w:sz="8" w:space="0" w:color="auto"/>
              <w:bottom w:val="single" w:sz="8" w:space="0" w:color="000000"/>
              <w:right w:val="single" w:sz="8" w:space="0" w:color="auto"/>
            </w:tcBorders>
            <w:vAlign w:val="center"/>
            <w:hideMark/>
          </w:tcPr>
          <w:p w:rsidR="0051519D" w:rsidRPr="0051519D" w:rsidP="0005621E" w14:paraId="520428E6" w14:textId="77777777">
            <w:pPr>
              <w:widowControl/>
              <w:rPr>
                <w:rFonts w:ascii="Times New Roman" w:hAnsi="Times New Roman"/>
                <w:color w:val="000000"/>
                <w:sz w:val="20"/>
              </w:rPr>
            </w:pPr>
          </w:p>
        </w:tc>
        <w:tc>
          <w:tcPr>
            <w:tcW w:w="227" w:type="dxa"/>
            <w:vAlign w:val="center"/>
            <w:hideMark/>
          </w:tcPr>
          <w:p w:rsidR="0051519D" w:rsidRPr="0051519D" w:rsidP="0005621E" w14:paraId="04A1EBFB" w14:textId="77777777">
            <w:pPr>
              <w:widowControl/>
              <w:rPr>
                <w:rFonts w:ascii="Times New Roman" w:hAnsi="Times New Roman"/>
                <w:sz w:val="20"/>
              </w:rPr>
            </w:pPr>
          </w:p>
        </w:tc>
      </w:tr>
      <w:tr w14:paraId="1DE19ECF" w14:textId="77777777" w:rsidTr="00BC693C">
        <w:tblPrEx>
          <w:tblW w:w="10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tblCellMar>
          <w:tblLook w:val="04A0"/>
        </w:tblPrEx>
        <w:trPr>
          <w:trHeight w:val="840"/>
        </w:trPr>
        <w:tc>
          <w:tcPr>
            <w:tcW w:w="2184" w:type="dxa"/>
            <w:vMerge/>
            <w:tcBorders>
              <w:top w:val="nil"/>
              <w:left w:val="single" w:sz="8" w:space="0" w:color="auto"/>
              <w:bottom w:val="single" w:sz="8" w:space="0" w:color="000000"/>
              <w:right w:val="single" w:sz="8" w:space="0" w:color="auto"/>
            </w:tcBorders>
            <w:vAlign w:val="center"/>
            <w:hideMark/>
          </w:tcPr>
          <w:p w:rsidR="0051519D" w:rsidRPr="0051519D" w:rsidP="0005621E" w14:paraId="75F9630E" w14:textId="77777777">
            <w:pPr>
              <w:widowControl/>
              <w:rPr>
                <w:rFonts w:ascii="Times New Roman" w:hAnsi="Times New Roman"/>
                <w:color w:val="000000"/>
                <w:sz w:val="20"/>
              </w:rPr>
            </w:pPr>
          </w:p>
        </w:tc>
        <w:tc>
          <w:tcPr>
            <w:tcW w:w="845" w:type="dxa"/>
            <w:vMerge/>
            <w:tcBorders>
              <w:top w:val="nil"/>
              <w:left w:val="single" w:sz="8" w:space="0" w:color="auto"/>
              <w:bottom w:val="single" w:sz="8" w:space="0" w:color="000000"/>
              <w:right w:val="single" w:sz="8" w:space="0" w:color="auto"/>
            </w:tcBorders>
            <w:vAlign w:val="center"/>
            <w:hideMark/>
          </w:tcPr>
          <w:p w:rsidR="0051519D" w:rsidRPr="0051519D" w:rsidP="0005621E" w14:paraId="7B5A14DB" w14:textId="77777777">
            <w:pPr>
              <w:widowControl/>
              <w:rPr>
                <w:rFonts w:ascii="Times New Roman" w:hAnsi="Times New Roman"/>
                <w:color w:val="000000"/>
                <w:sz w:val="20"/>
              </w:rPr>
            </w:pPr>
          </w:p>
        </w:tc>
        <w:tc>
          <w:tcPr>
            <w:tcW w:w="1000" w:type="dxa"/>
            <w:vMerge/>
            <w:tcBorders>
              <w:top w:val="nil"/>
              <w:left w:val="single" w:sz="8" w:space="0" w:color="auto"/>
              <w:bottom w:val="single" w:sz="8" w:space="0" w:color="000000"/>
              <w:right w:val="single" w:sz="8" w:space="0" w:color="auto"/>
            </w:tcBorders>
            <w:vAlign w:val="center"/>
            <w:hideMark/>
          </w:tcPr>
          <w:p w:rsidR="0051519D" w:rsidRPr="0051519D" w:rsidP="0005621E" w14:paraId="49DF10AA" w14:textId="77777777">
            <w:pPr>
              <w:widowControl/>
              <w:rPr>
                <w:rFonts w:ascii="Times New Roman" w:hAnsi="Times New Roman"/>
                <w:color w:val="000000"/>
                <w:sz w:val="20"/>
              </w:rPr>
            </w:pPr>
          </w:p>
        </w:tc>
        <w:tc>
          <w:tcPr>
            <w:tcW w:w="1000" w:type="dxa"/>
            <w:vMerge/>
            <w:tcBorders>
              <w:top w:val="nil"/>
              <w:left w:val="single" w:sz="8" w:space="0" w:color="auto"/>
              <w:bottom w:val="single" w:sz="8" w:space="0" w:color="000000"/>
              <w:right w:val="single" w:sz="8" w:space="0" w:color="auto"/>
            </w:tcBorders>
            <w:vAlign w:val="center"/>
            <w:hideMark/>
          </w:tcPr>
          <w:p w:rsidR="0051519D" w:rsidRPr="0051519D" w:rsidP="0005621E" w14:paraId="0D8F3462" w14:textId="77777777">
            <w:pPr>
              <w:widowControl/>
              <w:rPr>
                <w:rFonts w:ascii="Times New Roman" w:hAnsi="Times New Roman"/>
                <w:color w:val="000000"/>
                <w:sz w:val="20"/>
              </w:rPr>
            </w:pPr>
          </w:p>
        </w:tc>
        <w:tc>
          <w:tcPr>
            <w:tcW w:w="900" w:type="dxa"/>
            <w:vMerge/>
            <w:tcBorders>
              <w:top w:val="nil"/>
              <w:left w:val="single" w:sz="8" w:space="0" w:color="auto"/>
              <w:bottom w:val="single" w:sz="8" w:space="0" w:color="000000"/>
              <w:right w:val="single" w:sz="8" w:space="0" w:color="auto"/>
            </w:tcBorders>
            <w:vAlign w:val="center"/>
            <w:hideMark/>
          </w:tcPr>
          <w:p w:rsidR="0051519D" w:rsidRPr="0051519D" w:rsidP="0005621E" w14:paraId="49D95949" w14:textId="77777777">
            <w:pPr>
              <w:widowControl/>
              <w:rPr>
                <w:rFonts w:ascii="Times New Roman" w:hAnsi="Times New Roman"/>
                <w:color w:val="000000"/>
                <w:sz w:val="20"/>
              </w:rPr>
            </w:pPr>
          </w:p>
        </w:tc>
        <w:tc>
          <w:tcPr>
            <w:tcW w:w="1000" w:type="dxa"/>
            <w:vMerge/>
            <w:tcBorders>
              <w:top w:val="nil"/>
              <w:left w:val="single" w:sz="8" w:space="0" w:color="auto"/>
              <w:bottom w:val="single" w:sz="8" w:space="0" w:color="000000"/>
              <w:right w:val="single" w:sz="8" w:space="0" w:color="auto"/>
            </w:tcBorders>
            <w:vAlign w:val="center"/>
            <w:hideMark/>
          </w:tcPr>
          <w:p w:rsidR="0051519D" w:rsidRPr="0051519D" w:rsidP="0005621E" w14:paraId="32431C83" w14:textId="77777777">
            <w:pPr>
              <w:widowControl/>
              <w:rPr>
                <w:rFonts w:ascii="Times New Roman" w:hAnsi="Times New Roman"/>
                <w:color w:val="000000"/>
                <w:sz w:val="20"/>
              </w:rPr>
            </w:pPr>
          </w:p>
        </w:tc>
        <w:tc>
          <w:tcPr>
            <w:tcW w:w="931" w:type="dxa"/>
            <w:vMerge/>
            <w:tcBorders>
              <w:top w:val="nil"/>
              <w:left w:val="single" w:sz="8" w:space="0" w:color="auto"/>
              <w:bottom w:val="single" w:sz="8" w:space="0" w:color="000000"/>
              <w:right w:val="single" w:sz="8" w:space="0" w:color="auto"/>
            </w:tcBorders>
            <w:vAlign w:val="center"/>
            <w:hideMark/>
          </w:tcPr>
          <w:p w:rsidR="0051519D" w:rsidRPr="0051519D" w:rsidP="0005621E" w14:paraId="53A9A302" w14:textId="77777777">
            <w:pPr>
              <w:widowControl/>
              <w:rPr>
                <w:rFonts w:ascii="Times New Roman" w:hAnsi="Times New Roman"/>
                <w:color w:val="000000"/>
                <w:sz w:val="20"/>
              </w:rPr>
            </w:pPr>
          </w:p>
        </w:tc>
        <w:tc>
          <w:tcPr>
            <w:tcW w:w="900" w:type="dxa"/>
            <w:vMerge/>
            <w:tcBorders>
              <w:top w:val="nil"/>
              <w:left w:val="single" w:sz="8" w:space="0" w:color="auto"/>
              <w:bottom w:val="single" w:sz="8" w:space="0" w:color="000000"/>
              <w:right w:val="single" w:sz="8" w:space="0" w:color="auto"/>
            </w:tcBorders>
            <w:vAlign w:val="center"/>
            <w:hideMark/>
          </w:tcPr>
          <w:p w:rsidR="0051519D" w:rsidRPr="0051519D" w:rsidP="0005621E" w14:paraId="2DDF6044" w14:textId="77777777">
            <w:pPr>
              <w:widowControl/>
              <w:rPr>
                <w:rFonts w:ascii="Times New Roman" w:hAnsi="Times New Roman"/>
                <w:color w:val="000000"/>
                <w:sz w:val="20"/>
              </w:rPr>
            </w:pPr>
          </w:p>
        </w:tc>
        <w:tc>
          <w:tcPr>
            <w:tcW w:w="1440" w:type="dxa"/>
            <w:gridSpan w:val="2"/>
            <w:vMerge/>
            <w:tcBorders>
              <w:top w:val="nil"/>
              <w:left w:val="single" w:sz="8" w:space="0" w:color="auto"/>
              <w:bottom w:val="single" w:sz="8" w:space="0" w:color="000000"/>
              <w:right w:val="single" w:sz="8" w:space="0" w:color="auto"/>
            </w:tcBorders>
            <w:vAlign w:val="center"/>
            <w:hideMark/>
          </w:tcPr>
          <w:p w:rsidR="0051519D" w:rsidRPr="0051519D" w:rsidP="0005621E" w14:paraId="6D7CD0B0" w14:textId="77777777">
            <w:pPr>
              <w:widowControl/>
              <w:rPr>
                <w:rFonts w:ascii="Times New Roman" w:hAnsi="Times New Roman"/>
                <w:color w:val="000000"/>
                <w:sz w:val="20"/>
              </w:rPr>
            </w:pPr>
          </w:p>
        </w:tc>
        <w:tc>
          <w:tcPr>
            <w:tcW w:w="227" w:type="dxa"/>
            <w:tcBorders>
              <w:top w:val="nil"/>
              <w:left w:val="nil"/>
              <w:bottom w:val="nil"/>
              <w:right w:val="nil"/>
            </w:tcBorders>
            <w:shd w:val="clear" w:color="auto" w:fill="auto"/>
            <w:noWrap/>
            <w:vAlign w:val="bottom"/>
            <w:hideMark/>
          </w:tcPr>
          <w:p w:rsidR="0051519D" w:rsidRPr="0051519D" w:rsidP="0005621E" w14:paraId="685EF4C9" w14:textId="77777777">
            <w:pPr>
              <w:widowControl/>
              <w:jc w:val="center"/>
              <w:rPr>
                <w:rFonts w:ascii="Times New Roman" w:hAnsi="Times New Roman"/>
                <w:color w:val="000000"/>
                <w:sz w:val="20"/>
              </w:rPr>
            </w:pPr>
          </w:p>
        </w:tc>
      </w:tr>
      <w:tr w14:paraId="35C2BB32" w14:textId="77777777" w:rsidTr="00BC693C">
        <w:tblPrEx>
          <w:tblW w:w="10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tblCellMar>
          <w:tblLook w:val="04A0"/>
        </w:tblPrEx>
        <w:trPr>
          <w:trHeight w:val="1392"/>
        </w:trPr>
        <w:tc>
          <w:tcPr>
            <w:tcW w:w="2184" w:type="dxa"/>
            <w:tcBorders>
              <w:top w:val="nil"/>
              <w:left w:val="single" w:sz="8" w:space="0" w:color="auto"/>
              <w:bottom w:val="single" w:sz="8" w:space="0" w:color="auto"/>
              <w:right w:val="single" w:sz="8" w:space="0" w:color="auto"/>
            </w:tcBorders>
            <w:shd w:val="clear" w:color="auto" w:fill="auto"/>
            <w:vAlign w:val="center"/>
            <w:hideMark/>
          </w:tcPr>
          <w:p w:rsidR="0051519D" w:rsidRPr="0051519D" w:rsidP="0005621E" w14:paraId="7396323A" w14:textId="77777777">
            <w:pPr>
              <w:widowControl/>
              <w:rPr>
                <w:rFonts w:ascii="Times New Roman" w:hAnsi="Times New Roman"/>
                <w:color w:val="000000"/>
                <w:sz w:val="20"/>
              </w:rPr>
            </w:pPr>
            <w:r w:rsidRPr="0051519D">
              <w:rPr>
                <w:rFonts w:ascii="Times New Roman" w:hAnsi="Times New Roman"/>
                <w:color w:val="000000"/>
                <w:sz w:val="20"/>
              </w:rPr>
              <w:t>1. Assessment Rate Adjustment Guidelines for Large and Highly Complex Institutions, 12 CFR 327 (Required to obtain or retain benefits)</w:t>
            </w:r>
          </w:p>
        </w:tc>
        <w:tc>
          <w:tcPr>
            <w:tcW w:w="845" w:type="dxa"/>
            <w:tcBorders>
              <w:top w:val="nil"/>
              <w:left w:val="nil"/>
              <w:bottom w:val="single" w:sz="8" w:space="0" w:color="auto"/>
              <w:right w:val="single" w:sz="8" w:space="0" w:color="auto"/>
            </w:tcBorders>
            <w:shd w:val="clear" w:color="auto" w:fill="auto"/>
            <w:vAlign w:val="center"/>
            <w:hideMark/>
          </w:tcPr>
          <w:p w:rsidR="0051519D" w:rsidRPr="0051519D" w:rsidP="0005621E" w14:paraId="6411E2C3" w14:textId="77777777">
            <w:pPr>
              <w:widowControl/>
              <w:jc w:val="center"/>
              <w:rPr>
                <w:rFonts w:ascii="Times New Roman" w:hAnsi="Times New Roman"/>
                <w:color w:val="000000"/>
                <w:sz w:val="20"/>
              </w:rPr>
            </w:pPr>
            <w:r w:rsidRPr="0051519D">
              <w:rPr>
                <w:rFonts w:ascii="Times New Roman" w:hAnsi="Times New Roman"/>
                <w:color w:val="000000"/>
                <w:sz w:val="20"/>
              </w:rPr>
              <w:t>100.00</w:t>
            </w:r>
          </w:p>
        </w:tc>
        <w:tc>
          <w:tcPr>
            <w:tcW w:w="1000" w:type="dxa"/>
            <w:tcBorders>
              <w:top w:val="nil"/>
              <w:left w:val="nil"/>
              <w:bottom w:val="single" w:sz="8" w:space="0" w:color="auto"/>
              <w:right w:val="single" w:sz="8" w:space="0" w:color="auto"/>
            </w:tcBorders>
            <w:shd w:val="clear" w:color="auto" w:fill="auto"/>
            <w:vAlign w:val="center"/>
            <w:hideMark/>
          </w:tcPr>
          <w:p w:rsidR="0051519D" w:rsidRPr="0051519D" w:rsidP="0005621E" w14:paraId="1D35513F" w14:textId="77777777">
            <w:pPr>
              <w:widowControl/>
              <w:jc w:val="center"/>
              <w:rPr>
                <w:rFonts w:ascii="Times New Roman" w:hAnsi="Times New Roman"/>
                <w:color w:val="000000"/>
                <w:sz w:val="20"/>
              </w:rPr>
            </w:pPr>
            <w:r w:rsidRPr="0051519D">
              <w:rPr>
                <w:rFonts w:ascii="Times New Roman" w:hAnsi="Times New Roman"/>
                <w:color w:val="000000"/>
                <w:sz w:val="20"/>
              </w:rPr>
              <w:t>25</w:t>
            </w:r>
          </w:p>
        </w:tc>
        <w:tc>
          <w:tcPr>
            <w:tcW w:w="1000" w:type="dxa"/>
            <w:tcBorders>
              <w:top w:val="nil"/>
              <w:left w:val="nil"/>
              <w:bottom w:val="single" w:sz="8" w:space="0" w:color="auto"/>
              <w:right w:val="single" w:sz="8" w:space="0" w:color="auto"/>
            </w:tcBorders>
            <w:shd w:val="clear" w:color="auto" w:fill="auto"/>
            <w:vAlign w:val="center"/>
            <w:hideMark/>
          </w:tcPr>
          <w:p w:rsidR="0051519D" w:rsidRPr="0051519D" w:rsidP="0005621E" w14:paraId="217AA1C6" w14:textId="77777777">
            <w:pPr>
              <w:widowControl/>
              <w:jc w:val="center"/>
              <w:rPr>
                <w:rFonts w:ascii="Times New Roman" w:hAnsi="Times New Roman"/>
                <w:color w:val="000000"/>
                <w:sz w:val="20"/>
              </w:rPr>
            </w:pPr>
            <w:r w:rsidRPr="0051519D">
              <w:rPr>
                <w:rFonts w:ascii="Times New Roman" w:hAnsi="Times New Roman"/>
                <w:color w:val="000000"/>
                <w:sz w:val="20"/>
              </w:rPr>
              <w:t>25</w:t>
            </w:r>
          </w:p>
        </w:tc>
        <w:tc>
          <w:tcPr>
            <w:tcW w:w="900" w:type="dxa"/>
            <w:tcBorders>
              <w:top w:val="nil"/>
              <w:left w:val="nil"/>
              <w:bottom w:val="single" w:sz="8" w:space="0" w:color="auto"/>
              <w:right w:val="single" w:sz="8" w:space="0" w:color="auto"/>
            </w:tcBorders>
            <w:shd w:val="clear" w:color="auto" w:fill="auto"/>
            <w:vAlign w:val="center"/>
            <w:hideMark/>
          </w:tcPr>
          <w:p w:rsidR="0051519D" w:rsidRPr="0051519D" w:rsidP="0005621E" w14:paraId="789CF222" w14:textId="77777777">
            <w:pPr>
              <w:widowControl/>
              <w:jc w:val="center"/>
              <w:rPr>
                <w:rFonts w:ascii="Times New Roman" w:hAnsi="Times New Roman"/>
                <w:color w:val="000000"/>
                <w:sz w:val="20"/>
              </w:rPr>
            </w:pPr>
            <w:r w:rsidRPr="0051519D">
              <w:rPr>
                <w:rFonts w:ascii="Times New Roman" w:hAnsi="Times New Roman"/>
                <w:color w:val="000000"/>
                <w:sz w:val="20"/>
              </w:rPr>
              <w:t>0</w:t>
            </w:r>
          </w:p>
        </w:tc>
        <w:tc>
          <w:tcPr>
            <w:tcW w:w="1000" w:type="dxa"/>
            <w:tcBorders>
              <w:top w:val="nil"/>
              <w:left w:val="nil"/>
              <w:bottom w:val="single" w:sz="8" w:space="0" w:color="auto"/>
              <w:right w:val="single" w:sz="8" w:space="0" w:color="auto"/>
            </w:tcBorders>
            <w:shd w:val="clear" w:color="auto" w:fill="auto"/>
            <w:vAlign w:val="center"/>
            <w:hideMark/>
          </w:tcPr>
          <w:p w:rsidR="0051519D" w:rsidRPr="0051519D" w:rsidP="0005621E" w14:paraId="3801EDF3" w14:textId="77777777">
            <w:pPr>
              <w:widowControl/>
              <w:jc w:val="center"/>
              <w:rPr>
                <w:rFonts w:ascii="Times New Roman" w:hAnsi="Times New Roman"/>
                <w:color w:val="000000"/>
                <w:sz w:val="20"/>
              </w:rPr>
            </w:pPr>
            <w:r w:rsidRPr="0051519D">
              <w:rPr>
                <w:rFonts w:ascii="Times New Roman" w:hAnsi="Times New Roman"/>
                <w:color w:val="000000"/>
                <w:sz w:val="20"/>
              </w:rPr>
              <w:t>25</w:t>
            </w:r>
          </w:p>
        </w:tc>
        <w:tc>
          <w:tcPr>
            <w:tcW w:w="931" w:type="dxa"/>
            <w:tcBorders>
              <w:top w:val="nil"/>
              <w:left w:val="nil"/>
              <w:bottom w:val="single" w:sz="8" w:space="0" w:color="auto"/>
              <w:right w:val="single" w:sz="8" w:space="0" w:color="auto"/>
            </w:tcBorders>
            <w:shd w:val="clear" w:color="auto" w:fill="auto"/>
            <w:vAlign w:val="center"/>
            <w:hideMark/>
          </w:tcPr>
          <w:p w:rsidR="0051519D" w:rsidRPr="0051519D" w:rsidP="0005621E" w14:paraId="3D1256D3" w14:textId="77777777">
            <w:pPr>
              <w:widowControl/>
              <w:jc w:val="center"/>
              <w:rPr>
                <w:rFonts w:ascii="Times New Roman" w:hAnsi="Times New Roman"/>
                <w:color w:val="000000"/>
                <w:sz w:val="20"/>
              </w:rPr>
            </w:pPr>
            <w:r w:rsidRPr="0051519D">
              <w:rPr>
                <w:rFonts w:ascii="Times New Roman" w:hAnsi="Times New Roman"/>
                <w:color w:val="000000"/>
                <w:sz w:val="20"/>
              </w:rPr>
              <w:t>25</w:t>
            </w:r>
          </w:p>
        </w:tc>
        <w:tc>
          <w:tcPr>
            <w:tcW w:w="900" w:type="dxa"/>
            <w:tcBorders>
              <w:top w:val="nil"/>
              <w:left w:val="nil"/>
              <w:bottom w:val="single" w:sz="8" w:space="0" w:color="auto"/>
              <w:right w:val="single" w:sz="8" w:space="0" w:color="auto"/>
            </w:tcBorders>
            <w:shd w:val="clear" w:color="auto" w:fill="auto"/>
            <w:vAlign w:val="center"/>
            <w:hideMark/>
          </w:tcPr>
          <w:p w:rsidR="0051519D" w:rsidRPr="0051519D" w:rsidP="0005621E" w14:paraId="0399A470" w14:textId="77777777">
            <w:pPr>
              <w:widowControl/>
              <w:jc w:val="center"/>
              <w:rPr>
                <w:rFonts w:ascii="Times New Roman" w:hAnsi="Times New Roman"/>
                <w:color w:val="000000"/>
                <w:sz w:val="20"/>
              </w:rPr>
            </w:pPr>
            <w:r w:rsidRPr="0051519D">
              <w:rPr>
                <w:rFonts w:ascii="Times New Roman" w:hAnsi="Times New Roman"/>
                <w:color w:val="000000"/>
                <w:sz w:val="20"/>
              </w:rPr>
              <w:t>0</w:t>
            </w:r>
          </w:p>
        </w:tc>
        <w:tc>
          <w:tcPr>
            <w:tcW w:w="1440" w:type="dxa"/>
            <w:gridSpan w:val="2"/>
            <w:tcBorders>
              <w:top w:val="nil"/>
              <w:left w:val="nil"/>
              <w:bottom w:val="single" w:sz="8" w:space="0" w:color="auto"/>
              <w:right w:val="single" w:sz="8" w:space="0" w:color="auto"/>
            </w:tcBorders>
            <w:shd w:val="clear" w:color="auto" w:fill="auto"/>
            <w:vAlign w:val="center"/>
            <w:hideMark/>
          </w:tcPr>
          <w:p w:rsidR="0051519D" w:rsidRPr="0051519D" w:rsidP="0005621E" w14:paraId="3846109D" w14:textId="77777777">
            <w:pPr>
              <w:widowControl/>
              <w:ind w:firstLine="200" w:firstLineChars="100"/>
              <w:jc w:val="right"/>
              <w:rPr>
                <w:rFonts w:ascii="Times New Roman" w:hAnsi="Times New Roman"/>
                <w:color w:val="000000"/>
                <w:sz w:val="20"/>
              </w:rPr>
            </w:pPr>
            <w:r w:rsidRPr="0051519D">
              <w:rPr>
                <w:rFonts w:ascii="Times New Roman" w:hAnsi="Times New Roman"/>
                <w:color w:val="000000"/>
                <w:sz w:val="20"/>
              </w:rPr>
              <w:t xml:space="preserve">$132.22 </w:t>
            </w:r>
          </w:p>
        </w:tc>
        <w:tc>
          <w:tcPr>
            <w:tcW w:w="227" w:type="dxa"/>
            <w:vAlign w:val="center"/>
            <w:hideMark/>
          </w:tcPr>
          <w:p w:rsidR="0051519D" w:rsidRPr="0051519D" w:rsidP="0005621E" w14:paraId="72F82C27" w14:textId="77777777">
            <w:pPr>
              <w:widowControl/>
              <w:rPr>
                <w:rFonts w:ascii="Times New Roman" w:hAnsi="Times New Roman"/>
                <w:sz w:val="20"/>
              </w:rPr>
            </w:pPr>
          </w:p>
        </w:tc>
      </w:tr>
      <w:tr w14:paraId="5B678D8D" w14:textId="77777777" w:rsidTr="00BC693C">
        <w:tblPrEx>
          <w:tblW w:w="10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tblCellMar>
          <w:tblLook w:val="04A0"/>
        </w:tblPrEx>
        <w:trPr>
          <w:trHeight w:val="300"/>
        </w:trPr>
        <w:tc>
          <w:tcPr>
            <w:tcW w:w="8760"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51519D" w:rsidRPr="0051519D" w:rsidP="0005621E" w14:paraId="0A943DB7" w14:textId="77777777">
            <w:pPr>
              <w:widowControl/>
              <w:jc w:val="right"/>
              <w:rPr>
                <w:rFonts w:ascii="Times New Roman" w:hAnsi="Times New Roman"/>
                <w:b/>
                <w:bCs/>
                <w:i/>
                <w:iCs/>
                <w:color w:val="000000"/>
                <w:sz w:val="20"/>
              </w:rPr>
            </w:pPr>
            <w:r w:rsidRPr="0051519D">
              <w:rPr>
                <w:rFonts w:ascii="Times New Roman" w:hAnsi="Times New Roman"/>
                <w:b/>
                <w:bCs/>
                <w:i/>
                <w:iCs/>
                <w:color w:val="000000"/>
                <w:sz w:val="20"/>
              </w:rPr>
              <w:t>Weighted Average Hourly Compensation Rate:</w:t>
            </w:r>
          </w:p>
        </w:tc>
        <w:tc>
          <w:tcPr>
            <w:tcW w:w="1440" w:type="dxa"/>
            <w:gridSpan w:val="2"/>
            <w:tcBorders>
              <w:top w:val="nil"/>
              <w:left w:val="nil"/>
              <w:bottom w:val="nil"/>
              <w:right w:val="single" w:sz="8" w:space="0" w:color="auto"/>
            </w:tcBorders>
            <w:shd w:val="clear" w:color="auto" w:fill="auto"/>
            <w:vAlign w:val="center"/>
            <w:hideMark/>
          </w:tcPr>
          <w:p w:rsidR="0051519D" w:rsidRPr="0051519D" w:rsidP="0005621E" w14:paraId="74105312" w14:textId="77777777">
            <w:pPr>
              <w:widowControl/>
              <w:ind w:firstLine="200" w:firstLineChars="100"/>
              <w:jc w:val="right"/>
              <w:rPr>
                <w:rFonts w:ascii="Times New Roman" w:hAnsi="Times New Roman"/>
                <w:b/>
                <w:bCs/>
                <w:i/>
                <w:iCs/>
                <w:color w:val="000000"/>
                <w:sz w:val="20"/>
              </w:rPr>
            </w:pPr>
            <w:r w:rsidRPr="0051519D">
              <w:rPr>
                <w:rFonts w:ascii="Times New Roman" w:hAnsi="Times New Roman"/>
                <w:b/>
                <w:bCs/>
                <w:i/>
                <w:iCs/>
                <w:color w:val="000000"/>
                <w:sz w:val="20"/>
              </w:rPr>
              <w:t xml:space="preserve">$132.22 </w:t>
            </w:r>
          </w:p>
        </w:tc>
        <w:tc>
          <w:tcPr>
            <w:tcW w:w="227" w:type="dxa"/>
            <w:vAlign w:val="center"/>
            <w:hideMark/>
          </w:tcPr>
          <w:p w:rsidR="0051519D" w:rsidRPr="0051519D" w:rsidP="0005621E" w14:paraId="314FBF38" w14:textId="77777777">
            <w:pPr>
              <w:widowControl/>
              <w:rPr>
                <w:rFonts w:ascii="Times New Roman" w:hAnsi="Times New Roman"/>
                <w:sz w:val="20"/>
              </w:rPr>
            </w:pPr>
          </w:p>
        </w:tc>
      </w:tr>
      <w:tr w14:paraId="42C30465" w14:textId="77777777" w:rsidTr="00BC693C">
        <w:tblPrEx>
          <w:tblW w:w="10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tblCellMar>
          <w:tblLook w:val="04A0"/>
        </w:tblPrEx>
        <w:trPr>
          <w:trHeight w:val="252"/>
        </w:trPr>
        <w:tc>
          <w:tcPr>
            <w:tcW w:w="10200" w:type="dxa"/>
            <w:gridSpan w:val="10"/>
            <w:vMerge w:val="restart"/>
            <w:tcBorders>
              <w:top w:val="single" w:sz="8" w:space="0" w:color="auto"/>
              <w:left w:val="single" w:sz="8" w:space="0" w:color="auto"/>
              <w:bottom w:val="nil"/>
              <w:right w:val="single" w:sz="8" w:space="0" w:color="000000"/>
            </w:tcBorders>
            <w:shd w:val="clear" w:color="auto" w:fill="auto"/>
            <w:vAlign w:val="center"/>
            <w:hideMark/>
          </w:tcPr>
          <w:p w:rsidR="0051519D" w:rsidRPr="0051519D" w:rsidP="0005621E" w14:paraId="2EAE3BA1" w14:textId="77777777">
            <w:pPr>
              <w:widowControl/>
              <w:rPr>
                <w:rFonts w:ascii="Times New Roman" w:hAnsi="Times New Roman"/>
                <w:color w:val="000000"/>
                <w:sz w:val="20"/>
              </w:rPr>
            </w:pPr>
            <w:r w:rsidRPr="0051519D">
              <w:rPr>
                <w:rFonts w:ascii="Times New Roman" w:hAnsi="Times New Roman"/>
                <w:color w:val="000000"/>
                <w:sz w:val="20"/>
              </w:rPr>
              <w:t xml:space="preserve">Source: Bureau of Labor Statistics: 'National Industry-Specific Occupational Employment and Wage Estimates: Industry: Credit Intermediation and Related Activities (5221 And 5223 only)' (May 2023), Employer Cost of Employee Compensation (March 2023), and Employment Cost Index (March 2023 and December 2023). Standard Occupational Classification (SOC) Codes: Exec. And Mgr = 11-0000 Management Occupations; Lawyer = 23-0000 Legal Occupations; Compl. Ofc. = 13-1040 Compliance Officers; IT = 15-0000 Computer and Mathematical Occupations; Fin. Anlst. = 13-2051 Financial and Investment Analysts; Clerical = 43-0000 Office and Administrative Support Occupations. </w:t>
            </w:r>
          </w:p>
        </w:tc>
        <w:tc>
          <w:tcPr>
            <w:tcW w:w="227" w:type="dxa"/>
            <w:vAlign w:val="center"/>
            <w:hideMark/>
          </w:tcPr>
          <w:p w:rsidR="0051519D" w:rsidRPr="0051519D" w:rsidP="0005621E" w14:paraId="6D326E6C" w14:textId="77777777">
            <w:pPr>
              <w:widowControl/>
              <w:rPr>
                <w:rFonts w:ascii="Times New Roman" w:hAnsi="Times New Roman"/>
                <w:sz w:val="20"/>
              </w:rPr>
            </w:pPr>
          </w:p>
        </w:tc>
      </w:tr>
      <w:tr w14:paraId="62A32126" w14:textId="77777777" w:rsidTr="00BC693C">
        <w:tblPrEx>
          <w:tblW w:w="10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tblCellMar>
          <w:tblLook w:val="04A0"/>
        </w:tblPrEx>
        <w:trPr>
          <w:trHeight w:val="288"/>
        </w:trPr>
        <w:tc>
          <w:tcPr>
            <w:tcW w:w="10200" w:type="dxa"/>
            <w:gridSpan w:val="10"/>
            <w:vMerge/>
            <w:tcBorders>
              <w:top w:val="single" w:sz="8" w:space="0" w:color="auto"/>
              <w:left w:val="single" w:sz="8" w:space="0" w:color="auto"/>
              <w:bottom w:val="nil"/>
              <w:right w:val="single" w:sz="8" w:space="0" w:color="000000"/>
            </w:tcBorders>
            <w:vAlign w:val="center"/>
            <w:hideMark/>
          </w:tcPr>
          <w:p w:rsidR="0051519D" w:rsidRPr="0051519D" w:rsidP="0005621E" w14:paraId="4E8C648B" w14:textId="77777777">
            <w:pPr>
              <w:widowControl/>
              <w:rPr>
                <w:rFonts w:ascii="Times New Roman" w:hAnsi="Times New Roman"/>
                <w:color w:val="000000"/>
                <w:sz w:val="20"/>
              </w:rPr>
            </w:pPr>
          </w:p>
        </w:tc>
        <w:tc>
          <w:tcPr>
            <w:tcW w:w="227" w:type="dxa"/>
            <w:tcBorders>
              <w:top w:val="nil"/>
              <w:left w:val="nil"/>
              <w:bottom w:val="nil"/>
              <w:right w:val="nil"/>
            </w:tcBorders>
            <w:shd w:val="clear" w:color="auto" w:fill="auto"/>
            <w:noWrap/>
            <w:vAlign w:val="bottom"/>
            <w:hideMark/>
          </w:tcPr>
          <w:p w:rsidR="0051519D" w:rsidRPr="0051519D" w:rsidP="0005621E" w14:paraId="7AF9F7C4" w14:textId="77777777">
            <w:pPr>
              <w:widowControl/>
              <w:rPr>
                <w:rFonts w:ascii="Times New Roman" w:hAnsi="Times New Roman"/>
                <w:color w:val="000000"/>
                <w:sz w:val="20"/>
              </w:rPr>
            </w:pPr>
          </w:p>
        </w:tc>
      </w:tr>
      <w:tr w14:paraId="6AD09BC5" w14:textId="77777777" w:rsidTr="00BC693C">
        <w:tblPrEx>
          <w:tblW w:w="10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tblCellMar>
          <w:tblLook w:val="04A0"/>
        </w:tblPrEx>
        <w:trPr>
          <w:trHeight w:val="288"/>
        </w:trPr>
        <w:tc>
          <w:tcPr>
            <w:tcW w:w="10200" w:type="dxa"/>
            <w:gridSpan w:val="10"/>
            <w:vMerge/>
            <w:tcBorders>
              <w:top w:val="single" w:sz="8" w:space="0" w:color="auto"/>
              <w:left w:val="single" w:sz="8" w:space="0" w:color="auto"/>
              <w:bottom w:val="nil"/>
              <w:right w:val="single" w:sz="8" w:space="0" w:color="000000"/>
            </w:tcBorders>
            <w:vAlign w:val="center"/>
            <w:hideMark/>
          </w:tcPr>
          <w:p w:rsidR="0051519D" w:rsidRPr="0051519D" w:rsidP="0005621E" w14:paraId="273B8DE4" w14:textId="77777777">
            <w:pPr>
              <w:widowControl/>
              <w:rPr>
                <w:rFonts w:ascii="Times New Roman" w:hAnsi="Times New Roman"/>
                <w:color w:val="000000"/>
                <w:sz w:val="20"/>
              </w:rPr>
            </w:pPr>
          </w:p>
        </w:tc>
        <w:tc>
          <w:tcPr>
            <w:tcW w:w="227" w:type="dxa"/>
            <w:tcBorders>
              <w:top w:val="nil"/>
              <w:left w:val="nil"/>
              <w:bottom w:val="nil"/>
              <w:right w:val="nil"/>
            </w:tcBorders>
            <w:shd w:val="clear" w:color="auto" w:fill="auto"/>
            <w:noWrap/>
            <w:vAlign w:val="bottom"/>
            <w:hideMark/>
          </w:tcPr>
          <w:p w:rsidR="0051519D" w:rsidRPr="0051519D" w:rsidP="0005621E" w14:paraId="32BF2A90" w14:textId="77777777">
            <w:pPr>
              <w:widowControl/>
              <w:rPr>
                <w:rFonts w:ascii="Times New Roman" w:hAnsi="Times New Roman"/>
                <w:sz w:val="20"/>
              </w:rPr>
            </w:pPr>
          </w:p>
        </w:tc>
      </w:tr>
      <w:tr w14:paraId="78F4ACF3" w14:textId="77777777" w:rsidTr="00BC693C">
        <w:tblPrEx>
          <w:tblW w:w="10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tblCellMar>
          <w:tblLook w:val="04A0"/>
        </w:tblPrEx>
        <w:trPr>
          <w:trHeight w:val="312"/>
        </w:trPr>
        <w:tc>
          <w:tcPr>
            <w:tcW w:w="10200" w:type="dxa"/>
            <w:gridSpan w:val="10"/>
            <w:vMerge/>
            <w:tcBorders>
              <w:top w:val="single" w:sz="8" w:space="0" w:color="auto"/>
              <w:left w:val="single" w:sz="8" w:space="0" w:color="auto"/>
              <w:bottom w:val="nil"/>
              <w:right w:val="single" w:sz="8" w:space="0" w:color="000000"/>
            </w:tcBorders>
            <w:vAlign w:val="center"/>
            <w:hideMark/>
          </w:tcPr>
          <w:p w:rsidR="0051519D" w:rsidRPr="0051519D" w:rsidP="0005621E" w14:paraId="5FF4BD04" w14:textId="77777777">
            <w:pPr>
              <w:widowControl/>
              <w:rPr>
                <w:rFonts w:ascii="Times New Roman" w:hAnsi="Times New Roman"/>
                <w:color w:val="000000"/>
                <w:sz w:val="20"/>
              </w:rPr>
            </w:pPr>
          </w:p>
        </w:tc>
        <w:tc>
          <w:tcPr>
            <w:tcW w:w="227" w:type="dxa"/>
            <w:tcBorders>
              <w:top w:val="nil"/>
              <w:left w:val="nil"/>
              <w:bottom w:val="nil"/>
              <w:right w:val="nil"/>
            </w:tcBorders>
            <w:shd w:val="clear" w:color="auto" w:fill="auto"/>
            <w:noWrap/>
            <w:vAlign w:val="bottom"/>
            <w:hideMark/>
          </w:tcPr>
          <w:p w:rsidR="0051519D" w:rsidRPr="0051519D" w:rsidP="0005621E" w14:paraId="4B042462" w14:textId="77777777">
            <w:pPr>
              <w:widowControl/>
              <w:rPr>
                <w:rFonts w:ascii="Times New Roman" w:hAnsi="Times New Roman"/>
                <w:sz w:val="20"/>
              </w:rPr>
            </w:pPr>
          </w:p>
        </w:tc>
      </w:tr>
      <w:tr w14:paraId="08CF50A7" w14:textId="77777777" w:rsidTr="00BC693C">
        <w:tblPrEx>
          <w:tblW w:w="10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tblCellMar>
          <w:tblLook w:val="04A0"/>
        </w:tblPrEx>
        <w:trPr>
          <w:trHeight w:val="348"/>
        </w:trPr>
        <w:tc>
          <w:tcPr>
            <w:tcW w:w="10200" w:type="dxa"/>
            <w:gridSpan w:val="10"/>
            <w:vMerge w:val="restart"/>
            <w:tcBorders>
              <w:top w:val="nil"/>
              <w:left w:val="single" w:sz="8" w:space="0" w:color="auto"/>
              <w:bottom w:val="single" w:sz="8" w:space="0" w:color="000000"/>
              <w:right w:val="single" w:sz="8" w:space="0" w:color="000000"/>
            </w:tcBorders>
            <w:shd w:val="clear" w:color="auto" w:fill="auto"/>
            <w:vAlign w:val="center"/>
            <w:hideMark/>
          </w:tcPr>
          <w:p w:rsidR="0051519D" w:rsidRPr="0051519D" w:rsidP="0005621E" w14:paraId="5D9BCEF3" w14:textId="77777777">
            <w:pPr>
              <w:widowControl/>
              <w:rPr>
                <w:rFonts w:ascii="Times New Roman" w:hAnsi="Times New Roman"/>
                <w:color w:val="000000"/>
                <w:sz w:val="20"/>
              </w:rPr>
            </w:pPr>
            <w:r w:rsidRPr="0051519D">
              <w:rPr>
                <w:rFonts w:ascii="Times New Roman" w:hAnsi="Times New Roman"/>
                <w:color w:val="000000"/>
                <w:sz w:val="20"/>
              </w:rPr>
              <w:t>Note: The estimated hourly compensation rate for a given IC is the average of the hourly compensation rates for the occupations used to comply with that IC, weighted by the estimated share of hours spent by each occupation. The weighted average hourly compensation rate for the entire ICR is the average of the estimated hourly compensation rates for all ICs, weighted by the share of hourly burden for IC. These hourly weights, as shown in the “Hourly Weight” column of this table, are the quotients of the estimated number of annual burden hours for each IC and the total estimated number of annual burden hours across all ICs.</w:t>
            </w:r>
          </w:p>
        </w:tc>
        <w:tc>
          <w:tcPr>
            <w:tcW w:w="227" w:type="dxa"/>
            <w:vAlign w:val="center"/>
            <w:hideMark/>
          </w:tcPr>
          <w:p w:rsidR="0051519D" w:rsidRPr="0051519D" w:rsidP="0005621E" w14:paraId="3D5F370A" w14:textId="77777777">
            <w:pPr>
              <w:widowControl/>
              <w:rPr>
                <w:rFonts w:ascii="Times New Roman" w:hAnsi="Times New Roman"/>
                <w:sz w:val="20"/>
              </w:rPr>
            </w:pPr>
          </w:p>
        </w:tc>
      </w:tr>
      <w:tr w14:paraId="1FBF6FA0" w14:textId="77777777" w:rsidTr="00BC693C">
        <w:tblPrEx>
          <w:tblW w:w="10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tblCellMar>
          <w:tblLook w:val="04A0"/>
        </w:tblPrEx>
        <w:trPr>
          <w:trHeight w:val="288"/>
        </w:trPr>
        <w:tc>
          <w:tcPr>
            <w:tcW w:w="10200" w:type="dxa"/>
            <w:gridSpan w:val="10"/>
            <w:vMerge/>
            <w:tcBorders>
              <w:top w:val="nil"/>
              <w:left w:val="single" w:sz="8" w:space="0" w:color="auto"/>
              <w:bottom w:val="single" w:sz="8" w:space="0" w:color="000000"/>
              <w:right w:val="single" w:sz="8" w:space="0" w:color="000000"/>
            </w:tcBorders>
            <w:vAlign w:val="center"/>
            <w:hideMark/>
          </w:tcPr>
          <w:p w:rsidR="0051519D" w:rsidRPr="0051519D" w:rsidP="0005621E" w14:paraId="1455DE3A" w14:textId="77777777">
            <w:pPr>
              <w:widowControl/>
              <w:rPr>
                <w:rFonts w:ascii="Times New Roman" w:hAnsi="Times New Roman"/>
                <w:color w:val="000000"/>
                <w:sz w:val="20"/>
              </w:rPr>
            </w:pPr>
          </w:p>
        </w:tc>
        <w:tc>
          <w:tcPr>
            <w:tcW w:w="227" w:type="dxa"/>
            <w:tcBorders>
              <w:top w:val="nil"/>
              <w:left w:val="nil"/>
              <w:bottom w:val="nil"/>
              <w:right w:val="nil"/>
            </w:tcBorders>
            <w:shd w:val="clear" w:color="auto" w:fill="auto"/>
            <w:noWrap/>
            <w:vAlign w:val="bottom"/>
            <w:hideMark/>
          </w:tcPr>
          <w:p w:rsidR="0051519D" w:rsidRPr="0051519D" w:rsidP="0005621E" w14:paraId="3D3B1C74" w14:textId="77777777">
            <w:pPr>
              <w:widowControl/>
              <w:rPr>
                <w:rFonts w:ascii="Times New Roman" w:hAnsi="Times New Roman"/>
                <w:color w:val="000000"/>
                <w:sz w:val="20"/>
              </w:rPr>
            </w:pPr>
          </w:p>
        </w:tc>
      </w:tr>
      <w:tr w14:paraId="466F502F" w14:textId="77777777" w:rsidTr="00BC693C">
        <w:tblPrEx>
          <w:tblW w:w="10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tblCellMar>
          <w:tblLook w:val="04A0"/>
        </w:tblPrEx>
        <w:trPr>
          <w:trHeight w:val="288"/>
        </w:trPr>
        <w:tc>
          <w:tcPr>
            <w:tcW w:w="10200" w:type="dxa"/>
            <w:gridSpan w:val="10"/>
            <w:vMerge/>
            <w:tcBorders>
              <w:top w:val="nil"/>
              <w:left w:val="single" w:sz="8" w:space="0" w:color="auto"/>
              <w:bottom w:val="single" w:sz="8" w:space="0" w:color="000000"/>
              <w:right w:val="single" w:sz="8" w:space="0" w:color="000000"/>
            </w:tcBorders>
            <w:vAlign w:val="center"/>
            <w:hideMark/>
          </w:tcPr>
          <w:p w:rsidR="0051519D" w:rsidRPr="0051519D" w:rsidP="0005621E" w14:paraId="0E2A0CAB" w14:textId="77777777">
            <w:pPr>
              <w:widowControl/>
              <w:rPr>
                <w:rFonts w:ascii="Times New Roman" w:hAnsi="Times New Roman"/>
                <w:color w:val="000000"/>
                <w:sz w:val="20"/>
              </w:rPr>
            </w:pPr>
          </w:p>
        </w:tc>
        <w:tc>
          <w:tcPr>
            <w:tcW w:w="227" w:type="dxa"/>
            <w:tcBorders>
              <w:top w:val="nil"/>
              <w:left w:val="nil"/>
              <w:bottom w:val="nil"/>
              <w:right w:val="nil"/>
            </w:tcBorders>
            <w:shd w:val="clear" w:color="auto" w:fill="auto"/>
            <w:noWrap/>
            <w:vAlign w:val="bottom"/>
            <w:hideMark/>
          </w:tcPr>
          <w:p w:rsidR="0051519D" w:rsidRPr="0051519D" w:rsidP="0005621E" w14:paraId="7E34B0CB" w14:textId="77777777">
            <w:pPr>
              <w:widowControl/>
              <w:rPr>
                <w:rFonts w:ascii="Times New Roman" w:hAnsi="Times New Roman"/>
                <w:sz w:val="20"/>
              </w:rPr>
            </w:pPr>
          </w:p>
        </w:tc>
      </w:tr>
      <w:tr w14:paraId="3A38834B" w14:textId="77777777" w:rsidTr="00BC693C">
        <w:tblPrEx>
          <w:tblW w:w="10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tblCellMar>
          <w:tblLook w:val="04A0"/>
        </w:tblPrEx>
        <w:trPr>
          <w:trHeight w:val="300"/>
        </w:trPr>
        <w:tc>
          <w:tcPr>
            <w:tcW w:w="10200" w:type="dxa"/>
            <w:gridSpan w:val="10"/>
            <w:vMerge/>
            <w:tcBorders>
              <w:top w:val="nil"/>
              <w:left w:val="single" w:sz="8" w:space="0" w:color="auto"/>
              <w:bottom w:val="single" w:sz="8" w:space="0" w:color="000000"/>
              <w:right w:val="single" w:sz="8" w:space="0" w:color="000000"/>
            </w:tcBorders>
            <w:vAlign w:val="center"/>
            <w:hideMark/>
          </w:tcPr>
          <w:p w:rsidR="0051519D" w:rsidRPr="0051519D" w:rsidP="0005621E" w14:paraId="3763FF67" w14:textId="77777777">
            <w:pPr>
              <w:widowControl/>
              <w:rPr>
                <w:rFonts w:ascii="Times New Roman" w:hAnsi="Times New Roman"/>
                <w:color w:val="000000"/>
                <w:sz w:val="20"/>
              </w:rPr>
            </w:pPr>
          </w:p>
        </w:tc>
        <w:tc>
          <w:tcPr>
            <w:tcW w:w="227" w:type="dxa"/>
            <w:tcBorders>
              <w:top w:val="nil"/>
              <w:left w:val="nil"/>
              <w:bottom w:val="nil"/>
              <w:right w:val="nil"/>
            </w:tcBorders>
            <w:shd w:val="clear" w:color="auto" w:fill="auto"/>
            <w:noWrap/>
            <w:vAlign w:val="bottom"/>
            <w:hideMark/>
          </w:tcPr>
          <w:p w:rsidR="0051519D" w:rsidRPr="0051519D" w:rsidP="0005621E" w14:paraId="1249F494" w14:textId="77777777">
            <w:pPr>
              <w:widowControl/>
              <w:rPr>
                <w:rFonts w:ascii="Times New Roman" w:hAnsi="Times New Roman"/>
                <w:sz w:val="20"/>
              </w:rPr>
            </w:pPr>
          </w:p>
        </w:tc>
      </w:tr>
    </w:tbl>
    <w:p w:rsidR="00C8619C" w:rsidP="00BC693C" w14:paraId="4C23EC9F" w14:textId="77777777">
      <w:pPr>
        <w:tabs>
          <w:tab w:val="left" w:pos="-1440"/>
        </w:tabs>
        <w:spacing w:line="360" w:lineRule="auto"/>
        <w:contextualSpacing/>
        <w:rPr>
          <w:rFonts w:ascii="Times New Roman" w:hAnsi="Times New Roman"/>
        </w:rPr>
      </w:pPr>
    </w:p>
    <w:p w:rsidR="006E243A" w:rsidP="006E243A" w14:paraId="193968B4" w14:textId="77777777">
      <w:pPr>
        <w:widowControl/>
        <w:tabs>
          <w:tab w:val="left" w:pos="360"/>
          <w:tab w:val="left" w:pos="1080"/>
          <w:tab w:val="right" w:pos="6120"/>
        </w:tabs>
        <w:ind w:left="720" w:right="-900" w:hanging="720"/>
        <w:rPr>
          <w:rFonts w:ascii="Times New Roman" w:hAnsi="Times New Roman"/>
        </w:rPr>
      </w:pPr>
    </w:p>
    <w:p w:rsidR="00B46E04" w:rsidRPr="00BC693C" w:rsidP="00BC693C" w14:paraId="4A728C2B" w14:textId="77777777">
      <w:pPr>
        <w:keepNext/>
        <w:widowControl/>
        <w:numPr>
          <w:ilvl w:val="0"/>
          <w:numId w:val="6"/>
        </w:numPr>
        <w:tabs>
          <w:tab w:val="left" w:pos="360"/>
        </w:tabs>
        <w:rPr>
          <w:rFonts w:ascii="Times New Roman" w:hAnsi="Times New Roman"/>
        </w:rPr>
      </w:pPr>
      <w:r w:rsidRPr="003749DB">
        <w:rPr>
          <w:rFonts w:ascii="Times New Roman" w:hAnsi="Times New Roman"/>
          <w:u w:val="single"/>
        </w:rPr>
        <w:t>Estimate of start-up cost to respondents:</w:t>
      </w:r>
    </w:p>
    <w:p w:rsidR="00BC693C" w:rsidP="00BC693C" w14:paraId="459DE309" w14:textId="77777777">
      <w:pPr>
        <w:keepNext/>
        <w:widowControl/>
        <w:tabs>
          <w:tab w:val="left" w:pos="360"/>
        </w:tabs>
        <w:rPr>
          <w:rFonts w:ascii="Times New Roman" w:hAnsi="Times New Roman"/>
        </w:rPr>
      </w:pPr>
    </w:p>
    <w:p w:rsidR="00B46E04" w:rsidP="00BC693C" w14:paraId="4926D92D" w14:textId="746F6CF7">
      <w:pPr>
        <w:widowControl/>
        <w:tabs>
          <w:tab w:val="left" w:pos="360"/>
        </w:tabs>
        <w:ind w:left="720"/>
        <w:rPr>
          <w:rFonts w:ascii="Times New Roman" w:hAnsi="Times New Roman"/>
        </w:rPr>
      </w:pPr>
      <w:r>
        <w:rPr>
          <w:rFonts w:ascii="Times New Roman" w:hAnsi="Times New Roman"/>
        </w:rPr>
        <w:t>None</w:t>
      </w:r>
      <w:r w:rsidR="00625739">
        <w:rPr>
          <w:rFonts w:ascii="Times New Roman" w:hAnsi="Times New Roman"/>
        </w:rPr>
        <w:t>.</w:t>
      </w:r>
    </w:p>
    <w:p w:rsidR="00B46E04" w:rsidP="00082C3B" w14:paraId="726662FE" w14:textId="77777777">
      <w:pPr>
        <w:widowControl/>
        <w:tabs>
          <w:tab w:val="left" w:pos="360"/>
        </w:tabs>
        <w:ind w:left="720" w:hanging="720"/>
        <w:rPr>
          <w:rFonts w:ascii="Times New Roman" w:hAnsi="Times New Roman"/>
        </w:rPr>
      </w:pPr>
    </w:p>
    <w:p w:rsidR="00B46E04" w:rsidP="00082C3B" w14:paraId="5CF0ADB2" w14:textId="77777777">
      <w:pPr>
        <w:widowControl/>
        <w:numPr>
          <w:ilvl w:val="0"/>
          <w:numId w:val="6"/>
        </w:numPr>
        <w:tabs>
          <w:tab w:val="left" w:pos="360"/>
        </w:tabs>
        <w:ind w:right="960"/>
        <w:rPr>
          <w:rFonts w:ascii="Times New Roman" w:hAnsi="Times New Roman"/>
        </w:rPr>
      </w:pPr>
      <w:r w:rsidRPr="00B6242C">
        <w:rPr>
          <w:rFonts w:ascii="Times New Roman" w:hAnsi="Times New Roman"/>
          <w:u w:val="single"/>
        </w:rPr>
        <w:t>Estimates of annualized cost to the federal government:</w:t>
      </w:r>
      <w:r>
        <w:rPr>
          <w:rFonts w:ascii="Times New Roman" w:hAnsi="Times New Roman"/>
        </w:rPr>
        <w:t xml:space="preserve">  </w:t>
      </w:r>
    </w:p>
    <w:p w:rsidR="00B46E04" w:rsidP="00082C3B" w14:paraId="18447695" w14:textId="77777777">
      <w:pPr>
        <w:widowControl/>
        <w:tabs>
          <w:tab w:val="left" w:pos="-240"/>
          <w:tab w:val="left" w:pos="360"/>
          <w:tab w:val="left" w:pos="480"/>
          <w:tab w:val="left" w:pos="1080"/>
          <w:tab w:val="left" w:pos="1680"/>
          <w:tab w:val="left" w:pos="2280"/>
          <w:tab w:val="left" w:pos="2880"/>
          <w:tab w:val="left" w:pos="3600"/>
          <w:tab w:val="left" w:pos="4320"/>
          <w:tab w:val="left" w:pos="5040"/>
          <w:tab w:val="left" w:pos="5760"/>
          <w:tab w:val="right" w:pos="6480"/>
          <w:tab w:val="left" w:pos="7200"/>
          <w:tab w:val="left" w:pos="7920"/>
        </w:tabs>
        <w:ind w:right="960" w:hanging="720"/>
        <w:rPr>
          <w:rFonts w:ascii="Times New Roman" w:hAnsi="Times New Roman"/>
        </w:rPr>
      </w:pPr>
    </w:p>
    <w:p w:rsidR="00B46E04" w:rsidRPr="00223F9B" w:rsidP="006E243A" w14:paraId="158601B5" w14:textId="77777777">
      <w:pPr>
        <w:widowControl/>
        <w:tabs>
          <w:tab w:val="left" w:pos="360"/>
        </w:tabs>
        <w:ind w:left="720"/>
        <w:rPr>
          <w:rFonts w:ascii="Times New Roman" w:hAnsi="Times New Roman"/>
          <w:b/>
        </w:rPr>
      </w:pPr>
      <w:r>
        <w:rPr>
          <w:rFonts w:ascii="Times New Roman" w:hAnsi="Times New Roman"/>
        </w:rPr>
        <w:t>None.</w:t>
      </w:r>
      <w:r w:rsidRPr="00223F9B">
        <w:rPr>
          <w:rFonts w:ascii="Times New Roman" w:hAnsi="Times New Roman"/>
          <w:b/>
        </w:rPr>
        <w:t xml:space="preserve">  </w:t>
      </w:r>
    </w:p>
    <w:p w:rsidR="00B46E04" w:rsidP="00082C3B" w14:paraId="50FC2C7C" w14:textId="77777777">
      <w:pPr>
        <w:widowControl/>
        <w:tabs>
          <w:tab w:val="left" w:pos="360"/>
        </w:tabs>
        <w:ind w:left="720" w:hanging="720"/>
        <w:rPr>
          <w:rFonts w:ascii="Times New Roman" w:hAnsi="Times New Roman"/>
        </w:rPr>
      </w:pPr>
    </w:p>
    <w:p w:rsidR="00B46E04" w:rsidRPr="00C8619C" w:rsidP="00082C3B" w14:paraId="75435F92" w14:textId="77777777">
      <w:pPr>
        <w:widowControl/>
        <w:numPr>
          <w:ilvl w:val="0"/>
          <w:numId w:val="6"/>
        </w:numPr>
        <w:tabs>
          <w:tab w:val="left" w:pos="360"/>
        </w:tabs>
        <w:rPr>
          <w:rFonts w:ascii="Times New Roman" w:hAnsi="Times New Roman"/>
        </w:rPr>
      </w:pPr>
      <w:r w:rsidRPr="00C8619C">
        <w:rPr>
          <w:rFonts w:ascii="Times New Roman" w:hAnsi="Times New Roman"/>
          <w:u w:val="single"/>
        </w:rPr>
        <w:t>Analysis of change in burden:</w:t>
      </w:r>
    </w:p>
    <w:p w:rsidR="00B46E04" w:rsidRPr="00C8619C" w:rsidP="00082C3B" w14:paraId="34B64BAA" w14:textId="77777777">
      <w:pPr>
        <w:widowControl/>
        <w:tabs>
          <w:tab w:val="left" w:pos="360"/>
        </w:tabs>
        <w:ind w:left="720" w:hanging="720"/>
        <w:rPr>
          <w:rFonts w:ascii="Times New Roman" w:hAnsi="Times New Roman"/>
        </w:rPr>
      </w:pPr>
    </w:p>
    <w:p w:rsidR="00B46E04" w:rsidP="00082C3B" w14:paraId="50819AB0" w14:textId="2298C327">
      <w:pPr>
        <w:pStyle w:val="BlockText"/>
        <w:tabs>
          <w:tab w:val="clear" w:pos="-240"/>
          <w:tab w:val="left" w:pos="360"/>
          <w:tab w:val="clear" w:pos="480"/>
          <w:tab w:val="clear" w:pos="1080"/>
          <w:tab w:val="clear" w:pos="1680"/>
          <w:tab w:val="clear" w:pos="2280"/>
          <w:tab w:val="clear" w:pos="2880"/>
          <w:tab w:val="clear" w:pos="3600"/>
          <w:tab w:val="clear" w:pos="4320"/>
          <w:tab w:val="clear" w:pos="5040"/>
          <w:tab w:val="clear" w:pos="5760"/>
          <w:tab w:val="clear" w:pos="6480"/>
          <w:tab w:val="clear" w:pos="7200"/>
          <w:tab w:val="clear" w:pos="7920"/>
        </w:tabs>
        <w:ind w:left="720" w:right="0" w:hanging="720"/>
      </w:pPr>
      <w:r w:rsidRPr="00C8619C">
        <w:tab/>
      </w:r>
      <w:r w:rsidRPr="00C8619C">
        <w:tab/>
      </w:r>
      <w:r w:rsidRPr="00C8619C" w:rsidR="006E243A">
        <w:rPr>
          <w:spacing w:val="-3"/>
        </w:rPr>
        <w:t>There is no change in the method or t</w:t>
      </w:r>
      <w:r w:rsidRPr="00C8619C" w:rsidR="006E243A">
        <w:t xml:space="preserve">he substance of this information collection.  </w:t>
      </w:r>
      <w:r w:rsidRPr="00C8619C" w:rsidR="00C8619C">
        <w:t xml:space="preserve">The </w:t>
      </w:r>
      <w:r w:rsidR="00BC693C">
        <w:t>decrease</w:t>
      </w:r>
      <w:r w:rsidRPr="00C8619C" w:rsidR="006E243A">
        <w:t xml:space="preserve"> in burden hours is a result of economic fluctuation.  In particular, the </w:t>
      </w:r>
      <w:r w:rsidRPr="00C8619C" w:rsidR="0048486D">
        <w:t xml:space="preserve">number of respondents has </w:t>
      </w:r>
      <w:r w:rsidR="00BC693C">
        <w:t>decreased</w:t>
      </w:r>
      <w:r w:rsidRPr="00C8619C" w:rsidR="0048486D">
        <w:t xml:space="preserve"> while the hours per response have remained the same.</w:t>
      </w:r>
    </w:p>
    <w:p w:rsidR="00B46E04" w:rsidP="00082C3B" w14:paraId="17183B4A" w14:textId="77777777">
      <w:pPr>
        <w:pStyle w:val="BlockText"/>
        <w:tabs>
          <w:tab w:val="clear" w:pos="-240"/>
          <w:tab w:val="left" w:pos="360"/>
          <w:tab w:val="clear" w:pos="480"/>
          <w:tab w:val="clear" w:pos="1080"/>
          <w:tab w:val="clear" w:pos="1680"/>
          <w:tab w:val="clear" w:pos="2280"/>
          <w:tab w:val="clear" w:pos="2880"/>
          <w:tab w:val="clear" w:pos="3600"/>
          <w:tab w:val="clear" w:pos="4320"/>
          <w:tab w:val="clear" w:pos="5040"/>
          <w:tab w:val="clear" w:pos="5760"/>
          <w:tab w:val="clear" w:pos="6480"/>
          <w:tab w:val="clear" w:pos="7200"/>
          <w:tab w:val="clear" w:pos="7920"/>
        </w:tabs>
        <w:ind w:left="720" w:right="0" w:hanging="720"/>
      </w:pPr>
    </w:p>
    <w:p w:rsidR="00B46E04" w:rsidP="00082C3B" w14:paraId="17A74832" w14:textId="77777777">
      <w:pPr>
        <w:pStyle w:val="BlockText"/>
        <w:numPr>
          <w:ilvl w:val="0"/>
          <w:numId w:val="6"/>
        </w:numPr>
        <w:tabs>
          <w:tab w:val="clear" w:pos="-240"/>
          <w:tab w:val="left" w:pos="360"/>
          <w:tab w:val="clear" w:pos="480"/>
          <w:tab w:val="clear" w:pos="1080"/>
          <w:tab w:val="clear" w:pos="1680"/>
          <w:tab w:val="clear" w:pos="2280"/>
          <w:tab w:val="clear" w:pos="2880"/>
          <w:tab w:val="clear" w:pos="3600"/>
          <w:tab w:val="clear" w:pos="4320"/>
          <w:tab w:val="clear" w:pos="5040"/>
          <w:tab w:val="clear" w:pos="5760"/>
          <w:tab w:val="clear" w:pos="6480"/>
          <w:tab w:val="clear" w:pos="7200"/>
          <w:tab w:val="clear" w:pos="7920"/>
        </w:tabs>
        <w:ind w:right="0"/>
      </w:pPr>
      <w:r w:rsidRPr="00B6242C">
        <w:rPr>
          <w:u w:val="single"/>
        </w:rPr>
        <w:t>Information regarding collections whose results are planned to be published for statistical use:</w:t>
      </w:r>
    </w:p>
    <w:p w:rsidR="00B46E04" w:rsidP="00082C3B" w14:paraId="0789767E" w14:textId="77777777">
      <w:pPr>
        <w:pStyle w:val="BlockText"/>
        <w:tabs>
          <w:tab w:val="clear" w:pos="-240"/>
          <w:tab w:val="left" w:pos="360"/>
          <w:tab w:val="clear" w:pos="480"/>
          <w:tab w:val="clear" w:pos="1080"/>
          <w:tab w:val="clear" w:pos="1680"/>
          <w:tab w:val="clear" w:pos="2280"/>
          <w:tab w:val="clear" w:pos="2880"/>
          <w:tab w:val="clear" w:pos="3600"/>
          <w:tab w:val="clear" w:pos="4320"/>
          <w:tab w:val="clear" w:pos="5040"/>
          <w:tab w:val="clear" w:pos="5760"/>
          <w:tab w:val="clear" w:pos="6480"/>
          <w:tab w:val="clear" w:pos="7200"/>
          <w:tab w:val="clear" w:pos="7920"/>
        </w:tabs>
        <w:ind w:left="720" w:right="0" w:hanging="720"/>
      </w:pPr>
    </w:p>
    <w:p w:rsidR="0048486D" w:rsidP="0048486D" w14:paraId="3F936876" w14:textId="77777777">
      <w:pPr>
        <w:ind w:firstLine="720"/>
        <w:rPr>
          <w:rFonts w:ascii="Times New Roman" w:hAnsi="Times New Roman"/>
        </w:rPr>
      </w:pPr>
      <w:r w:rsidRPr="00B6242C">
        <w:rPr>
          <w:rFonts w:ascii="Times New Roman" w:hAnsi="Times New Roman"/>
        </w:rPr>
        <w:t>Collections of information under the interagency statement are not published.</w:t>
      </w:r>
    </w:p>
    <w:p w:rsidR="00B46E04" w:rsidP="00082C3B" w14:paraId="151B428C" w14:textId="77777777">
      <w:pPr>
        <w:pStyle w:val="BlockText"/>
        <w:tabs>
          <w:tab w:val="clear" w:pos="-240"/>
          <w:tab w:val="left" w:pos="360"/>
          <w:tab w:val="clear" w:pos="480"/>
          <w:tab w:val="clear" w:pos="1080"/>
          <w:tab w:val="clear" w:pos="1680"/>
          <w:tab w:val="clear" w:pos="2280"/>
          <w:tab w:val="clear" w:pos="2880"/>
          <w:tab w:val="clear" w:pos="3600"/>
          <w:tab w:val="clear" w:pos="4320"/>
          <w:tab w:val="clear" w:pos="5040"/>
          <w:tab w:val="clear" w:pos="5760"/>
          <w:tab w:val="clear" w:pos="6480"/>
          <w:tab w:val="clear" w:pos="7200"/>
          <w:tab w:val="clear" w:pos="7920"/>
        </w:tabs>
        <w:ind w:left="720" w:right="0" w:hanging="720"/>
      </w:pPr>
    </w:p>
    <w:p w:rsidR="00B46E04" w:rsidP="00082C3B" w14:paraId="51D4B9DE" w14:textId="77777777">
      <w:pPr>
        <w:widowControl/>
        <w:numPr>
          <w:ilvl w:val="0"/>
          <w:numId w:val="6"/>
        </w:numPr>
        <w:tabs>
          <w:tab w:val="left" w:pos="360"/>
        </w:tabs>
        <w:rPr>
          <w:rFonts w:ascii="Times New Roman" w:hAnsi="Times New Roman"/>
        </w:rPr>
      </w:pPr>
      <w:r w:rsidRPr="00B6242C">
        <w:rPr>
          <w:rFonts w:ascii="Times New Roman" w:hAnsi="Times New Roman"/>
          <w:u w:val="single"/>
        </w:rPr>
        <w:t>Exceptions to expiration date display</w:t>
      </w:r>
      <w:r>
        <w:rPr>
          <w:rFonts w:ascii="Times New Roman" w:hAnsi="Times New Roman"/>
          <w:u w:val="single"/>
        </w:rPr>
        <w:t>:</w:t>
      </w:r>
    </w:p>
    <w:p w:rsidR="00B46E04" w:rsidP="00082C3B" w14:paraId="68EB5EA6" w14:textId="77777777">
      <w:pPr>
        <w:widowControl/>
        <w:tabs>
          <w:tab w:val="left" w:pos="360"/>
        </w:tabs>
        <w:ind w:left="720" w:hanging="720"/>
        <w:rPr>
          <w:rFonts w:ascii="Times New Roman" w:hAnsi="Times New Roman"/>
        </w:rPr>
      </w:pPr>
    </w:p>
    <w:p w:rsidR="00B46E04" w:rsidP="00082C3B" w14:paraId="289B00D0" w14:textId="77777777">
      <w:pPr>
        <w:widowControl/>
        <w:tabs>
          <w:tab w:val="left" w:pos="360"/>
        </w:tabs>
        <w:ind w:left="720" w:hanging="720"/>
        <w:rPr>
          <w:rFonts w:ascii="Times New Roman" w:hAnsi="Times New Roman"/>
        </w:rPr>
      </w:pPr>
      <w:r>
        <w:rPr>
          <w:rFonts w:ascii="Times New Roman" w:hAnsi="Times New Roman"/>
        </w:rPr>
        <w:tab/>
      </w:r>
      <w:r>
        <w:rPr>
          <w:rFonts w:ascii="Times New Roman" w:hAnsi="Times New Roman"/>
        </w:rPr>
        <w:tab/>
        <w:t>Not applicable.</w:t>
      </w:r>
    </w:p>
    <w:p w:rsidR="00082C3B" w:rsidRPr="00082C3B" w:rsidP="00082C3B" w14:paraId="5D7B04BA" w14:textId="77777777">
      <w:pPr>
        <w:autoSpaceDE w:val="0"/>
        <w:autoSpaceDN w:val="0"/>
        <w:adjustRightInd w:val="0"/>
        <w:ind w:left="720"/>
        <w:rPr>
          <w:rFonts w:ascii="Times New Roman" w:hAnsi="Times New Roman"/>
        </w:rPr>
      </w:pPr>
    </w:p>
    <w:p w:rsidR="00082C3B" w:rsidP="00082C3B" w14:paraId="53713341" w14:textId="77777777">
      <w:pPr>
        <w:numPr>
          <w:ilvl w:val="0"/>
          <w:numId w:val="6"/>
        </w:numPr>
        <w:autoSpaceDE w:val="0"/>
        <w:autoSpaceDN w:val="0"/>
        <w:adjustRightInd w:val="0"/>
        <w:rPr>
          <w:rFonts w:ascii="Times New Roman" w:hAnsi="Times New Roman"/>
        </w:rPr>
      </w:pPr>
      <w:r>
        <w:rPr>
          <w:rFonts w:ascii="Times New Roman" w:hAnsi="Times New Roman"/>
          <w:u w:val="single"/>
        </w:rPr>
        <w:t>Ex</w:t>
      </w:r>
      <w:r w:rsidR="00B6242C">
        <w:rPr>
          <w:rFonts w:ascii="Times New Roman" w:hAnsi="Times New Roman"/>
          <w:u w:val="single"/>
        </w:rPr>
        <w:t>ceptions to certification:</w:t>
      </w:r>
    </w:p>
    <w:p w:rsidR="00082C3B" w:rsidP="00082C3B" w14:paraId="38C81CBB" w14:textId="77777777">
      <w:pPr>
        <w:rPr>
          <w:rFonts w:ascii="Times New Roman" w:hAnsi="Times New Roman"/>
        </w:rPr>
      </w:pPr>
    </w:p>
    <w:p w:rsidR="00082C3B" w:rsidP="00082C3B" w14:paraId="7002FCC9" w14:textId="77777777">
      <w:pPr>
        <w:ind w:left="720"/>
        <w:rPr>
          <w:rFonts w:ascii="Times New Roman" w:hAnsi="Times New Roman"/>
        </w:rPr>
      </w:pPr>
      <w:r>
        <w:rPr>
          <w:rFonts w:ascii="Times New Roman" w:hAnsi="Times New Roman"/>
        </w:rPr>
        <w:t>None.</w:t>
      </w:r>
    </w:p>
    <w:p w:rsidR="00082C3B" w:rsidP="00082C3B" w14:paraId="3DA89678" w14:textId="77777777">
      <w:pPr>
        <w:rPr>
          <w:rFonts w:ascii="Times New Roman" w:hAnsi="Times New Roman"/>
        </w:rPr>
      </w:pPr>
    </w:p>
    <w:p w:rsidR="00082C3B" w:rsidRPr="00D767AD" w:rsidP="00082C3B" w14:paraId="07A13F5B" w14:textId="77777777">
      <w:pPr>
        <w:numPr>
          <w:ilvl w:val="0"/>
          <w:numId w:val="4"/>
        </w:numPr>
        <w:rPr>
          <w:rFonts w:ascii="Times New Roman" w:hAnsi="Times New Roman"/>
        </w:rPr>
      </w:pPr>
      <w:r w:rsidRPr="00D767AD">
        <w:rPr>
          <w:rFonts w:ascii="Times New Roman" w:hAnsi="Times New Roman"/>
          <w:u w:val="single"/>
        </w:rPr>
        <w:t>STATISTICAL METHODS</w:t>
      </w:r>
    </w:p>
    <w:p w:rsidR="00082C3B" w:rsidP="00082C3B" w14:paraId="50083DA8" w14:textId="77777777">
      <w:pPr>
        <w:rPr>
          <w:rFonts w:ascii="Times New Roman" w:hAnsi="Times New Roman"/>
        </w:rPr>
      </w:pPr>
    </w:p>
    <w:p w:rsidR="00B46E04" w:rsidP="00082C3B" w14:paraId="67322754" w14:textId="77777777">
      <w:pPr>
        <w:widowControl/>
        <w:tabs>
          <w:tab w:val="left" w:pos="360"/>
        </w:tabs>
        <w:ind w:left="720" w:hanging="720"/>
      </w:pPr>
      <w:r>
        <w:rPr>
          <w:rFonts w:ascii="Times New Roman" w:hAnsi="Times New Roman"/>
        </w:rPr>
        <w:tab/>
      </w:r>
      <w:r>
        <w:rPr>
          <w:rFonts w:ascii="Times New Roman" w:hAnsi="Times New Roman"/>
        </w:rPr>
        <w:tab/>
      </w:r>
      <w:r w:rsidRPr="00B6242C" w:rsidR="00B6242C">
        <w:rPr>
          <w:rFonts w:ascii="Times New Roman" w:hAnsi="Times New Roman"/>
        </w:rPr>
        <w:t>Statistical methods are not employed in this collection.</w:t>
      </w:r>
    </w:p>
    <w:sectPr>
      <w:headerReference w:type="even" r:id="rId5"/>
      <w:headerReference w:type="default" r:id="rId6"/>
      <w:footerReference w:type="even" r:id="rId7"/>
      <w:footerReference w:type="default" r:id="rId8"/>
      <w:headerReference w:type="first" r:id="rId9"/>
      <w:endnotePr>
        <w:numFmt w:val="decimal"/>
      </w:endnotePr>
      <w:pgSz w:w="12240" w:h="15840"/>
      <w:pgMar w:top="1440" w:right="1440" w:bottom="1440" w:left="1440"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Source Sans Pro Semibold">
    <w:panose1 w:val="020B06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7652" w14:paraId="218F147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E27652" w14:paraId="0910A9D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7652" w14:paraId="514B90D4" w14:textId="77777777">
    <w:pPr>
      <w:pStyle w:val="Footer"/>
      <w:framePr w:wrap="around" w:vAnchor="text" w:hAnchor="margin" w:xAlign="center" w:y="1"/>
      <w:rPr>
        <w:rStyle w:val="PageNumber"/>
        <w:rFonts w:ascii="Times New Roman" w:hAnsi="Times New Roman"/>
      </w:rPr>
    </w:pPr>
  </w:p>
  <w:p w:rsidR="00E27652" w14:paraId="5AFFF4D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7652" w14:paraId="2CD57E73" w14:textId="79E68FD2">
    <w:pPr>
      <w:pStyle w:val="Header"/>
      <w:framePr w:wrap="around" w:vAnchor="text" w:hAnchor="margin" w:xAlign="center" w:y="1"/>
      <w:rPr>
        <w:rStyle w:val="PageNumber"/>
      </w:rPr>
    </w:pPr>
    <w:r>
      <w:rPr>
        <w:noProof/>
        <w:snapToGrid/>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top</wp:align>
              </wp:positionV>
              <wp:extent cx="2274570" cy="382270"/>
              <wp:effectExtent l="0" t="0" r="11430" b="17780"/>
              <wp:wrapNone/>
              <wp:docPr id="128437643" name="Text Box 2" descr="NONPUBLIC//FDIC INTERNAL ONLY">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4570" cy="382270"/>
                      </a:xfrm>
                      <a:prstGeom prst="rect">
                        <a:avLst/>
                      </a:prstGeom>
                      <a:noFill/>
                      <a:ln>
                        <a:noFill/>
                      </a:ln>
                    </wps:spPr>
                    <wps:txbx>
                      <w:txbxContent>
                        <w:p w:rsidR="00633F17" w:rsidRPr="00633F17" w:rsidP="00633F17" w14:textId="4BEF773C">
                          <w:pPr>
                            <w:rPr>
                              <w:rFonts w:ascii="Source Sans Pro Semibold" w:eastAsia="Source Sans Pro Semibold" w:hAnsi="Source Sans Pro Semibold" w:cs="Source Sans Pro Semibold"/>
                              <w:noProof/>
                              <w:color w:val="000000"/>
                              <w:szCs w:val="24"/>
                            </w:rPr>
                          </w:pPr>
                          <w:r w:rsidRPr="00633F17">
                            <w:rPr>
                              <w:rFonts w:ascii="Source Sans Pro Semibold" w:eastAsia="Source Sans Pro Semibold" w:hAnsi="Source Sans Pro Semibold" w:cs="Source Sans Pro Semibold"/>
                              <w:noProof/>
                              <w:color w:val="000000"/>
                              <w:szCs w:val="24"/>
                            </w:rPr>
                            <w:t>NONPUBLIC//FDIC INTERNAL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NONPUBLIC//FDIC INTERNAL ONLY" style="width:179.1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1312" filled="f" stroked="f">
              <v:textbox style="mso-fit-shape-to-text:t" inset="0,15pt,0,0">
                <w:txbxContent>
                  <w:p w:rsidR="00633F17" w:rsidRPr="00633F17" w:rsidP="00633F17" w14:paraId="3BD094F6" w14:textId="4BEF773C">
                    <w:pPr>
                      <w:rPr>
                        <w:rFonts w:ascii="Source Sans Pro Semibold" w:eastAsia="Source Sans Pro Semibold" w:hAnsi="Source Sans Pro Semibold" w:cs="Source Sans Pro Semibold"/>
                        <w:noProof/>
                        <w:color w:val="000000"/>
                        <w:szCs w:val="24"/>
                      </w:rPr>
                    </w:pPr>
                    <w:r w:rsidRPr="00633F17">
                      <w:rPr>
                        <w:rFonts w:ascii="Source Sans Pro Semibold" w:eastAsia="Source Sans Pro Semibold" w:hAnsi="Source Sans Pro Semibold" w:cs="Source Sans Pro Semibold"/>
                        <w:noProof/>
                        <w:color w:val="000000"/>
                        <w:szCs w:val="24"/>
                      </w:rPr>
                      <w:t>NONPUBLIC//FDIC INTERNAL ONLY</w:t>
                    </w:r>
                  </w:p>
                </w:txbxContent>
              </v:textbox>
            </v:shape>
          </w:pict>
        </mc:Fallback>
      </mc:AlternateContent>
    </w:r>
    <w:r w:rsidR="00E27652">
      <w:rPr>
        <w:rStyle w:val="PageNumber"/>
      </w:rPr>
      <w:fldChar w:fldCharType="begin"/>
    </w:r>
    <w:r w:rsidR="00E27652">
      <w:rPr>
        <w:rStyle w:val="PageNumber"/>
      </w:rPr>
      <w:instrText xml:space="preserve">PAGE  </w:instrText>
    </w:r>
    <w:r w:rsidR="00E27652">
      <w:rPr>
        <w:rStyle w:val="PageNumber"/>
      </w:rPr>
      <w:fldChar w:fldCharType="separate"/>
    </w:r>
    <w:r w:rsidR="00E27652">
      <w:rPr>
        <w:rStyle w:val="PageNumber"/>
      </w:rPr>
      <w:fldChar w:fldCharType="end"/>
    </w:r>
  </w:p>
  <w:p w:rsidR="00E27652" w14:paraId="1560D38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7652" w14:paraId="0C31F5BE" w14:textId="74CD658B">
    <w:pPr>
      <w:pStyle w:val="Header"/>
      <w:framePr w:wrap="around" w:vAnchor="text" w:hAnchor="margin" w:xAlign="center" w:y="1"/>
      <w:rPr>
        <w:rStyle w:val="PageNumber"/>
        <w:rFonts w:ascii="Times New Roman" w:hAnsi="Times New Roman"/>
      </w:rPr>
    </w:pPr>
    <w:r>
      <w:rPr>
        <w:rFonts w:ascii="Times New Roman" w:hAnsi="Times New Roman"/>
        <w:noProof/>
        <w:snapToGrid/>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top</wp:align>
              </wp:positionV>
              <wp:extent cx="2274570" cy="382270"/>
              <wp:effectExtent l="0" t="0" r="11430" b="17780"/>
              <wp:wrapNone/>
              <wp:docPr id="1143334182" name="Text Box 3" descr="NONPUBLIC//FDIC INTERNAL ONLY">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4570" cy="382270"/>
                      </a:xfrm>
                      <a:prstGeom prst="rect">
                        <a:avLst/>
                      </a:prstGeom>
                      <a:noFill/>
                      <a:ln>
                        <a:noFill/>
                      </a:ln>
                    </wps:spPr>
                    <wps:txbx>
                      <w:txbxContent>
                        <w:p w:rsidR="00633F17" w:rsidRPr="00633F17" w:rsidP="00633F17" w14:textId="5C74B14D">
                          <w:pPr>
                            <w:rPr>
                              <w:rFonts w:ascii="Source Sans Pro Semibold" w:eastAsia="Source Sans Pro Semibold" w:hAnsi="Source Sans Pro Semibold" w:cs="Source Sans Pro Semibold"/>
                              <w:noProof/>
                              <w:color w:val="000000"/>
                              <w:szCs w:val="24"/>
                            </w:rPr>
                          </w:pPr>
                          <w:r w:rsidRPr="00633F17">
                            <w:rPr>
                              <w:rFonts w:ascii="Source Sans Pro Semibold" w:eastAsia="Source Sans Pro Semibold" w:hAnsi="Source Sans Pro Semibold" w:cs="Source Sans Pro Semibold"/>
                              <w:noProof/>
                              <w:color w:val="000000"/>
                              <w:szCs w:val="24"/>
                            </w:rPr>
                            <w:t>NONPUBLIC//FDIC INTERNAL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NONPUBLIC//FDIC INTERNAL ONLY" style="width:179.1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3360" filled="f" stroked="f">
              <v:textbox style="mso-fit-shape-to-text:t" inset="0,15pt,0,0">
                <w:txbxContent>
                  <w:p w:rsidR="00633F17" w:rsidRPr="00633F17" w:rsidP="00633F17" w14:paraId="0AA7A514" w14:textId="5C74B14D">
                    <w:pPr>
                      <w:rPr>
                        <w:rFonts w:ascii="Source Sans Pro Semibold" w:eastAsia="Source Sans Pro Semibold" w:hAnsi="Source Sans Pro Semibold" w:cs="Source Sans Pro Semibold"/>
                        <w:noProof/>
                        <w:color w:val="000000"/>
                        <w:szCs w:val="24"/>
                      </w:rPr>
                    </w:pPr>
                    <w:r w:rsidRPr="00633F17">
                      <w:rPr>
                        <w:rFonts w:ascii="Source Sans Pro Semibold" w:eastAsia="Source Sans Pro Semibold" w:hAnsi="Source Sans Pro Semibold" w:cs="Source Sans Pro Semibold"/>
                        <w:noProof/>
                        <w:color w:val="000000"/>
                        <w:szCs w:val="24"/>
                      </w:rPr>
                      <w:t>NONPUBLIC//FDIC INTERNAL ONLY</w:t>
                    </w:r>
                  </w:p>
                </w:txbxContent>
              </v:textbox>
            </v:shape>
          </w:pict>
        </mc:Fallback>
      </mc:AlternateContent>
    </w:r>
    <w:r w:rsidR="00E27652">
      <w:rPr>
        <w:rStyle w:val="PageNumber"/>
        <w:rFonts w:ascii="Times New Roman" w:hAnsi="Times New Roman"/>
      </w:rPr>
      <w:t xml:space="preserve">- </w:t>
    </w:r>
    <w:r w:rsidR="00E27652">
      <w:rPr>
        <w:rStyle w:val="PageNumber"/>
        <w:rFonts w:ascii="Times New Roman" w:hAnsi="Times New Roman"/>
      </w:rPr>
      <w:fldChar w:fldCharType="begin"/>
    </w:r>
    <w:r w:rsidR="00E27652">
      <w:rPr>
        <w:rStyle w:val="PageNumber"/>
        <w:rFonts w:ascii="Times New Roman" w:hAnsi="Times New Roman"/>
      </w:rPr>
      <w:instrText xml:space="preserve">PAGE  </w:instrText>
    </w:r>
    <w:r w:rsidR="00E27652">
      <w:rPr>
        <w:rStyle w:val="PageNumber"/>
        <w:rFonts w:ascii="Times New Roman" w:hAnsi="Times New Roman"/>
      </w:rPr>
      <w:fldChar w:fldCharType="separate"/>
    </w:r>
    <w:r w:rsidR="00ED3F09">
      <w:rPr>
        <w:rStyle w:val="PageNumber"/>
        <w:rFonts w:ascii="Times New Roman" w:hAnsi="Times New Roman"/>
        <w:noProof/>
      </w:rPr>
      <w:t>6</w:t>
    </w:r>
    <w:r w:rsidR="00E27652">
      <w:rPr>
        <w:rStyle w:val="PageNumber"/>
        <w:rFonts w:ascii="Times New Roman" w:hAnsi="Times New Roman"/>
      </w:rPr>
      <w:fldChar w:fldCharType="end"/>
    </w:r>
    <w:r w:rsidR="00E27652">
      <w:rPr>
        <w:rStyle w:val="PageNumber"/>
        <w:rFonts w:ascii="Times New Roman" w:hAnsi="Times New Roman"/>
      </w:rPr>
      <w:t xml:space="preserve"> -</w:t>
    </w:r>
  </w:p>
  <w:p w:rsidR="00E27652" w14:paraId="73AD1FC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1942" w14:paraId="2E84DD14" w14:textId="5E13CEAB">
    <w:pPr>
      <w:pStyle w:val="Header"/>
    </w:pPr>
    <w:r>
      <w:rPr>
        <w:noProof/>
        <w:snapToGrid/>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top</wp:align>
              </wp:positionV>
              <wp:extent cx="2274570" cy="382270"/>
              <wp:effectExtent l="0" t="0" r="11430" b="17780"/>
              <wp:wrapNone/>
              <wp:docPr id="241435982" name="Text Box 1" descr="NONPUBLIC//FDIC INTERNAL ONLY">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4570" cy="382270"/>
                      </a:xfrm>
                      <a:prstGeom prst="rect">
                        <a:avLst/>
                      </a:prstGeom>
                      <a:noFill/>
                      <a:ln>
                        <a:noFill/>
                      </a:ln>
                    </wps:spPr>
                    <wps:txbx>
                      <w:txbxContent>
                        <w:p w:rsidR="00633F17" w:rsidRPr="00633F17" w:rsidP="00633F17" w14:textId="23BBD5D5">
                          <w:pPr>
                            <w:rPr>
                              <w:rFonts w:ascii="Source Sans Pro Semibold" w:eastAsia="Source Sans Pro Semibold" w:hAnsi="Source Sans Pro Semibold" w:cs="Source Sans Pro Semibold"/>
                              <w:noProof/>
                              <w:color w:val="000000"/>
                              <w:szCs w:val="24"/>
                            </w:rPr>
                          </w:pPr>
                          <w:r w:rsidRPr="00633F17">
                            <w:rPr>
                              <w:rFonts w:ascii="Source Sans Pro Semibold" w:eastAsia="Source Sans Pro Semibold" w:hAnsi="Source Sans Pro Semibold" w:cs="Source Sans Pro Semibold"/>
                              <w:noProof/>
                              <w:color w:val="000000"/>
                              <w:szCs w:val="24"/>
                            </w:rPr>
                            <w:t>NONPUBLIC//FDIC INTERNAL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NONPUBLIC//FDIC INTERNAL ONLY" style="width:179.1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59264" filled="f" stroked="f">
              <v:textbox style="mso-fit-shape-to-text:t" inset="0,15pt,0,0">
                <w:txbxContent>
                  <w:p w:rsidR="00633F17" w:rsidRPr="00633F17" w:rsidP="00633F17" w14:paraId="366A368F" w14:textId="23BBD5D5">
                    <w:pPr>
                      <w:rPr>
                        <w:rFonts w:ascii="Source Sans Pro Semibold" w:eastAsia="Source Sans Pro Semibold" w:hAnsi="Source Sans Pro Semibold" w:cs="Source Sans Pro Semibold"/>
                        <w:noProof/>
                        <w:color w:val="000000"/>
                        <w:szCs w:val="24"/>
                      </w:rPr>
                    </w:pPr>
                    <w:r w:rsidRPr="00633F17">
                      <w:rPr>
                        <w:rFonts w:ascii="Source Sans Pro Semibold" w:eastAsia="Source Sans Pro Semibold" w:hAnsi="Source Sans Pro Semibold" w:cs="Source Sans Pro Semibold"/>
                        <w:noProof/>
                        <w:color w:val="000000"/>
                        <w:szCs w:val="24"/>
                      </w:rPr>
                      <w:t>NONPUBLIC//FDIC INTERNAL ONLY</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FD3379"/>
    <w:multiLevelType w:val="hybridMultilevel"/>
    <w:tmpl w:val="1AB845C2"/>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CCE3A01"/>
    <w:multiLevelType w:val="hybridMultilevel"/>
    <w:tmpl w:val="14208D3C"/>
    <w:lvl w:ilvl="0">
      <w:start w:val="1"/>
      <w:numFmt w:val="upperLetter"/>
      <w:lvlText w:val="%1."/>
      <w:lvlJc w:val="left"/>
      <w:pPr>
        <w:tabs>
          <w:tab w:val="num" w:pos="720"/>
        </w:tabs>
        <w:ind w:left="720" w:hanging="720"/>
      </w:pPr>
      <w:rPr>
        <w:rFonts w:hint="default"/>
        <w:u w:val="none"/>
      </w:rPr>
    </w:lvl>
    <w:lvl w:ilvl="1">
      <w:start w:val="1"/>
      <w:numFmt w:val="decimal"/>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
    <w:nsid w:val="4D8B03F0"/>
    <w:multiLevelType w:val="hybridMultilevel"/>
    <w:tmpl w:val="E6B2D2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C531D85"/>
    <w:multiLevelType w:val="hybridMultilevel"/>
    <w:tmpl w:val="71FAFA2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7A4D1E12"/>
    <w:multiLevelType w:val="hybridMultilevel"/>
    <w:tmpl w:val="A22C0128"/>
    <w:lvl w:ilvl="0">
      <w:start w:val="1"/>
      <w:numFmt w:val="upperLetter"/>
      <w:lvlText w:val="%1."/>
      <w:lvlJc w:val="left"/>
      <w:pPr>
        <w:tabs>
          <w:tab w:val="num" w:pos="1080"/>
        </w:tabs>
        <w:ind w:left="1080" w:hanging="72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E0310E5"/>
    <w:multiLevelType w:val="hybridMultilevel"/>
    <w:tmpl w:val="CE007830"/>
    <w:lvl w:ilvl="0">
      <w:start w:val="1"/>
      <w:numFmt w:val="upperLetter"/>
      <w:lvlText w:val="%1."/>
      <w:lvlJc w:val="left"/>
      <w:pPr>
        <w:tabs>
          <w:tab w:val="num" w:pos="720"/>
        </w:tabs>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99093774">
    <w:abstractNumId w:val="3"/>
  </w:num>
  <w:num w:numId="2" w16cid:durableId="942149128">
    <w:abstractNumId w:val="4"/>
  </w:num>
  <w:num w:numId="3" w16cid:durableId="307705181">
    <w:abstractNumId w:val="5"/>
  </w:num>
  <w:num w:numId="4" w16cid:durableId="302085434">
    <w:abstractNumId w:val="1"/>
  </w:num>
  <w:num w:numId="5" w16cid:durableId="101146959">
    <w:abstractNumId w:val="0"/>
  </w:num>
  <w:num w:numId="6" w16cid:durableId="1872961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D43"/>
    <w:rsid w:val="00055F67"/>
    <w:rsid w:val="0005621E"/>
    <w:rsid w:val="00082C3B"/>
    <w:rsid w:val="000902A9"/>
    <w:rsid w:val="000924E1"/>
    <w:rsid w:val="000A117F"/>
    <w:rsid w:val="000A3242"/>
    <w:rsid w:val="000D79DD"/>
    <w:rsid w:val="001010A1"/>
    <w:rsid w:val="001316FB"/>
    <w:rsid w:val="00154A0B"/>
    <w:rsid w:val="001A4AC8"/>
    <w:rsid w:val="00214488"/>
    <w:rsid w:val="00223F9B"/>
    <w:rsid w:val="00247C3C"/>
    <w:rsid w:val="00253BEE"/>
    <w:rsid w:val="00274AB8"/>
    <w:rsid w:val="002A2323"/>
    <w:rsid w:val="002A3FCE"/>
    <w:rsid w:val="002A4178"/>
    <w:rsid w:val="002A66E2"/>
    <w:rsid w:val="002B4002"/>
    <w:rsid w:val="002F4189"/>
    <w:rsid w:val="003070BC"/>
    <w:rsid w:val="003233B2"/>
    <w:rsid w:val="003749DB"/>
    <w:rsid w:val="00377132"/>
    <w:rsid w:val="003A0961"/>
    <w:rsid w:val="003B52FE"/>
    <w:rsid w:val="004112C0"/>
    <w:rsid w:val="004311A2"/>
    <w:rsid w:val="0044360F"/>
    <w:rsid w:val="0048486D"/>
    <w:rsid w:val="00487AEC"/>
    <w:rsid w:val="004B2F96"/>
    <w:rsid w:val="004B3F95"/>
    <w:rsid w:val="004D18E3"/>
    <w:rsid w:val="004D74F7"/>
    <w:rsid w:val="004E2998"/>
    <w:rsid w:val="0051519D"/>
    <w:rsid w:val="005161A1"/>
    <w:rsid w:val="00523BDC"/>
    <w:rsid w:val="00537E4B"/>
    <w:rsid w:val="00542A9F"/>
    <w:rsid w:val="00544092"/>
    <w:rsid w:val="005442F1"/>
    <w:rsid w:val="0055647E"/>
    <w:rsid w:val="00574B33"/>
    <w:rsid w:val="006052D7"/>
    <w:rsid w:val="00617A72"/>
    <w:rsid w:val="00625739"/>
    <w:rsid w:val="00633F17"/>
    <w:rsid w:val="00665925"/>
    <w:rsid w:val="00675EE6"/>
    <w:rsid w:val="00681EDD"/>
    <w:rsid w:val="00683F37"/>
    <w:rsid w:val="006941FF"/>
    <w:rsid w:val="00694CBD"/>
    <w:rsid w:val="006B6B0A"/>
    <w:rsid w:val="006D6B44"/>
    <w:rsid w:val="006E243A"/>
    <w:rsid w:val="006E3340"/>
    <w:rsid w:val="006F2B59"/>
    <w:rsid w:val="00710AA6"/>
    <w:rsid w:val="00715A26"/>
    <w:rsid w:val="00742F30"/>
    <w:rsid w:val="007460F1"/>
    <w:rsid w:val="00757D43"/>
    <w:rsid w:val="00771026"/>
    <w:rsid w:val="007C494F"/>
    <w:rsid w:val="007C523C"/>
    <w:rsid w:val="007D1E0C"/>
    <w:rsid w:val="007E526E"/>
    <w:rsid w:val="00835B55"/>
    <w:rsid w:val="00871FCE"/>
    <w:rsid w:val="00884418"/>
    <w:rsid w:val="008C6919"/>
    <w:rsid w:val="009331A5"/>
    <w:rsid w:val="0094259B"/>
    <w:rsid w:val="009455BB"/>
    <w:rsid w:val="00952357"/>
    <w:rsid w:val="00967D9E"/>
    <w:rsid w:val="009A47F5"/>
    <w:rsid w:val="009F71EC"/>
    <w:rsid w:val="00A04269"/>
    <w:rsid w:val="00A37A7F"/>
    <w:rsid w:val="00A439F9"/>
    <w:rsid w:val="00A47984"/>
    <w:rsid w:val="00A577BD"/>
    <w:rsid w:val="00AA384D"/>
    <w:rsid w:val="00AA7906"/>
    <w:rsid w:val="00AC0285"/>
    <w:rsid w:val="00AD64DF"/>
    <w:rsid w:val="00AE0741"/>
    <w:rsid w:val="00AE56CF"/>
    <w:rsid w:val="00AF0A2E"/>
    <w:rsid w:val="00B10FA3"/>
    <w:rsid w:val="00B15474"/>
    <w:rsid w:val="00B2116A"/>
    <w:rsid w:val="00B31023"/>
    <w:rsid w:val="00B46E04"/>
    <w:rsid w:val="00B6242C"/>
    <w:rsid w:val="00B80E3D"/>
    <w:rsid w:val="00B8209F"/>
    <w:rsid w:val="00BA0A3D"/>
    <w:rsid w:val="00BB648F"/>
    <w:rsid w:val="00BC1BDC"/>
    <w:rsid w:val="00BC693C"/>
    <w:rsid w:val="00BD25D6"/>
    <w:rsid w:val="00BF59F5"/>
    <w:rsid w:val="00C2057A"/>
    <w:rsid w:val="00C236BD"/>
    <w:rsid w:val="00C50E9D"/>
    <w:rsid w:val="00C52B05"/>
    <w:rsid w:val="00C7406E"/>
    <w:rsid w:val="00C8619C"/>
    <w:rsid w:val="00C91942"/>
    <w:rsid w:val="00C94F5C"/>
    <w:rsid w:val="00CB3A20"/>
    <w:rsid w:val="00CB4406"/>
    <w:rsid w:val="00CB77F8"/>
    <w:rsid w:val="00CB7D84"/>
    <w:rsid w:val="00CC7B69"/>
    <w:rsid w:val="00CD18F0"/>
    <w:rsid w:val="00CE4C5F"/>
    <w:rsid w:val="00CF7CF3"/>
    <w:rsid w:val="00D22CE0"/>
    <w:rsid w:val="00D22E80"/>
    <w:rsid w:val="00D25586"/>
    <w:rsid w:val="00D33E0D"/>
    <w:rsid w:val="00D35EEC"/>
    <w:rsid w:val="00D66659"/>
    <w:rsid w:val="00D673F2"/>
    <w:rsid w:val="00D767AD"/>
    <w:rsid w:val="00DA05B5"/>
    <w:rsid w:val="00DA5591"/>
    <w:rsid w:val="00DC4641"/>
    <w:rsid w:val="00DC73A0"/>
    <w:rsid w:val="00DD48A8"/>
    <w:rsid w:val="00DF27A3"/>
    <w:rsid w:val="00DF7A66"/>
    <w:rsid w:val="00E10539"/>
    <w:rsid w:val="00E17948"/>
    <w:rsid w:val="00E27652"/>
    <w:rsid w:val="00E31EF4"/>
    <w:rsid w:val="00E5096B"/>
    <w:rsid w:val="00E65120"/>
    <w:rsid w:val="00EB72A7"/>
    <w:rsid w:val="00ED3F09"/>
    <w:rsid w:val="00EF23D7"/>
    <w:rsid w:val="00F16599"/>
    <w:rsid w:val="00F16686"/>
    <w:rsid w:val="00F20F2D"/>
    <w:rsid w:val="00F603F7"/>
    <w:rsid w:val="00F70891"/>
    <w:rsid w:val="00F77781"/>
    <w:rsid w:val="00F82B19"/>
    <w:rsid w:val="00F916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2D332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tabs>
        <w:tab w:val="left" w:pos="360"/>
      </w:tabs>
      <w:outlineLvl w:val="0"/>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lockText">
    <w:name w:val="Block Text"/>
    <w:basedOn w:val="Normal"/>
    <w:pPr>
      <w:widowControl/>
      <w:tabs>
        <w:tab w:val="left" w:pos="-240"/>
        <w:tab w:val="left" w:pos="480"/>
        <w:tab w:val="left" w:pos="1080"/>
        <w:tab w:val="left" w:pos="1680"/>
        <w:tab w:val="left" w:pos="2280"/>
        <w:tab w:val="left" w:pos="2880"/>
        <w:tab w:val="left" w:pos="3600"/>
        <w:tab w:val="left" w:pos="4320"/>
        <w:tab w:val="left" w:pos="5040"/>
        <w:tab w:val="left" w:pos="5760"/>
        <w:tab w:val="right" w:pos="6480"/>
        <w:tab w:val="left" w:pos="7200"/>
        <w:tab w:val="left" w:pos="7920"/>
      </w:tabs>
      <w:ind w:left="1080" w:right="960"/>
    </w:pPr>
    <w:rPr>
      <w:rFonts w:ascii="Times New Roman" w:hAnsi="Times New Roman"/>
    </w:rPr>
  </w:style>
  <w:style w:type="paragraph" w:styleId="BodyTextIndent">
    <w:name w:val="Body Text Indent"/>
    <w:basedOn w:val="Normal"/>
    <w:pPr>
      <w:widowControl/>
      <w:tabs>
        <w:tab w:val="left" w:pos="-240"/>
        <w:tab w:val="left" w:pos="-180"/>
        <w:tab w:val="left" w:pos="480"/>
        <w:tab w:val="left" w:pos="1680"/>
        <w:tab w:val="left" w:pos="2280"/>
        <w:tab w:val="left" w:pos="2880"/>
      </w:tabs>
      <w:ind w:left="720"/>
    </w:pPr>
    <w:rPr>
      <w:rFonts w:ascii="Times New Roman" w:hAnsi="Times New Roman"/>
    </w:rPr>
  </w:style>
  <w:style w:type="paragraph" w:styleId="BalloonText">
    <w:name w:val="Balloon Text"/>
    <w:basedOn w:val="Normal"/>
    <w:semiHidden/>
    <w:rsid w:val="00CB4406"/>
    <w:rPr>
      <w:rFonts w:ascii="Tahoma" w:hAnsi="Tahoma" w:cs="Tahoma"/>
      <w:sz w:val="16"/>
      <w:szCs w:val="16"/>
    </w:rPr>
  </w:style>
  <w:style w:type="paragraph" w:styleId="FootnoteText">
    <w:name w:val="footnote text"/>
    <w:basedOn w:val="Normal"/>
    <w:link w:val="FootnoteTextChar"/>
    <w:uiPriority w:val="99"/>
    <w:rsid w:val="00A47984"/>
    <w:pPr>
      <w:widowControl/>
    </w:pPr>
    <w:rPr>
      <w:rFonts w:ascii="Times New Roman" w:hAnsi="Times New Roman"/>
      <w:snapToGrid/>
      <w:sz w:val="20"/>
    </w:rPr>
  </w:style>
  <w:style w:type="character" w:styleId="FootnoteReference">
    <w:name w:val="footnote reference"/>
    <w:aliases w:val=" BVI fnr,(Footnote Reference),12,Appel note de bas de p,BVI fnr,EN Footnote Reference,Footnote,Footnote Reference Superscript,Footnote reference number,Footnote symbol,Nota,SUPERS,Style 16,Style 19,Voetnootverwijzing,fr,note TESI"/>
    <w:uiPriority w:val="99"/>
    <w:rsid w:val="00A47984"/>
    <w:rPr>
      <w:vertAlign w:val="superscript"/>
    </w:rPr>
  </w:style>
  <w:style w:type="character" w:customStyle="1" w:styleId="FootnoteTextChar">
    <w:name w:val="Footnote Text Char"/>
    <w:link w:val="FootnoteText"/>
    <w:uiPriority w:val="99"/>
    <w:locked/>
    <w:rsid w:val="00A47984"/>
    <w:rPr>
      <w:lang w:val="en-US" w:eastAsia="en-US" w:bidi="ar-SA"/>
    </w:rPr>
  </w:style>
  <w:style w:type="character" w:styleId="CommentReference">
    <w:name w:val="annotation reference"/>
    <w:semiHidden/>
    <w:rsid w:val="00DF27A3"/>
    <w:rPr>
      <w:sz w:val="16"/>
      <w:szCs w:val="16"/>
    </w:rPr>
  </w:style>
  <w:style w:type="paragraph" w:styleId="CommentText">
    <w:name w:val="annotation text"/>
    <w:basedOn w:val="Normal"/>
    <w:semiHidden/>
    <w:rsid w:val="00DF27A3"/>
    <w:rPr>
      <w:sz w:val="20"/>
    </w:rPr>
  </w:style>
  <w:style w:type="paragraph" w:styleId="CommentSubject">
    <w:name w:val="annotation subject"/>
    <w:basedOn w:val="CommentText"/>
    <w:next w:val="CommentText"/>
    <w:semiHidden/>
    <w:rsid w:val="00DF27A3"/>
    <w:rPr>
      <w:b/>
      <w:bCs/>
    </w:rPr>
  </w:style>
  <w:style w:type="paragraph" w:styleId="HTMLPreformatted">
    <w:name w:val="HTML Preformatted"/>
    <w:basedOn w:val="Normal"/>
    <w:rsid w:val="00771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table" w:styleId="TableGrid">
    <w:name w:val="Table Grid"/>
    <w:basedOn w:val="TableNormal"/>
    <w:uiPriority w:val="39"/>
    <w:rsid w:val="00C8619C"/>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3316C-97A0-4568-9D84-5751DC920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2048</Words>
  <Characters>11620</Characters>
  <Application>Microsoft Office Word</Application>
  <DocSecurity>0</DocSecurity>
  <Lines>96</Lines>
  <Paragraphs>27</Paragraphs>
  <ScaleCrop>false</ScaleCrop>
  <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2024-10-23T12:13:00Z</dcterms:created>
  <dcterms:modified xsi:type="dcterms:W3CDTF">2024-10-23T12:13:00Z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e8ab8c-433c-4394-a4fb-cd2d5c4d0a5e_ActionId">
    <vt:lpwstr>7fed6e63-7350-4820-9d78-a099fdc27f77</vt:lpwstr>
  </property>
  <property fmtid="{D5CDD505-2E9C-101B-9397-08002B2CF9AE}" pid="3" name="MSIP_Label_3be8ab8c-433c-4394-a4fb-cd2d5c4d0a5e_ContentBits">
    <vt:lpwstr>0</vt:lpwstr>
  </property>
  <property fmtid="{D5CDD505-2E9C-101B-9397-08002B2CF9AE}" pid="4" name="MSIP_Label_3be8ab8c-433c-4394-a4fb-cd2d5c4d0a5e_Enabled">
    <vt:lpwstr>true</vt:lpwstr>
  </property>
  <property fmtid="{D5CDD505-2E9C-101B-9397-08002B2CF9AE}" pid="5" name="MSIP_Label_3be8ab8c-433c-4394-a4fb-cd2d5c4d0a5e_Method">
    <vt:lpwstr>Privileged</vt:lpwstr>
  </property>
  <property fmtid="{D5CDD505-2E9C-101B-9397-08002B2CF9AE}" pid="6" name="MSIP_Label_3be8ab8c-433c-4394-a4fb-cd2d5c4d0a5e_Name">
    <vt:lpwstr>None</vt:lpwstr>
  </property>
  <property fmtid="{D5CDD505-2E9C-101B-9397-08002B2CF9AE}" pid="7" name="MSIP_Label_3be8ab8c-433c-4394-a4fb-cd2d5c4d0a5e_SetDate">
    <vt:lpwstr>2024-10-23T12:13:25Z</vt:lpwstr>
  </property>
  <property fmtid="{D5CDD505-2E9C-101B-9397-08002B2CF9AE}" pid="8" name="MSIP_Label_3be8ab8c-433c-4394-a4fb-cd2d5c4d0a5e_SiteId">
    <vt:lpwstr>26c83bc9-31c1-4d77-a523-0816095aba31</vt:lpwstr>
  </property>
</Properties>
</file>