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070E" w14:paraId="1E9430C5"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57070E" w14:paraId="361FAB4A"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57070E" w14:paraId="77FB18C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14:paraId="76F2CE3A" w14:textId="77777777">
      <w:pPr>
        <w:pStyle w:val="Header"/>
        <w:tabs>
          <w:tab w:val="left" w:pos="0"/>
          <w:tab w:val="right" w:pos="2020"/>
          <w:tab w:val="clear" w:pos="4320"/>
          <w:tab w:val="clear" w:pos="8640"/>
        </w:tabs>
        <w:jc w:val="center"/>
        <w:rPr>
          <w:rFonts w:ascii="Times New Roman" w:hAnsi="Times New Roman"/>
          <w:szCs w:val="24"/>
        </w:rPr>
      </w:pPr>
      <w:r>
        <w:rPr>
          <w:rFonts w:ascii="Times New Roman" w:hAnsi="Times New Roman"/>
          <w:szCs w:val="24"/>
        </w:rPr>
        <w:t>Supervisory Guidance: Supervisory Review Process of Capital Adequacy (Pillar 2)</w:t>
      </w:r>
    </w:p>
    <w:p w:rsidR="0057070E" w14:paraId="5BDE86F9" w14:textId="77777777">
      <w:pPr>
        <w:pStyle w:val="Header"/>
        <w:tabs>
          <w:tab w:val="left" w:pos="0"/>
          <w:tab w:val="right" w:pos="2020"/>
          <w:tab w:val="clear" w:pos="4320"/>
          <w:tab w:val="clear" w:pos="8640"/>
        </w:tabs>
        <w:spacing w:line="360" w:lineRule="auto"/>
        <w:jc w:val="center"/>
        <w:rPr>
          <w:rFonts w:ascii="Times New Roman" w:hAnsi="Times New Roman"/>
          <w:szCs w:val="24"/>
        </w:rPr>
      </w:pPr>
      <w:r>
        <w:rPr>
          <w:rFonts w:ascii="Times New Roman" w:hAnsi="Times New Roman"/>
          <w:szCs w:val="24"/>
        </w:rPr>
        <w:t xml:space="preserve"> Related to the Implementation of the Basel II Advanced Capital Framework</w:t>
      </w:r>
    </w:p>
    <w:p w:rsidR="0057070E" w14:paraId="02ECDAB3" w14:textId="77777777">
      <w:pPr>
        <w:pStyle w:val="Header"/>
        <w:tabs>
          <w:tab w:val="left" w:pos="0"/>
          <w:tab w:val="right" w:pos="2020"/>
          <w:tab w:val="clear" w:pos="4320"/>
          <w:tab w:val="clear" w:pos="8640"/>
        </w:tabs>
        <w:spacing w:line="360" w:lineRule="auto"/>
        <w:jc w:val="center"/>
        <w:rPr>
          <w:rFonts w:ascii="Times New Roman" w:hAnsi="Times New Roman"/>
          <w:szCs w:val="24"/>
        </w:rPr>
      </w:pPr>
      <w:r>
        <w:rPr>
          <w:rFonts w:ascii="Times New Roman" w:hAnsi="Times New Roman"/>
          <w:szCs w:val="24"/>
        </w:rPr>
        <w:t>OMB No. 3064-0165</w:t>
      </w:r>
    </w:p>
    <w:p w:rsidR="0057070E" w14:paraId="538EA924"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14:paraId="22FBB90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14:paraId="2DF6F294"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57070E" w14:paraId="75C4DCD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P="008761FD" w14:paraId="1C595CCE" w14:textId="108E47D6">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The FDIC is seeking OMB approval to renew, without revision, its information collection entitled, “</w:t>
      </w:r>
      <w:r w:rsidR="00514230">
        <w:rPr>
          <w:rFonts w:ascii="Times New Roman" w:hAnsi="Times New Roman"/>
          <w:szCs w:val="24"/>
        </w:rPr>
        <w:t>Supervisory Guidance: Supervisory Review Process of Capital Adequacy (Pillar 2) Related to the Implementation of the Basel II Advanced Capital Framework</w:t>
      </w:r>
      <w:r>
        <w:rPr>
          <w:rFonts w:ascii="Times New Roman" w:hAnsi="Times New Roman"/>
          <w:szCs w:val="24"/>
        </w:rPr>
        <w:t xml:space="preserve">,” OMB N0. 3064-0165.  </w:t>
      </w:r>
      <w:r w:rsidR="003D3463">
        <w:rPr>
          <w:rFonts w:ascii="Times New Roman" w:hAnsi="Times New Roman"/>
          <w:szCs w:val="24"/>
        </w:rPr>
        <w:t xml:space="preserve"> </w:t>
      </w:r>
      <w:r w:rsidR="00EA08FB">
        <w:rPr>
          <w:rFonts w:ascii="Times New Roman" w:hAnsi="Times New Roman"/>
          <w:szCs w:val="24"/>
        </w:rPr>
        <w:t xml:space="preserve">This information expires on </w:t>
      </w:r>
      <w:r w:rsidR="005A3E27">
        <w:rPr>
          <w:rFonts w:ascii="Times New Roman" w:hAnsi="Times New Roman"/>
          <w:szCs w:val="24"/>
        </w:rPr>
        <w:t>December 31, 2024.</w:t>
      </w:r>
    </w:p>
    <w:p w:rsidR="0057070E" w14:paraId="2B4A1AF0" w14:textId="77777777">
      <w:pPr>
        <w:rPr>
          <w:rFonts w:ascii="Times New Roman" w:hAnsi="Times New Roman"/>
        </w:rPr>
      </w:pPr>
    </w:p>
    <w:p w:rsidR="0057070E" w14:paraId="54F82355" w14:textId="77777777">
      <w:pPr>
        <w:pStyle w:val="Heading2"/>
        <w:widowControl/>
        <w:rPr>
          <w:rFonts w:ascii="Times New Roman" w:hAnsi="Times New Roman"/>
          <w:sz w:val="24"/>
        </w:rPr>
      </w:pPr>
      <w:r>
        <w:rPr>
          <w:rFonts w:ascii="Times New Roman" w:hAnsi="Times New Roman"/>
          <w:sz w:val="24"/>
        </w:rPr>
        <w:t>JUSTIFICATION</w:t>
      </w:r>
    </w:p>
    <w:p w:rsidR="0057070E" w14:paraId="4E704BE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14:paraId="451D609F"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Pr>
          <w:rFonts w:ascii="Times New Roman" w:hAnsi="Times New Roman"/>
          <w:u w:val="single"/>
        </w:rPr>
        <w:t xml:space="preserve">Circumstances </w:t>
      </w:r>
      <w:r w:rsidR="00514230">
        <w:rPr>
          <w:rFonts w:ascii="Times New Roman" w:hAnsi="Times New Roman"/>
          <w:u w:val="single"/>
        </w:rPr>
        <w:t>the make the collection necessary:</w:t>
      </w:r>
    </w:p>
    <w:p w:rsidR="0057070E" w14:paraId="13107CF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14230" w14:paraId="7A96FB53"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Section 1831o</w:t>
      </w:r>
      <w:r w:rsidRPr="00514230">
        <w:rPr>
          <w:rFonts w:ascii="Times New Roman" w:hAnsi="Times New Roman"/>
          <w:szCs w:val="24"/>
        </w:rPr>
        <w:t xml:space="preserve"> of the Federal Deposit Insurance Act requires each federal banking agency to adopt a prompt corrective action framework</w:t>
      </w:r>
      <w:r>
        <w:rPr>
          <w:rFonts w:ascii="Times New Roman" w:hAnsi="Times New Roman"/>
          <w:szCs w:val="24"/>
        </w:rPr>
        <w:t>.</w:t>
      </w:r>
    </w:p>
    <w:p w:rsidR="00514230" w14:paraId="0D34991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14:paraId="35E0C2A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On September 25, 2006, the Agencies issued a notice of proposed rulemaking seeking public comment on a new risk-based regulatory capital framework based on the Basel Committee on Banking Supervision April 2003 consultative paper entitled “New Basel Capital Accord” (New Accord).  The New Accord set forth a “three pillar” framework encompassing risk-based capital requirements for credit risk, market risk, and operational risk (Pillar 1); supervisory review of capital adequacy (Pillar 2); and market discipline through enhanced public disclosures (Pillar 3).  On December 7, 2007 (72 FR 69288), the agencies published a final rule adopting the Pillar 1 internal ratings-based approach for calculating regulatory credit risk capital and the advanced measurement approaches for calculating regulatory operational risk capital (together the advanced approaches).  The advanced approaches rule is mandatory for the largest U.S. banks and optional for other banks.  </w:t>
      </w:r>
    </w:p>
    <w:p w:rsidR="0057070E" w14:paraId="0A98FB6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14:paraId="29F0893D" w14:textId="77777777">
      <w:pPr>
        <w:rPr>
          <w:rFonts w:ascii="Times New Roman" w:hAnsi="Times New Roman"/>
        </w:rPr>
      </w:pPr>
      <w:r>
        <w:rPr>
          <w:rFonts w:ascii="Times New Roman" w:hAnsi="Times New Roman"/>
          <w:szCs w:val="24"/>
        </w:rPr>
        <w:t>On February 28, 2007, the agencies published a notice seeking public comment on “Proposed Supervisory Guidance for Internal Ratings-Based Systems for Credit Risk, Advanced Measurement Approaches for Operational Risk, and the Supervisory Review Process (Pillar 2) Related to Basel II Implementation.”  The proposed guidance provided additional detail for certain aspects of Pillar 1 and the supervisory review process to help banks satisfy qualification requirements.  This information collection is associated with the information collection requirements contained in the final supervisory guidance document for Pillar 2, which was issued by the Agencies on July 31, 2008.</w:t>
      </w:r>
      <w:r w:rsidR="001F0854">
        <w:rPr>
          <w:rFonts w:ascii="Times New Roman" w:hAnsi="Times New Roman"/>
          <w:szCs w:val="24"/>
        </w:rPr>
        <w:t xml:space="preserve">  </w:t>
      </w:r>
      <w:r>
        <w:rPr>
          <w:rFonts w:ascii="Times New Roman" w:hAnsi="Times New Roman"/>
        </w:rPr>
        <w:t xml:space="preserve">U.S. banks that qualify for and adopt the Advanced Capital Adequacy Framework are subject to </w:t>
      </w:r>
      <w:r w:rsidR="001F0854">
        <w:rPr>
          <w:rFonts w:ascii="Times New Roman" w:hAnsi="Times New Roman"/>
        </w:rPr>
        <w:t xml:space="preserve">the </w:t>
      </w:r>
      <w:r>
        <w:rPr>
          <w:rFonts w:ascii="Times New Roman" w:hAnsi="Times New Roman"/>
        </w:rPr>
        <w:t xml:space="preserve">risk-based capital rules described in the agencies’ December 7, 2007, final rule.  </w:t>
      </w:r>
    </w:p>
    <w:p w:rsidR="00514230" w14:paraId="0BCDAA34" w14:textId="77777777">
      <w:pPr>
        <w:rPr>
          <w:rFonts w:ascii="Times New Roman" w:hAnsi="Times New Roman"/>
        </w:rPr>
      </w:pPr>
    </w:p>
    <w:p w:rsidR="00514230" w14:paraId="6C07337A" w14:textId="77777777">
      <w:pPr>
        <w:rPr>
          <w:rFonts w:ascii="Times New Roman" w:hAnsi="Times New Roman"/>
        </w:rPr>
      </w:pPr>
      <w:r w:rsidRPr="00514230">
        <w:rPr>
          <w:rFonts w:ascii="Times New Roman" w:hAnsi="Times New Roman"/>
          <w:szCs w:val="24"/>
        </w:rPr>
        <w:t>The supervisory guidance</w:t>
      </w:r>
      <w:r>
        <w:rPr>
          <w:rFonts w:ascii="Times New Roman" w:hAnsi="Times New Roman"/>
          <w:szCs w:val="24"/>
          <w:vertAlign w:val="superscript"/>
        </w:rPr>
        <w:footnoteReference w:id="2"/>
      </w:r>
      <w:r w:rsidRPr="00514230">
        <w:rPr>
          <w:rFonts w:ascii="Times New Roman" w:hAnsi="Times New Roman"/>
          <w:szCs w:val="24"/>
        </w:rPr>
        <w:t xml:space="preserve"> provides additional detail that should help institutions satisfy the qualification requirements in the final rule.</w:t>
      </w:r>
      <w:r>
        <w:rPr>
          <w:rFonts w:ascii="Times New Roman" w:hAnsi="Times New Roman"/>
          <w:szCs w:val="24"/>
          <w:vertAlign w:val="superscript"/>
        </w:rPr>
        <w:footnoteReference w:id="3"/>
      </w:r>
      <w:r w:rsidRPr="00514230">
        <w:rPr>
          <w:rFonts w:ascii="Times New Roman" w:hAnsi="Times New Roman"/>
          <w:szCs w:val="24"/>
        </w:rPr>
        <w:t xml:space="preserve">  The federal banking agencies believe that the supervisory guidance documents are necessary to supplement the framework with standards to promote safety and soundness and encourage comparability across institutions.  An institution’s primary federal supervisor will review the institution’s framework relative to the qualification requirements in the final rule to determine whether the institution may apply the advanced approaches and has complied with the proposed rule in determining its regulatory capital requirements</w:t>
      </w:r>
    </w:p>
    <w:p w:rsidR="000600B1" w14:paraId="6B4EBE10" w14:textId="77777777">
      <w:pPr>
        <w:rPr>
          <w:rFonts w:ascii="Times New Roman" w:hAnsi="Times New Roman"/>
          <w:szCs w:val="24"/>
        </w:rPr>
      </w:pPr>
    </w:p>
    <w:p w:rsidR="00514230" w14:paraId="46DE57A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In order to assess a bank’s conformance with internal capital adequacy standards set forth under Pillar II of the final rule, the Agencies have issued guidance that outlines the agencies’ expectations for (i) satisfying the qualification requirements provided in the advanced approaches final rule; (ii) addressing the limitations of the minimum risk-based capital requirements for credit risk and operational risk; (iii) ensuring that each institution has a rigorous process for assessing its overall capital adequacy in relation to its risk profile and a comprehensive strategy for maintaining appropriate capital levels; and (iv) encouraging each institution to improve its risk identification and measurement techniques.</w:t>
      </w:r>
    </w:p>
    <w:p w:rsidR="0057070E" w14:paraId="5AD4CA6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14:paraId="3064ADA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Pr>
          <w:rFonts w:ascii="Times New Roman" w:hAnsi="Times New Roman"/>
          <w:u w:val="single"/>
        </w:rPr>
        <w:t>Use of Information Collected</w:t>
      </w:r>
      <w:r w:rsidR="00FD6F3C">
        <w:rPr>
          <w:rFonts w:ascii="Times New Roman" w:hAnsi="Times New Roman"/>
          <w:u w:val="single"/>
        </w:rPr>
        <w:t>:</w:t>
      </w:r>
    </w:p>
    <w:p w:rsidR="0057070E" w14:paraId="2165AA6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14:paraId="544795C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szCs w:val="24"/>
        </w:rPr>
        <w:t xml:space="preserve">The FDIC uses this information to assess an institution’s Internal Capital Adequacy Assessment Process (ICAAP) and minimum </w:t>
      </w:r>
      <w:r>
        <w:rPr>
          <w:rFonts w:ascii="Times New Roman" w:hAnsi="Times New Roman"/>
          <w:szCs w:val="24"/>
        </w:rPr>
        <w:t>risk based</w:t>
      </w:r>
      <w:r>
        <w:rPr>
          <w:rFonts w:ascii="Times New Roman" w:hAnsi="Times New Roman"/>
          <w:szCs w:val="24"/>
        </w:rPr>
        <w:t xml:space="preserve"> capital requirements under the final rule. Section 37 of the guidance states that banks should state clearly the definition of capital used in any aspect of ICAAP and document any changes in the internal definition of capital.  Under section 41, banks should maintain thorough documentation of ICAAP.  Section 43 specifies that boards of directors and senior management should approve the bank’s ICAAP, review it on a regular basis, and approve any changes.  Boards of directors and senior management are also required under Section 46 to periodically review the assessment of overall capital adequacy and include an analysis of how measures of internal capital adequacy compare with other capital measures.</w:t>
      </w:r>
    </w:p>
    <w:p w:rsidR="0057070E" w14:paraId="594AA58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14:paraId="1FBCED8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Pr="00FD6F3C" w:rsidR="00FD6F3C">
        <w:rPr>
          <w:rFonts w:ascii="Times New Roman" w:hAnsi="Times New Roman"/>
          <w:u w:val="single"/>
        </w:rPr>
        <w:t>Consideration of the use of improved information technology:</w:t>
      </w:r>
    </w:p>
    <w:p w:rsidR="0057070E" w14:paraId="2DF14AC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14:paraId="1CCF96DB" w14:textId="77777777">
      <w:pPr>
        <w:autoSpaceDE w:val="0"/>
        <w:autoSpaceDN w:val="0"/>
        <w:adjustRightInd w:val="0"/>
        <w:rPr>
          <w:rFonts w:ascii="Times New Roman" w:hAnsi="Times New Roman"/>
          <w:szCs w:val="24"/>
        </w:rPr>
      </w:pPr>
      <w:r>
        <w:rPr>
          <w:rFonts w:ascii="Times New Roman" w:hAnsi="Times New Roman"/>
          <w:szCs w:val="24"/>
        </w:rPr>
        <w:t>Banks are free to use the method they deem most appropriate to maintain any documentation required by the supervisory guidelines.</w:t>
      </w:r>
    </w:p>
    <w:p w:rsidR="0057070E" w14:paraId="62DB171D" w14:textId="77777777">
      <w:pPr>
        <w:autoSpaceDE w:val="0"/>
        <w:autoSpaceDN w:val="0"/>
        <w:adjustRightInd w:val="0"/>
        <w:rPr>
          <w:rFonts w:ascii="Times New Roman" w:hAnsi="Times New Roman"/>
        </w:rPr>
      </w:pPr>
    </w:p>
    <w:p w:rsidR="0057070E" w14:paraId="0A129F49"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Efforts to Identify Duplication</w:t>
      </w:r>
      <w:r w:rsidR="00FD6F3C">
        <w:rPr>
          <w:rFonts w:ascii="Times New Roman" w:hAnsi="Times New Roman"/>
          <w:u w:val="single"/>
        </w:rPr>
        <w:t>:</w:t>
      </w:r>
    </w:p>
    <w:p w:rsidR="0057070E" w14:paraId="07756EA4" w14:textId="77777777">
      <w:pPr>
        <w:widowControl/>
        <w:tabs>
          <w:tab w:val="left" w:pos="-1440"/>
          <w:tab w:val="left" w:pos="-720"/>
          <w:tab w:val="left" w:pos="0"/>
          <w:tab w:val="left" w:pos="432"/>
          <w:tab w:val="left" w:pos="720"/>
        </w:tabs>
        <w:suppressAutoHyphens/>
        <w:rPr>
          <w:rFonts w:ascii="Times New Roman" w:hAnsi="Times New Roman"/>
        </w:rPr>
      </w:pPr>
    </w:p>
    <w:p w:rsidR="0057070E" w14:paraId="3F22491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information required is not otherwise available to the FDIC</w:t>
      </w:r>
      <w:r>
        <w:rPr>
          <w:rFonts w:ascii="Times New Roman" w:hAnsi="Times New Roman"/>
        </w:rPr>
        <w:t xml:space="preserve">. </w:t>
      </w:r>
    </w:p>
    <w:p w:rsidR="0057070E" w14:paraId="215BDEF0" w14:textId="77777777">
      <w:pPr>
        <w:widowControl/>
        <w:tabs>
          <w:tab w:val="left" w:pos="-1440"/>
          <w:tab w:val="left" w:pos="-720"/>
          <w:tab w:val="left" w:pos="0"/>
          <w:tab w:val="left" w:pos="432"/>
          <w:tab w:val="left" w:pos="720"/>
        </w:tabs>
        <w:suppressAutoHyphens/>
        <w:rPr>
          <w:rFonts w:ascii="Times New Roman" w:hAnsi="Times New Roman"/>
        </w:rPr>
      </w:pPr>
    </w:p>
    <w:p w:rsidR="0057070E" w14:paraId="5C846B43"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5.  </w:t>
      </w:r>
      <w:r w:rsidRPr="00FD6F3C" w:rsidR="00FD6F3C">
        <w:rPr>
          <w:rFonts w:ascii="Times New Roman" w:hAnsi="Times New Roman"/>
          <w:u w:val="single"/>
        </w:rPr>
        <w:t>If the collection of information impacts small businesses or other small entities, describe any methods used to minimize burden</w:t>
      </w:r>
      <w:r w:rsidR="00FD6F3C">
        <w:rPr>
          <w:rFonts w:ascii="Times New Roman" w:hAnsi="Times New Roman"/>
          <w:u w:val="single"/>
        </w:rPr>
        <w:t>:</w:t>
      </w:r>
    </w:p>
    <w:p w:rsidR="0057070E" w14:paraId="5F13CD84" w14:textId="77777777">
      <w:pPr>
        <w:widowControl/>
        <w:tabs>
          <w:tab w:val="left" w:pos="-1440"/>
          <w:tab w:val="left" w:pos="-720"/>
          <w:tab w:val="left" w:pos="0"/>
          <w:tab w:val="left" w:pos="432"/>
          <w:tab w:val="left" w:pos="720"/>
        </w:tabs>
        <w:suppressAutoHyphens/>
        <w:rPr>
          <w:rFonts w:ascii="Times New Roman" w:hAnsi="Times New Roman"/>
        </w:rPr>
      </w:pPr>
    </w:p>
    <w:p w:rsidR="0057070E" w14:paraId="15C03B8A"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Organizations that are subject to the risk-based capital rules on a mandatory basis are large and internationally active organizations and their depository institution subsid</w:t>
      </w:r>
      <w:r w:rsidR="009814E3">
        <w:rPr>
          <w:rFonts w:ascii="Times New Roman" w:hAnsi="Times New Roman"/>
        </w:rPr>
        <w:t>iaries.</w:t>
      </w:r>
      <w:r>
        <w:rPr>
          <w:rStyle w:val="FootnoteReference"/>
          <w:rFonts w:ascii="Times New Roman" w:hAnsi="Times New Roman"/>
        </w:rPr>
        <w:footnoteReference w:id="4"/>
      </w:r>
      <w:r w:rsidR="009814E3">
        <w:rPr>
          <w:rFonts w:ascii="Times New Roman" w:hAnsi="Times New Roman"/>
        </w:rPr>
        <w:t xml:space="preserve">  The FDIC believes the</w:t>
      </w:r>
      <w:r>
        <w:rPr>
          <w:rFonts w:ascii="Times New Roman" w:hAnsi="Times New Roman"/>
        </w:rPr>
        <w:t xml:space="preserve"> reporting requirements </w:t>
      </w:r>
      <w:r w:rsidR="009814E3">
        <w:rPr>
          <w:rFonts w:ascii="Times New Roman" w:hAnsi="Times New Roman"/>
        </w:rPr>
        <w:t>in this information collection place</w:t>
      </w:r>
      <w:r>
        <w:rPr>
          <w:rFonts w:ascii="Times New Roman" w:hAnsi="Times New Roman"/>
        </w:rPr>
        <w:t xml:space="preserve"> a limited burden on small institutions. The FDIC estimates that </w:t>
      </w:r>
      <w:r w:rsidR="00781019">
        <w:rPr>
          <w:rFonts w:ascii="Times New Roman" w:hAnsi="Times New Roman"/>
        </w:rPr>
        <w:t>four</w:t>
      </w:r>
      <w:r>
        <w:rPr>
          <w:rFonts w:ascii="Times New Roman" w:hAnsi="Times New Roman"/>
        </w:rPr>
        <w:t xml:space="preserve"> small state nonmember </w:t>
      </w:r>
      <w:r>
        <w:rPr>
          <w:rFonts w:ascii="Times New Roman" w:hAnsi="Times New Roman"/>
        </w:rPr>
        <w:t>bank</w:t>
      </w:r>
      <w:r>
        <w:rPr>
          <w:rFonts w:ascii="Times New Roman" w:hAnsi="Times New Roman"/>
        </w:rPr>
        <w:t xml:space="preserve"> (out of a total of </w:t>
      </w:r>
      <w:r w:rsidR="00781019">
        <w:rPr>
          <w:rFonts w:ascii="Times New Roman" w:hAnsi="Times New Roman"/>
        </w:rPr>
        <w:t>2,636</w:t>
      </w:r>
      <w:r>
        <w:rPr>
          <w:rFonts w:ascii="Times New Roman" w:hAnsi="Times New Roman"/>
        </w:rPr>
        <w:t xml:space="preserve"> state nonmember banks with assets of $</w:t>
      </w:r>
      <w:r w:rsidR="009814E3">
        <w:rPr>
          <w:rFonts w:ascii="Times New Roman" w:hAnsi="Times New Roman"/>
        </w:rPr>
        <w:t>600</w:t>
      </w:r>
      <w:r>
        <w:rPr>
          <w:rFonts w:ascii="Times New Roman" w:hAnsi="Times New Roman"/>
        </w:rPr>
        <w:t xml:space="preserve"> million or less) </w:t>
      </w:r>
      <w:r w:rsidR="00AF20F9">
        <w:rPr>
          <w:rFonts w:ascii="Times New Roman" w:hAnsi="Times New Roman"/>
        </w:rPr>
        <w:t>is</w:t>
      </w:r>
      <w:r w:rsidR="009814E3">
        <w:rPr>
          <w:rFonts w:ascii="Times New Roman" w:hAnsi="Times New Roman"/>
        </w:rPr>
        <w:t xml:space="preserve"> subject to the</w:t>
      </w:r>
      <w:r>
        <w:rPr>
          <w:rFonts w:ascii="Times New Roman" w:hAnsi="Times New Roman"/>
        </w:rPr>
        <w:t xml:space="preserve"> rule, and correspondingly these reporting requirements, on a mandatory basis.</w:t>
      </w:r>
      <w:r w:rsidR="00514230">
        <w:rPr>
          <w:rFonts w:ascii="Times New Roman" w:hAnsi="Times New Roman"/>
        </w:rPr>
        <w:t xml:space="preserve"> There are no alternatives that would result in lowering the burden on small institutions while still accomplishing the purpose of the rule.</w:t>
      </w:r>
    </w:p>
    <w:p w:rsidR="0057070E" w14:paraId="0AB8D6E8" w14:textId="77777777">
      <w:pPr>
        <w:widowControl/>
        <w:tabs>
          <w:tab w:val="left" w:pos="-1440"/>
          <w:tab w:val="left" w:pos="-720"/>
          <w:tab w:val="left" w:pos="0"/>
          <w:tab w:val="left" w:pos="432"/>
          <w:tab w:val="left" w:pos="720"/>
        </w:tabs>
        <w:suppressAutoHyphens/>
        <w:rPr>
          <w:rFonts w:ascii="Times New Roman" w:hAnsi="Times New Roman"/>
        </w:rPr>
      </w:pPr>
    </w:p>
    <w:p w:rsidR="0057070E" w14:paraId="7019377A"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Pr>
          <w:rFonts w:ascii="Times New Roman" w:hAnsi="Times New Roman"/>
          <w:u w:val="single"/>
        </w:rPr>
        <w:t>Consequences of Less Frequent Collection</w:t>
      </w:r>
      <w:r w:rsidR="00FD6F3C">
        <w:rPr>
          <w:rFonts w:ascii="Times New Roman" w:hAnsi="Times New Roman"/>
          <w:u w:val="single"/>
        </w:rPr>
        <w:t>:</w:t>
      </w:r>
    </w:p>
    <w:p w:rsidR="0057070E" w14:paraId="1272422D" w14:textId="77777777">
      <w:pPr>
        <w:widowControl/>
        <w:tabs>
          <w:tab w:val="left" w:pos="-1440"/>
          <w:tab w:val="left" w:pos="-720"/>
          <w:tab w:val="left" w:pos="0"/>
          <w:tab w:val="left" w:pos="432"/>
          <w:tab w:val="left" w:pos="720"/>
        </w:tabs>
        <w:suppressAutoHyphens/>
        <w:rPr>
          <w:rFonts w:ascii="Times New Roman" w:hAnsi="Times New Roman"/>
        </w:rPr>
      </w:pPr>
    </w:p>
    <w:p w:rsidR="0057070E" w14:paraId="44617FC1"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risk-based capital rules, and evidence of risk estimates that call into question the accuracy of a bank’s ICAAP. </w:t>
      </w:r>
      <w:r w:rsidR="00514230">
        <w:rPr>
          <w:rFonts w:ascii="Times New Roman" w:hAnsi="Times New Roman"/>
        </w:rPr>
        <w:t xml:space="preserve">The FDIC would not be able to adequately monitor capital levels and ensure institution safety and </w:t>
      </w:r>
      <w:r w:rsidR="00FD6F3C">
        <w:rPr>
          <w:rFonts w:ascii="Times New Roman" w:hAnsi="Times New Roman"/>
        </w:rPr>
        <w:t>soundness.</w:t>
      </w:r>
    </w:p>
    <w:p w:rsidR="0057070E" w14:paraId="6B6EECEC" w14:textId="77777777">
      <w:pPr>
        <w:widowControl/>
        <w:tabs>
          <w:tab w:val="left" w:pos="-1440"/>
          <w:tab w:val="left" w:pos="-720"/>
          <w:tab w:val="left" w:pos="0"/>
          <w:tab w:val="left" w:pos="432"/>
          <w:tab w:val="left" w:pos="720"/>
        </w:tabs>
        <w:suppressAutoHyphens/>
        <w:rPr>
          <w:rFonts w:ascii="Times New Roman" w:hAnsi="Times New Roman"/>
        </w:rPr>
      </w:pPr>
    </w:p>
    <w:p w:rsidR="0057070E" w14:paraId="19840376"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FD6F3C" w:rsidR="00FD6F3C">
        <w:rPr>
          <w:rFonts w:ascii="Times New Roman" w:hAnsi="Times New Roman"/>
          <w:u w:val="single"/>
        </w:rPr>
        <w:t xml:space="preserve">Special circumstances necessitating collection inconsistent with 5 CFR </w:t>
      </w:r>
      <w:r w:rsidR="00FD6F3C">
        <w:rPr>
          <w:rFonts w:ascii="Times New Roman" w:hAnsi="Times New Roman"/>
          <w:u w:val="single"/>
        </w:rPr>
        <w:t>1320.5(d)(2):</w:t>
      </w:r>
    </w:p>
    <w:p w:rsidR="0057070E" w14:paraId="788584BB" w14:textId="77777777">
      <w:pPr>
        <w:widowControl/>
        <w:tabs>
          <w:tab w:val="left" w:pos="-1440"/>
          <w:tab w:val="left" w:pos="-720"/>
          <w:tab w:val="left" w:pos="0"/>
          <w:tab w:val="left" w:pos="432"/>
          <w:tab w:val="left" w:pos="720"/>
        </w:tabs>
        <w:suppressAutoHyphens/>
        <w:rPr>
          <w:rFonts w:ascii="Times New Roman" w:hAnsi="Times New Roman"/>
        </w:rPr>
      </w:pPr>
    </w:p>
    <w:p w:rsidR="0057070E" w14:paraId="3541E2FC"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There are no special circumstances.</w:t>
      </w:r>
      <w:r w:rsidR="00FD6F3C">
        <w:rPr>
          <w:rFonts w:ascii="Times New Roman" w:hAnsi="Times New Roman"/>
        </w:rPr>
        <w:t xml:space="preserve"> </w:t>
      </w:r>
      <w:r w:rsidRPr="00FD6F3C" w:rsidR="00FD6F3C">
        <w:rPr>
          <w:rFonts w:ascii="Times New Roman" w:hAnsi="Times New Roman"/>
        </w:rPr>
        <w:t xml:space="preserve">This information collection is conducted in accordance with </w:t>
      </w:r>
      <w:r w:rsidR="00FD6F3C">
        <w:rPr>
          <w:rFonts w:ascii="Times New Roman" w:hAnsi="Times New Roman"/>
        </w:rPr>
        <w:t>the</w:t>
      </w:r>
      <w:r w:rsidRPr="00FD6F3C" w:rsidR="00FD6F3C">
        <w:rPr>
          <w:rFonts w:ascii="Times New Roman" w:hAnsi="Times New Roman"/>
        </w:rPr>
        <w:t xml:space="preserve"> guidelines in 5 CFR 1320.</w:t>
      </w:r>
      <w:r w:rsidR="00FD6F3C">
        <w:rPr>
          <w:rFonts w:ascii="Times New Roman" w:hAnsi="Times New Roman"/>
        </w:rPr>
        <w:t>5(d)(2).</w:t>
      </w:r>
    </w:p>
    <w:p w:rsidR="0057070E" w14:paraId="3BADAA80" w14:textId="77777777">
      <w:pPr>
        <w:widowControl/>
        <w:tabs>
          <w:tab w:val="left" w:pos="-1440"/>
          <w:tab w:val="left" w:pos="-720"/>
          <w:tab w:val="left" w:pos="0"/>
          <w:tab w:val="left" w:pos="432"/>
          <w:tab w:val="left" w:pos="720"/>
        </w:tabs>
        <w:suppressAutoHyphens/>
        <w:rPr>
          <w:rFonts w:ascii="Times New Roman" w:hAnsi="Times New Roman"/>
        </w:rPr>
      </w:pPr>
    </w:p>
    <w:p w:rsidR="0057070E" w14:paraId="1072B8E2" w14:textId="77777777">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00422B1B">
        <w:rPr>
          <w:rFonts w:ascii="Times New Roman" w:hAnsi="Times New Roman"/>
          <w:u w:val="single"/>
        </w:rPr>
        <w:t>Efforts to Consult with Persons Outside the Agency:</w:t>
      </w:r>
    </w:p>
    <w:p w:rsidR="0057070E" w14:paraId="1C2B7B6A" w14:textId="77777777">
      <w:pPr>
        <w:widowControl/>
        <w:tabs>
          <w:tab w:val="left" w:pos="-1440"/>
          <w:tab w:val="left" w:pos="-720"/>
          <w:tab w:val="left" w:pos="0"/>
          <w:tab w:val="left" w:pos="432"/>
          <w:tab w:val="left" w:pos="720"/>
        </w:tabs>
        <w:suppressAutoHyphens/>
        <w:rPr>
          <w:rFonts w:ascii="Times New Roman" w:hAnsi="Times New Roman"/>
          <w:u w:val="single"/>
        </w:rPr>
      </w:pPr>
    </w:p>
    <w:p w:rsidR="0057070E" w14:paraId="4B2A45A8" w14:textId="16FC62FB">
      <w:pPr>
        <w:rPr>
          <w:rFonts w:ascii="Times New Roman" w:hAnsi="Times New Roman"/>
          <w:szCs w:val="24"/>
        </w:rPr>
      </w:pPr>
      <w:bookmarkStart w:id="0" w:name="OLE_LINK10"/>
      <w:bookmarkStart w:id="1" w:name="OLE_LINK11"/>
      <w:r>
        <w:rPr>
          <w:rFonts w:ascii="Times New Roman" w:hAnsi="Times New Roman"/>
          <w:szCs w:val="24"/>
        </w:rPr>
        <w:t xml:space="preserve">A 60-day notice seeking public comment on the agencies renewal of the information collection was published on </w:t>
      </w:r>
      <w:r w:rsidR="005A3E27">
        <w:rPr>
          <w:rFonts w:ascii="Times New Roman" w:hAnsi="Times New Roman"/>
          <w:szCs w:val="24"/>
        </w:rPr>
        <w:t>October 10, 2024</w:t>
      </w:r>
      <w:r>
        <w:rPr>
          <w:rFonts w:ascii="Times New Roman" w:hAnsi="Times New Roman"/>
          <w:szCs w:val="24"/>
        </w:rPr>
        <w:t xml:space="preserve"> (</w:t>
      </w:r>
      <w:r w:rsidR="00FC53C0">
        <w:rPr>
          <w:rFonts w:ascii="Times New Roman" w:hAnsi="Times New Roman"/>
          <w:szCs w:val="24"/>
        </w:rPr>
        <w:t>8</w:t>
      </w:r>
      <w:r w:rsidR="005A3E27">
        <w:rPr>
          <w:rFonts w:ascii="Times New Roman" w:hAnsi="Times New Roman"/>
          <w:szCs w:val="24"/>
        </w:rPr>
        <w:t>9</w:t>
      </w:r>
      <w:r w:rsidR="00FC53C0">
        <w:rPr>
          <w:rFonts w:ascii="Times New Roman" w:hAnsi="Times New Roman"/>
          <w:szCs w:val="24"/>
        </w:rPr>
        <w:t xml:space="preserve"> FR </w:t>
      </w:r>
      <w:r w:rsidR="005A3E27">
        <w:rPr>
          <w:rFonts w:ascii="Times New Roman" w:hAnsi="Times New Roman"/>
          <w:szCs w:val="24"/>
        </w:rPr>
        <w:t>82242</w:t>
      </w:r>
      <w:r>
        <w:rPr>
          <w:rFonts w:ascii="Times New Roman" w:hAnsi="Times New Roman"/>
          <w:szCs w:val="24"/>
        </w:rPr>
        <w:t xml:space="preserve">).  No comments </w:t>
      </w:r>
      <w:r w:rsidR="00723BB7">
        <w:rPr>
          <w:rFonts w:ascii="Times New Roman" w:hAnsi="Times New Roman"/>
          <w:szCs w:val="24"/>
        </w:rPr>
        <w:t xml:space="preserve">have been </w:t>
      </w:r>
      <w:r>
        <w:rPr>
          <w:rFonts w:ascii="Times New Roman" w:hAnsi="Times New Roman"/>
          <w:szCs w:val="24"/>
        </w:rPr>
        <w:t>received.</w:t>
      </w:r>
    </w:p>
    <w:p w:rsidR="0057070E" w14:paraId="2FBF280E" w14:textId="77777777">
      <w:pPr>
        <w:rPr>
          <w:rFonts w:ascii="Times New Roman" w:hAnsi="Times New Roman"/>
        </w:rPr>
      </w:pPr>
    </w:p>
    <w:bookmarkEnd w:id="0"/>
    <w:bookmarkEnd w:id="1"/>
    <w:p w:rsidR="0057070E" w14:paraId="53707BC0"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Pr>
          <w:rFonts w:ascii="Times New Roman" w:hAnsi="Times New Roman"/>
          <w:u w:val="single"/>
        </w:rPr>
        <w:t>Payment or Gift to Respondents</w:t>
      </w:r>
    </w:p>
    <w:p w:rsidR="0057070E" w14:paraId="1D484659" w14:textId="77777777">
      <w:pPr>
        <w:widowControl/>
        <w:tabs>
          <w:tab w:val="left" w:pos="-1440"/>
          <w:tab w:val="left" w:pos="-720"/>
          <w:tab w:val="left" w:pos="0"/>
          <w:tab w:val="left" w:pos="432"/>
          <w:tab w:val="left" w:pos="720"/>
        </w:tabs>
        <w:suppressAutoHyphens/>
        <w:rPr>
          <w:rFonts w:ascii="Times New Roman" w:hAnsi="Times New Roman"/>
        </w:rPr>
      </w:pPr>
    </w:p>
    <w:p w:rsidR="0057070E" w14:paraId="78BF96C0"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Pr>
          <w:rFonts w:ascii="Times New Roman" w:hAnsi="Times New Roman"/>
        </w:rPr>
        <w:t>.</w:t>
      </w:r>
    </w:p>
    <w:p w:rsidR="0057070E" w14:paraId="69073C75" w14:textId="77777777">
      <w:pPr>
        <w:widowControl/>
        <w:tabs>
          <w:tab w:val="left" w:pos="-1440"/>
          <w:tab w:val="left" w:pos="-720"/>
          <w:tab w:val="left" w:pos="0"/>
          <w:tab w:val="left" w:pos="432"/>
          <w:tab w:val="left" w:pos="720"/>
        </w:tabs>
        <w:suppressAutoHyphens/>
        <w:rPr>
          <w:rFonts w:ascii="Times New Roman" w:hAnsi="Times New Roman"/>
        </w:rPr>
      </w:pPr>
    </w:p>
    <w:p w:rsidR="0057070E" w14:paraId="55A74652"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00B0498D">
        <w:rPr>
          <w:rFonts w:ascii="Times New Roman" w:hAnsi="Times New Roman"/>
          <w:u w:val="single"/>
        </w:rPr>
        <w:t>Any Assurance of Confidentiality:</w:t>
      </w:r>
    </w:p>
    <w:p w:rsidR="0057070E" w14:paraId="0D418E42" w14:textId="77777777">
      <w:pPr>
        <w:widowControl/>
        <w:tabs>
          <w:tab w:val="left" w:pos="-1440"/>
          <w:tab w:val="left" w:pos="-720"/>
          <w:tab w:val="left" w:pos="0"/>
          <w:tab w:val="left" w:pos="432"/>
          <w:tab w:val="left" w:pos="720"/>
        </w:tabs>
        <w:suppressAutoHyphens/>
        <w:rPr>
          <w:rFonts w:ascii="Times New Roman" w:hAnsi="Times New Roman"/>
        </w:rPr>
      </w:pPr>
    </w:p>
    <w:p w:rsidR="0057070E" w14:paraId="26FB44FB" w14:textId="77777777">
      <w:pPr>
        <w:rPr>
          <w:rFonts w:ascii="Times New Roman" w:hAnsi="Times New Roman"/>
        </w:rPr>
      </w:pPr>
      <w:r>
        <w:rPr>
          <w:rFonts w:ascii="Times New Roman" w:hAnsi="Times New Roman"/>
        </w:rPr>
        <w:t>The information will be kept private to the extent permitted by law</w:t>
      </w:r>
      <w:r>
        <w:rPr>
          <w:rFonts w:ascii="Times New Roman" w:hAnsi="Times New Roman"/>
        </w:rPr>
        <w:t xml:space="preserve">. </w:t>
      </w:r>
    </w:p>
    <w:p w:rsidR="0057070E" w14:paraId="10922435" w14:textId="77777777">
      <w:pPr>
        <w:rPr>
          <w:rFonts w:ascii="Times New Roman" w:hAnsi="Times New Roman"/>
        </w:rPr>
      </w:pPr>
    </w:p>
    <w:p w:rsidR="0057070E" w14:paraId="5183C29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Pr>
          <w:rFonts w:ascii="Times New Roman" w:hAnsi="Times New Roman"/>
          <w:u w:val="single"/>
        </w:rPr>
        <w:t>Information of a Sensitive Nature</w:t>
      </w:r>
      <w:r w:rsidR="00B0498D">
        <w:rPr>
          <w:rFonts w:ascii="Times New Roman" w:hAnsi="Times New Roman"/>
          <w:u w:val="single"/>
        </w:rPr>
        <w:t>:</w:t>
      </w:r>
    </w:p>
    <w:p w:rsidR="0057070E" w14:paraId="46CE1E89" w14:textId="77777777">
      <w:pPr>
        <w:widowControl/>
        <w:tabs>
          <w:tab w:val="left" w:pos="-1440"/>
          <w:tab w:val="left" w:pos="-720"/>
          <w:tab w:val="left" w:pos="0"/>
          <w:tab w:val="left" w:pos="432"/>
          <w:tab w:val="left" w:pos="720"/>
        </w:tabs>
        <w:suppressAutoHyphens/>
        <w:rPr>
          <w:rFonts w:ascii="Times New Roman" w:hAnsi="Times New Roman"/>
        </w:rPr>
      </w:pPr>
    </w:p>
    <w:p w:rsidR="0057070E" w14:paraId="6C764043"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sensitive information is collected.</w:t>
      </w:r>
      <w:r>
        <w:rPr>
          <w:rFonts w:ascii="Times New Roman" w:hAnsi="Times New Roman"/>
        </w:rPr>
        <w:t xml:space="preserve"> </w:t>
      </w:r>
    </w:p>
    <w:p w:rsidR="0057070E" w14:paraId="0F8C4A05" w14:textId="77777777">
      <w:pPr>
        <w:widowControl/>
        <w:tabs>
          <w:tab w:val="left" w:pos="-1440"/>
          <w:tab w:val="left" w:pos="-720"/>
          <w:tab w:val="left" w:pos="0"/>
          <w:tab w:val="left" w:pos="432"/>
          <w:tab w:val="left" w:pos="720"/>
        </w:tabs>
        <w:suppressAutoHyphens/>
        <w:rPr>
          <w:rFonts w:ascii="Times New Roman" w:hAnsi="Times New Roman"/>
        </w:rPr>
      </w:pPr>
    </w:p>
    <w:p w:rsidR="0057070E" w14:paraId="14006914" w14:textId="77777777">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12.  </w:t>
      </w:r>
      <w:r>
        <w:rPr>
          <w:rFonts w:ascii="Times New Roman" w:hAnsi="Times New Roman"/>
          <w:u w:val="single"/>
        </w:rPr>
        <w:t>Estimate of Annualized Burden</w:t>
      </w:r>
      <w:r w:rsidR="008160D4">
        <w:rPr>
          <w:rFonts w:ascii="Times New Roman" w:hAnsi="Times New Roman"/>
          <w:u w:val="single"/>
        </w:rPr>
        <w:t>:</w:t>
      </w:r>
    </w:p>
    <w:p w:rsidR="008160D4" w:rsidP="008160D4" w14:paraId="6ECBCDC6" w14:textId="77777777">
      <w:pPr>
        <w:widowControl/>
        <w:tabs>
          <w:tab w:val="left" w:pos="-1440"/>
          <w:tab w:val="left" w:pos="-720"/>
          <w:tab w:val="left" w:pos="0"/>
          <w:tab w:val="left" w:pos="432"/>
          <w:tab w:val="left" w:pos="720"/>
        </w:tabs>
        <w:suppressAutoHyphens/>
        <w:jc w:val="center"/>
        <w:rPr>
          <w:rFonts w:ascii="Times New Roman" w:hAnsi="Times New Roman"/>
        </w:rPr>
      </w:pPr>
    </w:p>
    <w:p w:rsidR="008160D4" w:rsidRPr="008160D4" w:rsidP="008160D4" w14:paraId="1BA216E6" w14:textId="77777777">
      <w:pPr>
        <w:widowControl/>
        <w:tabs>
          <w:tab w:val="left" w:pos="-1440"/>
          <w:tab w:val="left" w:pos="-720"/>
          <w:tab w:val="left" w:pos="0"/>
          <w:tab w:val="left" w:pos="432"/>
          <w:tab w:val="left" w:pos="720"/>
        </w:tabs>
        <w:suppressAutoHyphens/>
        <w:jc w:val="center"/>
        <w:rPr>
          <w:rFonts w:ascii="Times New Roman" w:hAnsi="Times New Roman"/>
          <w:b/>
        </w:rPr>
      </w:pPr>
      <w:r w:rsidRPr="008160D4">
        <w:rPr>
          <w:rFonts w:ascii="Times New Roman" w:hAnsi="Times New Roman"/>
          <w:b/>
        </w:rPr>
        <w:t>Summary of Annual Burden</w:t>
      </w:r>
    </w:p>
    <w:p w:rsidR="0057070E" w14:paraId="345533AC" w14:textId="77777777">
      <w:pPr>
        <w:widowControl/>
        <w:tabs>
          <w:tab w:val="left" w:pos="-1440"/>
          <w:tab w:val="left" w:pos="-720"/>
          <w:tab w:val="left" w:pos="0"/>
          <w:tab w:val="left" w:pos="432"/>
          <w:tab w:val="left" w:pos="720"/>
        </w:tabs>
        <w:suppressAutoHyphens/>
        <w:rPr>
          <w:rFonts w:ascii="Times New Roman" w:hAnsi="Times New Roman"/>
        </w:rPr>
      </w:pPr>
    </w:p>
    <w:tbl>
      <w:tblPr>
        <w:tblW w:w="7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030"/>
        <w:gridCol w:w="1443"/>
        <w:gridCol w:w="1176"/>
        <w:gridCol w:w="1229"/>
        <w:gridCol w:w="1176"/>
      </w:tblGrid>
      <w:tr w14:paraId="5B47EE37" w14:textId="77777777" w:rsidTr="00A563FB">
        <w:tblPrEx>
          <w:tblW w:w="7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2"/>
          <w:jc w:val="center"/>
        </w:trPr>
        <w:tc>
          <w:tcPr>
            <w:tcW w:w="2383" w:type="dxa"/>
            <w:shd w:val="clear" w:color="auto" w:fill="auto"/>
            <w:noWrap/>
            <w:vAlign w:val="bottom"/>
            <w:hideMark/>
          </w:tcPr>
          <w:p w:rsidR="008160D4" w:rsidRPr="008160D4" w:rsidP="008160D4" w14:paraId="43AC1737"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 </w:t>
            </w:r>
          </w:p>
        </w:tc>
        <w:tc>
          <w:tcPr>
            <w:tcW w:w="856" w:type="dxa"/>
            <w:shd w:val="clear" w:color="auto" w:fill="auto"/>
            <w:vAlign w:val="center"/>
            <w:hideMark/>
          </w:tcPr>
          <w:p w:rsidR="008160D4" w:rsidRPr="008160D4" w:rsidP="008160D4" w14:paraId="3C0368A1"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Type of Burden</w:t>
            </w:r>
          </w:p>
        </w:tc>
        <w:tc>
          <w:tcPr>
            <w:tcW w:w="1034" w:type="dxa"/>
            <w:shd w:val="clear" w:color="auto" w:fill="auto"/>
            <w:vAlign w:val="center"/>
            <w:hideMark/>
          </w:tcPr>
          <w:p w:rsidR="008160D4" w:rsidRPr="008160D4" w:rsidP="008160D4" w14:paraId="69D1C58C"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Estimated Number of Respondents</w:t>
            </w:r>
          </w:p>
        </w:tc>
        <w:tc>
          <w:tcPr>
            <w:tcW w:w="990" w:type="dxa"/>
            <w:shd w:val="clear" w:color="auto" w:fill="auto"/>
            <w:vAlign w:val="center"/>
            <w:hideMark/>
          </w:tcPr>
          <w:p w:rsidR="008160D4" w:rsidRPr="008160D4" w:rsidP="008160D4" w14:paraId="2F947CA1"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Estimated Time per Response</w:t>
            </w:r>
          </w:p>
        </w:tc>
        <w:tc>
          <w:tcPr>
            <w:tcW w:w="900" w:type="dxa"/>
            <w:shd w:val="clear" w:color="auto" w:fill="auto"/>
            <w:vAlign w:val="center"/>
            <w:hideMark/>
          </w:tcPr>
          <w:p w:rsidR="008160D4" w:rsidRPr="008160D4" w:rsidP="008160D4" w14:paraId="6E7DEE1F"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Frequency of Response</w:t>
            </w:r>
          </w:p>
        </w:tc>
        <w:tc>
          <w:tcPr>
            <w:tcW w:w="990" w:type="dxa"/>
            <w:shd w:val="clear" w:color="auto" w:fill="auto"/>
            <w:vAlign w:val="center"/>
            <w:hideMark/>
          </w:tcPr>
          <w:p w:rsidR="008160D4" w:rsidRPr="008160D4" w:rsidP="008160D4" w14:paraId="70251FF5"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Total Annual Estimated Burden Hours</w:t>
            </w:r>
          </w:p>
        </w:tc>
      </w:tr>
      <w:tr w14:paraId="34AB240B" w14:textId="77777777" w:rsidTr="00A563FB">
        <w:tblPrEx>
          <w:tblW w:w="7153" w:type="dxa"/>
          <w:jc w:val="center"/>
          <w:tblLook w:val="04A0"/>
        </w:tblPrEx>
        <w:trPr>
          <w:trHeight w:val="612"/>
          <w:jc w:val="center"/>
        </w:trPr>
        <w:tc>
          <w:tcPr>
            <w:tcW w:w="2383" w:type="dxa"/>
            <w:shd w:val="clear" w:color="auto" w:fill="auto"/>
            <w:vAlign w:val="center"/>
          </w:tcPr>
          <w:p w:rsidR="008160D4" w:rsidRPr="008160D4" w:rsidP="008160D4" w14:paraId="718AA9B1" w14:textId="77777777">
            <w:pPr>
              <w:widowControl/>
              <w:tabs>
                <w:tab w:val="left" w:pos="-1440"/>
                <w:tab w:val="left" w:pos="-720"/>
                <w:tab w:val="left" w:pos="0"/>
                <w:tab w:val="left" w:pos="432"/>
                <w:tab w:val="left" w:pos="720"/>
              </w:tabs>
              <w:suppressAutoHyphens/>
              <w:rPr>
                <w:rFonts w:ascii="Times New Roman" w:hAnsi="Times New Roman"/>
                <w:b/>
                <w:bCs/>
              </w:rPr>
            </w:pPr>
            <w:r w:rsidRPr="008160D4">
              <w:rPr>
                <w:rFonts w:ascii="Times New Roman" w:hAnsi="Times New Roman"/>
                <w:b/>
                <w:bCs/>
              </w:rPr>
              <w:t>Pillar 2 Guidance</w:t>
            </w:r>
          </w:p>
        </w:tc>
        <w:tc>
          <w:tcPr>
            <w:tcW w:w="856" w:type="dxa"/>
            <w:shd w:val="clear" w:color="auto" w:fill="auto"/>
            <w:vAlign w:val="center"/>
          </w:tcPr>
          <w:p w:rsidR="008160D4" w:rsidRPr="008160D4" w:rsidP="008160D4" w14:paraId="6F9CD2D9"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Record Keeping</w:t>
            </w:r>
          </w:p>
        </w:tc>
        <w:tc>
          <w:tcPr>
            <w:tcW w:w="1034" w:type="dxa"/>
            <w:shd w:val="clear" w:color="auto" w:fill="auto"/>
            <w:vAlign w:val="center"/>
          </w:tcPr>
          <w:p w:rsidR="008160D4" w:rsidRPr="008160D4" w:rsidP="008160D4" w14:paraId="6E51D03B" w14:textId="06CDF0B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1</w:t>
            </w:r>
          </w:p>
        </w:tc>
        <w:tc>
          <w:tcPr>
            <w:tcW w:w="990" w:type="dxa"/>
            <w:shd w:val="clear" w:color="auto" w:fill="auto"/>
            <w:vAlign w:val="center"/>
          </w:tcPr>
          <w:p w:rsidR="008160D4" w:rsidRPr="008160D4" w:rsidP="008160D4" w14:paraId="53AE5BF2"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105 hours</w:t>
            </w:r>
          </w:p>
        </w:tc>
        <w:tc>
          <w:tcPr>
            <w:tcW w:w="900" w:type="dxa"/>
            <w:shd w:val="clear" w:color="auto" w:fill="auto"/>
            <w:vAlign w:val="center"/>
          </w:tcPr>
          <w:p w:rsidR="008160D4" w:rsidRPr="008160D4" w:rsidP="008160D4" w14:paraId="630A3E22" w14:textId="77777777">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Quarterly</w:t>
            </w:r>
          </w:p>
        </w:tc>
        <w:tc>
          <w:tcPr>
            <w:tcW w:w="990" w:type="dxa"/>
            <w:shd w:val="clear" w:color="auto" w:fill="auto"/>
            <w:vAlign w:val="center"/>
          </w:tcPr>
          <w:p w:rsidR="008160D4" w:rsidRPr="008160D4" w:rsidP="008160D4" w14:paraId="1AFE9BC9" w14:textId="31ECAC4D">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420</w:t>
            </w:r>
          </w:p>
        </w:tc>
      </w:tr>
      <w:tr w14:paraId="09E5154A" w14:textId="77777777" w:rsidTr="00A563FB">
        <w:tblPrEx>
          <w:tblW w:w="7153" w:type="dxa"/>
          <w:jc w:val="center"/>
          <w:tblLook w:val="04A0"/>
        </w:tblPrEx>
        <w:trPr>
          <w:trHeight w:val="612"/>
          <w:jc w:val="center"/>
        </w:trPr>
        <w:tc>
          <w:tcPr>
            <w:tcW w:w="2383" w:type="dxa"/>
            <w:shd w:val="clear" w:color="auto" w:fill="auto"/>
            <w:vAlign w:val="center"/>
          </w:tcPr>
          <w:p w:rsidR="008160D4" w:rsidRPr="008160D4" w:rsidP="008160D4" w14:paraId="2492926A" w14:textId="77777777">
            <w:pPr>
              <w:widowControl/>
              <w:tabs>
                <w:tab w:val="left" w:pos="-1440"/>
                <w:tab w:val="left" w:pos="-720"/>
                <w:tab w:val="left" w:pos="0"/>
                <w:tab w:val="left" w:pos="432"/>
                <w:tab w:val="left" w:pos="720"/>
              </w:tabs>
              <w:suppressAutoHyphens/>
              <w:rPr>
                <w:rFonts w:ascii="Times New Roman" w:hAnsi="Times New Roman"/>
                <w:b/>
                <w:bCs/>
              </w:rPr>
            </w:pPr>
            <w:r w:rsidRPr="008160D4">
              <w:rPr>
                <w:rFonts w:ascii="Times New Roman" w:hAnsi="Times New Roman"/>
                <w:b/>
                <w:bCs/>
              </w:rPr>
              <w:t>Total Estimated Annual Burden</w:t>
            </w:r>
          </w:p>
        </w:tc>
        <w:tc>
          <w:tcPr>
            <w:tcW w:w="856" w:type="dxa"/>
            <w:shd w:val="clear" w:color="auto" w:fill="auto"/>
            <w:vAlign w:val="center"/>
          </w:tcPr>
          <w:p w:rsidR="008160D4" w:rsidRPr="008160D4" w:rsidP="008160D4" w14:paraId="2607ACE0" w14:textId="77777777">
            <w:pPr>
              <w:widowControl/>
              <w:tabs>
                <w:tab w:val="left" w:pos="-1440"/>
                <w:tab w:val="left" w:pos="-720"/>
                <w:tab w:val="left" w:pos="0"/>
                <w:tab w:val="left" w:pos="432"/>
                <w:tab w:val="left" w:pos="720"/>
              </w:tabs>
              <w:suppressAutoHyphens/>
              <w:rPr>
                <w:rFonts w:ascii="Times New Roman" w:hAnsi="Times New Roman"/>
              </w:rPr>
            </w:pPr>
          </w:p>
        </w:tc>
        <w:tc>
          <w:tcPr>
            <w:tcW w:w="1034" w:type="dxa"/>
            <w:shd w:val="clear" w:color="auto" w:fill="auto"/>
            <w:vAlign w:val="center"/>
          </w:tcPr>
          <w:p w:rsidR="008160D4" w:rsidRPr="008160D4" w:rsidP="008160D4" w14:paraId="0F7FC1FA" w14:textId="77777777">
            <w:pPr>
              <w:widowControl/>
              <w:tabs>
                <w:tab w:val="left" w:pos="-1440"/>
                <w:tab w:val="left" w:pos="-720"/>
                <w:tab w:val="left" w:pos="0"/>
                <w:tab w:val="left" w:pos="432"/>
                <w:tab w:val="left" w:pos="720"/>
              </w:tabs>
              <w:suppressAutoHyphens/>
              <w:rPr>
                <w:rFonts w:ascii="Times New Roman" w:hAnsi="Times New Roman"/>
              </w:rPr>
            </w:pPr>
          </w:p>
        </w:tc>
        <w:tc>
          <w:tcPr>
            <w:tcW w:w="990" w:type="dxa"/>
            <w:shd w:val="clear" w:color="auto" w:fill="auto"/>
            <w:vAlign w:val="center"/>
          </w:tcPr>
          <w:p w:rsidR="008160D4" w:rsidRPr="008160D4" w:rsidP="008160D4" w14:paraId="33415AEE" w14:textId="77777777">
            <w:pPr>
              <w:widowControl/>
              <w:tabs>
                <w:tab w:val="left" w:pos="-1440"/>
                <w:tab w:val="left" w:pos="-720"/>
                <w:tab w:val="left" w:pos="0"/>
                <w:tab w:val="left" w:pos="432"/>
                <w:tab w:val="left" w:pos="720"/>
              </w:tabs>
              <w:suppressAutoHyphens/>
              <w:rPr>
                <w:rFonts w:ascii="Times New Roman" w:hAnsi="Times New Roman"/>
              </w:rPr>
            </w:pPr>
          </w:p>
        </w:tc>
        <w:tc>
          <w:tcPr>
            <w:tcW w:w="900" w:type="dxa"/>
            <w:shd w:val="clear" w:color="auto" w:fill="auto"/>
            <w:vAlign w:val="center"/>
          </w:tcPr>
          <w:p w:rsidR="008160D4" w:rsidRPr="008160D4" w:rsidP="008160D4" w14:paraId="6D4A1E65" w14:textId="77777777">
            <w:pPr>
              <w:widowControl/>
              <w:tabs>
                <w:tab w:val="left" w:pos="-1440"/>
                <w:tab w:val="left" w:pos="-720"/>
                <w:tab w:val="left" w:pos="0"/>
                <w:tab w:val="left" w:pos="432"/>
                <w:tab w:val="left" w:pos="720"/>
              </w:tabs>
              <w:suppressAutoHyphens/>
              <w:rPr>
                <w:rFonts w:ascii="Times New Roman" w:hAnsi="Times New Roman"/>
              </w:rPr>
            </w:pPr>
          </w:p>
        </w:tc>
        <w:tc>
          <w:tcPr>
            <w:tcW w:w="990" w:type="dxa"/>
            <w:shd w:val="clear" w:color="auto" w:fill="auto"/>
            <w:vAlign w:val="center"/>
          </w:tcPr>
          <w:p w:rsidR="008160D4" w:rsidRPr="008160D4" w:rsidP="008160D4" w14:paraId="4F7D02E6" w14:textId="2C9652CA">
            <w:pPr>
              <w:widowControl/>
              <w:tabs>
                <w:tab w:val="left" w:pos="-1440"/>
                <w:tab w:val="left" w:pos="-720"/>
                <w:tab w:val="left" w:pos="0"/>
                <w:tab w:val="left" w:pos="432"/>
                <w:tab w:val="left" w:pos="720"/>
              </w:tabs>
              <w:suppressAutoHyphens/>
              <w:rPr>
                <w:rFonts w:ascii="Times New Roman" w:hAnsi="Times New Roman"/>
                <w:b/>
              </w:rPr>
            </w:pPr>
            <w:r>
              <w:rPr>
                <w:rFonts w:ascii="Times New Roman" w:hAnsi="Times New Roman"/>
                <w:b/>
              </w:rPr>
              <w:t>420</w:t>
            </w:r>
          </w:p>
        </w:tc>
      </w:tr>
    </w:tbl>
    <w:p w:rsidR="008160D4" w14:paraId="73262D28" w14:textId="77777777">
      <w:pPr>
        <w:widowControl/>
        <w:tabs>
          <w:tab w:val="left" w:pos="-1440"/>
          <w:tab w:val="left" w:pos="-720"/>
          <w:tab w:val="left" w:pos="0"/>
          <w:tab w:val="left" w:pos="432"/>
          <w:tab w:val="left" w:pos="720"/>
        </w:tabs>
        <w:suppressAutoHyphens/>
        <w:rPr>
          <w:rFonts w:ascii="Times New Roman" w:hAnsi="Times New Roman"/>
        </w:rPr>
      </w:pPr>
    </w:p>
    <w:p w:rsidR="00273214" w:rsidRPr="00273214" w:rsidP="00273214" w14:paraId="4F2912AA" w14:textId="77777777">
      <w:pPr>
        <w:widowControl/>
        <w:tabs>
          <w:tab w:val="left" w:pos="-1440"/>
          <w:tab w:val="left" w:pos="-720"/>
          <w:tab w:val="left" w:pos="0"/>
          <w:tab w:val="left" w:pos="432"/>
          <w:tab w:val="left" w:pos="720"/>
        </w:tabs>
        <w:suppressAutoHyphens/>
        <w:rPr>
          <w:rFonts w:ascii="Times New Roman" w:hAnsi="Times New Roman"/>
          <w:b/>
        </w:rPr>
      </w:pPr>
      <w:r w:rsidRPr="00273214">
        <w:rPr>
          <w:rFonts w:ascii="Times New Roman" w:hAnsi="Times New Roman"/>
          <w:b/>
        </w:rPr>
        <w:t>Hourly Burden Cost Estimate</w:t>
      </w:r>
    </w:p>
    <w:p w:rsidR="00273214" w:rsidRPr="00273214" w:rsidP="00273214" w14:paraId="75BDE550" w14:textId="77777777">
      <w:pPr>
        <w:widowControl/>
        <w:tabs>
          <w:tab w:val="left" w:pos="-1440"/>
          <w:tab w:val="left" w:pos="-720"/>
          <w:tab w:val="left" w:pos="0"/>
          <w:tab w:val="left" w:pos="432"/>
          <w:tab w:val="left" w:pos="720"/>
        </w:tabs>
        <w:suppressAutoHyphens/>
        <w:rPr>
          <w:rFonts w:ascii="Times New Roman" w:hAnsi="Times New Roman"/>
          <w:b/>
        </w:rPr>
      </w:pPr>
    </w:p>
    <w:p w:rsidR="00273214" w:rsidRPr="00273214" w:rsidP="00273214" w14:paraId="11131AF0" w14:textId="2B090D54">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FDIC</w:t>
      </w:r>
      <w:r w:rsidRPr="00273214">
        <w:rPr>
          <w:rFonts w:ascii="Times New Roman" w:hAnsi="Times New Roman"/>
        </w:rPr>
        <w:t xml:space="preserve"> reviewed the labor allocation from the 2021 burden memo for this IC and </w:t>
      </w:r>
      <w:r>
        <w:rPr>
          <w:rFonts w:ascii="Times New Roman" w:hAnsi="Times New Roman"/>
        </w:rPr>
        <w:t>believes</w:t>
      </w:r>
      <w:r w:rsidRPr="00273214">
        <w:rPr>
          <w:rFonts w:ascii="Times New Roman" w:hAnsi="Times New Roman"/>
        </w:rPr>
        <w:t xml:space="preserve"> that it is appropriate. Table 2 shows the estimated weighted average hourly compensation rate for this ICR.</w:t>
      </w:r>
    </w:p>
    <w:p w:rsidR="00273214" w:rsidRPr="00273214" w:rsidP="00273214" w14:paraId="24FD19D1" w14:textId="77777777">
      <w:pPr>
        <w:widowControl/>
        <w:tabs>
          <w:tab w:val="left" w:pos="-1440"/>
          <w:tab w:val="left" w:pos="-720"/>
          <w:tab w:val="left" w:pos="0"/>
          <w:tab w:val="left" w:pos="432"/>
          <w:tab w:val="left" w:pos="720"/>
        </w:tabs>
        <w:suppressAutoHyphens/>
        <w:rPr>
          <w:rFonts w:ascii="Times New Roman" w:hAnsi="Times New Roman"/>
        </w:rPr>
      </w:pPr>
    </w:p>
    <w:p w:rsidR="00273214" w:rsidP="00273214" w14:paraId="1CD43C59" w14:textId="0C81694C">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 xml:space="preserve">To estimate the average cost of compensation per hour, </w:t>
      </w:r>
      <w:r>
        <w:rPr>
          <w:rFonts w:ascii="Times New Roman" w:hAnsi="Times New Roman"/>
        </w:rPr>
        <w:t>FDIC</w:t>
      </w:r>
      <w:r w:rsidRPr="00273214">
        <w:rPr>
          <w:rFonts w:ascii="Times New Roman" w:hAnsi="Times New Roman"/>
        </w:rPr>
        <w:t xml:space="preserve"> use</w:t>
      </w:r>
      <w:r>
        <w:rPr>
          <w:rFonts w:ascii="Times New Roman" w:hAnsi="Times New Roman"/>
        </w:rPr>
        <w:t>s</w:t>
      </w:r>
      <w:r w:rsidRPr="00273214">
        <w:rPr>
          <w:rFonts w:ascii="Times New Roman" w:hAnsi="Times New Roman"/>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2022 and do not include non-wage compensation. To adjust these wages for use in th</w:t>
      </w:r>
      <w:r>
        <w:rPr>
          <w:rFonts w:ascii="Times New Roman" w:hAnsi="Times New Roman"/>
        </w:rPr>
        <w:t>is estimate</w:t>
      </w:r>
      <w:r w:rsidRPr="00273214">
        <w:rPr>
          <w:rFonts w:ascii="Times New Roman" w:hAnsi="Times New Roman"/>
        </w:rPr>
        <w:t xml:space="preserve">, </w:t>
      </w:r>
      <w:r>
        <w:rPr>
          <w:rFonts w:ascii="Times New Roman" w:hAnsi="Times New Roman"/>
        </w:rPr>
        <w:t>FDIC</w:t>
      </w:r>
      <w:r w:rsidRPr="00273214">
        <w:rPr>
          <w:rFonts w:ascii="Times New Roman" w:hAnsi="Times New Roman"/>
        </w:rPr>
        <w:t xml:space="preserve"> multipl</w:t>
      </w:r>
      <w:r>
        <w:rPr>
          <w:rFonts w:ascii="Times New Roman" w:hAnsi="Times New Roman"/>
        </w:rPr>
        <w:t>ies</w:t>
      </w:r>
      <w:r w:rsidRPr="00273214">
        <w:rPr>
          <w:rFonts w:ascii="Times New Roman" w:hAnsi="Times New Roman"/>
        </w:rPr>
        <w:t xml:space="preserve"> the OEWS hourly wages by approximately 1.51 to account for non-wage compensation, using the BLS Employer Cost of Employee Compensation (ECEC) data as of March 2022 (the latest published release prior to the OEWS wage data). I</w:t>
      </w:r>
      <w:r>
        <w:rPr>
          <w:rFonts w:ascii="Times New Roman" w:hAnsi="Times New Roman"/>
        </w:rPr>
        <w:t>t</w:t>
      </w:r>
      <w:r w:rsidRPr="00273214">
        <w:rPr>
          <w:rFonts w:ascii="Times New Roman" w:hAnsi="Times New Roman"/>
        </w:rPr>
        <w:t xml:space="preserve"> then multipl</w:t>
      </w:r>
      <w:r>
        <w:rPr>
          <w:rFonts w:ascii="Times New Roman" w:hAnsi="Times New Roman"/>
        </w:rPr>
        <w:t>ies</w:t>
      </w:r>
      <w:r w:rsidRPr="00273214">
        <w:rPr>
          <w:rFonts w:ascii="Times New Roman" w:hAnsi="Times New Roman"/>
        </w:rPr>
        <w:t xml:space="preserve"> the resulting compensation rates by approximately 1.08 to account for the change in the seasonally adjusted Employment Cost Index for the Credit Intermediation and Related Activities sector (NAICS Code 522) between March 2022 and December 2023.</w:t>
      </w:r>
    </w:p>
    <w:p w:rsidR="00273214" w:rsidP="00273214" w14:paraId="3B605263" w14:textId="77777777">
      <w:pPr>
        <w:widowControl/>
        <w:tabs>
          <w:tab w:val="left" w:pos="-1440"/>
          <w:tab w:val="left" w:pos="-720"/>
          <w:tab w:val="left" w:pos="0"/>
          <w:tab w:val="left" w:pos="432"/>
          <w:tab w:val="left" w:pos="720"/>
        </w:tabs>
        <w:suppressAutoHyphens/>
        <w:rPr>
          <w:rFonts w:ascii="Times New Roman" w:hAnsi="Times New Roman"/>
        </w:rPr>
      </w:pPr>
    </w:p>
    <w:tbl>
      <w:tblPr>
        <w:tblW w:w="10200" w:type="dxa"/>
        <w:tblLook w:val="04A0"/>
      </w:tblPr>
      <w:tblGrid>
        <w:gridCol w:w="2213"/>
        <w:gridCol w:w="847"/>
        <w:gridCol w:w="1000"/>
        <w:gridCol w:w="1000"/>
        <w:gridCol w:w="900"/>
        <w:gridCol w:w="1000"/>
        <w:gridCol w:w="942"/>
        <w:gridCol w:w="900"/>
        <w:gridCol w:w="1400"/>
      </w:tblGrid>
      <w:tr w14:paraId="4E0D7450" w14:textId="77777777" w:rsidTr="00D04DDD">
        <w:tblPrEx>
          <w:tblW w:w="10200" w:type="dxa"/>
          <w:tblLook w:val="04A0"/>
        </w:tblPrEx>
        <w:trPr>
          <w:trHeight w:val="360"/>
        </w:trPr>
        <w:tc>
          <w:tcPr>
            <w:tcW w:w="1020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73214" w:rsidRPr="00273214" w:rsidP="00273214" w14:paraId="4DFF1675" w14:textId="77777777">
            <w:pPr>
              <w:widowControl/>
              <w:jc w:val="center"/>
              <w:rPr>
                <w:rFonts w:ascii="Times New Roman" w:hAnsi="Times New Roman"/>
                <w:snapToGrid/>
                <w:color w:val="000000"/>
                <w:szCs w:val="24"/>
              </w:rPr>
            </w:pPr>
            <w:r w:rsidRPr="00273214">
              <w:rPr>
                <w:rFonts w:ascii="Times New Roman" w:hAnsi="Times New Roman"/>
                <w:snapToGrid/>
                <w:color w:val="000000"/>
                <w:szCs w:val="24"/>
              </w:rPr>
              <w:t>Table 2. Summary of Hourly Burden Cost Estimate (OMB No. 3064-0165)</w:t>
            </w:r>
          </w:p>
        </w:tc>
      </w:tr>
      <w:tr w14:paraId="0FB96B40" w14:textId="77777777" w:rsidTr="00D04DDD">
        <w:tblPrEx>
          <w:tblW w:w="10200" w:type="dxa"/>
          <w:tblLook w:val="04A0"/>
        </w:tblPrEx>
        <w:trPr>
          <w:trHeight w:val="600"/>
        </w:trPr>
        <w:tc>
          <w:tcPr>
            <w:tcW w:w="2742"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7533EF23" w14:textId="77777777">
            <w:pPr>
              <w:widowControl/>
              <w:rPr>
                <w:rFonts w:ascii="Times New Roman" w:hAnsi="Times New Roman"/>
                <w:snapToGrid/>
                <w:color w:val="000000"/>
                <w:sz w:val="20"/>
              </w:rPr>
            </w:pPr>
            <w:r w:rsidRPr="00273214">
              <w:rPr>
                <w:rFonts w:ascii="Times New Roman" w:hAnsi="Times New Roman"/>
                <w:snapToGrid/>
                <w:color w:val="000000"/>
                <w:sz w:val="20"/>
              </w:rPr>
              <w:t xml:space="preserve">Information Collection (IC) (Obligation to Respond) </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6469F5E4"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 xml:space="preserve">Hourly Weight </w:t>
            </w:r>
            <w:r w:rsidRPr="00273214">
              <w:rPr>
                <w:rFonts w:ascii="Times New Roman" w:hAnsi="Times New Roman"/>
                <w:snapToGrid/>
                <w:color w:val="000000"/>
                <w:sz w:val="20"/>
              </w:rPr>
              <w:br/>
              <w:t>(%)</w:t>
            </w:r>
          </w:p>
        </w:tc>
        <w:tc>
          <w:tcPr>
            <w:tcW w:w="5198"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3214" w:rsidRPr="00273214" w:rsidP="00273214" w14:paraId="500B267C"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 xml:space="preserve">Percentage Shares of Hours Spent by and </w:t>
            </w:r>
            <w:r w:rsidRPr="00273214">
              <w:rPr>
                <w:rFonts w:ascii="Times New Roman" w:hAnsi="Times New Roman"/>
                <w:snapToGrid/>
                <w:color w:val="000000"/>
                <w:sz w:val="20"/>
              </w:rPr>
              <w:br/>
              <w:t xml:space="preserve">Hourly Compensation Rates for each Occupation Group </w:t>
            </w:r>
            <w:r w:rsidRPr="00273214">
              <w:rPr>
                <w:rFonts w:ascii="Times New Roman" w:hAnsi="Times New Roman"/>
                <w:snapToGrid/>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56D04A26"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Estimated Hourly Compensation Rate</w:t>
            </w:r>
          </w:p>
        </w:tc>
      </w:tr>
      <w:tr w14:paraId="76E945C0" w14:textId="77777777" w:rsidTr="00D04DDD">
        <w:tblPrEx>
          <w:tblW w:w="10200" w:type="dxa"/>
          <w:tblLook w:val="04A0"/>
        </w:tblPrEx>
        <w:trPr>
          <w:trHeight w:val="864"/>
        </w:trPr>
        <w:tc>
          <w:tcPr>
            <w:tcW w:w="2742" w:type="dxa"/>
            <w:vMerge/>
            <w:tcBorders>
              <w:top w:val="nil"/>
              <w:left w:val="single" w:sz="8" w:space="0" w:color="auto"/>
              <w:bottom w:val="single" w:sz="8" w:space="0" w:color="auto"/>
              <w:right w:val="single" w:sz="8" w:space="0" w:color="auto"/>
            </w:tcBorders>
            <w:vAlign w:val="center"/>
            <w:hideMark/>
          </w:tcPr>
          <w:p w:rsidR="00273214" w:rsidRPr="00273214" w:rsidP="00273214" w14:paraId="575428C0" w14:textId="77777777">
            <w:pPr>
              <w:widowControl/>
              <w:rPr>
                <w:rFonts w:ascii="Times New Roman" w:hAnsi="Times New Roman"/>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273214" w:rsidRPr="00273214" w:rsidP="00273214" w14:paraId="52AC37EC" w14:textId="77777777">
            <w:pPr>
              <w:widowControl/>
              <w:rPr>
                <w:rFonts w:ascii="Times New Roman" w:hAnsi="Times New Roman"/>
                <w:snapToGrid/>
                <w:color w:val="000000"/>
                <w:sz w:val="20"/>
              </w:rPr>
            </w:pPr>
          </w:p>
        </w:tc>
        <w:tc>
          <w:tcPr>
            <w:tcW w:w="5198" w:type="dxa"/>
            <w:gridSpan w:val="6"/>
            <w:vMerge/>
            <w:tcBorders>
              <w:top w:val="single" w:sz="8" w:space="0" w:color="auto"/>
              <w:left w:val="single" w:sz="8" w:space="0" w:color="auto"/>
              <w:bottom w:val="single" w:sz="8" w:space="0" w:color="auto"/>
              <w:right w:val="single" w:sz="8" w:space="0" w:color="auto"/>
            </w:tcBorders>
            <w:vAlign w:val="center"/>
            <w:hideMark/>
          </w:tcPr>
          <w:p w:rsidR="00273214" w:rsidRPr="00273214" w:rsidP="00273214" w14:paraId="33EA4156" w14:textId="77777777">
            <w:pPr>
              <w:widowControl/>
              <w:rPr>
                <w:rFonts w:ascii="Times New Roman" w:hAnsi="Times New Roman"/>
                <w:snapToGrid/>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273214" w:rsidRPr="00273214" w:rsidP="00273214" w14:paraId="3CD94999" w14:textId="77777777">
            <w:pPr>
              <w:widowControl/>
              <w:rPr>
                <w:rFonts w:ascii="Times New Roman" w:hAnsi="Times New Roman"/>
                <w:snapToGrid/>
                <w:color w:val="000000"/>
                <w:sz w:val="20"/>
              </w:rPr>
            </w:pPr>
          </w:p>
        </w:tc>
      </w:tr>
      <w:tr w14:paraId="732968C9" w14:textId="77777777" w:rsidTr="00D04DDD">
        <w:tblPrEx>
          <w:tblW w:w="10200" w:type="dxa"/>
          <w:tblLook w:val="04A0"/>
        </w:tblPrEx>
        <w:trPr>
          <w:trHeight w:val="458"/>
        </w:trPr>
        <w:tc>
          <w:tcPr>
            <w:tcW w:w="2742" w:type="dxa"/>
            <w:vMerge/>
            <w:tcBorders>
              <w:top w:val="nil"/>
              <w:left w:val="single" w:sz="8" w:space="0" w:color="auto"/>
              <w:bottom w:val="single" w:sz="8" w:space="0" w:color="auto"/>
              <w:right w:val="single" w:sz="8" w:space="0" w:color="auto"/>
            </w:tcBorders>
            <w:vAlign w:val="center"/>
            <w:hideMark/>
          </w:tcPr>
          <w:p w:rsidR="00273214" w:rsidRPr="00273214" w:rsidP="00273214" w14:paraId="6E25C86A" w14:textId="77777777">
            <w:pPr>
              <w:widowControl/>
              <w:rPr>
                <w:rFonts w:ascii="Times New Roman" w:hAnsi="Times New Roman"/>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273214" w:rsidRPr="00273214" w:rsidP="00273214" w14:paraId="3A86797A" w14:textId="77777777">
            <w:pPr>
              <w:widowControl/>
              <w:rPr>
                <w:rFonts w:ascii="Times New Roman" w:hAnsi="Times New Roman"/>
                <w:snapToGrid/>
                <w:color w:val="000000"/>
                <w:sz w:val="20"/>
              </w:rPr>
            </w:pP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53EF179C"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Exec. &amp; Mgr.      ($135.69)</w:t>
            </w:r>
          </w:p>
        </w:tc>
        <w:tc>
          <w:tcPr>
            <w:tcW w:w="82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166990CB"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Lawyer</w:t>
            </w:r>
            <w:r w:rsidRPr="00273214">
              <w:rPr>
                <w:rFonts w:ascii="Times New Roman" w:hAnsi="Times New Roman"/>
                <w:snapToGrid/>
                <w:color w:val="000000"/>
                <w:sz w:val="20"/>
              </w:rPr>
              <w:t xml:space="preserve">   (</w:t>
            </w:r>
            <w:r w:rsidRPr="00273214">
              <w:rPr>
                <w:rFonts w:ascii="Times New Roman" w:hAnsi="Times New Roman"/>
                <w:snapToGrid/>
                <w:color w:val="000000"/>
                <w:sz w:val="20"/>
              </w:rPr>
              <w:t>$175.05)</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6AE47C68"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Compl. Ofc.   ($67.27)</w:t>
            </w:r>
          </w:p>
        </w:tc>
        <w:tc>
          <w:tcPr>
            <w:tcW w:w="798"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5A85989E"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 xml:space="preserve">IT </w:t>
            </w:r>
            <w:r w:rsidRPr="00273214">
              <w:rPr>
                <w:rFonts w:ascii="Times New Roman" w:hAnsi="Times New Roman"/>
                <w:snapToGrid/>
                <w:color w:val="000000"/>
                <w:sz w:val="20"/>
              </w:rPr>
              <w:t xml:space="preserve">   (</w:t>
            </w:r>
            <w:r w:rsidRPr="00273214">
              <w:rPr>
                <w:rFonts w:ascii="Times New Roman" w:hAnsi="Times New Roman"/>
                <w:snapToGrid/>
                <w:color w:val="000000"/>
                <w:sz w:val="20"/>
              </w:rPr>
              <w:t>$106.92)</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523CC289"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Fin. Anlst.    ($99.24)</w:t>
            </w:r>
          </w:p>
        </w:tc>
        <w:tc>
          <w:tcPr>
            <w:tcW w:w="800" w:type="dxa"/>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7FFFD323"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 xml:space="preserve">Clerical </w:t>
            </w:r>
            <w:r w:rsidRPr="00273214">
              <w:rPr>
                <w:rFonts w:ascii="Times New Roman" w:hAnsi="Times New Roman"/>
                <w:snapToGrid/>
                <w:color w:val="000000"/>
                <w:sz w:val="20"/>
              </w:rPr>
              <w:t xml:space="preserve">   (</w:t>
            </w:r>
            <w:r w:rsidRPr="00273214">
              <w:rPr>
                <w:rFonts w:ascii="Times New Roman" w:hAnsi="Times New Roman"/>
                <w:snapToGrid/>
                <w:color w:val="000000"/>
                <w:sz w:val="20"/>
              </w:rPr>
              <w:t>$38.23)</w:t>
            </w:r>
          </w:p>
        </w:tc>
        <w:tc>
          <w:tcPr>
            <w:tcW w:w="1400" w:type="dxa"/>
            <w:vMerge/>
            <w:tcBorders>
              <w:top w:val="nil"/>
              <w:left w:val="single" w:sz="8" w:space="0" w:color="auto"/>
              <w:bottom w:val="single" w:sz="8" w:space="0" w:color="auto"/>
              <w:right w:val="single" w:sz="8" w:space="0" w:color="auto"/>
            </w:tcBorders>
            <w:vAlign w:val="center"/>
            <w:hideMark/>
          </w:tcPr>
          <w:p w:rsidR="00273214" w:rsidRPr="00273214" w:rsidP="00273214" w14:paraId="1453EFF6" w14:textId="77777777">
            <w:pPr>
              <w:widowControl/>
              <w:rPr>
                <w:rFonts w:ascii="Times New Roman" w:hAnsi="Times New Roman"/>
                <w:snapToGrid/>
                <w:color w:val="000000"/>
                <w:sz w:val="20"/>
              </w:rPr>
            </w:pPr>
          </w:p>
        </w:tc>
      </w:tr>
      <w:tr w14:paraId="240C9918" w14:textId="77777777" w:rsidTr="00D04DDD">
        <w:tblPrEx>
          <w:tblW w:w="10200" w:type="dxa"/>
          <w:tblLook w:val="04A0"/>
        </w:tblPrEx>
        <w:trPr>
          <w:trHeight w:val="840"/>
        </w:trPr>
        <w:tc>
          <w:tcPr>
            <w:tcW w:w="2742" w:type="dxa"/>
            <w:vMerge/>
            <w:tcBorders>
              <w:top w:val="nil"/>
              <w:left w:val="single" w:sz="8" w:space="0" w:color="auto"/>
              <w:bottom w:val="single" w:sz="8" w:space="0" w:color="auto"/>
              <w:right w:val="single" w:sz="8" w:space="0" w:color="auto"/>
            </w:tcBorders>
            <w:vAlign w:val="center"/>
            <w:hideMark/>
          </w:tcPr>
          <w:p w:rsidR="00273214" w:rsidRPr="00273214" w:rsidP="00273214" w14:paraId="16A5DE9C" w14:textId="77777777">
            <w:pPr>
              <w:widowControl/>
              <w:rPr>
                <w:rFonts w:ascii="Times New Roman" w:hAnsi="Times New Roman"/>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273214" w:rsidRPr="00273214" w:rsidP="00273214" w14:paraId="7459B640" w14:textId="77777777">
            <w:pPr>
              <w:widowControl/>
              <w:rPr>
                <w:rFonts w:ascii="Times New Roman" w:hAnsi="Times New Roman"/>
                <w:snapToGrid/>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273214" w:rsidRPr="00273214" w:rsidP="00273214" w14:paraId="30B19C34" w14:textId="77777777">
            <w:pPr>
              <w:widowControl/>
              <w:rPr>
                <w:rFonts w:ascii="Times New Roman" w:hAnsi="Times New Roman"/>
                <w:snapToGrid/>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273214" w:rsidRPr="00273214" w:rsidP="00273214" w14:paraId="28C2408C" w14:textId="77777777">
            <w:pPr>
              <w:widowControl/>
              <w:rPr>
                <w:rFonts w:ascii="Times New Roman" w:hAnsi="Times New Roman"/>
                <w:snapToGrid/>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273214" w:rsidRPr="00273214" w:rsidP="00273214" w14:paraId="3F33038A" w14:textId="77777777">
            <w:pPr>
              <w:widowControl/>
              <w:rPr>
                <w:rFonts w:ascii="Times New Roman" w:hAnsi="Times New Roman"/>
                <w:snapToGrid/>
                <w:color w:val="000000"/>
                <w:sz w:val="20"/>
              </w:rPr>
            </w:pPr>
          </w:p>
        </w:tc>
        <w:tc>
          <w:tcPr>
            <w:tcW w:w="798" w:type="dxa"/>
            <w:vMerge/>
            <w:tcBorders>
              <w:top w:val="nil"/>
              <w:left w:val="single" w:sz="8" w:space="0" w:color="auto"/>
              <w:bottom w:val="single" w:sz="8" w:space="0" w:color="auto"/>
              <w:right w:val="single" w:sz="8" w:space="0" w:color="auto"/>
            </w:tcBorders>
            <w:vAlign w:val="center"/>
            <w:hideMark/>
          </w:tcPr>
          <w:p w:rsidR="00273214" w:rsidRPr="00273214" w:rsidP="00273214" w14:paraId="231BA651" w14:textId="77777777">
            <w:pPr>
              <w:widowControl/>
              <w:rPr>
                <w:rFonts w:ascii="Times New Roman" w:hAnsi="Times New Roman"/>
                <w:snapToGrid/>
                <w:color w:val="000000"/>
                <w:sz w:val="20"/>
              </w:rPr>
            </w:pPr>
          </w:p>
        </w:tc>
        <w:tc>
          <w:tcPr>
            <w:tcW w:w="960" w:type="dxa"/>
            <w:vMerge/>
            <w:tcBorders>
              <w:top w:val="nil"/>
              <w:left w:val="single" w:sz="8" w:space="0" w:color="auto"/>
              <w:bottom w:val="single" w:sz="8" w:space="0" w:color="auto"/>
              <w:right w:val="single" w:sz="8" w:space="0" w:color="auto"/>
            </w:tcBorders>
            <w:vAlign w:val="center"/>
            <w:hideMark/>
          </w:tcPr>
          <w:p w:rsidR="00273214" w:rsidRPr="00273214" w:rsidP="00273214" w14:paraId="76C83B74" w14:textId="77777777">
            <w:pPr>
              <w:widowControl/>
              <w:rPr>
                <w:rFonts w:ascii="Times New Roman" w:hAnsi="Times New Roman"/>
                <w:snapToGrid/>
                <w:color w:val="000000"/>
                <w:sz w:val="20"/>
              </w:rPr>
            </w:pPr>
          </w:p>
        </w:tc>
        <w:tc>
          <w:tcPr>
            <w:tcW w:w="800" w:type="dxa"/>
            <w:vMerge/>
            <w:tcBorders>
              <w:top w:val="nil"/>
              <w:left w:val="single" w:sz="8" w:space="0" w:color="auto"/>
              <w:bottom w:val="single" w:sz="8" w:space="0" w:color="auto"/>
              <w:right w:val="single" w:sz="8" w:space="0" w:color="auto"/>
            </w:tcBorders>
            <w:vAlign w:val="center"/>
            <w:hideMark/>
          </w:tcPr>
          <w:p w:rsidR="00273214" w:rsidRPr="00273214" w:rsidP="00273214" w14:paraId="7A9DBCA9" w14:textId="77777777">
            <w:pPr>
              <w:widowControl/>
              <w:rPr>
                <w:rFonts w:ascii="Times New Roman" w:hAnsi="Times New Roman"/>
                <w:snapToGrid/>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273214" w:rsidRPr="00273214" w:rsidP="00273214" w14:paraId="105B926A" w14:textId="77777777">
            <w:pPr>
              <w:widowControl/>
              <w:rPr>
                <w:rFonts w:ascii="Times New Roman" w:hAnsi="Times New Roman"/>
                <w:snapToGrid/>
                <w:color w:val="000000"/>
                <w:sz w:val="20"/>
              </w:rPr>
            </w:pPr>
          </w:p>
        </w:tc>
      </w:tr>
      <w:tr w14:paraId="2CD920A2" w14:textId="77777777" w:rsidTr="00D04DDD">
        <w:tblPrEx>
          <w:tblW w:w="10200" w:type="dxa"/>
          <w:tblLook w:val="04A0"/>
        </w:tblPrEx>
        <w:trPr>
          <w:trHeight w:val="1944"/>
        </w:trPr>
        <w:tc>
          <w:tcPr>
            <w:tcW w:w="2742" w:type="dxa"/>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1259E41F" w14:textId="77777777">
            <w:pPr>
              <w:widowControl/>
              <w:rPr>
                <w:rFonts w:ascii="Times New Roman" w:hAnsi="Times New Roman"/>
                <w:snapToGrid/>
                <w:color w:val="000000"/>
                <w:sz w:val="20"/>
              </w:rPr>
            </w:pPr>
            <w:r w:rsidRPr="00273214">
              <w:rPr>
                <w:rFonts w:ascii="Times New Roman" w:hAnsi="Times New Roman"/>
                <w:snapToGrid/>
                <w:color w:val="000000"/>
                <w:sz w:val="20"/>
              </w:rPr>
              <w:t>Supervisory Guidance: Supervisory Process of Capital Adequacy (Pillar 2) Related to the Implementation of the Basel II Advanced Capital Framework (Voluntary)</w:t>
            </w:r>
          </w:p>
        </w:tc>
        <w:tc>
          <w:tcPr>
            <w:tcW w:w="860" w:type="dxa"/>
            <w:tcBorders>
              <w:top w:val="nil"/>
              <w:left w:val="nil"/>
              <w:bottom w:val="single" w:sz="8" w:space="0" w:color="auto"/>
              <w:right w:val="single" w:sz="8" w:space="0" w:color="auto"/>
            </w:tcBorders>
            <w:shd w:val="clear" w:color="auto" w:fill="auto"/>
            <w:vAlign w:val="center"/>
            <w:hideMark/>
          </w:tcPr>
          <w:p w:rsidR="00273214" w:rsidRPr="00273214" w:rsidP="00273214" w14:paraId="1D9127CB"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100.00</w:t>
            </w:r>
          </w:p>
        </w:tc>
        <w:tc>
          <w:tcPr>
            <w:tcW w:w="920" w:type="dxa"/>
            <w:tcBorders>
              <w:top w:val="nil"/>
              <w:left w:val="nil"/>
              <w:bottom w:val="single" w:sz="8" w:space="0" w:color="auto"/>
              <w:right w:val="single" w:sz="8" w:space="0" w:color="auto"/>
            </w:tcBorders>
            <w:shd w:val="clear" w:color="auto" w:fill="auto"/>
            <w:vAlign w:val="center"/>
            <w:hideMark/>
          </w:tcPr>
          <w:p w:rsidR="00273214" w:rsidRPr="00273214" w:rsidP="00273214" w14:paraId="64B068DE"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15</w:t>
            </w:r>
          </w:p>
        </w:tc>
        <w:tc>
          <w:tcPr>
            <w:tcW w:w="820" w:type="dxa"/>
            <w:tcBorders>
              <w:top w:val="nil"/>
              <w:left w:val="nil"/>
              <w:bottom w:val="single" w:sz="8" w:space="0" w:color="auto"/>
              <w:right w:val="single" w:sz="8" w:space="0" w:color="auto"/>
            </w:tcBorders>
            <w:shd w:val="clear" w:color="auto" w:fill="auto"/>
            <w:vAlign w:val="center"/>
            <w:hideMark/>
          </w:tcPr>
          <w:p w:rsidR="00273214" w:rsidRPr="00273214" w:rsidP="00273214" w14:paraId="5EB3E97C"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5</w:t>
            </w:r>
          </w:p>
        </w:tc>
        <w:tc>
          <w:tcPr>
            <w:tcW w:w="900" w:type="dxa"/>
            <w:tcBorders>
              <w:top w:val="nil"/>
              <w:left w:val="nil"/>
              <w:bottom w:val="single" w:sz="8" w:space="0" w:color="auto"/>
              <w:right w:val="single" w:sz="8" w:space="0" w:color="auto"/>
            </w:tcBorders>
            <w:shd w:val="clear" w:color="auto" w:fill="auto"/>
            <w:vAlign w:val="center"/>
            <w:hideMark/>
          </w:tcPr>
          <w:p w:rsidR="00273214" w:rsidRPr="00273214" w:rsidP="00273214" w14:paraId="371115E9"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30</w:t>
            </w:r>
          </w:p>
        </w:tc>
        <w:tc>
          <w:tcPr>
            <w:tcW w:w="798" w:type="dxa"/>
            <w:tcBorders>
              <w:top w:val="nil"/>
              <w:left w:val="nil"/>
              <w:bottom w:val="single" w:sz="8" w:space="0" w:color="auto"/>
              <w:right w:val="single" w:sz="8" w:space="0" w:color="auto"/>
            </w:tcBorders>
            <w:shd w:val="clear" w:color="auto" w:fill="auto"/>
            <w:vAlign w:val="center"/>
            <w:hideMark/>
          </w:tcPr>
          <w:p w:rsidR="00273214" w:rsidRPr="00273214" w:rsidP="00273214" w14:paraId="258259A6"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273214" w:rsidRPr="00273214" w:rsidP="00273214" w14:paraId="14B5EC28"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25</w:t>
            </w:r>
          </w:p>
        </w:tc>
        <w:tc>
          <w:tcPr>
            <w:tcW w:w="800" w:type="dxa"/>
            <w:tcBorders>
              <w:top w:val="nil"/>
              <w:left w:val="nil"/>
              <w:bottom w:val="single" w:sz="8" w:space="0" w:color="auto"/>
              <w:right w:val="single" w:sz="8" w:space="0" w:color="auto"/>
            </w:tcBorders>
            <w:shd w:val="clear" w:color="auto" w:fill="auto"/>
            <w:vAlign w:val="center"/>
            <w:hideMark/>
          </w:tcPr>
          <w:p w:rsidR="00273214" w:rsidRPr="00273214" w:rsidP="00273214" w14:paraId="22316C83" w14:textId="77777777">
            <w:pPr>
              <w:widowControl/>
              <w:jc w:val="center"/>
              <w:rPr>
                <w:rFonts w:ascii="Times New Roman" w:hAnsi="Times New Roman"/>
                <w:snapToGrid/>
                <w:color w:val="000000"/>
                <w:sz w:val="20"/>
              </w:rPr>
            </w:pPr>
            <w:r w:rsidRPr="00273214">
              <w:rPr>
                <w:rFonts w:ascii="Times New Roman" w:hAnsi="Times New Roman"/>
                <w:snapToGrid/>
                <w:color w:val="000000"/>
                <w:sz w:val="20"/>
              </w:rPr>
              <w:t>15</w:t>
            </w:r>
          </w:p>
        </w:tc>
        <w:tc>
          <w:tcPr>
            <w:tcW w:w="1400" w:type="dxa"/>
            <w:tcBorders>
              <w:top w:val="nil"/>
              <w:left w:val="nil"/>
              <w:bottom w:val="single" w:sz="8" w:space="0" w:color="auto"/>
              <w:right w:val="single" w:sz="8" w:space="0" w:color="auto"/>
            </w:tcBorders>
            <w:shd w:val="clear" w:color="auto" w:fill="auto"/>
            <w:vAlign w:val="center"/>
            <w:hideMark/>
          </w:tcPr>
          <w:p w:rsidR="00273214" w:rsidRPr="00273214" w:rsidP="00273214" w14:paraId="5D1C96FC" w14:textId="77777777">
            <w:pPr>
              <w:widowControl/>
              <w:ind w:firstLine="200" w:firstLineChars="100"/>
              <w:jc w:val="right"/>
              <w:rPr>
                <w:rFonts w:ascii="Times New Roman" w:hAnsi="Times New Roman"/>
                <w:snapToGrid/>
                <w:color w:val="000000"/>
                <w:sz w:val="20"/>
              </w:rPr>
            </w:pPr>
            <w:r w:rsidRPr="00273214">
              <w:rPr>
                <w:rFonts w:ascii="Times New Roman" w:hAnsi="Times New Roman"/>
                <w:snapToGrid/>
                <w:color w:val="000000"/>
                <w:sz w:val="20"/>
              </w:rPr>
              <w:t xml:space="preserve">$90.52 </w:t>
            </w:r>
          </w:p>
        </w:tc>
      </w:tr>
      <w:tr w14:paraId="71470ABA" w14:textId="77777777" w:rsidTr="00D04DDD">
        <w:tblPrEx>
          <w:tblW w:w="10200" w:type="dxa"/>
          <w:tblLook w:val="04A0"/>
        </w:tblPrEx>
        <w:trPr>
          <w:trHeight w:val="300"/>
        </w:trPr>
        <w:tc>
          <w:tcPr>
            <w:tcW w:w="8800" w:type="dxa"/>
            <w:gridSpan w:val="8"/>
            <w:tcBorders>
              <w:top w:val="single" w:sz="8" w:space="0" w:color="auto"/>
              <w:left w:val="single" w:sz="8" w:space="0" w:color="auto"/>
              <w:bottom w:val="nil"/>
              <w:right w:val="single" w:sz="8" w:space="0" w:color="auto"/>
            </w:tcBorders>
            <w:shd w:val="clear" w:color="auto" w:fill="auto"/>
            <w:vAlign w:val="center"/>
            <w:hideMark/>
          </w:tcPr>
          <w:p w:rsidR="00273214" w:rsidRPr="00273214" w:rsidP="00273214" w14:paraId="20C5AD96" w14:textId="77777777">
            <w:pPr>
              <w:widowControl/>
              <w:jc w:val="right"/>
              <w:rPr>
                <w:rFonts w:ascii="Times New Roman" w:hAnsi="Times New Roman"/>
                <w:b/>
                <w:bCs/>
                <w:i/>
                <w:iCs/>
                <w:snapToGrid/>
                <w:color w:val="000000"/>
                <w:sz w:val="22"/>
                <w:szCs w:val="22"/>
              </w:rPr>
            </w:pPr>
            <w:r w:rsidRPr="00273214">
              <w:rPr>
                <w:rFonts w:ascii="Times New Roman" w:hAnsi="Times New Roman"/>
                <w:b/>
                <w:bCs/>
                <w:i/>
                <w:iCs/>
                <w:snapToGrid/>
                <w:color w:val="000000"/>
                <w:sz w:val="22"/>
                <w:szCs w:val="22"/>
              </w:rPr>
              <w:t>Weighted Average Hourly Compensation Rate:</w:t>
            </w:r>
          </w:p>
        </w:tc>
        <w:tc>
          <w:tcPr>
            <w:tcW w:w="1400" w:type="dxa"/>
            <w:tcBorders>
              <w:top w:val="nil"/>
              <w:left w:val="nil"/>
              <w:bottom w:val="nil"/>
              <w:right w:val="single" w:sz="8" w:space="0" w:color="auto"/>
            </w:tcBorders>
            <w:shd w:val="clear" w:color="auto" w:fill="auto"/>
            <w:vAlign w:val="center"/>
            <w:hideMark/>
          </w:tcPr>
          <w:p w:rsidR="00273214" w:rsidRPr="00273214" w:rsidP="00273214" w14:paraId="5AA118F3" w14:textId="77777777">
            <w:pPr>
              <w:widowControl/>
              <w:ind w:firstLine="220" w:firstLineChars="100"/>
              <w:jc w:val="right"/>
              <w:rPr>
                <w:rFonts w:ascii="Times New Roman" w:hAnsi="Times New Roman"/>
                <w:b/>
                <w:bCs/>
                <w:i/>
                <w:iCs/>
                <w:snapToGrid/>
                <w:color w:val="000000"/>
                <w:sz w:val="22"/>
                <w:szCs w:val="22"/>
              </w:rPr>
            </w:pPr>
            <w:r w:rsidRPr="00273214">
              <w:rPr>
                <w:rFonts w:ascii="Times New Roman" w:hAnsi="Times New Roman"/>
                <w:b/>
                <w:bCs/>
                <w:i/>
                <w:iCs/>
                <w:snapToGrid/>
                <w:color w:val="000000"/>
                <w:sz w:val="22"/>
                <w:szCs w:val="22"/>
              </w:rPr>
              <w:t xml:space="preserve">$90.52 </w:t>
            </w:r>
          </w:p>
        </w:tc>
      </w:tr>
      <w:tr w14:paraId="5EB74F2E" w14:textId="77777777" w:rsidTr="00D04DDD">
        <w:tblPrEx>
          <w:tblW w:w="10200" w:type="dxa"/>
          <w:tblLook w:val="04A0"/>
        </w:tblPrEx>
        <w:trPr>
          <w:trHeight w:val="458"/>
        </w:trPr>
        <w:tc>
          <w:tcPr>
            <w:tcW w:w="1020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273214" w:rsidRPr="00273214" w:rsidP="00273214" w14:paraId="4D73635A" w14:textId="77777777">
            <w:pPr>
              <w:widowControl/>
              <w:rPr>
                <w:rFonts w:ascii="Times New Roman" w:hAnsi="Times New Roman"/>
                <w:snapToGrid/>
                <w:color w:val="000000"/>
                <w:sz w:val="18"/>
                <w:szCs w:val="18"/>
              </w:rPr>
            </w:pPr>
            <w:r w:rsidRPr="00273214">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December 2023).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0842AC0A" w14:textId="77777777" w:rsidTr="00D04DDD">
        <w:tblPrEx>
          <w:tblW w:w="10200" w:type="dxa"/>
          <w:tblLook w:val="04A0"/>
        </w:tblPrEx>
        <w:trPr>
          <w:trHeight w:val="458"/>
        </w:trPr>
        <w:tc>
          <w:tcPr>
            <w:tcW w:w="10200" w:type="dxa"/>
            <w:gridSpan w:val="9"/>
            <w:vMerge/>
            <w:tcBorders>
              <w:top w:val="single" w:sz="8" w:space="0" w:color="auto"/>
              <w:left w:val="single" w:sz="8" w:space="0" w:color="auto"/>
              <w:bottom w:val="nil"/>
              <w:right w:val="single" w:sz="8" w:space="0" w:color="000000"/>
            </w:tcBorders>
            <w:vAlign w:val="center"/>
            <w:hideMark/>
          </w:tcPr>
          <w:p w:rsidR="00273214" w:rsidRPr="00273214" w:rsidP="00273214" w14:paraId="39658F99" w14:textId="77777777">
            <w:pPr>
              <w:widowControl/>
              <w:rPr>
                <w:rFonts w:ascii="Times New Roman" w:hAnsi="Times New Roman"/>
                <w:snapToGrid/>
                <w:color w:val="000000"/>
                <w:sz w:val="18"/>
                <w:szCs w:val="18"/>
              </w:rPr>
            </w:pPr>
          </w:p>
        </w:tc>
      </w:tr>
      <w:tr w14:paraId="139F3CAB" w14:textId="77777777" w:rsidTr="00D04DDD">
        <w:tblPrEx>
          <w:tblW w:w="10200" w:type="dxa"/>
          <w:tblLook w:val="04A0"/>
        </w:tblPrEx>
        <w:trPr>
          <w:trHeight w:val="458"/>
        </w:trPr>
        <w:tc>
          <w:tcPr>
            <w:tcW w:w="10200" w:type="dxa"/>
            <w:gridSpan w:val="9"/>
            <w:vMerge/>
            <w:tcBorders>
              <w:top w:val="single" w:sz="8" w:space="0" w:color="auto"/>
              <w:left w:val="single" w:sz="8" w:space="0" w:color="auto"/>
              <w:bottom w:val="nil"/>
              <w:right w:val="single" w:sz="8" w:space="0" w:color="000000"/>
            </w:tcBorders>
            <w:vAlign w:val="center"/>
            <w:hideMark/>
          </w:tcPr>
          <w:p w:rsidR="00273214" w:rsidRPr="00273214" w:rsidP="00273214" w14:paraId="00CEABBE" w14:textId="77777777">
            <w:pPr>
              <w:widowControl/>
              <w:rPr>
                <w:rFonts w:ascii="Times New Roman" w:hAnsi="Times New Roman"/>
                <w:snapToGrid/>
                <w:color w:val="000000"/>
                <w:sz w:val="18"/>
                <w:szCs w:val="18"/>
              </w:rPr>
            </w:pPr>
          </w:p>
        </w:tc>
      </w:tr>
      <w:tr w14:paraId="62AE7986" w14:textId="77777777" w:rsidTr="00D04DDD">
        <w:tblPrEx>
          <w:tblW w:w="10200" w:type="dxa"/>
          <w:tblLook w:val="04A0"/>
        </w:tblPrEx>
        <w:trPr>
          <w:trHeight w:val="458"/>
        </w:trPr>
        <w:tc>
          <w:tcPr>
            <w:tcW w:w="10200" w:type="dxa"/>
            <w:gridSpan w:val="9"/>
            <w:vMerge/>
            <w:tcBorders>
              <w:top w:val="single" w:sz="8" w:space="0" w:color="auto"/>
              <w:left w:val="single" w:sz="8" w:space="0" w:color="auto"/>
              <w:bottom w:val="nil"/>
              <w:right w:val="single" w:sz="8" w:space="0" w:color="000000"/>
            </w:tcBorders>
            <w:vAlign w:val="center"/>
            <w:hideMark/>
          </w:tcPr>
          <w:p w:rsidR="00273214" w:rsidRPr="00273214" w:rsidP="00273214" w14:paraId="5EE718C7" w14:textId="77777777">
            <w:pPr>
              <w:widowControl/>
              <w:rPr>
                <w:rFonts w:ascii="Times New Roman" w:hAnsi="Times New Roman"/>
                <w:snapToGrid/>
                <w:color w:val="000000"/>
                <w:sz w:val="18"/>
                <w:szCs w:val="18"/>
              </w:rPr>
            </w:pPr>
          </w:p>
        </w:tc>
      </w:tr>
      <w:tr w14:paraId="6B94CD49" w14:textId="77777777" w:rsidTr="00D04DDD">
        <w:tblPrEx>
          <w:tblW w:w="10200" w:type="dxa"/>
          <w:tblLook w:val="04A0"/>
        </w:tblPrEx>
        <w:trPr>
          <w:trHeight w:val="458"/>
        </w:trPr>
        <w:tc>
          <w:tcPr>
            <w:tcW w:w="1020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5A78E923" w14:textId="77777777">
            <w:pPr>
              <w:widowControl/>
              <w:rPr>
                <w:rFonts w:ascii="Times New Roman" w:hAnsi="Times New Roman"/>
                <w:snapToGrid/>
                <w:color w:val="000000"/>
                <w:sz w:val="18"/>
                <w:szCs w:val="18"/>
              </w:rPr>
            </w:pPr>
            <w:r w:rsidRPr="00273214">
              <w:rPr>
                <w:rFonts w:ascii="Times New Roman" w:hAnsi="Times New Roman"/>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46441468" w14:textId="77777777" w:rsidTr="00D04DDD">
        <w:tblPrEx>
          <w:tblW w:w="10200" w:type="dxa"/>
          <w:tblLook w:val="04A0"/>
        </w:tblPrEx>
        <w:trPr>
          <w:trHeight w:val="458"/>
        </w:trPr>
        <w:tc>
          <w:tcPr>
            <w:tcW w:w="10200" w:type="dxa"/>
            <w:gridSpan w:val="9"/>
            <w:vMerge/>
            <w:tcBorders>
              <w:top w:val="nil"/>
              <w:left w:val="single" w:sz="8" w:space="0" w:color="auto"/>
              <w:bottom w:val="single" w:sz="8" w:space="0" w:color="auto"/>
              <w:right w:val="single" w:sz="8" w:space="0" w:color="auto"/>
            </w:tcBorders>
            <w:vAlign w:val="center"/>
            <w:hideMark/>
          </w:tcPr>
          <w:p w:rsidR="00273214" w:rsidRPr="00273214" w:rsidP="00273214" w14:paraId="46946719" w14:textId="77777777">
            <w:pPr>
              <w:widowControl/>
              <w:rPr>
                <w:rFonts w:ascii="Times New Roman" w:hAnsi="Times New Roman"/>
                <w:snapToGrid/>
                <w:color w:val="000000"/>
                <w:sz w:val="18"/>
                <w:szCs w:val="18"/>
              </w:rPr>
            </w:pPr>
          </w:p>
        </w:tc>
      </w:tr>
      <w:tr w14:paraId="05B7DD1F" w14:textId="77777777" w:rsidTr="00D04DDD">
        <w:tblPrEx>
          <w:tblW w:w="10200" w:type="dxa"/>
          <w:tblLook w:val="04A0"/>
        </w:tblPrEx>
        <w:trPr>
          <w:trHeight w:val="458"/>
        </w:trPr>
        <w:tc>
          <w:tcPr>
            <w:tcW w:w="10200" w:type="dxa"/>
            <w:gridSpan w:val="9"/>
            <w:vMerge/>
            <w:tcBorders>
              <w:top w:val="nil"/>
              <w:left w:val="single" w:sz="8" w:space="0" w:color="auto"/>
              <w:bottom w:val="single" w:sz="8" w:space="0" w:color="auto"/>
              <w:right w:val="single" w:sz="8" w:space="0" w:color="auto"/>
            </w:tcBorders>
            <w:vAlign w:val="center"/>
            <w:hideMark/>
          </w:tcPr>
          <w:p w:rsidR="00273214" w:rsidRPr="00273214" w:rsidP="00273214" w14:paraId="3CCFA9F4" w14:textId="77777777">
            <w:pPr>
              <w:widowControl/>
              <w:rPr>
                <w:rFonts w:ascii="Times New Roman" w:hAnsi="Times New Roman"/>
                <w:snapToGrid/>
                <w:color w:val="000000"/>
                <w:sz w:val="18"/>
                <w:szCs w:val="18"/>
              </w:rPr>
            </w:pPr>
          </w:p>
        </w:tc>
      </w:tr>
      <w:tr w14:paraId="21288B8D" w14:textId="77777777" w:rsidTr="00D04DDD">
        <w:tblPrEx>
          <w:tblW w:w="10200" w:type="dxa"/>
          <w:tblLook w:val="04A0"/>
        </w:tblPrEx>
        <w:trPr>
          <w:trHeight w:val="458"/>
        </w:trPr>
        <w:tc>
          <w:tcPr>
            <w:tcW w:w="10200" w:type="dxa"/>
            <w:gridSpan w:val="9"/>
            <w:vMerge/>
            <w:tcBorders>
              <w:top w:val="nil"/>
              <w:left w:val="single" w:sz="8" w:space="0" w:color="auto"/>
              <w:bottom w:val="single" w:sz="8" w:space="0" w:color="auto"/>
              <w:right w:val="single" w:sz="8" w:space="0" w:color="auto"/>
            </w:tcBorders>
            <w:vAlign w:val="center"/>
            <w:hideMark/>
          </w:tcPr>
          <w:p w:rsidR="00273214" w:rsidRPr="00273214" w:rsidP="00273214" w14:paraId="79AA9BD1" w14:textId="77777777">
            <w:pPr>
              <w:widowControl/>
              <w:rPr>
                <w:rFonts w:ascii="Times New Roman" w:hAnsi="Times New Roman"/>
                <w:snapToGrid/>
                <w:color w:val="000000"/>
                <w:sz w:val="18"/>
                <w:szCs w:val="18"/>
              </w:rPr>
            </w:pPr>
          </w:p>
        </w:tc>
      </w:tr>
    </w:tbl>
    <w:p w:rsidR="00273214" w:rsidRPr="00273214" w:rsidP="00273214" w14:paraId="775EFC86" w14:textId="77777777">
      <w:pPr>
        <w:widowControl/>
        <w:tabs>
          <w:tab w:val="left" w:pos="-1440"/>
          <w:tab w:val="left" w:pos="-720"/>
          <w:tab w:val="left" w:pos="0"/>
          <w:tab w:val="left" w:pos="432"/>
          <w:tab w:val="left" w:pos="720"/>
        </w:tabs>
        <w:suppressAutoHyphens/>
        <w:rPr>
          <w:rFonts w:ascii="Times New Roman" w:hAnsi="Times New Roman"/>
        </w:rPr>
      </w:pPr>
    </w:p>
    <w:p w:rsidR="00273214" w:rsidRPr="00273214" w:rsidP="00273214" w14:paraId="6EABF9B2" w14:textId="77777777">
      <w:pPr>
        <w:widowControl/>
        <w:tabs>
          <w:tab w:val="left" w:pos="-1440"/>
          <w:tab w:val="left" w:pos="-720"/>
          <w:tab w:val="left" w:pos="0"/>
          <w:tab w:val="left" w:pos="432"/>
          <w:tab w:val="left" w:pos="720"/>
        </w:tabs>
        <w:suppressAutoHyphens/>
        <w:rPr>
          <w:rFonts w:ascii="Times New Roman" w:hAnsi="Times New Roman"/>
          <w:b/>
        </w:rPr>
      </w:pPr>
      <w:r w:rsidRPr="00273214">
        <w:rPr>
          <w:rFonts w:ascii="Times New Roman" w:hAnsi="Times New Roman"/>
          <w:b/>
        </w:rPr>
        <w:t>Total Estimated Cost Burden</w:t>
      </w:r>
    </w:p>
    <w:p w:rsidR="00273214" w:rsidRPr="00273214" w:rsidP="00273214" w14:paraId="5697016C" w14:textId="77777777">
      <w:pPr>
        <w:widowControl/>
        <w:tabs>
          <w:tab w:val="left" w:pos="-1440"/>
          <w:tab w:val="left" w:pos="-720"/>
          <w:tab w:val="left" w:pos="0"/>
          <w:tab w:val="left" w:pos="432"/>
          <w:tab w:val="left" w:pos="720"/>
        </w:tabs>
        <w:suppressAutoHyphens/>
        <w:rPr>
          <w:rFonts w:ascii="Times New Roman" w:hAnsi="Times New Roman"/>
        </w:rPr>
      </w:pPr>
    </w:p>
    <w:p w:rsidR="00273214" w:rsidRPr="00273214" w:rsidP="00273214" w14:paraId="7A1E6B77" w14:textId="057C116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FDIC</w:t>
      </w:r>
      <w:r w:rsidRPr="00273214">
        <w:rPr>
          <w:rFonts w:ascii="Times New Roman" w:hAnsi="Times New Roman"/>
        </w:rPr>
        <w:t xml:space="preserve"> estimate</w:t>
      </w:r>
      <w:r>
        <w:rPr>
          <w:rFonts w:ascii="Times New Roman" w:hAnsi="Times New Roman"/>
        </w:rPr>
        <w:t>s</w:t>
      </w:r>
      <w:r w:rsidRPr="00273214">
        <w:rPr>
          <w:rFonts w:ascii="Times New Roman" w:hAnsi="Times New Roman"/>
        </w:rPr>
        <w:t xml:space="preserve"> the total annual cost burden for OMB 3064-0165 by multiplying the total annual estimated burden hours reported in Table 1 by the weighted average hourly compensation estimate reported in Table 2. </w:t>
      </w:r>
      <w:r w:rsidRPr="00273214">
        <w:rPr>
          <w:rFonts w:ascii="Times New Roman" w:hAnsi="Times New Roman"/>
          <w:bCs/>
        </w:rPr>
        <w:t>The total annual cost burden is estimated as: 420 hours per year * $90.52 = $38,018.</w:t>
      </w:r>
      <w:r w:rsidRPr="00273214">
        <w:rPr>
          <w:rFonts w:ascii="Times New Roman" w:hAnsi="Times New Roman"/>
          <w:b/>
        </w:rPr>
        <w:t xml:space="preserve"> </w:t>
      </w:r>
      <w:r w:rsidRPr="00273214">
        <w:rPr>
          <w:rFonts w:ascii="Times New Roman" w:hAnsi="Times New Roman"/>
        </w:rPr>
        <w:t xml:space="preserve">This is an increase of $4,263 from the 2021 ICR. The increase is driven by increases in estimated hourly compensation rates for all the underlying occupations </w:t>
      </w:r>
      <w:r w:rsidRPr="00273214">
        <w:rPr>
          <w:rFonts w:ascii="Times New Roman" w:hAnsi="Times New Roman"/>
        </w:rPr>
        <w:t>except for</w:t>
      </w:r>
      <w:r w:rsidRPr="00273214">
        <w:rPr>
          <w:rFonts w:ascii="Times New Roman" w:hAnsi="Times New Roman"/>
        </w:rPr>
        <w:t xml:space="preserve"> Compliance Officers.</w:t>
      </w:r>
    </w:p>
    <w:p w:rsidR="00273214" w14:paraId="7B93A9E9" w14:textId="77777777">
      <w:pPr>
        <w:widowControl/>
        <w:tabs>
          <w:tab w:val="left" w:pos="-1440"/>
          <w:tab w:val="left" w:pos="-720"/>
          <w:tab w:val="left" w:pos="0"/>
          <w:tab w:val="left" w:pos="432"/>
          <w:tab w:val="left" w:pos="720"/>
        </w:tabs>
        <w:suppressAutoHyphens/>
        <w:rPr>
          <w:rFonts w:ascii="Times New Roman" w:hAnsi="Times New Roman"/>
        </w:rPr>
      </w:pPr>
    </w:p>
    <w:tbl>
      <w:tblPr>
        <w:tblW w:w="10760" w:type="dxa"/>
        <w:jc w:val="center"/>
        <w:tblLook w:val="04A0"/>
      </w:tblPr>
      <w:tblGrid>
        <w:gridCol w:w="2420"/>
        <w:gridCol w:w="3074"/>
        <w:gridCol w:w="3026"/>
        <w:gridCol w:w="2240"/>
      </w:tblGrid>
      <w:tr w14:paraId="2D1E88B9" w14:textId="77777777" w:rsidTr="00D04DDD">
        <w:tblPrEx>
          <w:tblW w:w="10760" w:type="dxa"/>
          <w:jc w:val="center"/>
          <w:tblLook w:val="04A0"/>
        </w:tblPrEx>
        <w:trPr>
          <w:trHeight w:val="360"/>
          <w:jc w:val="center"/>
        </w:trPr>
        <w:tc>
          <w:tcPr>
            <w:tcW w:w="107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73214" w:rsidRPr="00273214" w:rsidP="00273214" w14:paraId="231D10E9"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Table 3. Total Estimated Cost Burden (OMB No. 3064-0165)</w:t>
            </w:r>
          </w:p>
        </w:tc>
      </w:tr>
      <w:tr w14:paraId="1947737E" w14:textId="77777777" w:rsidTr="00D04DDD">
        <w:tblPrEx>
          <w:tblW w:w="10760" w:type="dxa"/>
          <w:jc w:val="center"/>
          <w:tblLook w:val="04A0"/>
        </w:tblPrEx>
        <w:trPr>
          <w:trHeight w:val="600"/>
          <w:jc w:val="center"/>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076FDF07"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Information Collection Request</w:t>
            </w:r>
          </w:p>
        </w:tc>
        <w:tc>
          <w:tcPr>
            <w:tcW w:w="3074" w:type="dxa"/>
            <w:tcBorders>
              <w:top w:val="nil"/>
              <w:left w:val="nil"/>
              <w:bottom w:val="single" w:sz="8" w:space="0" w:color="auto"/>
              <w:right w:val="single" w:sz="8" w:space="0" w:color="auto"/>
            </w:tcBorders>
            <w:shd w:val="clear" w:color="auto" w:fill="auto"/>
            <w:vAlign w:val="center"/>
            <w:hideMark/>
          </w:tcPr>
          <w:p w:rsidR="00273214" w:rsidRPr="00273214" w:rsidP="00273214" w14:paraId="69CBBD66"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Annual Burden (Hours)</w:t>
            </w:r>
          </w:p>
        </w:tc>
        <w:tc>
          <w:tcPr>
            <w:tcW w:w="3026" w:type="dxa"/>
            <w:tcBorders>
              <w:top w:val="nil"/>
              <w:left w:val="nil"/>
              <w:bottom w:val="single" w:sz="8" w:space="0" w:color="auto"/>
              <w:right w:val="single" w:sz="8" w:space="0" w:color="auto"/>
            </w:tcBorders>
            <w:shd w:val="clear" w:color="auto" w:fill="auto"/>
            <w:vAlign w:val="center"/>
            <w:hideMark/>
          </w:tcPr>
          <w:p w:rsidR="00273214" w:rsidRPr="00273214" w:rsidP="00273214" w14:paraId="482DD230"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Weighted Average Hourly Compensation Rate</w:t>
            </w:r>
          </w:p>
        </w:tc>
        <w:tc>
          <w:tcPr>
            <w:tcW w:w="2240" w:type="dxa"/>
            <w:tcBorders>
              <w:top w:val="nil"/>
              <w:left w:val="nil"/>
              <w:bottom w:val="single" w:sz="8" w:space="0" w:color="auto"/>
              <w:right w:val="single" w:sz="8" w:space="0" w:color="auto"/>
            </w:tcBorders>
            <w:shd w:val="clear" w:color="auto" w:fill="auto"/>
            <w:vAlign w:val="center"/>
            <w:hideMark/>
          </w:tcPr>
          <w:p w:rsidR="00273214" w:rsidRPr="00273214" w:rsidP="00273214" w14:paraId="20E55701"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Annual Respondent Cost</w:t>
            </w:r>
          </w:p>
        </w:tc>
      </w:tr>
      <w:tr w14:paraId="28424FBC" w14:textId="77777777" w:rsidTr="00D04DDD">
        <w:tblPrEx>
          <w:tblW w:w="10760" w:type="dxa"/>
          <w:jc w:val="center"/>
          <w:tblLook w:val="04A0"/>
        </w:tblPrEx>
        <w:trPr>
          <w:trHeight w:val="864"/>
          <w:jc w:val="center"/>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273214" w:rsidRPr="00273214" w:rsidP="00273214" w14:paraId="6526701A"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Supervisory Guidance: Supervisory Process of Capital Adequacy (Pillar 2) Related to the Implementation of the Basel II Advanced Capital Framework</w:t>
            </w:r>
          </w:p>
        </w:tc>
        <w:tc>
          <w:tcPr>
            <w:tcW w:w="3074" w:type="dxa"/>
            <w:tcBorders>
              <w:top w:val="nil"/>
              <w:left w:val="nil"/>
              <w:bottom w:val="single" w:sz="8" w:space="0" w:color="auto"/>
              <w:right w:val="single" w:sz="8" w:space="0" w:color="auto"/>
            </w:tcBorders>
            <w:shd w:val="clear" w:color="auto" w:fill="auto"/>
            <w:noWrap/>
            <w:vAlign w:val="center"/>
            <w:hideMark/>
          </w:tcPr>
          <w:p w:rsidR="00273214" w:rsidRPr="00273214" w:rsidP="00273214" w14:paraId="0EA792A7"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 xml:space="preserve">                                                  420 </w:t>
            </w:r>
          </w:p>
        </w:tc>
        <w:tc>
          <w:tcPr>
            <w:tcW w:w="3026" w:type="dxa"/>
            <w:tcBorders>
              <w:top w:val="nil"/>
              <w:left w:val="nil"/>
              <w:bottom w:val="single" w:sz="8" w:space="0" w:color="auto"/>
              <w:right w:val="single" w:sz="8" w:space="0" w:color="auto"/>
            </w:tcBorders>
            <w:shd w:val="clear" w:color="auto" w:fill="auto"/>
            <w:noWrap/>
            <w:vAlign w:val="center"/>
            <w:hideMark/>
          </w:tcPr>
          <w:p w:rsidR="00273214" w:rsidRPr="00273214" w:rsidP="00273214" w14:paraId="4DB1D826"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$90.52</w:t>
            </w:r>
          </w:p>
        </w:tc>
        <w:tc>
          <w:tcPr>
            <w:tcW w:w="2240" w:type="dxa"/>
            <w:tcBorders>
              <w:top w:val="nil"/>
              <w:left w:val="nil"/>
              <w:bottom w:val="single" w:sz="8" w:space="0" w:color="auto"/>
              <w:right w:val="single" w:sz="8" w:space="0" w:color="auto"/>
            </w:tcBorders>
            <w:shd w:val="clear" w:color="auto" w:fill="auto"/>
            <w:noWrap/>
            <w:vAlign w:val="center"/>
            <w:hideMark/>
          </w:tcPr>
          <w:p w:rsidR="00273214" w:rsidRPr="00273214" w:rsidP="00273214" w14:paraId="3ABE0E95"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$38,018</w:t>
            </w:r>
          </w:p>
        </w:tc>
      </w:tr>
      <w:tr w14:paraId="0FC77F48" w14:textId="77777777" w:rsidTr="00D04DDD">
        <w:tblPrEx>
          <w:tblW w:w="10760" w:type="dxa"/>
          <w:jc w:val="center"/>
          <w:tblLook w:val="04A0"/>
        </w:tblPrEx>
        <w:trPr>
          <w:trHeight w:val="360"/>
          <w:jc w:val="center"/>
        </w:trPr>
        <w:tc>
          <w:tcPr>
            <w:tcW w:w="852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273214" w:rsidRPr="00273214" w:rsidP="00273214" w14:paraId="12F99E77" w14:textId="77777777">
            <w:pPr>
              <w:widowControl/>
              <w:tabs>
                <w:tab w:val="left" w:pos="-1440"/>
                <w:tab w:val="left" w:pos="-720"/>
                <w:tab w:val="left" w:pos="0"/>
                <w:tab w:val="left" w:pos="432"/>
                <w:tab w:val="left" w:pos="720"/>
              </w:tabs>
              <w:suppressAutoHyphens/>
              <w:rPr>
                <w:rFonts w:ascii="Times New Roman" w:hAnsi="Times New Roman"/>
                <w:b/>
                <w:bCs/>
                <w:i/>
                <w:iCs/>
              </w:rPr>
            </w:pPr>
            <w:r w:rsidRPr="00273214">
              <w:rPr>
                <w:rFonts w:ascii="Times New Roman" w:hAnsi="Times New Roman"/>
                <w:b/>
                <w:bCs/>
                <w:i/>
                <w:iCs/>
              </w:rPr>
              <w:t>Total Annual Respondent Cost:</w:t>
            </w:r>
          </w:p>
        </w:tc>
        <w:tc>
          <w:tcPr>
            <w:tcW w:w="2240" w:type="dxa"/>
            <w:tcBorders>
              <w:top w:val="nil"/>
              <w:left w:val="nil"/>
              <w:bottom w:val="single" w:sz="8" w:space="0" w:color="auto"/>
              <w:right w:val="single" w:sz="8" w:space="0" w:color="auto"/>
            </w:tcBorders>
            <w:shd w:val="clear" w:color="000000" w:fill="FFFFFF"/>
            <w:vAlign w:val="center"/>
            <w:hideMark/>
          </w:tcPr>
          <w:p w:rsidR="00273214" w:rsidRPr="00273214" w:rsidP="00273214" w14:paraId="0D40F36E" w14:textId="77777777">
            <w:pPr>
              <w:widowControl/>
              <w:tabs>
                <w:tab w:val="left" w:pos="-1440"/>
                <w:tab w:val="left" w:pos="-720"/>
                <w:tab w:val="left" w:pos="0"/>
                <w:tab w:val="left" w:pos="432"/>
                <w:tab w:val="left" w:pos="720"/>
              </w:tabs>
              <w:suppressAutoHyphens/>
              <w:rPr>
                <w:rFonts w:ascii="Times New Roman" w:hAnsi="Times New Roman"/>
                <w:b/>
                <w:bCs/>
                <w:i/>
                <w:iCs/>
              </w:rPr>
            </w:pPr>
            <w:r w:rsidRPr="00273214">
              <w:rPr>
                <w:rFonts w:ascii="Times New Roman" w:hAnsi="Times New Roman"/>
                <w:b/>
                <w:bCs/>
                <w:i/>
                <w:iCs/>
              </w:rPr>
              <w:t xml:space="preserve">$38,018 </w:t>
            </w:r>
          </w:p>
        </w:tc>
      </w:tr>
      <w:tr w14:paraId="5DE609E8" w14:textId="77777777" w:rsidTr="00D04DDD">
        <w:tblPrEx>
          <w:tblW w:w="10760" w:type="dxa"/>
          <w:jc w:val="center"/>
          <w:tblLook w:val="04A0"/>
        </w:tblPrEx>
        <w:trPr>
          <w:trHeight w:val="840"/>
          <w:jc w:val="center"/>
        </w:trPr>
        <w:tc>
          <w:tcPr>
            <w:tcW w:w="1076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273214" w:rsidRPr="00273214" w:rsidP="00273214" w14:paraId="736AA919" w14:textId="77777777">
            <w:pPr>
              <w:widowControl/>
              <w:tabs>
                <w:tab w:val="left" w:pos="-1440"/>
                <w:tab w:val="left" w:pos="-720"/>
                <w:tab w:val="left" w:pos="0"/>
                <w:tab w:val="left" w:pos="432"/>
                <w:tab w:val="left" w:pos="720"/>
              </w:tabs>
              <w:suppressAutoHyphens/>
              <w:rPr>
                <w:rFonts w:ascii="Times New Roman" w:hAnsi="Times New Roman"/>
              </w:rPr>
            </w:pPr>
            <w:r w:rsidRPr="00273214">
              <w:rPr>
                <w:rFonts w:ascii="Times New Roman" w:hAnsi="Times New Roman"/>
              </w:rPr>
              <w:t>Source: FDIC.</w:t>
            </w:r>
          </w:p>
        </w:tc>
      </w:tr>
    </w:tbl>
    <w:p w:rsidR="00273214" w14:paraId="6E2FE624" w14:textId="77777777">
      <w:pPr>
        <w:widowControl/>
        <w:tabs>
          <w:tab w:val="left" w:pos="-1440"/>
          <w:tab w:val="left" w:pos="-720"/>
          <w:tab w:val="left" w:pos="0"/>
          <w:tab w:val="left" w:pos="432"/>
          <w:tab w:val="left" w:pos="720"/>
        </w:tabs>
        <w:suppressAutoHyphens/>
        <w:rPr>
          <w:rFonts w:ascii="Times New Roman" w:hAnsi="Times New Roman"/>
        </w:rPr>
      </w:pPr>
    </w:p>
    <w:p w:rsidR="00273214" w14:paraId="37262AB0" w14:textId="77777777">
      <w:pPr>
        <w:widowControl/>
        <w:tabs>
          <w:tab w:val="left" w:pos="-1440"/>
          <w:tab w:val="left" w:pos="-720"/>
          <w:tab w:val="left" w:pos="0"/>
          <w:tab w:val="left" w:pos="432"/>
          <w:tab w:val="left" w:pos="720"/>
        </w:tabs>
        <w:suppressAutoHyphens/>
        <w:rPr>
          <w:rFonts w:ascii="Times New Roman" w:hAnsi="Times New Roman"/>
        </w:rPr>
      </w:pPr>
    </w:p>
    <w:p w:rsidR="0057070E" w14:paraId="1A9F4980"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Pr>
          <w:rFonts w:ascii="Times New Roman" w:hAnsi="Times New Roman"/>
          <w:u w:val="single"/>
        </w:rPr>
        <w:t>Estimate of Annual</w:t>
      </w:r>
      <w:r w:rsidR="008160D4">
        <w:rPr>
          <w:rFonts w:ascii="Times New Roman" w:hAnsi="Times New Roman"/>
          <w:u w:val="single"/>
        </w:rPr>
        <w:t>ized</w:t>
      </w:r>
      <w:r>
        <w:rPr>
          <w:rFonts w:ascii="Times New Roman" w:hAnsi="Times New Roman"/>
          <w:u w:val="single"/>
        </w:rPr>
        <w:t xml:space="preserve"> Cost</w:t>
      </w:r>
      <w:r w:rsidR="008160D4">
        <w:rPr>
          <w:rFonts w:ascii="Times New Roman" w:hAnsi="Times New Roman"/>
          <w:u w:val="single"/>
        </w:rPr>
        <w:t>s</w:t>
      </w:r>
      <w:r>
        <w:rPr>
          <w:rFonts w:ascii="Times New Roman" w:hAnsi="Times New Roman"/>
          <w:u w:val="single"/>
        </w:rPr>
        <w:t xml:space="preserve"> </w:t>
      </w:r>
      <w:r w:rsidR="008160D4">
        <w:rPr>
          <w:rFonts w:ascii="Times New Roman" w:hAnsi="Times New Roman"/>
          <w:u w:val="single"/>
        </w:rPr>
        <w:t>to Respondents:</w:t>
      </w:r>
    </w:p>
    <w:p w:rsidR="0057070E" w14:paraId="6BD3719D" w14:textId="77777777">
      <w:pPr>
        <w:widowControl/>
        <w:tabs>
          <w:tab w:val="left" w:pos="-1440"/>
          <w:tab w:val="left" w:pos="-720"/>
          <w:tab w:val="left" w:pos="0"/>
          <w:tab w:val="left" w:pos="432"/>
          <w:tab w:val="left" w:pos="720"/>
        </w:tabs>
        <w:suppressAutoHyphens/>
        <w:rPr>
          <w:rFonts w:ascii="Times New Roman" w:hAnsi="Times New Roman"/>
        </w:rPr>
      </w:pPr>
    </w:p>
    <w:p w:rsidR="0057070E" w14:paraId="29BA8421"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Pr>
          <w:rFonts w:ascii="Times New Roman" w:hAnsi="Times New Roman"/>
        </w:rPr>
        <w:t xml:space="preserve">.  </w:t>
      </w:r>
    </w:p>
    <w:p w:rsidR="000600B1" w14:paraId="736BB5A2" w14:textId="77777777">
      <w:pPr>
        <w:widowControl/>
        <w:tabs>
          <w:tab w:val="left" w:pos="-1440"/>
          <w:tab w:val="left" w:pos="-720"/>
          <w:tab w:val="left" w:pos="0"/>
          <w:tab w:val="left" w:pos="432"/>
          <w:tab w:val="left" w:pos="720"/>
        </w:tabs>
        <w:suppressAutoHyphens/>
        <w:rPr>
          <w:rFonts w:ascii="Times New Roman" w:hAnsi="Times New Roman"/>
        </w:rPr>
      </w:pPr>
    </w:p>
    <w:p w:rsidR="0057070E" w14:paraId="06240B48"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14.  </w:t>
      </w:r>
      <w:r w:rsidR="000C54C5">
        <w:rPr>
          <w:rFonts w:ascii="Times New Roman" w:hAnsi="Times New Roman"/>
          <w:u w:val="single"/>
        </w:rPr>
        <w:t>Estimate of Annualized Costs to</w:t>
      </w:r>
      <w:r>
        <w:rPr>
          <w:rFonts w:ascii="Times New Roman" w:hAnsi="Times New Roman"/>
          <w:u w:val="single"/>
        </w:rPr>
        <w:t xml:space="preserve"> the Federal Government</w:t>
      </w:r>
    </w:p>
    <w:p w:rsidR="0057070E" w14:paraId="2FD16D59" w14:textId="77777777">
      <w:pPr>
        <w:widowControl/>
        <w:tabs>
          <w:tab w:val="left" w:pos="-1440"/>
          <w:tab w:val="left" w:pos="-720"/>
          <w:tab w:val="left" w:pos="0"/>
          <w:tab w:val="left" w:pos="432"/>
          <w:tab w:val="left" w:pos="720"/>
        </w:tabs>
        <w:suppressAutoHyphens/>
        <w:rPr>
          <w:rFonts w:ascii="Times New Roman" w:hAnsi="Times New Roman"/>
        </w:rPr>
      </w:pPr>
    </w:p>
    <w:p w:rsidR="0057070E" w14:paraId="105CBEE9"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Pr>
          <w:rFonts w:ascii="Times New Roman" w:hAnsi="Times New Roman"/>
        </w:rPr>
        <w:t xml:space="preserve"> </w:t>
      </w:r>
    </w:p>
    <w:p w:rsidR="0057070E" w14:paraId="5114A060" w14:textId="77777777">
      <w:pPr>
        <w:widowControl/>
        <w:tabs>
          <w:tab w:val="left" w:pos="-1440"/>
          <w:tab w:val="left" w:pos="-720"/>
          <w:tab w:val="left" w:pos="0"/>
          <w:tab w:val="left" w:pos="432"/>
          <w:tab w:val="left" w:pos="720"/>
        </w:tabs>
        <w:suppressAutoHyphens/>
        <w:rPr>
          <w:rFonts w:ascii="Times New Roman" w:hAnsi="Times New Roman"/>
        </w:rPr>
      </w:pPr>
    </w:p>
    <w:p w:rsidR="0057070E" w14:paraId="1F595167"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Pr>
          <w:rFonts w:ascii="Times New Roman" w:hAnsi="Times New Roman"/>
          <w:u w:val="single"/>
        </w:rPr>
        <w:t>Reason for Change in Burden</w:t>
      </w:r>
    </w:p>
    <w:p w:rsidR="0057070E" w14:paraId="40949DAE" w14:textId="77777777">
      <w:pPr>
        <w:widowControl/>
        <w:tabs>
          <w:tab w:val="left" w:pos="-1440"/>
          <w:tab w:val="left" w:pos="-720"/>
          <w:tab w:val="left" w:pos="0"/>
          <w:tab w:val="left" w:pos="432"/>
          <w:tab w:val="left" w:pos="720"/>
        </w:tabs>
        <w:suppressAutoHyphens/>
        <w:rPr>
          <w:rFonts w:ascii="Times New Roman" w:hAnsi="Times New Roman"/>
        </w:rPr>
      </w:pPr>
    </w:p>
    <w:p w:rsidR="0057070E" w14:paraId="2071FE12" w14:textId="0601E0D8">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szCs w:val="24"/>
        </w:rPr>
      </w:pPr>
      <w:r>
        <w:rPr>
          <w:rFonts w:ascii="Times New Roman" w:hAnsi="Times New Roman"/>
          <w:szCs w:val="24"/>
        </w:rPr>
        <w:t>There has been no change in the method or substance of the information collection</w:t>
      </w:r>
      <w:r w:rsidR="00AF20F9">
        <w:rPr>
          <w:rFonts w:ascii="Times New Roman" w:hAnsi="Times New Roman"/>
          <w:szCs w:val="24"/>
        </w:rPr>
        <w:t>.</w:t>
      </w:r>
    </w:p>
    <w:p w:rsidR="000600B1" w14:paraId="502CB48E"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57070E" w:rsidP="000600B1" w14:paraId="5E179861"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16.  </w:t>
      </w:r>
      <w:r w:rsidRPr="000C54C5" w:rsidR="000C54C5">
        <w:rPr>
          <w:rFonts w:ascii="Times New Roman" w:hAnsi="Times New Roman"/>
          <w:u w:val="single"/>
        </w:rPr>
        <w:t>Information regarding collections whose results are planned to be published for statistical use:</w:t>
      </w:r>
    </w:p>
    <w:p w:rsidR="0057070E" w14:paraId="4A3DB78D"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3CB76ECB" w14:textId="77777777">
      <w:pPr>
        <w:rPr>
          <w:rFonts w:ascii="Times New Roman" w:hAnsi="Times New Roman"/>
          <w:color w:val="000000"/>
          <w:szCs w:val="24"/>
        </w:rPr>
      </w:pPr>
      <w:r>
        <w:rPr>
          <w:rFonts w:ascii="Times New Roman" w:hAnsi="Times New Roman"/>
        </w:rPr>
        <w:t>None.</w:t>
      </w:r>
    </w:p>
    <w:p w:rsidR="0057070E" w14:paraId="64224207"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114BF00C"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57070E" w14:paraId="2944A63F"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49AA86F8"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57070E" w14:paraId="2E08A7E5"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1D1DC0D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18.  </w:t>
      </w:r>
      <w:r>
        <w:rPr>
          <w:rFonts w:ascii="Times New Roman" w:hAnsi="Times New Roman"/>
          <w:u w:val="single"/>
        </w:rPr>
        <w:t>Exceptions to Certificatio</w:t>
      </w:r>
      <w:r w:rsidR="000C54C5">
        <w:rPr>
          <w:rFonts w:ascii="Times New Roman" w:hAnsi="Times New Roman"/>
          <w:u w:val="single"/>
        </w:rPr>
        <w:t>n Statement:</w:t>
      </w:r>
    </w:p>
    <w:p w:rsidR="0057070E" w14:paraId="197B472E"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29667219"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w:t>
      </w:r>
      <w:r w:rsidR="000C54C5">
        <w:rPr>
          <w:rFonts w:ascii="Times New Roman" w:hAnsi="Times New Roman"/>
        </w:rPr>
        <w:t>t applicable</w:t>
      </w:r>
      <w:r>
        <w:rPr>
          <w:rFonts w:ascii="Times New Roman" w:hAnsi="Times New Roman"/>
        </w:rPr>
        <w:t>.</w:t>
      </w:r>
    </w:p>
    <w:p w:rsidR="0057070E" w14:paraId="5A34005F"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17FF2DCE"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57070E" w14:paraId="338D03E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43DB0351"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57070E" w14:paraId="441B0AD3"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14:paraId="5C7B16AB" w14:textId="77777777">
      <w:pPr>
        <w:widowControl/>
        <w:tabs>
          <w:tab w:val="left" w:pos="-720"/>
          <w:tab w:val="left" w:pos="0"/>
          <w:tab w:val="left" w:pos="1008"/>
          <w:tab w:val="left" w:pos="2160"/>
          <w:tab w:val="left" w:pos="4176"/>
          <w:tab w:val="left" w:pos="5472"/>
          <w:tab w:val="left" w:pos="6912"/>
        </w:tabs>
        <w:suppressAutoHyphens/>
      </w:pPr>
    </w:p>
    <w:sectPr>
      <w:headerReference w:type="first" r:id="rId7"/>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4892" w14:paraId="664B5714" w14:textId="77777777">
      <w:pPr>
        <w:widowControl/>
        <w:spacing w:line="20" w:lineRule="exact"/>
      </w:pPr>
    </w:p>
  </w:endnote>
  <w:endnote w:type="continuationSeparator" w:id="1">
    <w:p w:rsidR="00394892" w14:paraId="23E97BCB" w14:textId="77777777">
      <w:r>
        <w:t xml:space="preserve"> </w:t>
      </w:r>
    </w:p>
  </w:endnote>
  <w:endnote w:type="continuationNotice" w:id="2">
    <w:p w:rsidR="00394892" w14:paraId="390120C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4892" w14:paraId="17064762" w14:textId="77777777">
      <w:r>
        <w:separator/>
      </w:r>
    </w:p>
  </w:footnote>
  <w:footnote w:type="continuationSeparator" w:id="1">
    <w:p w:rsidR="00394892" w14:paraId="3538797D" w14:textId="77777777">
      <w:r>
        <w:continuationSeparator/>
      </w:r>
    </w:p>
  </w:footnote>
  <w:footnote w:id="2">
    <w:p w:rsidR="00514230" w:rsidRPr="00514230" w:rsidP="00514230" w14:paraId="6727D512" w14:textId="77777777">
      <w:pPr>
        <w:pStyle w:val="FootnoteText"/>
        <w:rPr>
          <w:rFonts w:ascii="Times New Roman" w:hAnsi="Times New Roman"/>
          <w:sz w:val="20"/>
        </w:rPr>
      </w:pPr>
      <w:r w:rsidRPr="00514230">
        <w:rPr>
          <w:rStyle w:val="FootnoteReference"/>
          <w:rFonts w:ascii="Times New Roman" w:hAnsi="Times New Roman"/>
          <w:sz w:val="20"/>
        </w:rPr>
        <w:footnoteRef/>
      </w:r>
      <w:r w:rsidRPr="00514230">
        <w:rPr>
          <w:rFonts w:ascii="Times New Roman" w:hAnsi="Times New Roman"/>
          <w:sz w:val="20"/>
          <w:vertAlign w:val="superscript"/>
        </w:rPr>
        <w:t xml:space="preserve"> </w:t>
      </w:r>
      <w:r w:rsidRPr="00514230">
        <w:rPr>
          <w:rFonts w:ascii="Times New Roman" w:hAnsi="Times New Roman"/>
          <w:sz w:val="20"/>
        </w:rPr>
        <w:t>73 FR 44620.</w:t>
      </w:r>
    </w:p>
  </w:footnote>
  <w:footnote w:id="3">
    <w:p w:rsidR="00514230" w:rsidRPr="00514230" w:rsidP="00514230" w14:paraId="7E25F3F8" w14:textId="77777777">
      <w:pPr>
        <w:pStyle w:val="FootnoteText"/>
        <w:rPr>
          <w:rFonts w:ascii="Times New Roman" w:hAnsi="Times New Roman"/>
          <w:sz w:val="20"/>
        </w:rPr>
      </w:pPr>
      <w:r w:rsidRPr="00514230">
        <w:rPr>
          <w:rStyle w:val="FootnoteReference"/>
          <w:rFonts w:ascii="Times New Roman" w:hAnsi="Times New Roman"/>
          <w:sz w:val="20"/>
        </w:rPr>
        <w:footnoteRef/>
      </w:r>
      <w:r w:rsidRPr="00514230">
        <w:rPr>
          <w:rFonts w:ascii="Times New Roman" w:hAnsi="Times New Roman"/>
          <w:sz w:val="20"/>
        </w:rPr>
        <w:t xml:space="preserve"> The supervisory guidance was based on the Basel II international framework, which has been superseded by the Basel III international framework.  However, notwithstanding the revisions to the Pillar 1 requirements, nothing changes the dimensions of the supervisory guidance in the context of Pillar 2.</w:t>
      </w:r>
    </w:p>
  </w:footnote>
  <w:footnote w:id="4">
    <w:p w:rsidR="009814E3" w:rsidRPr="009814E3" w:rsidP="009814E3" w14:paraId="110D6888" w14:textId="77777777">
      <w:pPr>
        <w:pStyle w:val="FootnoteText"/>
        <w:rPr>
          <w:rFonts w:ascii="Times New Roman" w:hAnsi="Times New Roman"/>
          <w:sz w:val="20"/>
        </w:rPr>
      </w:pPr>
      <w:r w:rsidRPr="009814E3">
        <w:rPr>
          <w:rStyle w:val="FootnoteReference"/>
          <w:rFonts w:ascii="Times New Roman" w:hAnsi="Times New Roman"/>
          <w:sz w:val="20"/>
        </w:rPr>
        <w:footnoteRef/>
      </w:r>
      <w:r w:rsidRPr="009814E3">
        <w:rPr>
          <w:rFonts w:ascii="Times New Roman" w:hAnsi="Times New Roman"/>
          <w:sz w:val="20"/>
        </w:rPr>
        <w:t xml:space="preserve"> </w:t>
      </w:r>
      <w:r>
        <w:rPr>
          <w:rFonts w:ascii="Times New Roman" w:hAnsi="Times New Roman"/>
          <w:sz w:val="20"/>
        </w:rPr>
        <w:t xml:space="preserve">To be subject to the advanced </w:t>
      </w:r>
      <w:r w:rsidRPr="009814E3">
        <w:rPr>
          <w:rFonts w:ascii="Times New Roman" w:hAnsi="Times New Roman"/>
          <w:sz w:val="20"/>
        </w:rPr>
        <w:t>approaches</w:t>
      </w:r>
      <w:r>
        <w:rPr>
          <w:rFonts w:ascii="Times New Roman" w:hAnsi="Times New Roman"/>
          <w:sz w:val="20"/>
        </w:rPr>
        <w:t xml:space="preserve"> rule, an institution must have </w:t>
      </w:r>
      <w:r w:rsidRPr="009814E3">
        <w:rPr>
          <w:rFonts w:ascii="Times New Roman" w:hAnsi="Times New Roman"/>
          <w:sz w:val="20"/>
        </w:rPr>
        <w:t>$250 billion or</w:t>
      </w:r>
      <w:r>
        <w:rPr>
          <w:rFonts w:ascii="Times New Roman" w:hAnsi="Times New Roman"/>
          <w:sz w:val="20"/>
        </w:rPr>
        <w:t xml:space="preserve"> more in total consolidated assets</w:t>
      </w:r>
      <w:r w:rsidRPr="009814E3">
        <w:rPr>
          <w:rFonts w:ascii="Times New Roman" w:hAnsi="Times New Roman"/>
          <w:sz w:val="20"/>
        </w:rPr>
        <w:t xml:space="preserve"> or $10 billion or more in total balance sheet foreign exposures.  </w:t>
      </w:r>
      <w:r>
        <w:rPr>
          <w:rFonts w:ascii="Times New Roman" w:hAnsi="Times New Roman"/>
          <w:sz w:val="20"/>
        </w:rPr>
        <w:t>A</w:t>
      </w:r>
      <w:r w:rsidRPr="009814E3">
        <w:rPr>
          <w:rFonts w:ascii="Times New Roman" w:hAnsi="Times New Roman"/>
          <w:sz w:val="20"/>
        </w:rPr>
        <w:t>dvanced approaches banks include only C</w:t>
      </w:r>
      <w:r>
        <w:rPr>
          <w:rFonts w:ascii="Times New Roman" w:hAnsi="Times New Roman"/>
          <w:sz w:val="20"/>
        </w:rPr>
        <w:t>ategory</w:t>
      </w:r>
      <w:r w:rsidRPr="009814E3">
        <w:rPr>
          <w:rFonts w:ascii="Times New Roman" w:hAnsi="Times New Roman"/>
          <w:sz w:val="20"/>
        </w:rPr>
        <w:t xml:space="preserve"> I banks</w:t>
      </w:r>
      <w:r>
        <w:rPr>
          <w:rFonts w:ascii="Times New Roman" w:hAnsi="Times New Roman"/>
          <w:sz w:val="20"/>
        </w:rPr>
        <w:t xml:space="preserve"> </w:t>
      </w:r>
      <w:r w:rsidRPr="009814E3">
        <w:rPr>
          <w:rFonts w:ascii="Times New Roman" w:hAnsi="Times New Roman"/>
          <w:sz w:val="20"/>
        </w:rPr>
        <w:t>(GSIBs) and Category II banks</w:t>
      </w:r>
      <w:r>
        <w:rPr>
          <w:rFonts w:ascii="Times New Roman" w:hAnsi="Times New Roman"/>
          <w:sz w:val="20"/>
        </w:rPr>
        <w:t xml:space="preserve"> </w:t>
      </w:r>
      <w:r w:rsidRPr="009814E3">
        <w:rPr>
          <w:rFonts w:ascii="Times New Roman" w:hAnsi="Times New Roman"/>
          <w:sz w:val="20"/>
        </w:rPr>
        <w:t>(banks with total consolidated assets of $700 billion or more or cross-jurisdictional activity of $75 billion or more, and that do not qualify as U.S GSIBs).</w:t>
      </w:r>
    </w:p>
    <w:p w:rsidR="009814E3" w:rsidRPr="009814E3" w14:paraId="4A6FF190" w14:textId="77777777">
      <w:pPr>
        <w:pStyle w:val="FootnoteTex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70E" w14:paraId="25F1571C" w14:textId="77777777">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5781E"/>
    <w:multiLevelType w:val="hybridMultilevel"/>
    <w:tmpl w:val="EBFEEE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nsid w:val="0C8A446B"/>
    <w:multiLevelType w:val="singleLevel"/>
    <w:tmpl w:val="BE36AEE0"/>
    <w:lvl w:ilvl="0">
      <w:start w:val="1"/>
      <w:numFmt w:val="decimal"/>
      <w:lvlText w:val="(%1)"/>
      <w:lvlJc w:val="left"/>
      <w:pPr>
        <w:tabs>
          <w:tab w:val="num" w:pos="504"/>
        </w:tabs>
        <w:ind w:left="504" w:hanging="504"/>
      </w:pPr>
    </w:lvl>
  </w:abstractNum>
  <w:abstractNum w:abstractNumId="3">
    <w:nsid w:val="116D4231"/>
    <w:multiLevelType w:val="singleLevel"/>
    <w:tmpl w:val="BE36AEE0"/>
    <w:lvl w:ilvl="0">
      <w:start w:val="1"/>
      <w:numFmt w:val="decimal"/>
      <w:lvlText w:val="(%1)"/>
      <w:lvlJc w:val="left"/>
      <w:pPr>
        <w:tabs>
          <w:tab w:val="num" w:pos="504"/>
        </w:tabs>
        <w:ind w:left="504" w:hanging="504"/>
      </w:pPr>
    </w:lvl>
  </w:abstractNum>
  <w:abstractNum w:abstractNumId="4">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5">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6">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7">
    <w:nsid w:val="231F0EB6"/>
    <w:multiLevelType w:val="singleLevel"/>
    <w:tmpl w:val="BE36AEE0"/>
    <w:lvl w:ilvl="0">
      <w:start w:val="1"/>
      <w:numFmt w:val="decimal"/>
      <w:lvlText w:val="(%1)"/>
      <w:lvlJc w:val="left"/>
      <w:pPr>
        <w:tabs>
          <w:tab w:val="num" w:pos="504"/>
        </w:tabs>
        <w:ind w:left="504" w:hanging="504"/>
      </w:pPr>
    </w:lvl>
  </w:abstractNum>
  <w:abstractNum w:abstractNumId="8">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9">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1">
    <w:nsid w:val="3F35131D"/>
    <w:multiLevelType w:val="hybridMultilevel"/>
    <w:tmpl w:val="CBBCA0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2">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14">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15">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16">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17">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18">
    <w:nsid w:val="622311BD"/>
    <w:multiLevelType w:val="singleLevel"/>
    <w:tmpl w:val="785E5116"/>
    <w:lvl w:ilvl="0">
      <w:start w:val="1"/>
      <w:numFmt w:val="lowerLetter"/>
      <w:lvlText w:val="(%1)"/>
      <w:lvlJc w:val="left"/>
      <w:pPr>
        <w:tabs>
          <w:tab w:val="num" w:pos="504"/>
        </w:tabs>
        <w:ind w:left="504" w:hanging="504"/>
      </w:pPr>
    </w:lvl>
  </w:abstractNum>
  <w:abstractNum w:abstractNumId="19">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21">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22">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23">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24">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25">
    <w:nsid w:val="761856C9"/>
    <w:multiLevelType w:val="hybridMultilevel"/>
    <w:tmpl w:val="46BA992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6">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16cid:durableId="2073388861">
    <w:abstractNumId w:val="4"/>
  </w:num>
  <w:num w:numId="2" w16cid:durableId="1815178711">
    <w:abstractNumId w:val="16"/>
  </w:num>
  <w:num w:numId="3" w16cid:durableId="1933278888">
    <w:abstractNumId w:val="1"/>
  </w:num>
  <w:num w:numId="4" w16cid:durableId="168570462">
    <w:abstractNumId w:val="26"/>
  </w:num>
  <w:num w:numId="5" w16cid:durableId="2000231934">
    <w:abstractNumId w:val="5"/>
  </w:num>
  <w:num w:numId="6" w16cid:durableId="863403495">
    <w:abstractNumId w:val="18"/>
  </w:num>
  <w:num w:numId="7" w16cid:durableId="2120905432">
    <w:abstractNumId w:val="10"/>
  </w:num>
  <w:num w:numId="8" w16cid:durableId="2111077947">
    <w:abstractNumId w:val="3"/>
  </w:num>
  <w:num w:numId="9" w16cid:durableId="1378505000">
    <w:abstractNumId w:val="7"/>
  </w:num>
  <w:num w:numId="10" w16cid:durableId="1061634848">
    <w:abstractNumId w:val="2"/>
  </w:num>
  <w:num w:numId="11" w16cid:durableId="1562904930">
    <w:abstractNumId w:val="20"/>
  </w:num>
  <w:num w:numId="12" w16cid:durableId="1902017522">
    <w:abstractNumId w:val="14"/>
  </w:num>
  <w:num w:numId="13" w16cid:durableId="1829713278">
    <w:abstractNumId w:val="19"/>
  </w:num>
  <w:num w:numId="14" w16cid:durableId="211622866">
    <w:abstractNumId w:val="8"/>
  </w:num>
  <w:num w:numId="15" w16cid:durableId="1587349753">
    <w:abstractNumId w:val="22"/>
  </w:num>
  <w:num w:numId="16" w16cid:durableId="1544825070">
    <w:abstractNumId w:val="13"/>
  </w:num>
  <w:num w:numId="17" w16cid:durableId="1876308916">
    <w:abstractNumId w:val="17"/>
  </w:num>
  <w:num w:numId="18" w16cid:durableId="1636794220">
    <w:abstractNumId w:val="21"/>
  </w:num>
  <w:num w:numId="19" w16cid:durableId="2057662283">
    <w:abstractNumId w:val="23"/>
  </w:num>
  <w:num w:numId="20" w16cid:durableId="347172907">
    <w:abstractNumId w:val="15"/>
  </w:num>
  <w:num w:numId="21" w16cid:durableId="1512640773">
    <w:abstractNumId w:val="6"/>
  </w:num>
  <w:num w:numId="22" w16cid:durableId="1630041342">
    <w:abstractNumId w:val="9"/>
  </w:num>
  <w:num w:numId="23" w16cid:durableId="1535077342">
    <w:abstractNumId w:val="24"/>
  </w:num>
  <w:num w:numId="24" w16cid:durableId="2134057225">
    <w:abstractNumId w:val="0"/>
  </w:num>
  <w:num w:numId="25" w16cid:durableId="1002198097">
    <w:abstractNumId w:val="11"/>
  </w:num>
  <w:num w:numId="26" w16cid:durableId="304967958">
    <w:abstractNumId w:val="12"/>
  </w:num>
  <w:num w:numId="27" w16cid:durableId="2059888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5F"/>
    <w:rsid w:val="00053971"/>
    <w:rsid w:val="000600B1"/>
    <w:rsid w:val="000C54C5"/>
    <w:rsid w:val="000F5851"/>
    <w:rsid w:val="00176B3D"/>
    <w:rsid w:val="001F0854"/>
    <w:rsid w:val="0023665F"/>
    <w:rsid w:val="00273214"/>
    <w:rsid w:val="002A1A1A"/>
    <w:rsid w:val="0030707B"/>
    <w:rsid w:val="00394892"/>
    <w:rsid w:val="003D3463"/>
    <w:rsid w:val="00417E5C"/>
    <w:rsid w:val="00422B1B"/>
    <w:rsid w:val="00484A1D"/>
    <w:rsid w:val="004F40AC"/>
    <w:rsid w:val="00514230"/>
    <w:rsid w:val="00541808"/>
    <w:rsid w:val="0057070E"/>
    <w:rsid w:val="00587C69"/>
    <w:rsid w:val="005A3E27"/>
    <w:rsid w:val="00723BB7"/>
    <w:rsid w:val="00781019"/>
    <w:rsid w:val="008160D4"/>
    <w:rsid w:val="008761FD"/>
    <w:rsid w:val="009814E3"/>
    <w:rsid w:val="009D436F"/>
    <w:rsid w:val="009D4881"/>
    <w:rsid w:val="00A563FB"/>
    <w:rsid w:val="00A76E32"/>
    <w:rsid w:val="00AF20F9"/>
    <w:rsid w:val="00B0498D"/>
    <w:rsid w:val="00B30E8B"/>
    <w:rsid w:val="00B45ACA"/>
    <w:rsid w:val="00BB413D"/>
    <w:rsid w:val="00C2660F"/>
    <w:rsid w:val="00C62CCB"/>
    <w:rsid w:val="00E65AB0"/>
    <w:rsid w:val="00EA08FB"/>
    <w:rsid w:val="00F31F97"/>
    <w:rsid w:val="00FC53C0"/>
    <w:rsid w:val="00FD6F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2EC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EmailStyle65">
    <w:name w:val="EmailStyle65"/>
    <w:semiHidden/>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2935-588E-4A7F-9175-83910FB9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10289</Characters>
  <Application>Microsoft Office Word</Application>
  <DocSecurity>0</DocSecurity>
  <Lines>85</Lines>
  <Paragraphs>23</Paragraphs>
  <ScaleCrop>false</ScaleCrop>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2024-12-03T15:20:00Z</dcterms:created>
  <dcterms:modified xsi:type="dcterms:W3CDTF">2024-12-03T15:20:00Z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51912607-66a8-40fa-8f2a-5532b8dee116</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2024-12-03T15:20:42Z</vt:lpwstr>
  </property>
  <property fmtid="{D5CDD505-2E9C-101B-9397-08002B2CF9AE}" pid="8" name="MSIP_Label_3be8ab8c-433c-4394-a4fb-cd2d5c4d0a5e_SiteId">
    <vt:lpwstr>26c83bc9-31c1-4d77-a523-0816095aba31</vt:lpwstr>
  </property>
</Properties>
</file>