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5686" w14:paraId="6EA8779A" w14:textId="77777777">
      <w:pPr>
        <w:tabs>
          <w:tab w:val="center" w:pos="4320"/>
          <w:tab w:val="right" w:pos="8640"/>
        </w:tabs>
        <w:ind w:right="-720"/>
        <w:jc w:val="center"/>
        <w:rPr>
          <w:rFonts w:ascii="Arial" w:eastAsia="Arial" w:hAnsi="Arial" w:cs="Arial"/>
          <w:sz w:val="24"/>
          <w:szCs w:val="24"/>
        </w:rPr>
      </w:pPr>
      <w:r>
        <w:rPr>
          <w:rFonts w:ascii="Arial" w:eastAsia="Arial" w:hAnsi="Arial" w:cs="Arial"/>
          <w:b/>
          <w:sz w:val="24"/>
          <w:szCs w:val="24"/>
        </w:rPr>
        <w:t>Supporting Statement for Information Collection</w:t>
      </w:r>
    </w:p>
    <w:p w:rsidR="00485686" w14:paraId="5001428F" w14:textId="77777777">
      <w:pPr>
        <w:tabs>
          <w:tab w:val="center" w:pos="4320"/>
          <w:tab w:val="right" w:pos="8640"/>
        </w:tabs>
        <w:ind w:right="-720"/>
        <w:jc w:val="center"/>
        <w:rPr>
          <w:rFonts w:ascii="Arial" w:eastAsia="Arial" w:hAnsi="Arial" w:cs="Arial"/>
          <w:b/>
          <w:sz w:val="24"/>
          <w:szCs w:val="24"/>
        </w:rPr>
      </w:pPr>
      <w:r>
        <w:rPr>
          <w:rFonts w:ascii="Arial" w:eastAsia="Arial" w:hAnsi="Arial" w:cs="Arial"/>
          <w:b/>
          <w:sz w:val="24"/>
          <w:szCs w:val="24"/>
        </w:rPr>
        <w:t>OMB Control Number 3090-0080</w:t>
      </w:r>
    </w:p>
    <w:p w:rsidR="00485686" w:rsidP="009059D0" w14:paraId="0B7221F4" w14:textId="4D59EBAB">
      <w:pPr>
        <w:tabs>
          <w:tab w:val="center" w:pos="4320"/>
          <w:tab w:val="right" w:pos="9360"/>
        </w:tabs>
        <w:ind w:right="-720"/>
        <w:rPr>
          <w:rFonts w:ascii="Arial" w:eastAsia="Arial" w:hAnsi="Arial" w:cs="Arial"/>
          <w:b/>
          <w:sz w:val="24"/>
          <w:szCs w:val="24"/>
        </w:rPr>
      </w:pPr>
      <w:r>
        <w:rPr>
          <w:rFonts w:ascii="Arial" w:eastAsia="Arial" w:hAnsi="Arial" w:cs="Arial"/>
          <w:b/>
          <w:sz w:val="24"/>
          <w:szCs w:val="24"/>
        </w:rPr>
        <w:tab/>
      </w:r>
      <w:r w:rsidR="000D21E1">
        <w:rPr>
          <w:rFonts w:ascii="Arial" w:eastAsia="Arial" w:hAnsi="Arial" w:cs="Arial"/>
          <w:b/>
          <w:sz w:val="24"/>
          <w:szCs w:val="24"/>
        </w:rPr>
        <w:t>Release of Claims for Construction and Building Service Contracts</w:t>
      </w:r>
    </w:p>
    <w:p w:rsidR="00485686" w14:paraId="348D3F2B" w14:textId="77777777">
      <w:pPr>
        <w:tabs>
          <w:tab w:val="center" w:pos="4320"/>
          <w:tab w:val="right" w:pos="9360"/>
        </w:tabs>
        <w:ind w:right="-720"/>
        <w:jc w:val="center"/>
        <w:rPr>
          <w:rFonts w:ascii="Arial" w:eastAsia="Arial" w:hAnsi="Arial" w:cs="Arial"/>
          <w:b/>
          <w:sz w:val="24"/>
          <w:szCs w:val="24"/>
        </w:rPr>
      </w:pPr>
      <w:r>
        <w:rPr>
          <w:rFonts w:ascii="Arial" w:eastAsia="Arial" w:hAnsi="Arial" w:cs="Arial"/>
          <w:b/>
          <w:sz w:val="24"/>
          <w:szCs w:val="24"/>
        </w:rPr>
        <w:t>GSAR Sections Affected: 532.111, 532.905-70, 532.908, 552.232-5, 552.232-72, GSA Form 1142</w:t>
      </w:r>
    </w:p>
    <w:p w:rsidR="00485686" w14:paraId="29BD30EF" w14:textId="77777777">
      <w:pPr>
        <w:tabs>
          <w:tab w:val="center" w:pos="4320"/>
          <w:tab w:val="right" w:pos="8640"/>
        </w:tabs>
        <w:ind w:right="-720"/>
        <w:rPr>
          <w:rFonts w:ascii="Arial" w:eastAsia="Arial" w:hAnsi="Arial" w:cs="Arial"/>
          <w:b/>
          <w:sz w:val="24"/>
          <w:szCs w:val="24"/>
        </w:rPr>
      </w:pPr>
    </w:p>
    <w:p w:rsidR="00485686" w14:paraId="5A0B1245" w14:textId="77777777">
      <w:pPr>
        <w:tabs>
          <w:tab w:val="left" w:pos="360"/>
        </w:tabs>
        <w:ind w:right="-720"/>
        <w:rPr>
          <w:rFonts w:ascii="Arial" w:eastAsia="Arial" w:hAnsi="Arial" w:cs="Arial"/>
          <w:b/>
          <w:sz w:val="24"/>
          <w:szCs w:val="24"/>
        </w:rPr>
      </w:pPr>
      <w:r>
        <w:rPr>
          <w:rFonts w:ascii="Arial" w:eastAsia="Arial" w:hAnsi="Arial" w:cs="Arial"/>
          <w:b/>
          <w:sz w:val="24"/>
          <w:szCs w:val="24"/>
        </w:rPr>
        <w:t>Overview of Information Collection</w:t>
      </w:r>
    </w:p>
    <w:p w:rsidR="00485686" w14:paraId="75C8CBE9" w14:textId="77777777">
      <w:pPr>
        <w:tabs>
          <w:tab w:val="center" w:pos="4320"/>
          <w:tab w:val="right" w:pos="8640"/>
        </w:tabs>
        <w:ind w:right="-720"/>
        <w:rPr>
          <w:rFonts w:ascii="Arial" w:eastAsia="Arial" w:hAnsi="Arial" w:cs="Arial"/>
          <w:b/>
          <w:sz w:val="24"/>
          <w:szCs w:val="24"/>
        </w:rPr>
      </w:pPr>
    </w:p>
    <w:p w:rsidR="00485686" w14:paraId="3343AA99" w14:textId="4B64FD8B">
      <w:pPr>
        <w:widowControl w:val="0"/>
        <w:tabs>
          <w:tab w:val="left" w:pos="820"/>
          <w:tab w:val="left" w:pos="821"/>
        </w:tabs>
        <w:ind w:right="-720"/>
        <w:rPr>
          <w:rFonts w:ascii="Arial" w:eastAsia="Arial" w:hAnsi="Arial" w:cs="Arial"/>
          <w:sz w:val="24"/>
          <w:szCs w:val="24"/>
        </w:rPr>
      </w:pPr>
      <w:r>
        <w:rPr>
          <w:rFonts w:ascii="Arial" w:eastAsia="Arial" w:hAnsi="Arial" w:cs="Arial"/>
          <w:sz w:val="24"/>
          <w:szCs w:val="24"/>
        </w:rPr>
        <w:t>This is a request for approval of an extension to an existing information collection.</w:t>
      </w:r>
      <w:r w:rsidR="006022EA">
        <w:rPr>
          <w:rFonts w:ascii="Arial" w:eastAsia="Arial" w:hAnsi="Arial" w:cs="Arial"/>
          <w:sz w:val="24"/>
          <w:szCs w:val="24"/>
        </w:rPr>
        <w:t xml:space="preserve">  The title has been refined to reflect that the release of claims in GSA Form 1142</w:t>
      </w:r>
      <w:r>
        <w:rPr>
          <w:rFonts w:ascii="Arial" w:eastAsia="Arial" w:hAnsi="Arial" w:cs="Arial"/>
          <w:sz w:val="24"/>
          <w:szCs w:val="24"/>
        </w:rPr>
        <w:t xml:space="preserve"> </w:t>
      </w:r>
      <w:r w:rsidR="006022EA">
        <w:rPr>
          <w:rFonts w:ascii="Arial" w:eastAsia="Arial" w:hAnsi="Arial" w:cs="Arial"/>
          <w:sz w:val="24"/>
          <w:szCs w:val="24"/>
        </w:rPr>
        <w:t>is limited to claims arising from construction and/or building service contracts.  The previous title reflected general “release of claims”, which overstates the information collected by, and the scope of, GSA Form 1142.</w:t>
      </w:r>
    </w:p>
    <w:p w:rsidR="00485686" w14:paraId="45F47A49" w14:textId="77777777">
      <w:pPr>
        <w:tabs>
          <w:tab w:val="center" w:pos="4320"/>
          <w:tab w:val="right" w:pos="8640"/>
        </w:tabs>
        <w:ind w:right="-720"/>
        <w:rPr>
          <w:rFonts w:ascii="Arial" w:eastAsia="Arial" w:hAnsi="Arial" w:cs="Arial"/>
          <w:b/>
          <w:sz w:val="24"/>
          <w:szCs w:val="24"/>
        </w:rPr>
      </w:pPr>
    </w:p>
    <w:p w:rsidR="00485686" w14:paraId="4F042008" w14:textId="77777777">
      <w:pPr>
        <w:ind w:right="-720"/>
        <w:rPr>
          <w:rFonts w:ascii="Arial" w:eastAsia="Arial" w:hAnsi="Arial" w:cs="Arial"/>
          <w:sz w:val="24"/>
          <w:szCs w:val="24"/>
        </w:rPr>
      </w:pPr>
      <w:r>
        <w:rPr>
          <w:rFonts w:ascii="Arial" w:eastAsia="Arial" w:hAnsi="Arial" w:cs="Arial"/>
          <w:sz w:val="24"/>
          <w:szCs w:val="24"/>
        </w:rPr>
        <w:t>This information collection applies to General Services Administration (GSA) contracts for construction and building services requiring contractors to provide a release of claims prior to GSA making final payment to the contractor.</w:t>
      </w:r>
    </w:p>
    <w:p w:rsidR="00485686" w14:paraId="6C4DA0C1" w14:textId="77777777">
      <w:pPr>
        <w:ind w:right="-720"/>
        <w:rPr>
          <w:rFonts w:ascii="Arial" w:eastAsia="Arial" w:hAnsi="Arial" w:cs="Arial"/>
          <w:sz w:val="24"/>
          <w:szCs w:val="24"/>
        </w:rPr>
      </w:pPr>
    </w:p>
    <w:p w:rsidR="00485686" w14:paraId="791D01BF" w14:textId="77777777">
      <w:pPr>
        <w:ind w:right="-720"/>
        <w:rPr>
          <w:rFonts w:ascii="Arial" w:eastAsia="Arial" w:hAnsi="Arial" w:cs="Arial"/>
          <w:sz w:val="24"/>
          <w:szCs w:val="24"/>
        </w:rPr>
      </w:pPr>
      <w:r>
        <w:rPr>
          <w:rFonts w:ascii="Arial" w:eastAsia="Arial" w:hAnsi="Arial" w:cs="Arial"/>
          <w:sz w:val="24"/>
          <w:szCs w:val="24"/>
        </w:rPr>
        <w:t>The General Services Administration Acquisition Regulation (GSAR) sections and GSA form covered by this information collection include:</w:t>
      </w:r>
    </w:p>
    <w:p w:rsidR="00485686" w14:paraId="68D9037B" w14:textId="77777777">
      <w:pPr>
        <w:numPr>
          <w:ilvl w:val="0"/>
          <w:numId w:val="2"/>
        </w:numPr>
        <w:rPr>
          <w:rFonts w:ascii="Arial" w:eastAsia="Arial" w:hAnsi="Arial" w:cs="Arial"/>
          <w:sz w:val="24"/>
          <w:szCs w:val="24"/>
        </w:rPr>
      </w:pPr>
      <w:r>
        <w:rPr>
          <w:rFonts w:ascii="Arial" w:eastAsia="Arial" w:hAnsi="Arial" w:cs="Arial"/>
          <w:sz w:val="24"/>
          <w:szCs w:val="24"/>
        </w:rPr>
        <w:t>532.111 Contract clauses for non-commercial purchases</w:t>
      </w:r>
    </w:p>
    <w:p w:rsidR="00485686" w14:paraId="686772B4" w14:textId="77777777">
      <w:pPr>
        <w:numPr>
          <w:ilvl w:val="0"/>
          <w:numId w:val="2"/>
        </w:numPr>
        <w:rPr>
          <w:rFonts w:ascii="Arial" w:eastAsia="Arial" w:hAnsi="Arial" w:cs="Arial"/>
          <w:sz w:val="24"/>
          <w:szCs w:val="24"/>
        </w:rPr>
      </w:pPr>
      <w:r>
        <w:rPr>
          <w:rFonts w:ascii="Arial" w:eastAsia="Arial" w:hAnsi="Arial" w:cs="Arial"/>
          <w:sz w:val="24"/>
          <w:szCs w:val="24"/>
        </w:rPr>
        <w:t>532.905-70 Final payment—construction and building service contracts</w:t>
      </w:r>
    </w:p>
    <w:p w:rsidR="00485686" w14:paraId="63A8483E" w14:textId="77777777">
      <w:pPr>
        <w:numPr>
          <w:ilvl w:val="0"/>
          <w:numId w:val="2"/>
        </w:numPr>
        <w:rPr>
          <w:rFonts w:ascii="Arial" w:eastAsia="Arial" w:hAnsi="Arial" w:cs="Arial"/>
          <w:sz w:val="24"/>
          <w:szCs w:val="24"/>
        </w:rPr>
      </w:pPr>
      <w:r>
        <w:rPr>
          <w:rFonts w:ascii="Arial" w:eastAsia="Arial" w:hAnsi="Arial" w:cs="Arial"/>
          <w:sz w:val="24"/>
          <w:szCs w:val="24"/>
        </w:rPr>
        <w:t>532.908 Contract Clauses</w:t>
      </w:r>
    </w:p>
    <w:p w:rsidR="00485686" w14:paraId="49E85F18" w14:textId="77777777">
      <w:pPr>
        <w:numPr>
          <w:ilvl w:val="0"/>
          <w:numId w:val="2"/>
        </w:numPr>
        <w:rPr>
          <w:rFonts w:ascii="Arial" w:eastAsia="Arial" w:hAnsi="Arial" w:cs="Arial"/>
          <w:sz w:val="24"/>
          <w:szCs w:val="24"/>
        </w:rPr>
      </w:pPr>
      <w:r>
        <w:rPr>
          <w:rFonts w:ascii="Arial" w:eastAsia="Arial" w:hAnsi="Arial" w:cs="Arial"/>
          <w:sz w:val="24"/>
          <w:szCs w:val="24"/>
        </w:rPr>
        <w:t>552.232-5 Payments under Fixed Price Construction Contracts</w:t>
      </w:r>
    </w:p>
    <w:p w:rsidR="00485686" w14:paraId="7294FD1F" w14:textId="77777777">
      <w:pPr>
        <w:numPr>
          <w:ilvl w:val="0"/>
          <w:numId w:val="2"/>
        </w:numPr>
        <w:rPr>
          <w:rFonts w:ascii="Arial" w:eastAsia="Arial" w:hAnsi="Arial" w:cs="Arial"/>
          <w:sz w:val="24"/>
          <w:szCs w:val="24"/>
        </w:rPr>
      </w:pPr>
      <w:r>
        <w:rPr>
          <w:rFonts w:ascii="Arial" w:eastAsia="Arial" w:hAnsi="Arial" w:cs="Arial"/>
          <w:sz w:val="24"/>
          <w:szCs w:val="24"/>
        </w:rPr>
        <w:t>552.232-72 Final Payment Under Building Services Contracts</w:t>
      </w:r>
    </w:p>
    <w:p w:rsidR="00485686" w14:paraId="58BF938F" w14:textId="77777777">
      <w:pPr>
        <w:numPr>
          <w:ilvl w:val="0"/>
          <w:numId w:val="2"/>
        </w:numPr>
        <w:rPr>
          <w:rFonts w:ascii="Arial" w:eastAsia="Arial" w:hAnsi="Arial" w:cs="Arial"/>
          <w:sz w:val="24"/>
          <w:szCs w:val="24"/>
        </w:rPr>
      </w:pPr>
      <w:r>
        <w:rPr>
          <w:rFonts w:ascii="Arial" w:eastAsia="Arial" w:hAnsi="Arial" w:cs="Arial"/>
          <w:sz w:val="24"/>
          <w:szCs w:val="24"/>
        </w:rPr>
        <w:t>GSA Form 1142 Release of Claims</w:t>
      </w:r>
    </w:p>
    <w:p w:rsidR="00485686" w14:paraId="488CB42F" w14:textId="77777777">
      <w:pPr>
        <w:ind w:right="-720"/>
        <w:rPr>
          <w:rFonts w:ascii="Arial" w:eastAsia="Arial" w:hAnsi="Arial" w:cs="Arial"/>
          <w:sz w:val="24"/>
          <w:szCs w:val="24"/>
        </w:rPr>
      </w:pPr>
    </w:p>
    <w:p w:rsidR="00485686" w14:paraId="58E943BE" w14:textId="77777777">
      <w:pPr>
        <w:ind w:right="-720"/>
        <w:rPr>
          <w:rFonts w:ascii="Arial" w:eastAsia="Arial" w:hAnsi="Arial" w:cs="Arial"/>
          <w:sz w:val="24"/>
          <w:szCs w:val="24"/>
        </w:rPr>
      </w:pPr>
      <w:r>
        <w:rPr>
          <w:rFonts w:ascii="Arial" w:eastAsia="Arial" w:hAnsi="Arial" w:cs="Arial"/>
          <w:sz w:val="24"/>
          <w:szCs w:val="24"/>
        </w:rPr>
        <w:t>The following are changes of importance that have occurred since the last extension approval:</w:t>
      </w:r>
    </w:p>
    <w:p w:rsidR="00485686" w14:paraId="07D8B39B" w14:textId="77777777">
      <w:pPr>
        <w:ind w:right="-720"/>
        <w:rPr>
          <w:rFonts w:ascii="Arial" w:eastAsia="Arial" w:hAnsi="Arial" w:cs="Arial"/>
          <w:sz w:val="24"/>
          <w:szCs w:val="24"/>
        </w:rPr>
      </w:pPr>
    </w:p>
    <w:p w:rsidR="00485686" w14:paraId="1F6F0426" w14:textId="77777777">
      <w:pPr>
        <w:numPr>
          <w:ilvl w:val="0"/>
          <w:numId w:val="3"/>
        </w:numPr>
        <w:ind w:right="-720"/>
        <w:rPr>
          <w:rFonts w:ascii="Arial" w:eastAsia="Arial" w:hAnsi="Arial" w:cs="Arial"/>
          <w:sz w:val="24"/>
          <w:szCs w:val="24"/>
        </w:rPr>
      </w:pPr>
      <w:r>
        <w:rPr>
          <w:rFonts w:ascii="Arial" w:eastAsia="Arial" w:hAnsi="Arial" w:cs="Arial"/>
          <w:sz w:val="24"/>
          <w:szCs w:val="24"/>
        </w:rPr>
        <w:t>The total estimated respondents per year increased due to the use of updated data, which included more contracts being awarded in the current period than the last information collection renewal period. The total estimated respondents changed-</w:t>
      </w:r>
    </w:p>
    <w:p w:rsidR="00485686" w14:paraId="00FEDA2F" w14:textId="77777777">
      <w:pPr>
        <w:numPr>
          <w:ilvl w:val="1"/>
          <w:numId w:val="3"/>
        </w:numPr>
        <w:ind w:right="-720"/>
        <w:rPr>
          <w:rFonts w:ascii="Arial" w:eastAsia="Arial" w:hAnsi="Arial" w:cs="Arial"/>
          <w:sz w:val="24"/>
          <w:szCs w:val="24"/>
        </w:rPr>
      </w:pPr>
      <w:r>
        <w:rPr>
          <w:rFonts w:ascii="Arial" w:eastAsia="Arial" w:hAnsi="Arial" w:cs="Arial"/>
          <w:sz w:val="24"/>
          <w:szCs w:val="24"/>
        </w:rPr>
        <w:t>From: 1,330</w:t>
      </w:r>
    </w:p>
    <w:p w:rsidR="00485686" w14:paraId="4C04EF47" w14:textId="77777777">
      <w:pPr>
        <w:numPr>
          <w:ilvl w:val="1"/>
          <w:numId w:val="3"/>
        </w:numPr>
        <w:ind w:right="-720"/>
        <w:rPr>
          <w:rFonts w:ascii="Arial" w:eastAsia="Arial" w:hAnsi="Arial" w:cs="Arial"/>
          <w:sz w:val="24"/>
          <w:szCs w:val="24"/>
        </w:rPr>
      </w:pPr>
      <w:r>
        <w:rPr>
          <w:rFonts w:ascii="Arial" w:eastAsia="Arial" w:hAnsi="Arial" w:cs="Arial"/>
          <w:sz w:val="24"/>
          <w:szCs w:val="24"/>
        </w:rPr>
        <w:t>To: 1,427</w:t>
      </w:r>
    </w:p>
    <w:p w:rsidR="00485686" w14:paraId="745C4517" w14:textId="77777777">
      <w:pPr>
        <w:ind w:left="1440" w:right="-720"/>
        <w:rPr>
          <w:rFonts w:ascii="Arial" w:eastAsia="Arial" w:hAnsi="Arial" w:cs="Arial"/>
          <w:sz w:val="24"/>
          <w:szCs w:val="24"/>
        </w:rPr>
      </w:pPr>
    </w:p>
    <w:p w:rsidR="00485686" w14:paraId="12D387E8" w14:textId="77777777">
      <w:pPr>
        <w:numPr>
          <w:ilvl w:val="0"/>
          <w:numId w:val="3"/>
        </w:numPr>
        <w:ind w:right="-720"/>
        <w:rPr>
          <w:rFonts w:ascii="Arial" w:eastAsia="Arial" w:hAnsi="Arial" w:cs="Arial"/>
          <w:sz w:val="24"/>
          <w:szCs w:val="24"/>
        </w:rPr>
      </w:pPr>
      <w:r>
        <w:rPr>
          <w:rFonts w:ascii="Arial" w:eastAsia="Arial" w:hAnsi="Arial" w:cs="Arial"/>
          <w:sz w:val="24"/>
          <w:szCs w:val="24"/>
        </w:rPr>
        <w:t>The total estimated annual public cost burden increased due to the use of updated data, which included more contracts being awarded in the current period than the last information collection renewal period. The total estimated annual public cost burden changed-</w:t>
      </w:r>
    </w:p>
    <w:p w:rsidR="00485686" w14:paraId="58118F32" w14:textId="77777777">
      <w:pPr>
        <w:numPr>
          <w:ilvl w:val="1"/>
          <w:numId w:val="3"/>
        </w:numPr>
        <w:ind w:right="-720"/>
        <w:rPr>
          <w:rFonts w:ascii="Arial" w:eastAsia="Arial" w:hAnsi="Arial" w:cs="Arial"/>
          <w:sz w:val="24"/>
          <w:szCs w:val="24"/>
        </w:rPr>
      </w:pPr>
      <w:r>
        <w:rPr>
          <w:rFonts w:ascii="Arial" w:eastAsia="Arial" w:hAnsi="Arial" w:cs="Arial"/>
          <w:sz w:val="24"/>
          <w:szCs w:val="24"/>
        </w:rPr>
        <w:t>From: $3,470</w:t>
      </w:r>
    </w:p>
    <w:p w:rsidR="00485686" w14:paraId="34AF48AE" w14:textId="77777777">
      <w:pPr>
        <w:numPr>
          <w:ilvl w:val="1"/>
          <w:numId w:val="3"/>
        </w:numPr>
        <w:ind w:right="-720"/>
        <w:rPr>
          <w:rFonts w:ascii="Arial" w:eastAsia="Arial" w:hAnsi="Arial" w:cs="Arial"/>
          <w:sz w:val="24"/>
          <w:szCs w:val="24"/>
        </w:rPr>
      </w:pPr>
      <w:r>
        <w:rPr>
          <w:rFonts w:ascii="Arial" w:eastAsia="Arial" w:hAnsi="Arial" w:cs="Arial"/>
          <w:sz w:val="24"/>
          <w:szCs w:val="24"/>
        </w:rPr>
        <w:t>To: $20,891</w:t>
      </w:r>
    </w:p>
    <w:p w:rsidR="00485686" w14:paraId="43841B0B" w14:textId="77777777">
      <w:pPr>
        <w:ind w:left="1440" w:right="-720"/>
        <w:rPr>
          <w:rFonts w:ascii="Arial" w:eastAsia="Arial" w:hAnsi="Arial" w:cs="Arial"/>
          <w:sz w:val="24"/>
          <w:szCs w:val="24"/>
        </w:rPr>
      </w:pPr>
    </w:p>
    <w:p w:rsidR="00485686" w14:paraId="3E0E5B0D" w14:textId="77777777">
      <w:pPr>
        <w:numPr>
          <w:ilvl w:val="0"/>
          <w:numId w:val="3"/>
        </w:numPr>
        <w:ind w:right="-720"/>
        <w:rPr>
          <w:rFonts w:ascii="Arial" w:eastAsia="Arial" w:hAnsi="Arial" w:cs="Arial"/>
          <w:sz w:val="24"/>
          <w:szCs w:val="24"/>
        </w:rPr>
      </w:pPr>
      <w:r>
        <w:rPr>
          <w:rFonts w:ascii="Arial" w:eastAsia="Arial" w:hAnsi="Arial" w:cs="Arial"/>
          <w:sz w:val="24"/>
          <w:szCs w:val="24"/>
        </w:rPr>
        <w:t>The total estimated annual cost burden to the Government increased due to the use of updated data, which included more contracts being awarded in the current period than the last information collection renewal period. The total estimated annual cost to the Government changed-</w:t>
      </w:r>
    </w:p>
    <w:p w:rsidR="00485686" w14:paraId="47C7C455" w14:textId="77777777">
      <w:pPr>
        <w:numPr>
          <w:ilvl w:val="1"/>
          <w:numId w:val="3"/>
        </w:numPr>
        <w:ind w:right="-720"/>
        <w:rPr>
          <w:rFonts w:ascii="Arial" w:eastAsia="Arial" w:hAnsi="Arial" w:cs="Arial"/>
          <w:sz w:val="24"/>
          <w:szCs w:val="24"/>
        </w:rPr>
      </w:pPr>
      <w:r>
        <w:rPr>
          <w:rFonts w:ascii="Arial" w:eastAsia="Arial" w:hAnsi="Arial" w:cs="Arial"/>
          <w:sz w:val="24"/>
          <w:szCs w:val="24"/>
        </w:rPr>
        <w:t>From: $4,299</w:t>
      </w:r>
    </w:p>
    <w:p w:rsidR="00485686" w14:paraId="55C3DD13" w14:textId="77777777">
      <w:pPr>
        <w:numPr>
          <w:ilvl w:val="1"/>
          <w:numId w:val="3"/>
        </w:numPr>
        <w:rPr>
          <w:rFonts w:ascii="Arial" w:eastAsia="Arial" w:hAnsi="Arial" w:cs="Arial"/>
          <w:sz w:val="24"/>
          <w:szCs w:val="24"/>
        </w:rPr>
      </w:pPr>
      <w:r>
        <w:rPr>
          <w:rFonts w:ascii="Arial" w:eastAsia="Arial" w:hAnsi="Arial" w:cs="Arial"/>
          <w:sz w:val="24"/>
          <w:szCs w:val="24"/>
        </w:rPr>
        <w:t>To: $25,879</w:t>
      </w:r>
    </w:p>
    <w:p w:rsidR="00485686" w14:paraId="560506D4" w14:textId="77777777">
      <w:pPr>
        <w:rPr>
          <w:rFonts w:ascii="Arial" w:eastAsia="Arial" w:hAnsi="Arial" w:cs="Arial"/>
          <w:sz w:val="24"/>
          <w:szCs w:val="24"/>
        </w:rPr>
      </w:pPr>
    </w:p>
    <w:p w:rsidR="00485686" w14:paraId="19E3E68F" w14:textId="77777777">
      <w:pPr>
        <w:widowControl w:val="0"/>
        <w:tabs>
          <w:tab w:val="left" w:pos="657"/>
        </w:tabs>
        <w:ind w:right="-720"/>
        <w:rPr>
          <w:rFonts w:ascii="Arial" w:eastAsia="Arial" w:hAnsi="Arial" w:cs="Arial"/>
          <w:b/>
          <w:sz w:val="24"/>
          <w:szCs w:val="24"/>
          <w:u w:val="single"/>
        </w:rPr>
      </w:pPr>
      <w:r>
        <w:rPr>
          <w:rFonts w:ascii="Arial" w:eastAsia="Arial" w:hAnsi="Arial" w:cs="Arial"/>
          <w:b/>
          <w:sz w:val="24"/>
          <w:szCs w:val="24"/>
          <w:u w:val="single"/>
        </w:rPr>
        <w:t>1. Need and Method for the Information Collection.</w:t>
      </w:r>
    </w:p>
    <w:p w:rsidR="00485686" w14:paraId="5710B2DF" w14:textId="77777777">
      <w:pPr>
        <w:rPr>
          <w:rFonts w:ascii="Arial" w:eastAsia="Arial" w:hAnsi="Arial" w:cs="Arial"/>
          <w:sz w:val="24"/>
          <w:szCs w:val="24"/>
        </w:rPr>
      </w:pPr>
    </w:p>
    <w:p w:rsidR="00485686" w14:paraId="36AAF452" w14:textId="77777777">
      <w:pPr>
        <w:ind w:right="-720"/>
        <w:rPr>
          <w:rFonts w:ascii="Arial" w:eastAsia="Arial" w:hAnsi="Arial" w:cs="Arial"/>
          <w:sz w:val="24"/>
          <w:szCs w:val="24"/>
        </w:rPr>
      </w:pPr>
      <w:r>
        <w:rPr>
          <w:rFonts w:ascii="Arial" w:eastAsia="Arial" w:hAnsi="Arial" w:cs="Arial"/>
          <w:sz w:val="24"/>
          <w:szCs w:val="24"/>
        </w:rPr>
        <w:t xml:space="preserve">Prior to GSA making final payment to a contractor for construction or building services, the GSAR requires that contractors must submit a release of claims to GSA for its review.  </w:t>
      </w:r>
    </w:p>
    <w:p w:rsidR="00485686" w14:paraId="576BC96D" w14:textId="77777777">
      <w:pPr>
        <w:ind w:right="-720"/>
        <w:rPr>
          <w:rFonts w:ascii="Arial" w:eastAsia="Arial" w:hAnsi="Arial" w:cs="Arial"/>
          <w:sz w:val="24"/>
          <w:szCs w:val="24"/>
        </w:rPr>
      </w:pPr>
    </w:p>
    <w:p w:rsidR="00485686" w14:paraId="5D1B3A0E" w14:textId="77777777">
      <w:pPr>
        <w:widowControl w:val="0"/>
        <w:tabs>
          <w:tab w:val="left" w:pos="657"/>
        </w:tabs>
        <w:ind w:right="-720"/>
        <w:rPr>
          <w:rFonts w:ascii="Arial" w:eastAsia="Arial" w:hAnsi="Arial" w:cs="Arial"/>
          <w:sz w:val="24"/>
          <w:szCs w:val="24"/>
        </w:rPr>
      </w:pPr>
      <w:r>
        <w:rPr>
          <w:rFonts w:ascii="Arial" w:eastAsia="Arial" w:hAnsi="Arial" w:cs="Arial"/>
          <w:sz w:val="24"/>
          <w:szCs w:val="24"/>
        </w:rPr>
        <w:t>The information collected is submitted electronically (to the maximum extent possible).</w:t>
      </w:r>
    </w:p>
    <w:p w:rsidR="00485686" w14:paraId="788F14A8" w14:textId="77777777">
      <w:pPr>
        <w:ind w:right="-720"/>
        <w:rPr>
          <w:rFonts w:ascii="Arial" w:eastAsia="Arial" w:hAnsi="Arial" w:cs="Arial"/>
          <w:sz w:val="24"/>
          <w:szCs w:val="24"/>
        </w:rPr>
      </w:pPr>
    </w:p>
    <w:p w:rsidR="00485686" w14:paraId="24186E9D" w14:textId="77777777">
      <w:pPr>
        <w:widowControl w:val="0"/>
        <w:tabs>
          <w:tab w:val="left" w:pos="657"/>
        </w:tabs>
        <w:rPr>
          <w:rFonts w:ascii="Arial" w:eastAsia="Arial" w:hAnsi="Arial" w:cs="Arial"/>
          <w:sz w:val="24"/>
          <w:szCs w:val="24"/>
        </w:rPr>
      </w:pPr>
      <w:r>
        <w:rPr>
          <w:rFonts w:ascii="Arial" w:eastAsia="Arial" w:hAnsi="Arial" w:cs="Arial"/>
          <w:sz w:val="24"/>
          <w:szCs w:val="24"/>
        </w:rPr>
        <w:t xml:space="preserve">See Item 6 below for the consequences if the information collection is not conducted or conducted less frequently.   </w:t>
      </w:r>
    </w:p>
    <w:p w:rsidR="00485686" w14:paraId="585840FE" w14:textId="77777777">
      <w:pPr>
        <w:ind w:right="-720"/>
        <w:rPr>
          <w:rFonts w:ascii="Arial" w:eastAsia="Arial" w:hAnsi="Arial" w:cs="Arial"/>
          <w:sz w:val="24"/>
          <w:szCs w:val="24"/>
        </w:rPr>
      </w:pPr>
    </w:p>
    <w:p w:rsidR="00485686" w14:paraId="4CC246CF"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2. Use of the Information.</w:t>
      </w:r>
    </w:p>
    <w:p w:rsidR="00485686" w14:paraId="54235AAD" w14:textId="77777777">
      <w:pPr>
        <w:ind w:right="-720"/>
        <w:rPr>
          <w:rFonts w:ascii="Arial" w:eastAsia="Arial" w:hAnsi="Arial" w:cs="Arial"/>
          <w:sz w:val="24"/>
          <w:szCs w:val="24"/>
        </w:rPr>
      </w:pPr>
    </w:p>
    <w:p w:rsidR="00485686" w14:paraId="6B5A72C4" w14:textId="77777777">
      <w:pPr>
        <w:ind w:right="-720"/>
        <w:rPr>
          <w:rFonts w:ascii="Arial" w:eastAsia="Arial" w:hAnsi="Arial" w:cs="Arial"/>
          <w:sz w:val="24"/>
          <w:szCs w:val="24"/>
        </w:rPr>
      </w:pPr>
      <w:r>
        <w:rPr>
          <w:rFonts w:ascii="Arial" w:eastAsia="Arial" w:hAnsi="Arial" w:cs="Arial"/>
          <w:sz w:val="24"/>
          <w:szCs w:val="24"/>
        </w:rPr>
        <w:t>GSA will use the information (via a contracting officer) to determine whether to make final payment to a contractor on a construction or building services contract.</w:t>
      </w:r>
    </w:p>
    <w:p w:rsidR="00485686" w14:paraId="07F1B3D4" w14:textId="77777777">
      <w:pPr>
        <w:ind w:right="-720"/>
        <w:rPr>
          <w:rFonts w:ascii="Arial" w:eastAsia="Arial" w:hAnsi="Arial" w:cs="Arial"/>
          <w:sz w:val="24"/>
          <w:szCs w:val="24"/>
        </w:rPr>
      </w:pPr>
    </w:p>
    <w:p w:rsidR="00485686" w14:paraId="5E8C91C6"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3. Use of Information Technology.</w:t>
      </w:r>
    </w:p>
    <w:p w:rsidR="00485686" w14:paraId="51C136E4" w14:textId="77777777">
      <w:pPr>
        <w:widowControl w:val="0"/>
        <w:tabs>
          <w:tab w:val="left" w:pos="657"/>
        </w:tabs>
        <w:rPr>
          <w:rFonts w:ascii="Arial" w:eastAsia="Arial" w:hAnsi="Arial" w:cs="Arial"/>
          <w:sz w:val="24"/>
          <w:szCs w:val="24"/>
        </w:rPr>
      </w:pPr>
    </w:p>
    <w:p w:rsidR="00485686" w14:paraId="7C639A1F" w14:textId="77777777">
      <w:pPr>
        <w:tabs>
          <w:tab w:val="left" w:pos="90"/>
        </w:tabs>
        <w:ind w:right="-720"/>
        <w:rPr>
          <w:rFonts w:ascii="Arial" w:eastAsia="Arial" w:hAnsi="Arial" w:cs="Arial"/>
          <w:sz w:val="24"/>
          <w:szCs w:val="24"/>
        </w:rPr>
      </w:pPr>
      <w:r>
        <w:rPr>
          <w:rFonts w:ascii="Arial" w:eastAsia="Arial" w:hAnsi="Arial" w:cs="Arial"/>
          <w:sz w:val="24"/>
          <w:szCs w:val="24"/>
        </w:rPr>
        <w:t xml:space="preserve">GSA continues to improve and expand the use of information technology to the maximum extent practicable. Where both the Government and the contractor are capable of electronic interchange, these information collection requirements may be submitted electronically. </w:t>
      </w:r>
    </w:p>
    <w:p w:rsidR="00485686" w14:paraId="141C9A8A" w14:textId="77777777">
      <w:pPr>
        <w:tabs>
          <w:tab w:val="left" w:pos="90"/>
        </w:tabs>
        <w:ind w:right="-720"/>
        <w:rPr>
          <w:rFonts w:ascii="Arial" w:eastAsia="Arial" w:hAnsi="Arial" w:cs="Arial"/>
          <w:sz w:val="24"/>
          <w:szCs w:val="24"/>
        </w:rPr>
      </w:pPr>
    </w:p>
    <w:p w:rsidR="00485686" w14:paraId="28615C9A"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4. Non-duplication.</w:t>
      </w:r>
    </w:p>
    <w:p w:rsidR="00485686" w14:paraId="3A2A49D3" w14:textId="77777777">
      <w:pPr>
        <w:widowControl w:val="0"/>
        <w:tabs>
          <w:tab w:val="left" w:pos="657"/>
        </w:tabs>
        <w:rPr>
          <w:rFonts w:ascii="Arial" w:eastAsia="Arial" w:hAnsi="Arial" w:cs="Arial"/>
          <w:sz w:val="24"/>
          <w:szCs w:val="24"/>
        </w:rPr>
      </w:pPr>
    </w:p>
    <w:p w:rsidR="00485686" w14:paraId="035F013E" w14:textId="77777777">
      <w:pPr>
        <w:widowControl w:val="0"/>
        <w:tabs>
          <w:tab w:val="left" w:pos="657"/>
        </w:tabs>
        <w:rPr>
          <w:rFonts w:ascii="Arial" w:eastAsia="Arial" w:hAnsi="Arial" w:cs="Arial"/>
          <w:sz w:val="24"/>
          <w:szCs w:val="24"/>
        </w:rPr>
      </w:pPr>
      <w:r>
        <w:rPr>
          <w:rFonts w:ascii="Arial" w:eastAsia="Arial" w:hAnsi="Arial" w:cs="Arial"/>
          <w:sz w:val="24"/>
          <w:szCs w:val="24"/>
        </w:rPr>
        <w:t>GSA did not identify any duplication of information being collected. GSA’s review did not identify any similar data.</w:t>
      </w:r>
    </w:p>
    <w:p w:rsidR="00485686" w14:paraId="6EBF55FA" w14:textId="77777777">
      <w:pPr>
        <w:widowControl w:val="0"/>
        <w:tabs>
          <w:tab w:val="left" w:pos="657"/>
        </w:tabs>
        <w:rPr>
          <w:rFonts w:ascii="Roboto" w:eastAsia="Roboto" w:hAnsi="Roboto" w:cs="Roboto"/>
          <w:color w:val="444746"/>
          <w:sz w:val="21"/>
          <w:szCs w:val="21"/>
        </w:rPr>
      </w:pPr>
    </w:p>
    <w:p w:rsidR="00485686" w14:paraId="3D524956"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5. Burden on Small Business.</w:t>
      </w:r>
    </w:p>
    <w:p w:rsidR="00485686" w14:paraId="18D44947" w14:textId="77777777">
      <w:pPr>
        <w:widowControl w:val="0"/>
        <w:tabs>
          <w:tab w:val="left" w:pos="657"/>
        </w:tabs>
        <w:rPr>
          <w:rFonts w:ascii="Arial" w:eastAsia="Arial" w:hAnsi="Arial" w:cs="Arial"/>
          <w:sz w:val="24"/>
          <w:szCs w:val="24"/>
        </w:rPr>
      </w:pPr>
    </w:p>
    <w:p w:rsidR="00485686" w14:paraId="230BE4E3" w14:textId="77777777">
      <w:pPr>
        <w:widowControl w:val="0"/>
        <w:tabs>
          <w:tab w:val="left" w:pos="657"/>
        </w:tabs>
        <w:rPr>
          <w:rFonts w:ascii="Arial" w:eastAsia="Arial" w:hAnsi="Arial" w:cs="Arial"/>
          <w:sz w:val="24"/>
          <w:szCs w:val="24"/>
        </w:rPr>
      </w:pPr>
      <w:r>
        <w:rPr>
          <w:rFonts w:ascii="Arial" w:eastAsia="Arial" w:hAnsi="Arial" w:cs="Arial"/>
          <w:sz w:val="24"/>
          <w:szCs w:val="24"/>
        </w:rPr>
        <w:t xml:space="preserve">The collections associated with small businesses are the minimum consistent with applicable laws, executive orders, and prudent business practices. The nature of the reporting requirements precludes reducing the information collection burden for small businesses. </w:t>
      </w:r>
    </w:p>
    <w:p w:rsidR="00485686" w14:paraId="1A58A5DE" w14:textId="77777777">
      <w:pPr>
        <w:widowControl w:val="0"/>
        <w:tabs>
          <w:tab w:val="left" w:pos="657"/>
        </w:tabs>
        <w:rPr>
          <w:rFonts w:ascii="Arial" w:eastAsia="Arial" w:hAnsi="Arial" w:cs="Arial"/>
          <w:sz w:val="24"/>
          <w:szCs w:val="24"/>
        </w:rPr>
      </w:pPr>
    </w:p>
    <w:p w:rsidR="00485686" w14:paraId="55E0017A"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6. Less Frequent Collection.</w:t>
      </w:r>
    </w:p>
    <w:p w:rsidR="00485686" w14:paraId="0DA57845" w14:textId="77777777">
      <w:pPr>
        <w:widowControl w:val="0"/>
        <w:tabs>
          <w:tab w:val="left" w:pos="657"/>
        </w:tabs>
        <w:rPr>
          <w:rFonts w:ascii="Arial" w:eastAsia="Arial" w:hAnsi="Arial" w:cs="Arial"/>
          <w:sz w:val="24"/>
          <w:szCs w:val="24"/>
        </w:rPr>
      </w:pPr>
    </w:p>
    <w:p w:rsidR="00485686" w14:paraId="2003A577" w14:textId="77777777">
      <w:pPr>
        <w:ind w:right="-720"/>
        <w:rPr>
          <w:rFonts w:ascii="Arial" w:eastAsia="Arial" w:hAnsi="Arial" w:cs="Arial"/>
          <w:sz w:val="26"/>
          <w:szCs w:val="26"/>
        </w:rPr>
      </w:pPr>
      <w:r>
        <w:rPr>
          <w:rFonts w:ascii="Arial" w:eastAsia="Arial" w:hAnsi="Arial" w:cs="Arial"/>
          <w:sz w:val="24"/>
          <w:szCs w:val="24"/>
        </w:rPr>
        <w:t>Collection of the information on a basis other than per contract is not practicable. GSA Form 1142, Release of Claims, is used to achieve uniformity and consistency in the release of claims process. Completion of GSA Form 1142, Release of Claims, ensures that construction and building services contractors are paid in accordance with their contract requirements and for work performed.</w:t>
      </w:r>
    </w:p>
    <w:p w:rsidR="00485686" w14:paraId="46EF9B20" w14:textId="77777777">
      <w:pPr>
        <w:widowControl w:val="0"/>
        <w:tabs>
          <w:tab w:val="left" w:pos="657"/>
        </w:tabs>
        <w:rPr>
          <w:rFonts w:ascii="Arial" w:eastAsia="Arial" w:hAnsi="Arial" w:cs="Arial"/>
          <w:sz w:val="24"/>
          <w:szCs w:val="24"/>
        </w:rPr>
      </w:pPr>
      <w:r>
        <w:rPr>
          <w:rFonts w:ascii="Arial" w:eastAsia="Arial" w:hAnsi="Arial" w:cs="Arial"/>
          <w:sz w:val="24"/>
          <w:szCs w:val="24"/>
        </w:rPr>
        <w:t xml:space="preserve"> </w:t>
      </w:r>
    </w:p>
    <w:p w:rsidR="00485686" w14:paraId="711EECBE"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7. Paperwork Reduction Act Guidelines.</w:t>
      </w:r>
    </w:p>
    <w:p w:rsidR="00485686" w14:paraId="4A6D3839" w14:textId="77777777">
      <w:pPr>
        <w:widowControl w:val="0"/>
        <w:tabs>
          <w:tab w:val="left" w:pos="657"/>
        </w:tabs>
        <w:rPr>
          <w:rFonts w:ascii="Arial" w:eastAsia="Arial" w:hAnsi="Arial" w:cs="Arial"/>
          <w:sz w:val="24"/>
          <w:szCs w:val="24"/>
        </w:rPr>
      </w:pPr>
    </w:p>
    <w:p w:rsidR="00485686" w14:paraId="5B12BEA5" w14:textId="77777777">
      <w:pPr>
        <w:widowControl w:val="0"/>
        <w:tabs>
          <w:tab w:val="left" w:pos="657"/>
        </w:tabs>
        <w:rPr>
          <w:rFonts w:ascii="Arial" w:eastAsia="Arial" w:hAnsi="Arial" w:cs="Arial"/>
          <w:sz w:val="24"/>
          <w:szCs w:val="24"/>
        </w:rPr>
      </w:pPr>
      <w:r>
        <w:rPr>
          <w:rFonts w:ascii="Arial" w:eastAsia="Arial" w:hAnsi="Arial" w:cs="Arial"/>
          <w:sz w:val="24"/>
          <w:szCs w:val="24"/>
        </w:rPr>
        <w:t>Not applicable, no special circumstances exist for this information collection.</w:t>
      </w:r>
    </w:p>
    <w:p w:rsidR="00485686" w14:paraId="792894E8" w14:textId="77777777">
      <w:pPr>
        <w:widowControl w:val="0"/>
        <w:tabs>
          <w:tab w:val="left" w:pos="657"/>
        </w:tabs>
        <w:rPr>
          <w:rFonts w:ascii="Arial" w:eastAsia="Arial" w:hAnsi="Arial" w:cs="Arial"/>
          <w:sz w:val="24"/>
          <w:szCs w:val="24"/>
        </w:rPr>
      </w:pPr>
    </w:p>
    <w:p w:rsidR="00485686" w14:paraId="24E587BC"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8. Consultation and Public Comments.</w:t>
      </w:r>
    </w:p>
    <w:p w:rsidR="00485686" w14:paraId="14951017" w14:textId="77777777">
      <w:pPr>
        <w:widowControl w:val="0"/>
        <w:tabs>
          <w:tab w:val="left" w:pos="657"/>
        </w:tabs>
        <w:rPr>
          <w:rFonts w:ascii="Arial" w:eastAsia="Arial" w:hAnsi="Arial" w:cs="Arial"/>
          <w:sz w:val="24"/>
          <w:szCs w:val="24"/>
        </w:rPr>
      </w:pPr>
    </w:p>
    <w:p w:rsidR="00485686" w14:paraId="7CC90DE2" w14:textId="17470F5C">
      <w:pPr>
        <w:widowControl w:val="0"/>
        <w:tabs>
          <w:tab w:val="left" w:pos="657"/>
        </w:tabs>
        <w:rPr>
          <w:rFonts w:ascii="Arial" w:eastAsia="Arial" w:hAnsi="Arial" w:cs="Arial"/>
          <w:sz w:val="24"/>
          <w:szCs w:val="24"/>
        </w:rPr>
      </w:pPr>
      <w:r w:rsidRPr="000D21E1">
        <w:rPr>
          <w:rFonts w:ascii="Arial" w:eastAsia="Arial" w:hAnsi="Arial" w:cs="Arial"/>
          <w:sz w:val="24"/>
          <w:szCs w:val="24"/>
        </w:rPr>
        <w:t xml:space="preserve">A 60-day notice was published in the </w:t>
      </w:r>
      <w:r w:rsidRPr="000D21E1">
        <w:rPr>
          <w:rFonts w:ascii="Arial" w:eastAsia="Arial" w:hAnsi="Arial" w:cs="Arial"/>
          <w:i/>
          <w:iCs/>
          <w:sz w:val="24"/>
          <w:szCs w:val="24"/>
        </w:rPr>
        <w:t>Federal Register</w:t>
      </w:r>
      <w:r w:rsidRPr="000D21E1">
        <w:rPr>
          <w:rFonts w:ascii="Arial" w:eastAsia="Arial" w:hAnsi="Arial" w:cs="Arial"/>
          <w:sz w:val="24"/>
          <w:szCs w:val="24"/>
        </w:rPr>
        <w:t xml:space="preserve"> at 89 FR 42470 on May 15, 2024. No comments were received.</w:t>
      </w:r>
      <w:r w:rsidR="00D26FB9">
        <w:rPr>
          <w:rFonts w:ascii="Arial" w:eastAsia="Arial" w:hAnsi="Arial" w:cs="Arial"/>
          <w:sz w:val="24"/>
          <w:szCs w:val="24"/>
        </w:rPr>
        <w:t xml:space="preserve"> A 30-day notice published in </w:t>
      </w:r>
      <w:r w:rsidRPr="00D26FB9" w:rsidR="00D26FB9">
        <w:rPr>
          <w:rFonts w:ascii="Arial" w:eastAsia="Arial" w:hAnsi="Arial" w:cs="Arial"/>
          <w:i/>
          <w:iCs/>
          <w:sz w:val="24"/>
          <w:szCs w:val="24"/>
        </w:rPr>
        <w:t>the Federal Register</w:t>
      </w:r>
      <w:r w:rsidR="00D26FB9">
        <w:rPr>
          <w:rFonts w:ascii="Arial" w:eastAsia="Arial" w:hAnsi="Arial" w:cs="Arial"/>
          <w:sz w:val="24"/>
          <w:szCs w:val="24"/>
        </w:rPr>
        <w:t xml:space="preserve"> at 89 FR 62746 on August 1, 2024. </w:t>
      </w:r>
    </w:p>
    <w:p w:rsidR="000D21E1" w14:paraId="4F65CC48" w14:textId="77777777">
      <w:pPr>
        <w:widowControl w:val="0"/>
        <w:tabs>
          <w:tab w:val="left" w:pos="657"/>
        </w:tabs>
        <w:rPr>
          <w:rFonts w:ascii="Arial" w:eastAsia="Arial" w:hAnsi="Arial" w:cs="Arial"/>
          <w:sz w:val="24"/>
          <w:szCs w:val="24"/>
        </w:rPr>
      </w:pPr>
    </w:p>
    <w:p w:rsidR="00485686" w14:paraId="48268672"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9. Gifts or Payment.</w:t>
      </w:r>
    </w:p>
    <w:p w:rsidR="00485686" w14:paraId="09009A42" w14:textId="77777777">
      <w:pPr>
        <w:widowControl w:val="0"/>
        <w:tabs>
          <w:tab w:val="left" w:pos="657"/>
        </w:tabs>
        <w:rPr>
          <w:rFonts w:ascii="Arial" w:eastAsia="Arial" w:hAnsi="Arial" w:cs="Arial"/>
          <w:sz w:val="24"/>
          <w:szCs w:val="24"/>
        </w:rPr>
      </w:pPr>
    </w:p>
    <w:p w:rsidR="00485686" w14:paraId="772A9D75" w14:textId="77777777">
      <w:pPr>
        <w:widowControl w:val="0"/>
        <w:tabs>
          <w:tab w:val="left" w:pos="657"/>
        </w:tabs>
        <w:rPr>
          <w:rFonts w:ascii="Arial" w:eastAsia="Arial" w:hAnsi="Arial" w:cs="Arial"/>
          <w:sz w:val="24"/>
          <w:szCs w:val="24"/>
        </w:rPr>
      </w:pPr>
      <w:r>
        <w:rPr>
          <w:rFonts w:ascii="Arial" w:eastAsia="Arial" w:hAnsi="Arial" w:cs="Arial"/>
          <w:sz w:val="24"/>
          <w:szCs w:val="24"/>
        </w:rPr>
        <w:t>Not applicable, GSA makes no such payments or gifts to respondents under this information collection.</w:t>
      </w:r>
    </w:p>
    <w:p w:rsidR="00485686" w14:paraId="38E77649" w14:textId="77777777">
      <w:pPr>
        <w:widowControl w:val="0"/>
        <w:tabs>
          <w:tab w:val="left" w:pos="657"/>
        </w:tabs>
        <w:rPr>
          <w:rFonts w:ascii="Arial" w:eastAsia="Arial" w:hAnsi="Arial" w:cs="Arial"/>
          <w:sz w:val="24"/>
          <w:szCs w:val="24"/>
        </w:rPr>
      </w:pPr>
    </w:p>
    <w:p w:rsidR="00485686" w14:paraId="22B18DD6"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10. Privacy and Confidentiality.</w:t>
      </w:r>
    </w:p>
    <w:p w:rsidR="00485686" w14:paraId="109B10E1" w14:textId="77777777">
      <w:pPr>
        <w:widowControl w:val="0"/>
        <w:tabs>
          <w:tab w:val="left" w:pos="657"/>
        </w:tabs>
        <w:rPr>
          <w:rFonts w:ascii="Arial" w:eastAsia="Arial" w:hAnsi="Arial" w:cs="Arial"/>
          <w:sz w:val="24"/>
          <w:szCs w:val="24"/>
        </w:rPr>
      </w:pPr>
    </w:p>
    <w:p w:rsidR="00485686" w14:paraId="27E33BD1" w14:textId="77777777">
      <w:pPr>
        <w:widowControl w:val="0"/>
        <w:tabs>
          <w:tab w:val="left" w:pos="657"/>
        </w:tabs>
        <w:rPr>
          <w:rFonts w:ascii="Arial" w:eastAsia="Arial" w:hAnsi="Arial" w:cs="Arial"/>
          <w:sz w:val="24"/>
          <w:szCs w:val="24"/>
        </w:rPr>
      </w:pPr>
      <w:r>
        <w:rPr>
          <w:rFonts w:ascii="Arial" w:eastAsia="Arial" w:hAnsi="Arial" w:cs="Arial"/>
          <w:sz w:val="24"/>
          <w:szCs w:val="24"/>
        </w:rPr>
        <w:t>Not applicable, GSA makes no additional assurances under this information collection beyond what is already applicable to contract information (i.e., information collected is disclosed only to the extent consistent with prudent business practices, agency regulations, and applicable statutes).</w:t>
      </w:r>
    </w:p>
    <w:p w:rsidR="00485686" w14:paraId="537A7D9E" w14:textId="77777777">
      <w:pPr>
        <w:widowControl w:val="0"/>
        <w:tabs>
          <w:tab w:val="left" w:pos="657"/>
        </w:tabs>
        <w:rPr>
          <w:rFonts w:ascii="Arial" w:eastAsia="Arial" w:hAnsi="Arial" w:cs="Arial"/>
          <w:sz w:val="24"/>
          <w:szCs w:val="24"/>
        </w:rPr>
      </w:pPr>
    </w:p>
    <w:p w:rsidR="00485686" w14:paraId="1D31F52F"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11. Sensitive Questions.</w:t>
      </w:r>
    </w:p>
    <w:p w:rsidR="00485686" w14:paraId="2097DD4C" w14:textId="77777777">
      <w:pPr>
        <w:widowControl w:val="0"/>
        <w:tabs>
          <w:tab w:val="left" w:pos="657"/>
        </w:tabs>
        <w:rPr>
          <w:rFonts w:ascii="Arial" w:eastAsia="Arial" w:hAnsi="Arial" w:cs="Arial"/>
          <w:sz w:val="24"/>
          <w:szCs w:val="24"/>
        </w:rPr>
      </w:pPr>
    </w:p>
    <w:p w:rsidR="00485686" w14:paraId="7D11828C" w14:textId="77777777">
      <w:pPr>
        <w:widowControl w:val="0"/>
        <w:tabs>
          <w:tab w:val="left" w:pos="657"/>
        </w:tabs>
        <w:rPr>
          <w:rFonts w:ascii="Arial" w:eastAsia="Arial" w:hAnsi="Arial" w:cs="Arial"/>
          <w:sz w:val="24"/>
          <w:szCs w:val="24"/>
        </w:rPr>
      </w:pPr>
      <w:r>
        <w:rPr>
          <w:rFonts w:ascii="Arial" w:eastAsia="Arial" w:hAnsi="Arial" w:cs="Arial"/>
          <w:sz w:val="24"/>
          <w:szCs w:val="24"/>
        </w:rPr>
        <w:t>Not applicable, no sensitive questions are involved under this information collection.</w:t>
      </w:r>
    </w:p>
    <w:p w:rsidR="00485686" w14:paraId="23CA422D" w14:textId="77777777">
      <w:pPr>
        <w:widowControl w:val="0"/>
        <w:tabs>
          <w:tab w:val="left" w:pos="657"/>
        </w:tabs>
        <w:rPr>
          <w:rFonts w:ascii="Arial" w:eastAsia="Arial" w:hAnsi="Arial" w:cs="Arial"/>
          <w:sz w:val="24"/>
          <w:szCs w:val="24"/>
        </w:rPr>
      </w:pPr>
    </w:p>
    <w:p w:rsidR="00485686" w14:paraId="21598201"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12. Burden Estimate.</w:t>
      </w:r>
    </w:p>
    <w:p w:rsidR="00485686" w14:paraId="01DD290C" w14:textId="77777777">
      <w:pPr>
        <w:widowControl w:val="0"/>
        <w:tabs>
          <w:tab w:val="left" w:pos="657"/>
        </w:tabs>
        <w:rPr>
          <w:rFonts w:ascii="Arial" w:eastAsia="Arial" w:hAnsi="Arial" w:cs="Arial"/>
          <w:sz w:val="24"/>
          <w:szCs w:val="24"/>
        </w:rPr>
      </w:pPr>
    </w:p>
    <w:p w:rsidR="00485686" w14:paraId="1C7C6C2E" w14:textId="77777777">
      <w:pPr>
        <w:ind w:right="-720"/>
        <w:rPr>
          <w:rFonts w:ascii="Arial" w:eastAsia="Arial" w:hAnsi="Arial" w:cs="Arial"/>
          <w:sz w:val="24"/>
          <w:szCs w:val="24"/>
        </w:rPr>
      </w:pPr>
      <w:r>
        <w:rPr>
          <w:rFonts w:ascii="Arial" w:eastAsia="Arial" w:hAnsi="Arial" w:cs="Arial"/>
          <w:sz w:val="24"/>
          <w:szCs w:val="24"/>
        </w:rPr>
        <w:t>GSA based the estimated burden of the collection of information on information obtained from the Federal Data Procurement System (FPDS) averaged for Fiscal Years 2021-2023. The data was limited to contracts for “building services” and “construction”, to capture those contracts which drive the use of GSA Form 1142 for the release of claims.</w:t>
      </w:r>
    </w:p>
    <w:p w:rsidR="00485686" w14:paraId="6C4EEABD" w14:textId="77777777">
      <w:pPr>
        <w:ind w:right="-720"/>
        <w:rPr>
          <w:rFonts w:ascii="Arial" w:eastAsia="Arial" w:hAnsi="Arial" w:cs="Arial"/>
          <w:sz w:val="24"/>
          <w:szCs w:val="24"/>
        </w:rPr>
      </w:pPr>
    </w:p>
    <w:p w:rsidR="00485686" w14:paraId="2A905730" w14:textId="77777777">
      <w:pPr>
        <w:ind w:right="-720"/>
        <w:rPr>
          <w:rFonts w:ascii="Arial" w:eastAsia="Arial" w:hAnsi="Arial" w:cs="Arial"/>
          <w:sz w:val="24"/>
          <w:szCs w:val="24"/>
        </w:rPr>
      </w:pPr>
      <w:r>
        <w:rPr>
          <w:rFonts w:ascii="Arial" w:eastAsia="Arial" w:hAnsi="Arial" w:cs="Arial"/>
          <w:sz w:val="24"/>
          <w:szCs w:val="24"/>
        </w:rPr>
        <w:t xml:space="preserve">Because GSA Form 1142 is submitted </w:t>
      </w:r>
      <w:r>
        <w:rPr>
          <w:rFonts w:ascii="Arial" w:eastAsia="Arial" w:hAnsi="Arial" w:cs="Arial"/>
          <w:sz w:val="24"/>
          <w:szCs w:val="24"/>
        </w:rPr>
        <w:t>in order to</w:t>
      </w:r>
      <w:r>
        <w:rPr>
          <w:rFonts w:ascii="Arial" w:eastAsia="Arial" w:hAnsi="Arial" w:cs="Arial"/>
          <w:sz w:val="24"/>
          <w:szCs w:val="24"/>
        </w:rPr>
        <w:t xml:space="preserve"> release final payment to a contractor, it is expected that each respondent will only provide 1 response, and such response will take minimum effort (6 minutes or 1/10th of an hour). This estimate is unchanged from the most recent information collection renewal because the online form has been in use since then and there are no other material changes. </w:t>
      </w:r>
    </w:p>
    <w:p w:rsidR="00485686" w14:paraId="7E6D9018" w14:textId="77777777">
      <w:pPr>
        <w:ind w:right="-720"/>
        <w:rPr>
          <w:rFonts w:ascii="Arial" w:eastAsia="Arial" w:hAnsi="Arial" w:cs="Arial"/>
          <w:sz w:val="24"/>
          <w:szCs w:val="24"/>
        </w:rPr>
      </w:pPr>
    </w:p>
    <w:p w:rsidR="00485686" w14:paraId="4C3DE9BF" w14:textId="77777777">
      <w:pPr>
        <w:ind w:right="-720"/>
        <w:rPr>
          <w:rFonts w:ascii="Arial" w:eastAsia="Arial" w:hAnsi="Arial" w:cs="Arial"/>
          <w:sz w:val="24"/>
          <w:szCs w:val="24"/>
        </w:rPr>
      </w:pPr>
      <w:r>
        <w:rPr>
          <w:rFonts w:ascii="Arial" w:eastAsia="Arial" w:hAnsi="Arial" w:cs="Arial"/>
          <w:sz w:val="24"/>
          <w:szCs w:val="24"/>
        </w:rPr>
        <w:t xml:space="preserve">The burden addressed in this information collection requirement is the burden of developing, preparing, and submitting the required information. The information requested on GSA Form 1142 is not of a special nature. It falls into the category of customary and usual business practice. </w:t>
      </w:r>
    </w:p>
    <w:p w:rsidR="00485686" w14:paraId="7E3D1621" w14:textId="77777777">
      <w:pPr>
        <w:tabs>
          <w:tab w:val="left" w:pos="6570"/>
        </w:tabs>
        <w:ind w:right="-720"/>
        <w:rPr>
          <w:rFonts w:ascii="Arial" w:eastAsia="Arial" w:hAnsi="Arial" w:cs="Arial"/>
          <w:sz w:val="24"/>
          <w:szCs w:val="24"/>
        </w:rPr>
      </w:pPr>
    </w:p>
    <w:p w:rsidR="00485686" w14:paraId="0886F6B7" w14:textId="77777777">
      <w:pPr>
        <w:tabs>
          <w:tab w:val="left" w:pos="6570"/>
        </w:tabs>
        <w:ind w:right="-720"/>
        <w:rPr>
          <w:rFonts w:ascii="Arial" w:eastAsia="Arial" w:hAnsi="Arial" w:cs="Arial"/>
          <w:sz w:val="24"/>
          <w:szCs w:val="24"/>
        </w:rPr>
      </w:pPr>
      <w:r>
        <w:rPr>
          <w:rFonts w:ascii="Arial" w:eastAsia="Arial" w:hAnsi="Arial" w:cs="Arial"/>
          <w:sz w:val="24"/>
          <w:szCs w:val="24"/>
        </w:rPr>
        <w:t>Estimated Respondents Per Year:</w:t>
      </w:r>
      <w:r>
        <w:rPr>
          <w:rFonts w:ascii="Arial" w:eastAsia="Arial" w:hAnsi="Arial" w:cs="Arial"/>
          <w:sz w:val="24"/>
          <w:szCs w:val="24"/>
        </w:rPr>
        <w:tab/>
        <w:t>1,427</w:t>
      </w:r>
    </w:p>
    <w:p w:rsidR="00485686" w14:paraId="3CB36E5F" w14:textId="77777777">
      <w:pPr>
        <w:tabs>
          <w:tab w:val="left" w:pos="6570"/>
        </w:tabs>
        <w:ind w:right="-720"/>
        <w:rPr>
          <w:rFonts w:ascii="Arial" w:eastAsia="Arial" w:hAnsi="Arial" w:cs="Arial"/>
          <w:sz w:val="24"/>
          <w:szCs w:val="24"/>
          <w:u w:val="single"/>
        </w:rPr>
      </w:pPr>
      <w:r>
        <w:rPr>
          <w:rFonts w:ascii="Arial" w:eastAsia="Arial" w:hAnsi="Arial" w:cs="Arial"/>
          <w:sz w:val="24"/>
          <w:szCs w:val="24"/>
        </w:rPr>
        <w:t>Estimated Responses Per Respondent:</w:t>
      </w:r>
      <w:r>
        <w:rPr>
          <w:rFonts w:ascii="Arial" w:eastAsia="Arial" w:hAnsi="Arial" w:cs="Arial"/>
          <w:sz w:val="24"/>
          <w:szCs w:val="24"/>
        </w:rPr>
        <w:tab/>
      </w:r>
      <w:r>
        <w:rPr>
          <w:rFonts w:ascii="Arial" w:eastAsia="Arial" w:hAnsi="Arial" w:cs="Arial"/>
          <w:sz w:val="24"/>
          <w:szCs w:val="24"/>
          <w:u w:val="single"/>
        </w:rPr>
        <w:t>x  1.0</w:t>
      </w:r>
    </w:p>
    <w:p w:rsidR="00485686" w14:paraId="4A9E0C93" w14:textId="77777777">
      <w:pPr>
        <w:tabs>
          <w:tab w:val="left" w:pos="6570"/>
        </w:tabs>
        <w:ind w:right="-720"/>
        <w:rPr>
          <w:rFonts w:ascii="Arial" w:eastAsia="Arial" w:hAnsi="Arial" w:cs="Arial"/>
          <w:sz w:val="24"/>
          <w:szCs w:val="24"/>
        </w:rPr>
      </w:pPr>
      <w:r>
        <w:rPr>
          <w:rFonts w:ascii="Arial" w:eastAsia="Arial" w:hAnsi="Arial" w:cs="Arial"/>
          <w:sz w:val="24"/>
          <w:szCs w:val="24"/>
        </w:rPr>
        <w:t>Total Annual Responses:</w:t>
      </w:r>
      <w:r>
        <w:rPr>
          <w:rFonts w:ascii="Arial" w:eastAsia="Arial" w:hAnsi="Arial" w:cs="Arial"/>
          <w:sz w:val="24"/>
          <w:szCs w:val="24"/>
        </w:rPr>
        <w:tab/>
        <w:t>1,427</w:t>
      </w:r>
    </w:p>
    <w:p w:rsidR="00485686" w14:paraId="2C5549FB" w14:textId="77777777">
      <w:pPr>
        <w:tabs>
          <w:tab w:val="left" w:pos="6570"/>
        </w:tabs>
        <w:ind w:right="-720"/>
        <w:rPr>
          <w:rFonts w:ascii="Arial" w:eastAsia="Arial" w:hAnsi="Arial" w:cs="Arial"/>
          <w:sz w:val="24"/>
          <w:szCs w:val="24"/>
          <w:u w:val="single"/>
        </w:rPr>
      </w:pPr>
      <w:r>
        <w:rPr>
          <w:rFonts w:ascii="Arial" w:eastAsia="Arial" w:hAnsi="Arial" w:cs="Arial"/>
          <w:sz w:val="24"/>
          <w:szCs w:val="24"/>
        </w:rPr>
        <w:t>Estimated Burden Hours Per Response:</w:t>
      </w:r>
      <w:r>
        <w:rPr>
          <w:rFonts w:ascii="Arial" w:eastAsia="Arial" w:hAnsi="Arial" w:cs="Arial"/>
          <w:sz w:val="24"/>
          <w:szCs w:val="24"/>
        </w:rPr>
        <w:tab/>
      </w:r>
      <w:r>
        <w:rPr>
          <w:rFonts w:ascii="Arial" w:eastAsia="Arial" w:hAnsi="Arial" w:cs="Arial"/>
          <w:sz w:val="24"/>
          <w:szCs w:val="24"/>
          <w:u w:val="single"/>
        </w:rPr>
        <w:t>x  0.50</w:t>
      </w:r>
    </w:p>
    <w:p w:rsidR="00485686" w14:paraId="5F03EF35" w14:textId="77777777">
      <w:pPr>
        <w:tabs>
          <w:tab w:val="left" w:pos="6570"/>
        </w:tabs>
        <w:ind w:right="-720"/>
        <w:rPr>
          <w:rFonts w:ascii="Arial" w:eastAsia="Arial" w:hAnsi="Arial" w:cs="Arial"/>
          <w:sz w:val="24"/>
          <w:szCs w:val="24"/>
        </w:rPr>
      </w:pPr>
      <w:r>
        <w:rPr>
          <w:rFonts w:ascii="Arial" w:eastAsia="Arial" w:hAnsi="Arial" w:cs="Arial"/>
          <w:sz w:val="24"/>
          <w:szCs w:val="24"/>
        </w:rPr>
        <w:t>Total Response Burden Hours:</w:t>
      </w:r>
      <w:r>
        <w:rPr>
          <w:rFonts w:ascii="Arial" w:eastAsia="Arial" w:hAnsi="Arial" w:cs="Arial"/>
          <w:sz w:val="24"/>
          <w:szCs w:val="24"/>
        </w:rPr>
        <w:tab/>
        <w:t>713.50</w:t>
      </w:r>
    </w:p>
    <w:p w:rsidR="00485686" w14:paraId="34FCB9F8" w14:textId="77777777">
      <w:pPr>
        <w:tabs>
          <w:tab w:val="left" w:pos="6570"/>
        </w:tabs>
        <w:ind w:right="-720"/>
        <w:rPr>
          <w:rFonts w:ascii="Arial" w:eastAsia="Arial" w:hAnsi="Arial" w:cs="Arial"/>
          <w:sz w:val="24"/>
          <w:szCs w:val="24"/>
          <w:u w:val="single"/>
        </w:rPr>
      </w:pPr>
      <w:r>
        <w:rPr>
          <w:rFonts w:ascii="Arial" w:eastAsia="Arial" w:hAnsi="Arial" w:cs="Arial"/>
          <w:sz w:val="24"/>
          <w:szCs w:val="24"/>
        </w:rPr>
        <w:t>Estimated Cost Per Hour:</w:t>
      </w:r>
      <w:r>
        <w:rPr>
          <w:rFonts w:ascii="Arial" w:eastAsia="Arial" w:hAnsi="Arial" w:cs="Arial"/>
          <w:sz w:val="24"/>
          <w:szCs w:val="24"/>
        </w:rPr>
        <w:tab/>
      </w:r>
      <w:r>
        <w:rPr>
          <w:rFonts w:ascii="Arial" w:eastAsia="Arial" w:hAnsi="Arial" w:cs="Arial"/>
          <w:sz w:val="24"/>
          <w:szCs w:val="24"/>
          <w:u w:val="single"/>
        </w:rPr>
        <w:t>x $29.28*</w:t>
      </w:r>
    </w:p>
    <w:p w:rsidR="00485686" w14:paraId="5E772048" w14:textId="77777777">
      <w:pPr>
        <w:pStyle w:val="Heading4"/>
        <w:keepNext w:val="0"/>
        <w:keepLines w:val="0"/>
        <w:tabs>
          <w:tab w:val="left" w:pos="6570"/>
        </w:tabs>
        <w:spacing w:before="0" w:after="0"/>
        <w:ind w:right="-720"/>
        <w:rPr>
          <w:rFonts w:ascii="Arial" w:eastAsia="Arial" w:hAnsi="Arial" w:cs="Arial"/>
          <w:b w:val="0"/>
        </w:rPr>
      </w:pPr>
      <w:bookmarkStart w:id="0" w:name="_r7dh9rt37frq" w:colFirst="0" w:colLast="0"/>
      <w:bookmarkEnd w:id="0"/>
      <w:r>
        <w:rPr>
          <w:rFonts w:ascii="Arial" w:eastAsia="Arial" w:hAnsi="Arial" w:cs="Arial"/>
          <w:b w:val="0"/>
        </w:rPr>
        <w:t>Total Estimated Annual Cost Burden:</w:t>
      </w:r>
      <w:r>
        <w:rPr>
          <w:rFonts w:ascii="Arial" w:eastAsia="Arial" w:hAnsi="Arial" w:cs="Arial"/>
          <w:b w:val="0"/>
        </w:rPr>
        <w:tab/>
        <w:t>$20,891.28</w:t>
      </w:r>
    </w:p>
    <w:p w:rsidR="00485686" w14:paraId="1B1E450C" w14:textId="77777777">
      <w:pPr>
        <w:ind w:right="-720"/>
        <w:rPr>
          <w:rFonts w:ascii="Arial" w:eastAsia="Arial" w:hAnsi="Arial" w:cs="Arial"/>
          <w:sz w:val="24"/>
          <w:szCs w:val="24"/>
        </w:rPr>
      </w:pPr>
    </w:p>
    <w:p w:rsidR="00485686" w14:paraId="734B9D7F" w14:textId="77777777">
      <w:pPr>
        <w:ind w:right="-720"/>
        <w:rPr>
          <w:rFonts w:ascii="Arial" w:eastAsia="Arial" w:hAnsi="Arial" w:cs="Arial"/>
          <w:sz w:val="24"/>
          <w:szCs w:val="24"/>
        </w:rPr>
      </w:pPr>
      <w:r>
        <w:rPr>
          <w:rFonts w:ascii="Arial" w:eastAsia="Arial" w:hAnsi="Arial" w:cs="Arial"/>
          <w:sz w:val="24"/>
          <w:szCs w:val="24"/>
        </w:rPr>
        <w:t>*The estimated cost of $29.28 per hour is based on the task being accomplished by contractor personnel equivalent to a GS-5, Step 5 (Base Pay and Rest of US Locality Pay) (Salary Table 2024-RUS, General Schedule, Effective January 2024), with fringe of 36.25% (OMB Memo M-08-13).</w:t>
      </w:r>
    </w:p>
    <w:p w:rsidR="00485686" w14:paraId="36E5FD8F" w14:textId="77777777">
      <w:pPr>
        <w:widowControl w:val="0"/>
        <w:rPr>
          <w:rFonts w:ascii="Arial" w:eastAsia="Arial" w:hAnsi="Arial" w:cs="Arial"/>
          <w:sz w:val="24"/>
          <w:szCs w:val="24"/>
          <w:highlight w:val="yellow"/>
        </w:rPr>
      </w:pPr>
    </w:p>
    <w:tbl>
      <w:tblPr>
        <w:tblStyle w:val="a"/>
        <w:tblW w:w="9315" w:type="dxa"/>
        <w:tblBorders>
          <w:top w:val="single" w:sz="6" w:space="0" w:color="000000"/>
          <w:left w:val="single" w:sz="6" w:space="0" w:color="000000"/>
          <w:bottom w:val="single" w:sz="6" w:space="0" w:color="000000"/>
          <w:right w:val="single" w:sz="6" w:space="0" w:color="000000"/>
        </w:tblBorders>
        <w:tblLayout w:type="fixed"/>
        <w:tblLook w:val="0400"/>
      </w:tblPr>
      <w:tblGrid>
        <w:gridCol w:w="1815"/>
        <w:gridCol w:w="1250"/>
        <w:gridCol w:w="1250"/>
        <w:gridCol w:w="1250"/>
        <w:gridCol w:w="1250"/>
        <w:gridCol w:w="1250"/>
        <w:gridCol w:w="1250"/>
      </w:tblGrid>
      <w:tr w14:paraId="4EDEC66F" w14:textId="77777777">
        <w:tblPrEx>
          <w:tblW w:w="9315" w:type="dxa"/>
          <w:tblBorders>
            <w:top w:val="single" w:sz="6" w:space="0" w:color="000000"/>
            <w:left w:val="single" w:sz="6" w:space="0" w:color="000000"/>
            <w:bottom w:val="single" w:sz="6" w:space="0" w:color="000000"/>
            <w:right w:val="single" w:sz="6" w:space="0" w:color="000000"/>
          </w:tblBorders>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485686" w14:paraId="303D2A7F" w14:textId="77777777">
            <w:pPr>
              <w:widowControl w:val="0"/>
              <w:rPr>
                <w:rFonts w:ascii="Arial" w:eastAsia="Arial" w:hAnsi="Arial" w:cs="Arial"/>
                <w:b/>
                <w:sz w:val="24"/>
                <w:szCs w:val="24"/>
              </w:rPr>
            </w:pP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485686" w14:paraId="359411EB" w14:textId="77777777">
            <w:pPr>
              <w:widowControl w:val="0"/>
              <w:jc w:val="center"/>
              <w:rPr>
                <w:rFonts w:ascii="Arial" w:eastAsia="Arial" w:hAnsi="Arial" w:cs="Arial"/>
                <w:b/>
                <w:color w:val="FFFFFF"/>
                <w:sz w:val="24"/>
                <w:szCs w:val="24"/>
              </w:rPr>
            </w:pPr>
            <w:r>
              <w:rPr>
                <w:rFonts w:ascii="Arial" w:eastAsia="Arial" w:hAnsi="Arial" w:cs="Arial"/>
                <w:b/>
                <w:color w:val="FFFFFF"/>
                <w:sz w:val="24"/>
                <w:szCs w:val="24"/>
              </w:rPr>
              <w:t>Requested</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485686" w14:paraId="0C803EAA" w14:textId="77777777">
            <w:pPr>
              <w:widowControl w:val="0"/>
              <w:jc w:val="center"/>
              <w:rPr>
                <w:rFonts w:ascii="Arial" w:eastAsia="Arial" w:hAnsi="Arial" w:cs="Arial"/>
                <w:b/>
                <w:color w:val="FFFFFF"/>
                <w:sz w:val="24"/>
                <w:szCs w:val="24"/>
              </w:rPr>
            </w:pPr>
            <w:r>
              <w:rPr>
                <w:rFonts w:ascii="Arial" w:eastAsia="Arial" w:hAnsi="Arial" w:cs="Arial"/>
                <w:b/>
                <w:color w:val="FFFFFF"/>
                <w:sz w:val="24"/>
                <w:szCs w:val="24"/>
              </w:rPr>
              <w:t>Program Change Due to New Statute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485686" w14:paraId="2EF0AE84" w14:textId="77777777">
            <w:pPr>
              <w:widowControl w:val="0"/>
              <w:jc w:val="center"/>
              <w:rPr>
                <w:rFonts w:ascii="Arial" w:eastAsia="Arial" w:hAnsi="Arial" w:cs="Arial"/>
                <w:b/>
                <w:color w:val="FFFFFF"/>
                <w:sz w:val="24"/>
                <w:szCs w:val="24"/>
              </w:rPr>
            </w:pPr>
            <w:r>
              <w:rPr>
                <w:rFonts w:ascii="Arial" w:eastAsia="Arial" w:hAnsi="Arial" w:cs="Arial"/>
                <w:b/>
                <w:color w:val="FFFFFF"/>
                <w:sz w:val="24"/>
                <w:szCs w:val="24"/>
              </w:rPr>
              <w:t>Program Change Due to Agency Discretion</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485686" w14:paraId="6263BE9D" w14:textId="77777777">
            <w:pPr>
              <w:widowControl w:val="0"/>
              <w:jc w:val="center"/>
              <w:rPr>
                <w:rFonts w:ascii="Arial" w:eastAsia="Arial" w:hAnsi="Arial" w:cs="Arial"/>
                <w:b/>
                <w:color w:val="FFFFFF"/>
                <w:sz w:val="24"/>
                <w:szCs w:val="24"/>
              </w:rPr>
            </w:pPr>
            <w:r>
              <w:rPr>
                <w:rFonts w:ascii="Arial" w:eastAsia="Arial" w:hAnsi="Arial" w:cs="Arial"/>
                <w:b/>
                <w:color w:val="FFFFFF"/>
                <w:sz w:val="24"/>
                <w:szCs w:val="24"/>
              </w:rPr>
              <w:t>Change Due to Adjustment in Agency Estimate</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485686" w14:paraId="279483E0" w14:textId="77777777">
            <w:pPr>
              <w:widowControl w:val="0"/>
              <w:jc w:val="center"/>
              <w:rPr>
                <w:rFonts w:ascii="Arial" w:eastAsia="Arial" w:hAnsi="Arial" w:cs="Arial"/>
                <w:b/>
                <w:color w:val="FFFFFF"/>
                <w:sz w:val="24"/>
                <w:szCs w:val="24"/>
              </w:rPr>
            </w:pPr>
            <w:r>
              <w:rPr>
                <w:rFonts w:ascii="Arial" w:eastAsia="Arial" w:hAnsi="Arial" w:cs="Arial"/>
                <w:b/>
                <w:color w:val="FFFFFF"/>
                <w:sz w:val="24"/>
                <w:szCs w:val="24"/>
              </w:rPr>
              <w:t>Change Due to Potential Violation of the PRA</w:t>
            </w:r>
          </w:p>
        </w:tc>
        <w:tc>
          <w:tcPr>
            <w:tcW w:w="1250" w:type="dxa"/>
            <w:tcBorders>
              <w:top w:val="single" w:sz="6" w:space="0" w:color="000000"/>
              <w:left w:val="single" w:sz="6" w:space="0" w:color="000000"/>
              <w:bottom w:val="single" w:sz="6" w:space="0" w:color="000000"/>
              <w:right w:val="single" w:sz="6" w:space="0" w:color="000000"/>
            </w:tcBorders>
            <w:shd w:val="clear" w:color="auto" w:fill="4A86E8"/>
            <w:vAlign w:val="center"/>
          </w:tcPr>
          <w:p w:rsidR="00485686" w14:paraId="0793DF00" w14:textId="77777777">
            <w:pPr>
              <w:widowControl w:val="0"/>
              <w:jc w:val="center"/>
              <w:rPr>
                <w:rFonts w:ascii="Arial" w:eastAsia="Arial" w:hAnsi="Arial" w:cs="Arial"/>
                <w:b/>
                <w:color w:val="FFFFFF"/>
                <w:sz w:val="24"/>
                <w:szCs w:val="24"/>
              </w:rPr>
            </w:pPr>
            <w:r>
              <w:rPr>
                <w:rFonts w:ascii="Arial" w:eastAsia="Arial" w:hAnsi="Arial" w:cs="Arial"/>
                <w:b/>
                <w:color w:val="FFFFFF"/>
                <w:sz w:val="24"/>
                <w:szCs w:val="24"/>
              </w:rPr>
              <w:t>Previously Approved</w:t>
            </w:r>
          </w:p>
        </w:tc>
      </w:tr>
      <w:tr w14:paraId="74688174"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536F7C72" w14:textId="77777777">
            <w:pPr>
              <w:widowControl w:val="0"/>
              <w:rPr>
                <w:rFonts w:ascii="Arial" w:eastAsia="Arial" w:hAnsi="Arial" w:cs="Arial"/>
                <w:sz w:val="24"/>
                <w:szCs w:val="24"/>
              </w:rPr>
            </w:pPr>
            <w:r>
              <w:rPr>
                <w:rFonts w:ascii="Arial" w:eastAsia="Arial" w:hAnsi="Arial" w:cs="Arial"/>
                <w:sz w:val="24"/>
                <w:szCs w:val="24"/>
              </w:rPr>
              <w:t>Annual Number of Responses for this IC</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7705FF5F" w14:textId="77777777">
            <w:pPr>
              <w:widowControl w:val="0"/>
              <w:jc w:val="center"/>
              <w:rPr>
                <w:rFonts w:ascii="Arial" w:eastAsia="Arial" w:hAnsi="Arial" w:cs="Arial"/>
                <w:sz w:val="24"/>
                <w:szCs w:val="24"/>
              </w:rPr>
            </w:pPr>
            <w:r>
              <w:rPr>
                <w:rFonts w:ascii="Arial" w:eastAsia="Arial" w:hAnsi="Arial" w:cs="Arial"/>
                <w:sz w:val="24"/>
                <w:szCs w:val="24"/>
              </w:rPr>
              <w:t>1,427</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3C22D72C"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single" w:sz="6" w:space="0" w:color="000000"/>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1FA58FF9"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single" w:sz="6" w:space="0" w:color="000000"/>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2D9106E5" w14:textId="77777777">
            <w:pPr>
              <w:widowControl w:val="0"/>
              <w:jc w:val="center"/>
              <w:rPr>
                <w:rFonts w:ascii="Arial" w:eastAsia="Arial" w:hAnsi="Arial" w:cs="Arial"/>
                <w:sz w:val="24"/>
                <w:szCs w:val="24"/>
              </w:rPr>
            </w:pPr>
            <w:r>
              <w:rPr>
                <w:rFonts w:ascii="Arial" w:eastAsia="Arial" w:hAnsi="Arial" w:cs="Arial"/>
                <w:sz w:val="24"/>
                <w:szCs w:val="24"/>
              </w:rPr>
              <w:t>94</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2FC244F3"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4ADBFC3D" w14:textId="77777777">
            <w:pPr>
              <w:widowControl w:val="0"/>
              <w:jc w:val="center"/>
              <w:rPr>
                <w:rFonts w:ascii="Arial" w:eastAsia="Arial" w:hAnsi="Arial" w:cs="Arial"/>
                <w:sz w:val="24"/>
                <w:szCs w:val="24"/>
              </w:rPr>
            </w:pPr>
            <w:r>
              <w:rPr>
                <w:rFonts w:ascii="Arial" w:eastAsia="Arial" w:hAnsi="Arial" w:cs="Arial"/>
                <w:sz w:val="24"/>
                <w:szCs w:val="24"/>
              </w:rPr>
              <w:t>1,333</w:t>
            </w:r>
          </w:p>
        </w:tc>
      </w:tr>
      <w:tr w14:paraId="78DE1957"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683B426A" w14:textId="77777777">
            <w:pPr>
              <w:widowControl w:val="0"/>
              <w:rPr>
                <w:rFonts w:ascii="Arial" w:eastAsia="Arial" w:hAnsi="Arial" w:cs="Arial"/>
                <w:sz w:val="24"/>
                <w:szCs w:val="24"/>
              </w:rPr>
            </w:pPr>
            <w:r>
              <w:rPr>
                <w:rFonts w:ascii="Arial" w:eastAsia="Arial" w:hAnsi="Arial" w:cs="Arial"/>
                <w:sz w:val="24"/>
                <w:szCs w:val="24"/>
              </w:rPr>
              <w:t>Annual IC Time Burden (Hour)</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446FBF57" w14:textId="77777777">
            <w:pPr>
              <w:widowControl w:val="0"/>
              <w:jc w:val="center"/>
              <w:rPr>
                <w:rFonts w:ascii="Arial" w:eastAsia="Arial" w:hAnsi="Arial" w:cs="Arial"/>
                <w:sz w:val="24"/>
                <w:szCs w:val="24"/>
              </w:rPr>
            </w:pPr>
            <w:r>
              <w:rPr>
                <w:rFonts w:ascii="Arial" w:eastAsia="Arial" w:hAnsi="Arial" w:cs="Arial"/>
                <w:sz w:val="24"/>
                <w:szCs w:val="24"/>
              </w:rPr>
              <w:t>143</w:t>
            </w:r>
          </w:p>
        </w:tc>
        <w:tc>
          <w:tcPr>
            <w:tcW w:w="125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0E0C367D"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059310A3"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75F1EBAB" w14:textId="77777777">
            <w:pPr>
              <w:widowControl w:val="0"/>
              <w:jc w:val="center"/>
              <w:rPr>
                <w:rFonts w:ascii="Arial" w:eastAsia="Arial" w:hAnsi="Arial" w:cs="Arial"/>
                <w:sz w:val="24"/>
                <w:szCs w:val="24"/>
              </w:rPr>
            </w:pPr>
            <w:r>
              <w:rPr>
                <w:rFonts w:ascii="Arial" w:eastAsia="Arial" w:hAnsi="Arial" w:cs="Arial"/>
                <w:sz w:val="24"/>
                <w:szCs w:val="24"/>
              </w:rPr>
              <w:t>10</w:t>
            </w:r>
          </w:p>
        </w:tc>
        <w:tc>
          <w:tcPr>
            <w:tcW w:w="125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5CEAF0A3"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3C1E7E3F" w14:textId="77777777">
            <w:pPr>
              <w:widowControl w:val="0"/>
              <w:jc w:val="center"/>
              <w:rPr>
                <w:rFonts w:ascii="Arial" w:eastAsia="Arial" w:hAnsi="Arial" w:cs="Arial"/>
                <w:sz w:val="24"/>
                <w:szCs w:val="24"/>
              </w:rPr>
            </w:pPr>
            <w:r>
              <w:rPr>
                <w:rFonts w:ascii="Arial" w:eastAsia="Arial" w:hAnsi="Arial" w:cs="Arial"/>
                <w:sz w:val="24"/>
                <w:szCs w:val="24"/>
              </w:rPr>
              <w:t>133</w:t>
            </w:r>
          </w:p>
        </w:tc>
      </w:tr>
      <w:tr w14:paraId="49F6E11A" w14:textId="77777777">
        <w:tblPrEx>
          <w:tblW w:w="9315" w:type="dxa"/>
          <w:tblLayout w:type="fixed"/>
          <w:tblLook w:val="0400"/>
        </w:tblPrEx>
        <w:tc>
          <w:tcPr>
            <w:tcW w:w="1815"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7B7F125E" w14:textId="77777777">
            <w:pPr>
              <w:widowControl w:val="0"/>
              <w:rPr>
                <w:rFonts w:ascii="Arial" w:eastAsia="Arial" w:hAnsi="Arial" w:cs="Arial"/>
                <w:sz w:val="24"/>
                <w:szCs w:val="24"/>
              </w:rPr>
            </w:pPr>
            <w:r>
              <w:rPr>
                <w:rFonts w:ascii="Arial" w:eastAsia="Arial" w:hAnsi="Arial" w:cs="Arial"/>
                <w:sz w:val="24"/>
                <w:szCs w:val="24"/>
              </w:rPr>
              <w:t>Annual IC Cost Burden (Dollars)</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54F0926A" w14:textId="77777777">
            <w:pPr>
              <w:widowControl w:val="0"/>
              <w:jc w:val="center"/>
              <w:rPr>
                <w:rFonts w:ascii="Arial" w:eastAsia="Arial" w:hAnsi="Arial" w:cs="Arial"/>
                <w:sz w:val="24"/>
                <w:szCs w:val="24"/>
              </w:rPr>
            </w:pPr>
            <w:r>
              <w:rPr>
                <w:rFonts w:ascii="Arial" w:eastAsia="Arial" w:hAnsi="Arial" w:cs="Arial"/>
                <w:sz w:val="24"/>
                <w:szCs w:val="24"/>
              </w:rPr>
              <w:t>$20,891</w:t>
            </w:r>
          </w:p>
        </w:tc>
        <w:tc>
          <w:tcPr>
            <w:tcW w:w="125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2C2DC680"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7324D5BE"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6728D188" w14:textId="77777777">
            <w:pPr>
              <w:widowControl w:val="0"/>
              <w:jc w:val="center"/>
              <w:rPr>
                <w:rFonts w:ascii="Arial" w:eastAsia="Arial" w:hAnsi="Arial" w:cs="Arial"/>
                <w:sz w:val="24"/>
                <w:szCs w:val="24"/>
              </w:rPr>
            </w:pPr>
            <w:r>
              <w:rPr>
                <w:rFonts w:ascii="Arial" w:eastAsia="Arial" w:hAnsi="Arial" w:cs="Arial"/>
                <w:sz w:val="24"/>
                <w:szCs w:val="24"/>
              </w:rPr>
              <w:t>$17,421</w:t>
            </w:r>
          </w:p>
        </w:tc>
        <w:tc>
          <w:tcPr>
            <w:tcW w:w="125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vAlign w:val="center"/>
          </w:tcPr>
          <w:p w:rsidR="00485686" w14:paraId="23FB43D2"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24" w:type="dxa"/>
              <w:left w:w="24" w:type="dxa"/>
              <w:bottom w:w="24" w:type="dxa"/>
              <w:right w:w="24" w:type="dxa"/>
            </w:tcMar>
            <w:vAlign w:val="center"/>
          </w:tcPr>
          <w:p w:rsidR="00485686" w14:paraId="79659AF7" w14:textId="77777777">
            <w:pPr>
              <w:widowControl w:val="0"/>
              <w:jc w:val="center"/>
              <w:rPr>
                <w:rFonts w:ascii="Arial" w:eastAsia="Arial" w:hAnsi="Arial" w:cs="Arial"/>
                <w:sz w:val="24"/>
                <w:szCs w:val="24"/>
              </w:rPr>
            </w:pPr>
            <w:r>
              <w:rPr>
                <w:rFonts w:ascii="Arial" w:eastAsia="Arial" w:hAnsi="Arial" w:cs="Arial"/>
                <w:sz w:val="24"/>
                <w:szCs w:val="24"/>
              </w:rPr>
              <w:t>$3,470</w:t>
            </w:r>
          </w:p>
        </w:tc>
      </w:tr>
    </w:tbl>
    <w:p w:rsidR="00485686" w14:paraId="1F268787" w14:textId="77777777">
      <w:pPr>
        <w:widowControl w:val="0"/>
        <w:tabs>
          <w:tab w:val="left" w:pos="657"/>
        </w:tabs>
        <w:rPr>
          <w:rFonts w:ascii="Arial" w:eastAsia="Arial" w:hAnsi="Arial" w:cs="Arial"/>
          <w:sz w:val="24"/>
          <w:szCs w:val="24"/>
        </w:rPr>
      </w:pPr>
    </w:p>
    <w:tbl>
      <w:tblPr>
        <w:tblStyle w:val="a0"/>
        <w:tblW w:w="9360" w:type="dxa"/>
        <w:tblBorders>
          <w:top w:val="nil"/>
          <w:left w:val="nil"/>
          <w:bottom w:val="nil"/>
          <w:right w:val="nil"/>
          <w:insideH w:val="nil"/>
          <w:insideV w:val="nil"/>
        </w:tblBorders>
        <w:tblLayout w:type="fixed"/>
        <w:tblLook w:val="0600"/>
      </w:tblPr>
      <w:tblGrid>
        <w:gridCol w:w="9255"/>
        <w:gridCol w:w="105"/>
      </w:tblGrid>
      <w:tr w14:paraId="216B8837" w14:textId="77777777">
        <w:tblPrEx>
          <w:tblW w:w="9360" w:type="dxa"/>
          <w:tblBorders>
            <w:top w:val="nil"/>
            <w:left w:val="nil"/>
            <w:bottom w:val="nil"/>
            <w:right w:val="nil"/>
            <w:insideH w:val="nil"/>
            <w:insideV w:val="nil"/>
          </w:tblBorders>
          <w:tblLayout w:type="fixed"/>
          <w:tblLook w:val="0600"/>
        </w:tblPrEx>
        <w:trPr>
          <w:trHeight w:val="2625"/>
          <w:tblHeader/>
        </w:trPr>
        <w:tc>
          <w:tcPr>
            <w:tcW w:w="9255" w:type="dxa"/>
            <w:tcBorders>
              <w:top w:val="nil"/>
              <w:left w:val="nil"/>
              <w:bottom w:val="nil"/>
              <w:right w:val="nil"/>
            </w:tcBorders>
            <w:tcMar>
              <w:top w:w="20" w:type="dxa"/>
              <w:left w:w="20" w:type="dxa"/>
              <w:bottom w:w="20" w:type="dxa"/>
              <w:right w:w="20" w:type="dxa"/>
            </w:tcMar>
          </w:tcPr>
          <w:p w:rsidR="00485686" w14:paraId="2429FACB" w14:textId="77777777">
            <w:pPr>
              <w:widowControl w:val="0"/>
              <w:tabs>
                <w:tab w:val="left" w:pos="657"/>
              </w:tabs>
              <w:ind w:left="-20"/>
              <w:rPr>
                <w:rFonts w:ascii="Arial" w:eastAsia="Arial" w:hAnsi="Arial" w:cs="Arial"/>
                <w:sz w:val="24"/>
                <w:szCs w:val="24"/>
              </w:rPr>
            </w:pPr>
            <w:r>
              <w:rPr>
                <w:rFonts w:ascii="Arial" w:eastAsia="Arial" w:hAnsi="Arial" w:cs="Arial"/>
                <w:sz w:val="24"/>
                <w:szCs w:val="24"/>
              </w:rPr>
              <w:t>Burden per Response:</w:t>
            </w:r>
          </w:p>
          <w:tbl>
            <w:tblPr>
              <w:tblStyle w:val="a1"/>
              <w:tblW w:w="7380" w:type="dxa"/>
              <w:tblBorders>
                <w:top w:val="nil"/>
                <w:left w:val="nil"/>
                <w:bottom w:val="nil"/>
                <w:right w:val="nil"/>
                <w:insideH w:val="nil"/>
                <w:insideV w:val="nil"/>
              </w:tblBorders>
              <w:tblLayout w:type="fixed"/>
              <w:tblLook w:val="0600"/>
            </w:tblPr>
            <w:tblGrid>
              <w:gridCol w:w="1770"/>
              <w:gridCol w:w="1800"/>
              <w:gridCol w:w="1755"/>
              <w:gridCol w:w="2055"/>
            </w:tblGrid>
            <w:tr w14:paraId="3432E67A" w14:textId="77777777">
              <w:tblPrEx>
                <w:tblW w:w="7380" w:type="dxa"/>
                <w:tblBorders>
                  <w:top w:val="nil"/>
                  <w:left w:val="nil"/>
                  <w:bottom w:val="nil"/>
                  <w:right w:val="nil"/>
                  <w:insideH w:val="nil"/>
                  <w:insideV w:val="nil"/>
                </w:tblBorders>
                <w:tblLayout w:type="fixed"/>
                <w:tblLook w:val="0600"/>
              </w:tblPrEx>
              <w:trPr>
                <w:trHeight w:val="315"/>
              </w:trPr>
              <w:tc>
                <w:tcPr>
                  <w:tcW w:w="1770"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485686" w14:paraId="798712C9" w14:textId="77777777">
                  <w:pPr>
                    <w:widowControl w:val="0"/>
                    <w:tabs>
                      <w:tab w:val="left" w:pos="657"/>
                    </w:tabs>
                    <w:ind w:left="-20"/>
                    <w:jc w:val="center"/>
                    <w:rPr>
                      <w:rFonts w:ascii="Arial" w:eastAsia="Arial" w:hAnsi="Arial" w:cs="Arial"/>
                      <w:b/>
                      <w:color w:val="FFFFFF"/>
                      <w:sz w:val="24"/>
                      <w:szCs w:val="24"/>
                    </w:rPr>
                  </w:pPr>
                  <w:r>
                    <w:rPr>
                      <w:rFonts w:ascii="Arial" w:eastAsia="Arial" w:hAnsi="Arial" w:cs="Arial"/>
                      <w:b/>
                      <w:color w:val="FFFFFF"/>
                      <w:sz w:val="24"/>
                      <w:szCs w:val="24"/>
                    </w:rPr>
                    <w:t xml:space="preserve"> </w:t>
                  </w:r>
                </w:p>
              </w:tc>
              <w:tc>
                <w:tcPr>
                  <w:tcW w:w="180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485686" w14:paraId="4DE8AF71" w14:textId="77777777">
                  <w:pPr>
                    <w:widowControl w:val="0"/>
                    <w:tabs>
                      <w:tab w:val="left" w:pos="657"/>
                    </w:tabs>
                    <w:ind w:left="-20"/>
                    <w:jc w:val="center"/>
                    <w:rPr>
                      <w:rFonts w:ascii="Arial" w:eastAsia="Arial" w:hAnsi="Arial" w:cs="Arial"/>
                      <w:b/>
                      <w:color w:val="FFFFFF"/>
                      <w:sz w:val="24"/>
                      <w:szCs w:val="24"/>
                    </w:rPr>
                  </w:pPr>
                  <w:r>
                    <w:rPr>
                      <w:rFonts w:ascii="Arial" w:eastAsia="Arial" w:hAnsi="Arial" w:cs="Arial"/>
                      <w:b/>
                      <w:color w:val="FFFFFF"/>
                      <w:sz w:val="24"/>
                      <w:szCs w:val="24"/>
                    </w:rPr>
                    <w:t>Time Per Response</w:t>
                  </w:r>
                </w:p>
              </w:tc>
              <w:tc>
                <w:tcPr>
                  <w:tcW w:w="17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485686" w14:paraId="729F56CB" w14:textId="77777777">
                  <w:pPr>
                    <w:widowControl w:val="0"/>
                    <w:tabs>
                      <w:tab w:val="left" w:pos="657"/>
                    </w:tabs>
                    <w:ind w:left="-20"/>
                    <w:jc w:val="center"/>
                    <w:rPr>
                      <w:rFonts w:ascii="Arial" w:eastAsia="Arial" w:hAnsi="Arial" w:cs="Arial"/>
                      <w:b/>
                      <w:color w:val="FFFFFF"/>
                      <w:sz w:val="24"/>
                      <w:szCs w:val="24"/>
                    </w:rPr>
                  </w:pPr>
                  <w:r>
                    <w:rPr>
                      <w:rFonts w:ascii="Arial" w:eastAsia="Arial" w:hAnsi="Arial" w:cs="Arial"/>
                      <w:b/>
                      <w:color w:val="FFFFFF"/>
                      <w:sz w:val="24"/>
                      <w:szCs w:val="24"/>
                    </w:rPr>
                    <w:t>Hours</w:t>
                  </w:r>
                </w:p>
              </w:tc>
              <w:tc>
                <w:tcPr>
                  <w:tcW w:w="2055"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485686" w14:paraId="65D1944B" w14:textId="77777777">
                  <w:pPr>
                    <w:widowControl w:val="0"/>
                    <w:tabs>
                      <w:tab w:val="left" w:pos="657"/>
                    </w:tabs>
                    <w:ind w:left="-20"/>
                    <w:jc w:val="center"/>
                    <w:rPr>
                      <w:rFonts w:ascii="Arial" w:eastAsia="Arial" w:hAnsi="Arial" w:cs="Arial"/>
                      <w:b/>
                      <w:color w:val="FFFFFF"/>
                      <w:sz w:val="24"/>
                      <w:szCs w:val="24"/>
                    </w:rPr>
                  </w:pPr>
                  <w:r>
                    <w:rPr>
                      <w:rFonts w:ascii="Arial" w:eastAsia="Arial" w:hAnsi="Arial" w:cs="Arial"/>
                      <w:b/>
                      <w:color w:val="FFFFFF"/>
                      <w:sz w:val="24"/>
                      <w:szCs w:val="24"/>
                    </w:rPr>
                    <w:t>Cost Per Response</w:t>
                  </w:r>
                </w:p>
              </w:tc>
            </w:tr>
            <w:tr w14:paraId="0500AA28"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1FC09902"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Reporting</w:t>
                  </w:r>
                </w:p>
              </w:tc>
              <w:tc>
                <w:tcPr>
                  <w:tcW w:w="180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3ABAAE87"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0.5</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26C651DA"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0.5</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213EE5C0"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$3</w:t>
                  </w:r>
                </w:p>
              </w:tc>
            </w:tr>
            <w:tr w14:paraId="2104C1BE"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058C64E0"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Record Keeping</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76069C85"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76AF8E87"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47FBC6C1" w14:textId="77777777">
                  <w:pPr>
                    <w:widowControl w:val="0"/>
                    <w:jc w:val="center"/>
                    <w:rPr>
                      <w:rFonts w:ascii="Arial" w:eastAsia="Arial" w:hAnsi="Arial" w:cs="Arial"/>
                      <w:sz w:val="24"/>
                      <w:szCs w:val="24"/>
                    </w:rPr>
                  </w:pPr>
                  <w:r>
                    <w:rPr>
                      <w:rFonts w:ascii="Arial" w:eastAsia="Arial" w:hAnsi="Arial" w:cs="Arial"/>
                      <w:sz w:val="24"/>
                      <w:szCs w:val="24"/>
                    </w:rPr>
                    <w:t>N/A</w:t>
                  </w:r>
                </w:p>
              </w:tc>
            </w:tr>
            <w:tr w14:paraId="3035D4AF" w14:textId="77777777">
              <w:tblPrEx>
                <w:tblW w:w="7380" w:type="dxa"/>
                <w:tblLayout w:type="fixed"/>
                <w:tblLook w:val="0600"/>
              </w:tblPrEx>
              <w:trPr>
                <w:trHeight w:val="505"/>
              </w:trPr>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4E895184"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Third Party Disclosure</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05091757"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48D104AD" w14:textId="77777777">
                  <w:pPr>
                    <w:widowControl w:val="0"/>
                    <w:jc w:val="center"/>
                    <w:rPr>
                      <w:rFonts w:ascii="Arial" w:eastAsia="Arial" w:hAnsi="Arial" w:cs="Arial"/>
                      <w:sz w:val="24"/>
                      <w:szCs w:val="24"/>
                    </w:rPr>
                  </w:pPr>
                  <w:r>
                    <w:rPr>
                      <w:rFonts w:ascii="Arial" w:eastAsia="Arial" w:hAnsi="Arial" w:cs="Arial"/>
                      <w:sz w:val="24"/>
                      <w:szCs w:val="24"/>
                    </w:rPr>
                    <w:t>N/A</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15AD30CD" w14:textId="77777777">
                  <w:pPr>
                    <w:widowControl w:val="0"/>
                    <w:jc w:val="center"/>
                    <w:rPr>
                      <w:rFonts w:ascii="Arial" w:eastAsia="Arial" w:hAnsi="Arial" w:cs="Arial"/>
                      <w:sz w:val="24"/>
                      <w:szCs w:val="24"/>
                    </w:rPr>
                  </w:pPr>
                  <w:r>
                    <w:rPr>
                      <w:rFonts w:ascii="Arial" w:eastAsia="Arial" w:hAnsi="Arial" w:cs="Arial"/>
                      <w:sz w:val="24"/>
                      <w:szCs w:val="24"/>
                    </w:rPr>
                    <w:t>N/A</w:t>
                  </w:r>
                </w:p>
              </w:tc>
            </w:tr>
            <w:tr w14:paraId="5029AF0B" w14:textId="77777777">
              <w:tblPrEx>
                <w:tblW w:w="7380" w:type="dxa"/>
                <w:tblLayout w:type="fixed"/>
                <w:tblLook w:val="0600"/>
              </w:tblPrEx>
              <w:tc>
                <w:tcPr>
                  <w:tcW w:w="177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1C2CF77F"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Total</w:t>
                  </w:r>
                </w:p>
              </w:tc>
              <w:tc>
                <w:tcPr>
                  <w:tcW w:w="1800"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041F8647" w14:textId="77777777">
                  <w:pPr>
                    <w:widowControl w:val="0"/>
                    <w:jc w:val="center"/>
                    <w:rPr>
                      <w:rFonts w:ascii="Arial" w:eastAsia="Arial" w:hAnsi="Arial" w:cs="Arial"/>
                      <w:sz w:val="24"/>
                      <w:szCs w:val="24"/>
                    </w:rPr>
                  </w:pPr>
                  <w:r>
                    <w:rPr>
                      <w:rFonts w:ascii="Arial" w:eastAsia="Arial" w:hAnsi="Arial" w:cs="Arial"/>
                      <w:sz w:val="24"/>
                      <w:szCs w:val="24"/>
                    </w:rPr>
                    <w:t>0.5</w:t>
                  </w:r>
                </w:p>
              </w:tc>
              <w:tc>
                <w:tcPr>
                  <w:tcW w:w="17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486EFBAD" w14:textId="77777777">
                  <w:pPr>
                    <w:widowControl w:val="0"/>
                    <w:jc w:val="center"/>
                    <w:rPr>
                      <w:rFonts w:ascii="Arial" w:eastAsia="Arial" w:hAnsi="Arial" w:cs="Arial"/>
                      <w:sz w:val="24"/>
                      <w:szCs w:val="24"/>
                    </w:rPr>
                  </w:pPr>
                  <w:r>
                    <w:rPr>
                      <w:rFonts w:ascii="Arial" w:eastAsia="Arial" w:hAnsi="Arial" w:cs="Arial"/>
                      <w:sz w:val="24"/>
                      <w:szCs w:val="24"/>
                    </w:rPr>
                    <w:t>0.5</w:t>
                  </w:r>
                </w:p>
              </w:tc>
              <w:tc>
                <w:tcPr>
                  <w:tcW w:w="2055"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64BA0A4A"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$3</w:t>
                  </w:r>
                </w:p>
              </w:tc>
            </w:tr>
          </w:tbl>
          <w:p w:rsidR="00485686" w14:paraId="6A2D23FE" w14:textId="77777777">
            <w:pPr>
              <w:widowControl w:val="0"/>
              <w:tabs>
                <w:tab w:val="left" w:pos="657"/>
              </w:tabs>
              <w:ind w:left="-20"/>
              <w:rPr>
                <w:rFonts w:ascii="Arial" w:eastAsia="Arial" w:hAnsi="Arial" w:cs="Arial"/>
                <w:sz w:val="24"/>
                <w:szCs w:val="24"/>
              </w:rPr>
            </w:pPr>
          </w:p>
          <w:p w:rsidR="00485686" w14:paraId="60CAAFCC" w14:textId="77777777">
            <w:pPr>
              <w:widowControl w:val="0"/>
              <w:tabs>
                <w:tab w:val="left" w:pos="657"/>
              </w:tabs>
              <w:ind w:left="-20"/>
              <w:rPr>
                <w:rFonts w:ascii="Arial" w:eastAsia="Arial" w:hAnsi="Arial" w:cs="Arial"/>
                <w:sz w:val="24"/>
                <w:szCs w:val="24"/>
              </w:rPr>
            </w:pPr>
          </w:p>
        </w:tc>
        <w:tc>
          <w:tcPr>
            <w:tcW w:w="105" w:type="dxa"/>
            <w:tcBorders>
              <w:top w:val="nil"/>
              <w:left w:val="nil"/>
              <w:bottom w:val="nil"/>
              <w:right w:val="nil"/>
            </w:tcBorders>
            <w:tcMar>
              <w:top w:w="0" w:type="dxa"/>
              <w:left w:w="0" w:type="dxa"/>
              <w:bottom w:w="0" w:type="dxa"/>
              <w:right w:w="0" w:type="dxa"/>
            </w:tcMar>
          </w:tcPr>
          <w:p w:rsidR="00485686" w14:paraId="5AC70DDC" w14:textId="77777777">
            <w:pPr>
              <w:widowControl w:val="0"/>
              <w:tabs>
                <w:tab w:val="left" w:pos="657"/>
              </w:tabs>
              <w:ind w:left="-20"/>
              <w:rPr>
                <w:rFonts w:ascii="Arial" w:eastAsia="Arial" w:hAnsi="Arial" w:cs="Arial"/>
                <w:sz w:val="24"/>
                <w:szCs w:val="24"/>
              </w:rPr>
            </w:pPr>
            <w:r>
              <w:rPr>
                <w:rFonts w:ascii="Arial" w:eastAsia="Arial" w:hAnsi="Arial" w:cs="Arial"/>
                <w:sz w:val="24"/>
                <w:szCs w:val="24"/>
              </w:rPr>
              <w:t xml:space="preserve"> </w:t>
            </w:r>
          </w:p>
        </w:tc>
      </w:tr>
      <w:tr w14:paraId="71D85682" w14:textId="77777777">
        <w:tblPrEx>
          <w:tblW w:w="9360" w:type="dxa"/>
          <w:tblLayout w:type="fixed"/>
          <w:tblLook w:val="0600"/>
        </w:tblPrEx>
        <w:trPr>
          <w:trHeight w:val="2595"/>
        </w:trPr>
        <w:tc>
          <w:tcPr>
            <w:tcW w:w="9360" w:type="dxa"/>
            <w:gridSpan w:val="2"/>
            <w:tcBorders>
              <w:top w:val="nil"/>
              <w:left w:val="nil"/>
              <w:bottom w:val="nil"/>
              <w:right w:val="nil"/>
            </w:tcBorders>
            <w:tcMar>
              <w:top w:w="20" w:type="dxa"/>
              <w:left w:w="20" w:type="dxa"/>
              <w:bottom w:w="20" w:type="dxa"/>
              <w:right w:w="20" w:type="dxa"/>
            </w:tcMar>
          </w:tcPr>
          <w:p w:rsidR="00485686" w14:paraId="355570E9" w14:textId="77777777">
            <w:pPr>
              <w:widowControl w:val="0"/>
              <w:tabs>
                <w:tab w:val="left" w:pos="657"/>
              </w:tabs>
              <w:ind w:left="-20"/>
              <w:rPr>
                <w:rFonts w:ascii="Arial" w:eastAsia="Arial" w:hAnsi="Arial" w:cs="Arial"/>
                <w:sz w:val="24"/>
                <w:szCs w:val="24"/>
              </w:rPr>
            </w:pPr>
            <w:r>
              <w:rPr>
                <w:rFonts w:ascii="Arial" w:eastAsia="Arial" w:hAnsi="Arial" w:cs="Arial"/>
                <w:sz w:val="24"/>
                <w:szCs w:val="24"/>
              </w:rPr>
              <w:t>Annual Burden:</w:t>
            </w:r>
          </w:p>
          <w:tbl>
            <w:tblPr>
              <w:tblStyle w:val="a2"/>
              <w:tblW w:w="7365" w:type="dxa"/>
              <w:tblBorders>
                <w:top w:val="nil"/>
                <w:left w:val="nil"/>
                <w:bottom w:val="nil"/>
                <w:right w:val="nil"/>
                <w:insideH w:val="nil"/>
                <w:insideV w:val="nil"/>
              </w:tblBorders>
              <w:tblLayout w:type="fixed"/>
              <w:tblLook w:val="0600"/>
            </w:tblPr>
            <w:tblGrid>
              <w:gridCol w:w="1785"/>
              <w:gridCol w:w="2430"/>
              <w:gridCol w:w="3150"/>
            </w:tblGrid>
            <w:tr w14:paraId="729F8009" w14:textId="77777777">
              <w:tblPrEx>
                <w:tblW w:w="7365" w:type="dxa"/>
                <w:tblBorders>
                  <w:top w:val="nil"/>
                  <w:left w:val="nil"/>
                  <w:bottom w:val="nil"/>
                  <w:right w:val="nil"/>
                  <w:insideH w:val="nil"/>
                  <w:insideV w:val="nil"/>
                </w:tblBorders>
                <w:tblLayout w:type="fixed"/>
                <w:tblLook w:val="0600"/>
              </w:tblPrEx>
              <w:trPr>
                <w:trHeight w:val="547"/>
              </w:trPr>
              <w:tc>
                <w:tcPr>
                  <w:tcW w:w="1785" w:type="dxa"/>
                  <w:tcBorders>
                    <w:top w:val="single" w:sz="6" w:space="0" w:color="000000"/>
                    <w:left w:val="single" w:sz="6" w:space="0" w:color="000000"/>
                    <w:bottom w:val="single" w:sz="6" w:space="0" w:color="000000"/>
                    <w:right w:val="single" w:sz="6" w:space="0" w:color="000000"/>
                  </w:tcBorders>
                  <w:shd w:val="clear" w:color="auto" w:fill="4A86E8"/>
                  <w:tcMar>
                    <w:top w:w="0" w:type="dxa"/>
                    <w:left w:w="100" w:type="dxa"/>
                    <w:bottom w:w="0" w:type="dxa"/>
                    <w:right w:w="100" w:type="dxa"/>
                  </w:tcMar>
                </w:tcPr>
                <w:p w:rsidR="00485686" w14:paraId="29D966B3" w14:textId="77777777">
                  <w:pPr>
                    <w:widowControl w:val="0"/>
                    <w:tabs>
                      <w:tab w:val="left" w:pos="657"/>
                    </w:tabs>
                    <w:ind w:left="-20"/>
                    <w:jc w:val="center"/>
                    <w:rPr>
                      <w:rFonts w:ascii="Arial" w:eastAsia="Arial" w:hAnsi="Arial" w:cs="Arial"/>
                      <w:b/>
                      <w:color w:val="FFFFFF"/>
                      <w:sz w:val="24"/>
                      <w:szCs w:val="24"/>
                    </w:rPr>
                  </w:pPr>
                  <w:r>
                    <w:rPr>
                      <w:rFonts w:ascii="Arial" w:eastAsia="Arial" w:hAnsi="Arial" w:cs="Arial"/>
                      <w:b/>
                      <w:color w:val="FFFFFF"/>
                      <w:sz w:val="24"/>
                      <w:szCs w:val="24"/>
                    </w:rPr>
                    <w:t xml:space="preserve"> </w:t>
                  </w:r>
                </w:p>
              </w:tc>
              <w:tc>
                <w:tcPr>
                  <w:tcW w:w="243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485686" w14:paraId="1445A285" w14:textId="77777777">
                  <w:pPr>
                    <w:widowControl w:val="0"/>
                    <w:tabs>
                      <w:tab w:val="left" w:pos="657"/>
                    </w:tabs>
                    <w:ind w:left="-20"/>
                    <w:jc w:val="center"/>
                    <w:rPr>
                      <w:rFonts w:ascii="Arial" w:eastAsia="Arial" w:hAnsi="Arial" w:cs="Arial"/>
                      <w:b/>
                      <w:color w:val="FFFFFF"/>
                      <w:sz w:val="24"/>
                      <w:szCs w:val="24"/>
                    </w:rPr>
                  </w:pPr>
                  <w:r>
                    <w:rPr>
                      <w:rFonts w:ascii="Arial" w:eastAsia="Arial" w:hAnsi="Arial" w:cs="Arial"/>
                      <w:b/>
                      <w:color w:val="FFFFFF"/>
                      <w:sz w:val="24"/>
                      <w:szCs w:val="24"/>
                    </w:rPr>
                    <w:t>Annual Time Burden (Hours)</w:t>
                  </w:r>
                </w:p>
              </w:tc>
              <w:tc>
                <w:tcPr>
                  <w:tcW w:w="3150" w:type="dxa"/>
                  <w:tcBorders>
                    <w:top w:val="single" w:sz="6" w:space="0" w:color="000000"/>
                    <w:left w:val="nil"/>
                    <w:bottom w:val="single" w:sz="6" w:space="0" w:color="000000"/>
                    <w:right w:val="single" w:sz="6" w:space="0" w:color="000000"/>
                  </w:tcBorders>
                  <w:shd w:val="clear" w:color="auto" w:fill="4A86E8"/>
                  <w:tcMar>
                    <w:top w:w="0" w:type="dxa"/>
                    <w:left w:w="100" w:type="dxa"/>
                    <w:bottom w:w="0" w:type="dxa"/>
                    <w:right w:w="100" w:type="dxa"/>
                  </w:tcMar>
                </w:tcPr>
                <w:p w:rsidR="00485686" w14:paraId="4E78725A" w14:textId="77777777">
                  <w:pPr>
                    <w:widowControl w:val="0"/>
                    <w:tabs>
                      <w:tab w:val="left" w:pos="657"/>
                    </w:tabs>
                    <w:ind w:left="-20"/>
                    <w:jc w:val="center"/>
                    <w:rPr>
                      <w:rFonts w:ascii="Arial" w:eastAsia="Arial" w:hAnsi="Arial" w:cs="Arial"/>
                      <w:b/>
                      <w:color w:val="FFFFFF"/>
                      <w:sz w:val="24"/>
                      <w:szCs w:val="24"/>
                    </w:rPr>
                  </w:pPr>
                  <w:r>
                    <w:rPr>
                      <w:rFonts w:ascii="Arial" w:eastAsia="Arial" w:hAnsi="Arial" w:cs="Arial"/>
                      <w:b/>
                      <w:color w:val="FFFFFF"/>
                      <w:sz w:val="24"/>
                      <w:szCs w:val="24"/>
                    </w:rPr>
                    <w:t>Annual Cost Burden</w:t>
                  </w:r>
                </w:p>
                <w:p w:rsidR="00485686" w14:paraId="7DC7BCB6" w14:textId="77777777">
                  <w:pPr>
                    <w:widowControl w:val="0"/>
                    <w:tabs>
                      <w:tab w:val="left" w:pos="657"/>
                    </w:tabs>
                    <w:ind w:left="-20"/>
                    <w:jc w:val="center"/>
                    <w:rPr>
                      <w:rFonts w:ascii="Arial" w:eastAsia="Arial" w:hAnsi="Arial" w:cs="Arial"/>
                      <w:b/>
                      <w:color w:val="FFFFFF"/>
                      <w:sz w:val="24"/>
                      <w:szCs w:val="24"/>
                    </w:rPr>
                  </w:pPr>
                  <w:r>
                    <w:rPr>
                      <w:rFonts w:ascii="Arial" w:eastAsia="Arial" w:hAnsi="Arial" w:cs="Arial"/>
                      <w:b/>
                      <w:color w:val="FFFFFF"/>
                      <w:sz w:val="24"/>
                      <w:szCs w:val="24"/>
                    </w:rPr>
                    <w:t>(Dollars)</w:t>
                  </w:r>
                </w:p>
              </w:tc>
            </w:tr>
            <w:tr w14:paraId="2C021593" w14:textId="77777777">
              <w:tblPrEx>
                <w:tblW w:w="7365" w:type="dxa"/>
                <w:tblLayout w:type="fixed"/>
                <w:tblLook w:val="0600"/>
              </w:tblPrEx>
              <w:trPr>
                <w:trHeight w:val="290"/>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6BFFC517"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Reporting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4E38EBE1"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1,427</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78BDFF8F"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$20,891</w:t>
                  </w:r>
                </w:p>
              </w:tc>
            </w:tr>
            <w:tr w14:paraId="50F543B7"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67026F5B"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Record Keeping</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6376F6C9"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65E6591B"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 xml:space="preserve">N/A </w:t>
                  </w:r>
                </w:p>
              </w:tc>
            </w:tr>
            <w:tr w14:paraId="3CED859D" w14:textId="77777777">
              <w:tblPrEx>
                <w:tblW w:w="7365" w:type="dxa"/>
                <w:tblLayout w:type="fixed"/>
                <w:tblLook w:val="0600"/>
              </w:tblPrEx>
              <w:trPr>
                <w:trHeight w:val="577"/>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6C339453"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Third Party Disclosure</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11CE33FC"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N/A</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2EACF987"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 xml:space="preserve">N/A </w:t>
                  </w:r>
                </w:p>
              </w:tc>
            </w:tr>
            <w:tr w14:paraId="542BDA2C" w14:textId="77777777">
              <w:tblPrEx>
                <w:tblW w:w="7365" w:type="dxa"/>
                <w:tblLayout w:type="fixed"/>
                <w:tblLook w:val="0600"/>
              </w:tblPrEx>
              <w:trPr>
                <w:trHeight w:val="303"/>
              </w:trPr>
              <w:tc>
                <w:tcPr>
                  <w:tcW w:w="1785" w:type="dxa"/>
                  <w:tcBorders>
                    <w:top w:val="nil"/>
                    <w:left w:val="single" w:sz="6" w:space="0" w:color="000000"/>
                    <w:bottom w:val="single" w:sz="6" w:space="0" w:color="000000"/>
                    <w:right w:val="single" w:sz="6" w:space="0" w:color="000000"/>
                  </w:tcBorders>
                  <w:shd w:val="clear" w:color="auto" w:fill="FFFFFF"/>
                  <w:tcMar>
                    <w:top w:w="20" w:type="dxa"/>
                    <w:left w:w="20" w:type="dxa"/>
                    <w:bottom w:w="20" w:type="dxa"/>
                    <w:right w:w="20" w:type="dxa"/>
                  </w:tcMar>
                </w:tcPr>
                <w:p w:rsidR="00485686" w14:paraId="7F2B9C24"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Total</w:t>
                  </w:r>
                </w:p>
              </w:tc>
              <w:tc>
                <w:tcPr>
                  <w:tcW w:w="243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4712158D"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1,427</w:t>
                  </w:r>
                </w:p>
              </w:tc>
              <w:tc>
                <w:tcPr>
                  <w:tcW w:w="3150" w:type="dxa"/>
                  <w:tcBorders>
                    <w:top w:val="nil"/>
                    <w:left w:val="nil"/>
                    <w:bottom w:val="single" w:sz="6" w:space="0" w:color="000000"/>
                    <w:right w:val="single" w:sz="6" w:space="0" w:color="000000"/>
                  </w:tcBorders>
                  <w:shd w:val="clear" w:color="auto" w:fill="FFFFFF"/>
                  <w:tcMar>
                    <w:top w:w="20" w:type="dxa"/>
                    <w:left w:w="20" w:type="dxa"/>
                    <w:bottom w:w="20" w:type="dxa"/>
                    <w:right w:w="20" w:type="dxa"/>
                  </w:tcMar>
                </w:tcPr>
                <w:p w:rsidR="00485686" w14:paraId="1BD1A176" w14:textId="77777777">
                  <w:pPr>
                    <w:widowControl w:val="0"/>
                    <w:tabs>
                      <w:tab w:val="left" w:pos="657"/>
                    </w:tabs>
                    <w:ind w:left="-20"/>
                    <w:jc w:val="center"/>
                    <w:rPr>
                      <w:rFonts w:ascii="Arial" w:eastAsia="Arial" w:hAnsi="Arial" w:cs="Arial"/>
                      <w:sz w:val="24"/>
                      <w:szCs w:val="24"/>
                    </w:rPr>
                  </w:pPr>
                  <w:r>
                    <w:rPr>
                      <w:rFonts w:ascii="Arial" w:eastAsia="Arial" w:hAnsi="Arial" w:cs="Arial"/>
                      <w:sz w:val="24"/>
                      <w:szCs w:val="24"/>
                    </w:rPr>
                    <w:t>$20,891</w:t>
                  </w:r>
                </w:p>
              </w:tc>
            </w:tr>
          </w:tbl>
          <w:p w:rsidR="00485686" w14:paraId="315DAD91" w14:textId="77777777">
            <w:pPr>
              <w:widowControl w:val="0"/>
              <w:tabs>
                <w:tab w:val="left" w:pos="657"/>
              </w:tabs>
              <w:rPr>
                <w:rFonts w:ascii="Arial" w:eastAsia="Arial" w:hAnsi="Arial" w:cs="Arial"/>
                <w:b/>
                <w:sz w:val="24"/>
                <w:szCs w:val="24"/>
                <w:u w:val="single"/>
              </w:rPr>
            </w:pPr>
          </w:p>
        </w:tc>
      </w:tr>
    </w:tbl>
    <w:p w:rsidR="00485686" w14:paraId="137BBA55"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13. Estimated Nonrecurring Costs.</w:t>
      </w:r>
    </w:p>
    <w:p w:rsidR="00485686" w14:paraId="0CA80129" w14:textId="77777777">
      <w:pPr>
        <w:widowControl w:val="0"/>
        <w:tabs>
          <w:tab w:val="left" w:pos="657"/>
        </w:tabs>
        <w:ind w:left="720"/>
        <w:rPr>
          <w:rFonts w:ascii="Arial" w:eastAsia="Arial" w:hAnsi="Arial" w:cs="Arial"/>
          <w:b/>
          <w:sz w:val="24"/>
          <w:szCs w:val="24"/>
          <w:u w:val="single"/>
        </w:rPr>
      </w:pPr>
    </w:p>
    <w:p w:rsidR="00485686" w14:paraId="244130CD" w14:textId="77777777">
      <w:pPr>
        <w:widowControl w:val="0"/>
        <w:tabs>
          <w:tab w:val="left" w:pos="657"/>
        </w:tabs>
        <w:rPr>
          <w:rFonts w:ascii="Arial" w:eastAsia="Arial" w:hAnsi="Arial" w:cs="Arial"/>
          <w:sz w:val="24"/>
          <w:szCs w:val="24"/>
        </w:rPr>
      </w:pPr>
      <w:r>
        <w:rPr>
          <w:rFonts w:ascii="Arial" w:eastAsia="Arial" w:hAnsi="Arial" w:cs="Arial"/>
          <w:sz w:val="24"/>
          <w:szCs w:val="24"/>
        </w:rPr>
        <w:t>Not applicable to this information collection.</w:t>
      </w:r>
    </w:p>
    <w:p w:rsidR="00485686" w14:paraId="73F9F712" w14:textId="77777777">
      <w:pPr>
        <w:widowControl w:val="0"/>
        <w:tabs>
          <w:tab w:val="left" w:pos="657"/>
        </w:tabs>
        <w:rPr>
          <w:rFonts w:ascii="Arial" w:eastAsia="Arial" w:hAnsi="Arial" w:cs="Arial"/>
          <w:sz w:val="24"/>
          <w:szCs w:val="24"/>
        </w:rPr>
      </w:pPr>
    </w:p>
    <w:p w:rsidR="00485686" w14:paraId="57885C22"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14. Estimated Cost of the Government</w:t>
      </w:r>
    </w:p>
    <w:p w:rsidR="00485686" w14:paraId="25436217" w14:textId="77777777">
      <w:pPr>
        <w:widowControl w:val="0"/>
        <w:tabs>
          <w:tab w:val="left" w:pos="657"/>
        </w:tabs>
        <w:rPr>
          <w:rFonts w:ascii="Arial" w:eastAsia="Arial" w:hAnsi="Arial" w:cs="Arial"/>
          <w:sz w:val="24"/>
          <w:szCs w:val="24"/>
        </w:rPr>
      </w:pPr>
    </w:p>
    <w:p w:rsidR="00485686" w14:paraId="2516C8C0" w14:textId="77777777">
      <w:pPr>
        <w:ind w:right="-720"/>
        <w:rPr>
          <w:rFonts w:ascii="Arial" w:eastAsia="Arial" w:hAnsi="Arial" w:cs="Arial"/>
          <w:sz w:val="24"/>
          <w:szCs w:val="24"/>
        </w:rPr>
      </w:pPr>
      <w:r>
        <w:rPr>
          <w:rFonts w:ascii="Arial" w:eastAsia="Arial" w:hAnsi="Arial" w:cs="Arial"/>
          <w:sz w:val="24"/>
          <w:szCs w:val="24"/>
        </w:rPr>
        <w:t xml:space="preserve">The estimated annualized costs to the Federal Government below </w:t>
      </w:r>
      <w:r>
        <w:rPr>
          <w:rFonts w:ascii="Arial" w:eastAsia="Arial" w:hAnsi="Arial" w:cs="Arial"/>
          <w:sz w:val="24"/>
          <w:szCs w:val="24"/>
        </w:rPr>
        <w:t>reflects</w:t>
      </w:r>
      <w:r>
        <w:rPr>
          <w:rFonts w:ascii="Arial" w:eastAsia="Arial" w:hAnsi="Arial" w:cs="Arial"/>
          <w:sz w:val="24"/>
          <w:szCs w:val="24"/>
        </w:rPr>
        <w:t xml:space="preserve"> the time necessary for the Federal Government to review submitted release of claims information.</w:t>
      </w:r>
    </w:p>
    <w:p w:rsidR="00485686" w14:paraId="762030A8" w14:textId="77777777">
      <w:pPr>
        <w:ind w:right="-720"/>
        <w:rPr>
          <w:rFonts w:ascii="Arial" w:eastAsia="Arial" w:hAnsi="Arial" w:cs="Arial"/>
          <w:sz w:val="24"/>
          <w:szCs w:val="24"/>
        </w:rPr>
      </w:pPr>
    </w:p>
    <w:p w:rsidR="00485686" w14:paraId="4BF7A51A" w14:textId="77777777">
      <w:pPr>
        <w:tabs>
          <w:tab w:val="left" w:pos="6570"/>
        </w:tabs>
        <w:ind w:right="-720"/>
        <w:rPr>
          <w:rFonts w:ascii="Arial" w:eastAsia="Arial" w:hAnsi="Arial" w:cs="Arial"/>
          <w:sz w:val="24"/>
          <w:szCs w:val="24"/>
        </w:rPr>
      </w:pPr>
      <w:r>
        <w:rPr>
          <w:rFonts w:ascii="Arial" w:eastAsia="Arial" w:hAnsi="Arial" w:cs="Arial"/>
          <w:sz w:val="24"/>
          <w:szCs w:val="24"/>
        </w:rPr>
        <w:t>Estimated Respondents Per Year:</w:t>
      </w:r>
      <w:r>
        <w:rPr>
          <w:rFonts w:ascii="Arial" w:eastAsia="Arial" w:hAnsi="Arial" w:cs="Arial"/>
          <w:sz w:val="24"/>
          <w:szCs w:val="24"/>
        </w:rPr>
        <w:tab/>
        <w:t>1,427</w:t>
      </w:r>
    </w:p>
    <w:p w:rsidR="00485686" w14:paraId="7685AAE3" w14:textId="77777777">
      <w:pPr>
        <w:tabs>
          <w:tab w:val="left" w:pos="6570"/>
        </w:tabs>
        <w:ind w:right="-720"/>
        <w:rPr>
          <w:rFonts w:ascii="Arial" w:eastAsia="Arial" w:hAnsi="Arial" w:cs="Arial"/>
          <w:sz w:val="24"/>
          <w:szCs w:val="24"/>
        </w:rPr>
      </w:pPr>
      <w:r>
        <w:rPr>
          <w:rFonts w:ascii="Arial" w:eastAsia="Arial" w:hAnsi="Arial" w:cs="Arial"/>
          <w:sz w:val="24"/>
          <w:szCs w:val="24"/>
        </w:rPr>
        <w:t>Estimated Responses Per Respondent:</w:t>
      </w:r>
      <w:r>
        <w:rPr>
          <w:rFonts w:ascii="Arial" w:eastAsia="Arial" w:hAnsi="Arial" w:cs="Arial"/>
          <w:sz w:val="24"/>
          <w:szCs w:val="24"/>
        </w:rPr>
        <w:tab/>
      </w:r>
      <w:r>
        <w:rPr>
          <w:rFonts w:ascii="Arial" w:eastAsia="Arial" w:hAnsi="Arial" w:cs="Arial"/>
          <w:sz w:val="24"/>
          <w:szCs w:val="24"/>
          <w:u w:val="single"/>
        </w:rPr>
        <w:t>x     1</w:t>
      </w:r>
    </w:p>
    <w:p w:rsidR="00485686" w14:paraId="00F9BB82" w14:textId="77777777">
      <w:pPr>
        <w:tabs>
          <w:tab w:val="left" w:pos="6570"/>
        </w:tabs>
        <w:ind w:right="-720"/>
        <w:rPr>
          <w:rFonts w:ascii="Arial" w:eastAsia="Arial" w:hAnsi="Arial" w:cs="Arial"/>
          <w:sz w:val="24"/>
          <w:szCs w:val="24"/>
        </w:rPr>
      </w:pPr>
      <w:r>
        <w:rPr>
          <w:rFonts w:ascii="Arial" w:eastAsia="Arial" w:hAnsi="Arial" w:cs="Arial"/>
          <w:sz w:val="24"/>
          <w:szCs w:val="24"/>
        </w:rPr>
        <w:t>Total Annual Responses:</w:t>
      </w:r>
      <w:r>
        <w:rPr>
          <w:rFonts w:ascii="Arial" w:eastAsia="Arial" w:hAnsi="Arial" w:cs="Arial"/>
          <w:sz w:val="24"/>
          <w:szCs w:val="24"/>
        </w:rPr>
        <w:tab/>
        <w:t>1,427</w:t>
      </w:r>
    </w:p>
    <w:p w:rsidR="00485686" w14:paraId="079B1337" w14:textId="77777777">
      <w:pPr>
        <w:tabs>
          <w:tab w:val="left" w:pos="6570"/>
        </w:tabs>
        <w:ind w:right="-720"/>
        <w:rPr>
          <w:rFonts w:ascii="Arial" w:eastAsia="Arial" w:hAnsi="Arial" w:cs="Arial"/>
          <w:sz w:val="24"/>
          <w:szCs w:val="24"/>
        </w:rPr>
      </w:pPr>
      <w:r>
        <w:rPr>
          <w:rFonts w:ascii="Arial" w:eastAsia="Arial" w:hAnsi="Arial" w:cs="Arial"/>
          <w:sz w:val="24"/>
          <w:szCs w:val="24"/>
        </w:rPr>
        <w:t>Estimated Burden Hours Per Response:</w:t>
      </w:r>
      <w:r>
        <w:rPr>
          <w:rFonts w:ascii="Arial" w:eastAsia="Arial" w:hAnsi="Arial" w:cs="Arial"/>
          <w:sz w:val="24"/>
          <w:szCs w:val="24"/>
        </w:rPr>
        <w:tab/>
      </w:r>
      <w:r>
        <w:rPr>
          <w:rFonts w:ascii="Arial" w:eastAsia="Arial" w:hAnsi="Arial" w:cs="Arial"/>
          <w:sz w:val="24"/>
          <w:szCs w:val="24"/>
          <w:u w:val="single"/>
        </w:rPr>
        <w:t>x   .50</w:t>
      </w:r>
    </w:p>
    <w:p w:rsidR="00485686" w14:paraId="633CE62B" w14:textId="77777777">
      <w:pPr>
        <w:tabs>
          <w:tab w:val="left" w:pos="6570"/>
        </w:tabs>
        <w:ind w:right="-720"/>
        <w:rPr>
          <w:rFonts w:ascii="Arial" w:eastAsia="Arial" w:hAnsi="Arial" w:cs="Arial"/>
          <w:sz w:val="24"/>
          <w:szCs w:val="24"/>
        </w:rPr>
      </w:pPr>
      <w:r>
        <w:rPr>
          <w:rFonts w:ascii="Arial" w:eastAsia="Arial" w:hAnsi="Arial" w:cs="Arial"/>
          <w:sz w:val="24"/>
          <w:szCs w:val="24"/>
        </w:rPr>
        <w:t>Total Estimated Burden Hours:</w:t>
      </w:r>
      <w:r>
        <w:rPr>
          <w:rFonts w:ascii="Arial" w:eastAsia="Arial" w:hAnsi="Arial" w:cs="Arial"/>
          <w:sz w:val="24"/>
          <w:szCs w:val="24"/>
        </w:rPr>
        <w:tab/>
        <w:t>713.50</w:t>
      </w:r>
    </w:p>
    <w:p w:rsidR="00485686" w14:paraId="3256E603" w14:textId="77777777">
      <w:pPr>
        <w:tabs>
          <w:tab w:val="left" w:pos="6570"/>
        </w:tabs>
        <w:ind w:right="-720"/>
        <w:rPr>
          <w:rFonts w:ascii="Arial" w:eastAsia="Arial" w:hAnsi="Arial" w:cs="Arial"/>
          <w:sz w:val="24"/>
          <w:szCs w:val="24"/>
          <w:u w:val="single"/>
        </w:rPr>
      </w:pPr>
      <w:r>
        <w:rPr>
          <w:rFonts w:ascii="Arial" w:eastAsia="Arial" w:hAnsi="Arial" w:cs="Arial"/>
          <w:sz w:val="24"/>
          <w:szCs w:val="24"/>
        </w:rPr>
        <w:t>Estimated Cost Per Hour:</w:t>
      </w:r>
      <w:r>
        <w:rPr>
          <w:rFonts w:ascii="Arial" w:eastAsia="Arial" w:hAnsi="Arial" w:cs="Arial"/>
          <w:sz w:val="24"/>
          <w:szCs w:val="24"/>
        </w:rPr>
        <w:tab/>
      </w:r>
      <w:r>
        <w:rPr>
          <w:rFonts w:ascii="Arial" w:eastAsia="Arial" w:hAnsi="Arial" w:cs="Arial"/>
          <w:sz w:val="24"/>
          <w:szCs w:val="24"/>
          <w:u w:val="single"/>
        </w:rPr>
        <w:t>x $36.27**</w:t>
      </w:r>
      <w:r>
        <w:rPr>
          <w:rFonts w:ascii="Arial" w:eastAsia="Arial" w:hAnsi="Arial" w:cs="Arial"/>
          <w:sz w:val="24"/>
          <w:szCs w:val="24"/>
        </w:rPr>
        <w:t xml:space="preserve"> </w:t>
      </w:r>
    </w:p>
    <w:p w:rsidR="00485686" w14:paraId="4AC2CFEA" w14:textId="77777777">
      <w:pPr>
        <w:tabs>
          <w:tab w:val="left" w:pos="6570"/>
        </w:tabs>
        <w:ind w:right="-720"/>
        <w:rPr>
          <w:rFonts w:ascii="Arial" w:eastAsia="Arial" w:hAnsi="Arial" w:cs="Arial"/>
          <w:sz w:val="24"/>
          <w:szCs w:val="24"/>
        </w:rPr>
      </w:pPr>
      <w:r>
        <w:rPr>
          <w:rFonts w:ascii="Arial" w:eastAsia="Arial" w:hAnsi="Arial" w:cs="Arial"/>
          <w:sz w:val="24"/>
          <w:szCs w:val="24"/>
        </w:rPr>
        <w:t>Total Estimated Annual Cost Burden:</w:t>
      </w:r>
      <w:r>
        <w:rPr>
          <w:rFonts w:ascii="Arial" w:eastAsia="Arial" w:hAnsi="Arial" w:cs="Arial"/>
          <w:sz w:val="24"/>
          <w:szCs w:val="24"/>
        </w:rPr>
        <w:tab/>
        <w:t>$25,878.65</w:t>
      </w:r>
    </w:p>
    <w:p w:rsidR="00485686" w14:paraId="2EAF2125" w14:textId="77777777">
      <w:pPr>
        <w:ind w:right="-720"/>
        <w:rPr>
          <w:rFonts w:ascii="Arial" w:eastAsia="Arial" w:hAnsi="Arial" w:cs="Arial"/>
          <w:sz w:val="24"/>
          <w:szCs w:val="24"/>
        </w:rPr>
      </w:pPr>
    </w:p>
    <w:p w:rsidR="00485686" w14:paraId="0F9759D1" w14:textId="77777777">
      <w:pPr>
        <w:rPr>
          <w:rFonts w:ascii="Arial" w:eastAsia="Arial" w:hAnsi="Arial" w:cs="Arial"/>
          <w:sz w:val="24"/>
          <w:szCs w:val="24"/>
        </w:rPr>
      </w:pPr>
      <w:r>
        <w:rPr>
          <w:rFonts w:ascii="Arial" w:eastAsia="Arial" w:hAnsi="Arial" w:cs="Arial"/>
          <w:sz w:val="24"/>
          <w:szCs w:val="24"/>
        </w:rPr>
        <w:t>** The estimated cost of $36.27 per hour is based on the task being accomplished by personnel equivalent to a GS-7, Step 5 (Base Pay and Rest of US Locality Pay) (Salary Table 2024-RUS, General Schedule, Effective January 2024), with fringe of 36.25% (OMB Memo M-08-13).</w:t>
      </w:r>
    </w:p>
    <w:p w:rsidR="00485686" w14:paraId="3C5D6471" w14:textId="77777777">
      <w:pPr>
        <w:ind w:right="-720"/>
        <w:rPr>
          <w:rFonts w:ascii="Arial" w:eastAsia="Arial" w:hAnsi="Arial" w:cs="Arial"/>
          <w:sz w:val="24"/>
          <w:szCs w:val="24"/>
        </w:rPr>
      </w:pPr>
    </w:p>
    <w:p w:rsidR="00485686" w14:paraId="65E321C2" w14:textId="77777777">
      <w:pPr>
        <w:widowControl w:val="0"/>
        <w:tabs>
          <w:tab w:val="left" w:pos="657"/>
        </w:tabs>
        <w:rPr>
          <w:rFonts w:ascii="Arial" w:eastAsia="Arial" w:hAnsi="Arial" w:cs="Arial"/>
          <w:b/>
          <w:sz w:val="24"/>
          <w:szCs w:val="24"/>
          <w:u w:val="single"/>
        </w:rPr>
      </w:pPr>
      <w:r>
        <w:rPr>
          <w:rFonts w:ascii="Arial" w:eastAsia="Arial" w:hAnsi="Arial" w:cs="Arial"/>
          <w:b/>
          <w:sz w:val="24"/>
          <w:szCs w:val="24"/>
          <w:u w:val="single"/>
        </w:rPr>
        <w:t>15. Reasons for Changes.</w:t>
      </w:r>
    </w:p>
    <w:p w:rsidR="00485686" w14:paraId="55930018" w14:textId="77777777">
      <w:pPr>
        <w:ind w:right="-720"/>
        <w:rPr>
          <w:sz w:val="22"/>
          <w:szCs w:val="22"/>
        </w:rPr>
      </w:pPr>
    </w:p>
    <w:p w:rsidR="00485686" w14:paraId="037772C9" w14:textId="77777777">
      <w:pPr>
        <w:ind w:right="-720"/>
        <w:rPr>
          <w:rFonts w:ascii="Arial" w:eastAsia="Arial" w:hAnsi="Arial" w:cs="Arial"/>
          <w:sz w:val="24"/>
          <w:szCs w:val="24"/>
        </w:rPr>
      </w:pPr>
      <w:r>
        <w:rPr>
          <w:rFonts w:ascii="Arial" w:eastAsia="Arial" w:hAnsi="Arial" w:cs="Arial"/>
          <w:sz w:val="24"/>
          <w:szCs w:val="24"/>
        </w:rPr>
        <w:t>Costs changed due to several factors:</w:t>
      </w:r>
    </w:p>
    <w:p w:rsidR="00485686" w14:paraId="187B493C" w14:textId="77777777">
      <w:pPr>
        <w:ind w:right="-720"/>
        <w:rPr>
          <w:rFonts w:ascii="Arial" w:eastAsia="Arial" w:hAnsi="Arial" w:cs="Arial"/>
          <w:sz w:val="24"/>
          <w:szCs w:val="24"/>
        </w:rPr>
      </w:pPr>
    </w:p>
    <w:p w:rsidR="00485686" w14:paraId="4CB54FD3" w14:textId="77777777">
      <w:pPr>
        <w:numPr>
          <w:ilvl w:val="0"/>
          <w:numId w:val="1"/>
        </w:numPr>
        <w:ind w:right="-720"/>
        <w:rPr>
          <w:rFonts w:ascii="Arial" w:eastAsia="Arial" w:hAnsi="Arial" w:cs="Arial"/>
          <w:sz w:val="24"/>
          <w:szCs w:val="24"/>
        </w:rPr>
      </w:pPr>
      <w:r>
        <w:rPr>
          <w:rFonts w:ascii="Arial" w:eastAsia="Arial" w:hAnsi="Arial" w:cs="Arial"/>
          <w:sz w:val="24"/>
          <w:szCs w:val="24"/>
        </w:rPr>
        <w:t xml:space="preserve">The number of respondents increased to reflect updated FPDS data. </w:t>
      </w:r>
    </w:p>
    <w:p w:rsidR="00485686" w14:paraId="62C42100" w14:textId="77777777">
      <w:pPr>
        <w:numPr>
          <w:ilvl w:val="0"/>
          <w:numId w:val="1"/>
        </w:numPr>
        <w:rPr>
          <w:rFonts w:ascii="Arial" w:eastAsia="Arial" w:hAnsi="Arial" w:cs="Arial"/>
          <w:sz w:val="24"/>
          <w:szCs w:val="24"/>
        </w:rPr>
      </w:pPr>
      <w:r>
        <w:rPr>
          <w:rFonts w:ascii="Arial" w:eastAsia="Arial" w:hAnsi="Arial" w:cs="Arial"/>
          <w:sz w:val="24"/>
          <w:szCs w:val="24"/>
        </w:rPr>
        <w:t xml:space="preserve">The hourly rate (plus fringe) was updated to reflect the rates effective January 2023, as opposed to January 2021.   </w:t>
      </w:r>
    </w:p>
    <w:p w:rsidR="00485686" w14:paraId="1932E48E" w14:textId="77777777">
      <w:pPr>
        <w:ind w:right="-720"/>
        <w:rPr>
          <w:rFonts w:ascii="Arial" w:eastAsia="Arial" w:hAnsi="Arial" w:cs="Arial"/>
          <w:sz w:val="24"/>
          <w:szCs w:val="24"/>
        </w:rPr>
      </w:pPr>
    </w:p>
    <w:p w:rsidR="00485686" w14:paraId="5076D01C" w14:textId="77777777">
      <w:pPr>
        <w:widowControl w:val="0"/>
        <w:tabs>
          <w:tab w:val="left" w:pos="657"/>
        </w:tabs>
        <w:rPr>
          <w:rFonts w:ascii="Arial" w:eastAsia="Arial" w:hAnsi="Arial" w:cs="Arial"/>
          <w:sz w:val="24"/>
          <w:szCs w:val="24"/>
        </w:rPr>
      </w:pPr>
      <w:r>
        <w:rPr>
          <w:rFonts w:ascii="Arial" w:eastAsia="Arial" w:hAnsi="Arial" w:cs="Arial"/>
          <w:b/>
          <w:sz w:val="24"/>
          <w:szCs w:val="24"/>
          <w:u w:val="single"/>
        </w:rPr>
        <w:t>16. Publicizing Results.</w:t>
      </w:r>
    </w:p>
    <w:p w:rsidR="00485686" w14:paraId="791AA8AC" w14:textId="77777777">
      <w:pPr>
        <w:widowControl w:val="0"/>
        <w:tabs>
          <w:tab w:val="left" w:pos="657"/>
        </w:tabs>
        <w:rPr>
          <w:rFonts w:ascii="Arial" w:eastAsia="Arial" w:hAnsi="Arial" w:cs="Arial"/>
          <w:sz w:val="24"/>
          <w:szCs w:val="24"/>
        </w:rPr>
      </w:pPr>
    </w:p>
    <w:p w:rsidR="00485686" w14:paraId="0EC5BAE9" w14:textId="77777777">
      <w:pPr>
        <w:widowControl w:val="0"/>
        <w:tabs>
          <w:tab w:val="left" w:pos="657"/>
        </w:tabs>
        <w:rPr>
          <w:rFonts w:ascii="Arial" w:eastAsia="Arial" w:hAnsi="Arial" w:cs="Arial"/>
          <w:sz w:val="24"/>
          <w:szCs w:val="24"/>
        </w:rPr>
      </w:pPr>
      <w:r>
        <w:rPr>
          <w:rFonts w:ascii="Arial" w:eastAsia="Arial" w:hAnsi="Arial" w:cs="Arial"/>
          <w:sz w:val="24"/>
          <w:szCs w:val="24"/>
        </w:rPr>
        <w:t>Not applicable, results of this information collection will not be published. Information collected is used for internal purposes only.</w:t>
      </w:r>
    </w:p>
    <w:p w:rsidR="00485686" w14:paraId="52A029D3" w14:textId="77777777">
      <w:pPr>
        <w:widowControl w:val="0"/>
        <w:tabs>
          <w:tab w:val="left" w:pos="657"/>
        </w:tabs>
        <w:rPr>
          <w:rFonts w:ascii="Arial" w:eastAsia="Arial" w:hAnsi="Arial" w:cs="Arial"/>
          <w:sz w:val="24"/>
          <w:szCs w:val="24"/>
        </w:rPr>
      </w:pPr>
    </w:p>
    <w:p w:rsidR="00485686" w14:paraId="657171CC" w14:textId="77777777">
      <w:pPr>
        <w:widowControl w:val="0"/>
        <w:tabs>
          <w:tab w:val="left" w:pos="657"/>
        </w:tabs>
        <w:rPr>
          <w:rFonts w:ascii="Arial" w:eastAsia="Arial" w:hAnsi="Arial" w:cs="Arial"/>
          <w:sz w:val="24"/>
          <w:szCs w:val="24"/>
        </w:rPr>
      </w:pPr>
      <w:r>
        <w:rPr>
          <w:rFonts w:ascii="Arial" w:eastAsia="Arial" w:hAnsi="Arial" w:cs="Arial"/>
          <w:b/>
          <w:sz w:val="24"/>
          <w:szCs w:val="24"/>
          <w:u w:val="single"/>
        </w:rPr>
        <w:t>17. OMB Not to Display Approval.</w:t>
      </w:r>
      <w:r>
        <w:rPr>
          <w:rFonts w:ascii="Arial" w:eastAsia="Arial" w:hAnsi="Arial" w:cs="Arial"/>
          <w:sz w:val="24"/>
          <w:szCs w:val="24"/>
        </w:rPr>
        <w:t xml:space="preserve"> </w:t>
      </w:r>
    </w:p>
    <w:p w:rsidR="00485686" w14:paraId="4C277966" w14:textId="77777777">
      <w:pPr>
        <w:widowControl w:val="0"/>
        <w:tabs>
          <w:tab w:val="left" w:pos="657"/>
        </w:tabs>
        <w:rPr>
          <w:rFonts w:ascii="Arial" w:eastAsia="Arial" w:hAnsi="Arial" w:cs="Arial"/>
          <w:sz w:val="24"/>
          <w:szCs w:val="24"/>
        </w:rPr>
      </w:pPr>
    </w:p>
    <w:p w:rsidR="00485686" w14:paraId="2169132D" w14:textId="77777777">
      <w:pPr>
        <w:widowControl w:val="0"/>
        <w:tabs>
          <w:tab w:val="left" w:pos="657"/>
        </w:tabs>
        <w:rPr>
          <w:rFonts w:ascii="Arial" w:eastAsia="Arial" w:hAnsi="Arial" w:cs="Arial"/>
          <w:sz w:val="24"/>
          <w:szCs w:val="24"/>
        </w:rPr>
      </w:pPr>
      <w:r>
        <w:rPr>
          <w:rFonts w:ascii="Arial" w:eastAsia="Arial" w:hAnsi="Arial" w:cs="Arial"/>
          <w:sz w:val="24"/>
          <w:szCs w:val="24"/>
        </w:rPr>
        <w:t>Not applicable, GSA is not seeking such approval for this collection.</w:t>
      </w:r>
    </w:p>
    <w:p w:rsidR="00485686" w14:paraId="57116602" w14:textId="77777777">
      <w:pPr>
        <w:widowControl w:val="0"/>
        <w:tabs>
          <w:tab w:val="left" w:pos="657"/>
        </w:tabs>
        <w:rPr>
          <w:rFonts w:ascii="Arial" w:eastAsia="Arial" w:hAnsi="Arial" w:cs="Arial"/>
          <w:sz w:val="24"/>
          <w:szCs w:val="24"/>
        </w:rPr>
      </w:pPr>
    </w:p>
    <w:p w:rsidR="00485686" w14:paraId="51835190" w14:textId="77777777">
      <w:pPr>
        <w:widowControl w:val="0"/>
        <w:tabs>
          <w:tab w:val="left" w:pos="657"/>
        </w:tabs>
        <w:rPr>
          <w:rFonts w:ascii="Arial" w:eastAsia="Arial" w:hAnsi="Arial" w:cs="Arial"/>
          <w:sz w:val="24"/>
          <w:szCs w:val="24"/>
        </w:rPr>
      </w:pPr>
      <w:r>
        <w:rPr>
          <w:rFonts w:ascii="Arial" w:eastAsia="Arial" w:hAnsi="Arial" w:cs="Arial"/>
          <w:b/>
          <w:sz w:val="24"/>
          <w:szCs w:val="24"/>
          <w:u w:val="single"/>
        </w:rPr>
        <w:t>18. Exceptions to “Certification for Paperwork Reduction Submissions”.</w:t>
      </w:r>
    </w:p>
    <w:p w:rsidR="00485686" w14:paraId="35DCDE4D" w14:textId="77777777">
      <w:pPr>
        <w:widowControl w:val="0"/>
        <w:tabs>
          <w:tab w:val="left" w:pos="657"/>
        </w:tabs>
        <w:rPr>
          <w:rFonts w:ascii="Arial" w:eastAsia="Arial" w:hAnsi="Arial" w:cs="Arial"/>
          <w:sz w:val="24"/>
          <w:szCs w:val="24"/>
        </w:rPr>
      </w:pPr>
    </w:p>
    <w:p w:rsidR="00485686" w14:paraId="7548F368" w14:textId="77777777">
      <w:pPr>
        <w:widowControl w:val="0"/>
        <w:tabs>
          <w:tab w:val="left" w:pos="657"/>
        </w:tabs>
        <w:rPr>
          <w:rFonts w:ascii="Arial" w:eastAsia="Arial" w:hAnsi="Arial" w:cs="Arial"/>
          <w:sz w:val="24"/>
          <w:szCs w:val="24"/>
        </w:rPr>
      </w:pPr>
      <w:r>
        <w:rPr>
          <w:rFonts w:ascii="Arial" w:eastAsia="Arial" w:hAnsi="Arial" w:cs="Arial"/>
          <w:sz w:val="24"/>
          <w:szCs w:val="24"/>
        </w:rPr>
        <w:t>Not applicable, GSA has no exceptions to the certification statement.</w:t>
      </w:r>
    </w:p>
    <w:p w:rsidR="00485686" w14:paraId="0AAEC8E8" w14:textId="77777777">
      <w:pPr>
        <w:widowControl w:val="0"/>
        <w:tabs>
          <w:tab w:val="left" w:pos="657"/>
        </w:tabs>
        <w:rPr>
          <w:rFonts w:ascii="Arial" w:eastAsia="Arial" w:hAnsi="Arial" w:cs="Arial"/>
          <w:sz w:val="24"/>
          <w:szCs w:val="24"/>
        </w:rPr>
      </w:pPr>
    </w:p>
    <w:p w:rsidR="00485686" w14:paraId="6E5E23F3" w14:textId="77777777">
      <w:pPr>
        <w:widowControl w:val="0"/>
        <w:tabs>
          <w:tab w:val="left" w:pos="657"/>
        </w:tabs>
        <w:rPr>
          <w:rFonts w:ascii="Arial" w:eastAsia="Arial" w:hAnsi="Arial" w:cs="Arial"/>
          <w:sz w:val="24"/>
          <w:szCs w:val="24"/>
        </w:rPr>
      </w:pPr>
      <w:r>
        <w:rPr>
          <w:rFonts w:ascii="Arial" w:eastAsia="Arial" w:hAnsi="Arial" w:cs="Arial"/>
          <w:b/>
          <w:sz w:val="24"/>
          <w:szCs w:val="24"/>
          <w:u w:val="single"/>
        </w:rPr>
        <w:t>19. Surveys, Censuses, and Other Collections that Employ Statistical Methods.</w:t>
      </w:r>
    </w:p>
    <w:p w:rsidR="00485686" w14:paraId="2C961FE8" w14:textId="77777777">
      <w:pPr>
        <w:widowControl w:val="0"/>
        <w:tabs>
          <w:tab w:val="left" w:pos="657"/>
        </w:tabs>
        <w:rPr>
          <w:rFonts w:ascii="Arial" w:eastAsia="Arial" w:hAnsi="Arial" w:cs="Arial"/>
          <w:sz w:val="24"/>
          <w:szCs w:val="24"/>
        </w:rPr>
      </w:pPr>
    </w:p>
    <w:p w:rsidR="00485686" w14:paraId="1652E039" w14:textId="77777777">
      <w:pPr>
        <w:widowControl w:val="0"/>
        <w:tabs>
          <w:tab w:val="left" w:pos="657"/>
        </w:tabs>
        <w:rPr>
          <w:rFonts w:ascii="Arial" w:eastAsia="Arial" w:hAnsi="Arial" w:cs="Arial"/>
          <w:sz w:val="24"/>
          <w:szCs w:val="24"/>
        </w:rPr>
      </w:pPr>
      <w:r>
        <w:rPr>
          <w:rFonts w:ascii="Arial" w:eastAsia="Arial" w:hAnsi="Arial" w:cs="Arial"/>
          <w:sz w:val="24"/>
          <w:szCs w:val="24"/>
        </w:rPr>
        <w:t>Surveys, censuses or statistical methods are not used for this information collection.</w:t>
      </w:r>
    </w:p>
    <w:p w:rsidR="00485686" w14:paraId="0470B57D" w14:textId="77777777">
      <w:pPr>
        <w:spacing w:line="276" w:lineRule="auto"/>
        <w:ind w:right="-720"/>
        <w:rPr>
          <w:sz w:val="22"/>
          <w:szCs w:val="22"/>
        </w:rPr>
      </w:pPr>
    </w:p>
    <w:sectPr>
      <w:headerReference w:type="even" r:id="rId4"/>
      <w:headerReference w:type="default" r:id="rId5"/>
      <w:footerReference w:type="even" r:id="rId6"/>
      <w:footerReference w:type="default" r:id="rId7"/>
      <w:headerReference w:type="first" r:id="rId8"/>
      <w:footerReference w:type="first" r:id="rId9"/>
      <w:pgSz w:w="12240" w:h="15840"/>
      <w:pgMar w:top="1440" w:right="1800" w:bottom="1008" w:left="180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1495B121-6F5E-454F-94AC-3C4D41BBC1F3}"/>
    <w:embedItalic r:id="rId2" w:fontKey="{1DFC237F-8D3C-42DB-9695-A4AFEA9E611C}"/>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B5C9510E-8ACF-437D-B950-DD7E901DD5F0}"/>
  </w:font>
  <w:font w:name="Calibri">
    <w:panose1 w:val="020F0502020204030204"/>
    <w:charset w:val="00"/>
    <w:family w:val="swiss"/>
    <w:pitch w:val="variable"/>
    <w:sig w:usb0="E4002EFF" w:usb1="C000247B" w:usb2="00000009" w:usb3="00000000" w:csb0="000001FF" w:csb1="00000000"/>
    <w:embedRegular r:id="rId4" w:fontKey="{E14BD82C-325B-43EC-8713-F2C0EC026BF7}"/>
  </w:font>
  <w:font w:name="Cambria">
    <w:panose1 w:val="02040503050406030204"/>
    <w:charset w:val="00"/>
    <w:family w:val="roman"/>
    <w:pitch w:val="variable"/>
    <w:sig w:usb0="E00006FF" w:usb1="420024FF" w:usb2="02000000" w:usb3="00000000" w:csb0="0000019F" w:csb1="00000000"/>
    <w:embedRegular r:id="rId5" w:fontKey="{21AD055D-1097-4635-8731-0F1D72994E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686" w14:paraId="09F893A1" w14:textId="77777777">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686" w14:paraId="758E1C47" w14:textId="77777777">
    <w:pPr>
      <w:tabs>
        <w:tab w:val="center" w:pos="4320"/>
        <w:tab w:val="right" w:pos="8640"/>
      </w:tabs>
      <w:jc w:val="center"/>
    </w:pPr>
  </w:p>
  <w:p w:rsidR="00485686" w14:paraId="67DFC667" w14:textId="77777777">
    <w:pPr>
      <w:tabs>
        <w:tab w:val="center" w:pos="4320"/>
        <w:tab w:val="right" w:pos="8640"/>
      </w:tabs>
      <w:jc w:val="center"/>
    </w:pPr>
    <w:r>
      <w:fldChar w:fldCharType="begin"/>
    </w:r>
    <w:r>
      <w:instrText>PAGE</w:instrText>
    </w:r>
    <w:r>
      <w:fldChar w:fldCharType="separate"/>
    </w:r>
    <w:r>
      <w:rPr>
        <w:noProof/>
      </w:rPr>
      <w:t>2</w:t>
    </w:r>
    <w:r>
      <w:fldChar w:fldCharType="end"/>
    </w:r>
  </w:p>
  <w:p w:rsidR="00485686" w14:paraId="0ECB4BF1" w14:textId="77777777">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686" w14:paraId="2B2EB749" w14:textId="77777777">
    <w:pPr>
      <w:tabs>
        <w:tab w:val="right" w:pos="10080"/>
      </w:tabs>
      <w:jc w:val="center"/>
      <w:rPr>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686" w14:paraId="4A106FD6" w14:textId="77777777">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686" w14:paraId="40785D0F" w14:textId="77777777">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5686" w14:paraId="6356D384" w14:textId="77777777">
    <w:pPr>
      <w:tabs>
        <w:tab w:val="center" w:pos="4320"/>
        <w:tab w:val="right" w:pos="8640"/>
      </w:tabs>
      <w:jc w:val="center"/>
      <w:rPr>
        <w:rFonts w:ascii="Arial" w:eastAsia="Arial" w:hAnsi="Arial" w:cs="Arial"/>
        <w:sz w:val="24"/>
        <w:szCs w:val="24"/>
      </w:rPr>
    </w:pPr>
  </w:p>
  <w:p w:rsidR="00485686" w14:paraId="14FD57DB" w14:textId="77777777">
    <w:pPr>
      <w:tabs>
        <w:tab w:val="center" w:pos="4320"/>
        <w:tab w:val="right" w:pos="8640"/>
      </w:tabs>
      <w:rPr>
        <w:rFonts w:ascii="Arial" w:eastAsia="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D31D66"/>
    <w:multiLevelType w:val="multilevel"/>
    <w:tmpl w:val="203C0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6756652"/>
    <w:multiLevelType w:val="multilevel"/>
    <w:tmpl w:val="3D6A9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61A162D"/>
    <w:multiLevelType w:val="multilevel"/>
    <w:tmpl w:val="EBD4E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2531577">
    <w:abstractNumId w:val="1"/>
  </w:num>
  <w:num w:numId="2" w16cid:durableId="1109811901">
    <w:abstractNumId w:val="2"/>
  </w:num>
  <w:num w:numId="3" w16cid:durableId="47618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6"/>
    <w:rsid w:val="000D21E1"/>
    <w:rsid w:val="00485686"/>
    <w:rsid w:val="006022EA"/>
    <w:rsid w:val="00791D34"/>
    <w:rsid w:val="009059D0"/>
    <w:rsid w:val="00A26B1B"/>
    <w:rsid w:val="00A82891"/>
    <w:rsid w:val="00C80490"/>
    <w:rsid w:val="00CA79AF"/>
    <w:rsid w:val="00D26FB9"/>
    <w:rsid w:val="00EF4B3C"/>
    <w:rsid w:val="00F16C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75F31E"/>
  <w15:docId w15:val="{DFB6330D-DE6A-4045-BB65-098FC707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24"/>
      <w:szCs w:val="24"/>
      <w:u w:val="single"/>
    </w:rPr>
  </w:style>
  <w:style w:type="paragraph" w:styleId="Heading2">
    <w:name w:val="heading 2"/>
    <w:basedOn w:val="Normal"/>
    <w:next w:val="Normal"/>
    <w:uiPriority w:val="9"/>
    <w:unhideWhenUsed/>
    <w:qFormat/>
    <w:pPr>
      <w:keepNext/>
      <w:outlineLvl w:val="1"/>
    </w:pPr>
    <w:rPr>
      <w:b/>
      <w:sz w:val="24"/>
      <w:szCs w:val="24"/>
    </w:rPr>
  </w:style>
  <w:style w:type="paragraph" w:styleId="Heading3">
    <w:name w:val="heading 3"/>
    <w:basedOn w:val="Normal"/>
    <w:next w:val="Normal"/>
    <w:uiPriority w:val="9"/>
    <w:unhideWhenUsed/>
    <w:qFormat/>
    <w:pPr>
      <w:keepNext/>
      <w:outlineLvl w:val="2"/>
    </w:pPr>
    <w:rPr>
      <w:sz w:val="24"/>
      <w:szCs w:val="24"/>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3</cp:revision>
  <dcterms:created xsi:type="dcterms:W3CDTF">2024-08-01T14:02:00Z</dcterms:created>
  <dcterms:modified xsi:type="dcterms:W3CDTF">2024-08-01T14:19:00Z</dcterms:modified>
</cp:coreProperties>
</file>