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5D15" w:rsidRPr="008F2DED" w14:paraId="0F7A2256" w14:textId="77777777">
      <w:pPr>
        <w:pStyle w:val="BodyText"/>
      </w:pPr>
    </w:p>
    <w:p w:rsidR="009B007E" w:rsidRPr="008F2DED" w:rsidP="003917D1" w14:paraId="4B942C68" w14:textId="77777777">
      <w:pPr>
        <w:ind w:left="1939" w:right="2597"/>
        <w:jc w:val="center"/>
        <w:rPr>
          <w:b/>
          <w:sz w:val="24"/>
          <w:szCs w:val="24"/>
        </w:rPr>
      </w:pPr>
    </w:p>
    <w:p w:rsidR="00B93D67" w:rsidRPr="008F2DED" w:rsidP="02742FBE" w14:paraId="3748107A" w14:textId="5E249E23">
      <w:pPr>
        <w:ind w:left="1939" w:right="2597"/>
        <w:jc w:val="center"/>
        <w:rPr>
          <w:b/>
          <w:bCs/>
          <w:sz w:val="24"/>
          <w:szCs w:val="24"/>
        </w:rPr>
      </w:pPr>
      <w:r w:rsidRPr="02742FBE">
        <w:rPr>
          <w:b/>
          <w:bCs/>
          <w:sz w:val="24"/>
          <w:szCs w:val="24"/>
        </w:rPr>
        <w:t>SUPPORTING STATEMENT FOR</w:t>
      </w:r>
    </w:p>
    <w:p w:rsidR="004F3AE2" w:rsidRPr="008F2DED" w:rsidP="003917D1" w14:paraId="6A950F61" w14:textId="77777777">
      <w:pPr>
        <w:jc w:val="center"/>
        <w:rPr>
          <w:b/>
          <w:bCs/>
          <w:caps/>
          <w:sz w:val="24"/>
          <w:szCs w:val="24"/>
        </w:rPr>
      </w:pPr>
      <w:r w:rsidRPr="008F2DED">
        <w:rPr>
          <w:b/>
          <w:bCs/>
          <w:caps/>
          <w:sz w:val="24"/>
          <w:szCs w:val="24"/>
        </w:rPr>
        <w:t xml:space="preserve">Registry of Nonbank Covered Persons Subject to </w:t>
      </w:r>
    </w:p>
    <w:p w:rsidR="00106560" w:rsidRPr="008F2DED" w:rsidP="003917D1" w14:paraId="7CB59426" w14:textId="6CF76971">
      <w:pPr>
        <w:jc w:val="center"/>
        <w:rPr>
          <w:b/>
          <w:bCs/>
          <w:caps/>
          <w:color w:val="000000"/>
          <w:sz w:val="24"/>
          <w:szCs w:val="24"/>
        </w:rPr>
      </w:pPr>
      <w:r w:rsidRPr="008F2DED">
        <w:rPr>
          <w:b/>
          <w:bCs/>
          <w:caps/>
          <w:sz w:val="24"/>
          <w:szCs w:val="24"/>
        </w:rPr>
        <w:t>Certain Agency and Court Orders</w:t>
      </w:r>
    </w:p>
    <w:p w:rsidR="000F5D15" w:rsidRPr="008F2DED" w:rsidP="003917D1" w14:paraId="0C3CE238" w14:textId="6CBA59B4">
      <w:pPr>
        <w:ind w:left="1935" w:right="2597"/>
        <w:jc w:val="center"/>
        <w:rPr>
          <w:b/>
          <w:sz w:val="24"/>
          <w:szCs w:val="24"/>
        </w:rPr>
      </w:pPr>
      <w:r w:rsidRPr="008F2DED">
        <w:rPr>
          <w:b/>
          <w:sz w:val="24"/>
          <w:szCs w:val="24"/>
        </w:rPr>
        <w:t>OMB</w:t>
      </w:r>
      <w:r w:rsidRPr="008F2DED">
        <w:rPr>
          <w:b/>
          <w:spacing w:val="-3"/>
          <w:sz w:val="24"/>
          <w:szCs w:val="24"/>
        </w:rPr>
        <w:t xml:space="preserve"> </w:t>
      </w:r>
      <w:r w:rsidRPr="008F2DED">
        <w:rPr>
          <w:b/>
          <w:sz w:val="24"/>
          <w:szCs w:val="24"/>
        </w:rPr>
        <w:t>CONTROL</w:t>
      </w:r>
      <w:r w:rsidRPr="008F2DED">
        <w:rPr>
          <w:b/>
          <w:spacing w:val="-2"/>
          <w:sz w:val="24"/>
          <w:szCs w:val="24"/>
        </w:rPr>
        <w:t xml:space="preserve"> </w:t>
      </w:r>
      <w:r w:rsidRPr="008F2DED">
        <w:rPr>
          <w:b/>
          <w:sz w:val="24"/>
          <w:szCs w:val="24"/>
        </w:rPr>
        <w:t>NUMBER:</w:t>
      </w:r>
      <w:r w:rsidRPr="008F2DED">
        <w:rPr>
          <w:b/>
          <w:spacing w:val="-3"/>
          <w:sz w:val="24"/>
          <w:szCs w:val="24"/>
        </w:rPr>
        <w:t xml:space="preserve"> </w:t>
      </w:r>
      <w:r w:rsidRPr="008F2DED">
        <w:rPr>
          <w:b/>
          <w:sz w:val="24"/>
          <w:szCs w:val="24"/>
        </w:rPr>
        <w:t>3170-00</w:t>
      </w:r>
      <w:r w:rsidR="00C8744C">
        <w:rPr>
          <w:b/>
          <w:sz w:val="24"/>
          <w:szCs w:val="24"/>
        </w:rPr>
        <w:t>76</w:t>
      </w:r>
    </w:p>
    <w:p w:rsidR="000F5D15" w:rsidRPr="008F2DED" w:rsidP="003917D1" w14:paraId="39C234A3" w14:textId="77777777">
      <w:pPr>
        <w:pStyle w:val="BodyText"/>
        <w:jc w:val="both"/>
      </w:pPr>
    </w:p>
    <w:p w:rsidR="000F5D15" w:rsidRPr="008F2DED" w:rsidP="003917D1" w14:paraId="6A6A1420" w14:textId="77777777">
      <w:pPr>
        <w:pStyle w:val="BodyText"/>
        <w:jc w:val="both"/>
      </w:pPr>
    </w:p>
    <w:p w:rsidR="000F5D15" w:rsidRPr="008F2DED" w:rsidP="008F2DED" w14:paraId="0292F156" w14:textId="540480B9">
      <w:pPr>
        <w:pStyle w:val="ListParagraph"/>
        <w:numPr>
          <w:ilvl w:val="0"/>
          <w:numId w:val="14"/>
        </w:numPr>
        <w:rPr>
          <w:b/>
          <w:sz w:val="24"/>
          <w:szCs w:val="24"/>
        </w:rPr>
      </w:pPr>
      <w:r w:rsidRPr="008F2DED">
        <w:rPr>
          <w:b/>
          <w:sz w:val="24"/>
          <w:szCs w:val="24"/>
        </w:rPr>
        <w:t>JUSTIFICATION</w:t>
      </w:r>
    </w:p>
    <w:p w:rsidR="000F5D15" w:rsidRPr="008F2DED" w:rsidP="008F2DED" w14:paraId="5A411E52" w14:textId="77777777">
      <w:pPr>
        <w:pStyle w:val="BodyText"/>
        <w:rPr>
          <w:b/>
        </w:rPr>
      </w:pPr>
    </w:p>
    <w:p w:rsidR="0031486D" w:rsidRPr="008F2DED" w:rsidP="008F2DED" w14:paraId="58EE64DA" w14:textId="2EE6B7AC">
      <w:pPr>
        <w:pStyle w:val="ListParagraph"/>
        <w:numPr>
          <w:ilvl w:val="0"/>
          <w:numId w:val="13"/>
        </w:numPr>
        <w:rPr>
          <w:b/>
          <w:bCs/>
          <w:sz w:val="24"/>
          <w:szCs w:val="24"/>
          <w:u w:val="none"/>
        </w:rPr>
      </w:pPr>
      <w:r w:rsidRPr="02742FBE">
        <w:rPr>
          <w:b/>
          <w:bCs/>
          <w:sz w:val="24"/>
          <w:szCs w:val="24"/>
          <w:u w:val="non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F7704" w:rsidRPr="008F2DED" w:rsidP="008F2DED" w14:paraId="134CBBA1" w14:textId="01C6C8E3">
      <w:pPr>
        <w:pStyle w:val="ListParagraph"/>
        <w:ind w:left="720" w:firstLine="0"/>
        <w:rPr>
          <w:sz w:val="24"/>
          <w:szCs w:val="24"/>
        </w:rPr>
      </w:pPr>
    </w:p>
    <w:p w:rsidR="008F2DED" w:rsidRPr="008F2DED" w:rsidP="008F2DED" w14:paraId="233F0C49" w14:textId="77777777">
      <w:pPr>
        <w:rPr>
          <w:sz w:val="24"/>
          <w:szCs w:val="24"/>
        </w:rPr>
      </w:pPr>
      <w:r w:rsidRPr="008F2DED">
        <w:rPr>
          <w:sz w:val="24"/>
          <w:szCs w:val="24"/>
        </w:rPr>
        <w:t>This information collection is necessary to:</w:t>
      </w:r>
      <w:r w:rsidRPr="008F2DED" w:rsidR="493F1F80">
        <w:rPr>
          <w:sz w:val="24"/>
          <w:szCs w:val="24"/>
        </w:rPr>
        <w:t xml:space="preserve"> </w:t>
      </w:r>
    </w:p>
    <w:p w:rsidR="008F2DED" w:rsidRPr="008F2DED" w:rsidP="008F2DED" w14:paraId="035020E2" w14:textId="44104A8C">
      <w:pPr>
        <w:pStyle w:val="ListParagraph"/>
        <w:numPr>
          <w:ilvl w:val="0"/>
          <w:numId w:val="15"/>
        </w:numPr>
        <w:rPr>
          <w:sz w:val="24"/>
          <w:szCs w:val="24"/>
          <w:u w:val="none"/>
        </w:rPr>
      </w:pPr>
      <w:r w:rsidRPr="02742FBE">
        <w:rPr>
          <w:sz w:val="24"/>
          <w:szCs w:val="24"/>
          <w:u w:val="none"/>
        </w:rPr>
        <w:t>S</w:t>
      </w:r>
      <w:r w:rsidRPr="02742FBE" w:rsidR="000F2F61">
        <w:rPr>
          <w:sz w:val="24"/>
          <w:szCs w:val="24"/>
          <w:u w:val="none"/>
        </w:rPr>
        <w:t>upport Bureau functions by monitoring for risks to consumers in the offering or provision of consumer financial products or services, including developments in markets for such products or services, pursuant to 12 U.S.C. 5512(c)(1</w:t>
      </w:r>
      <w:r w:rsidRPr="02742FBE" w:rsidR="000F2F61">
        <w:rPr>
          <w:sz w:val="24"/>
          <w:szCs w:val="24"/>
          <w:u w:val="none"/>
        </w:rPr>
        <w:t>);</w:t>
      </w:r>
    </w:p>
    <w:p w:rsidR="00BF4CC0" w:rsidP="008F2DED" w14:paraId="06C1F21F" w14:textId="293903FF">
      <w:pPr>
        <w:pStyle w:val="ListParagraph"/>
        <w:numPr>
          <w:ilvl w:val="0"/>
          <w:numId w:val="15"/>
        </w:numPr>
        <w:rPr>
          <w:sz w:val="24"/>
          <w:szCs w:val="24"/>
          <w:u w:val="none"/>
        </w:rPr>
      </w:pPr>
      <w:r w:rsidRPr="02742FBE">
        <w:rPr>
          <w:sz w:val="24"/>
          <w:szCs w:val="24"/>
          <w:u w:val="none"/>
        </w:rPr>
        <w:t>P</w:t>
      </w:r>
      <w:r w:rsidRPr="02742FBE" w:rsidR="000F2F61">
        <w:rPr>
          <w:sz w:val="24"/>
          <w:szCs w:val="24"/>
          <w:u w:val="none"/>
        </w:rPr>
        <w:t>rescribe rules regarding registration requirements applicable to nonbank covered persons, pursuant to 12 U.S.C. 5512(c)(7</w:t>
      </w:r>
      <w:r w:rsidRPr="02742FBE" w:rsidR="000F2F61">
        <w:rPr>
          <w:sz w:val="24"/>
          <w:szCs w:val="24"/>
          <w:u w:val="none"/>
        </w:rPr>
        <w:t>);</w:t>
      </w:r>
      <w:r w:rsidRPr="02742FBE" w:rsidR="000F2F61">
        <w:rPr>
          <w:sz w:val="24"/>
          <w:szCs w:val="24"/>
          <w:u w:val="none"/>
        </w:rPr>
        <w:t xml:space="preserve"> </w:t>
      </w:r>
    </w:p>
    <w:p w:rsidR="008F2DED" w:rsidRPr="008F2DED" w:rsidP="008F2DED" w14:paraId="064DAA3F" w14:textId="44A9DF3A">
      <w:pPr>
        <w:pStyle w:val="ListParagraph"/>
        <w:numPr>
          <w:ilvl w:val="0"/>
          <w:numId w:val="15"/>
        </w:numPr>
        <w:rPr>
          <w:sz w:val="24"/>
          <w:szCs w:val="24"/>
          <w:u w:val="none"/>
        </w:rPr>
      </w:pPr>
      <w:r w:rsidRPr="02742FBE">
        <w:rPr>
          <w:sz w:val="24"/>
          <w:szCs w:val="24"/>
          <w:u w:val="none"/>
        </w:rPr>
        <w:t>F</w:t>
      </w:r>
      <w:r w:rsidRPr="02742FBE" w:rsidR="08580EF4">
        <w:rPr>
          <w:sz w:val="24"/>
          <w:szCs w:val="24"/>
          <w:u w:val="none"/>
        </w:rPr>
        <w:t xml:space="preserve">acilitate supervision of persons described in 12 U.S.C. 5514(a)(1), pursuant to 12 U.S.C. </w:t>
      </w:r>
      <w:r w:rsidRPr="02742FBE" w:rsidR="08580EF4">
        <w:rPr>
          <w:sz w:val="24"/>
          <w:szCs w:val="24"/>
          <w:u w:val="none"/>
        </w:rPr>
        <w:t>5514(b);</w:t>
      </w:r>
      <w:r w:rsidRPr="02742FBE" w:rsidR="08580EF4">
        <w:rPr>
          <w:sz w:val="24"/>
          <w:szCs w:val="24"/>
          <w:u w:val="none"/>
        </w:rPr>
        <w:t xml:space="preserve"> </w:t>
      </w:r>
    </w:p>
    <w:p w:rsidR="008F2DED" w:rsidRPr="008F2DED" w:rsidP="008F2DED" w14:paraId="6733A33B" w14:textId="3DA28312">
      <w:pPr>
        <w:pStyle w:val="ListParagraph"/>
        <w:numPr>
          <w:ilvl w:val="0"/>
          <w:numId w:val="15"/>
        </w:numPr>
        <w:rPr>
          <w:sz w:val="24"/>
          <w:szCs w:val="24"/>
          <w:u w:val="none"/>
        </w:rPr>
      </w:pPr>
      <w:r w:rsidRPr="02742FBE">
        <w:rPr>
          <w:sz w:val="24"/>
          <w:szCs w:val="24"/>
          <w:u w:val="none"/>
        </w:rPr>
        <w:t>A</w:t>
      </w:r>
      <w:r w:rsidRPr="02742FBE" w:rsidR="000F2F61">
        <w:rPr>
          <w:sz w:val="24"/>
          <w:szCs w:val="24"/>
          <w:u w:val="none"/>
        </w:rPr>
        <w:t>ssess and detect risks to consumers, pursuant to 12 U.S.C. 5514(b); and</w:t>
      </w:r>
    </w:p>
    <w:p w:rsidR="0040425C" w:rsidRPr="008F2DED" w:rsidP="008F2DED" w14:paraId="58476B7A" w14:textId="054C867F">
      <w:pPr>
        <w:pStyle w:val="ListParagraph"/>
        <w:numPr>
          <w:ilvl w:val="0"/>
          <w:numId w:val="15"/>
        </w:numPr>
        <w:rPr>
          <w:sz w:val="24"/>
          <w:szCs w:val="24"/>
          <w:u w:val="none"/>
        </w:rPr>
      </w:pPr>
      <w:r w:rsidRPr="02742FBE">
        <w:rPr>
          <w:sz w:val="24"/>
          <w:szCs w:val="24"/>
          <w:u w:val="none"/>
        </w:rPr>
        <w:t>E</w:t>
      </w:r>
      <w:r w:rsidRPr="02742FBE" w:rsidR="000F2F61">
        <w:rPr>
          <w:sz w:val="24"/>
          <w:szCs w:val="24"/>
          <w:u w:val="none"/>
        </w:rPr>
        <w:t xml:space="preserve">nsure that persons described in 12 U.S.C. 5514(a)(1) are legitimate entities and </w:t>
      </w:r>
      <w:r w:rsidRPr="02742FBE" w:rsidR="00C65E7E">
        <w:rPr>
          <w:sz w:val="24"/>
          <w:szCs w:val="24"/>
          <w:u w:val="none"/>
        </w:rPr>
        <w:t>are able to</w:t>
      </w:r>
      <w:r w:rsidRPr="02742FBE" w:rsidR="00C65E7E">
        <w:rPr>
          <w:sz w:val="24"/>
          <w:szCs w:val="24"/>
          <w:u w:val="none"/>
        </w:rPr>
        <w:t xml:space="preserve"> </w:t>
      </w:r>
      <w:r w:rsidRPr="02742FBE" w:rsidR="000F2F61">
        <w:rPr>
          <w:sz w:val="24"/>
          <w:szCs w:val="24"/>
          <w:u w:val="none"/>
        </w:rPr>
        <w:t>perform their obligations to consumers, pursuant to 12 U.S.C. 5514(b).</w:t>
      </w:r>
      <w:r w:rsidRPr="02742FBE" w:rsidR="001F7134">
        <w:rPr>
          <w:sz w:val="24"/>
          <w:szCs w:val="24"/>
          <w:u w:val="none"/>
        </w:rPr>
        <w:t xml:space="preserve"> </w:t>
      </w:r>
    </w:p>
    <w:p w:rsidR="00106560" w:rsidRPr="008F2DED" w:rsidP="008F2DED" w14:paraId="53CFECF2" w14:textId="77777777">
      <w:pPr>
        <w:rPr>
          <w:i/>
          <w:iCs/>
          <w:sz w:val="24"/>
          <w:szCs w:val="24"/>
        </w:rPr>
      </w:pPr>
    </w:p>
    <w:p w:rsidR="00106560" w:rsidRPr="008F2DED" w:rsidP="008F2DED" w14:paraId="46A4E5FC" w14:textId="24E666E7">
      <w:pPr>
        <w:widowControl/>
        <w:autoSpaceDE/>
        <w:autoSpaceDN/>
        <w:contextualSpacing/>
        <w:rPr>
          <w:sz w:val="24"/>
          <w:szCs w:val="24"/>
        </w:rPr>
      </w:pPr>
      <w:r w:rsidRPr="02742FBE">
        <w:rPr>
          <w:sz w:val="24"/>
          <w:szCs w:val="24"/>
        </w:rPr>
        <w:t>The Bureau</w:t>
      </w:r>
      <w:r w:rsidRPr="02742FBE" w:rsidR="003D7432">
        <w:rPr>
          <w:sz w:val="24"/>
          <w:szCs w:val="24"/>
        </w:rPr>
        <w:t xml:space="preserve"> is issuing this final rule to require</w:t>
      </w:r>
      <w:r w:rsidRPr="02742FBE" w:rsidR="0943DA90">
        <w:rPr>
          <w:sz w:val="24"/>
          <w:szCs w:val="24"/>
        </w:rPr>
        <w:t xml:space="preserve"> </w:t>
      </w:r>
      <w:r w:rsidRPr="02742FBE">
        <w:rPr>
          <w:sz w:val="24"/>
          <w:szCs w:val="24"/>
        </w:rPr>
        <w:t>certain nonbank covered person entities (</w:t>
      </w:r>
      <w:r w:rsidRPr="02742FBE" w:rsidR="00102735">
        <w:rPr>
          <w:sz w:val="24"/>
          <w:szCs w:val="24"/>
        </w:rPr>
        <w:t>with exclusions for insured depository institutions, insured credit unions, related persons, States, certain other entities, and natural persons</w:t>
      </w:r>
      <w:r w:rsidRPr="02742FBE" w:rsidR="005A596C">
        <w:rPr>
          <w:sz w:val="24"/>
          <w:szCs w:val="24"/>
        </w:rPr>
        <w:t>)</w:t>
      </w:r>
      <w:r w:rsidRPr="02742FBE" w:rsidR="00592673">
        <w:rPr>
          <w:sz w:val="24"/>
          <w:szCs w:val="24"/>
        </w:rPr>
        <w:t xml:space="preserve"> </w:t>
      </w:r>
      <w:r w:rsidRPr="02742FBE" w:rsidR="00E0302A">
        <w:rPr>
          <w:sz w:val="24"/>
          <w:szCs w:val="24"/>
        </w:rPr>
        <w:t>to register with the Bureau if they are subject to</w:t>
      </w:r>
      <w:r w:rsidRPr="02742FBE">
        <w:rPr>
          <w:sz w:val="24"/>
          <w:szCs w:val="24"/>
        </w:rPr>
        <w:t xml:space="preserve"> certain final public orders obtained or issued by a Federal, State, or local agency based on an alleged violation of a “covered law</w:t>
      </w:r>
      <w:r w:rsidRPr="02742FBE" w:rsidR="0064192C">
        <w:rPr>
          <w:sz w:val="24"/>
          <w:szCs w:val="24"/>
        </w:rPr>
        <w:t>.</w:t>
      </w:r>
      <w:r w:rsidRPr="02742FBE">
        <w:rPr>
          <w:sz w:val="24"/>
          <w:szCs w:val="24"/>
        </w:rPr>
        <w:t>”</w:t>
      </w:r>
      <w:r w:rsidRPr="02742FBE" w:rsidR="008F2DED">
        <w:rPr>
          <w:sz w:val="24"/>
          <w:szCs w:val="24"/>
        </w:rPr>
        <w:t xml:space="preserve">  </w:t>
      </w:r>
      <w:r w:rsidRPr="02742FBE">
        <w:rPr>
          <w:sz w:val="24"/>
          <w:szCs w:val="24"/>
        </w:rPr>
        <w:t>Under the</w:t>
      </w:r>
      <w:r w:rsidRPr="02742FBE" w:rsidR="005C7EA7">
        <w:rPr>
          <w:sz w:val="24"/>
          <w:szCs w:val="24"/>
        </w:rPr>
        <w:t xml:space="preserve"> rule,</w:t>
      </w:r>
      <w:r w:rsidRPr="02742FBE">
        <w:rPr>
          <w:sz w:val="24"/>
          <w:szCs w:val="24"/>
        </w:rPr>
        <w:t xml:space="preserve"> the term “covered law” </w:t>
      </w:r>
      <w:r w:rsidRPr="02742FBE" w:rsidR="00D903F7">
        <w:rPr>
          <w:sz w:val="24"/>
          <w:szCs w:val="24"/>
        </w:rPr>
        <w:t>i</w:t>
      </w:r>
      <w:r w:rsidRPr="02742FBE">
        <w:rPr>
          <w:sz w:val="24"/>
          <w:szCs w:val="24"/>
        </w:rPr>
        <w:t>nclude</w:t>
      </w:r>
      <w:r w:rsidRPr="02742FBE" w:rsidR="002E3DBC">
        <w:rPr>
          <w:sz w:val="24"/>
          <w:szCs w:val="24"/>
        </w:rPr>
        <w:t>s</w:t>
      </w:r>
      <w:r w:rsidRPr="02742FBE" w:rsidR="33037D0D">
        <w:rPr>
          <w:sz w:val="24"/>
          <w:szCs w:val="24"/>
        </w:rPr>
        <w:t xml:space="preserve">, to the extent that the violation of law </w:t>
      </w:r>
      <w:r w:rsidR="00B24619">
        <w:rPr>
          <w:sz w:val="24"/>
          <w:szCs w:val="24"/>
        </w:rPr>
        <w:t>found or alleged</w:t>
      </w:r>
      <w:r w:rsidRPr="02742FBE" w:rsidR="33037D0D">
        <w:rPr>
          <w:sz w:val="24"/>
          <w:szCs w:val="24"/>
        </w:rPr>
        <w:t xml:space="preserve"> arises out of conduct in connection with the offering or provision of a consumer financial product or service</w:t>
      </w:r>
      <w:r w:rsidRPr="02742FBE">
        <w:rPr>
          <w:sz w:val="24"/>
          <w:szCs w:val="24"/>
        </w:rPr>
        <w:t>:</w:t>
      </w:r>
    </w:p>
    <w:p w:rsidR="003917D1" w:rsidRPr="008F2DED" w:rsidP="008F2DED" w14:paraId="4B5DA088" w14:textId="77777777">
      <w:pPr>
        <w:widowControl/>
        <w:autoSpaceDE/>
        <w:autoSpaceDN/>
        <w:contextualSpacing/>
        <w:rPr>
          <w:sz w:val="24"/>
          <w:szCs w:val="24"/>
        </w:rPr>
      </w:pPr>
    </w:p>
    <w:p w:rsidR="008F2DED" w:rsidRPr="008F2DED" w:rsidP="008F2DED" w14:paraId="3F86A9C7" w14:textId="2DE06F54">
      <w:pPr>
        <w:pStyle w:val="ListParagraph"/>
        <w:widowControl/>
        <w:numPr>
          <w:ilvl w:val="0"/>
          <w:numId w:val="16"/>
        </w:numPr>
        <w:autoSpaceDE/>
        <w:autoSpaceDN/>
        <w:contextualSpacing/>
        <w:rPr>
          <w:sz w:val="24"/>
          <w:szCs w:val="24"/>
          <w:u w:val="none"/>
        </w:rPr>
      </w:pPr>
      <w:r w:rsidRPr="008F2DED">
        <w:rPr>
          <w:sz w:val="24"/>
          <w:szCs w:val="24"/>
          <w:u w:val="none"/>
        </w:rPr>
        <w:t xml:space="preserve">A Federal consumer financial law, as that term is defined by 12 U.S.C. </w:t>
      </w:r>
      <w:r w:rsidRPr="008F2DED" w:rsidR="00D7502D">
        <w:rPr>
          <w:sz w:val="24"/>
          <w:szCs w:val="24"/>
          <w:u w:val="none"/>
        </w:rPr>
        <w:t>5481.</w:t>
      </w:r>
    </w:p>
    <w:p w:rsidR="008F2DED" w:rsidRPr="008F2DED" w:rsidP="008F2DED" w14:paraId="504FAAA3" w14:textId="4C02B2AA">
      <w:pPr>
        <w:pStyle w:val="ListParagraph"/>
        <w:widowControl/>
        <w:numPr>
          <w:ilvl w:val="0"/>
          <w:numId w:val="16"/>
        </w:numPr>
        <w:autoSpaceDE/>
        <w:autoSpaceDN/>
        <w:contextualSpacing/>
        <w:rPr>
          <w:sz w:val="24"/>
          <w:szCs w:val="24"/>
          <w:u w:val="none"/>
        </w:rPr>
      </w:pPr>
      <w:r w:rsidRPr="008F2DED">
        <w:rPr>
          <w:sz w:val="24"/>
          <w:szCs w:val="24"/>
          <w:u w:val="none"/>
        </w:rPr>
        <w:t xml:space="preserve">Any other law as to which the Bureau may exercise enforcement </w:t>
      </w:r>
      <w:r w:rsidRPr="008F2DED" w:rsidR="00D7502D">
        <w:rPr>
          <w:sz w:val="24"/>
          <w:szCs w:val="24"/>
          <w:u w:val="none"/>
        </w:rPr>
        <w:t>authority.</w:t>
      </w:r>
    </w:p>
    <w:p w:rsidR="008F2DED" w:rsidRPr="008F2DED" w:rsidP="008F2DED" w14:paraId="24F94F8E" w14:textId="5AC8DAE7">
      <w:pPr>
        <w:pStyle w:val="ListParagraph"/>
        <w:widowControl/>
        <w:numPr>
          <w:ilvl w:val="0"/>
          <w:numId w:val="16"/>
        </w:numPr>
        <w:autoSpaceDE/>
        <w:autoSpaceDN/>
        <w:contextualSpacing/>
        <w:rPr>
          <w:sz w:val="24"/>
          <w:szCs w:val="24"/>
          <w:u w:val="none"/>
        </w:rPr>
      </w:pPr>
      <w:r w:rsidRPr="008F2DED">
        <w:rPr>
          <w:sz w:val="24"/>
          <w:szCs w:val="24"/>
          <w:u w:val="none"/>
        </w:rPr>
        <w:t>The prohibition on unfair or deceptive acts or practices under Section 5 of the Federal Trade Commission Act</w:t>
      </w:r>
      <w:r w:rsidR="0012325E">
        <w:rPr>
          <w:sz w:val="24"/>
          <w:szCs w:val="24"/>
          <w:u w:val="none"/>
        </w:rPr>
        <w:t>,</w:t>
      </w:r>
      <w:r w:rsidR="00476454">
        <w:rPr>
          <w:sz w:val="24"/>
          <w:szCs w:val="24"/>
          <w:u w:val="none"/>
        </w:rPr>
        <w:t xml:space="preserve"> </w:t>
      </w:r>
      <w:r w:rsidRPr="008F2DED">
        <w:rPr>
          <w:sz w:val="24"/>
          <w:szCs w:val="24"/>
          <w:u w:val="none"/>
        </w:rPr>
        <w:t>15 U.S.C. 45</w:t>
      </w:r>
      <w:r w:rsidR="0012325E">
        <w:rPr>
          <w:sz w:val="24"/>
          <w:szCs w:val="24"/>
          <w:u w:val="none"/>
        </w:rPr>
        <w:t>,</w:t>
      </w:r>
      <w:r w:rsidRPr="008F2DED">
        <w:rPr>
          <w:sz w:val="24"/>
          <w:szCs w:val="24"/>
          <w:u w:val="none"/>
        </w:rPr>
        <w:t xml:space="preserve"> </w:t>
      </w:r>
      <w:r w:rsidRPr="008F2DED" w:rsidR="005462EF">
        <w:rPr>
          <w:sz w:val="24"/>
          <w:szCs w:val="24"/>
          <w:u w:val="none"/>
        </w:rPr>
        <w:t xml:space="preserve">or a rule or order </w:t>
      </w:r>
      <w:r w:rsidRPr="008F2DED" w:rsidR="00CB62A5">
        <w:rPr>
          <w:sz w:val="24"/>
          <w:szCs w:val="24"/>
          <w:u w:val="none"/>
        </w:rPr>
        <w:t xml:space="preserve">issued for the purpose of implementing that </w:t>
      </w:r>
      <w:r w:rsidRPr="008F2DED" w:rsidR="00D7502D">
        <w:rPr>
          <w:sz w:val="24"/>
          <w:szCs w:val="24"/>
          <w:u w:val="none"/>
        </w:rPr>
        <w:t>prohibition.</w:t>
      </w:r>
    </w:p>
    <w:p w:rsidR="008F2DED" w:rsidRPr="008F2DED" w:rsidP="008F2DED" w14:paraId="745BC002" w14:textId="5456C221">
      <w:pPr>
        <w:pStyle w:val="ListParagraph"/>
        <w:widowControl/>
        <w:numPr>
          <w:ilvl w:val="0"/>
          <w:numId w:val="16"/>
        </w:numPr>
        <w:autoSpaceDE/>
        <w:autoSpaceDN/>
        <w:contextualSpacing/>
        <w:rPr>
          <w:sz w:val="24"/>
          <w:szCs w:val="24"/>
          <w:u w:val="none"/>
        </w:rPr>
      </w:pPr>
      <w:r w:rsidRPr="008F2DED">
        <w:rPr>
          <w:sz w:val="24"/>
          <w:szCs w:val="24"/>
          <w:u w:val="none"/>
        </w:rPr>
        <w:t>A State law prohibiting unfair, deceptive, or abusive</w:t>
      </w:r>
      <w:r w:rsidRPr="008F2DED" w:rsidR="715A29C5">
        <w:rPr>
          <w:sz w:val="24"/>
          <w:szCs w:val="24"/>
          <w:u w:val="none"/>
        </w:rPr>
        <w:t xml:space="preserve"> </w:t>
      </w:r>
      <w:r w:rsidRPr="008F2DED">
        <w:rPr>
          <w:sz w:val="24"/>
          <w:szCs w:val="24"/>
          <w:u w:val="none"/>
        </w:rPr>
        <w:t>acts or practices</w:t>
      </w:r>
      <w:r w:rsidRPr="008F2DED" w:rsidR="56C42300">
        <w:rPr>
          <w:sz w:val="24"/>
          <w:szCs w:val="24"/>
          <w:u w:val="none"/>
        </w:rPr>
        <w:t xml:space="preserve"> that is identified in </w:t>
      </w:r>
      <w:r w:rsidR="00710824">
        <w:rPr>
          <w:sz w:val="24"/>
          <w:szCs w:val="24"/>
          <w:u w:val="none"/>
        </w:rPr>
        <w:t xml:space="preserve">Appendix A to the final </w:t>
      </w:r>
      <w:r w:rsidR="00D7502D">
        <w:rPr>
          <w:sz w:val="24"/>
          <w:szCs w:val="24"/>
          <w:u w:val="none"/>
        </w:rPr>
        <w:t>rule</w:t>
      </w:r>
      <w:r w:rsidRPr="008F2DED" w:rsidR="00D7502D">
        <w:rPr>
          <w:sz w:val="24"/>
          <w:szCs w:val="24"/>
          <w:u w:val="none"/>
        </w:rPr>
        <w:t>.</w:t>
      </w:r>
    </w:p>
    <w:p w:rsidR="008F2DED" w:rsidRPr="008F2DED" w:rsidP="008F2DED" w14:paraId="40224C65" w14:textId="1BC0FDCA">
      <w:pPr>
        <w:pStyle w:val="ListParagraph"/>
        <w:widowControl/>
        <w:numPr>
          <w:ilvl w:val="0"/>
          <w:numId w:val="16"/>
        </w:numPr>
        <w:autoSpaceDE/>
        <w:autoSpaceDN/>
        <w:contextualSpacing/>
        <w:rPr>
          <w:sz w:val="24"/>
          <w:szCs w:val="24"/>
          <w:u w:val="none"/>
        </w:rPr>
      </w:pPr>
      <w:r w:rsidRPr="008F2DED">
        <w:rPr>
          <w:sz w:val="24"/>
          <w:szCs w:val="24"/>
          <w:u w:val="none"/>
        </w:rPr>
        <w:t xml:space="preserve">A State law amending or otherwise succeeding such a State law, to the extent such law is materially </w:t>
      </w:r>
      <w:r w:rsidRPr="008F2DED">
        <w:rPr>
          <w:sz w:val="24"/>
          <w:szCs w:val="24"/>
          <w:u w:val="none"/>
        </w:rPr>
        <w:t>similar to</w:t>
      </w:r>
      <w:r w:rsidRPr="008F2DED">
        <w:rPr>
          <w:sz w:val="24"/>
          <w:szCs w:val="24"/>
          <w:u w:val="none"/>
        </w:rPr>
        <w:t xml:space="preserve"> its predecessor</w:t>
      </w:r>
      <w:r w:rsidR="00D7502D">
        <w:rPr>
          <w:sz w:val="24"/>
          <w:szCs w:val="24"/>
          <w:u w:val="none"/>
        </w:rPr>
        <w:t>,</w:t>
      </w:r>
      <w:r w:rsidRPr="008F2DED">
        <w:rPr>
          <w:sz w:val="24"/>
          <w:szCs w:val="24"/>
          <w:u w:val="none"/>
        </w:rPr>
        <w:t xml:space="preserve"> or</w:t>
      </w:r>
    </w:p>
    <w:p w:rsidR="002056A2" w:rsidRPr="008F2DED" w:rsidP="008F2DED" w14:paraId="22F37872" w14:textId="53716451">
      <w:pPr>
        <w:pStyle w:val="ListParagraph"/>
        <w:widowControl/>
        <w:numPr>
          <w:ilvl w:val="0"/>
          <w:numId w:val="16"/>
        </w:numPr>
        <w:autoSpaceDE/>
        <w:autoSpaceDN/>
        <w:contextualSpacing/>
        <w:rPr>
          <w:sz w:val="24"/>
          <w:szCs w:val="24"/>
        </w:rPr>
      </w:pPr>
      <w:r w:rsidRPr="008F2DED">
        <w:rPr>
          <w:sz w:val="24"/>
          <w:szCs w:val="24"/>
          <w:u w:val="none"/>
        </w:rPr>
        <w:t xml:space="preserve">A rule or order issued by a </w:t>
      </w:r>
      <w:r w:rsidRPr="008F2DED">
        <w:rPr>
          <w:sz w:val="24"/>
          <w:szCs w:val="24"/>
          <w:u w:val="none"/>
        </w:rPr>
        <w:t>State</w:t>
      </w:r>
      <w:r w:rsidRPr="008F2DED">
        <w:rPr>
          <w:sz w:val="24"/>
          <w:szCs w:val="24"/>
          <w:u w:val="none"/>
        </w:rPr>
        <w:t xml:space="preserve"> agency for the purpose of implementing such a prohibition</w:t>
      </w:r>
      <w:r w:rsidRPr="008F2DED" w:rsidR="192E808D">
        <w:rPr>
          <w:sz w:val="24"/>
          <w:szCs w:val="24"/>
          <w:u w:val="none"/>
        </w:rPr>
        <w:t xml:space="preserve"> o</w:t>
      </w:r>
      <w:r w:rsidRPr="008F2DED" w:rsidR="695685C2">
        <w:rPr>
          <w:sz w:val="24"/>
          <w:szCs w:val="24"/>
          <w:u w:val="none"/>
        </w:rPr>
        <w:t>f</w:t>
      </w:r>
      <w:r w:rsidRPr="008F2DED" w:rsidR="192E808D">
        <w:rPr>
          <w:sz w:val="24"/>
          <w:szCs w:val="24"/>
          <w:u w:val="none"/>
        </w:rPr>
        <w:t xml:space="preserve"> unfair, deceptive, or abusive acts or practices</w:t>
      </w:r>
      <w:r w:rsidRPr="008F2DED" w:rsidR="38CA69E3">
        <w:rPr>
          <w:sz w:val="24"/>
          <w:szCs w:val="24"/>
          <w:u w:val="none"/>
        </w:rPr>
        <w:t>.</w:t>
      </w:r>
    </w:p>
    <w:p w:rsidR="0011753A" w:rsidRPr="008F2DED" w:rsidP="008F2DED" w14:paraId="71608215" w14:textId="77777777">
      <w:pPr>
        <w:pStyle w:val="ListParagraph"/>
        <w:widowControl/>
        <w:autoSpaceDE/>
        <w:autoSpaceDN/>
        <w:ind w:left="720" w:firstLine="0"/>
        <w:contextualSpacing/>
        <w:rPr>
          <w:sz w:val="24"/>
          <w:szCs w:val="24"/>
        </w:rPr>
      </w:pPr>
    </w:p>
    <w:p w:rsidR="00C1713D" w:rsidRPr="00A47FDF" w:rsidP="008F2DED" w14:paraId="4CD97C93" w14:textId="548EB1A4">
      <w:pPr>
        <w:pStyle w:val="paragraph"/>
        <w:spacing w:before="0" w:beforeAutospacing="0" w:after="0" w:afterAutospacing="0"/>
        <w:textAlignment w:val="baseline"/>
        <w:rPr>
          <w:i/>
          <w:iCs/>
        </w:rPr>
      </w:pPr>
      <w:r w:rsidRPr="00A47FDF">
        <w:rPr>
          <w:rStyle w:val="normaltextrun"/>
          <w:i/>
          <w:iCs/>
        </w:rPr>
        <w:t xml:space="preserve">Legal authority to register </w:t>
      </w:r>
      <w:r w:rsidRPr="00A47FDF">
        <w:rPr>
          <w:rStyle w:val="normaltextrun"/>
          <w:i/>
          <w:iCs/>
        </w:rPr>
        <w:t>nonbanks</w:t>
      </w:r>
      <w:r w:rsidRPr="00A47FDF">
        <w:rPr>
          <w:rStyle w:val="eop"/>
          <w:i/>
          <w:iCs/>
        </w:rPr>
        <w:t> </w:t>
      </w:r>
    </w:p>
    <w:p w:rsidR="00C1713D" w:rsidRPr="00A47FDF" w:rsidP="008F2DED" w14:paraId="4E8CFE53" w14:textId="77777777">
      <w:pPr>
        <w:pStyle w:val="paragraph"/>
        <w:spacing w:before="0" w:beforeAutospacing="0" w:after="0" w:afterAutospacing="0"/>
        <w:ind w:right="1035" w:firstLine="720"/>
        <w:textAlignment w:val="baseline"/>
      </w:pPr>
      <w:r w:rsidRPr="00A47FDF">
        <w:rPr>
          <w:rStyle w:val="eop"/>
          <w:color w:val="000000"/>
        </w:rPr>
        <w:t> </w:t>
      </w:r>
    </w:p>
    <w:p w:rsidR="00C1713D" w:rsidRPr="00A47FDF" w:rsidP="728D92B8" w14:paraId="120597B6" w14:textId="0B02C5FD">
      <w:pPr>
        <w:pStyle w:val="paragraph"/>
        <w:spacing w:before="0" w:beforeAutospacing="0" w:after="0" w:afterAutospacing="0"/>
        <w:ind w:right="-30"/>
        <w:textAlignment w:val="baseline"/>
        <w:rPr>
          <w:rStyle w:val="eop"/>
          <w:color w:val="000000" w:themeColor="text1"/>
        </w:rPr>
      </w:pPr>
      <w:r w:rsidRPr="00A47FDF">
        <w:rPr>
          <w:rStyle w:val="normaltextrun"/>
          <w:color w:val="000000"/>
          <w:shd w:val="clear" w:color="auto" w:fill="FFFFFF"/>
        </w:rPr>
        <w:t>Sections 1022 and 1024 of the</w:t>
      </w:r>
      <w:r w:rsidRPr="00A47FDF" w:rsidR="00E16C09">
        <w:rPr>
          <w:rStyle w:val="normaltextrun"/>
          <w:color w:val="000000"/>
          <w:shd w:val="clear" w:color="auto" w:fill="FFFFFF"/>
        </w:rPr>
        <w:t xml:space="preserve"> </w:t>
      </w:r>
      <w:r w:rsidRPr="00A47FDF" w:rsidR="00E56A34">
        <w:rPr>
          <w:rStyle w:val="normaltextrun"/>
          <w:color w:val="000000"/>
          <w:shd w:val="clear" w:color="auto" w:fill="FFFFFF"/>
        </w:rPr>
        <w:t>Dodd-Frank Act</w:t>
      </w:r>
      <w:r>
        <w:rPr>
          <w:rStyle w:val="FootnoteReference"/>
          <w:color w:val="000000"/>
          <w:shd w:val="clear" w:color="auto" w:fill="FFFFFF"/>
        </w:rPr>
        <w:footnoteReference w:id="3"/>
      </w:r>
      <w:r w:rsidRPr="00A47FDF" w:rsidR="00FD107D">
        <w:rPr>
          <w:rStyle w:val="normaltextrun"/>
          <w:color w:val="000000"/>
          <w:shd w:val="clear" w:color="auto" w:fill="FFFFFF"/>
        </w:rPr>
        <w:t xml:space="preserve"> provide authority to register nonbanks</w:t>
      </w:r>
      <w:r w:rsidRPr="00A47FDF">
        <w:rPr>
          <w:rStyle w:val="normaltextrun"/>
          <w:color w:val="000000"/>
          <w:shd w:val="clear" w:color="auto" w:fill="FFFFFF"/>
        </w:rPr>
        <w:t xml:space="preserve">.  A discussion of these authorities is </w:t>
      </w:r>
      <w:r w:rsidRPr="00A47FDF" w:rsidR="2037096B">
        <w:rPr>
          <w:rStyle w:val="normaltextrun"/>
          <w:color w:val="000000"/>
          <w:shd w:val="clear" w:color="auto" w:fill="FFFFFF"/>
        </w:rPr>
        <w:t>provided</w:t>
      </w:r>
      <w:r w:rsidRPr="00A47FDF">
        <w:rPr>
          <w:rStyle w:val="normaltextrun"/>
          <w:color w:val="000000"/>
          <w:shd w:val="clear" w:color="auto" w:fill="FFFFFF"/>
        </w:rPr>
        <w:t xml:space="preserve"> below. </w:t>
      </w:r>
      <w:r w:rsidRPr="00A47FDF">
        <w:rPr>
          <w:rStyle w:val="eop"/>
          <w:color w:val="000000"/>
        </w:rPr>
        <w:t> </w:t>
      </w:r>
    </w:p>
    <w:p w:rsidR="00C1713D" w:rsidRPr="00A47FDF" w:rsidP="728D92B8" w14:paraId="7B99E79F" w14:textId="77777777">
      <w:pPr>
        <w:pStyle w:val="paragraph"/>
        <w:spacing w:before="0" w:beforeAutospacing="0" w:after="0" w:afterAutospacing="0"/>
        <w:ind w:right="1035"/>
        <w:textAlignment w:val="baseline"/>
        <w:rPr>
          <w:rStyle w:val="eop"/>
          <w:color w:val="000000" w:themeColor="text1"/>
        </w:rPr>
      </w:pPr>
      <w:r w:rsidRPr="00A47FDF">
        <w:rPr>
          <w:rStyle w:val="eop"/>
          <w:color w:val="000000" w:themeColor="text1"/>
        </w:rPr>
        <w:t> </w:t>
      </w:r>
    </w:p>
    <w:p w:rsidR="00426481" w:rsidRPr="008F2DED" w:rsidP="008F2DED" w14:paraId="2FDEE692" w14:textId="12235DE5">
      <w:pPr>
        <w:pStyle w:val="paragraph"/>
        <w:spacing w:before="0" w:beforeAutospacing="0" w:after="0" w:afterAutospacing="0"/>
        <w:textAlignment w:val="baseline"/>
        <w:rPr>
          <w:rStyle w:val="normaltextrun"/>
        </w:rPr>
      </w:pPr>
      <w:r w:rsidRPr="00A47FDF">
        <w:rPr>
          <w:rStyle w:val="normaltextrun"/>
          <w:u w:val="single"/>
        </w:rPr>
        <w:t>Sections 1022(b) and (c)</w:t>
      </w:r>
      <w:r w:rsidRPr="008F2DED">
        <w:rPr>
          <w:rStyle w:val="normaltextrun"/>
        </w:rPr>
        <w:t xml:space="preserve"> </w:t>
      </w:r>
    </w:p>
    <w:p w:rsidR="00426481" w:rsidRPr="008F2DED" w:rsidP="008F2DED" w14:paraId="5BDD0C91" w14:textId="77777777">
      <w:pPr>
        <w:pStyle w:val="paragraph"/>
        <w:spacing w:before="0" w:beforeAutospacing="0" w:after="0" w:afterAutospacing="0"/>
        <w:ind w:firstLine="720"/>
        <w:textAlignment w:val="baseline"/>
        <w:rPr>
          <w:rStyle w:val="normaltextrun"/>
        </w:rPr>
      </w:pPr>
    </w:p>
    <w:p w:rsidR="00C1713D" w:rsidRPr="008F2DED" w:rsidP="008F2DED" w14:paraId="0D44B613" w14:textId="15403925">
      <w:pPr>
        <w:pStyle w:val="paragraph"/>
        <w:spacing w:before="0" w:beforeAutospacing="0" w:after="0" w:afterAutospacing="0"/>
        <w:textAlignment w:val="baseline"/>
        <w:rPr>
          <w:u w:val="single"/>
        </w:rPr>
      </w:pPr>
      <w:r w:rsidRPr="008F2DED">
        <w:rPr>
          <w:rStyle w:val="normaltextrun"/>
        </w:rPr>
        <w:t xml:space="preserve">Section 1022(b) of the Dodd-Frank Act authorizes the Bureau to prescribe rules as </w:t>
      </w:r>
      <w:r w:rsidRPr="008F2DED" w:rsidR="00C62B8B">
        <w:rPr>
          <w:rStyle w:val="normaltextrun"/>
        </w:rPr>
        <w:t>may be</w:t>
      </w:r>
      <w:r w:rsidRPr="008F2DED">
        <w:rPr>
          <w:rStyle w:val="normaltextrun"/>
        </w:rPr>
        <w:t xml:space="preserve"> necessary or appropriate to enable the Bureau to administer and carry out the purposes and objectives of the Federal consumer financial laws, and to prevent evasions thereof. </w:t>
      </w:r>
      <w:r w:rsidRPr="008F2DED">
        <w:rPr>
          <w:rStyle w:val="eop"/>
        </w:rPr>
        <w:t> </w:t>
      </w:r>
    </w:p>
    <w:p w:rsidR="00C1713D" w:rsidRPr="008F2DED" w:rsidP="008F2DED" w14:paraId="2009B6AB" w14:textId="77777777">
      <w:pPr>
        <w:pStyle w:val="paragraph"/>
        <w:spacing w:before="0" w:beforeAutospacing="0" w:after="0" w:afterAutospacing="0"/>
        <w:ind w:firstLine="720"/>
        <w:textAlignment w:val="baseline"/>
      </w:pPr>
      <w:r w:rsidRPr="008F2DED">
        <w:rPr>
          <w:rStyle w:val="eop"/>
        </w:rPr>
        <w:t> </w:t>
      </w:r>
    </w:p>
    <w:p w:rsidR="001F2BBE" w:rsidRPr="008F2DED" w:rsidP="008F2DED" w14:paraId="4FBF44FE" w14:textId="2BA4EEEB">
      <w:pPr>
        <w:pStyle w:val="paragraph"/>
        <w:spacing w:before="0" w:beforeAutospacing="0" w:after="0" w:afterAutospacing="0"/>
        <w:textAlignment w:val="baseline"/>
        <w:rPr>
          <w:rStyle w:val="normaltextrun"/>
        </w:rPr>
      </w:pPr>
      <w:r w:rsidRPr="008F2DED">
        <w:rPr>
          <w:rStyle w:val="normaltextrun"/>
        </w:rPr>
        <w:t>Section 1022(c)(1) of the Dodd-Frank Act</w:t>
      </w:r>
      <w:r w:rsidR="008E3F55">
        <w:rPr>
          <w:rStyle w:val="normaltextrun"/>
        </w:rPr>
        <w:t xml:space="preserve"> provides that, </w:t>
      </w:r>
      <w:r w:rsidR="008E3F55">
        <w:rPr>
          <w:rStyle w:val="normaltextrun"/>
        </w:rPr>
        <w:t>in order to</w:t>
      </w:r>
      <w:r w:rsidR="008E3F55">
        <w:rPr>
          <w:rStyle w:val="normaltextrun"/>
        </w:rPr>
        <w:t xml:space="preserve"> support its rulemaking and other functions,</w:t>
      </w:r>
      <w:r w:rsidRPr="008F2DED">
        <w:rPr>
          <w:rStyle w:val="normaltextrun"/>
        </w:rPr>
        <w:t xml:space="preserve"> the Bureau</w:t>
      </w:r>
      <w:r w:rsidR="007B73DC">
        <w:rPr>
          <w:rStyle w:val="normaltextrun"/>
        </w:rPr>
        <w:t xml:space="preserve"> shall</w:t>
      </w:r>
      <w:r w:rsidRPr="008F2DED">
        <w:rPr>
          <w:rStyle w:val="normaltextrun"/>
        </w:rPr>
        <w:t xml:space="preserve"> monitor for risks to consumers in the offering or provision of consumer financial products or services, including developments in the markets for such products or services</w:t>
      </w:r>
      <w:r w:rsidRPr="008F2DED" w:rsidR="2A3C14F3">
        <w:rPr>
          <w:rStyle w:val="normaltextrun"/>
        </w:rPr>
        <w:t>.</w:t>
      </w:r>
      <w:r w:rsidRPr="008F2DED">
        <w:rPr>
          <w:rStyle w:val="normaltextrun"/>
        </w:rPr>
        <w:t>  Section 1022(c)(2) of the Dodd-Frank Act authorizes the Bureau to allocate resources to perform monitoring required by section 1022(c)(1) by considering specified factors, among others</w:t>
      </w:r>
      <w:r w:rsidRPr="008F2DED" w:rsidR="6B28D2DB">
        <w:rPr>
          <w:rStyle w:val="normaltextrun"/>
        </w:rPr>
        <w:t>.</w:t>
      </w:r>
      <w:r w:rsidRPr="008F2DED" w:rsidR="6EA7E89B">
        <w:rPr>
          <w:rStyle w:val="normaltextrun"/>
        </w:rPr>
        <w:t xml:space="preserve">  The specified factors are </w:t>
      </w:r>
      <w:r w:rsidRPr="008F2DED" w:rsidR="054040F5">
        <w:t>“likely risks and costs to consumers associated with buying or using a type of consumer financial product or service,” “understanding by consumers of the risks of a type of consumer financial product or service,” “the legal protections applicable to the offering or provision of a consumer financial product or service, including the extent to which the law is likely to adequately protect consumers,” “rates of growth in the offering or provision of a consumer financial product or service,” “the extent, if any, to which the risks of a consumer financial product or service may disproportionately affect traditionally underserved consumers,” and “the types, number, and other pertinent characteristics of covered persons that offer or provide the consumer financial product or service.”</w:t>
      </w:r>
      <w:r w:rsidRPr="008F2DED">
        <w:rPr>
          <w:rStyle w:val="normaltextrun"/>
        </w:rPr>
        <w:t xml:space="preserve">  </w:t>
      </w:r>
    </w:p>
    <w:p w:rsidR="001F2BBE" w:rsidRPr="008F2DED" w:rsidP="008F2DED" w14:paraId="19DA8E24" w14:textId="77777777">
      <w:pPr>
        <w:pStyle w:val="paragraph"/>
        <w:spacing w:before="0" w:beforeAutospacing="0" w:after="0" w:afterAutospacing="0"/>
        <w:ind w:firstLine="720"/>
        <w:textAlignment w:val="baseline"/>
        <w:rPr>
          <w:rStyle w:val="normaltextrun"/>
        </w:rPr>
      </w:pPr>
    </w:p>
    <w:p w:rsidR="00C1713D" w:rsidRPr="008F2DED" w:rsidP="008F2DED" w14:paraId="2FB187B4" w14:textId="2A8CA036">
      <w:pPr>
        <w:pStyle w:val="paragraph"/>
        <w:spacing w:before="0" w:beforeAutospacing="0" w:after="0" w:afterAutospacing="0"/>
        <w:textAlignment w:val="baseline"/>
      </w:pPr>
      <w:r w:rsidRPr="008F2DED">
        <w:rPr>
          <w:rStyle w:val="normaltextrun"/>
        </w:rPr>
        <w:t>Section 1022(c)(4)(A) of the Dodd-Frank Act also authorizes the Bureau to conduct monitoring required by section 1022(c)(1) by “gather[</w:t>
      </w:r>
      <w:r w:rsidRPr="008F2DED">
        <w:rPr>
          <w:rStyle w:val="normaltextrun"/>
        </w:rPr>
        <w:t>ing</w:t>
      </w:r>
      <w:r w:rsidRPr="008F2DED">
        <w:rPr>
          <w:rStyle w:val="normaltextrun"/>
        </w:rPr>
        <w:t>] information from time to time regarding the organization, business conduct, markets, and activities of covered persons and service providers</w:t>
      </w:r>
      <w:r w:rsidRPr="008F2DED" w:rsidR="53C7D62B">
        <w:rPr>
          <w:rStyle w:val="normaltextrun"/>
        </w:rPr>
        <w:t>.</w:t>
      </w:r>
      <w:r w:rsidRPr="008F2DED" w:rsidR="161E9195">
        <w:rPr>
          <w:rStyle w:val="normaltextrun"/>
        </w:rPr>
        <w:t xml:space="preserve">”  </w:t>
      </w:r>
      <w:r w:rsidRPr="008F2DED" w:rsidR="3C0CED3C">
        <w:rPr>
          <w:rStyle w:val="normaltextrun"/>
        </w:rPr>
        <w:t>Section 1022(c)(4)(B)</w:t>
      </w:r>
      <w:r w:rsidRPr="008F2DED" w:rsidR="1704CF7C">
        <w:rPr>
          <w:rStyle w:val="normaltextrun"/>
        </w:rPr>
        <w:t>(ii)</w:t>
      </w:r>
      <w:r w:rsidRPr="008F2DED" w:rsidR="3C0CED3C">
        <w:rPr>
          <w:rStyle w:val="normaltextrun"/>
        </w:rPr>
        <w:t xml:space="preserve"> of the Dodd-Frank Act provides that</w:t>
      </w:r>
      <w:r w:rsidRPr="008F2DED" w:rsidR="53C7D62B">
        <w:rPr>
          <w:rStyle w:val="normaltextrun"/>
        </w:rPr>
        <w:t xml:space="preserve"> </w:t>
      </w:r>
      <w:r w:rsidRPr="008F2DED" w:rsidR="3C0CED3C">
        <w:rPr>
          <w:rStyle w:val="normaltextrun"/>
        </w:rPr>
        <w:t>t</w:t>
      </w:r>
      <w:r w:rsidRPr="008F2DED">
        <w:rPr>
          <w:rStyle w:val="normaltextrun"/>
        </w:rPr>
        <w:t xml:space="preserve">he Bureau is authorized to gather this information by, among other things, requiring covered persons </w:t>
      </w:r>
      <w:r w:rsidRPr="008F2DED" w:rsidR="34835D73">
        <w:rPr>
          <w:rStyle w:val="normaltextrun"/>
        </w:rPr>
        <w:t xml:space="preserve">and service providers </w:t>
      </w:r>
      <w:r w:rsidRPr="008F2DED">
        <w:rPr>
          <w:rStyle w:val="normaltextrun"/>
        </w:rPr>
        <w:t>participating in markets for consumer financial products and services to file annual or special reports</w:t>
      </w:r>
      <w:r w:rsidRPr="008F2DED" w:rsidR="1FFBF18C">
        <w:rPr>
          <w:rStyle w:val="normaltextrun"/>
        </w:rPr>
        <w:t>, or answers in writing to specific questions</w:t>
      </w:r>
      <w:r w:rsidRPr="008F2DED" w:rsidR="00C3EE99">
        <w:rPr>
          <w:rStyle w:val="normaltextrun"/>
        </w:rPr>
        <w:t xml:space="preserve">, furnishing the information </w:t>
      </w:r>
      <w:r w:rsidRPr="008F2DED" w:rsidR="5D85ACCB">
        <w:rPr>
          <w:rStyle w:val="normaltextrun"/>
        </w:rPr>
        <w:t>“</w:t>
      </w:r>
      <w:r w:rsidRPr="008F2DED" w:rsidR="00C3EE99">
        <w:rPr>
          <w:rStyle w:val="normaltextrun"/>
        </w:rPr>
        <w:t>as necessary for the Bureau to fulfill its monitoring, assessment, and reporting responsibilities imposed by Congress</w:t>
      </w:r>
      <w:r w:rsidRPr="008F2DED" w:rsidR="2D27E8E8">
        <w:rPr>
          <w:rStyle w:val="normaltextrun"/>
        </w:rPr>
        <w:t>.</w:t>
      </w:r>
      <w:r w:rsidRPr="008F2DED" w:rsidR="021B91A5">
        <w:rPr>
          <w:rStyle w:val="normaltextrun"/>
        </w:rPr>
        <w:t>”</w:t>
      </w:r>
      <w:r w:rsidRPr="008F2DED">
        <w:rPr>
          <w:rStyle w:val="normaltextrun"/>
        </w:rPr>
        <w:t xml:space="preserve"> The Bureau may require such reports to be filed “in such form and within such reasonable period of time as the Bureau may prescribe by rule or order.”</w:t>
      </w:r>
    </w:p>
    <w:p w:rsidR="00426481" w:rsidRPr="008F2DED" w:rsidP="008F2DED" w14:paraId="2C3055C9" w14:textId="77777777">
      <w:pPr>
        <w:pStyle w:val="paragraph"/>
        <w:spacing w:before="0" w:beforeAutospacing="0" w:after="0" w:afterAutospacing="0"/>
        <w:ind w:firstLine="720"/>
        <w:textAlignment w:val="baseline"/>
        <w:rPr>
          <w:rStyle w:val="eop"/>
        </w:rPr>
      </w:pPr>
      <w:r w:rsidRPr="008F2DED">
        <w:rPr>
          <w:rStyle w:val="eop"/>
        </w:rPr>
        <w:t> </w:t>
      </w:r>
    </w:p>
    <w:p w:rsidR="00C1713D" w:rsidRPr="008F2DED" w:rsidP="008F2DED" w14:paraId="1A4FB8C0" w14:textId="056FC6F5">
      <w:pPr>
        <w:pStyle w:val="paragraph"/>
        <w:spacing w:before="0" w:beforeAutospacing="0" w:after="0" w:afterAutospacing="0"/>
        <w:textAlignment w:val="baseline"/>
      </w:pPr>
      <w:r w:rsidRPr="008F2DED">
        <w:rPr>
          <w:rStyle w:val="normaltextrun"/>
        </w:rPr>
        <w:t>Section 1022(c)(7)</w:t>
      </w:r>
      <w:r w:rsidRPr="008F2DED" w:rsidR="005A538A">
        <w:rPr>
          <w:rStyle w:val="normaltextrun"/>
        </w:rPr>
        <w:t>(</w:t>
      </w:r>
      <w:r w:rsidRPr="008F2DED" w:rsidR="00F12AA3">
        <w:rPr>
          <w:rStyle w:val="normaltextrun"/>
        </w:rPr>
        <w:t>A</w:t>
      </w:r>
      <w:r w:rsidRPr="008F2DED" w:rsidR="005A538A">
        <w:rPr>
          <w:rStyle w:val="normaltextrun"/>
        </w:rPr>
        <w:t>)</w:t>
      </w:r>
      <w:r w:rsidRPr="008F2DED">
        <w:rPr>
          <w:rStyle w:val="normaltextrun"/>
        </w:rPr>
        <w:t xml:space="preserve"> of the Dodd-Frank Act further authorizes the Bureau to prescribe rules regarding registration requirements applicable to a covered person, other than an insured depository institution, insured credit union, or related person.</w:t>
      </w:r>
      <w:r w:rsidRPr="008F2DED">
        <w:rPr>
          <w:rStyle w:val="eop"/>
        </w:rPr>
        <w:t> </w:t>
      </w:r>
    </w:p>
    <w:p w:rsidR="00C1713D" w:rsidRPr="008F2DED" w:rsidP="008F2DED" w14:paraId="7F6F6767" w14:textId="77777777">
      <w:pPr>
        <w:pStyle w:val="paragraph"/>
        <w:spacing w:before="0" w:beforeAutospacing="0" w:after="0" w:afterAutospacing="0"/>
        <w:ind w:firstLine="720"/>
        <w:textAlignment w:val="baseline"/>
      </w:pPr>
      <w:r w:rsidRPr="008F2DED">
        <w:rPr>
          <w:rStyle w:val="eop"/>
        </w:rPr>
        <w:t> </w:t>
      </w:r>
    </w:p>
    <w:p w:rsidR="00C1713D" w:rsidRPr="008F2DED" w:rsidP="008F2DED" w14:paraId="6FDEC976" w14:textId="379D1852">
      <w:pPr>
        <w:pStyle w:val="paragraph"/>
        <w:spacing w:before="0" w:beforeAutospacing="0" w:after="0" w:afterAutospacing="0"/>
        <w:textAlignment w:val="baseline"/>
        <w:rPr>
          <w:rStyle w:val="eop"/>
        </w:rPr>
      </w:pPr>
      <w:r w:rsidRPr="008F2DED">
        <w:rPr>
          <w:rStyle w:val="normaltextrun"/>
        </w:rPr>
        <w:t>Finally, sections 1022(c)(3) and 1022(c)(7)(B) authorize the Bureau to publicly release information obtained pursuant to Dodd-Frank Act section 1022(c), subject to limitations specified therein</w:t>
      </w:r>
      <w:r w:rsidRPr="008F2DED" w:rsidR="00E30CA4">
        <w:rPr>
          <w:rStyle w:val="normaltextrun"/>
        </w:rPr>
        <w:t>.</w:t>
      </w:r>
      <w:r w:rsidRPr="008F2DED">
        <w:rPr>
          <w:rStyle w:val="normaltextrun"/>
        </w:rPr>
        <w:t>  Specifically, section 1022(c)(3)</w:t>
      </w:r>
      <w:r w:rsidRPr="008F2DED" w:rsidR="002E4372">
        <w:rPr>
          <w:rStyle w:val="normaltextrun"/>
        </w:rPr>
        <w:t>(B</w:t>
      </w:r>
      <w:r w:rsidRPr="008F2DED">
        <w:rPr>
          <w:rStyle w:val="normaltextrun"/>
        </w:rPr>
        <w:t>) states that the Bureau “may make public such information obtained by the Bureau under [section 1022] as is in the public interest, through aggregated reports or other appropriate formats designed to protect confidential information in accordance with [specified protections in section 1022].</w:t>
      </w:r>
      <w:r w:rsidRPr="008F2DED" w:rsidR="00E30CA4">
        <w:rPr>
          <w:rStyle w:val="normaltextrun"/>
        </w:rPr>
        <w:t>”</w:t>
      </w:r>
      <w:r w:rsidRPr="008F2DED">
        <w:rPr>
          <w:rStyle w:val="normaltextrun"/>
        </w:rPr>
        <w:t>  And section 1022(c)(7)(B) states that “[s]</w:t>
      </w:r>
      <w:r w:rsidRPr="008F2DED">
        <w:rPr>
          <w:rStyle w:val="normaltextrun"/>
        </w:rPr>
        <w:t>ubject</w:t>
      </w:r>
      <w:r w:rsidRPr="008F2DED">
        <w:rPr>
          <w:rStyle w:val="normaltextrun"/>
        </w:rPr>
        <w:t xml:space="preserve"> to rules prescribed by the Bureau, the Bureau may publicly disclose registration information to facilitate the ability of consumers to identify covered persons that are registered with the Bureau.</w:t>
      </w:r>
      <w:r w:rsidRPr="008F2DED" w:rsidR="00E30CA4">
        <w:rPr>
          <w:rStyle w:val="normaltextrun"/>
        </w:rPr>
        <w:t>”</w:t>
      </w:r>
      <w:r w:rsidRPr="008F2DED">
        <w:rPr>
          <w:rStyle w:val="normaltextrun"/>
        </w:rPr>
        <w:t>  Information submitted to the Bureau’s registry is protected by, among other things, section 1022(c)(8), which states that “[</w:t>
      </w:r>
      <w:r w:rsidRPr="008F2DED" w:rsidR="00611135">
        <w:rPr>
          <w:rStyle w:val="normaltextrun"/>
        </w:rPr>
        <w:t>i</w:t>
      </w:r>
      <w:r w:rsidRPr="008F2DED">
        <w:rPr>
          <w:rStyle w:val="normaltextrun"/>
        </w:rPr>
        <w:t>]n … publicly releasing information held by the Bureau, or requiring covered persons to publicly report information, the Bureau shall take steps to ensure that proprietary, personal, or confidential consumer information that is protected from public disclosure under [the Freedom of Information Act, 5 U.S.C. § 552</w:t>
      </w:r>
      <w:r w:rsidRPr="008F2DED" w:rsidR="48E692E7">
        <w:rPr>
          <w:rStyle w:val="normaltextrun"/>
        </w:rPr>
        <w:t>(b)</w:t>
      </w:r>
      <w:r w:rsidRPr="008F2DED">
        <w:rPr>
          <w:rStyle w:val="normaltextrun"/>
        </w:rPr>
        <w:t>] or [the Privacy Act of 1974, 5 U.S.C. 552a], or any other provision of law, is not made public under [the CFPA].”</w:t>
      </w:r>
      <w:r w:rsidRPr="008F2DED">
        <w:rPr>
          <w:rStyle w:val="eop"/>
        </w:rPr>
        <w:t> </w:t>
      </w:r>
    </w:p>
    <w:p w:rsidR="00C70068" w:rsidRPr="008F2DED" w:rsidP="008F2DED" w14:paraId="2E74A6CA" w14:textId="5C14EDC9">
      <w:pPr>
        <w:pStyle w:val="paragraph"/>
        <w:spacing w:before="0" w:beforeAutospacing="0" w:after="0" w:afterAutospacing="0"/>
        <w:ind w:firstLine="720"/>
        <w:textAlignment w:val="baseline"/>
        <w:rPr>
          <w:rStyle w:val="eop"/>
        </w:rPr>
      </w:pPr>
    </w:p>
    <w:p w:rsidR="00C1713D" w:rsidRPr="008F2DED" w:rsidP="00FD107D" w14:paraId="45DF9D91" w14:textId="77777777">
      <w:pPr>
        <w:pStyle w:val="paragraph"/>
        <w:spacing w:before="0" w:beforeAutospacing="0" w:after="0" w:afterAutospacing="0"/>
        <w:textAlignment w:val="baseline"/>
        <w:rPr>
          <w:u w:val="single"/>
        </w:rPr>
      </w:pPr>
      <w:r w:rsidRPr="008F2DED">
        <w:rPr>
          <w:rStyle w:val="normaltextrun"/>
          <w:u w:val="single"/>
        </w:rPr>
        <w:t>Section 1024(b)</w:t>
      </w:r>
      <w:r w:rsidRPr="008F2DED">
        <w:rPr>
          <w:rStyle w:val="normaltextrun"/>
        </w:rPr>
        <w:t> </w:t>
      </w:r>
      <w:r w:rsidRPr="008F2DED">
        <w:rPr>
          <w:rStyle w:val="eop"/>
        </w:rPr>
        <w:t> </w:t>
      </w:r>
    </w:p>
    <w:p w:rsidR="00C1713D" w:rsidRPr="008F2DED" w:rsidP="008F2DED" w14:paraId="2EACADED" w14:textId="77777777">
      <w:pPr>
        <w:pStyle w:val="paragraph"/>
        <w:spacing w:before="0" w:beforeAutospacing="0" w:after="0" w:afterAutospacing="0"/>
        <w:textAlignment w:val="baseline"/>
      </w:pPr>
      <w:r w:rsidRPr="008F2DED">
        <w:rPr>
          <w:rStyle w:val="eop"/>
        </w:rPr>
        <w:t> </w:t>
      </w:r>
    </w:p>
    <w:p w:rsidR="00C1713D" w:rsidRPr="008F2DED" w:rsidP="008F2DED" w14:paraId="3199264E" w14:textId="357B6F94">
      <w:pPr>
        <w:pStyle w:val="paragraph"/>
        <w:spacing w:before="0" w:beforeAutospacing="0" w:after="0" w:afterAutospacing="0"/>
        <w:textAlignment w:val="baseline"/>
        <w:rPr>
          <w:rStyle w:val="normaltextrun"/>
        </w:rPr>
      </w:pPr>
      <w:r w:rsidRPr="008F2DED">
        <w:rPr>
          <w:rStyle w:val="normaltextrun"/>
        </w:rPr>
        <w:t xml:space="preserve">Section 1024(b)(7)(A) of the Dodd-Frank Act authorizes the Bureau to </w:t>
      </w:r>
      <w:r w:rsidRPr="008F2DED" w:rsidR="536093F6">
        <w:rPr>
          <w:rStyle w:val="normaltextrun"/>
        </w:rPr>
        <w:t xml:space="preserve">“prescribe rules to facilitate </w:t>
      </w:r>
      <w:r w:rsidRPr="008F2DED" w:rsidR="6D8E5829">
        <w:rPr>
          <w:rStyle w:val="normaltextrun"/>
        </w:rPr>
        <w:t>supervision</w:t>
      </w:r>
      <w:r w:rsidRPr="008F2DED" w:rsidR="2538257D">
        <w:rPr>
          <w:rStyle w:val="normaltextrun"/>
        </w:rPr>
        <w:t>”</w:t>
      </w:r>
      <w:r w:rsidRPr="008F2DED" w:rsidR="6D8E5829">
        <w:rPr>
          <w:rStyle w:val="normaltextrun"/>
        </w:rPr>
        <w:t xml:space="preserve"> of</w:t>
      </w:r>
      <w:r w:rsidRPr="008F2DED">
        <w:rPr>
          <w:rStyle w:val="normaltextrun"/>
        </w:rPr>
        <w:t xml:space="preserve"> nonbank covered persons subject to the Bureau’s supervisory authority and </w:t>
      </w:r>
      <w:r w:rsidRPr="008F2DED" w:rsidR="5A6A59FB">
        <w:rPr>
          <w:rStyle w:val="normaltextrun"/>
        </w:rPr>
        <w:t>“</w:t>
      </w:r>
      <w:r w:rsidRPr="008F2DED">
        <w:rPr>
          <w:rStyle w:val="normaltextrun"/>
        </w:rPr>
        <w:t>assessment and detection of risks to consumers</w:t>
      </w:r>
      <w:r w:rsidRPr="008F2DED" w:rsidR="7DE3DDB0">
        <w:rPr>
          <w:rStyle w:val="normaltextrun"/>
        </w:rPr>
        <w:t>.</w:t>
      </w:r>
      <w:r w:rsidRPr="008F2DED" w:rsidR="5A6A59FB">
        <w:rPr>
          <w:rStyle w:val="normaltextrun"/>
        </w:rPr>
        <w:t>”  Section 1024(b)(7)(B)</w:t>
      </w:r>
      <w:r w:rsidRPr="008F2DED" w:rsidR="2B364E5E">
        <w:rPr>
          <w:rStyle w:val="normaltextrun"/>
        </w:rPr>
        <w:t xml:space="preserve"> authorizes the Bureau</w:t>
      </w:r>
      <w:r w:rsidRPr="008F2DED" w:rsidR="1EB010CF">
        <w:rPr>
          <w:rStyle w:val="normaltextrun"/>
        </w:rPr>
        <w:t xml:space="preserve"> </w:t>
      </w:r>
      <w:r w:rsidRPr="008F2DED" w:rsidR="72CB6650">
        <w:rPr>
          <w:rStyle w:val="normaltextrun"/>
        </w:rPr>
        <w:t xml:space="preserve">to require such persons </w:t>
      </w:r>
      <w:r w:rsidRPr="008F2DED" w:rsidR="69280E5E">
        <w:rPr>
          <w:rStyle w:val="normaltextrun"/>
        </w:rPr>
        <w:t xml:space="preserve">“to generate, provide, or retain records for the purposes of facilitating supervision </w:t>
      </w:r>
      <w:r w:rsidRPr="008F2DED" w:rsidR="10F617B9">
        <w:rPr>
          <w:rStyle w:val="normaltextrun"/>
        </w:rPr>
        <w:t>of such persons and assessing and detecting risks to consumers.</w:t>
      </w:r>
      <w:r w:rsidRPr="008F2DED" w:rsidR="439079D3">
        <w:rPr>
          <w:rStyle w:val="normaltextrun"/>
        </w:rPr>
        <w:t>”</w:t>
      </w:r>
      <w:r w:rsidRPr="008F2DED">
        <w:rPr>
          <w:rStyle w:val="normaltextrun"/>
        </w:rPr>
        <w:t xml:space="preserve">  Section 1024(b)(7)(C) authorizes the Bureau to prescribe </w:t>
      </w:r>
      <w:r w:rsidRPr="008F2DED" w:rsidR="538C61A0">
        <w:rPr>
          <w:rStyle w:val="normaltextrun"/>
        </w:rPr>
        <w:t xml:space="preserve">rules </w:t>
      </w:r>
      <w:r w:rsidRPr="008F2DED">
        <w:rPr>
          <w:rStyle w:val="normaltextrun"/>
        </w:rPr>
        <w:t>“to ensure that such persons are legitimate entities and are able to perform their obligations to consumers.” </w:t>
      </w:r>
    </w:p>
    <w:p w:rsidR="00C1713D" w:rsidRPr="008F2DED" w:rsidP="008F2DED" w14:paraId="5B5F4391" w14:textId="77777777">
      <w:pPr>
        <w:pStyle w:val="paragraph"/>
        <w:spacing w:before="0" w:beforeAutospacing="0" w:after="0" w:afterAutospacing="0"/>
        <w:textAlignment w:val="baseline"/>
        <w:rPr>
          <w:rStyle w:val="normaltextrun"/>
        </w:rPr>
      </w:pPr>
      <w:r w:rsidRPr="008F2DED">
        <w:rPr>
          <w:rStyle w:val="normaltextrun"/>
        </w:rPr>
        <w:t> </w:t>
      </w:r>
    </w:p>
    <w:p w:rsidR="00C1713D" w:rsidRPr="008F2DED" w:rsidP="008F2DED" w14:paraId="2CB94146" w14:textId="233704AD">
      <w:pPr>
        <w:pStyle w:val="paragraph"/>
        <w:spacing w:before="0" w:beforeAutospacing="0" w:after="0" w:afterAutospacing="0"/>
        <w:textAlignment w:val="baseline"/>
        <w:rPr>
          <w:rStyle w:val="normaltextrun"/>
        </w:rPr>
      </w:pPr>
      <w:r w:rsidRPr="008F2DED">
        <w:rPr>
          <w:rStyle w:val="normaltextrun"/>
        </w:rPr>
        <w:t>In addition,</w:t>
      </w:r>
      <w:r w:rsidRPr="008F2DED" w:rsidR="004A5167">
        <w:rPr>
          <w:rStyle w:val="normaltextrun"/>
        </w:rPr>
        <w:t xml:space="preserve"> Section</w:t>
      </w:r>
      <w:r w:rsidRPr="008F2DED">
        <w:rPr>
          <w:rStyle w:val="normaltextrun"/>
        </w:rPr>
        <w:t xml:space="preserve"> 1024(b)(2) requires that the Bureau exercise its supervisory authority over nonbank covered persons based on its assessment of risks posed to consumers in the relevant product markets and geographic markets, and taking into consideration, as applicable</w:t>
      </w:r>
      <w:r w:rsidRPr="008F2DED" w:rsidR="00AF7D48">
        <w:rPr>
          <w:rStyle w:val="normaltextrun"/>
        </w:rPr>
        <w:t>,</w:t>
      </w:r>
      <w:r w:rsidRPr="008F2DED">
        <w:rPr>
          <w:rStyle w:val="normaltextrun"/>
        </w:rPr>
        <w:t xml:space="preserve"> “(A) the asset size of the covered person; (B) the volume of transactions involving consumer financial products or services in which the covered person engages; (C) the risks to consumers created by the provision of such consumer financial products or services; (D) the extent to which such institutions are subject to oversight by State authorities for consumer protection; and (E) any other factors that the Bureau determines to be relevant to a class of covered persons.” </w:t>
      </w:r>
    </w:p>
    <w:p w:rsidR="00C1713D" w:rsidRPr="008F2DED" w:rsidP="008F2DED" w14:paraId="1B5FE6BF" w14:textId="77777777">
      <w:pPr>
        <w:rPr>
          <w:sz w:val="24"/>
          <w:szCs w:val="24"/>
        </w:rPr>
      </w:pPr>
    </w:p>
    <w:p w:rsidR="0031486D" w:rsidRPr="008F2DED" w:rsidP="008F2DED" w14:paraId="15F0C127" w14:textId="6BCEF8A0">
      <w:pPr>
        <w:pStyle w:val="ListParagraph"/>
        <w:numPr>
          <w:ilvl w:val="0"/>
          <w:numId w:val="13"/>
        </w:numPr>
        <w:rPr>
          <w:b/>
          <w:bCs/>
          <w:sz w:val="24"/>
          <w:szCs w:val="24"/>
          <w:u w:val="none"/>
        </w:rPr>
      </w:pPr>
      <w:r w:rsidRPr="008F2DED">
        <w:rPr>
          <w:b/>
          <w:bCs/>
          <w:sz w:val="24"/>
          <w:szCs w:val="24"/>
          <w:u w:val="none"/>
        </w:rPr>
        <w:t>Indicate how, by whom, and for what purpose the information is to be used.  Except for a new collection, indicate the actual use the agency has made of the information received from the current collection.</w:t>
      </w:r>
    </w:p>
    <w:p w:rsidR="000F5D15" w:rsidRPr="008F2DED" w:rsidP="008F2DED" w14:paraId="7D1CFECC" w14:textId="5BD98409">
      <w:pPr>
        <w:pStyle w:val="BodyText"/>
      </w:pPr>
    </w:p>
    <w:p w:rsidR="00106560" w:rsidRPr="008F2DED" w:rsidP="008F2DED" w14:paraId="289560D3" w14:textId="716E8855">
      <w:pPr>
        <w:rPr>
          <w:i/>
          <w:iCs/>
          <w:sz w:val="24"/>
          <w:szCs w:val="24"/>
        </w:rPr>
      </w:pPr>
      <w:r w:rsidRPr="008F2DED">
        <w:rPr>
          <w:i/>
          <w:iCs/>
          <w:sz w:val="24"/>
          <w:szCs w:val="24"/>
        </w:rPr>
        <w:t xml:space="preserve">Purposes of Bureau </w:t>
      </w:r>
      <w:r w:rsidR="00573AAD">
        <w:rPr>
          <w:i/>
          <w:iCs/>
          <w:sz w:val="24"/>
          <w:szCs w:val="24"/>
        </w:rPr>
        <w:t>Rule</w:t>
      </w:r>
    </w:p>
    <w:p w:rsidR="00106560" w:rsidRPr="008F2DED" w:rsidP="008F2DED" w14:paraId="07C410F4" w14:textId="77777777">
      <w:pPr>
        <w:rPr>
          <w:sz w:val="24"/>
          <w:szCs w:val="24"/>
        </w:rPr>
      </w:pPr>
    </w:p>
    <w:p w:rsidR="00FD107D" w:rsidP="008F2DED" w14:paraId="79011FDE" w14:textId="3871125A">
      <w:pPr>
        <w:widowControl/>
        <w:autoSpaceDE/>
        <w:autoSpaceDN/>
        <w:contextualSpacing/>
        <w:rPr>
          <w:sz w:val="24"/>
          <w:szCs w:val="24"/>
        </w:rPr>
      </w:pPr>
      <w:r w:rsidRPr="008F2DED">
        <w:rPr>
          <w:sz w:val="24"/>
          <w:szCs w:val="24"/>
        </w:rPr>
        <w:t>Th</w:t>
      </w:r>
      <w:r w:rsidRPr="008F2DED" w:rsidR="6F4C3259">
        <w:rPr>
          <w:sz w:val="24"/>
          <w:szCs w:val="24"/>
        </w:rPr>
        <w:t>is is</w:t>
      </w:r>
      <w:r w:rsidRPr="008F2DED">
        <w:rPr>
          <w:sz w:val="24"/>
          <w:szCs w:val="24"/>
        </w:rPr>
        <w:t xml:space="preserve"> a new information collection.  </w:t>
      </w:r>
      <w:r w:rsidRPr="008F2DED" w:rsidR="743D4BC0">
        <w:rPr>
          <w:sz w:val="24"/>
          <w:szCs w:val="24"/>
        </w:rPr>
        <w:t xml:space="preserve">The purpose of the </w:t>
      </w:r>
      <w:r w:rsidR="00FC3688">
        <w:rPr>
          <w:sz w:val="24"/>
          <w:szCs w:val="24"/>
        </w:rPr>
        <w:t>rule</w:t>
      </w:r>
      <w:r w:rsidRPr="008F2DED" w:rsidR="00FC3688">
        <w:rPr>
          <w:sz w:val="24"/>
          <w:szCs w:val="24"/>
        </w:rPr>
        <w:t xml:space="preserve"> </w:t>
      </w:r>
      <w:r w:rsidRPr="008F2DED" w:rsidR="5618D564">
        <w:rPr>
          <w:sz w:val="24"/>
          <w:szCs w:val="24"/>
        </w:rPr>
        <w:t>is</w:t>
      </w:r>
      <w:r w:rsidRPr="008F2DED" w:rsidR="743D4BC0">
        <w:rPr>
          <w:sz w:val="24"/>
          <w:szCs w:val="24"/>
        </w:rPr>
        <w:t xml:space="preserve"> </w:t>
      </w:r>
      <w:r w:rsidRPr="008F2DED" w:rsidR="459BDA97">
        <w:rPr>
          <w:sz w:val="24"/>
          <w:szCs w:val="24"/>
        </w:rPr>
        <w:t>to</w:t>
      </w:r>
      <w:r>
        <w:rPr>
          <w:sz w:val="24"/>
          <w:szCs w:val="24"/>
        </w:rPr>
        <w:t>:</w:t>
      </w:r>
    </w:p>
    <w:p w:rsidR="00FD107D" w:rsidRPr="00FD107D" w:rsidP="00FD107D" w14:paraId="5F924CCC" w14:textId="64D9C8B5">
      <w:pPr>
        <w:pStyle w:val="ListParagraph"/>
        <w:widowControl/>
        <w:numPr>
          <w:ilvl w:val="0"/>
          <w:numId w:val="17"/>
        </w:numPr>
        <w:autoSpaceDE/>
        <w:autoSpaceDN/>
        <w:contextualSpacing/>
        <w:rPr>
          <w:sz w:val="24"/>
          <w:szCs w:val="24"/>
          <w:u w:val="none"/>
        </w:rPr>
      </w:pPr>
      <w:r>
        <w:rPr>
          <w:sz w:val="24"/>
          <w:szCs w:val="24"/>
          <w:u w:val="none"/>
        </w:rPr>
        <w:t>S</w:t>
      </w:r>
      <w:r w:rsidRPr="00FD107D" w:rsidR="000F2F61">
        <w:rPr>
          <w:sz w:val="24"/>
          <w:szCs w:val="24"/>
          <w:u w:val="none"/>
        </w:rPr>
        <w:t>upport Bureau functions by monitoring for risks to consumers in the offering or provision of consumer financial products or services, including developments in markets for such products or services, pursuant to 12 U.S.C. 5512(c)(1</w:t>
      </w:r>
      <w:r w:rsidRPr="00FD107D" w:rsidR="000F2F61">
        <w:rPr>
          <w:sz w:val="24"/>
          <w:szCs w:val="24"/>
          <w:u w:val="none"/>
        </w:rPr>
        <w:t>);</w:t>
      </w:r>
      <w:r w:rsidRPr="00FD107D" w:rsidR="000F2F61">
        <w:rPr>
          <w:sz w:val="24"/>
          <w:szCs w:val="24"/>
          <w:u w:val="none"/>
        </w:rPr>
        <w:t xml:space="preserve"> </w:t>
      </w:r>
    </w:p>
    <w:p w:rsidR="00FD107D" w:rsidRPr="00FD107D" w:rsidP="00FD107D" w14:paraId="2BD54488" w14:textId="174C7D85">
      <w:pPr>
        <w:pStyle w:val="ListParagraph"/>
        <w:widowControl/>
        <w:numPr>
          <w:ilvl w:val="0"/>
          <w:numId w:val="17"/>
        </w:numPr>
        <w:autoSpaceDE/>
        <w:autoSpaceDN/>
        <w:contextualSpacing/>
        <w:rPr>
          <w:sz w:val="24"/>
          <w:szCs w:val="24"/>
          <w:u w:val="none"/>
        </w:rPr>
      </w:pPr>
      <w:r>
        <w:rPr>
          <w:sz w:val="24"/>
          <w:szCs w:val="24"/>
          <w:u w:val="none"/>
        </w:rPr>
        <w:t>P</w:t>
      </w:r>
      <w:r w:rsidRPr="00FD107D" w:rsidR="000F2F61">
        <w:rPr>
          <w:sz w:val="24"/>
          <w:szCs w:val="24"/>
          <w:u w:val="none"/>
        </w:rPr>
        <w:t>rescribe rules regarding registration requirements applicable to nonbank covered persons, pursuant to 12 U.S.C. 5512(c)(7)</w:t>
      </w:r>
      <w:r w:rsidR="00CB3870">
        <w:rPr>
          <w:sz w:val="24"/>
          <w:szCs w:val="24"/>
          <w:u w:val="none"/>
        </w:rPr>
        <w:t>.</w:t>
      </w:r>
    </w:p>
    <w:p w:rsidR="0033708F" w:rsidP="00FD107D" w14:paraId="77B801F1" w14:textId="01DAD37E">
      <w:pPr>
        <w:pStyle w:val="ListParagraph"/>
        <w:widowControl/>
        <w:numPr>
          <w:ilvl w:val="0"/>
          <w:numId w:val="17"/>
        </w:numPr>
        <w:autoSpaceDE/>
        <w:autoSpaceDN/>
        <w:contextualSpacing/>
        <w:rPr>
          <w:sz w:val="24"/>
          <w:szCs w:val="24"/>
          <w:u w:val="none"/>
        </w:rPr>
      </w:pPr>
      <w:r>
        <w:rPr>
          <w:sz w:val="24"/>
          <w:szCs w:val="24"/>
          <w:u w:val="none"/>
        </w:rPr>
        <w:t>F</w:t>
      </w:r>
      <w:r w:rsidRPr="00FD107D" w:rsidR="000F2F61">
        <w:rPr>
          <w:sz w:val="24"/>
          <w:szCs w:val="24"/>
          <w:u w:val="none"/>
        </w:rPr>
        <w:t>acilitate the supervision of persons described in 12 U.S.C. 5514(a)(1), pursuant to 12 U.S.C. 5514(b)</w:t>
      </w:r>
      <w:r w:rsidR="00CB3870">
        <w:rPr>
          <w:sz w:val="24"/>
          <w:szCs w:val="24"/>
          <w:u w:val="none"/>
        </w:rPr>
        <w:t>.</w:t>
      </w:r>
    </w:p>
    <w:p w:rsidR="00FD107D" w:rsidRPr="00FD107D" w:rsidP="00FD107D" w14:paraId="5F2A17AE" w14:textId="11603635">
      <w:pPr>
        <w:pStyle w:val="ListParagraph"/>
        <w:widowControl/>
        <w:numPr>
          <w:ilvl w:val="0"/>
          <w:numId w:val="17"/>
        </w:numPr>
        <w:autoSpaceDE/>
        <w:autoSpaceDN/>
        <w:contextualSpacing/>
        <w:rPr>
          <w:sz w:val="24"/>
          <w:szCs w:val="24"/>
          <w:u w:val="none"/>
        </w:rPr>
      </w:pPr>
      <w:r>
        <w:rPr>
          <w:sz w:val="24"/>
          <w:szCs w:val="24"/>
          <w:u w:val="none"/>
        </w:rPr>
        <w:t>A</w:t>
      </w:r>
      <w:r w:rsidRPr="00FD107D" w:rsidR="000F2F61">
        <w:rPr>
          <w:sz w:val="24"/>
          <w:szCs w:val="24"/>
          <w:u w:val="none"/>
        </w:rPr>
        <w:t>ssess and detect risks to consumers, pursuant to 12 U.S.C. 5514(b); and</w:t>
      </w:r>
    </w:p>
    <w:p w:rsidR="00FD107D" w:rsidRPr="00CB3870" w:rsidP="00F31635" w14:paraId="3495E7CA" w14:textId="0B2CD31D">
      <w:pPr>
        <w:pStyle w:val="ListParagraph"/>
        <w:widowControl/>
        <w:numPr>
          <w:ilvl w:val="0"/>
          <w:numId w:val="17"/>
        </w:numPr>
        <w:autoSpaceDE/>
        <w:autoSpaceDN/>
        <w:contextualSpacing/>
        <w:rPr>
          <w:sz w:val="24"/>
          <w:szCs w:val="24"/>
        </w:rPr>
      </w:pPr>
      <w:r w:rsidRPr="00CB3870">
        <w:rPr>
          <w:sz w:val="24"/>
          <w:szCs w:val="24"/>
          <w:u w:val="none"/>
        </w:rPr>
        <w:t>E</w:t>
      </w:r>
      <w:r w:rsidRPr="00CB3870" w:rsidR="000F2F61">
        <w:rPr>
          <w:sz w:val="24"/>
          <w:szCs w:val="24"/>
          <w:u w:val="none"/>
        </w:rPr>
        <w:t>nsure that persons described in 12 U.S.C. 5514(a)(1) are legitimate entities and are able</w:t>
      </w:r>
      <w:r w:rsidR="00CB3870">
        <w:rPr>
          <w:sz w:val="24"/>
          <w:szCs w:val="24"/>
          <w:u w:val="none"/>
        </w:rPr>
        <w:t>.</w:t>
      </w:r>
    </w:p>
    <w:p w:rsidR="00CB3870" w:rsidP="00CB3870" w14:paraId="551795D9" w14:textId="77777777">
      <w:pPr>
        <w:widowControl/>
        <w:autoSpaceDE/>
        <w:autoSpaceDN/>
        <w:contextualSpacing/>
        <w:rPr>
          <w:sz w:val="24"/>
          <w:szCs w:val="24"/>
        </w:rPr>
      </w:pPr>
      <w:r>
        <w:rPr>
          <w:sz w:val="24"/>
          <w:szCs w:val="24"/>
        </w:rPr>
        <w:t xml:space="preserve"> </w:t>
      </w:r>
    </w:p>
    <w:p w:rsidR="00CB3870" w:rsidP="00CB3870" w14:paraId="60DB13AE" w14:textId="3FC79180">
      <w:pPr>
        <w:widowControl/>
        <w:autoSpaceDE/>
        <w:autoSpaceDN/>
        <w:contextualSpacing/>
        <w:rPr>
          <w:sz w:val="24"/>
          <w:szCs w:val="24"/>
        </w:rPr>
      </w:pPr>
      <w:r>
        <w:rPr>
          <w:sz w:val="24"/>
          <w:szCs w:val="24"/>
        </w:rPr>
        <w:t>To achieve these ends the rule requires:</w:t>
      </w:r>
    </w:p>
    <w:p w:rsidR="00CB3870" w:rsidRPr="00CB3870" w:rsidP="00CB3870" w14:paraId="0B9D7694" w14:textId="77777777">
      <w:pPr>
        <w:widowControl/>
        <w:autoSpaceDE/>
        <w:autoSpaceDN/>
        <w:contextualSpacing/>
        <w:rPr>
          <w:sz w:val="24"/>
          <w:szCs w:val="24"/>
        </w:rPr>
      </w:pPr>
    </w:p>
    <w:p w:rsidR="00CB3870" w:rsidRPr="00CB3870" w:rsidP="00CB3870" w14:paraId="3732D3D5" w14:textId="77777777">
      <w:pPr>
        <w:widowControl/>
        <w:autoSpaceDE/>
        <w:autoSpaceDN/>
        <w:contextualSpacing/>
        <w:rPr>
          <w:sz w:val="24"/>
          <w:szCs w:val="24"/>
        </w:rPr>
      </w:pPr>
    </w:p>
    <w:p w:rsidR="00CB3870" w:rsidRPr="008F2DED" w:rsidP="00CB3870" w14:paraId="616EEC11" w14:textId="4F8EDFF7">
      <w:pPr>
        <w:widowControl/>
        <w:autoSpaceDE/>
        <w:autoSpaceDN/>
        <w:contextualSpacing/>
        <w:rPr>
          <w:i/>
          <w:iCs/>
          <w:sz w:val="24"/>
          <w:szCs w:val="24"/>
        </w:rPr>
      </w:pPr>
      <w:r w:rsidRPr="008F2DED">
        <w:rPr>
          <w:i/>
          <w:iCs/>
          <w:sz w:val="24"/>
          <w:szCs w:val="24"/>
        </w:rPr>
        <w:t>Reporting obligation via registration</w:t>
      </w:r>
    </w:p>
    <w:p w:rsidR="00CB3870" w:rsidRPr="008F2DED" w:rsidP="00CB3870" w14:paraId="4851C27C" w14:textId="77777777">
      <w:pPr>
        <w:widowControl/>
        <w:autoSpaceDE/>
        <w:autoSpaceDN/>
        <w:contextualSpacing/>
        <w:rPr>
          <w:b/>
          <w:bCs/>
          <w:sz w:val="24"/>
          <w:szCs w:val="24"/>
        </w:rPr>
      </w:pPr>
    </w:p>
    <w:p w:rsidR="00CB3870" w:rsidRPr="008F2DED" w:rsidP="00CB3870" w14:paraId="039EE5D1" w14:textId="77777777">
      <w:pPr>
        <w:widowControl/>
        <w:autoSpaceDE/>
        <w:autoSpaceDN/>
        <w:contextualSpacing/>
        <w:rPr>
          <w:sz w:val="24"/>
          <w:szCs w:val="24"/>
        </w:rPr>
      </w:pPr>
      <w:r w:rsidRPr="02742FBE">
        <w:rPr>
          <w:sz w:val="24"/>
          <w:szCs w:val="24"/>
        </w:rPr>
        <w:t xml:space="preserve">Covered nonbanks are required to register all applicable final public orders and judgments, including consent and stipulated orders.  The requirement to report the existence of orders applies to orders with an effective date on or later than January 1, 2017, that remain in effect or take effect on or after the final rule’s effective date.  </w:t>
      </w:r>
    </w:p>
    <w:p w:rsidR="00CB3870" w:rsidRPr="008F2DED" w:rsidP="00CB3870" w14:paraId="01E34371" w14:textId="77777777">
      <w:pPr>
        <w:widowControl/>
        <w:autoSpaceDE/>
        <w:autoSpaceDN/>
        <w:ind w:firstLine="720"/>
        <w:contextualSpacing/>
        <w:rPr>
          <w:sz w:val="24"/>
          <w:szCs w:val="24"/>
        </w:rPr>
      </w:pPr>
    </w:p>
    <w:p w:rsidR="00CB3870" w:rsidP="00CB3870" w14:paraId="069F0897" w14:textId="77777777">
      <w:pPr>
        <w:widowControl/>
        <w:autoSpaceDE/>
        <w:autoSpaceDN/>
        <w:contextualSpacing/>
        <w:rPr>
          <w:sz w:val="24"/>
          <w:szCs w:val="24"/>
        </w:rPr>
      </w:pPr>
      <w:r w:rsidRPr="02742FBE">
        <w:rPr>
          <w:sz w:val="24"/>
          <w:szCs w:val="24"/>
        </w:rPr>
        <w:t>Registered nonbanks are required to submit and maintain updated identifying and administrative information, along with an accurate and updated copy of each covered order, for a period of up to the later of ten years after the order’s effective date or, if the covered order expressly provides for a termination date more than ten years after its effective date, the expressly provided termination date.  Only public portions of covered orders must be submitted.</w:t>
      </w:r>
    </w:p>
    <w:p w:rsidR="00CB3870" w:rsidP="00CB3870" w14:paraId="1E1947BA" w14:textId="77777777">
      <w:pPr>
        <w:widowControl/>
        <w:autoSpaceDE/>
        <w:autoSpaceDN/>
        <w:contextualSpacing/>
        <w:rPr>
          <w:sz w:val="24"/>
          <w:szCs w:val="24"/>
        </w:rPr>
      </w:pPr>
    </w:p>
    <w:p w:rsidR="00CB3870" w:rsidRPr="008F2DED" w:rsidP="00CB3870" w14:paraId="4AE15DE3" w14:textId="28AD28FA">
      <w:pPr>
        <w:widowControl/>
        <w:autoSpaceDE/>
        <w:autoSpaceDN/>
        <w:contextualSpacing/>
        <w:rPr>
          <w:sz w:val="24"/>
          <w:szCs w:val="24"/>
        </w:rPr>
      </w:pPr>
      <w:r w:rsidRPr="02742FBE">
        <w:rPr>
          <w:sz w:val="24"/>
          <w:szCs w:val="24"/>
        </w:rPr>
        <w:t>Covered nonbanks that are subject to an order published on the Nationwide Multistate Licensing System’s</w:t>
      </w:r>
      <w:r>
        <w:rPr>
          <w:sz w:val="24"/>
          <w:szCs w:val="24"/>
        </w:rPr>
        <w:t xml:space="preserve"> (NMLS) </w:t>
      </w:r>
      <w:r w:rsidRPr="02742FBE">
        <w:rPr>
          <w:sz w:val="24"/>
          <w:szCs w:val="24"/>
        </w:rPr>
        <w:t>Consumer Access website (except for orders issued or obtained at least in part by the Bureau) may elect to comply with a one-time registration option in lieu of complying with the rule’s other requirements with respect to that order</w:t>
      </w:r>
      <w:r w:rsidR="00D70527">
        <w:rPr>
          <w:sz w:val="24"/>
          <w:szCs w:val="24"/>
        </w:rPr>
        <w:t xml:space="preserve">.  </w:t>
      </w:r>
      <w:r>
        <w:rPr>
          <w:sz w:val="24"/>
          <w:szCs w:val="24"/>
        </w:rPr>
        <w:t>If an order is published through the NMLS system.  The respondent must also provide</w:t>
      </w:r>
      <w:r w:rsidRPr="02742FBE">
        <w:rPr>
          <w:sz w:val="24"/>
          <w:szCs w:val="24"/>
        </w:rPr>
        <w:t xml:space="preserve">, information that the Bureau determines is appropriate for the purpose of identifying the covered nonbank and order </w:t>
      </w:r>
      <w:r>
        <w:rPr>
          <w:sz w:val="24"/>
          <w:szCs w:val="24"/>
        </w:rPr>
        <w:t xml:space="preserve">and </w:t>
      </w:r>
      <w:r w:rsidRPr="02742FBE">
        <w:rPr>
          <w:sz w:val="24"/>
          <w:szCs w:val="24"/>
        </w:rPr>
        <w:t xml:space="preserve">coordinating the Bureau’s nonbank registry with the NMLS.  Upon providing such information, the covered nonbank shall have no further obligation under the rule to provide information to, or update information provided to, the nonbank registry regarding the NMLS-published covered order. </w:t>
      </w:r>
    </w:p>
    <w:p w:rsidR="00CB3870" w:rsidRPr="008F2DED" w:rsidP="00CB3870" w14:paraId="42DBA851" w14:textId="77777777">
      <w:pPr>
        <w:widowControl/>
        <w:autoSpaceDE/>
        <w:autoSpaceDN/>
        <w:ind w:firstLine="720"/>
        <w:contextualSpacing/>
        <w:rPr>
          <w:sz w:val="24"/>
          <w:szCs w:val="24"/>
        </w:rPr>
      </w:pPr>
    </w:p>
    <w:p w:rsidR="00CB3870" w:rsidRPr="008F2DED" w:rsidP="00CB3870" w14:paraId="7FD4FB4C" w14:textId="77777777">
      <w:pPr>
        <w:spacing w:line="259" w:lineRule="auto"/>
        <w:rPr>
          <w:i/>
          <w:iCs/>
          <w:sz w:val="24"/>
          <w:szCs w:val="24"/>
        </w:rPr>
      </w:pPr>
      <w:r w:rsidRPr="7522727E">
        <w:rPr>
          <w:i/>
          <w:iCs/>
          <w:sz w:val="24"/>
          <w:szCs w:val="24"/>
        </w:rPr>
        <w:t xml:space="preserve">Annual reporting requirement for supervised registered entities. </w:t>
      </w:r>
    </w:p>
    <w:p w:rsidR="00CB3870" w:rsidP="00CB3870" w14:paraId="28B98494" w14:textId="77777777">
      <w:pPr>
        <w:spacing w:line="259" w:lineRule="auto"/>
        <w:rPr>
          <w:i/>
          <w:iCs/>
          <w:sz w:val="24"/>
          <w:szCs w:val="24"/>
        </w:rPr>
      </w:pPr>
    </w:p>
    <w:p w:rsidR="00CB3870" w:rsidRPr="00C55DF8" w:rsidP="00CB3870" w14:paraId="701FDFE1" w14:textId="77777777">
      <w:pPr>
        <w:spacing w:line="259" w:lineRule="auto"/>
        <w:rPr>
          <w:sz w:val="24"/>
          <w:szCs w:val="24"/>
        </w:rPr>
      </w:pPr>
      <w:r w:rsidRPr="02742FBE">
        <w:rPr>
          <w:sz w:val="24"/>
          <w:szCs w:val="24"/>
        </w:rPr>
        <w:t>The rule imposes additional reporting requirements on certain registered entities subject to Bureau nonbank supervision and examination authority under 12 U.S.C. 5514(a).  Entities subject to these additional reporting requirements must</w:t>
      </w:r>
      <w:r w:rsidRPr="00C55DF8">
        <w:rPr>
          <w:sz w:val="24"/>
          <w:szCs w:val="24"/>
        </w:rPr>
        <w:t xml:space="preserve"> </w:t>
      </w:r>
      <w:r>
        <w:rPr>
          <w:sz w:val="24"/>
          <w:szCs w:val="24"/>
        </w:rPr>
        <w:t xml:space="preserve">annually </w:t>
      </w:r>
      <w:r w:rsidRPr="00C55DF8">
        <w:rPr>
          <w:sz w:val="24"/>
          <w:szCs w:val="24"/>
        </w:rPr>
        <w:t>d</w:t>
      </w:r>
      <w:r w:rsidRPr="002235C0">
        <w:rPr>
          <w:sz w:val="24"/>
          <w:szCs w:val="24"/>
        </w:rPr>
        <w:t xml:space="preserve">esignate one attesting executive for each registered order whose assigned duties include ensuring the supervised </w:t>
      </w:r>
      <w:r>
        <w:rPr>
          <w:sz w:val="24"/>
          <w:szCs w:val="24"/>
        </w:rPr>
        <w:t>r</w:t>
      </w:r>
      <w:r w:rsidRPr="002235C0">
        <w:rPr>
          <w:sz w:val="24"/>
          <w:szCs w:val="24"/>
        </w:rPr>
        <w:t>egistered entity’s compliance with Federal consumer financial law</w:t>
      </w:r>
      <w:r>
        <w:rPr>
          <w:sz w:val="24"/>
          <w:szCs w:val="24"/>
        </w:rPr>
        <w:t>.  This person must</w:t>
      </w:r>
      <w:r w:rsidRPr="002235C0">
        <w:rPr>
          <w:sz w:val="24"/>
          <w:szCs w:val="24"/>
        </w:rPr>
        <w:t xml:space="preserve"> who has </w:t>
      </w:r>
      <w:r>
        <w:rPr>
          <w:sz w:val="24"/>
          <w:szCs w:val="24"/>
        </w:rPr>
        <w:t>have</w:t>
      </w:r>
      <w:r>
        <w:rPr>
          <w:sz w:val="24"/>
          <w:szCs w:val="24"/>
        </w:rPr>
        <w:t xml:space="preserve"> </w:t>
      </w:r>
      <w:r w:rsidRPr="002235C0">
        <w:rPr>
          <w:sz w:val="24"/>
          <w:szCs w:val="24"/>
        </w:rPr>
        <w:t>knowledge of</w:t>
      </w:r>
      <w:r>
        <w:rPr>
          <w:sz w:val="24"/>
          <w:szCs w:val="24"/>
        </w:rPr>
        <w:t xml:space="preserve"> and control over </w:t>
      </w:r>
      <w:r w:rsidRPr="002235C0">
        <w:rPr>
          <w:sz w:val="24"/>
          <w:szCs w:val="24"/>
        </w:rPr>
        <w:t>the entity’s systems and procedures for achieving compliance with the order</w:t>
      </w:r>
      <w:r>
        <w:rPr>
          <w:sz w:val="24"/>
          <w:szCs w:val="24"/>
        </w:rPr>
        <w:t>.</w:t>
      </w:r>
    </w:p>
    <w:p w:rsidR="00CB3870" w:rsidRPr="00C55DF8" w:rsidP="00CB3870" w14:paraId="11DCAAD6" w14:textId="77777777">
      <w:pPr>
        <w:rPr>
          <w:sz w:val="24"/>
          <w:szCs w:val="24"/>
        </w:rPr>
      </w:pPr>
    </w:p>
    <w:p w:rsidR="00CB3870" w:rsidP="00CB3870" w14:paraId="59927D07" w14:textId="77777777">
      <w:pPr>
        <w:spacing w:line="259" w:lineRule="auto"/>
        <w:rPr>
          <w:sz w:val="24"/>
          <w:szCs w:val="24"/>
        </w:rPr>
      </w:pPr>
      <w:r>
        <w:rPr>
          <w:sz w:val="24"/>
          <w:szCs w:val="24"/>
        </w:rPr>
        <w:t>E</w:t>
      </w:r>
      <w:r w:rsidRPr="00C55DF8">
        <w:rPr>
          <w:sz w:val="24"/>
          <w:szCs w:val="24"/>
        </w:rPr>
        <w:t>ntities must</w:t>
      </w:r>
      <w:r>
        <w:rPr>
          <w:sz w:val="24"/>
          <w:szCs w:val="24"/>
        </w:rPr>
        <w:t xml:space="preserve">, </w:t>
      </w:r>
      <w:r w:rsidRPr="002235C0">
        <w:rPr>
          <w:sz w:val="24"/>
          <w:szCs w:val="24"/>
        </w:rPr>
        <w:t>on or before March 31</w:t>
      </w:r>
      <w:r>
        <w:rPr>
          <w:sz w:val="24"/>
          <w:szCs w:val="24"/>
        </w:rPr>
        <w:t xml:space="preserve"> </w:t>
      </w:r>
      <w:r w:rsidRPr="002235C0">
        <w:rPr>
          <w:sz w:val="24"/>
          <w:szCs w:val="24"/>
        </w:rPr>
        <w:t>of each year</w:t>
      </w:r>
      <w:r>
        <w:rPr>
          <w:sz w:val="24"/>
          <w:szCs w:val="24"/>
        </w:rPr>
        <w:t>, s</w:t>
      </w:r>
      <w:r w:rsidRPr="00861691">
        <w:rPr>
          <w:sz w:val="24"/>
          <w:szCs w:val="24"/>
        </w:rPr>
        <w:t xml:space="preserve">ubmit a written statement for each covered </w:t>
      </w:r>
      <w:r w:rsidRPr="00861691">
        <w:rPr>
          <w:sz w:val="24"/>
          <w:szCs w:val="24"/>
        </w:rPr>
        <w:t xml:space="preserve">order that is signed by the attesting executive  that (1) generally describes the steps that the attesting executive has undertaken to review and oversee activities subject to the applicable covered order for the preceding calendar year, and (2) attests whether, </w:t>
      </w:r>
      <w:r>
        <w:rPr>
          <w:sz w:val="24"/>
          <w:szCs w:val="24"/>
        </w:rPr>
        <w:t>they</w:t>
      </w:r>
      <w:r w:rsidRPr="00861691">
        <w:rPr>
          <w:sz w:val="24"/>
          <w:szCs w:val="24"/>
        </w:rPr>
        <w:t xml:space="preserve"> identified any violations or other instances of noncompliance with any obligations that were imposed in a public provision of the covered order</w:t>
      </w:r>
      <w:r>
        <w:rPr>
          <w:sz w:val="24"/>
          <w:szCs w:val="24"/>
        </w:rPr>
        <w:t>.</w:t>
      </w:r>
    </w:p>
    <w:p w:rsidR="00CB3870" w:rsidRPr="002235C0" w:rsidP="00CB3870" w14:paraId="63D3529A" w14:textId="77777777">
      <w:pPr>
        <w:spacing w:line="259" w:lineRule="auto"/>
        <w:rPr>
          <w:sz w:val="24"/>
          <w:szCs w:val="24"/>
        </w:rPr>
      </w:pPr>
    </w:p>
    <w:p w:rsidR="00CB3870" w:rsidP="00CB3870" w14:paraId="3D14CEB7" w14:textId="77777777">
      <w:pPr>
        <w:spacing w:line="259" w:lineRule="auto"/>
        <w:rPr>
          <w:sz w:val="24"/>
          <w:szCs w:val="24"/>
        </w:rPr>
      </w:pPr>
      <w:r w:rsidRPr="02742FBE">
        <w:rPr>
          <w:sz w:val="24"/>
          <w:szCs w:val="24"/>
        </w:rPr>
        <w:t xml:space="preserve">These additional requirements apply only to covered orders that are registered or required to be registered under the rule and have an effective date on or after the applicable nonbank registry implementation date. </w:t>
      </w:r>
      <w:r>
        <w:rPr>
          <w:sz w:val="24"/>
          <w:szCs w:val="24"/>
        </w:rPr>
        <w:t xml:space="preserve">  </w:t>
      </w:r>
      <w:r w:rsidRPr="00C55DF8">
        <w:rPr>
          <w:sz w:val="24"/>
          <w:szCs w:val="24"/>
        </w:rPr>
        <w:t>The supervised registered entities must maintain records that provide reasonable support for the written statement for a period of five years after submission</w:t>
      </w:r>
      <w:r>
        <w:rPr>
          <w:sz w:val="24"/>
          <w:szCs w:val="24"/>
        </w:rPr>
        <w:t>.</w:t>
      </w:r>
    </w:p>
    <w:p w:rsidR="00CB3870" w:rsidP="00CB3870" w14:paraId="624B041E" w14:textId="77777777">
      <w:pPr>
        <w:spacing w:line="259" w:lineRule="auto"/>
        <w:rPr>
          <w:sz w:val="24"/>
          <w:szCs w:val="24"/>
        </w:rPr>
      </w:pPr>
    </w:p>
    <w:p w:rsidR="00CB3870" w:rsidRPr="005A24A7" w:rsidP="00CB3870" w14:paraId="72E9D13B" w14:textId="77777777">
      <w:pPr>
        <w:spacing w:line="259" w:lineRule="auto"/>
        <w:rPr>
          <w:sz w:val="24"/>
          <w:szCs w:val="24"/>
        </w:rPr>
      </w:pPr>
      <w:r w:rsidRPr="02742FBE">
        <w:rPr>
          <w:sz w:val="24"/>
          <w:szCs w:val="24"/>
        </w:rPr>
        <w:t>These additional reporting requirements do not apply to any NMLS-published covered order registered under the one-time registration option described above.  Also, these requirements do not apply to entities with less than $5 million in annual receipts from offering or providing all consumer financial products and services described in 12 U.S.C. 5514(a).  They also do not apply to service providers that are subject to Bureau supervision and examination solely in their capacities as service providers and that are not otherwise subject to Bureau supervision and examination.  In addition, they do not apply to certain other entities excluded from the exercise of the Bureau’s supervisory authority under circumstances described in 12 U.S.C. 5517 and 5519</w:t>
      </w:r>
      <w:r w:rsidRPr="02742FBE">
        <w:rPr>
          <w:sz w:val="24"/>
          <w:szCs w:val="24"/>
        </w:rPr>
        <w:t xml:space="preserve">. </w:t>
      </w:r>
      <w:r w:rsidRPr="00C55DF8">
        <w:rPr>
          <w:sz w:val="24"/>
          <w:szCs w:val="24"/>
        </w:rPr>
        <w:t>.</w:t>
      </w:r>
      <w:r w:rsidRPr="00C55DF8">
        <w:rPr>
          <w:sz w:val="24"/>
          <w:szCs w:val="24"/>
        </w:rPr>
        <w:t xml:space="preserve"> </w:t>
      </w:r>
    </w:p>
    <w:p w:rsidR="00CB3870" w:rsidRPr="008F2DED" w:rsidP="00CB3870" w14:paraId="0F0CB893" w14:textId="77777777">
      <w:pPr>
        <w:pStyle w:val="paragraph"/>
        <w:spacing w:before="0" w:beforeAutospacing="0" w:after="0" w:afterAutospacing="0"/>
        <w:textAlignment w:val="baseline"/>
        <w:rPr>
          <w:rStyle w:val="normaltextrun"/>
          <w:i/>
          <w:iCs/>
        </w:rPr>
      </w:pPr>
    </w:p>
    <w:p w:rsidR="00106560" w:rsidRPr="00FD107D" w:rsidP="00FD107D" w14:paraId="05B04A1C" w14:textId="2AA79B25">
      <w:pPr>
        <w:widowControl/>
        <w:autoSpaceDE/>
        <w:autoSpaceDN/>
        <w:contextualSpacing/>
        <w:rPr>
          <w:sz w:val="24"/>
          <w:szCs w:val="24"/>
        </w:rPr>
      </w:pPr>
      <w:r w:rsidRPr="00FD107D">
        <w:rPr>
          <w:sz w:val="24"/>
          <w:szCs w:val="24"/>
        </w:rPr>
        <w:t xml:space="preserve">The Bureau </w:t>
      </w:r>
      <w:r w:rsidR="00286D6C">
        <w:rPr>
          <w:sz w:val="24"/>
          <w:szCs w:val="24"/>
        </w:rPr>
        <w:t>may</w:t>
      </w:r>
      <w:r w:rsidRPr="00FD107D">
        <w:rPr>
          <w:sz w:val="24"/>
          <w:szCs w:val="24"/>
        </w:rPr>
        <w:t xml:space="preserve"> publish certain registration information </w:t>
      </w:r>
      <w:r w:rsidR="00286D6C">
        <w:rPr>
          <w:sz w:val="24"/>
          <w:szCs w:val="24"/>
        </w:rPr>
        <w:t>on its</w:t>
      </w:r>
      <w:r w:rsidRPr="00FD107D">
        <w:rPr>
          <w:sz w:val="24"/>
          <w:szCs w:val="24"/>
        </w:rPr>
        <w:t xml:space="preserve"> publicly available website.</w:t>
      </w:r>
    </w:p>
    <w:p w:rsidR="00106560" w:rsidRPr="008F2DED" w:rsidP="008F2DED" w14:paraId="065409BB" w14:textId="77777777">
      <w:pPr>
        <w:rPr>
          <w:sz w:val="24"/>
          <w:szCs w:val="24"/>
        </w:rPr>
      </w:pPr>
    </w:p>
    <w:p w:rsidR="0031486D" w:rsidRPr="008F2DED" w:rsidP="008F2DED" w14:paraId="0594126F" w14:textId="06086177">
      <w:pPr>
        <w:pStyle w:val="ListParagraph"/>
        <w:numPr>
          <w:ilvl w:val="0"/>
          <w:numId w:val="13"/>
        </w:numPr>
        <w:rPr>
          <w:b/>
          <w:bCs/>
          <w:sz w:val="24"/>
          <w:szCs w:val="24"/>
          <w:u w:val="none"/>
        </w:rPr>
      </w:pPr>
      <w:r w:rsidRPr="008F2DED">
        <w:rPr>
          <w:b/>
          <w:bCs/>
          <w:sz w:val="24"/>
          <w:szCs w:val="24"/>
          <w:u w:val="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812B9" w:rsidRPr="008F2DED" w:rsidP="008F2DED" w14:paraId="4658175D" w14:textId="3C85162A">
      <w:pPr>
        <w:rPr>
          <w:b/>
          <w:bCs/>
          <w:sz w:val="24"/>
          <w:szCs w:val="24"/>
        </w:rPr>
      </w:pPr>
    </w:p>
    <w:p w:rsidR="00A812B9" w:rsidRPr="00FD107D" w:rsidP="008F2DED" w14:paraId="0720EA99" w14:textId="5026C52B">
      <w:pPr>
        <w:pStyle w:val="paragraph"/>
        <w:spacing w:before="0" w:beforeAutospacing="0" w:after="0" w:afterAutospacing="0"/>
        <w:textAlignment w:val="baseline"/>
        <w:rPr>
          <w:rStyle w:val="eop"/>
          <w:b/>
          <w:bCs/>
        </w:rPr>
      </w:pPr>
      <w:r w:rsidRPr="00FD107D">
        <w:rPr>
          <w:rStyle w:val="normaltextrun"/>
        </w:rPr>
        <w:t xml:space="preserve">The information that nonbanks report under the rule will be collected via an electronic system that permits electronic submission of responses.  See section </w:t>
      </w:r>
      <w:r w:rsidR="002168D8">
        <w:rPr>
          <w:rStyle w:val="normaltextrun"/>
        </w:rPr>
        <w:t>1092.</w:t>
      </w:r>
      <w:r w:rsidRPr="00FD107D">
        <w:rPr>
          <w:rStyle w:val="normaltextrun"/>
        </w:rPr>
        <w:t xml:space="preserve">101(d).  </w:t>
      </w:r>
      <w:r w:rsidRPr="00FD107D" w:rsidR="199B8763">
        <w:rPr>
          <w:rStyle w:val="normaltextrun"/>
        </w:rPr>
        <w:t xml:space="preserve">Only electronic submissions will be accepted. </w:t>
      </w:r>
      <w:r w:rsidRPr="00FD107D">
        <w:rPr>
          <w:rStyle w:val="normaltextrun"/>
        </w:rPr>
        <w:t xml:space="preserve"> See section </w:t>
      </w:r>
      <w:r w:rsidR="00B150AE">
        <w:rPr>
          <w:rStyle w:val="normaltextrun"/>
        </w:rPr>
        <w:t>1092.</w:t>
      </w:r>
      <w:r w:rsidRPr="00FD107D">
        <w:rPr>
          <w:rStyle w:val="normaltextrun"/>
        </w:rPr>
        <w:t>102(a).  Electronic submission allo</w:t>
      </w:r>
      <w:r w:rsidR="00CB3870">
        <w:rPr>
          <w:rStyle w:val="normaltextrun"/>
        </w:rPr>
        <w:t>ws</w:t>
      </w:r>
      <w:r w:rsidRPr="00FD107D">
        <w:rPr>
          <w:rStyle w:val="normaltextrun"/>
        </w:rPr>
        <w:t xml:space="preserve"> for a</w:t>
      </w:r>
      <w:r w:rsidRPr="00FD107D" w:rsidR="7B869A27">
        <w:rPr>
          <w:rStyle w:val="normaltextrun"/>
        </w:rPr>
        <w:t>n</w:t>
      </w:r>
      <w:r w:rsidRPr="00FD107D" w:rsidR="212AF253">
        <w:rPr>
          <w:rStyle w:val="normaltextrun"/>
        </w:rPr>
        <w:t xml:space="preserve"> </w:t>
      </w:r>
      <w:r w:rsidRPr="00FD107D">
        <w:rPr>
          <w:rStyle w:val="normaltextrun"/>
        </w:rPr>
        <w:t xml:space="preserve">efficient, trackable means of information collection and </w:t>
      </w:r>
      <w:r w:rsidRPr="00FD107D" w:rsidR="6C41CBCC">
        <w:rPr>
          <w:rStyle w:val="normaltextrun"/>
        </w:rPr>
        <w:t>reduce burden and risk of error</w:t>
      </w:r>
      <w:r w:rsidRPr="00FD107D" w:rsidR="00426481">
        <w:rPr>
          <w:rStyle w:val="normaltextrun"/>
        </w:rPr>
        <w:t xml:space="preserve">.  </w:t>
      </w:r>
      <w:r w:rsidRPr="00FD107D" w:rsidR="61E00060">
        <w:rPr>
          <w:rStyle w:val="normaltextrun"/>
        </w:rPr>
        <w:t xml:space="preserve">The Bureau believes that covered </w:t>
      </w:r>
      <w:r w:rsidRPr="00FD107D">
        <w:rPr>
          <w:rStyle w:val="normaltextrun"/>
        </w:rPr>
        <w:t xml:space="preserve">nonbanks </w:t>
      </w:r>
      <w:r w:rsidRPr="00FD107D" w:rsidR="5E8F0DE2">
        <w:rPr>
          <w:rStyle w:val="normaltextrun"/>
        </w:rPr>
        <w:t xml:space="preserve">already </w:t>
      </w:r>
      <w:r w:rsidRPr="00FD107D">
        <w:rPr>
          <w:rStyle w:val="normaltextrun"/>
        </w:rPr>
        <w:t>have the technological resources necessary for electronic submissio</w:t>
      </w:r>
      <w:r w:rsidRPr="00FD107D" w:rsidR="116215FC">
        <w:rPr>
          <w:rStyle w:val="normaltextrun"/>
        </w:rPr>
        <w:t>n</w:t>
      </w:r>
      <w:r w:rsidR="00FD107D">
        <w:rPr>
          <w:rStyle w:val="normaltextrun"/>
        </w:rPr>
        <w:t xml:space="preserve"> (i.e., </w:t>
      </w:r>
      <w:r w:rsidRPr="00FD107D">
        <w:rPr>
          <w:rStyle w:val="normaltextrun"/>
        </w:rPr>
        <w:t>computer</w:t>
      </w:r>
      <w:r w:rsidRPr="00FD107D" w:rsidR="09305F91">
        <w:rPr>
          <w:rStyle w:val="normaltextrun"/>
        </w:rPr>
        <w:t>(s)</w:t>
      </w:r>
      <w:r w:rsidRPr="00FD107D">
        <w:rPr>
          <w:rStyle w:val="normaltextrun"/>
        </w:rPr>
        <w:t>, an appropriately secure operating system, and a</w:t>
      </w:r>
      <w:r w:rsidRPr="00FD107D" w:rsidR="34FDDC3E">
        <w:rPr>
          <w:rStyle w:val="normaltextrun"/>
        </w:rPr>
        <w:t>n Internet</w:t>
      </w:r>
      <w:r w:rsidRPr="00FD107D">
        <w:rPr>
          <w:rStyle w:val="normaltextrun"/>
        </w:rPr>
        <w:t xml:space="preserve"> connection</w:t>
      </w:r>
      <w:r w:rsidR="00FD107D">
        <w:rPr>
          <w:rStyle w:val="normaltextrun"/>
        </w:rPr>
        <w:t xml:space="preserve">). </w:t>
      </w:r>
    </w:p>
    <w:p w:rsidR="00A812B9" w:rsidRPr="008F2DED" w:rsidP="008F2DED" w14:paraId="3CBB7B97" w14:textId="50D80F43">
      <w:pPr>
        <w:pStyle w:val="paragraph"/>
        <w:spacing w:before="0" w:beforeAutospacing="0" w:after="0" w:afterAutospacing="0"/>
        <w:textAlignment w:val="baseline"/>
        <w:rPr>
          <w:b/>
          <w:bCs/>
        </w:rPr>
      </w:pPr>
    </w:p>
    <w:p w:rsidR="0031486D" w:rsidRPr="008F2DED" w:rsidP="008F2DED" w14:paraId="0C823EA5" w14:textId="4CE3C85D">
      <w:pPr>
        <w:pStyle w:val="ListParagraph"/>
        <w:numPr>
          <w:ilvl w:val="0"/>
          <w:numId w:val="13"/>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u w:val="none"/>
        </w:rPr>
      </w:pPr>
      <w:r w:rsidRPr="008F2DED">
        <w:rPr>
          <w:b/>
          <w:bCs/>
          <w:sz w:val="24"/>
          <w:szCs w:val="24"/>
          <w:u w:val="none"/>
        </w:rPr>
        <w:t>Describe efforts to identify duplication.  Show specifically why any similar information already available cannot be used or modified for use for the purposes described in Item A.2 above.</w:t>
      </w:r>
    </w:p>
    <w:p w:rsidR="002F7704" w:rsidRPr="008F2DED" w:rsidP="008F2DED" w14:paraId="0B2A6DDE"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firstLine="0"/>
        <w:rPr>
          <w:sz w:val="24"/>
          <w:szCs w:val="24"/>
        </w:rPr>
      </w:pPr>
    </w:p>
    <w:p w:rsidR="00893C0D" w:rsidRPr="008F2DED" w:rsidP="6BC888BB" w14:paraId="7C39B408" w14:textId="54CFCF8D">
      <w:pPr>
        <w:pStyle w:val="paragraph"/>
        <w:spacing w:before="0" w:beforeAutospacing="0" w:after="0" w:afterAutospacing="0"/>
        <w:textAlignment w:val="baseline"/>
        <w:rPr>
          <w:rStyle w:val="normaltextrun"/>
        </w:rPr>
      </w:pPr>
      <w:r w:rsidRPr="6BC888BB">
        <w:rPr>
          <w:rStyle w:val="normaltextrun"/>
        </w:rPr>
        <w:t xml:space="preserve">The Bureau recognizes that much public information about </w:t>
      </w:r>
      <w:r w:rsidRPr="6BC888BB" w:rsidR="7F541B12">
        <w:rPr>
          <w:rStyle w:val="normaltextrun"/>
        </w:rPr>
        <w:t xml:space="preserve">covered </w:t>
      </w:r>
      <w:r w:rsidRPr="6BC888BB">
        <w:rPr>
          <w:rStyle w:val="normaltextrun"/>
        </w:rPr>
        <w:t xml:space="preserve">orders </w:t>
      </w:r>
      <w:r w:rsidRPr="6BC888BB" w:rsidR="3589DC18">
        <w:rPr>
          <w:rStyle w:val="normaltextrun"/>
        </w:rPr>
        <w:t xml:space="preserve">is scattered across various websites </w:t>
      </w:r>
      <w:r w:rsidRPr="6BC888BB" w:rsidR="742E4AB3">
        <w:rPr>
          <w:rStyle w:val="normaltextrun"/>
        </w:rPr>
        <w:t xml:space="preserve">in </w:t>
      </w:r>
      <w:r w:rsidRPr="6BC888BB" w:rsidR="2B34A7F2">
        <w:rPr>
          <w:rStyle w:val="normaltextrun"/>
        </w:rPr>
        <w:t>the public domain</w:t>
      </w:r>
      <w:r w:rsidRPr="6BC888BB">
        <w:rPr>
          <w:rStyle w:val="normaltextrun"/>
        </w:rPr>
        <w:t>.  The applicable Federal and State regulators generally each publish</w:t>
      </w:r>
      <w:r w:rsidRPr="6BC888BB" w:rsidR="7B35E5C0">
        <w:rPr>
          <w:rStyle w:val="normaltextrun"/>
        </w:rPr>
        <w:t xml:space="preserve"> </w:t>
      </w:r>
      <w:r w:rsidRPr="6BC888BB">
        <w:rPr>
          <w:rStyle w:val="normaltextrun"/>
        </w:rPr>
        <w:t xml:space="preserve">their own orders enforcing consumer financial law; thus, potential users may be </w:t>
      </w:r>
      <w:r w:rsidRPr="6BC888BB">
        <w:rPr>
          <w:rStyle w:val="normaltextrun"/>
        </w:rPr>
        <w:t xml:space="preserve">able to access some of this information by means of the various websites and other databases maintained by individual agencies.  Some information is also available to potential users through certain multiagency websites such as the Nationwide Multistate Licensing System &amp; Registry (NMLS) </w:t>
      </w:r>
      <w:r w:rsidRPr="6BC888BB" w:rsidR="0EA24D2C">
        <w:rPr>
          <w:rStyle w:val="normaltextrun"/>
        </w:rPr>
        <w:t xml:space="preserve">Consumer Access website, which is </w:t>
      </w:r>
      <w:r w:rsidRPr="6BC888BB">
        <w:rPr>
          <w:rStyle w:val="normaltextrun"/>
        </w:rPr>
        <w:t xml:space="preserve">owned and operated by the State Regulatory Registry LLC, </w:t>
      </w:r>
      <w:r w:rsidR="6A21FA03">
        <w:t>a wholly owned subsidiary of the</w:t>
      </w:r>
      <w:r w:rsidRPr="6BC888BB">
        <w:rPr>
          <w:rStyle w:val="normaltextrun"/>
        </w:rPr>
        <w:t xml:space="preserve"> Conference of State Bank Supervisors.  </w:t>
      </w:r>
      <w:r w:rsidRPr="6BC888BB" w:rsidR="31D7304C">
        <w:rPr>
          <w:rStyle w:val="normaltextrun"/>
        </w:rPr>
        <w:t>O</w:t>
      </w:r>
      <w:r w:rsidRPr="6BC888BB">
        <w:rPr>
          <w:rStyle w:val="normaltextrun"/>
        </w:rPr>
        <w:t xml:space="preserve">ther information is </w:t>
      </w:r>
      <w:r w:rsidRPr="6BC888BB" w:rsidR="31D7304C">
        <w:rPr>
          <w:rStyle w:val="normaltextrun"/>
        </w:rPr>
        <w:t xml:space="preserve">also </w:t>
      </w:r>
      <w:r w:rsidRPr="6BC888BB">
        <w:rPr>
          <w:rStyle w:val="normaltextrun"/>
        </w:rPr>
        <w:t xml:space="preserve">published and maintained by private actors.  </w:t>
      </w:r>
    </w:p>
    <w:p w:rsidR="00893C0D" w:rsidRPr="008F2DED" w:rsidP="008F2DED" w14:paraId="3D0ED222" w14:textId="77777777">
      <w:pPr>
        <w:ind w:firstLine="720"/>
        <w:textAlignment w:val="baseline"/>
        <w:rPr>
          <w:sz w:val="24"/>
          <w:szCs w:val="24"/>
        </w:rPr>
      </w:pPr>
    </w:p>
    <w:p w:rsidR="00893C0D" w:rsidRPr="008F2DED" w:rsidP="008F2DED" w14:paraId="454ECDC2" w14:textId="5FD61362">
      <w:pPr>
        <w:pStyle w:val="paragraph"/>
        <w:spacing w:before="0" w:beforeAutospacing="0" w:after="0" w:afterAutospacing="0"/>
        <w:textAlignment w:val="baseline"/>
        <w:rPr>
          <w:rStyle w:val="normaltextrun"/>
        </w:rPr>
      </w:pPr>
      <w:r w:rsidRPr="008F2DED">
        <w:rPr>
          <w:rStyle w:val="normaltextrun"/>
        </w:rPr>
        <w:t xml:space="preserve">However, there appears to be limited collective information regarding </w:t>
      </w:r>
      <w:r w:rsidRPr="008F2DED" w:rsidR="00F32469">
        <w:rPr>
          <w:rStyle w:val="normaltextrun"/>
        </w:rPr>
        <w:t>all</w:t>
      </w:r>
      <w:r w:rsidRPr="008F2DED">
        <w:rPr>
          <w:rStyle w:val="normaltextrun"/>
        </w:rPr>
        <w:t xml:space="preserve"> the orders that have been issued by</w:t>
      </w:r>
      <w:r w:rsidR="00CB3870">
        <w:rPr>
          <w:rStyle w:val="normaltextrun"/>
        </w:rPr>
        <w:t xml:space="preserve"> </w:t>
      </w:r>
      <w:r w:rsidRPr="008F2DED">
        <w:rPr>
          <w:rStyle w:val="normaltextrun"/>
        </w:rPr>
        <w:t xml:space="preserve">regulators to </w:t>
      </w:r>
      <w:r w:rsidRPr="008F2DED">
        <w:rPr>
          <w:rStyle w:val="normaltextrun"/>
        </w:rPr>
        <w:t>particular entities</w:t>
      </w:r>
      <w:r w:rsidRPr="008F2DED">
        <w:rPr>
          <w:rStyle w:val="normaltextrun"/>
        </w:rPr>
        <w:t xml:space="preserve"> across multiple product markets and geographic markets related to consumer financial products and services.  To the Bureau’s knowledge, there is currently no public government system at the Federal or State level for the collection of information about such orders across the entities subject to the Bureau’s jurisdiction (though privately maintained databases may exist).  No government agency appears to maintain a publicly available repository of such orders and other related information with respect to </w:t>
      </w:r>
      <w:r w:rsidRPr="008F2DED">
        <w:rPr>
          <w:rStyle w:val="normaltextrun"/>
        </w:rPr>
        <w:t>particular entities</w:t>
      </w:r>
      <w:r w:rsidRPr="008F2DED">
        <w:rPr>
          <w:rStyle w:val="normaltextrun"/>
        </w:rPr>
        <w:t xml:space="preserve"> as they relate to consumer financial products and services.</w:t>
      </w:r>
      <w:r w:rsidR="000C37F0">
        <w:rPr>
          <w:rStyle w:val="normaltextrun"/>
        </w:rPr>
        <w:t xml:space="preserve">  </w:t>
      </w:r>
      <w:r w:rsidRPr="007354FD" w:rsidR="000C37F0">
        <w:t xml:space="preserve">While certain State regulators provide information about certain public enforcement actions through the NMLS, including in some cases publishing related orders on the NMLS Consumer Access website, such information does not extend to </w:t>
      </w:r>
      <w:r w:rsidRPr="007354FD" w:rsidR="000C37F0">
        <w:t>all of</w:t>
      </w:r>
      <w:r w:rsidRPr="007354FD" w:rsidR="000C37F0">
        <w:t xml:space="preserve"> the orders and all of the agencies that are addressed by the final rule.  It is also limited to only certain industry sectors.</w:t>
      </w:r>
      <w:r w:rsidRPr="008F2DED">
        <w:rPr>
          <w:rStyle w:val="normaltextrun"/>
        </w:rPr>
        <w:t xml:space="preserve">  The Bureau believes that consumers w</w:t>
      </w:r>
      <w:r w:rsidR="00971B4A">
        <w:rPr>
          <w:rStyle w:val="normaltextrun"/>
        </w:rPr>
        <w:t>ill</w:t>
      </w:r>
      <w:r w:rsidRPr="008F2DED">
        <w:rPr>
          <w:rStyle w:val="normaltextrun"/>
        </w:rPr>
        <w:t xml:space="preserve"> benefit from a registration system that is maintained by the Federal government for the purpose of providing comprehensive information regarding </w:t>
      </w:r>
      <w:r w:rsidR="00BF1DDE">
        <w:rPr>
          <w:rStyle w:val="normaltextrun"/>
        </w:rPr>
        <w:t>covered</w:t>
      </w:r>
      <w:r w:rsidRPr="008F2DED" w:rsidR="00BF1DDE">
        <w:rPr>
          <w:rStyle w:val="normaltextrun"/>
        </w:rPr>
        <w:t xml:space="preserve"> </w:t>
      </w:r>
      <w:r w:rsidRPr="008F2DED">
        <w:rPr>
          <w:rStyle w:val="normaltextrun"/>
        </w:rPr>
        <w:t>orders</w:t>
      </w:r>
      <w:r w:rsidR="00BF1DDE">
        <w:rPr>
          <w:rStyle w:val="normaltextrun"/>
        </w:rPr>
        <w:t>,</w:t>
      </w:r>
      <w:r w:rsidRPr="008F2DED">
        <w:rPr>
          <w:rStyle w:val="normaltextrun"/>
        </w:rPr>
        <w:t xml:space="preserve"> including copies of the orders.</w:t>
      </w:r>
    </w:p>
    <w:p w:rsidR="003917D1" w:rsidRPr="008F2DED" w:rsidP="008F2DED" w14:paraId="48BDD68C" w14:textId="77777777">
      <w:pPr>
        <w:pStyle w:val="BodyText"/>
        <w:rPr>
          <w:b/>
          <w:bCs/>
        </w:rPr>
      </w:pPr>
    </w:p>
    <w:p w:rsidR="0031486D" w:rsidRPr="008F2DED" w:rsidP="008F2DED" w14:paraId="211C1A89" w14:textId="3DB03F2D">
      <w:pPr>
        <w:pStyle w:val="BodyText"/>
        <w:numPr>
          <w:ilvl w:val="0"/>
          <w:numId w:val="13"/>
        </w:numPr>
        <w:rPr>
          <w:b/>
          <w:bCs/>
        </w:rPr>
      </w:pPr>
      <w:r w:rsidRPr="008F2DED">
        <w:rPr>
          <w:b/>
          <w:bCs/>
        </w:rPr>
        <w:t>If the collection of information impacts small businesses or other small entities, describe any methods used to minimize burden.</w:t>
      </w:r>
    </w:p>
    <w:p w:rsidR="009D339E" w:rsidRPr="008F2DED" w:rsidP="008F2DED" w14:paraId="7C196733" w14:textId="441A29D7">
      <w:pPr>
        <w:pStyle w:val="BodyText"/>
        <w:rPr>
          <w:b/>
          <w:bCs/>
        </w:rPr>
      </w:pPr>
    </w:p>
    <w:p w:rsidR="00004B40" w:rsidRPr="008F2DED" w:rsidP="008F2DED" w14:paraId="5CD51DC6" w14:textId="0112215A">
      <w:pPr>
        <w:pStyle w:val="BodyText"/>
      </w:pPr>
      <w:r w:rsidRPr="008F2DED">
        <w:rPr>
          <w:color w:val="000000" w:themeColor="text1"/>
        </w:rPr>
        <w:t xml:space="preserve">The </w:t>
      </w:r>
      <w:r w:rsidR="00971B4A">
        <w:rPr>
          <w:color w:val="000000" w:themeColor="text1"/>
        </w:rPr>
        <w:t>rule does</w:t>
      </w:r>
      <w:r w:rsidRPr="008F2DED">
        <w:rPr>
          <w:color w:val="000000" w:themeColor="text1"/>
        </w:rPr>
        <w:t xml:space="preserve"> not apply to </w:t>
      </w:r>
      <w:r w:rsidRPr="008F2DED" w:rsidR="007B4358">
        <w:t>insured depository institutions, insured credit unions, related persons, States, certain other entities, and natural persons</w:t>
      </w:r>
      <w:r w:rsidRPr="008F2DED" w:rsidR="002F7704">
        <w:t xml:space="preserve">.  </w:t>
      </w:r>
      <w:r w:rsidR="00FD107D">
        <w:rPr>
          <w:color w:val="000000" w:themeColor="text1"/>
        </w:rPr>
        <w:t>Additionally</w:t>
      </w:r>
      <w:r w:rsidRPr="008F2DED" w:rsidR="14044308">
        <w:rPr>
          <w:color w:val="000000" w:themeColor="text1"/>
        </w:rPr>
        <w:t xml:space="preserve">, </w:t>
      </w:r>
      <w:r w:rsidR="00FA22F3">
        <w:rPr>
          <w:color w:val="000000" w:themeColor="text1"/>
        </w:rPr>
        <w:t xml:space="preserve">entities </w:t>
      </w:r>
      <w:r w:rsidR="00971B4A">
        <w:rPr>
          <w:color w:val="000000" w:themeColor="text1"/>
        </w:rPr>
        <w:t xml:space="preserve">are </w:t>
      </w:r>
      <w:r w:rsidRPr="008F2DED" w:rsidR="14044308">
        <w:rPr>
          <w:color w:val="000000" w:themeColor="text1"/>
        </w:rPr>
        <w:t>not subject to the requirement to submit annual written statements if they have annual average receipts of less than $</w:t>
      </w:r>
      <w:r w:rsidR="00971B4A">
        <w:rPr>
          <w:color w:val="000000" w:themeColor="text1"/>
        </w:rPr>
        <w:t>5</w:t>
      </w:r>
      <w:r w:rsidRPr="008F2DED" w:rsidR="14044308">
        <w:rPr>
          <w:color w:val="000000" w:themeColor="text1"/>
        </w:rPr>
        <w:t xml:space="preserve"> million from </w:t>
      </w:r>
      <w:r w:rsidRPr="008F2DED" w:rsidR="7E274AC8">
        <w:rPr>
          <w:color w:val="000000" w:themeColor="text1"/>
        </w:rPr>
        <w:t>offering or providing</w:t>
      </w:r>
      <w:r w:rsidRPr="008F2DED" w:rsidR="14044308">
        <w:rPr>
          <w:color w:val="000000" w:themeColor="text1"/>
        </w:rPr>
        <w:t xml:space="preserve"> </w:t>
      </w:r>
      <w:r w:rsidR="000C5331">
        <w:rPr>
          <w:color w:val="000000" w:themeColor="text1"/>
        </w:rPr>
        <w:t>all</w:t>
      </w:r>
      <w:r w:rsidRPr="008F2DED" w:rsidR="14044308">
        <w:rPr>
          <w:color w:val="000000" w:themeColor="text1"/>
        </w:rPr>
        <w:t xml:space="preserve"> consumer financial products and services</w:t>
      </w:r>
      <w:r w:rsidR="000C5331">
        <w:rPr>
          <w:color w:val="000000" w:themeColor="text1"/>
        </w:rPr>
        <w:t xml:space="preserve"> described in 12 U.S.C. 5514(a)</w:t>
      </w:r>
      <w:r w:rsidRPr="008F2DED" w:rsidR="14044308">
        <w:rPr>
          <w:color w:val="000000" w:themeColor="text1"/>
        </w:rPr>
        <w:t>.  The Bureau believes the relative burden on supervised registered entities with $</w:t>
      </w:r>
      <w:r w:rsidR="009A48D1">
        <w:rPr>
          <w:color w:val="000000" w:themeColor="text1"/>
        </w:rPr>
        <w:t xml:space="preserve">5 </w:t>
      </w:r>
      <w:r w:rsidRPr="008F2DED" w:rsidR="14044308">
        <w:rPr>
          <w:color w:val="000000" w:themeColor="text1"/>
        </w:rPr>
        <w:t xml:space="preserve">million or more in annual average receipts </w:t>
      </w:r>
      <w:r w:rsidR="00CB3870">
        <w:rPr>
          <w:color w:val="000000" w:themeColor="text1"/>
        </w:rPr>
        <w:t>will</w:t>
      </w:r>
      <w:r w:rsidRPr="008F2DED" w:rsidR="14044308">
        <w:rPr>
          <w:color w:val="000000" w:themeColor="text1"/>
        </w:rPr>
        <w:t xml:space="preserve"> not be significant, particularly in comparison to the value of that information for the purposes described </w:t>
      </w:r>
      <w:r w:rsidR="00CB3870">
        <w:rPr>
          <w:color w:val="000000" w:themeColor="text1"/>
        </w:rPr>
        <w:t>above</w:t>
      </w:r>
      <w:r w:rsidR="00D70527">
        <w:rPr>
          <w:color w:val="000000" w:themeColor="text1"/>
        </w:rPr>
        <w:t>.</w:t>
      </w:r>
    </w:p>
    <w:p w:rsidR="00AD7E5D" w:rsidRPr="008F2DED" w:rsidP="008F2DED" w14:paraId="731A5A32" w14:textId="77777777">
      <w:pPr>
        <w:pStyle w:val="BodyText"/>
        <w:ind w:firstLine="720"/>
      </w:pPr>
    </w:p>
    <w:p w:rsidR="00004B40" w:rsidRPr="008F2DED" w:rsidP="008F2DED" w14:paraId="5A7B0CB3" w14:textId="326EE7C7">
      <w:pPr>
        <w:pStyle w:val="BodyText"/>
        <w:rPr>
          <w:color w:val="000000" w:themeColor="text1"/>
        </w:rPr>
      </w:pPr>
      <w:r w:rsidRPr="008F2DED">
        <w:t xml:space="preserve">The </w:t>
      </w:r>
      <w:r w:rsidR="00045978">
        <w:t>rule</w:t>
      </w:r>
      <w:r w:rsidRPr="008F2DED">
        <w:t xml:space="preserve"> also contains an additional means of providing flexibility to those entities where uncertainty raises good</w:t>
      </w:r>
      <w:r w:rsidR="0002065A">
        <w:t>-</w:t>
      </w:r>
      <w:r w:rsidRPr="008F2DED">
        <w:t xml:space="preserve">faith concerns that they do not meet the definition of a covered nonbank or </w:t>
      </w:r>
      <w:r w:rsidR="00F72266">
        <w:t xml:space="preserve">that </w:t>
      </w:r>
      <w:r w:rsidRPr="008F2DED">
        <w:t xml:space="preserve">an order does not meet the definition of a covered order.  </w:t>
      </w:r>
      <w:r w:rsidRPr="00CB2FD6">
        <w:t xml:space="preserve">Under the </w:t>
      </w:r>
      <w:r w:rsidR="00F72266">
        <w:t>rule</w:t>
      </w:r>
      <w:r w:rsidRPr="00CB2FD6">
        <w:t>, such persons could elect to file a notice</w:t>
      </w:r>
      <w:r w:rsidRPr="00CB2FD6" w:rsidR="7020AF72">
        <w:t>.</w:t>
      </w:r>
      <w:r w:rsidRPr="008F2DED">
        <w:t xml:space="preserve">  When a person makes a non-frivolous filing stating that it has a good</w:t>
      </w:r>
      <w:r w:rsidR="00C068E3">
        <w:t>-</w:t>
      </w:r>
      <w:r w:rsidRPr="008F2DED">
        <w:t>faith basis to believe that it is not a covered nonbank or that an order is not a covered order</w:t>
      </w:r>
      <w:r w:rsidRPr="00092C5C">
        <w:t xml:space="preserve">, the Bureau would not bring an enforcement action against that person based on the person’s failure to comply with </w:t>
      </w:r>
      <w:r w:rsidRPr="00092C5C" w:rsidR="7020AF72">
        <w:t xml:space="preserve">the </w:t>
      </w:r>
      <w:r w:rsidR="00C06CC2">
        <w:t>rule</w:t>
      </w:r>
      <w:r w:rsidRPr="00092C5C" w:rsidR="00C06CC2">
        <w:t xml:space="preserve">’s </w:t>
      </w:r>
      <w:r w:rsidRPr="00092C5C" w:rsidR="7020AF72">
        <w:t>requirements</w:t>
      </w:r>
      <w:r w:rsidRPr="00092C5C">
        <w:t xml:space="preserve"> unless the Bureau has first notified the person that the Bureau believes the person does in fact qualify as a covered nonbank (or that an order does qualify as a covered order) and has provided the person with a reasonable opportunity to comply with </w:t>
      </w:r>
      <w:r w:rsidRPr="00092C5C" w:rsidR="7020AF72">
        <w:t xml:space="preserve">the </w:t>
      </w:r>
      <w:r w:rsidR="00CA4C46">
        <w:t>rule’s</w:t>
      </w:r>
      <w:r w:rsidR="00896477">
        <w:t xml:space="preserve"> registration</w:t>
      </w:r>
      <w:r w:rsidRPr="00092C5C" w:rsidR="12DECE4C">
        <w:t xml:space="preserve"> requirements</w:t>
      </w:r>
      <w:r w:rsidRPr="00092C5C">
        <w:t>.</w:t>
      </w:r>
      <w:r w:rsidRPr="00092C5C" w:rsidR="12DECE4C">
        <w:t xml:space="preserve">  The </w:t>
      </w:r>
      <w:r w:rsidR="00092C5C">
        <w:t>rule</w:t>
      </w:r>
      <w:r w:rsidRPr="00092C5C" w:rsidR="00092C5C">
        <w:t xml:space="preserve"> </w:t>
      </w:r>
      <w:r w:rsidRPr="00092C5C" w:rsidR="12DECE4C">
        <w:t xml:space="preserve">also contains a similar provision with respect to supervised </w:t>
      </w:r>
      <w:r w:rsidR="00471EFA">
        <w:t xml:space="preserve">registered </w:t>
      </w:r>
      <w:r w:rsidRPr="00092C5C" w:rsidR="12DECE4C">
        <w:t>entities</w:t>
      </w:r>
      <w:r w:rsidRPr="00092C5C" w:rsidR="004E7E91">
        <w:t xml:space="preserve"> </w:t>
      </w:r>
      <w:r w:rsidR="00092C5C">
        <w:t xml:space="preserve">that are </w:t>
      </w:r>
      <w:r w:rsidRPr="00092C5C" w:rsidR="12DECE4C">
        <w:t>required</w:t>
      </w:r>
      <w:r w:rsidRPr="008F2DED" w:rsidR="12DECE4C">
        <w:t xml:space="preserve"> to file annual written statements.</w:t>
      </w:r>
    </w:p>
    <w:p w:rsidR="39C72880" w:rsidRPr="008F2DED" w:rsidP="008F2DED" w14:paraId="269CB292" w14:textId="6F75ACC2">
      <w:pPr>
        <w:pStyle w:val="BodyText"/>
        <w:ind w:firstLine="720"/>
      </w:pPr>
    </w:p>
    <w:p w:rsidR="002F7704" w:rsidRPr="008F2DED" w:rsidP="008F2DED" w14:paraId="518005DC" w14:textId="441A29D7">
      <w:pPr>
        <w:pStyle w:val="ListParagraph"/>
        <w:numPr>
          <w:ilvl w:val="0"/>
          <w:numId w:val="13"/>
        </w:numPr>
        <w:rPr>
          <w:b/>
          <w:bCs/>
          <w:sz w:val="24"/>
          <w:szCs w:val="24"/>
          <w:u w:val="none"/>
        </w:rPr>
      </w:pPr>
      <w:r w:rsidRPr="008F2DED">
        <w:rPr>
          <w:b/>
          <w:bCs/>
          <w:sz w:val="24"/>
          <w:szCs w:val="24"/>
          <w:u w:val="none"/>
        </w:rPr>
        <w:t xml:space="preserve">Describe the consequence to federal program or policy activities if the collection is not conducted or is conducted less frequently, as well as any technical or legal obstacles to reducing burden. </w:t>
      </w:r>
    </w:p>
    <w:p w:rsidR="002F7704" w:rsidRPr="008F2DED" w:rsidP="008F2DED" w14:paraId="1161A6D0" w14:textId="3D6DAC19">
      <w:pPr>
        <w:pStyle w:val="ListParagraph"/>
        <w:ind w:left="720" w:firstLine="0"/>
        <w:rPr>
          <w:b/>
          <w:bCs/>
          <w:sz w:val="24"/>
          <w:szCs w:val="24"/>
          <w:u w:val="none"/>
        </w:rPr>
      </w:pPr>
    </w:p>
    <w:p w:rsidR="006A7F8D" w:rsidRPr="008F2DED" w:rsidP="008F2DED" w14:paraId="43B2CB74" w14:textId="63BE921C">
      <w:pPr>
        <w:pStyle w:val="BodyText"/>
        <w:ind w:right="60"/>
      </w:pPr>
      <w:r w:rsidRPr="008F2DED">
        <w:t>The Bureau</w:t>
      </w:r>
      <w:r w:rsidRPr="008F2DED" w:rsidR="2612E362">
        <w:t>’s requirement</w:t>
      </w:r>
      <w:r w:rsidRPr="008F2DED">
        <w:t xml:space="preserve"> </w:t>
      </w:r>
      <w:r w:rsidRPr="008F2DED" w:rsidR="2612E362">
        <w:t>that</w:t>
      </w:r>
      <w:r w:rsidRPr="008F2DED">
        <w:t xml:space="preserve"> nonbanks report certain public </w:t>
      </w:r>
      <w:r w:rsidRPr="008F2DED" w:rsidR="7C35CA4A">
        <w:t>a</w:t>
      </w:r>
      <w:r w:rsidRPr="008F2DED" w:rsidR="116EC833">
        <w:t>gency and court</w:t>
      </w:r>
      <w:r w:rsidRPr="008F2DED" w:rsidR="7C35CA4A">
        <w:t xml:space="preserve"> </w:t>
      </w:r>
      <w:r w:rsidRPr="008F2DED">
        <w:t xml:space="preserve">orders </w:t>
      </w:r>
      <w:r w:rsidRPr="008F2DED" w:rsidR="607455BC">
        <w:t xml:space="preserve">is intended to aid the Bureau in fulfilling its statutory mandate to monitor for risks to consumers in the offering or provision of consumer financial products or services, including developments in markets for such products or services.  The requirement </w:t>
      </w:r>
      <w:r w:rsidR="00BD73B5">
        <w:t>will</w:t>
      </w:r>
      <w:r w:rsidRPr="008F2DED" w:rsidR="00BD73B5">
        <w:t xml:space="preserve"> </w:t>
      </w:r>
      <w:r w:rsidRPr="008F2DED" w:rsidR="15B46C49">
        <w:t xml:space="preserve">allow the Bureau to </w:t>
      </w:r>
      <w:r w:rsidRPr="008F2DED" w:rsidR="15B46C49">
        <w:t>more effectively monitor for potential risks</w:t>
      </w:r>
      <w:r w:rsidRPr="008F2DED" w:rsidR="15B46C49">
        <w:t xml:space="preserve"> to consumers.  The Bureau </w:t>
      </w:r>
      <w:r w:rsidR="004243BE">
        <w:t xml:space="preserve">believes </w:t>
      </w:r>
      <w:r w:rsidRPr="008F2DED" w:rsidR="15B46C49">
        <w:t xml:space="preserve">that a comprehensive collection of public orders </w:t>
      </w:r>
      <w:r w:rsidR="004243BE">
        <w:t>will</w:t>
      </w:r>
      <w:r w:rsidRPr="008F2DED" w:rsidR="004243BE">
        <w:t xml:space="preserve"> </w:t>
      </w:r>
      <w:r w:rsidRPr="008F2DED" w:rsidR="15B46C49">
        <w:t>help it identify broader trends related to risks to consumers in the offering and provision of consumer financial products and services.</w:t>
      </w:r>
      <w:r w:rsidRPr="008F2DED" w:rsidR="389E381E">
        <w:t xml:space="preserve">  The Bureau believes that requiring entities to maintain up-to-date information </w:t>
      </w:r>
      <w:r w:rsidR="00CD4DA6">
        <w:t xml:space="preserve">filed </w:t>
      </w:r>
      <w:r w:rsidRPr="008F2DED" w:rsidR="389E381E">
        <w:t xml:space="preserve">with the </w:t>
      </w:r>
      <w:r w:rsidR="0073519F">
        <w:t xml:space="preserve">nonbank </w:t>
      </w:r>
      <w:r w:rsidR="00C068E3">
        <w:t>registry</w:t>
      </w:r>
      <w:r w:rsidRPr="008F2DED" w:rsidR="389E381E">
        <w:t xml:space="preserve"> </w:t>
      </w:r>
      <w:r w:rsidR="004243BE">
        <w:t>will</w:t>
      </w:r>
      <w:r w:rsidRPr="008F2DED" w:rsidR="004243BE">
        <w:t xml:space="preserve"> </w:t>
      </w:r>
      <w:r w:rsidRPr="008F2DED" w:rsidR="389E381E">
        <w:t xml:space="preserve">significantly enhance the usefulness of the </w:t>
      </w:r>
      <w:r w:rsidR="0073519F">
        <w:t>nonbank registr</w:t>
      </w:r>
      <w:r w:rsidR="007A4EC7">
        <w:t>y</w:t>
      </w:r>
      <w:r w:rsidRPr="008F2DED" w:rsidR="389E381E">
        <w:t>.</w:t>
      </w:r>
    </w:p>
    <w:p w:rsidR="006A7F8D" w:rsidRPr="008F2DED" w:rsidP="008F2DED" w14:paraId="100D6B64" w14:textId="3D6DAC19">
      <w:pPr>
        <w:pStyle w:val="BodyText"/>
        <w:ind w:right="60"/>
      </w:pPr>
    </w:p>
    <w:p w:rsidR="3D6B2823" w:rsidRPr="008F2DED" w:rsidP="008F2DED" w14:paraId="1306F6D5" w14:textId="20F82DB1">
      <w:pPr>
        <w:pStyle w:val="BodyText"/>
        <w:ind w:right="60"/>
      </w:pPr>
      <w:r w:rsidRPr="008F2DED">
        <w:t>In addition,</w:t>
      </w:r>
      <w:r w:rsidRPr="008F2DED" w:rsidR="24BE306B">
        <w:t xml:space="preserve"> </w:t>
      </w:r>
      <w:r w:rsidRPr="008F2DED" w:rsidR="00137DD6">
        <w:t>t</w:t>
      </w:r>
      <w:r w:rsidRPr="008F2DED" w:rsidR="24BE306B">
        <w:t>he Bureau believes that consumers, the public, and other potential users of the registr</w:t>
      </w:r>
      <w:r w:rsidR="007A4EC7">
        <w:t>y</w:t>
      </w:r>
      <w:r w:rsidRPr="008F2DED" w:rsidR="24BE306B">
        <w:t xml:space="preserve"> </w:t>
      </w:r>
      <w:r w:rsidR="004243BE">
        <w:t xml:space="preserve">will </w:t>
      </w:r>
      <w:r w:rsidRPr="008F2DED" w:rsidR="24BE306B">
        <w:t xml:space="preserve">benefit from the </w:t>
      </w:r>
      <w:r w:rsidRPr="008F2DED" w:rsidR="456D27C7">
        <w:t>publication</w:t>
      </w:r>
      <w:r w:rsidRPr="008F2DED" w:rsidR="24BE306B">
        <w:t xml:space="preserve"> of a central repository for information regarding public orders that have been imposed upon nonbank covered persons.</w:t>
      </w:r>
      <w:r w:rsidRPr="008F2DED" w:rsidR="0AD3EC43">
        <w:t xml:space="preserve"> </w:t>
      </w:r>
      <w:r w:rsidRPr="008F2DED" w:rsidR="3CA5DD6E">
        <w:t xml:space="preserve">The Bureau anticipates that making a registry of these orders publicly available </w:t>
      </w:r>
      <w:r w:rsidR="0080539B">
        <w:t>will</w:t>
      </w:r>
      <w:r w:rsidRPr="008F2DED" w:rsidR="3CA5DD6E">
        <w:t xml:space="preserve">, among other things, benefit the public, and </w:t>
      </w:r>
      <w:r w:rsidR="0080539B">
        <w:t>will</w:t>
      </w:r>
      <w:r w:rsidRPr="008F2DED" w:rsidR="0080539B">
        <w:t xml:space="preserve"> </w:t>
      </w:r>
      <w:r w:rsidRPr="008F2DED" w:rsidR="3CA5DD6E">
        <w:t>allow other regulators at the Federal, State, and local level tasked with protecting consumers to realize the same market monitoring benefits that the Bureau anticipates obtaining from this rule.</w:t>
      </w:r>
    </w:p>
    <w:p w:rsidR="006A7F8D" w:rsidRPr="008F2DED" w:rsidP="008F2DED" w14:paraId="76BAC595" w14:textId="3D6DAC19">
      <w:pPr>
        <w:pStyle w:val="BodyText"/>
        <w:ind w:right="60"/>
      </w:pPr>
    </w:p>
    <w:p w:rsidR="0031486D" w:rsidRPr="008F2DED" w:rsidP="008F2DED" w14:paraId="1130F728" w14:textId="441A29D7">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none"/>
        </w:rPr>
      </w:pPr>
      <w:r w:rsidRPr="008F2DED">
        <w:rPr>
          <w:b/>
          <w:bCs/>
          <w:sz w:val="24"/>
          <w:szCs w:val="24"/>
          <w:u w:val="none"/>
        </w:rPr>
        <w:t>Explain any special circumstances that would cause an information collection to be conducted in a manner:</w:t>
      </w:r>
    </w:p>
    <w:p w:rsidR="002F7704" w:rsidRPr="008F2DED" w:rsidP="008F2DED" w14:paraId="0190D120" w14:textId="441A29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sz w:val="24"/>
          <w:szCs w:val="24"/>
        </w:rPr>
      </w:pPr>
    </w:p>
    <w:p w:rsidR="0031486D" w:rsidRPr="008F2DED" w:rsidP="008F2DED" w14:paraId="1E867CD2" w14:textId="77777777">
      <w:pPr>
        <w:widowControl/>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rPr>
          <w:b/>
          <w:bCs/>
          <w:sz w:val="24"/>
          <w:szCs w:val="24"/>
        </w:rPr>
      </w:pPr>
      <w:r w:rsidRPr="008F2DED">
        <w:rPr>
          <w:b/>
          <w:bCs/>
          <w:sz w:val="24"/>
          <w:szCs w:val="24"/>
        </w:rPr>
        <w:t xml:space="preserve">requiring respondents to report information to the agency more often than </w:t>
      </w:r>
      <w:r w:rsidRPr="008F2DED">
        <w:rPr>
          <w:b/>
          <w:bCs/>
          <w:sz w:val="24"/>
          <w:szCs w:val="24"/>
        </w:rPr>
        <w:t>quarterly;</w:t>
      </w:r>
    </w:p>
    <w:p w:rsidR="0031486D" w:rsidRPr="008F2DED" w:rsidP="008F2DED" w14:paraId="286F3C1D" w14:textId="77777777">
      <w:pPr>
        <w:widowControl/>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rPr>
          <w:b/>
          <w:bCs/>
          <w:sz w:val="24"/>
          <w:szCs w:val="24"/>
        </w:rPr>
      </w:pPr>
      <w:r w:rsidRPr="008F2DED">
        <w:rPr>
          <w:b/>
          <w:bCs/>
          <w:sz w:val="24"/>
          <w:szCs w:val="24"/>
        </w:rPr>
        <w:t xml:space="preserve">requiring respondents to prepare a written response to a collection of information in fewer than 30 days after receipt of </w:t>
      </w:r>
      <w:r w:rsidRPr="008F2DED">
        <w:rPr>
          <w:b/>
          <w:bCs/>
          <w:sz w:val="24"/>
          <w:szCs w:val="24"/>
        </w:rPr>
        <w:t>it;</w:t>
      </w:r>
    </w:p>
    <w:p w:rsidR="0031486D" w:rsidRPr="008F2DED" w:rsidP="008F2DED" w14:paraId="4E61E460" w14:textId="77777777">
      <w:pPr>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rPr>
          <w:b/>
          <w:bCs/>
          <w:sz w:val="24"/>
          <w:szCs w:val="24"/>
        </w:rPr>
      </w:pPr>
      <w:r w:rsidRPr="008F2DED">
        <w:rPr>
          <w:b/>
          <w:bCs/>
          <w:sz w:val="24"/>
          <w:szCs w:val="24"/>
        </w:rPr>
        <w:t xml:space="preserve">requiring respondents to submit more than an original and two copies of any </w:t>
      </w:r>
      <w:r w:rsidRPr="008F2DED">
        <w:rPr>
          <w:b/>
          <w:bCs/>
          <w:sz w:val="24"/>
          <w:szCs w:val="24"/>
        </w:rPr>
        <w:t>document;</w:t>
      </w:r>
    </w:p>
    <w:p w:rsidR="0031486D" w:rsidRPr="008F2DED" w:rsidP="008F2DED" w14:paraId="1C83076D" w14:textId="77777777">
      <w:pPr>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rPr>
          <w:b/>
          <w:bCs/>
          <w:sz w:val="24"/>
          <w:szCs w:val="24"/>
        </w:rPr>
      </w:pPr>
      <w:r w:rsidRPr="008F2DED">
        <w:rPr>
          <w:b/>
          <w:bCs/>
          <w:sz w:val="24"/>
          <w:szCs w:val="24"/>
        </w:rPr>
        <w:t xml:space="preserve">requiring respondents to retain records, other than health, medical, government contract, grant-in-aid, or tax records for more than three </w:t>
      </w:r>
      <w:r w:rsidRPr="008F2DED">
        <w:rPr>
          <w:b/>
          <w:bCs/>
          <w:sz w:val="24"/>
          <w:szCs w:val="24"/>
        </w:rPr>
        <w:t>years;</w:t>
      </w:r>
    </w:p>
    <w:p w:rsidR="0031486D" w:rsidRPr="008F2DED" w:rsidP="008F2DED" w14:paraId="69C09E30"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rPr>
      </w:pPr>
      <w:r w:rsidRPr="008F2DED">
        <w:rPr>
          <w:b/>
          <w:bCs/>
        </w:rPr>
        <w:t xml:space="preserve">in connection with a statistical survey, that is not designed to produce valid and reliable results that can be generalized to the universe of </w:t>
      </w:r>
      <w:r w:rsidRPr="008F2DED">
        <w:rPr>
          <w:b/>
          <w:bCs/>
        </w:rPr>
        <w:t>study;</w:t>
      </w:r>
    </w:p>
    <w:p w:rsidR="0031486D" w:rsidRPr="008F2DED" w:rsidP="008F2DED" w14:paraId="1D817D1E"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rPr>
      </w:pPr>
      <w:r w:rsidRPr="008F2DED">
        <w:rPr>
          <w:b/>
          <w:bCs/>
        </w:rPr>
        <w:t xml:space="preserve">requiring the use of statistical data classification that has not been reviewed and approved by </w:t>
      </w:r>
      <w:r w:rsidRPr="008F2DED">
        <w:rPr>
          <w:b/>
          <w:bCs/>
        </w:rPr>
        <w:t>OMB;</w:t>
      </w:r>
    </w:p>
    <w:p w:rsidR="0031486D" w:rsidRPr="008F2DED" w:rsidP="008F2DED" w14:paraId="0BA9AE09" w14:textId="557D4C44">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rPr>
      </w:pPr>
      <w:r w:rsidRPr="008F2DED">
        <w:rPr>
          <w:b/>
          <w:bCs/>
        </w:rPr>
        <w:t>that includes a pledge of confident</w:t>
      </w:r>
      <w:r w:rsidR="00DF120C">
        <w:rPr>
          <w:b/>
          <w:bCs/>
        </w:rPr>
        <w:t xml:space="preserve">iality </w:t>
      </w:r>
      <w:r w:rsidRPr="008F2DED">
        <w:rPr>
          <w:b/>
          <w:bCs/>
        </w:rPr>
        <w:t>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1486D" w:rsidRPr="008F2DED" w:rsidP="008F2DED" w14:paraId="07864359" w14:textId="3D6DAC19">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rsidRPr="008F2DED">
        <w:rPr>
          <w:b/>
          <w:bCs/>
        </w:rPr>
        <w:t>requiring respondents to submit proprietary trade secret, or other confidential information unless the agency can demonstrate that it has instituted procedures to protect the information's confidentially to the extent permitted by law.</w:t>
      </w:r>
    </w:p>
    <w:p w:rsidR="006A7F8D" w:rsidRPr="008F2DED" w:rsidP="008F2DED" w14:paraId="152A4FBB" w14:textId="3D6DAC19">
      <w:pPr>
        <w:pStyle w:val="BodyText"/>
        <w:rPr>
          <w:b/>
        </w:rPr>
      </w:pPr>
    </w:p>
    <w:p w:rsidR="000F5D15" w:rsidRPr="008F2DED" w:rsidP="008F2DED" w14:paraId="42295ADC" w14:textId="6B239E48">
      <w:pPr>
        <w:pStyle w:val="BodyText"/>
      </w:pPr>
      <w:r>
        <w:t>S</w:t>
      </w:r>
      <w:r w:rsidR="000F2F61">
        <w:t xml:space="preserve">ection </w:t>
      </w:r>
      <w:r w:rsidR="0087024B">
        <w:t>1092.</w:t>
      </w:r>
      <w:r w:rsidR="00820508">
        <w:t>20</w:t>
      </w:r>
      <w:r w:rsidR="0087024B">
        <w:t>4</w:t>
      </w:r>
      <w:r w:rsidR="00820508">
        <w:t>(</w:t>
      </w:r>
      <w:r w:rsidR="00EA369A">
        <w:t>e)</w:t>
      </w:r>
      <w:r w:rsidR="00FB255D">
        <w:t xml:space="preserve"> of the final rule</w:t>
      </w:r>
      <w:r w:rsidR="00EA369A">
        <w:t xml:space="preserve"> require</w:t>
      </w:r>
      <w:r w:rsidR="00FB255D">
        <w:t>s</w:t>
      </w:r>
      <w:r w:rsidR="00EA369A">
        <w:t xml:space="preserve"> a supervised registered entity to maintain documents and</w:t>
      </w:r>
      <w:r w:rsidR="00426481">
        <w:t xml:space="preserve"> </w:t>
      </w:r>
      <w:r w:rsidR="00EA369A">
        <w:t xml:space="preserve">other records sufficient to provide reasonable support for its annual written statement and to otherwise demonstrate compliance with the requirements of </w:t>
      </w:r>
      <w:r w:rsidR="00B0540B">
        <w:t xml:space="preserve">section </w:t>
      </w:r>
      <w:r w:rsidR="00A35569">
        <w:t>1092.</w:t>
      </w:r>
      <w:r w:rsidR="00B0540B">
        <w:t>20</w:t>
      </w:r>
      <w:r w:rsidR="00A35569">
        <w:t>4</w:t>
      </w:r>
      <w:r w:rsidR="00EA369A">
        <w:t xml:space="preserve"> with respect to any submission under </w:t>
      </w:r>
      <w:r w:rsidR="00B0540B">
        <w:t xml:space="preserve">section </w:t>
      </w:r>
      <w:r w:rsidR="00D974DF">
        <w:t>1092.</w:t>
      </w:r>
      <w:r w:rsidR="00B0540B">
        <w:t>20</w:t>
      </w:r>
      <w:r w:rsidR="00D974DF">
        <w:t>4</w:t>
      </w:r>
      <w:r w:rsidR="00EA369A">
        <w:t xml:space="preserve"> for five years after such submission is required.  </w:t>
      </w:r>
    </w:p>
    <w:p w:rsidR="000F5D15" w:rsidRPr="008F2DED" w:rsidP="008F2DED" w14:paraId="0104ABB9" w14:textId="06CEC195">
      <w:pPr>
        <w:pStyle w:val="BodyText"/>
      </w:pPr>
    </w:p>
    <w:p w:rsidR="000F5D15" w:rsidRPr="008F2DED" w:rsidP="008F2DED" w14:paraId="27A3B738" w14:textId="3EF775BA">
      <w:pPr>
        <w:pStyle w:val="BodyText"/>
      </w:pPr>
      <w:r>
        <w:t>Section 1092.204(e)</w:t>
      </w:r>
      <w:r w:rsidR="00B0540B">
        <w:t xml:space="preserve"> also require</w:t>
      </w:r>
      <w:r>
        <w:t>s</w:t>
      </w:r>
      <w:r w:rsidR="00B0540B">
        <w:t xml:space="preserve"> </w:t>
      </w:r>
      <w:r w:rsidR="00EA369A">
        <w:t>supervised registered entit</w:t>
      </w:r>
      <w:r w:rsidR="00FF5491">
        <w:t>ies</w:t>
      </w:r>
      <w:r w:rsidR="00EA369A">
        <w:t xml:space="preserve"> </w:t>
      </w:r>
      <w:r w:rsidR="00B0540B">
        <w:t>to</w:t>
      </w:r>
      <w:r w:rsidR="00EA369A">
        <w:t xml:space="preserve"> make such documents and other records available to the Bureau upon request.</w:t>
      </w:r>
      <w:r w:rsidR="008A7B39">
        <w:t xml:space="preserve">  </w:t>
      </w:r>
      <w:r w:rsidR="00C76031">
        <w:t xml:space="preserve">These requirements are designed to promote effective and efficient enforcement and supervision of section </w:t>
      </w:r>
      <w:r w:rsidR="00D85AD1">
        <w:t>1092.204</w:t>
      </w:r>
      <w:r w:rsidR="00C76031">
        <w:t xml:space="preserve">.  </w:t>
      </w:r>
    </w:p>
    <w:p w:rsidR="000F5D15" w:rsidRPr="008F2DED" w:rsidP="008F2DED" w14:paraId="71640E1F" w14:textId="36CA7150">
      <w:pPr>
        <w:pStyle w:val="BodyText"/>
      </w:pPr>
    </w:p>
    <w:p w:rsidR="000F5D15" w:rsidRPr="008F2DED" w:rsidP="008F2DED" w14:paraId="3078CBB5" w14:textId="4465F4B9">
      <w:pPr>
        <w:pStyle w:val="BodyText"/>
      </w:pPr>
      <w:r>
        <w:t xml:space="preserve">The Bureau </w:t>
      </w:r>
      <w:r w:rsidR="00D62D91">
        <w:t xml:space="preserve">is </w:t>
      </w:r>
      <w:r>
        <w:t>rely</w:t>
      </w:r>
      <w:r w:rsidR="00D62D91">
        <w:t>ing</w:t>
      </w:r>
      <w:r>
        <w:t xml:space="preserve"> on its rulemaking authorities under CFPA section 1024(b)(7)(A)–(C) in imposing section </w:t>
      </w:r>
      <w:r w:rsidR="00355232">
        <w:t>1092.204</w:t>
      </w:r>
      <w:r>
        <w:t>’s recordkeeping requirements.</w:t>
      </w:r>
      <w:r w:rsidR="008A7B39">
        <w:t xml:space="preserve">  </w:t>
      </w:r>
      <w:r w:rsidR="00343B4C">
        <w:t xml:space="preserve">The purpose of this requirement </w:t>
      </w:r>
      <w:r w:rsidR="00806CD3">
        <w:t xml:space="preserve">is </w:t>
      </w:r>
      <w:r w:rsidR="00343B4C">
        <w:t xml:space="preserve">to enable the Bureau to assess, as part of its normal supervisory process, the supervised registered entity’s compliance with </w:t>
      </w:r>
      <w:r w:rsidR="00D01781">
        <w:t>section</w:t>
      </w:r>
      <w:r w:rsidR="00343B4C">
        <w:t xml:space="preserve"> </w:t>
      </w:r>
      <w:r w:rsidR="003777D6">
        <w:t>1092.204</w:t>
      </w:r>
      <w:r w:rsidR="00343B4C">
        <w:t xml:space="preserve">. </w:t>
      </w:r>
    </w:p>
    <w:p w:rsidR="000F5D15" w:rsidRPr="008F2DED" w:rsidP="008F2DED" w14:paraId="2868489C" w14:textId="179B470D">
      <w:pPr>
        <w:pStyle w:val="BodyText"/>
      </w:pPr>
    </w:p>
    <w:p w:rsidR="000F5D15" w:rsidRPr="008F2DED" w:rsidP="008F2DED" w14:paraId="3A1787EB" w14:textId="20BACD2B">
      <w:pPr>
        <w:pStyle w:val="BodyText"/>
      </w:pPr>
      <w:r>
        <w:t xml:space="preserve">The Bureau believes that the five-year </w:t>
      </w:r>
      <w:r>
        <w:t>time period</w:t>
      </w:r>
      <w:r>
        <w:t xml:space="preserve"> would appropriately facilitate the Bureau’s examination and enforcement capabilities with respect to compliance with </w:t>
      </w:r>
      <w:r w:rsidR="00D01781">
        <w:t>section</w:t>
      </w:r>
      <w:r>
        <w:t xml:space="preserve"> </w:t>
      </w:r>
      <w:r w:rsidR="00CB3CE5">
        <w:t>1092.204</w:t>
      </w:r>
      <w:r>
        <w:t>’s requirements.</w:t>
      </w:r>
    </w:p>
    <w:p w:rsidR="02742FBE" w:rsidP="02742FBE" w14:paraId="43A94A08" w14:textId="09BCDD41">
      <w:pPr>
        <w:pStyle w:val="BodyText"/>
      </w:pPr>
    </w:p>
    <w:p w:rsidR="768CFDEE" w:rsidP="00C43CD1" w14:paraId="15B04A88" w14:textId="21103835">
      <w:pPr>
        <w:pStyle w:val="BodyText"/>
        <w:spacing w:line="259" w:lineRule="auto"/>
      </w:pPr>
    </w:p>
    <w:p w:rsidR="004E46B0" w:rsidRPr="008F2DED" w:rsidP="008F2DED" w14:paraId="3607ACA9" w14:textId="77777777">
      <w:pPr>
        <w:pStyle w:val="BodyText"/>
      </w:pPr>
    </w:p>
    <w:p w:rsidR="00780413" w:rsidRPr="008F2DED" w:rsidP="008F2DED" w14:paraId="6ECF6B14" w14:textId="061545B9">
      <w:pPr>
        <w:pStyle w:val="ListParagraph"/>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u w:val="none"/>
        </w:rPr>
      </w:pPr>
      <w:r w:rsidRPr="008F2DED">
        <w:rPr>
          <w:b/>
          <w:bCs/>
          <w:sz w:val="24"/>
          <w:szCs w:val="24"/>
          <w:u w:val="none"/>
        </w:rPr>
        <w:t xml:space="preserve">   If applicable, provide a copy and identify the date and page number of </w:t>
      </w:r>
      <w:r w:rsidRPr="008F2DED">
        <w:rPr>
          <w:b/>
          <w:bCs/>
          <w:sz w:val="24"/>
          <w:szCs w:val="24"/>
          <w:u w:val="none"/>
        </w:rPr>
        <w:t>publication</w:t>
      </w:r>
      <w:r w:rsidRPr="008F2DED">
        <w:rPr>
          <w:b/>
          <w:bCs/>
          <w:sz w:val="24"/>
          <w:szCs w:val="24"/>
          <w:u w:val="none"/>
        </w:rPr>
        <w:t xml:space="preserve"> in the Federal Register of the agency</w:t>
      </w:r>
      <w:r w:rsidR="00445AE7">
        <w:rPr>
          <w:b/>
          <w:bCs/>
          <w:sz w:val="24"/>
          <w:szCs w:val="24"/>
          <w:u w:val="none"/>
        </w:rPr>
        <w:t>’</w:t>
      </w:r>
      <w:r w:rsidRPr="008F2DED">
        <w:rPr>
          <w:b/>
          <w:bCs/>
          <w:sz w:val="24"/>
          <w:szCs w:val="24"/>
          <w:u w:val="none"/>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F7704" w:rsidRPr="008F2DED" w:rsidP="008F2DED" w14:paraId="6FC1B402"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firstLine="0"/>
        <w:rPr>
          <w:b/>
          <w:bCs/>
          <w:sz w:val="24"/>
          <w:szCs w:val="24"/>
        </w:rPr>
      </w:pPr>
    </w:p>
    <w:p w:rsidR="00780413" w:rsidRPr="008F2DED" w:rsidP="008F2DED" w14:paraId="43CE3F84" w14:textId="296CC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b/>
          <w:bCs/>
          <w:sz w:val="24"/>
          <w:szCs w:val="24"/>
        </w:rPr>
      </w:pPr>
      <w:r w:rsidRPr="008F2DED">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D3E12" w:rsidRPr="008F2DED" w:rsidP="008F2DED" w14:paraId="731125C2"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b/>
          <w:bCs/>
          <w:sz w:val="24"/>
          <w:szCs w:val="24"/>
        </w:rPr>
      </w:pPr>
    </w:p>
    <w:p w:rsidR="00780413" w:rsidRPr="008F2DED" w:rsidP="008F2DED" w14:paraId="50445295" w14:textId="7920749D">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4"/>
          <w:szCs w:val="24"/>
        </w:rPr>
      </w:pPr>
      <w:r w:rsidRPr="008F2DED">
        <w:rPr>
          <w:b/>
          <w:bCs/>
          <w:sz w:val="24"/>
          <w:szCs w:val="24"/>
        </w:rPr>
        <w:t xml:space="preserve">Consultation with representatives of those from whom information is to be obtained or those who must compile records should occur at least once every 3 years </w:t>
      </w:r>
      <w:r w:rsidR="00445AE7">
        <w:rPr>
          <w:b/>
          <w:bCs/>
          <w:sz w:val="24"/>
          <w:szCs w:val="24"/>
        </w:rPr>
        <w:t>–</w:t>
      </w:r>
      <w:r w:rsidRPr="008F2DED">
        <w:rPr>
          <w:b/>
          <w:bCs/>
          <w:sz w:val="24"/>
          <w:szCs w:val="24"/>
        </w:rPr>
        <w:t xml:space="preserve"> even if the collection-of-information activity is the same as in prior periods.  There may be circumstances that may preclude consultation in a specific situation.  These circumstances should be explained.</w:t>
      </w:r>
    </w:p>
    <w:p w:rsidR="000F5D15" w:rsidRPr="008F2DED" w:rsidP="008F2DED" w14:paraId="328463AC" w14:textId="2B090ED6">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b/>
          <w:bCs/>
          <w:sz w:val="24"/>
          <w:szCs w:val="24"/>
        </w:rPr>
      </w:pPr>
      <w:r w:rsidRPr="008F2DED">
        <w:rPr>
          <w:b/>
          <w:bCs/>
          <w:sz w:val="24"/>
          <w:szCs w:val="24"/>
        </w:rPr>
        <w:t xml:space="preserve">  </w:t>
      </w:r>
    </w:p>
    <w:p w:rsidR="000F5D15" w:rsidRPr="008F2DED" w:rsidP="008F2DED" w14:paraId="514C3FC4" w14:textId="14ECB69C">
      <w:pPr>
        <w:pStyle w:val="BodyText"/>
      </w:pPr>
      <w:r w:rsidRPr="008F2DED">
        <w:t xml:space="preserve">The Bureau engaged in robust consultations with Federal and </w:t>
      </w:r>
      <w:r w:rsidR="00A90627">
        <w:t>S</w:t>
      </w:r>
      <w:r w:rsidRPr="008F2DED">
        <w:t xml:space="preserve">tate agencies, including </w:t>
      </w:r>
      <w:r w:rsidR="00A90627">
        <w:t>S</w:t>
      </w:r>
      <w:r w:rsidRPr="008F2DED">
        <w:t>tate</w:t>
      </w:r>
      <w:r w:rsidRPr="008F2DED" w:rsidR="00BD3E12">
        <w:t xml:space="preserve"> </w:t>
      </w:r>
      <w:r w:rsidRPr="008F2DED">
        <w:t xml:space="preserve">financial regulators, </w:t>
      </w:r>
      <w:r w:rsidR="00A90627">
        <w:t>S</w:t>
      </w:r>
      <w:r w:rsidRPr="008F2DED">
        <w:t xml:space="preserve">tate and tribal attorneys general, and </w:t>
      </w:r>
      <w:r w:rsidRPr="008F2DED" w:rsidR="001C5E38">
        <w:t>t</w:t>
      </w:r>
      <w:r w:rsidRPr="008F2DED">
        <w:t>ribal representatives.</w:t>
      </w:r>
      <w:r w:rsidR="00B86973">
        <w:t xml:space="preserve">  For further discussion of these consultations, see the preamble to the final rule.</w:t>
      </w:r>
      <w:r w:rsidRPr="000F144A" w:rsidR="000F144A">
        <w:t xml:space="preserve"> </w:t>
      </w:r>
      <w:r w:rsidR="000F144A">
        <w:t xml:space="preserve">The Bureau also consulted with a non-profit organization regarding data it maintains regarding orders entered against companies for violating a wide range of laws. </w:t>
      </w:r>
      <w:r w:rsidRPr="002B7AAB" w:rsidR="000F144A">
        <w:t xml:space="preserve">The Bureau consulted with external entities </w:t>
      </w:r>
      <w:r w:rsidRPr="002B7AAB" w:rsidR="000F144A">
        <w:t xml:space="preserve">regarding an early prototype of the </w:t>
      </w:r>
      <w:r w:rsidR="000F144A">
        <w:t>nonbank registry’s</w:t>
      </w:r>
      <w:r w:rsidRPr="002B7AAB" w:rsidR="000F144A">
        <w:t xml:space="preserve"> design to obtain feedback on certain aspects of the information collection</w:t>
      </w:r>
      <w:r w:rsidR="000F144A">
        <w:t>,</w:t>
      </w:r>
      <w:r w:rsidRPr="002B7AAB" w:rsidR="000F144A">
        <w:t xml:space="preserve"> including usability and accessibility focused on the user experience</w:t>
      </w:r>
      <w:r w:rsidR="00E036BC">
        <w:t>.</w:t>
      </w:r>
    </w:p>
    <w:p w:rsidR="00554185" w:rsidRPr="008F2DED" w:rsidP="008F2DED" w14:paraId="3A2248E7" w14:textId="00A6EF37">
      <w:pPr>
        <w:pStyle w:val="BodyText"/>
      </w:pPr>
    </w:p>
    <w:p w:rsidR="003D0A9E" w:rsidP="002F2F10" w14:paraId="0C78BCB4" w14:textId="77777777">
      <w:pPr>
        <w:pStyle w:val="BodyText"/>
      </w:pPr>
      <w:r w:rsidRPr="008F2DED">
        <w:t xml:space="preserve">In accordance with 5 CFR 1320.8(d), </w:t>
      </w:r>
      <w:r w:rsidR="00C25E94">
        <w:t xml:space="preserve">at the proposal stage, </w:t>
      </w:r>
      <w:r w:rsidRPr="008F2DED">
        <w:t xml:space="preserve">the Bureau published a notice in the Federal </w:t>
      </w:r>
      <w:r w:rsidRPr="002B7AAB">
        <w:t xml:space="preserve">Register allowing the public to comment on the </w:t>
      </w:r>
      <w:r w:rsidRPr="002B7AAB" w:rsidR="00152504">
        <w:t>Notice of Proposed Rulemaking</w:t>
      </w:r>
      <w:r w:rsidRPr="002B7AAB" w:rsidR="00CB2FD6">
        <w:t xml:space="preserve">. </w:t>
      </w:r>
      <w:r w:rsidR="00DD48F4">
        <w:t xml:space="preserve"> </w:t>
      </w:r>
      <w:r w:rsidR="00E87CD5">
        <w:rPr>
          <w:i/>
          <w:iCs/>
        </w:rPr>
        <w:t xml:space="preserve">See </w:t>
      </w:r>
      <w:r w:rsidR="00E87CD5">
        <w:t>88 FR 6088 (</w:t>
      </w:r>
      <w:r w:rsidR="00DD48F4">
        <w:t xml:space="preserve">Jan. 30, 2023).  </w:t>
      </w:r>
      <w:r w:rsidRPr="002B7AAB" w:rsidR="00CB2FD6">
        <w:t>T</w:t>
      </w:r>
      <w:r w:rsidRPr="002B7AAB">
        <w:t xml:space="preserve">he comment period </w:t>
      </w:r>
      <w:r w:rsidRPr="002B7AAB" w:rsidR="00CB2FD6">
        <w:t>end</w:t>
      </w:r>
      <w:r w:rsidRPr="002B7AAB" w:rsidR="00C25E94">
        <w:t>ed</w:t>
      </w:r>
      <w:r w:rsidRPr="002B7AAB">
        <w:t xml:space="preserve"> 60 days from publication in the Federal Register.</w:t>
      </w:r>
      <w:r w:rsidRPr="002B7AAB" w:rsidR="00112E0B">
        <w:t xml:space="preserve">  </w:t>
      </w:r>
      <w:r w:rsidRPr="002B7AAB" w:rsidR="00E27DA1">
        <w:t xml:space="preserve">For a discussion of comments received, see the preamble to the final rule.  </w:t>
      </w:r>
      <w:r w:rsidR="002F2F10">
        <w:t>The comments on the rule generally, and those relating to its burdens and utility, are summarized in the preamble to the final rule.</w:t>
      </w:r>
    </w:p>
    <w:p w:rsidR="00976B9E" w:rsidRPr="008F2DED" w:rsidP="00BF5AE4" w14:paraId="01D6F9C3" w14:textId="58D2A842">
      <w:pPr>
        <w:pStyle w:val="BodyText"/>
      </w:pPr>
      <w:r w:rsidRPr="008F2DED">
        <w:rPr>
          <w:i/>
          <w:iCs/>
        </w:rPr>
        <w:t xml:space="preserve"> </w:t>
      </w:r>
    </w:p>
    <w:p w:rsidR="00976B9E" w:rsidRPr="008F2DED" w:rsidP="008F2DED" w14:paraId="2F386A9C" w14:textId="560890EE">
      <w:pPr>
        <w:pStyle w:val="ListParagraph"/>
        <w:numPr>
          <w:ilvl w:val="0"/>
          <w:numId w:val="13"/>
        </w:numPr>
        <w:adjustRightInd w:val="0"/>
        <w:rPr>
          <w:b/>
          <w:bCs/>
          <w:sz w:val="24"/>
          <w:szCs w:val="24"/>
          <w:u w:val="none"/>
        </w:rPr>
      </w:pPr>
      <w:r w:rsidRPr="008F2DED">
        <w:rPr>
          <w:b/>
          <w:bCs/>
          <w:sz w:val="24"/>
          <w:szCs w:val="24"/>
          <w:u w:val="none"/>
        </w:rPr>
        <w:t>Explain any decision to provide any payments or gifts to respondents, other than remuneration of contractors or grantees.</w:t>
      </w:r>
    </w:p>
    <w:p w:rsidR="00976B9E" w:rsidRPr="008F2DED" w:rsidP="008F2DED" w14:paraId="225EA211" w14:textId="77777777">
      <w:pPr>
        <w:ind w:left="-5"/>
        <w:rPr>
          <w:sz w:val="24"/>
          <w:szCs w:val="24"/>
        </w:rPr>
      </w:pPr>
      <w:r w:rsidRPr="008F2DED">
        <w:rPr>
          <w:sz w:val="24"/>
          <w:szCs w:val="24"/>
        </w:rPr>
        <w:t xml:space="preserve"> </w:t>
      </w:r>
    </w:p>
    <w:p w:rsidR="00976B9E" w:rsidRPr="008F2DED" w:rsidP="008F2DED" w14:paraId="237C23EB" w14:textId="2D023F73">
      <w:pPr>
        <w:rPr>
          <w:sz w:val="24"/>
          <w:szCs w:val="24"/>
        </w:rPr>
      </w:pPr>
      <w:r w:rsidRPr="008F2DED">
        <w:rPr>
          <w:sz w:val="24"/>
          <w:szCs w:val="24"/>
        </w:rPr>
        <w:t>No payments or gifts are provided to respondents.</w:t>
      </w:r>
    </w:p>
    <w:p w:rsidR="00976B9E" w:rsidRPr="008F2DED" w:rsidP="008F2DED" w14:paraId="6C7ABB9F" w14:textId="04A19738">
      <w:pPr>
        <w:rPr>
          <w:sz w:val="24"/>
          <w:szCs w:val="24"/>
        </w:rPr>
      </w:pPr>
    </w:p>
    <w:p w:rsidR="00780413" w:rsidRPr="008F2DED" w:rsidP="008F2DED" w14:paraId="1B3D6F40" w14:textId="6F24D2F3">
      <w:pPr>
        <w:pStyle w:val="ListParagraph"/>
        <w:numPr>
          <w:ilvl w:val="0"/>
          <w:numId w:val="13"/>
        </w:numPr>
        <w:rPr>
          <w:b/>
          <w:bCs/>
          <w:sz w:val="24"/>
          <w:szCs w:val="24"/>
          <w:u w:val="none"/>
        </w:rPr>
      </w:pPr>
      <w:r w:rsidRPr="008F2DED">
        <w:rPr>
          <w:b/>
          <w:bCs/>
          <w:sz w:val="24"/>
          <w:szCs w:val="24"/>
          <w:u w:val="none"/>
        </w:rPr>
        <w:t>Describe any assurance of confidentiality provided to respondents and the basis for the assurance in statute, regulation, or agency policy.</w:t>
      </w:r>
    </w:p>
    <w:p w:rsidR="009D339E" w:rsidRPr="008F2DED" w:rsidP="008F2DED" w14:paraId="66B49C7C" w14:textId="39E43363">
      <w:pPr>
        <w:rPr>
          <w:b/>
          <w:bCs/>
          <w:sz w:val="24"/>
          <w:szCs w:val="24"/>
        </w:rPr>
      </w:pPr>
    </w:p>
    <w:p w:rsidR="00446850" w:rsidRPr="008F2DED" w:rsidP="008F2DED" w14:paraId="023ACF30" w14:textId="1BF1CBD0">
      <w:pPr>
        <w:rPr>
          <w:sz w:val="24"/>
          <w:szCs w:val="24"/>
        </w:rPr>
      </w:pPr>
      <w:r w:rsidRPr="008F2DED">
        <w:rPr>
          <w:sz w:val="24"/>
          <w:szCs w:val="24"/>
        </w:rPr>
        <w:t xml:space="preserve">Consistent with CFPA section 1022(c)(8), the Bureau </w:t>
      </w:r>
      <w:r w:rsidR="00707620">
        <w:rPr>
          <w:sz w:val="24"/>
          <w:szCs w:val="24"/>
        </w:rPr>
        <w:t>wil</w:t>
      </w:r>
      <w:r w:rsidR="00AB0B9A">
        <w:rPr>
          <w:sz w:val="24"/>
          <w:szCs w:val="24"/>
        </w:rPr>
        <w:t>l</w:t>
      </w:r>
      <w:r w:rsidRPr="008F2DED" w:rsidR="00707620">
        <w:rPr>
          <w:sz w:val="24"/>
          <w:szCs w:val="24"/>
        </w:rPr>
        <w:t xml:space="preserve"> </w:t>
      </w:r>
      <w:r w:rsidRPr="008F2DED">
        <w:rPr>
          <w:sz w:val="24"/>
          <w:szCs w:val="24"/>
        </w:rPr>
        <w:t>not publish information protected from public disclosure under 5 U.S.C. 552(b) or 552a of title 5, United States Code, or any other provision of law.</w:t>
      </w:r>
    </w:p>
    <w:p w:rsidR="00446850" w:rsidRPr="008F2DED" w:rsidP="008F2DED" w14:paraId="021BB3DB" w14:textId="77777777">
      <w:pPr>
        <w:rPr>
          <w:sz w:val="24"/>
          <w:szCs w:val="24"/>
        </w:rPr>
      </w:pPr>
    </w:p>
    <w:p w:rsidR="000A5CE2" w:rsidRPr="008F2DED" w:rsidP="008F2DED" w14:paraId="3376944E" w14:textId="210CB49F">
      <w:pPr>
        <w:rPr>
          <w:sz w:val="24"/>
          <w:szCs w:val="24"/>
        </w:rPr>
      </w:pPr>
      <w:r w:rsidRPr="55A2F189">
        <w:rPr>
          <w:sz w:val="24"/>
          <w:szCs w:val="24"/>
        </w:rPr>
        <w:t xml:space="preserve">To the extent </w:t>
      </w:r>
      <w:r w:rsidRPr="55A2F189" w:rsidR="2B087DAD">
        <w:rPr>
          <w:sz w:val="24"/>
          <w:szCs w:val="24"/>
        </w:rPr>
        <w:t>that</w:t>
      </w:r>
      <w:r w:rsidRPr="55A2F189">
        <w:rPr>
          <w:sz w:val="24"/>
          <w:szCs w:val="24"/>
        </w:rPr>
        <w:t xml:space="preserve"> information collected under </w:t>
      </w:r>
      <w:r w:rsidRPr="55A2F189" w:rsidR="00AB0B9A">
        <w:rPr>
          <w:sz w:val="24"/>
          <w:szCs w:val="24"/>
        </w:rPr>
        <w:t>the rule</w:t>
      </w:r>
      <w:r w:rsidRPr="55A2F189">
        <w:rPr>
          <w:sz w:val="24"/>
          <w:szCs w:val="24"/>
        </w:rPr>
        <w:t xml:space="preserve"> </w:t>
      </w:r>
      <w:r w:rsidRPr="55A2F189" w:rsidR="7A3586D7">
        <w:rPr>
          <w:sz w:val="24"/>
          <w:szCs w:val="24"/>
        </w:rPr>
        <w:t>is</w:t>
      </w:r>
      <w:r w:rsidRPr="55A2F189">
        <w:rPr>
          <w:sz w:val="24"/>
          <w:szCs w:val="24"/>
        </w:rPr>
        <w:t xml:space="preserve"> considered Bureau confidential supervisory information, </w:t>
      </w:r>
      <w:r w:rsidRPr="55A2F189" w:rsidR="00F97E8F">
        <w:rPr>
          <w:sz w:val="24"/>
          <w:szCs w:val="24"/>
        </w:rPr>
        <w:t>any</w:t>
      </w:r>
      <w:r w:rsidRPr="55A2F189" w:rsidR="00772EEA">
        <w:rPr>
          <w:sz w:val="24"/>
          <w:szCs w:val="24"/>
        </w:rPr>
        <w:t xml:space="preserve"> discretionary</w:t>
      </w:r>
      <w:r w:rsidRPr="55A2F189" w:rsidR="00F97E8F">
        <w:rPr>
          <w:sz w:val="24"/>
          <w:szCs w:val="24"/>
        </w:rPr>
        <w:t xml:space="preserve"> </w:t>
      </w:r>
      <w:r w:rsidRPr="55A2F189">
        <w:rPr>
          <w:sz w:val="24"/>
          <w:szCs w:val="24"/>
        </w:rPr>
        <w:t>public release of</w:t>
      </w:r>
      <w:r w:rsidRPr="55A2F189" w:rsidR="003908E5">
        <w:rPr>
          <w:sz w:val="24"/>
          <w:szCs w:val="24"/>
        </w:rPr>
        <w:t xml:space="preserve"> such</w:t>
      </w:r>
      <w:r w:rsidRPr="55A2F189">
        <w:rPr>
          <w:sz w:val="24"/>
          <w:szCs w:val="24"/>
        </w:rPr>
        <w:t xml:space="preserve"> </w:t>
      </w:r>
      <w:r w:rsidRPr="55A2F189" w:rsidR="00AE0F80">
        <w:rPr>
          <w:sz w:val="24"/>
          <w:szCs w:val="24"/>
        </w:rPr>
        <w:t xml:space="preserve">information </w:t>
      </w:r>
      <w:r w:rsidRPr="55A2F189" w:rsidR="00661F27">
        <w:rPr>
          <w:sz w:val="24"/>
          <w:szCs w:val="24"/>
        </w:rPr>
        <w:t>under</w:t>
      </w:r>
      <w:r w:rsidRPr="55A2F189" w:rsidR="00AE0F80">
        <w:rPr>
          <w:sz w:val="24"/>
          <w:szCs w:val="24"/>
        </w:rPr>
        <w:t xml:space="preserve"> section </w:t>
      </w:r>
      <w:r w:rsidRPr="55A2F189" w:rsidR="00B8623B">
        <w:rPr>
          <w:sz w:val="24"/>
          <w:szCs w:val="24"/>
        </w:rPr>
        <w:t>10</w:t>
      </w:r>
      <w:r w:rsidRPr="55A2F189" w:rsidR="00445AE7">
        <w:rPr>
          <w:sz w:val="24"/>
          <w:szCs w:val="24"/>
        </w:rPr>
        <w:t>92.</w:t>
      </w:r>
      <w:r w:rsidRPr="55A2F189" w:rsidR="00AE0F80">
        <w:rPr>
          <w:sz w:val="24"/>
          <w:szCs w:val="24"/>
        </w:rPr>
        <w:t>205</w:t>
      </w:r>
      <w:r w:rsidRPr="55A2F189" w:rsidR="002578D8">
        <w:rPr>
          <w:sz w:val="24"/>
          <w:szCs w:val="24"/>
        </w:rPr>
        <w:t xml:space="preserve"> </w:t>
      </w:r>
      <w:r w:rsidRPr="55A2F189">
        <w:rPr>
          <w:sz w:val="24"/>
          <w:szCs w:val="24"/>
        </w:rPr>
        <w:t xml:space="preserve">would be authorized by </w:t>
      </w:r>
      <w:r w:rsidRPr="55A2F189" w:rsidR="0CE81BB6">
        <w:rPr>
          <w:sz w:val="24"/>
          <w:szCs w:val="24"/>
        </w:rPr>
        <w:t xml:space="preserve">CFPA section 1022(c)(6)(A) (authorizing promulgation of the Bureau’s confidentiality rules) and </w:t>
      </w:r>
      <w:r w:rsidRPr="55A2F189" w:rsidR="002578D8">
        <w:rPr>
          <w:sz w:val="24"/>
          <w:szCs w:val="24"/>
        </w:rPr>
        <w:t>12 CFR 10</w:t>
      </w:r>
      <w:r w:rsidRPr="55A2F189" w:rsidR="00482A29">
        <w:rPr>
          <w:sz w:val="24"/>
          <w:szCs w:val="24"/>
        </w:rPr>
        <w:t>70.46 (</w:t>
      </w:r>
      <w:r w:rsidRPr="55A2F189" w:rsidR="00A15D58">
        <w:rPr>
          <w:sz w:val="24"/>
          <w:szCs w:val="24"/>
        </w:rPr>
        <w:t xml:space="preserve">providing that the </w:t>
      </w:r>
      <w:r w:rsidRPr="55A2F189" w:rsidR="00973358">
        <w:rPr>
          <w:sz w:val="24"/>
          <w:szCs w:val="24"/>
        </w:rPr>
        <w:t xml:space="preserve">Director may authorize </w:t>
      </w:r>
      <w:r w:rsidRPr="55A2F189" w:rsidR="00C73783">
        <w:rPr>
          <w:sz w:val="24"/>
          <w:szCs w:val="24"/>
        </w:rPr>
        <w:t>in writing the disclosure of confidential information).</w:t>
      </w:r>
    </w:p>
    <w:p w:rsidR="00352C08" w:rsidRPr="008F2DED" w:rsidP="008F2DED" w14:paraId="0580A6EA" w14:textId="77777777">
      <w:pPr>
        <w:rPr>
          <w:sz w:val="24"/>
          <w:szCs w:val="24"/>
        </w:rPr>
      </w:pPr>
    </w:p>
    <w:p w:rsidR="00352C08" w:rsidRPr="008F2DED" w:rsidP="008F2DED" w14:paraId="3AD9BCEF" w14:textId="2624A53C">
      <w:pPr>
        <w:rPr>
          <w:sz w:val="24"/>
          <w:szCs w:val="24"/>
        </w:rPr>
      </w:pPr>
      <w:r>
        <w:rPr>
          <w:sz w:val="24"/>
          <w:szCs w:val="24"/>
        </w:rPr>
        <w:t>Publication u</w:t>
      </w:r>
      <w:r w:rsidR="00E811DF">
        <w:rPr>
          <w:sz w:val="24"/>
          <w:szCs w:val="24"/>
        </w:rPr>
        <w:t>nder s</w:t>
      </w:r>
      <w:r w:rsidR="0092709F">
        <w:rPr>
          <w:sz w:val="24"/>
          <w:szCs w:val="24"/>
        </w:rPr>
        <w:t xml:space="preserve">ection </w:t>
      </w:r>
      <w:r w:rsidR="00C77D10">
        <w:rPr>
          <w:sz w:val="24"/>
          <w:szCs w:val="24"/>
        </w:rPr>
        <w:t>1092.</w:t>
      </w:r>
      <w:r w:rsidR="0092709F">
        <w:rPr>
          <w:sz w:val="24"/>
          <w:szCs w:val="24"/>
        </w:rPr>
        <w:t>205</w:t>
      </w:r>
      <w:r w:rsidR="00E811DF">
        <w:rPr>
          <w:sz w:val="24"/>
          <w:szCs w:val="24"/>
        </w:rPr>
        <w:t>(a)(1)</w:t>
      </w:r>
      <w:r w:rsidRPr="008F2DED" w:rsidR="000F2F61">
        <w:rPr>
          <w:sz w:val="24"/>
          <w:szCs w:val="24"/>
        </w:rPr>
        <w:t xml:space="preserve"> </w:t>
      </w:r>
      <w:r w:rsidR="0092709F">
        <w:rPr>
          <w:sz w:val="24"/>
          <w:szCs w:val="24"/>
        </w:rPr>
        <w:t xml:space="preserve">will </w:t>
      </w:r>
      <w:r w:rsidRPr="008F2DED" w:rsidR="000F2F61">
        <w:rPr>
          <w:sz w:val="24"/>
          <w:szCs w:val="24"/>
        </w:rPr>
        <w:t xml:space="preserve">not include the written statement submitted under </w:t>
      </w:r>
      <w:r w:rsidRPr="008F2DED" w:rsidR="00C626F3">
        <w:rPr>
          <w:sz w:val="24"/>
          <w:szCs w:val="24"/>
        </w:rPr>
        <w:t xml:space="preserve">section </w:t>
      </w:r>
      <w:r w:rsidR="00FE4623">
        <w:rPr>
          <w:sz w:val="24"/>
          <w:szCs w:val="24"/>
        </w:rPr>
        <w:t>1092.</w:t>
      </w:r>
      <w:r w:rsidRPr="008F2DED" w:rsidR="000F2F61">
        <w:rPr>
          <w:sz w:val="24"/>
          <w:szCs w:val="24"/>
        </w:rPr>
        <w:t>20</w:t>
      </w:r>
      <w:r w:rsidR="00E811DF">
        <w:rPr>
          <w:sz w:val="24"/>
          <w:szCs w:val="24"/>
        </w:rPr>
        <w:t>4</w:t>
      </w:r>
      <w:r w:rsidRPr="008F2DED" w:rsidR="000F2F61">
        <w:rPr>
          <w:sz w:val="24"/>
          <w:szCs w:val="24"/>
        </w:rPr>
        <w:t xml:space="preserve">, and such information </w:t>
      </w:r>
      <w:r w:rsidR="00452B7D">
        <w:rPr>
          <w:sz w:val="24"/>
          <w:szCs w:val="24"/>
        </w:rPr>
        <w:t>will</w:t>
      </w:r>
      <w:r w:rsidRPr="008F2DED" w:rsidR="00452B7D">
        <w:rPr>
          <w:sz w:val="24"/>
          <w:szCs w:val="24"/>
        </w:rPr>
        <w:t xml:space="preserve"> </w:t>
      </w:r>
      <w:r w:rsidRPr="008F2DED" w:rsidR="000F2F61">
        <w:rPr>
          <w:sz w:val="24"/>
          <w:szCs w:val="24"/>
        </w:rPr>
        <w:t xml:space="preserve">be treated as confidential supervisory information subject to the provisions of </w:t>
      </w:r>
      <w:r w:rsidRPr="008F2DED" w:rsidR="2B2BE4A2">
        <w:rPr>
          <w:sz w:val="24"/>
          <w:szCs w:val="24"/>
        </w:rPr>
        <w:t xml:space="preserve">the Bureau’s confidentiality rules at 12 CFR </w:t>
      </w:r>
      <w:r w:rsidRPr="008F2DED" w:rsidR="000F2F61">
        <w:rPr>
          <w:sz w:val="24"/>
          <w:szCs w:val="24"/>
        </w:rPr>
        <w:t>part 1070.</w:t>
      </w:r>
    </w:p>
    <w:p w:rsidR="00F73E90" w:rsidRPr="008F2DED" w:rsidP="008F2DED" w14:paraId="49FAB035" w14:textId="77777777">
      <w:pPr>
        <w:rPr>
          <w:sz w:val="24"/>
          <w:szCs w:val="24"/>
        </w:rPr>
      </w:pPr>
    </w:p>
    <w:p w:rsidR="000F5D15" w:rsidRPr="008F2DED" w:rsidP="008F2DED" w14:paraId="1391B5A5" w14:textId="5D6216E9">
      <w:pPr>
        <w:rPr>
          <w:sz w:val="24"/>
          <w:szCs w:val="24"/>
        </w:rPr>
      </w:pPr>
      <w:r>
        <w:rPr>
          <w:sz w:val="24"/>
          <w:szCs w:val="24"/>
        </w:rPr>
        <w:t xml:space="preserve">Under </w:t>
      </w:r>
      <w:r w:rsidR="0064791B">
        <w:rPr>
          <w:sz w:val="24"/>
          <w:szCs w:val="24"/>
        </w:rPr>
        <w:t>s</w:t>
      </w:r>
      <w:r w:rsidR="00452B7D">
        <w:rPr>
          <w:sz w:val="24"/>
          <w:szCs w:val="24"/>
        </w:rPr>
        <w:t xml:space="preserve">ection </w:t>
      </w:r>
      <w:r w:rsidR="0064791B">
        <w:rPr>
          <w:sz w:val="24"/>
          <w:szCs w:val="24"/>
        </w:rPr>
        <w:t>1092.</w:t>
      </w:r>
      <w:r w:rsidR="00452B7D">
        <w:rPr>
          <w:sz w:val="24"/>
          <w:szCs w:val="24"/>
        </w:rPr>
        <w:t>205</w:t>
      </w:r>
      <w:r w:rsidR="004C78B0">
        <w:rPr>
          <w:sz w:val="24"/>
          <w:szCs w:val="24"/>
        </w:rPr>
        <w:t>(b)</w:t>
      </w:r>
      <w:r>
        <w:rPr>
          <w:sz w:val="24"/>
          <w:szCs w:val="24"/>
        </w:rPr>
        <w:t>,</w:t>
      </w:r>
      <w:r w:rsidRPr="008F2DED" w:rsidR="000F2F61">
        <w:rPr>
          <w:sz w:val="24"/>
          <w:szCs w:val="24"/>
        </w:rPr>
        <w:t xml:space="preserve"> the Bureau may, at its discretion, compile and aggregate </w:t>
      </w:r>
      <w:r w:rsidR="004012AE">
        <w:rPr>
          <w:sz w:val="24"/>
          <w:szCs w:val="24"/>
        </w:rPr>
        <w:t xml:space="preserve">information </w:t>
      </w:r>
      <w:r w:rsidRPr="008F2DED" w:rsidR="004012AE">
        <w:rPr>
          <w:sz w:val="24"/>
          <w:szCs w:val="24"/>
        </w:rPr>
        <w:t>submitted</w:t>
      </w:r>
      <w:r w:rsidRPr="008F2DED" w:rsidR="000F2F61">
        <w:rPr>
          <w:sz w:val="24"/>
          <w:szCs w:val="24"/>
        </w:rPr>
        <w:t xml:space="preserve"> by persons under </w:t>
      </w:r>
      <w:r w:rsidR="008B6218">
        <w:rPr>
          <w:sz w:val="24"/>
          <w:szCs w:val="24"/>
        </w:rPr>
        <w:t>the rule</w:t>
      </w:r>
      <w:r w:rsidRPr="008F2DED" w:rsidR="000F2F61">
        <w:rPr>
          <w:sz w:val="24"/>
          <w:szCs w:val="24"/>
        </w:rPr>
        <w:t xml:space="preserve"> and may publish such compilations or aggregations (in addition to any other publication under section </w:t>
      </w:r>
      <w:r w:rsidR="00213215">
        <w:rPr>
          <w:sz w:val="24"/>
          <w:szCs w:val="24"/>
        </w:rPr>
        <w:t>1092.</w:t>
      </w:r>
      <w:r w:rsidRPr="008F2DED" w:rsidR="000F2F61">
        <w:rPr>
          <w:sz w:val="24"/>
          <w:szCs w:val="24"/>
        </w:rPr>
        <w:t>20</w:t>
      </w:r>
      <w:r w:rsidR="00D277A9">
        <w:rPr>
          <w:sz w:val="24"/>
          <w:szCs w:val="24"/>
        </w:rPr>
        <w:t>5</w:t>
      </w:r>
      <w:r w:rsidRPr="008F2DED" w:rsidR="000F2F61">
        <w:rPr>
          <w:sz w:val="24"/>
          <w:szCs w:val="24"/>
        </w:rPr>
        <w:t xml:space="preserve">(a)).  Any such publication that relates to annual written statements submitted under section </w:t>
      </w:r>
      <w:r w:rsidR="00EB012D">
        <w:rPr>
          <w:sz w:val="24"/>
          <w:szCs w:val="24"/>
        </w:rPr>
        <w:t>1092.</w:t>
      </w:r>
      <w:r w:rsidRPr="008F2DED" w:rsidR="000F2F61">
        <w:rPr>
          <w:sz w:val="24"/>
          <w:szCs w:val="24"/>
        </w:rPr>
        <w:t>20</w:t>
      </w:r>
      <w:r w:rsidR="00D277A9">
        <w:rPr>
          <w:sz w:val="24"/>
          <w:szCs w:val="24"/>
        </w:rPr>
        <w:t>4</w:t>
      </w:r>
      <w:r w:rsidRPr="008F2DED" w:rsidR="000F2F61">
        <w:rPr>
          <w:sz w:val="24"/>
          <w:szCs w:val="24"/>
        </w:rPr>
        <w:t xml:space="preserve"> would be in a form that is consistent with the Bureau’s treatment of those annual written statements as Bureau confidential supervisory information.</w:t>
      </w:r>
    </w:p>
    <w:p w:rsidR="000F5D15" w:rsidRPr="008F2DED" w:rsidP="008F2DED" w14:paraId="463B3EF9" w14:textId="77777777">
      <w:pPr>
        <w:pStyle w:val="BodyText"/>
      </w:pPr>
    </w:p>
    <w:p w:rsidR="00780413" w:rsidRPr="008F2DED" w:rsidP="008F2DED" w14:paraId="31D433BD" w14:textId="1E4CC748">
      <w:pPr>
        <w:pStyle w:val="ListParagraph"/>
        <w:numPr>
          <w:ilvl w:val="0"/>
          <w:numId w:val="13"/>
        </w:numPr>
        <w:rPr>
          <w:b/>
          <w:bCs/>
          <w:sz w:val="24"/>
          <w:szCs w:val="24"/>
          <w:u w:val="none"/>
        </w:rPr>
      </w:pPr>
      <w:r w:rsidRPr="29516F4A">
        <w:rPr>
          <w:b/>
          <w:bCs/>
          <w:sz w:val="24"/>
          <w:szCs w:val="24"/>
          <w:u w:val="non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w:t>
      </w:r>
      <w:r w:rsidRPr="29516F4A">
        <w:rPr>
          <w:b/>
          <w:bCs/>
          <w:sz w:val="24"/>
          <w:szCs w:val="24"/>
          <w:u w:val="none"/>
        </w:rPr>
        <w:t>requested, and any steps to be taken to obtain their consent.</w:t>
      </w:r>
    </w:p>
    <w:p w:rsidR="000F5D15" w:rsidRPr="008F2DED" w:rsidP="008F2DED" w14:paraId="13557415" w14:textId="77777777">
      <w:pPr>
        <w:pStyle w:val="BodyText"/>
        <w:rPr>
          <w:b/>
        </w:rPr>
      </w:pPr>
    </w:p>
    <w:p w:rsidR="000F5D15" w:rsidRPr="008F2DED" w:rsidP="008F2DED" w14:paraId="3ECEBDEC" w14:textId="5994FC33">
      <w:pPr>
        <w:pStyle w:val="BodyText"/>
      </w:pPr>
      <w:r w:rsidRPr="008F2DED">
        <w:t xml:space="preserve">Not applicable </w:t>
      </w:r>
    </w:p>
    <w:p w:rsidR="004E46B0" w:rsidRPr="008F2DED" w:rsidP="008F2DED" w14:paraId="7904A19A" w14:textId="77777777">
      <w:pPr>
        <w:pStyle w:val="BodyText"/>
      </w:pPr>
    </w:p>
    <w:p w:rsidR="000F5D15" w:rsidRPr="002D0BD6" w:rsidP="008F2DED" w14:paraId="2D90B189" w14:textId="560890EE">
      <w:pPr>
        <w:pStyle w:val="BodyText"/>
        <w:numPr>
          <w:ilvl w:val="0"/>
          <w:numId w:val="13"/>
        </w:numPr>
        <w:rPr>
          <w:b/>
          <w:bCs/>
        </w:rPr>
      </w:pPr>
      <w:r w:rsidRPr="002D0BD6">
        <w:rPr>
          <w:b/>
          <w:bCs/>
        </w:rPr>
        <w:t>Provide estimates of the hour burden of the collection of information</w:t>
      </w:r>
    </w:p>
    <w:p w:rsidR="248BAB0E" w:rsidRPr="008F2DED" w:rsidP="008F2DED" w14:paraId="184CF67F" w14:textId="01848B50">
      <w:pPr>
        <w:pStyle w:val="BodyText"/>
        <w:rPr>
          <w:b/>
          <w:bCs/>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2"/>
        <w:gridCol w:w="1454"/>
        <w:gridCol w:w="1278"/>
        <w:gridCol w:w="1309"/>
        <w:gridCol w:w="2010"/>
        <w:gridCol w:w="1258"/>
      </w:tblGrid>
      <w:tr w14:paraId="7E24633D" w14:textId="77777777" w:rsidTr="0A086D25">
        <w:tblPrEx>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22" w:type="dxa"/>
            <w:tcBorders>
              <w:bottom w:val="single" w:sz="4" w:space="0" w:color="auto"/>
            </w:tcBorders>
            <w:shd w:val="clear" w:color="auto" w:fill="D9D9D9" w:themeFill="background1" w:themeFillShade="D9"/>
          </w:tcPr>
          <w:p w:rsidR="000D2657" w:rsidRPr="00C30238" w:rsidP="008F2DED" w14:paraId="43AE521C" w14:textId="3B743D96">
            <w:pPr>
              <w:widowControl/>
              <w:autoSpaceDE/>
              <w:autoSpaceDN/>
              <w:rPr>
                <w:b/>
                <w:bCs/>
                <w:sz w:val="20"/>
                <w:szCs w:val="20"/>
              </w:rPr>
            </w:pPr>
            <w:r w:rsidRPr="00C30238">
              <w:rPr>
                <w:b/>
                <w:bCs/>
                <w:sz w:val="20"/>
                <w:szCs w:val="20"/>
              </w:rPr>
              <w:t>Requirement</w:t>
            </w:r>
          </w:p>
        </w:tc>
        <w:tc>
          <w:tcPr>
            <w:tcW w:w="1454" w:type="dxa"/>
            <w:tcBorders>
              <w:bottom w:val="single" w:sz="4" w:space="0" w:color="auto"/>
            </w:tcBorders>
            <w:shd w:val="clear" w:color="auto" w:fill="D9D9D9" w:themeFill="background1" w:themeFillShade="D9"/>
          </w:tcPr>
          <w:p w:rsidR="000D2657" w:rsidRPr="00C30238" w:rsidP="008F2DED" w14:paraId="1190E4ED" w14:textId="1D28087A">
            <w:pPr>
              <w:widowControl/>
              <w:autoSpaceDE/>
              <w:autoSpaceDN/>
              <w:rPr>
                <w:b/>
                <w:bCs/>
                <w:sz w:val="20"/>
                <w:szCs w:val="20"/>
              </w:rPr>
            </w:pPr>
            <w:r w:rsidRPr="00C30238">
              <w:rPr>
                <w:b/>
                <w:bCs/>
                <w:sz w:val="20"/>
                <w:szCs w:val="20"/>
              </w:rPr>
              <w:t>Number</w:t>
            </w:r>
            <w:r w:rsidRPr="00C30238" w:rsidR="00EA506E">
              <w:rPr>
                <w:b/>
                <w:bCs/>
                <w:sz w:val="20"/>
                <w:szCs w:val="20"/>
              </w:rPr>
              <w:t xml:space="preserve"> </w:t>
            </w:r>
            <w:r w:rsidRPr="00C30238">
              <w:rPr>
                <w:b/>
                <w:bCs/>
                <w:sz w:val="20"/>
                <w:szCs w:val="20"/>
              </w:rPr>
              <w:t>of Respondents</w:t>
            </w:r>
          </w:p>
        </w:tc>
        <w:tc>
          <w:tcPr>
            <w:tcW w:w="1278" w:type="dxa"/>
            <w:tcBorders>
              <w:bottom w:val="single" w:sz="4" w:space="0" w:color="auto"/>
            </w:tcBorders>
            <w:shd w:val="clear" w:color="auto" w:fill="D9D9D9" w:themeFill="background1" w:themeFillShade="D9"/>
          </w:tcPr>
          <w:p w:rsidR="000D2657" w:rsidRPr="00C30238" w:rsidP="008F2DED" w14:paraId="7EAB0906" w14:textId="77777777">
            <w:pPr>
              <w:widowControl/>
              <w:autoSpaceDE/>
              <w:autoSpaceDN/>
              <w:rPr>
                <w:b/>
                <w:bCs/>
                <w:sz w:val="20"/>
                <w:szCs w:val="20"/>
              </w:rPr>
            </w:pPr>
            <w:r w:rsidRPr="0A086D25">
              <w:rPr>
                <w:b/>
                <w:bCs/>
                <w:sz w:val="20"/>
                <w:szCs w:val="20"/>
              </w:rPr>
              <w:t>Frequency</w:t>
            </w:r>
          </w:p>
        </w:tc>
        <w:tc>
          <w:tcPr>
            <w:tcW w:w="1309" w:type="dxa"/>
            <w:tcBorders>
              <w:bottom w:val="single" w:sz="4" w:space="0" w:color="auto"/>
            </w:tcBorders>
            <w:shd w:val="clear" w:color="auto" w:fill="D9D9D9" w:themeFill="background1" w:themeFillShade="D9"/>
          </w:tcPr>
          <w:p w:rsidR="000D2657" w:rsidRPr="00C30238" w:rsidP="008F2DED" w14:paraId="02861C7A" w14:textId="77777777">
            <w:pPr>
              <w:widowControl/>
              <w:autoSpaceDE/>
              <w:autoSpaceDN/>
              <w:rPr>
                <w:b/>
                <w:bCs/>
                <w:sz w:val="20"/>
                <w:szCs w:val="20"/>
              </w:rPr>
            </w:pPr>
            <w:r w:rsidRPr="00C30238">
              <w:rPr>
                <w:b/>
                <w:bCs/>
                <w:sz w:val="20"/>
                <w:szCs w:val="20"/>
                <w:lang w:val="x-none"/>
              </w:rPr>
              <w:t>Number of Respon</w:t>
            </w:r>
            <w:r w:rsidRPr="00C30238">
              <w:rPr>
                <w:b/>
                <w:bCs/>
                <w:sz w:val="20"/>
                <w:szCs w:val="20"/>
              </w:rPr>
              <w:t>ses</w:t>
            </w:r>
          </w:p>
        </w:tc>
        <w:tc>
          <w:tcPr>
            <w:tcW w:w="2010" w:type="dxa"/>
            <w:tcBorders>
              <w:bottom w:val="single" w:sz="4" w:space="0" w:color="auto"/>
            </w:tcBorders>
            <w:shd w:val="clear" w:color="auto" w:fill="D9D9D9" w:themeFill="background1" w:themeFillShade="D9"/>
          </w:tcPr>
          <w:p w:rsidR="000D2657" w:rsidRPr="00C30238" w:rsidP="008F2DED" w14:paraId="6DFF1A02" w14:textId="77777777">
            <w:pPr>
              <w:widowControl/>
              <w:autoSpaceDE/>
              <w:autoSpaceDN/>
              <w:rPr>
                <w:b/>
                <w:bCs/>
                <w:sz w:val="20"/>
                <w:szCs w:val="20"/>
              </w:rPr>
            </w:pPr>
            <w:r w:rsidRPr="00C30238">
              <w:rPr>
                <w:b/>
                <w:bCs/>
                <w:sz w:val="20"/>
                <w:szCs w:val="20"/>
              </w:rPr>
              <w:t>Response Time (Hours)</w:t>
            </w:r>
          </w:p>
        </w:tc>
        <w:tc>
          <w:tcPr>
            <w:tcW w:w="1258" w:type="dxa"/>
            <w:tcBorders>
              <w:bottom w:val="single" w:sz="4" w:space="0" w:color="auto"/>
            </w:tcBorders>
            <w:shd w:val="clear" w:color="auto" w:fill="D9D9D9" w:themeFill="background1" w:themeFillShade="D9"/>
          </w:tcPr>
          <w:p w:rsidR="000D2657" w:rsidRPr="00C30238" w:rsidP="008F2DED" w14:paraId="6E95A694" w14:textId="77777777">
            <w:pPr>
              <w:widowControl/>
              <w:autoSpaceDE/>
              <w:autoSpaceDN/>
              <w:rPr>
                <w:b/>
                <w:bCs/>
                <w:sz w:val="20"/>
                <w:szCs w:val="20"/>
              </w:rPr>
            </w:pPr>
            <w:r w:rsidRPr="00C30238">
              <w:rPr>
                <w:b/>
                <w:bCs/>
                <w:sz w:val="20"/>
                <w:szCs w:val="20"/>
              </w:rPr>
              <w:t xml:space="preserve">Burden (Hours) </w:t>
            </w:r>
          </w:p>
        </w:tc>
      </w:tr>
      <w:tr w14:paraId="26E62C99" w14:textId="77777777" w:rsidTr="0A086D25">
        <w:tblPrEx>
          <w:tblW w:w="9531" w:type="dxa"/>
          <w:tblInd w:w="108" w:type="dxa"/>
          <w:tblLook w:val="04A0"/>
        </w:tblPrEx>
        <w:tc>
          <w:tcPr>
            <w:tcW w:w="2222" w:type="dxa"/>
            <w:tcBorders>
              <w:bottom w:val="single" w:sz="4" w:space="0" w:color="auto"/>
            </w:tcBorders>
            <w:shd w:val="clear" w:color="auto" w:fill="FFFFFF" w:themeFill="background1"/>
          </w:tcPr>
          <w:p w:rsidR="004E46B0" w:rsidRPr="00C30238" w:rsidP="008F2DED" w14:paraId="0B5FD91D" w14:textId="6EFEB337">
            <w:pPr>
              <w:widowControl/>
              <w:autoSpaceDE/>
              <w:autoSpaceDN/>
              <w:rPr>
                <w:sz w:val="20"/>
                <w:szCs w:val="20"/>
              </w:rPr>
            </w:pPr>
            <w:r w:rsidRPr="00C30238">
              <w:rPr>
                <w:sz w:val="20"/>
                <w:szCs w:val="20"/>
              </w:rPr>
              <w:t xml:space="preserve">Registration </w:t>
            </w:r>
            <w:r w:rsidRPr="00C30238" w:rsidR="59119362">
              <w:rPr>
                <w:sz w:val="20"/>
                <w:szCs w:val="20"/>
              </w:rPr>
              <w:t>Provision</w:t>
            </w:r>
          </w:p>
          <w:p w:rsidR="004E46B0" w:rsidRPr="00C30238" w:rsidP="008F2DED" w14:paraId="148DE55E" w14:textId="009007C8">
            <w:pPr>
              <w:widowControl/>
              <w:autoSpaceDE/>
              <w:autoSpaceDN/>
              <w:rPr>
                <w:sz w:val="20"/>
                <w:szCs w:val="20"/>
              </w:rPr>
            </w:pPr>
            <w:r w:rsidRPr="00C30238">
              <w:rPr>
                <w:sz w:val="20"/>
                <w:szCs w:val="20"/>
              </w:rPr>
              <w:t>(Initial identification)</w:t>
            </w:r>
          </w:p>
        </w:tc>
        <w:tc>
          <w:tcPr>
            <w:tcW w:w="1454" w:type="dxa"/>
            <w:tcBorders>
              <w:bottom w:val="single" w:sz="4" w:space="0" w:color="auto"/>
            </w:tcBorders>
            <w:shd w:val="clear" w:color="auto" w:fill="FFFFFF" w:themeFill="background1"/>
          </w:tcPr>
          <w:p w:rsidR="004E46B0" w:rsidRPr="00C30238" w:rsidP="008F2DED" w14:paraId="22A4FA40" w14:textId="2FC93EBD">
            <w:pPr>
              <w:widowControl/>
              <w:autoSpaceDE/>
              <w:autoSpaceDN/>
              <w:rPr>
                <w:sz w:val="20"/>
                <w:szCs w:val="20"/>
              </w:rPr>
            </w:pPr>
            <w:r w:rsidRPr="00C30238">
              <w:rPr>
                <w:sz w:val="20"/>
                <w:szCs w:val="20"/>
              </w:rPr>
              <w:t>7,752</w:t>
            </w:r>
            <w:bookmarkStart w:id="0" w:name="_Ref126061764"/>
            <w:r>
              <w:rPr>
                <w:rStyle w:val="FootnoteReference"/>
                <w:sz w:val="20"/>
                <w:szCs w:val="20"/>
              </w:rPr>
              <w:footnoteReference w:id="4"/>
            </w:r>
            <w:bookmarkEnd w:id="0"/>
          </w:p>
        </w:tc>
        <w:tc>
          <w:tcPr>
            <w:tcW w:w="1278" w:type="dxa"/>
            <w:tcBorders>
              <w:bottom w:val="single" w:sz="4" w:space="0" w:color="auto"/>
            </w:tcBorders>
            <w:shd w:val="clear" w:color="auto" w:fill="FFFFFF" w:themeFill="background1"/>
          </w:tcPr>
          <w:p w:rsidR="004E46B0" w:rsidRPr="00C30238" w:rsidP="008F2DED" w14:paraId="2E213E72" w14:textId="5D23755E">
            <w:pPr>
              <w:rPr>
                <w:sz w:val="20"/>
                <w:szCs w:val="20"/>
              </w:rPr>
            </w:pPr>
            <w:r w:rsidRPr="00C30238">
              <w:rPr>
                <w:sz w:val="20"/>
                <w:szCs w:val="20"/>
              </w:rPr>
              <w:t>1</w:t>
            </w:r>
          </w:p>
        </w:tc>
        <w:tc>
          <w:tcPr>
            <w:tcW w:w="1309" w:type="dxa"/>
            <w:tcBorders>
              <w:bottom w:val="single" w:sz="4" w:space="0" w:color="auto"/>
            </w:tcBorders>
            <w:shd w:val="clear" w:color="auto" w:fill="FFFFFF" w:themeFill="background1"/>
          </w:tcPr>
          <w:p w:rsidR="004E46B0" w:rsidRPr="00C30238" w:rsidP="008F2DED" w14:paraId="4C65630C" w14:textId="768F9DA5">
            <w:pPr>
              <w:widowControl/>
              <w:autoSpaceDE/>
              <w:autoSpaceDN/>
              <w:rPr>
                <w:sz w:val="20"/>
                <w:szCs w:val="20"/>
                <w:lang w:val="x-none"/>
              </w:rPr>
            </w:pPr>
            <w:r w:rsidRPr="00C30238">
              <w:rPr>
                <w:sz w:val="20"/>
                <w:szCs w:val="20"/>
              </w:rPr>
              <w:t>7,752</w:t>
            </w:r>
          </w:p>
        </w:tc>
        <w:tc>
          <w:tcPr>
            <w:tcW w:w="2010" w:type="dxa"/>
            <w:tcBorders>
              <w:bottom w:val="single" w:sz="4" w:space="0" w:color="auto"/>
            </w:tcBorders>
            <w:shd w:val="clear" w:color="auto" w:fill="FFFFFF" w:themeFill="background1"/>
          </w:tcPr>
          <w:p w:rsidR="004E46B0" w:rsidRPr="00C30238" w:rsidP="008F2DED" w14:paraId="68958FB6" w14:textId="532C62B8">
            <w:pPr>
              <w:widowControl/>
              <w:autoSpaceDE/>
              <w:autoSpaceDN/>
              <w:rPr>
                <w:sz w:val="20"/>
                <w:szCs w:val="20"/>
              </w:rPr>
            </w:pPr>
            <w:r w:rsidRPr="00C30238">
              <w:rPr>
                <w:sz w:val="20"/>
                <w:szCs w:val="20"/>
              </w:rPr>
              <w:t>5</w:t>
            </w:r>
          </w:p>
        </w:tc>
        <w:tc>
          <w:tcPr>
            <w:tcW w:w="1258" w:type="dxa"/>
            <w:tcBorders>
              <w:bottom w:val="single" w:sz="4" w:space="0" w:color="auto"/>
            </w:tcBorders>
            <w:shd w:val="clear" w:color="auto" w:fill="FFFFFF" w:themeFill="background1"/>
          </w:tcPr>
          <w:p w:rsidR="004E46B0" w:rsidRPr="00C30238" w:rsidP="008F2DED" w14:paraId="4CB7167A" w14:textId="67219EB5">
            <w:pPr>
              <w:widowControl/>
              <w:autoSpaceDE/>
              <w:autoSpaceDN/>
              <w:rPr>
                <w:sz w:val="20"/>
                <w:szCs w:val="20"/>
              </w:rPr>
            </w:pPr>
            <w:r w:rsidRPr="00C30238">
              <w:rPr>
                <w:sz w:val="20"/>
                <w:szCs w:val="20"/>
              </w:rPr>
              <w:t>38,760</w:t>
            </w:r>
          </w:p>
        </w:tc>
      </w:tr>
      <w:tr w14:paraId="1466F689" w14:textId="77777777" w:rsidTr="0A086D25">
        <w:tblPrEx>
          <w:tblW w:w="9531" w:type="dxa"/>
          <w:tblInd w:w="108" w:type="dxa"/>
          <w:tblLook w:val="04A0"/>
        </w:tblPrEx>
        <w:trPr>
          <w:trHeight w:val="377"/>
        </w:trPr>
        <w:tc>
          <w:tcPr>
            <w:tcW w:w="2222" w:type="dxa"/>
            <w:tcBorders>
              <w:bottom w:val="single" w:sz="4" w:space="0" w:color="auto"/>
            </w:tcBorders>
            <w:shd w:val="clear" w:color="auto" w:fill="FFFFFF" w:themeFill="background1"/>
          </w:tcPr>
          <w:p w:rsidR="00DD6A04" w:rsidRPr="00C30238" w:rsidP="008F2DED" w14:paraId="49CE7479" w14:textId="4E125652">
            <w:pPr>
              <w:widowControl/>
              <w:autoSpaceDE/>
              <w:autoSpaceDN/>
              <w:rPr>
                <w:sz w:val="20"/>
                <w:szCs w:val="20"/>
              </w:rPr>
            </w:pPr>
            <w:r w:rsidRPr="00C30238">
              <w:rPr>
                <w:sz w:val="20"/>
                <w:szCs w:val="20"/>
              </w:rPr>
              <w:t>Supervisory Reports Provision</w:t>
            </w:r>
          </w:p>
        </w:tc>
        <w:tc>
          <w:tcPr>
            <w:tcW w:w="1454" w:type="dxa"/>
            <w:tcBorders>
              <w:bottom w:val="single" w:sz="4" w:space="0" w:color="auto"/>
            </w:tcBorders>
            <w:shd w:val="clear" w:color="auto" w:fill="FFFFFF" w:themeFill="background1"/>
          </w:tcPr>
          <w:p w:rsidR="00DD6A04" w:rsidRPr="00C30238" w:rsidP="008F2DED" w14:paraId="10571190" w14:textId="34AF5B2D">
            <w:pPr>
              <w:widowControl/>
              <w:autoSpaceDE/>
              <w:autoSpaceDN/>
              <w:rPr>
                <w:sz w:val="20"/>
                <w:szCs w:val="20"/>
              </w:rPr>
            </w:pPr>
            <w:r w:rsidRPr="00C30238">
              <w:rPr>
                <w:sz w:val="20"/>
                <w:szCs w:val="20"/>
              </w:rPr>
              <w:t>7,752</w:t>
            </w:r>
            <w:r w:rsidRPr="00C30238" w:rsidR="00C30238">
              <w:rPr>
                <w:sz w:val="20"/>
                <w:szCs w:val="20"/>
                <w:vertAlign w:val="superscript"/>
              </w:rPr>
              <w:fldChar w:fldCharType="begin"/>
            </w:r>
            <w:r w:rsidRPr="00C30238" w:rsidR="00C30238">
              <w:rPr>
                <w:sz w:val="20"/>
                <w:szCs w:val="20"/>
                <w:vertAlign w:val="superscript"/>
              </w:rPr>
              <w:instrText xml:space="preserve"> NOTEREF _Ref126061764 \h </w:instrText>
            </w:r>
            <w:r w:rsidR="00C30238">
              <w:rPr>
                <w:sz w:val="20"/>
                <w:szCs w:val="20"/>
                <w:vertAlign w:val="superscript"/>
              </w:rPr>
              <w:instrText xml:space="preserve"> \* MERGEFORMAT </w:instrText>
            </w:r>
            <w:r w:rsidRPr="00C30238" w:rsidR="00C30238">
              <w:rPr>
                <w:sz w:val="20"/>
                <w:szCs w:val="20"/>
                <w:vertAlign w:val="superscript"/>
              </w:rPr>
              <w:fldChar w:fldCharType="separate"/>
            </w:r>
            <w:r w:rsidRPr="00C30238" w:rsidR="00C30238">
              <w:rPr>
                <w:sz w:val="20"/>
                <w:szCs w:val="20"/>
                <w:vertAlign w:val="superscript"/>
              </w:rPr>
              <w:t>2</w:t>
            </w:r>
            <w:r w:rsidRPr="00C30238" w:rsidR="00C30238">
              <w:rPr>
                <w:sz w:val="20"/>
                <w:szCs w:val="20"/>
                <w:vertAlign w:val="superscript"/>
              </w:rPr>
              <w:fldChar w:fldCharType="end"/>
            </w:r>
          </w:p>
        </w:tc>
        <w:tc>
          <w:tcPr>
            <w:tcW w:w="1278" w:type="dxa"/>
            <w:tcBorders>
              <w:bottom w:val="single" w:sz="4" w:space="0" w:color="auto"/>
            </w:tcBorders>
            <w:shd w:val="clear" w:color="auto" w:fill="FFFFFF" w:themeFill="background1"/>
          </w:tcPr>
          <w:p w:rsidR="00DD6A04" w:rsidRPr="00C30238" w:rsidP="008F2DED" w14:paraId="77497F5A" w14:textId="6AB1C841">
            <w:pPr>
              <w:rPr>
                <w:sz w:val="20"/>
                <w:szCs w:val="20"/>
              </w:rPr>
            </w:pPr>
            <w:r w:rsidRPr="00C30238">
              <w:rPr>
                <w:sz w:val="20"/>
                <w:szCs w:val="20"/>
              </w:rPr>
              <w:t>1</w:t>
            </w:r>
          </w:p>
        </w:tc>
        <w:tc>
          <w:tcPr>
            <w:tcW w:w="1309" w:type="dxa"/>
            <w:tcBorders>
              <w:bottom w:val="single" w:sz="4" w:space="0" w:color="auto"/>
            </w:tcBorders>
            <w:shd w:val="clear" w:color="auto" w:fill="FFFFFF" w:themeFill="background1"/>
          </w:tcPr>
          <w:p w:rsidR="00DD6A04" w:rsidRPr="00C30238" w:rsidP="008F2DED" w14:paraId="7F043CB0" w14:textId="1D03F738">
            <w:pPr>
              <w:widowControl/>
              <w:autoSpaceDE/>
              <w:autoSpaceDN/>
              <w:rPr>
                <w:sz w:val="20"/>
                <w:szCs w:val="20"/>
              </w:rPr>
            </w:pPr>
            <w:r w:rsidRPr="00C30238">
              <w:rPr>
                <w:sz w:val="20"/>
                <w:szCs w:val="20"/>
              </w:rPr>
              <w:t>7,752</w:t>
            </w:r>
          </w:p>
          <w:p w:rsidR="00DD6A04" w:rsidRPr="00C30238" w:rsidP="008F2DED" w14:paraId="68100D6A" w14:textId="0E2C0434">
            <w:pPr>
              <w:widowControl/>
              <w:autoSpaceDE/>
              <w:autoSpaceDN/>
              <w:rPr>
                <w:sz w:val="20"/>
                <w:szCs w:val="20"/>
              </w:rPr>
            </w:pPr>
          </w:p>
          <w:p w:rsidR="00DD6A04" w:rsidRPr="00C30238" w:rsidP="008F2DED" w14:paraId="59A788D2" w14:textId="397F662B">
            <w:pPr>
              <w:widowControl/>
              <w:autoSpaceDE/>
              <w:autoSpaceDN/>
              <w:rPr>
                <w:sz w:val="20"/>
                <w:szCs w:val="20"/>
                <w:lang w:val="x-none"/>
              </w:rPr>
            </w:pPr>
          </w:p>
        </w:tc>
        <w:tc>
          <w:tcPr>
            <w:tcW w:w="2010" w:type="dxa"/>
            <w:tcBorders>
              <w:bottom w:val="single" w:sz="4" w:space="0" w:color="auto"/>
            </w:tcBorders>
            <w:shd w:val="clear" w:color="auto" w:fill="FFFFFF" w:themeFill="background1"/>
          </w:tcPr>
          <w:p w:rsidR="00DD6A04" w:rsidRPr="00C30238" w:rsidP="008F2DED" w14:paraId="0B38B423" w14:textId="7906A980">
            <w:pPr>
              <w:widowControl/>
              <w:autoSpaceDE/>
              <w:autoSpaceDN/>
              <w:rPr>
                <w:sz w:val="20"/>
                <w:szCs w:val="20"/>
              </w:rPr>
            </w:pPr>
            <w:r w:rsidRPr="00C30238">
              <w:rPr>
                <w:sz w:val="20"/>
                <w:szCs w:val="20"/>
              </w:rPr>
              <w:t>30</w:t>
            </w:r>
          </w:p>
        </w:tc>
        <w:tc>
          <w:tcPr>
            <w:tcW w:w="1258" w:type="dxa"/>
            <w:tcBorders>
              <w:bottom w:val="single" w:sz="4" w:space="0" w:color="auto"/>
            </w:tcBorders>
            <w:shd w:val="clear" w:color="auto" w:fill="FFFFFF" w:themeFill="background1"/>
          </w:tcPr>
          <w:p w:rsidR="00DD6A04" w:rsidRPr="00C30238" w:rsidP="008F2DED" w14:paraId="19636002" w14:textId="3C2FEAA6">
            <w:pPr>
              <w:widowControl/>
              <w:autoSpaceDE/>
              <w:autoSpaceDN/>
              <w:rPr>
                <w:sz w:val="20"/>
                <w:szCs w:val="20"/>
              </w:rPr>
            </w:pPr>
            <w:r w:rsidRPr="00C30238">
              <w:rPr>
                <w:sz w:val="20"/>
                <w:szCs w:val="20"/>
              </w:rPr>
              <w:t>232,560</w:t>
            </w:r>
          </w:p>
        </w:tc>
      </w:tr>
      <w:tr w14:paraId="5833C305" w14:textId="77777777" w:rsidTr="0A086D25">
        <w:tblPrEx>
          <w:tblW w:w="9531" w:type="dxa"/>
          <w:tblInd w:w="108" w:type="dxa"/>
          <w:tblLook w:val="04A0"/>
        </w:tblPrEx>
        <w:tc>
          <w:tcPr>
            <w:tcW w:w="2222" w:type="dxa"/>
          </w:tcPr>
          <w:p w:rsidR="00683783" w:rsidRPr="00C30238" w:rsidP="008F2DED" w14:paraId="3174F7E3" w14:textId="4DC772EA">
            <w:pPr>
              <w:widowControl/>
              <w:autoSpaceDE/>
              <w:autoSpaceDN/>
              <w:rPr>
                <w:b/>
                <w:sz w:val="20"/>
                <w:szCs w:val="20"/>
              </w:rPr>
            </w:pPr>
            <w:r w:rsidRPr="00C30238">
              <w:rPr>
                <w:b/>
                <w:sz w:val="20"/>
                <w:szCs w:val="20"/>
              </w:rPr>
              <w:t>TOTAL</w:t>
            </w:r>
          </w:p>
        </w:tc>
        <w:tc>
          <w:tcPr>
            <w:tcW w:w="1454" w:type="dxa"/>
          </w:tcPr>
          <w:p w:rsidR="00683783" w:rsidRPr="00C30238" w:rsidP="008F2DED" w14:paraId="6F569CD3" w14:textId="4AAD5983">
            <w:pPr>
              <w:widowControl/>
              <w:autoSpaceDE/>
              <w:autoSpaceDN/>
              <w:rPr>
                <w:bCs/>
                <w:sz w:val="20"/>
                <w:szCs w:val="20"/>
              </w:rPr>
            </w:pPr>
            <w:r w:rsidRPr="00C30238">
              <w:rPr>
                <w:sz w:val="20"/>
                <w:szCs w:val="20"/>
              </w:rPr>
              <w:t>7,752</w:t>
            </w:r>
          </w:p>
        </w:tc>
        <w:tc>
          <w:tcPr>
            <w:tcW w:w="1278" w:type="dxa"/>
            <w:shd w:val="clear" w:color="auto" w:fill="D9D9D9" w:themeFill="background1" w:themeFillShade="D9"/>
          </w:tcPr>
          <w:p w:rsidR="00683783" w:rsidRPr="00C30238" w:rsidP="008F2DED" w14:paraId="68CB30ED" w14:textId="77777777">
            <w:pPr>
              <w:widowControl/>
              <w:autoSpaceDE/>
              <w:autoSpaceDN/>
              <w:rPr>
                <w:bCs/>
                <w:sz w:val="20"/>
                <w:szCs w:val="20"/>
                <w:highlight w:val="lightGray"/>
              </w:rPr>
            </w:pPr>
          </w:p>
        </w:tc>
        <w:tc>
          <w:tcPr>
            <w:tcW w:w="1309" w:type="dxa"/>
          </w:tcPr>
          <w:p w:rsidR="00683783" w:rsidRPr="00C30238" w:rsidP="008F2DED" w14:paraId="5620F20D" w14:textId="722D7CAD">
            <w:pPr>
              <w:widowControl/>
              <w:autoSpaceDE/>
              <w:autoSpaceDN/>
              <w:rPr>
                <w:bCs/>
                <w:sz w:val="20"/>
                <w:szCs w:val="20"/>
              </w:rPr>
            </w:pPr>
            <w:r>
              <w:rPr>
                <w:bCs/>
                <w:sz w:val="20"/>
                <w:szCs w:val="20"/>
              </w:rPr>
              <w:t>15,504</w:t>
            </w:r>
          </w:p>
        </w:tc>
        <w:tc>
          <w:tcPr>
            <w:tcW w:w="2010" w:type="dxa"/>
            <w:shd w:val="clear" w:color="auto" w:fill="D9D9D9" w:themeFill="background1" w:themeFillShade="D9"/>
          </w:tcPr>
          <w:p w:rsidR="00683783" w:rsidRPr="00C30238" w:rsidP="008F2DED" w14:paraId="48F2C386" w14:textId="5416E383">
            <w:pPr>
              <w:widowControl/>
              <w:autoSpaceDE/>
              <w:autoSpaceDN/>
              <w:rPr>
                <w:bCs/>
                <w:sz w:val="20"/>
                <w:szCs w:val="20"/>
              </w:rPr>
            </w:pPr>
          </w:p>
        </w:tc>
        <w:tc>
          <w:tcPr>
            <w:tcW w:w="1258" w:type="dxa"/>
          </w:tcPr>
          <w:p w:rsidR="00683783" w:rsidRPr="00C30238" w:rsidP="008F2DED" w14:paraId="2443CD9D" w14:textId="60E3970F">
            <w:pPr>
              <w:widowControl/>
              <w:autoSpaceDE/>
              <w:autoSpaceDN/>
              <w:rPr>
                <w:sz w:val="20"/>
                <w:szCs w:val="20"/>
              </w:rPr>
            </w:pPr>
            <w:r w:rsidRPr="00C30238">
              <w:rPr>
                <w:sz w:val="20"/>
                <w:szCs w:val="20"/>
              </w:rPr>
              <w:t>271,320</w:t>
            </w:r>
          </w:p>
        </w:tc>
      </w:tr>
    </w:tbl>
    <w:p w:rsidR="00DF71A0" w:rsidRPr="008F2DED" w:rsidP="29516F4A" w14:paraId="3C7864BA" w14:textId="62AE905A">
      <w:pPr>
        <w:pStyle w:val="BodyText"/>
        <w:widowControl/>
        <w:rPr>
          <w:b/>
          <w:bCs/>
        </w:rPr>
      </w:pPr>
    </w:p>
    <w:p w:rsidR="000F5D15" w:rsidRPr="008F2DED" w:rsidP="008F2DED" w14:paraId="1C6AC950" w14:textId="7857A040">
      <w:pPr>
        <w:pStyle w:val="CM13"/>
        <w:numPr>
          <w:ilvl w:val="0"/>
          <w:numId w:val="13"/>
        </w:numPr>
        <w:ind w:right="410"/>
        <w:rPr>
          <w:b/>
          <w:bCs/>
        </w:rPr>
      </w:pPr>
      <w:r w:rsidRPr="008F2DED">
        <w:rPr>
          <w:b/>
          <w:bCs/>
        </w:rPr>
        <w:t>Provide an estimate of the total annual cost burden to respondents or record keepers resulting from the collection of information.  (Do not include the cost of any hour burden shown in Items 12 and 14</w:t>
      </w:r>
      <w:r w:rsidRPr="008F2DED" w:rsidR="008104F2">
        <w:rPr>
          <w:b/>
          <w:bCs/>
        </w:rPr>
        <w:t>.</w:t>
      </w:r>
      <w:r w:rsidRPr="008F2DED">
        <w:rPr>
          <w:b/>
          <w:bCs/>
        </w:rPr>
        <w:t>)</w:t>
      </w:r>
    </w:p>
    <w:p w:rsidR="000F5D15" w:rsidRPr="008F2DED" w:rsidP="008F2DED" w14:paraId="3D2D183E" w14:textId="215E903C">
      <w:pPr>
        <w:pStyle w:val="BodyText"/>
        <w:rPr>
          <w:b/>
        </w:rPr>
      </w:pPr>
    </w:p>
    <w:p w:rsidR="00EC38AC" w:rsidRPr="008F2DED" w:rsidP="008F2DED" w14:paraId="43D01C66" w14:textId="61B8902F">
      <w:pPr>
        <w:pStyle w:val="BodyText"/>
      </w:pPr>
      <w:r w:rsidRPr="008F2DED">
        <w:t>There are no material costs associated with this information collection.</w:t>
      </w:r>
    </w:p>
    <w:p w:rsidR="000F5D15" w:rsidRPr="008F2DED" w:rsidP="008F2DED" w14:paraId="774745D3" w14:textId="77777777">
      <w:pPr>
        <w:pStyle w:val="BodyText"/>
      </w:pPr>
    </w:p>
    <w:p w:rsidR="00780413" w:rsidRPr="008F2DED" w:rsidP="008F2DED" w14:paraId="5248DC12" w14:textId="51245B43">
      <w:pPr>
        <w:pStyle w:val="Heading1"/>
        <w:numPr>
          <w:ilvl w:val="0"/>
          <w:numId w:val="13"/>
        </w:numPr>
        <w:rPr>
          <w:u w:val="none"/>
        </w:rPr>
      </w:pPr>
      <w:r w:rsidRPr="008F2DED">
        <w:rPr>
          <w:u w:val="none"/>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137D9481" w:rsidRPr="008F2DED" w:rsidP="008F2DED" w14:paraId="17858100" w14:textId="1FB01AA1">
      <w:pPr>
        <w:pStyle w:val="Heading1"/>
        <w:ind w:left="-5"/>
        <w:rPr>
          <w:u w:val="none"/>
        </w:rPr>
      </w:pPr>
    </w:p>
    <w:p w:rsidR="003917D1" w:rsidRPr="008F2DED" w:rsidP="008F2DED" w14:paraId="67EC4C6C" w14:textId="7D2C7AA4">
      <w:pPr>
        <w:pStyle w:val="BodyText"/>
        <w:rPr>
          <w:color w:val="000000" w:themeColor="text1"/>
        </w:rPr>
      </w:pPr>
      <w:r w:rsidRPr="00B3700C">
        <w:rPr>
          <w:color w:val="000000" w:themeColor="text1"/>
        </w:rPr>
        <w:t xml:space="preserve">The Bureau estimates the annual costs to the Federal Government to </w:t>
      </w:r>
      <w:r w:rsidRPr="00B3700C" w:rsidR="00E706BD">
        <w:rPr>
          <w:color w:val="000000" w:themeColor="text1"/>
        </w:rPr>
        <w:t>operate</w:t>
      </w:r>
      <w:r w:rsidRPr="00B3700C" w:rsidR="676C9824">
        <w:rPr>
          <w:color w:val="000000" w:themeColor="text1"/>
        </w:rPr>
        <w:t xml:space="preserve"> this </w:t>
      </w:r>
      <w:r w:rsidRPr="00B3700C" w:rsidR="00C44ED5">
        <w:rPr>
          <w:color w:val="000000" w:themeColor="text1"/>
        </w:rPr>
        <w:t>r</w:t>
      </w:r>
      <w:r w:rsidRPr="00B3700C" w:rsidR="003451BF">
        <w:rPr>
          <w:color w:val="000000" w:themeColor="text1"/>
        </w:rPr>
        <w:t xml:space="preserve">egistry </w:t>
      </w:r>
      <w:r w:rsidRPr="00B3700C">
        <w:rPr>
          <w:color w:val="000000" w:themeColor="text1"/>
        </w:rPr>
        <w:t xml:space="preserve">to be $2.5 million for external vendor support and </w:t>
      </w:r>
      <w:r w:rsidRPr="00B3700C" w:rsidR="00991BC9">
        <w:rPr>
          <w:color w:val="000000" w:themeColor="text1"/>
        </w:rPr>
        <w:t>1</w:t>
      </w:r>
      <w:r w:rsidRPr="00B3700C">
        <w:rPr>
          <w:color w:val="000000" w:themeColor="text1"/>
        </w:rPr>
        <w:t>0</w:t>
      </w:r>
      <w:r w:rsidRPr="00B3700C" w:rsidR="00991BC9">
        <w:rPr>
          <w:color w:val="000000" w:themeColor="text1"/>
        </w:rPr>
        <w:t>,</w:t>
      </w:r>
      <w:r w:rsidRPr="00B3700C">
        <w:rPr>
          <w:color w:val="000000" w:themeColor="text1"/>
        </w:rPr>
        <w:t>4</w:t>
      </w:r>
      <w:r w:rsidRPr="00B3700C" w:rsidR="00991BC9">
        <w:rPr>
          <w:color w:val="000000" w:themeColor="text1"/>
        </w:rPr>
        <w:t>0</w:t>
      </w:r>
      <w:r w:rsidRPr="00B3700C" w:rsidR="00F04129">
        <w:rPr>
          <w:color w:val="000000" w:themeColor="text1"/>
        </w:rPr>
        <w:t>0</w:t>
      </w:r>
      <w:r w:rsidRPr="00B3700C">
        <w:rPr>
          <w:color w:val="000000" w:themeColor="text1"/>
        </w:rPr>
        <w:t xml:space="preserve"> hours of </w:t>
      </w:r>
      <w:r w:rsidRPr="00B3700C" w:rsidR="004B7887">
        <w:rPr>
          <w:color w:val="000000" w:themeColor="text1"/>
        </w:rPr>
        <w:t>F</w:t>
      </w:r>
      <w:r w:rsidRPr="00B3700C">
        <w:rPr>
          <w:color w:val="000000" w:themeColor="text1"/>
        </w:rPr>
        <w:t>ederal staff time.  External vendor support was calculated by using current contracts at the Bureau for equivalent system developers</w:t>
      </w:r>
      <w:r w:rsidRPr="00B3700C" w:rsidR="00F04129">
        <w:rPr>
          <w:color w:val="000000" w:themeColor="text1"/>
        </w:rPr>
        <w:t xml:space="preserve"> and </w:t>
      </w:r>
      <w:r w:rsidRPr="00B3700C" w:rsidR="23A6904A">
        <w:rPr>
          <w:color w:val="000000" w:themeColor="text1"/>
        </w:rPr>
        <w:t>user</w:t>
      </w:r>
      <w:r w:rsidRPr="00B3700C" w:rsidR="00F04129">
        <w:rPr>
          <w:color w:val="000000" w:themeColor="text1"/>
        </w:rPr>
        <w:t xml:space="preserve"> support functions</w:t>
      </w:r>
      <w:r w:rsidRPr="00B3700C">
        <w:rPr>
          <w:color w:val="000000" w:themeColor="text1"/>
        </w:rPr>
        <w:t xml:space="preserve"> that support existing mission programs with similar business process execution needs to the nonbank registration program.</w:t>
      </w:r>
      <w:r w:rsidRPr="55A2F189">
        <w:rPr>
          <w:color w:val="000000" w:themeColor="text1"/>
        </w:rPr>
        <w:t xml:space="preserve"> </w:t>
      </w:r>
    </w:p>
    <w:p w:rsidR="003917D1" w:rsidRPr="008F2DED" w:rsidP="008F2DED" w14:paraId="0602AB27" w14:textId="77777777">
      <w:pPr>
        <w:pStyle w:val="BodyText"/>
        <w:rPr>
          <w:color w:val="000000" w:themeColor="text1"/>
        </w:rPr>
      </w:pPr>
    </w:p>
    <w:p w:rsidR="1CFD22DA" w:rsidRPr="008F2DED" w:rsidP="008F2DED" w14:paraId="4D7FA803" w14:textId="2B418A38">
      <w:pPr>
        <w:pStyle w:val="BodyText"/>
        <w:rPr>
          <w:color w:val="000000" w:themeColor="text1"/>
        </w:rPr>
      </w:pPr>
      <w:r w:rsidRPr="08957ABA">
        <w:rPr>
          <w:color w:val="000000" w:themeColor="text1"/>
        </w:rPr>
        <w:t>The breakdown for these functions is roughly $</w:t>
      </w:r>
      <w:r w:rsidR="00F04129">
        <w:rPr>
          <w:color w:val="000000" w:themeColor="text1"/>
        </w:rPr>
        <w:t>1,</w:t>
      </w:r>
      <w:r w:rsidR="00DA5C45">
        <w:rPr>
          <w:color w:val="000000" w:themeColor="text1"/>
        </w:rPr>
        <w:t>9</w:t>
      </w:r>
      <w:r w:rsidR="00F04129">
        <w:rPr>
          <w:color w:val="000000" w:themeColor="text1"/>
        </w:rPr>
        <w:t>00,000</w:t>
      </w:r>
      <w:r w:rsidRPr="08957ABA">
        <w:rPr>
          <w:color w:val="000000" w:themeColor="text1"/>
        </w:rPr>
        <w:t xml:space="preserve"> for developer support to operate and maintain the data collection system</w:t>
      </w:r>
      <w:r w:rsidR="00F04129">
        <w:rPr>
          <w:color w:val="000000" w:themeColor="text1"/>
        </w:rPr>
        <w:t>, $</w:t>
      </w:r>
      <w:r w:rsidR="00051960">
        <w:rPr>
          <w:color w:val="000000" w:themeColor="text1"/>
        </w:rPr>
        <w:t>60</w:t>
      </w:r>
      <w:r w:rsidR="00F04129">
        <w:rPr>
          <w:color w:val="000000" w:themeColor="text1"/>
        </w:rPr>
        <w:t xml:space="preserve">0,000 for an online </w:t>
      </w:r>
      <w:r w:rsidR="00100C85">
        <w:rPr>
          <w:color w:val="000000" w:themeColor="text1"/>
        </w:rPr>
        <w:t xml:space="preserve">user support </w:t>
      </w:r>
      <w:r w:rsidR="00F04129">
        <w:rPr>
          <w:color w:val="000000" w:themeColor="text1"/>
        </w:rPr>
        <w:t>function (including technical writing support for user help articles</w:t>
      </w:r>
      <w:r w:rsidR="007234F4">
        <w:rPr>
          <w:color w:val="000000" w:themeColor="text1"/>
        </w:rPr>
        <w:t>)</w:t>
      </w:r>
      <w:r w:rsidR="00026320">
        <w:rPr>
          <w:color w:val="000000" w:themeColor="text1"/>
        </w:rPr>
        <w:t>.</w:t>
      </w:r>
      <w:r w:rsidR="0078300A">
        <w:rPr>
          <w:color w:val="000000" w:themeColor="text1"/>
        </w:rPr>
        <w:t xml:space="preserve"> </w:t>
      </w:r>
      <w:r w:rsidRPr="08957ABA">
        <w:rPr>
          <w:color w:val="000000" w:themeColor="text1"/>
        </w:rPr>
        <w:t xml:space="preserve">Internal </w:t>
      </w:r>
      <w:r w:rsidR="004B7887">
        <w:rPr>
          <w:color w:val="000000" w:themeColor="text1"/>
        </w:rPr>
        <w:t>F</w:t>
      </w:r>
      <w:r w:rsidRPr="08957ABA">
        <w:rPr>
          <w:color w:val="000000" w:themeColor="text1"/>
        </w:rPr>
        <w:t xml:space="preserve">ederal staff time was calculated based on </w:t>
      </w:r>
      <w:r w:rsidR="00026320">
        <w:rPr>
          <w:color w:val="000000" w:themeColor="text1"/>
        </w:rPr>
        <w:t>five (5) Full</w:t>
      </w:r>
      <w:r w:rsidRPr="08957ABA" w:rsidR="00026320">
        <w:rPr>
          <w:color w:val="000000" w:themeColor="text1"/>
        </w:rPr>
        <w:t xml:space="preserve"> </w:t>
      </w:r>
      <w:r w:rsidRPr="08957ABA">
        <w:rPr>
          <w:color w:val="000000" w:themeColor="text1"/>
        </w:rPr>
        <w:t>Time Equivalents (FTE)</w:t>
      </w:r>
      <w:r w:rsidR="0040536A">
        <w:rPr>
          <w:color w:val="000000" w:themeColor="text1"/>
        </w:rPr>
        <w:t xml:space="preserve"> </w:t>
      </w:r>
      <w:r w:rsidRPr="08957ABA">
        <w:rPr>
          <w:color w:val="000000" w:themeColor="text1"/>
        </w:rPr>
        <w:t>to support the program with inherently governmental functions, such as responding to respondents’ substantive questions regarding rule compliance, data intake and quality control, managing technical system updates for mission critical needs</w:t>
      </w:r>
      <w:r w:rsidR="0040536A">
        <w:rPr>
          <w:color w:val="000000" w:themeColor="text1"/>
        </w:rPr>
        <w:t>, and overseeing external vendor work</w:t>
      </w:r>
      <w:r w:rsidRPr="08957ABA">
        <w:rPr>
          <w:color w:val="000000" w:themeColor="text1"/>
        </w:rPr>
        <w:t>.</w:t>
      </w:r>
    </w:p>
    <w:p w:rsidR="000F5D15" w:rsidRPr="008F2DED" w:rsidP="008F2DED" w14:paraId="23ED4184" w14:textId="77777777">
      <w:pPr>
        <w:pStyle w:val="BodyText"/>
        <w:rPr>
          <w:b/>
        </w:rPr>
      </w:pPr>
    </w:p>
    <w:p w:rsidR="00780413" w:rsidRPr="008F2DED" w:rsidP="008F2DED" w14:paraId="5F76D2A3" w14:textId="560890EE">
      <w:pPr>
        <w:pStyle w:val="Heading1"/>
        <w:numPr>
          <w:ilvl w:val="0"/>
          <w:numId w:val="13"/>
        </w:numPr>
        <w:rPr>
          <w:u w:val="none"/>
        </w:rPr>
      </w:pPr>
      <w:r w:rsidRPr="008F2DED">
        <w:rPr>
          <w:u w:val="none"/>
        </w:rPr>
        <w:t>Explain the reasons for any program changes or adjustments.</w:t>
      </w:r>
    </w:p>
    <w:p w:rsidR="003917D1" w:rsidRPr="008F2DED" w:rsidP="008F2DED" w14:paraId="5C94ED28" w14:textId="560890EE">
      <w:pPr>
        <w:rPr>
          <w:sz w:val="24"/>
          <w:szCs w:val="24"/>
        </w:rPr>
      </w:pPr>
    </w:p>
    <w:p w:rsidR="003C0E28" w:rsidRPr="008F2DED" w:rsidP="008F2DED" w14:paraId="0CD25E6E" w14:textId="52B2A833">
      <w:pPr>
        <w:rPr>
          <w:sz w:val="24"/>
          <w:szCs w:val="24"/>
        </w:rPr>
      </w:pPr>
      <w:r w:rsidRPr="008F2DED">
        <w:rPr>
          <w:sz w:val="24"/>
          <w:szCs w:val="24"/>
        </w:rPr>
        <w:t>This is a new collection of information</w:t>
      </w:r>
      <w:r w:rsidR="002C7EBA">
        <w:rPr>
          <w:sz w:val="24"/>
          <w:szCs w:val="24"/>
        </w:rPr>
        <w:t>.  T</w:t>
      </w:r>
      <w:r w:rsidR="00645803">
        <w:rPr>
          <w:sz w:val="24"/>
          <w:szCs w:val="24"/>
        </w:rPr>
        <w:t xml:space="preserve">here are no </w:t>
      </w:r>
      <w:r w:rsidR="002C7EBA">
        <w:rPr>
          <w:sz w:val="24"/>
          <w:szCs w:val="24"/>
        </w:rPr>
        <w:t xml:space="preserve">program </w:t>
      </w:r>
      <w:r w:rsidR="00645803">
        <w:rPr>
          <w:sz w:val="24"/>
          <w:szCs w:val="24"/>
        </w:rPr>
        <w:t>changes or adjustments.</w:t>
      </w:r>
    </w:p>
    <w:p w:rsidR="000F5D15" w:rsidRPr="008F2DED" w:rsidP="008F2DED" w14:paraId="485E9BE4" w14:textId="77777777">
      <w:pPr>
        <w:pStyle w:val="BodyText"/>
      </w:pPr>
    </w:p>
    <w:p w:rsidR="00EC7C1E" w:rsidRPr="008F2DED" w:rsidP="008F2DED" w14:paraId="35A1E194" w14:textId="1C0A736B">
      <w:pPr>
        <w:pStyle w:val="Heading1"/>
        <w:numPr>
          <w:ilvl w:val="0"/>
          <w:numId w:val="13"/>
        </w:numPr>
        <w:rPr>
          <w:u w:val="none"/>
        </w:rPr>
      </w:pPr>
      <w:r w:rsidRPr="008F2DED">
        <w:rPr>
          <w:u w:val="none"/>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EC7C1E" w:rsidRPr="00645803" w:rsidP="00645803" w14:paraId="1E57C8F4" w14:textId="77777777">
      <w:pPr>
        <w:rPr>
          <w:sz w:val="24"/>
          <w:szCs w:val="24"/>
        </w:rPr>
      </w:pPr>
      <w:r w:rsidRPr="00645803">
        <w:rPr>
          <w:sz w:val="24"/>
          <w:szCs w:val="24"/>
        </w:rPr>
        <w:t xml:space="preserve"> </w:t>
      </w:r>
    </w:p>
    <w:p w:rsidR="00B764B8" w:rsidRPr="00645803" w:rsidP="00645803" w14:paraId="0136BCD4" w14:textId="5560E3DB">
      <w:pPr>
        <w:rPr>
          <w:sz w:val="24"/>
          <w:szCs w:val="24"/>
        </w:rPr>
      </w:pPr>
      <w:r w:rsidRPr="00B764B8">
        <w:rPr>
          <w:sz w:val="24"/>
          <w:szCs w:val="24"/>
        </w:rPr>
        <w:t>Under the rule, the Bureau may publish the information submitted to the nonbank registry,</w:t>
      </w:r>
      <w:r>
        <w:rPr>
          <w:sz w:val="24"/>
          <w:szCs w:val="24"/>
        </w:rPr>
        <w:t xml:space="preserve"> </w:t>
      </w:r>
      <w:r w:rsidRPr="00B764B8">
        <w:rPr>
          <w:sz w:val="24"/>
          <w:szCs w:val="24"/>
        </w:rPr>
        <w:t>including through the Bureau’s publicly available website.</w:t>
      </w:r>
      <w:r w:rsidRPr="00645803">
        <w:rPr>
          <w:sz w:val="24"/>
          <w:szCs w:val="24"/>
        </w:rPr>
        <w:t xml:space="preserve">  </w:t>
      </w:r>
      <w:r>
        <w:rPr>
          <w:sz w:val="24"/>
          <w:szCs w:val="24"/>
        </w:rPr>
        <w:t>T</w:t>
      </w:r>
      <w:r w:rsidRPr="00B764B8">
        <w:rPr>
          <w:sz w:val="24"/>
          <w:szCs w:val="24"/>
        </w:rPr>
        <w:t>he Bureau will not publish the annual written statement submitted by supervised registered entities or administrative information as defined in section 1092.201(a) of the final rule.  The Bureau may publish the name and title of the attesting executive who signs a supervised registered entity’s annual written statement.</w:t>
      </w:r>
    </w:p>
    <w:p w:rsidR="00B764B8" w:rsidRPr="008F2DED" w:rsidP="00B764B8" w14:paraId="4565C4CB" w14:textId="3194C82D">
      <w:pPr>
        <w:pStyle w:val="ListParagraph"/>
        <w:widowControl/>
        <w:autoSpaceDE/>
        <w:autoSpaceDN/>
        <w:ind w:left="720" w:firstLine="0"/>
        <w:contextualSpacing/>
        <w:rPr>
          <w:sz w:val="24"/>
          <w:szCs w:val="24"/>
          <w:u w:val="none"/>
        </w:rPr>
      </w:pPr>
      <w:r>
        <w:rPr>
          <w:sz w:val="24"/>
          <w:szCs w:val="24"/>
          <w:u w:val="none"/>
        </w:rPr>
        <w:t xml:space="preserve">  </w:t>
      </w:r>
    </w:p>
    <w:p w:rsidR="00A43BEA" w:rsidRPr="008F2DED" w:rsidP="008F2DED" w14:paraId="36AA8E45" w14:textId="477A0C8E">
      <w:pPr>
        <w:rPr>
          <w:sz w:val="24"/>
          <w:szCs w:val="24"/>
        </w:rPr>
      </w:pPr>
      <w:r w:rsidRPr="0A086D25">
        <w:rPr>
          <w:sz w:val="24"/>
          <w:szCs w:val="24"/>
        </w:rPr>
        <w:t xml:space="preserve">The Bureau </w:t>
      </w:r>
      <w:r w:rsidRPr="0A086D25" w:rsidR="0D0A3025">
        <w:rPr>
          <w:sz w:val="24"/>
          <w:szCs w:val="24"/>
        </w:rPr>
        <w:t xml:space="preserve">does </w:t>
      </w:r>
      <w:r w:rsidRPr="0A086D25" w:rsidR="53AE6B54">
        <w:rPr>
          <w:sz w:val="24"/>
          <w:szCs w:val="24"/>
        </w:rPr>
        <w:t xml:space="preserve">not </w:t>
      </w:r>
      <w:r w:rsidRPr="0A086D25" w:rsidR="0D0A3025">
        <w:rPr>
          <w:sz w:val="24"/>
          <w:szCs w:val="24"/>
        </w:rPr>
        <w:t xml:space="preserve">plan to conduct any </w:t>
      </w:r>
      <w:r w:rsidRPr="0A086D25" w:rsidR="2969FFDA">
        <w:rPr>
          <w:sz w:val="24"/>
          <w:szCs w:val="24"/>
        </w:rPr>
        <w:t xml:space="preserve">tabulations or analytics </w:t>
      </w:r>
      <w:r w:rsidRPr="0A086D25" w:rsidR="1E28FAEB">
        <w:rPr>
          <w:sz w:val="24"/>
          <w:szCs w:val="24"/>
        </w:rPr>
        <w:t xml:space="preserve">of </w:t>
      </w:r>
      <w:r w:rsidRPr="0A086D25" w:rsidR="612D56B9">
        <w:rPr>
          <w:sz w:val="24"/>
          <w:szCs w:val="24"/>
        </w:rPr>
        <w:t>such data</w:t>
      </w:r>
      <w:r w:rsidRPr="0A086D25" w:rsidR="399986EF">
        <w:rPr>
          <w:sz w:val="24"/>
          <w:szCs w:val="24"/>
        </w:rPr>
        <w:t xml:space="preserve"> </w:t>
      </w:r>
      <w:r w:rsidRPr="0A086D25" w:rsidR="399986EF">
        <w:rPr>
          <w:sz w:val="24"/>
          <w:szCs w:val="24"/>
        </w:rPr>
        <w:t>at this time</w:t>
      </w:r>
      <w:r w:rsidRPr="0A086D25" w:rsidR="00755FB9">
        <w:rPr>
          <w:sz w:val="24"/>
          <w:szCs w:val="24"/>
        </w:rPr>
        <w:t xml:space="preserve">.  </w:t>
      </w:r>
      <w:r w:rsidRPr="0A086D25" w:rsidR="1E28FAEB">
        <w:rPr>
          <w:sz w:val="24"/>
          <w:szCs w:val="24"/>
        </w:rPr>
        <w:t xml:space="preserve">Rather, the Bureau plans to build </w:t>
      </w:r>
      <w:r w:rsidRPr="0A086D25" w:rsidR="6896D219">
        <w:rPr>
          <w:sz w:val="24"/>
          <w:szCs w:val="24"/>
        </w:rPr>
        <w:t>features in its database so that members of the public</w:t>
      </w:r>
      <w:r w:rsidRPr="0A086D25" w:rsidR="6BEF0D02">
        <w:rPr>
          <w:sz w:val="24"/>
          <w:szCs w:val="24"/>
        </w:rPr>
        <w:t xml:space="preserve"> </w:t>
      </w:r>
      <w:r w:rsidRPr="0A086D25" w:rsidR="61E07220">
        <w:rPr>
          <w:sz w:val="24"/>
          <w:szCs w:val="24"/>
        </w:rPr>
        <w:t xml:space="preserve">and external </w:t>
      </w:r>
      <w:r w:rsidRPr="0A086D25" w:rsidR="1DAD7B7F">
        <w:rPr>
          <w:sz w:val="24"/>
          <w:szCs w:val="24"/>
        </w:rPr>
        <w:t>organizations can</w:t>
      </w:r>
      <w:r w:rsidRPr="0A086D25" w:rsidR="6BEF0D02">
        <w:rPr>
          <w:sz w:val="24"/>
          <w:szCs w:val="24"/>
        </w:rPr>
        <w:t xml:space="preserve"> </w:t>
      </w:r>
      <w:r w:rsidRPr="0A086D25" w:rsidR="3B11473B">
        <w:rPr>
          <w:sz w:val="24"/>
          <w:szCs w:val="24"/>
        </w:rPr>
        <w:t xml:space="preserve">search, sort, and filter for </w:t>
      </w:r>
      <w:r w:rsidRPr="0A086D25" w:rsidR="6BEF0D02">
        <w:rPr>
          <w:sz w:val="24"/>
          <w:szCs w:val="24"/>
        </w:rPr>
        <w:t>information relevant to their needs</w:t>
      </w:r>
      <w:r w:rsidRPr="0A086D25" w:rsidR="61E07220">
        <w:rPr>
          <w:sz w:val="24"/>
          <w:szCs w:val="24"/>
        </w:rPr>
        <w:t>.</w:t>
      </w:r>
      <w:r w:rsidRPr="0A086D25" w:rsidR="3B11473B">
        <w:rPr>
          <w:sz w:val="24"/>
          <w:szCs w:val="24"/>
        </w:rPr>
        <w:t xml:space="preserve">  </w:t>
      </w:r>
      <w:r w:rsidRPr="0A086D25">
        <w:rPr>
          <w:sz w:val="24"/>
          <w:szCs w:val="24"/>
        </w:rPr>
        <w:t xml:space="preserve">Any </w:t>
      </w:r>
      <w:r w:rsidRPr="0A086D25" w:rsidR="586E239B">
        <w:rPr>
          <w:sz w:val="24"/>
          <w:szCs w:val="24"/>
        </w:rPr>
        <w:t xml:space="preserve">publication of information will begin </w:t>
      </w:r>
      <w:r w:rsidRPr="0A086D25">
        <w:rPr>
          <w:sz w:val="24"/>
          <w:szCs w:val="24"/>
        </w:rPr>
        <w:t>sometime after the</w:t>
      </w:r>
      <w:r w:rsidRPr="0A086D25" w:rsidR="586E239B">
        <w:rPr>
          <w:sz w:val="24"/>
          <w:szCs w:val="24"/>
        </w:rPr>
        <w:t xml:space="preserve"> initial compliance dat</w:t>
      </w:r>
      <w:r w:rsidRPr="0A086D25" w:rsidR="6AC451BF">
        <w:rPr>
          <w:sz w:val="24"/>
          <w:szCs w:val="24"/>
        </w:rPr>
        <w:t>e for registration submission</w:t>
      </w:r>
      <w:r w:rsidRPr="0A086D25" w:rsidR="008B3DDC">
        <w:rPr>
          <w:sz w:val="24"/>
          <w:szCs w:val="24"/>
        </w:rPr>
        <w:t xml:space="preserve"> </w:t>
      </w:r>
      <w:r w:rsidRPr="0A086D25" w:rsidR="69070D80">
        <w:rPr>
          <w:sz w:val="24"/>
          <w:szCs w:val="24"/>
        </w:rPr>
        <w:t xml:space="preserve">with no set end date. </w:t>
      </w:r>
      <w:r w:rsidRPr="0A086D25" w:rsidR="61E07220">
        <w:rPr>
          <w:sz w:val="24"/>
          <w:szCs w:val="24"/>
        </w:rPr>
        <w:t xml:space="preserve"> </w:t>
      </w:r>
    </w:p>
    <w:p w:rsidR="00A43BEA" w:rsidRPr="008F2DED" w:rsidP="008F2DED" w14:paraId="2AEBF5EE" w14:textId="77777777">
      <w:pPr>
        <w:rPr>
          <w:sz w:val="24"/>
          <w:szCs w:val="24"/>
        </w:rPr>
      </w:pPr>
    </w:p>
    <w:p w:rsidR="00EC7C1E" w:rsidRPr="008F2DED" w:rsidP="008F2DED" w14:paraId="0E885664" w14:textId="3F68E8FE">
      <w:pPr>
        <w:pStyle w:val="ListParagraph"/>
        <w:numPr>
          <w:ilvl w:val="0"/>
          <w:numId w:val="13"/>
        </w:numPr>
        <w:rPr>
          <w:b/>
          <w:bCs/>
          <w:sz w:val="24"/>
          <w:szCs w:val="24"/>
          <w:u w:val="none"/>
        </w:rPr>
      </w:pPr>
      <w:r w:rsidRPr="008F2DED">
        <w:rPr>
          <w:b/>
          <w:bCs/>
          <w:sz w:val="24"/>
          <w:szCs w:val="24"/>
          <w:u w:val="none"/>
        </w:rPr>
        <w:t>If seeking approval to not display the expiration date for OMB approval of the information collection, explain the reasons that display would be inappropriate.</w:t>
      </w:r>
    </w:p>
    <w:p w:rsidR="39C72880" w:rsidRPr="008F2DED" w:rsidP="008F2DED" w14:paraId="71162952" w14:textId="4299B0F4">
      <w:pPr>
        <w:rPr>
          <w:b/>
          <w:bCs/>
          <w:sz w:val="24"/>
          <w:szCs w:val="24"/>
        </w:rPr>
      </w:pPr>
    </w:p>
    <w:p w:rsidR="00976B9E" w:rsidRPr="008F2DED" w:rsidP="008F2DED" w14:paraId="7D8C4C57" w14:textId="6D3C875C">
      <w:pPr>
        <w:pStyle w:val="Heading1"/>
        <w:ind w:left="-5"/>
        <w:rPr>
          <w:b w:val="0"/>
          <w:u w:val="none"/>
        </w:rPr>
      </w:pPr>
      <w:r w:rsidRPr="008F2DED">
        <w:rPr>
          <w:b w:val="0"/>
          <w:u w:val="none"/>
        </w:rPr>
        <w:t xml:space="preserve">  </w:t>
      </w:r>
      <w:r w:rsidRPr="008F2DED" w:rsidR="00755FB9">
        <w:rPr>
          <w:u w:val="none"/>
        </w:rPr>
        <w:tab/>
      </w:r>
      <w:r w:rsidRPr="008F2DED" w:rsidR="00755FB9">
        <w:rPr>
          <w:u w:val="none"/>
        </w:rPr>
        <w:tab/>
      </w:r>
      <w:r w:rsidRPr="008F2DED">
        <w:rPr>
          <w:b w:val="0"/>
          <w:u w:val="none"/>
        </w:rPr>
        <w:t xml:space="preserve">The OMB control number and expiration date associated with this Paperwork Reduction Act (PRA) submission will be displayed on the Federal government’s electronic PRA docket at www.reginfo.gov, as well as on the relevant information collection instruments. </w:t>
      </w:r>
    </w:p>
    <w:p w:rsidR="00976B9E" w:rsidRPr="008F2DED" w:rsidP="008F2DED" w14:paraId="0A59B060" w14:textId="0CB486BC">
      <w:pPr>
        <w:rPr>
          <w:bCs/>
          <w:sz w:val="24"/>
          <w:szCs w:val="24"/>
        </w:rPr>
      </w:pPr>
    </w:p>
    <w:p w:rsidR="00976B9E" w:rsidRPr="008F2DED" w:rsidP="008F2DED" w14:paraId="2DD015A3" w14:textId="6643E633">
      <w:pPr>
        <w:pStyle w:val="ListParagraph"/>
        <w:numPr>
          <w:ilvl w:val="0"/>
          <w:numId w:val="13"/>
        </w:numPr>
        <w:rPr>
          <w:b/>
          <w:sz w:val="24"/>
          <w:szCs w:val="24"/>
          <w:u w:val="none"/>
        </w:rPr>
      </w:pPr>
      <w:r w:rsidRPr="008F2DED">
        <w:rPr>
          <w:b/>
          <w:bCs/>
          <w:sz w:val="24"/>
          <w:szCs w:val="24"/>
          <w:u w:val="none"/>
        </w:rPr>
        <w:t>Explain</w:t>
      </w:r>
      <w:r w:rsidRPr="008F2DED">
        <w:rPr>
          <w:b/>
          <w:sz w:val="24"/>
          <w:szCs w:val="24"/>
          <w:u w:val="none"/>
        </w:rPr>
        <w:t xml:space="preserve"> each exception to the certification statement.</w:t>
      </w:r>
    </w:p>
    <w:p w:rsidR="00976B9E" w:rsidRPr="008F2DED" w:rsidP="008F2DED" w14:paraId="22DAE1FD" w14:textId="77777777">
      <w:pPr>
        <w:pStyle w:val="BodyText"/>
      </w:pPr>
    </w:p>
    <w:p w:rsidR="00976B9E" w:rsidRPr="008F2DED" w:rsidP="00D4674D" w14:paraId="553194B9" w14:textId="22148EB6">
      <w:pPr>
        <w:pStyle w:val="Heading1"/>
        <w:ind w:left="0" w:firstLine="0"/>
      </w:pPr>
      <w:r w:rsidRPr="008F2DED">
        <w:rPr>
          <w:b w:val="0"/>
          <w:u w:val="none"/>
        </w:rPr>
        <w:t>The Bureau certifies that this collection of information is consistent with the requirements of 5 CFR 1320.9 and the related provisions of 5 CFR 1320.8(b)(3)</w:t>
      </w:r>
      <w:r w:rsidR="00481372">
        <w:rPr>
          <w:b w:val="0"/>
          <w:u w:val="none"/>
        </w:rPr>
        <w:t xml:space="preserve"> </w:t>
      </w:r>
      <w:r w:rsidRPr="008F2DED">
        <w:rPr>
          <w:b w:val="0"/>
          <w:u w:val="none"/>
        </w:rPr>
        <w:t xml:space="preserve">and is not seeking an exemption to these certification requirements. </w:t>
      </w:r>
    </w:p>
    <w:p w:rsidR="00976B9E" w:rsidRPr="008F2DED" w:rsidP="003917D1" w14:paraId="6A235372" w14:textId="77777777">
      <w:pPr>
        <w:ind w:left="720"/>
        <w:jc w:val="both"/>
        <w:rPr>
          <w:bCs/>
          <w:sz w:val="24"/>
          <w:szCs w:val="24"/>
        </w:rPr>
      </w:pPr>
      <w:r w:rsidRPr="008F2DED">
        <w:rPr>
          <w:bCs/>
          <w:sz w:val="24"/>
          <w:szCs w:val="24"/>
        </w:rPr>
        <w:t xml:space="preserve"> </w:t>
      </w:r>
    </w:p>
    <w:p w:rsidR="000F5D15" w:rsidRPr="008F2DED" w:rsidP="003917D1" w14:paraId="5FCD3EAE" w14:textId="33A9BCDF">
      <w:pPr>
        <w:pStyle w:val="Heading1"/>
        <w:ind w:left="-5"/>
        <w:jc w:val="both"/>
      </w:pPr>
    </w:p>
    <w:sectPr w:rsidSect="00BD3E12">
      <w:headerReference w:type="default" r:id="rId9"/>
      <w:footerReference w:type="default" r:id="rId10"/>
      <w:pgSz w:w="12240" w:h="15840"/>
      <w:pgMar w:top="1440" w:right="1440" w:bottom="1440" w:left="1440" w:header="0" w:footer="146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641769"/>
      <w:docPartObj>
        <w:docPartGallery w:val="Page Numbers (Bottom of Page)"/>
        <w:docPartUnique/>
      </w:docPartObj>
    </w:sdtPr>
    <w:sdtEndPr>
      <w:rPr>
        <w:noProof/>
      </w:rPr>
    </w:sdtEndPr>
    <w:sdtContent>
      <w:p w:rsidR="00C70068" w14:paraId="4BF531CE" w14:textId="5C14ED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F5D15" w14:paraId="3ED59531" w14:textId="5C14EDC9">
    <w:pPr>
      <w:pStyle w:val="BodyText"/>
      <w:spacing w:line="14" w:lineRule="auto"/>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691A" w14:paraId="5BAA74F0" w14:textId="77777777">
      <w:r>
        <w:separator/>
      </w:r>
    </w:p>
  </w:footnote>
  <w:footnote w:type="continuationSeparator" w:id="1">
    <w:p w:rsidR="0027691A" w14:paraId="1BB56C43" w14:textId="77777777">
      <w:r>
        <w:continuationSeparator/>
      </w:r>
    </w:p>
  </w:footnote>
  <w:footnote w:type="continuationNotice" w:id="2">
    <w:p w:rsidR="0027691A" w14:paraId="1C7BECA1" w14:textId="77777777"/>
  </w:footnote>
  <w:footnote w:id="3">
    <w:p w:rsidR="00FD107D" w:rsidRPr="00C102CD" w14:paraId="7FA852FF" w14:textId="6D9E0011">
      <w:pPr>
        <w:pStyle w:val="FootnoteText"/>
      </w:pPr>
      <w:r w:rsidRPr="00C102CD">
        <w:rPr>
          <w:rStyle w:val="FootnoteReference"/>
        </w:rPr>
        <w:footnoteRef/>
      </w:r>
      <w:r w:rsidRPr="00C102CD">
        <w:t xml:space="preserve"> </w:t>
      </w:r>
      <w:r w:rsidRPr="00C102CD">
        <w:rPr>
          <w:rStyle w:val="normaltextrun"/>
          <w:color w:val="000000"/>
          <w:shd w:val="clear" w:color="auto" w:fill="FFFFFF"/>
        </w:rPr>
        <w:t>Dodd-Frank Wall Street Reform and Consumer Protection Act (Dodd-Frank Act)</w:t>
      </w:r>
      <w:r w:rsidR="00E04F5A">
        <w:rPr>
          <w:rStyle w:val="normaltextrun"/>
          <w:color w:val="000000"/>
          <w:shd w:val="clear" w:color="auto" w:fill="FFFFFF"/>
        </w:rPr>
        <w:t xml:space="preserve">, </w:t>
      </w:r>
      <w:r w:rsidR="00476DE1">
        <w:rPr>
          <w:rStyle w:val="normaltextrun"/>
          <w:color w:val="000000"/>
          <w:shd w:val="clear" w:color="auto" w:fill="FFFFFF"/>
        </w:rPr>
        <w:t>Pub. L. No. 111-203,</w:t>
      </w:r>
      <w:r w:rsidR="000338DF">
        <w:rPr>
          <w:rStyle w:val="normaltextrun"/>
          <w:color w:val="000000"/>
          <w:shd w:val="clear" w:color="auto" w:fill="FFFFFF"/>
        </w:rPr>
        <w:t xml:space="preserve"> tit. X,</w:t>
      </w:r>
      <w:r w:rsidR="00476DE1">
        <w:rPr>
          <w:rStyle w:val="normaltextrun"/>
          <w:color w:val="000000"/>
          <w:shd w:val="clear" w:color="auto" w:fill="FFFFFF"/>
        </w:rPr>
        <w:t xml:space="preserve"> 124 Stat. 1376</w:t>
      </w:r>
      <w:r w:rsidR="00BB2237">
        <w:rPr>
          <w:rStyle w:val="normaltextrun"/>
          <w:color w:val="000000"/>
          <w:shd w:val="clear" w:color="auto" w:fill="FFFFFF"/>
        </w:rPr>
        <w:t>, 1955</w:t>
      </w:r>
      <w:r w:rsidR="006344F3">
        <w:rPr>
          <w:rStyle w:val="normaltextrun"/>
          <w:color w:val="000000"/>
          <w:shd w:val="clear" w:color="auto" w:fill="FFFFFF"/>
        </w:rPr>
        <w:t>-2113</w:t>
      </w:r>
      <w:r w:rsidR="00F71159">
        <w:rPr>
          <w:rStyle w:val="normaltextrun"/>
          <w:color w:val="000000"/>
          <w:shd w:val="clear" w:color="auto" w:fill="FFFFFF"/>
        </w:rPr>
        <w:t xml:space="preserve"> (2010)</w:t>
      </w:r>
      <w:r w:rsidRPr="00C102CD">
        <w:rPr>
          <w:rStyle w:val="normaltextrun"/>
          <w:color w:val="000000"/>
          <w:shd w:val="clear" w:color="auto" w:fill="FFFFFF"/>
        </w:rPr>
        <w:t>.</w:t>
      </w:r>
    </w:p>
  </w:footnote>
  <w:footnote w:id="4">
    <w:p w:rsidR="00667E5B" w14:paraId="56789966" w14:textId="5E90F160">
      <w:pPr>
        <w:pStyle w:val="FootnoteText"/>
      </w:pPr>
      <w:r w:rsidRPr="00C102CD">
        <w:rPr>
          <w:rStyle w:val="FootnoteReference"/>
        </w:rPr>
        <w:footnoteRef/>
      </w:r>
      <w:r w:rsidRPr="00C102CD">
        <w:t xml:space="preserve"> </w:t>
      </w:r>
      <w:r w:rsidR="00784035">
        <w:t>The</w:t>
      </w:r>
      <w:r w:rsidRPr="00C102CD" w:rsidR="00CB2FD6">
        <w:t xml:space="preserve"> total</w:t>
      </w:r>
      <w:r w:rsidRPr="00C102CD">
        <w:t xml:space="preserve"> number of </w:t>
      </w:r>
      <w:r w:rsidRPr="00C102CD" w:rsidR="00122398">
        <w:t>respondents</w:t>
      </w:r>
      <w:r w:rsidRPr="00C102CD" w:rsidR="00CB2FD6">
        <w:t xml:space="preserve"> for this information collection</w:t>
      </w:r>
      <w:r w:rsidRPr="00C102CD" w:rsidR="00122398">
        <w:t xml:space="preserve"> is </w:t>
      </w:r>
      <w:r w:rsidR="00784035">
        <w:t xml:space="preserve">at most </w:t>
      </w:r>
      <w:r w:rsidRPr="00C102CD" w:rsidR="00122398">
        <w:t xml:space="preserve">7,752 across both respondent categories.  </w:t>
      </w:r>
      <w:r w:rsidRPr="00C102CD" w:rsidR="00CB2FD6">
        <w:t xml:space="preserve">The separate respondent categories </w:t>
      </w:r>
      <w:r w:rsidR="008A44A5">
        <w:t xml:space="preserve">are </w:t>
      </w:r>
      <w:r w:rsidR="00F867E6">
        <w:t>not</w:t>
      </w:r>
      <w:r w:rsidRPr="00C102CD" w:rsidR="00CB2FD6">
        <w:t xml:space="preserve"> totaled for the burden estimate.</w:t>
      </w:r>
    </w:p>
    <w:p w:rsidR="00B1008D" w:rsidRPr="00C102CD" w14:paraId="23ACCB03"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AF9" w14:paraId="67EC7F17" w14:textId="5876523A">
    <w:pPr>
      <w:pStyle w:val="Header"/>
      <w:rPr>
        <w:sz w:val="20"/>
        <w:szCs w:val="20"/>
      </w:rPr>
    </w:pPr>
  </w:p>
  <w:p w:rsidR="009B007E" w14:paraId="4E3D6B76" w14:textId="77777777">
    <w:pPr>
      <w:pStyle w:val="Header"/>
      <w:rPr>
        <w:sz w:val="20"/>
        <w:szCs w:val="20"/>
      </w:rPr>
    </w:pPr>
  </w:p>
  <w:p w:rsidR="004F3AE2" w:rsidRPr="004F3AE2" w14:paraId="2A1596E5" w14:textId="77777777">
    <w:pPr>
      <w:pStyle w:val="Header"/>
      <w:rPr>
        <w:sz w:val="18"/>
        <w:szCs w:val="18"/>
      </w:rPr>
    </w:pPr>
    <w:r w:rsidRPr="004F3AE2">
      <w:rPr>
        <w:color w:val="242424"/>
        <w:sz w:val="18"/>
        <w:szCs w:val="18"/>
        <w:shd w:val="clear" w:color="auto" w:fill="FFFFFF"/>
      </w:rPr>
      <w:t xml:space="preserve">Title: Nonbank Registration – </w:t>
    </w:r>
    <w:r w:rsidRPr="004F3AE2">
      <w:rPr>
        <w:sz w:val="18"/>
        <w:szCs w:val="18"/>
      </w:rPr>
      <w:t>Registry of Nonbank Covered Persons Subject to Certain Agency and Court Orders</w:t>
    </w:r>
  </w:p>
  <w:p w:rsidR="00B93D67" w:rsidRPr="009B007E" w14:paraId="51AB8303" w14:textId="66C0CE6B">
    <w:pPr>
      <w:pStyle w:val="Header"/>
      <w:rPr>
        <w:color w:val="242424"/>
        <w:sz w:val="18"/>
        <w:szCs w:val="18"/>
        <w:shd w:val="clear" w:color="auto" w:fill="FFFFFF"/>
      </w:rPr>
    </w:pPr>
    <w:r w:rsidRPr="009B007E">
      <w:rPr>
        <w:sz w:val="18"/>
        <w:szCs w:val="18"/>
      </w:rPr>
      <w:t>OMB Control Number: 3170-</w:t>
    </w:r>
    <w:r w:rsidRPr="009B007E" w:rsidR="00AE71E8">
      <w:rPr>
        <w:sz w:val="18"/>
        <w:szCs w:val="18"/>
      </w:rPr>
      <w:t>00</w:t>
    </w:r>
    <w:r w:rsidR="00AE71E8">
      <w:rPr>
        <w:sz w:val="18"/>
        <w:szCs w:val="18"/>
      </w:rPr>
      <w:t>76</w:t>
    </w:r>
  </w:p>
  <w:p w:rsidR="00B93D67" w:rsidRPr="009B007E" w14:paraId="36F9DEEA" w14:textId="27B3E2D2">
    <w:pPr>
      <w:pStyle w:val="Header"/>
      <w:rPr>
        <w:sz w:val="18"/>
        <w:szCs w:val="18"/>
      </w:rPr>
    </w:pPr>
    <w:r w:rsidRPr="009B007E">
      <w:rPr>
        <w:sz w:val="18"/>
        <w:szCs w:val="18"/>
      </w:rPr>
      <w:t xml:space="preserve">RIN: </w:t>
    </w:r>
    <w:r w:rsidRPr="009B007E" w:rsidR="009B007E">
      <w:rPr>
        <w:color w:val="242424"/>
        <w:sz w:val="18"/>
        <w:szCs w:val="18"/>
        <w:shd w:val="clear" w:color="auto" w:fill="FFFFFF"/>
      </w:rPr>
      <w:t>3170-AB13</w:t>
    </w:r>
  </w:p>
  <w:p w:rsidR="00B93D67" w14:paraId="7FE95759" w14:textId="79EA7CFC">
    <w:pPr>
      <w:pStyle w:val="Header"/>
      <w:rPr>
        <w:sz w:val="18"/>
        <w:szCs w:val="18"/>
      </w:rPr>
    </w:pPr>
    <w:r w:rsidRPr="009B007E">
      <w:rPr>
        <w:sz w:val="18"/>
        <w:szCs w:val="18"/>
      </w:rPr>
      <w:t xml:space="preserve">OMB Expiration Date: </w:t>
    </w:r>
    <w:r w:rsidRPr="009B007E" w:rsidR="00B60FD4">
      <w:rPr>
        <w:sz w:val="18"/>
        <w:szCs w:val="18"/>
      </w:rPr>
      <w:t>N/A</w:t>
    </w:r>
  </w:p>
  <w:p w:rsidR="009B007E" w:rsidRPr="009B007E" w14:paraId="33C9C8B5"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270D4"/>
    <w:multiLevelType w:val="hybridMultilevel"/>
    <w:tmpl w:val="24203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9809A6"/>
    <w:multiLevelType w:val="hybridMultilevel"/>
    <w:tmpl w:val="B27CF574"/>
    <w:lvl w:ilvl="0">
      <w:start w:val="1"/>
      <w:numFmt w:val="decimal"/>
      <w:lvlText w:val="%1."/>
      <w:lvlJc w:val="left"/>
      <w:pPr>
        <w:ind w:left="240" w:hanging="240"/>
      </w:pPr>
      <w:rPr>
        <w:rFonts w:ascii="Times New Roman" w:eastAsia="Times New Roman" w:hAnsi="Times New Roman" w:cs="Times New Roman" w:hint="default"/>
        <w:b/>
        <w:bCs/>
        <w:i w:val="0"/>
        <w:iCs w:val="0"/>
        <w:w w:val="100"/>
        <w:sz w:val="24"/>
        <w:szCs w:val="24"/>
      </w:rPr>
    </w:lvl>
    <w:lvl w:ilvl="1">
      <w:start w:val="0"/>
      <w:numFmt w:val="bullet"/>
      <w:lvlText w:val="•"/>
      <w:lvlJc w:val="left"/>
      <w:pPr>
        <w:ind w:left="300" w:hanging="240"/>
      </w:pPr>
      <w:rPr>
        <w:rFonts w:hint="default"/>
      </w:rPr>
    </w:lvl>
    <w:lvl w:ilvl="2">
      <w:start w:val="0"/>
      <w:numFmt w:val="bullet"/>
      <w:lvlText w:val="•"/>
      <w:lvlJc w:val="left"/>
      <w:pPr>
        <w:ind w:left="1406" w:hanging="240"/>
      </w:pPr>
      <w:rPr>
        <w:rFonts w:hint="default"/>
      </w:rPr>
    </w:lvl>
    <w:lvl w:ilvl="3">
      <w:start w:val="0"/>
      <w:numFmt w:val="bullet"/>
      <w:lvlText w:val="•"/>
      <w:lvlJc w:val="left"/>
      <w:pPr>
        <w:ind w:left="2513" w:hanging="240"/>
      </w:pPr>
      <w:rPr>
        <w:rFonts w:hint="default"/>
      </w:rPr>
    </w:lvl>
    <w:lvl w:ilvl="4">
      <w:start w:val="0"/>
      <w:numFmt w:val="bullet"/>
      <w:lvlText w:val="•"/>
      <w:lvlJc w:val="left"/>
      <w:pPr>
        <w:ind w:left="3620" w:hanging="240"/>
      </w:pPr>
      <w:rPr>
        <w:rFonts w:hint="default"/>
      </w:rPr>
    </w:lvl>
    <w:lvl w:ilvl="5">
      <w:start w:val="0"/>
      <w:numFmt w:val="bullet"/>
      <w:lvlText w:val="•"/>
      <w:lvlJc w:val="left"/>
      <w:pPr>
        <w:ind w:left="4726" w:hanging="240"/>
      </w:pPr>
      <w:rPr>
        <w:rFonts w:hint="default"/>
      </w:rPr>
    </w:lvl>
    <w:lvl w:ilvl="6">
      <w:start w:val="0"/>
      <w:numFmt w:val="bullet"/>
      <w:lvlText w:val="•"/>
      <w:lvlJc w:val="left"/>
      <w:pPr>
        <w:ind w:left="5833" w:hanging="240"/>
      </w:pPr>
      <w:rPr>
        <w:rFonts w:hint="default"/>
      </w:rPr>
    </w:lvl>
    <w:lvl w:ilvl="7">
      <w:start w:val="0"/>
      <w:numFmt w:val="bullet"/>
      <w:lvlText w:val="•"/>
      <w:lvlJc w:val="left"/>
      <w:pPr>
        <w:ind w:left="6940" w:hanging="240"/>
      </w:pPr>
      <w:rPr>
        <w:rFonts w:hint="default"/>
      </w:rPr>
    </w:lvl>
    <w:lvl w:ilvl="8">
      <w:start w:val="0"/>
      <w:numFmt w:val="bullet"/>
      <w:lvlText w:val="•"/>
      <w:lvlJc w:val="left"/>
      <w:pPr>
        <w:ind w:left="8046" w:hanging="240"/>
      </w:pPr>
      <w:rPr>
        <w:rFonts w:hint="default"/>
      </w:rPr>
    </w:lvl>
  </w:abstractNum>
  <w:abstractNum w:abstractNumId="2">
    <w:nsid w:val="0ABBD663"/>
    <w:multiLevelType w:val="hybridMultilevel"/>
    <w:tmpl w:val="CE24D52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DAA75FA"/>
    <w:multiLevelType w:val="hybridMultilevel"/>
    <w:tmpl w:val="8E1EBF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8F6814"/>
    <w:multiLevelType w:val="hybridMultilevel"/>
    <w:tmpl w:val="1660B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977891"/>
    <w:multiLevelType w:val="hybridMultilevel"/>
    <w:tmpl w:val="585646B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
    <w:nsid w:val="2C6B1DB3"/>
    <w:multiLevelType w:val="hybridMultilevel"/>
    <w:tmpl w:val="447E2B4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7E9153F"/>
    <w:multiLevelType w:val="multilevel"/>
    <w:tmpl w:val="7E0286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B304DDE"/>
    <w:multiLevelType w:val="hybridMultilevel"/>
    <w:tmpl w:val="E0F48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8A317E"/>
    <w:multiLevelType w:val="hybridMultilevel"/>
    <w:tmpl w:val="F8568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0165E5"/>
    <w:multiLevelType w:val="multilevel"/>
    <w:tmpl w:val="867E057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nsid w:val="44AF1F7A"/>
    <w:multiLevelType w:val="hybridMultilevel"/>
    <w:tmpl w:val="A34C2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4C623B8"/>
    <w:multiLevelType w:val="hybridMultilevel"/>
    <w:tmpl w:val="1B46A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CA496C"/>
    <w:multiLevelType w:val="hybridMultilevel"/>
    <w:tmpl w:val="0D44582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452E0EE"/>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89355ED"/>
    <w:multiLevelType w:val="hybridMultilevel"/>
    <w:tmpl w:val="37BA2A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420617D"/>
    <w:multiLevelType w:val="hybridMultilevel"/>
    <w:tmpl w:val="681EB1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CCA5A1D"/>
    <w:multiLevelType w:val="multilevel"/>
    <w:tmpl w:val="8A00C0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nsid w:val="7FC86EEC"/>
    <w:multiLevelType w:val="hybridMultilevel"/>
    <w:tmpl w:val="278EEA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0176616">
    <w:abstractNumId w:val="7"/>
  </w:num>
  <w:num w:numId="2" w16cid:durableId="1934388585">
    <w:abstractNumId w:val="1"/>
  </w:num>
  <w:num w:numId="3" w16cid:durableId="1180660535">
    <w:abstractNumId w:val="4"/>
  </w:num>
  <w:num w:numId="4" w16cid:durableId="839933507">
    <w:abstractNumId w:val="0"/>
  </w:num>
  <w:num w:numId="5" w16cid:durableId="186022012">
    <w:abstractNumId w:val="3"/>
  </w:num>
  <w:num w:numId="6" w16cid:durableId="342323013">
    <w:abstractNumId w:val="19"/>
  </w:num>
  <w:num w:numId="7" w16cid:durableId="1400906022">
    <w:abstractNumId w:val="8"/>
  </w:num>
  <w:num w:numId="8" w16cid:durableId="1094088081">
    <w:abstractNumId w:val="18"/>
  </w:num>
  <w:num w:numId="9" w16cid:durableId="1537501556">
    <w:abstractNumId w:val="11"/>
  </w:num>
  <w:num w:numId="10" w16cid:durableId="1873766507">
    <w:abstractNumId w:val="10"/>
  </w:num>
  <w:num w:numId="11" w16cid:durableId="622463670">
    <w:abstractNumId w:val="15"/>
  </w:num>
  <w:num w:numId="12" w16cid:durableId="1186748344">
    <w:abstractNumId w:val="2"/>
  </w:num>
  <w:num w:numId="13" w16cid:durableId="1240213645">
    <w:abstractNumId w:val="17"/>
  </w:num>
  <w:num w:numId="14" w16cid:durableId="1154294941">
    <w:abstractNumId w:val="14"/>
  </w:num>
  <w:num w:numId="15" w16cid:durableId="1032606101">
    <w:abstractNumId w:val="13"/>
  </w:num>
  <w:num w:numId="16" w16cid:durableId="715932606">
    <w:abstractNumId w:val="5"/>
  </w:num>
  <w:num w:numId="17" w16cid:durableId="2053260277">
    <w:abstractNumId w:val="9"/>
  </w:num>
  <w:num w:numId="18" w16cid:durableId="1662152255">
    <w:abstractNumId w:val="12"/>
  </w:num>
  <w:num w:numId="19" w16cid:durableId="1024211133">
    <w:abstractNumId w:val="6"/>
  </w:num>
  <w:num w:numId="20" w16cid:durableId="1226380360">
    <w:abstractNumId w:val="16"/>
  </w:num>
  <w:num w:numId="21" w16cid:durableId="16417646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15"/>
    <w:rsid w:val="0000423E"/>
    <w:rsid w:val="00004750"/>
    <w:rsid w:val="00004A20"/>
    <w:rsid w:val="00004B40"/>
    <w:rsid w:val="00006E54"/>
    <w:rsid w:val="00006EEE"/>
    <w:rsid w:val="00007FD2"/>
    <w:rsid w:val="00011505"/>
    <w:rsid w:val="00011C0E"/>
    <w:rsid w:val="00013C77"/>
    <w:rsid w:val="000143D6"/>
    <w:rsid w:val="00014D80"/>
    <w:rsid w:val="00017165"/>
    <w:rsid w:val="0002065A"/>
    <w:rsid w:val="000213BF"/>
    <w:rsid w:val="00022565"/>
    <w:rsid w:val="000234EC"/>
    <w:rsid w:val="00024519"/>
    <w:rsid w:val="000261D9"/>
    <w:rsid w:val="00026320"/>
    <w:rsid w:val="000266C2"/>
    <w:rsid w:val="00027AC6"/>
    <w:rsid w:val="0002DE2D"/>
    <w:rsid w:val="0003260D"/>
    <w:rsid w:val="00032D1C"/>
    <w:rsid w:val="000338DF"/>
    <w:rsid w:val="00035040"/>
    <w:rsid w:val="000364DF"/>
    <w:rsid w:val="000376BA"/>
    <w:rsid w:val="00042FE9"/>
    <w:rsid w:val="0004400F"/>
    <w:rsid w:val="00044337"/>
    <w:rsid w:val="00045978"/>
    <w:rsid w:val="000459B0"/>
    <w:rsid w:val="00046071"/>
    <w:rsid w:val="000506A7"/>
    <w:rsid w:val="00051960"/>
    <w:rsid w:val="0005677F"/>
    <w:rsid w:val="00057936"/>
    <w:rsid w:val="00057CC5"/>
    <w:rsid w:val="000600A9"/>
    <w:rsid w:val="00060448"/>
    <w:rsid w:val="00060D69"/>
    <w:rsid w:val="00061ED6"/>
    <w:rsid w:val="00061F17"/>
    <w:rsid w:val="00061FA7"/>
    <w:rsid w:val="00062915"/>
    <w:rsid w:val="000674B6"/>
    <w:rsid w:val="00070CC4"/>
    <w:rsid w:val="00071504"/>
    <w:rsid w:val="00071985"/>
    <w:rsid w:val="00071AB5"/>
    <w:rsid w:val="00072680"/>
    <w:rsid w:val="0007390F"/>
    <w:rsid w:val="00074033"/>
    <w:rsid w:val="0007468E"/>
    <w:rsid w:val="00075F31"/>
    <w:rsid w:val="00081EF8"/>
    <w:rsid w:val="00082B1D"/>
    <w:rsid w:val="00083486"/>
    <w:rsid w:val="00084F4F"/>
    <w:rsid w:val="000867C4"/>
    <w:rsid w:val="00086E56"/>
    <w:rsid w:val="0008771A"/>
    <w:rsid w:val="00091303"/>
    <w:rsid w:val="00092721"/>
    <w:rsid w:val="00092C5C"/>
    <w:rsid w:val="00093439"/>
    <w:rsid w:val="0009504F"/>
    <w:rsid w:val="000955BE"/>
    <w:rsid w:val="00096DA2"/>
    <w:rsid w:val="000A1485"/>
    <w:rsid w:val="000A14B5"/>
    <w:rsid w:val="000A2B49"/>
    <w:rsid w:val="000A341F"/>
    <w:rsid w:val="000A388B"/>
    <w:rsid w:val="000A402D"/>
    <w:rsid w:val="000A5CE2"/>
    <w:rsid w:val="000A5E0B"/>
    <w:rsid w:val="000A602D"/>
    <w:rsid w:val="000A663A"/>
    <w:rsid w:val="000A6C7A"/>
    <w:rsid w:val="000A6FF0"/>
    <w:rsid w:val="000A764C"/>
    <w:rsid w:val="000B20F5"/>
    <w:rsid w:val="000B3161"/>
    <w:rsid w:val="000B3223"/>
    <w:rsid w:val="000B377B"/>
    <w:rsid w:val="000B3D32"/>
    <w:rsid w:val="000B45E2"/>
    <w:rsid w:val="000B5B49"/>
    <w:rsid w:val="000B6BDC"/>
    <w:rsid w:val="000C033F"/>
    <w:rsid w:val="000C2C41"/>
    <w:rsid w:val="000C37F0"/>
    <w:rsid w:val="000C5331"/>
    <w:rsid w:val="000C6111"/>
    <w:rsid w:val="000D0E84"/>
    <w:rsid w:val="000D2657"/>
    <w:rsid w:val="000D2A5C"/>
    <w:rsid w:val="000D3567"/>
    <w:rsid w:val="000D40CF"/>
    <w:rsid w:val="000D4992"/>
    <w:rsid w:val="000D522C"/>
    <w:rsid w:val="000D5850"/>
    <w:rsid w:val="000D5BC2"/>
    <w:rsid w:val="000D633D"/>
    <w:rsid w:val="000D7CCE"/>
    <w:rsid w:val="000D7E1E"/>
    <w:rsid w:val="000E0CE0"/>
    <w:rsid w:val="000E0F8C"/>
    <w:rsid w:val="000E1DAE"/>
    <w:rsid w:val="000E2BCF"/>
    <w:rsid w:val="000E580B"/>
    <w:rsid w:val="000E6ACE"/>
    <w:rsid w:val="000E6AF0"/>
    <w:rsid w:val="000E790E"/>
    <w:rsid w:val="000E7FD4"/>
    <w:rsid w:val="000F02DE"/>
    <w:rsid w:val="000F144A"/>
    <w:rsid w:val="000F21E0"/>
    <w:rsid w:val="000F2361"/>
    <w:rsid w:val="000F2F61"/>
    <w:rsid w:val="000F326A"/>
    <w:rsid w:val="000F5D15"/>
    <w:rsid w:val="00100C85"/>
    <w:rsid w:val="00101C23"/>
    <w:rsid w:val="00102735"/>
    <w:rsid w:val="00102C67"/>
    <w:rsid w:val="00106560"/>
    <w:rsid w:val="00106F34"/>
    <w:rsid w:val="00111503"/>
    <w:rsid w:val="00112E0B"/>
    <w:rsid w:val="001146F5"/>
    <w:rsid w:val="00114AB2"/>
    <w:rsid w:val="00114E8E"/>
    <w:rsid w:val="00115EF1"/>
    <w:rsid w:val="00115FCC"/>
    <w:rsid w:val="00116165"/>
    <w:rsid w:val="00117022"/>
    <w:rsid w:val="0011753A"/>
    <w:rsid w:val="001207FC"/>
    <w:rsid w:val="00120E3A"/>
    <w:rsid w:val="00122263"/>
    <w:rsid w:val="00122398"/>
    <w:rsid w:val="0012298F"/>
    <w:rsid w:val="0012325E"/>
    <w:rsid w:val="0012492E"/>
    <w:rsid w:val="001256FA"/>
    <w:rsid w:val="00125D0A"/>
    <w:rsid w:val="00126D0F"/>
    <w:rsid w:val="00126F6C"/>
    <w:rsid w:val="001271EF"/>
    <w:rsid w:val="00132110"/>
    <w:rsid w:val="001330B3"/>
    <w:rsid w:val="00133D70"/>
    <w:rsid w:val="00134232"/>
    <w:rsid w:val="00136158"/>
    <w:rsid w:val="0013655C"/>
    <w:rsid w:val="00136C67"/>
    <w:rsid w:val="00137DD6"/>
    <w:rsid w:val="0014060C"/>
    <w:rsid w:val="0014070A"/>
    <w:rsid w:val="00140AB9"/>
    <w:rsid w:val="00141CC1"/>
    <w:rsid w:val="001426F9"/>
    <w:rsid w:val="0014282B"/>
    <w:rsid w:val="00144254"/>
    <w:rsid w:val="00145003"/>
    <w:rsid w:val="001502B0"/>
    <w:rsid w:val="0015231E"/>
    <w:rsid w:val="00152504"/>
    <w:rsid w:val="00153638"/>
    <w:rsid w:val="00153A57"/>
    <w:rsid w:val="001547F7"/>
    <w:rsid w:val="0015482A"/>
    <w:rsid w:val="00157326"/>
    <w:rsid w:val="00161B04"/>
    <w:rsid w:val="0016239F"/>
    <w:rsid w:val="00162A4A"/>
    <w:rsid w:val="00163984"/>
    <w:rsid w:val="00164128"/>
    <w:rsid w:val="00164EF0"/>
    <w:rsid w:val="001656BB"/>
    <w:rsid w:val="001672EA"/>
    <w:rsid w:val="0016760D"/>
    <w:rsid w:val="001716E9"/>
    <w:rsid w:val="00171C4D"/>
    <w:rsid w:val="00172D6D"/>
    <w:rsid w:val="00173A4F"/>
    <w:rsid w:val="00174026"/>
    <w:rsid w:val="00176319"/>
    <w:rsid w:val="00180AEB"/>
    <w:rsid w:val="00181C26"/>
    <w:rsid w:val="001826C1"/>
    <w:rsid w:val="00182EA9"/>
    <w:rsid w:val="00183646"/>
    <w:rsid w:val="0018542E"/>
    <w:rsid w:val="00186552"/>
    <w:rsid w:val="00187B01"/>
    <w:rsid w:val="001902B2"/>
    <w:rsid w:val="00192C39"/>
    <w:rsid w:val="00193C4D"/>
    <w:rsid w:val="00194480"/>
    <w:rsid w:val="00195BC4"/>
    <w:rsid w:val="0019709A"/>
    <w:rsid w:val="00197C09"/>
    <w:rsid w:val="001A01F7"/>
    <w:rsid w:val="001A184A"/>
    <w:rsid w:val="001A5554"/>
    <w:rsid w:val="001A5EDF"/>
    <w:rsid w:val="001A6150"/>
    <w:rsid w:val="001A6FDA"/>
    <w:rsid w:val="001B0234"/>
    <w:rsid w:val="001B161B"/>
    <w:rsid w:val="001B37F5"/>
    <w:rsid w:val="001B4337"/>
    <w:rsid w:val="001B43C4"/>
    <w:rsid w:val="001B4B90"/>
    <w:rsid w:val="001B70AC"/>
    <w:rsid w:val="001B7359"/>
    <w:rsid w:val="001C0163"/>
    <w:rsid w:val="001C070E"/>
    <w:rsid w:val="001C134D"/>
    <w:rsid w:val="001C1EDE"/>
    <w:rsid w:val="001C232F"/>
    <w:rsid w:val="001C3461"/>
    <w:rsid w:val="001C482D"/>
    <w:rsid w:val="001C5370"/>
    <w:rsid w:val="001C5837"/>
    <w:rsid w:val="001C5DDB"/>
    <w:rsid w:val="001C5E38"/>
    <w:rsid w:val="001C691B"/>
    <w:rsid w:val="001C77E2"/>
    <w:rsid w:val="001D063E"/>
    <w:rsid w:val="001D1CC2"/>
    <w:rsid w:val="001D7752"/>
    <w:rsid w:val="001E0033"/>
    <w:rsid w:val="001E0C56"/>
    <w:rsid w:val="001E2233"/>
    <w:rsid w:val="001E5090"/>
    <w:rsid w:val="001E577E"/>
    <w:rsid w:val="001E63AB"/>
    <w:rsid w:val="001E665E"/>
    <w:rsid w:val="001F1660"/>
    <w:rsid w:val="001F1B30"/>
    <w:rsid w:val="001F2BBE"/>
    <w:rsid w:val="001F2F13"/>
    <w:rsid w:val="001F51A1"/>
    <w:rsid w:val="001F6415"/>
    <w:rsid w:val="001F7134"/>
    <w:rsid w:val="001F77F0"/>
    <w:rsid w:val="001F793B"/>
    <w:rsid w:val="00200F7C"/>
    <w:rsid w:val="00202342"/>
    <w:rsid w:val="00202B1F"/>
    <w:rsid w:val="002035E9"/>
    <w:rsid w:val="0020364E"/>
    <w:rsid w:val="002043FF"/>
    <w:rsid w:val="00204E72"/>
    <w:rsid w:val="00204F87"/>
    <w:rsid w:val="002050DD"/>
    <w:rsid w:val="002056A2"/>
    <w:rsid w:val="00211D33"/>
    <w:rsid w:val="002129B2"/>
    <w:rsid w:val="00212A2E"/>
    <w:rsid w:val="00213215"/>
    <w:rsid w:val="00213F2E"/>
    <w:rsid w:val="00213FBE"/>
    <w:rsid w:val="002153F0"/>
    <w:rsid w:val="002168D8"/>
    <w:rsid w:val="0021745C"/>
    <w:rsid w:val="00220199"/>
    <w:rsid w:val="00221E34"/>
    <w:rsid w:val="0022321A"/>
    <w:rsid w:val="002235C0"/>
    <w:rsid w:val="00223DAA"/>
    <w:rsid w:val="002255AD"/>
    <w:rsid w:val="0022682C"/>
    <w:rsid w:val="00226C20"/>
    <w:rsid w:val="002317B1"/>
    <w:rsid w:val="002336C0"/>
    <w:rsid w:val="00234338"/>
    <w:rsid w:val="00234F6B"/>
    <w:rsid w:val="00235CC3"/>
    <w:rsid w:val="0023671C"/>
    <w:rsid w:val="00236FD8"/>
    <w:rsid w:val="00241294"/>
    <w:rsid w:val="00242436"/>
    <w:rsid w:val="002437C8"/>
    <w:rsid w:val="00243F7D"/>
    <w:rsid w:val="0024437F"/>
    <w:rsid w:val="0024505C"/>
    <w:rsid w:val="00253BBD"/>
    <w:rsid w:val="00254681"/>
    <w:rsid w:val="002567E4"/>
    <w:rsid w:val="00256D3B"/>
    <w:rsid w:val="002578D8"/>
    <w:rsid w:val="00260330"/>
    <w:rsid w:val="00260447"/>
    <w:rsid w:val="00260E1B"/>
    <w:rsid w:val="00262AFC"/>
    <w:rsid w:val="0026472A"/>
    <w:rsid w:val="002662A4"/>
    <w:rsid w:val="002662C8"/>
    <w:rsid w:val="002703A7"/>
    <w:rsid w:val="00271756"/>
    <w:rsid w:val="00271F8C"/>
    <w:rsid w:val="00272591"/>
    <w:rsid w:val="00273726"/>
    <w:rsid w:val="00273DFB"/>
    <w:rsid w:val="00276132"/>
    <w:rsid w:val="00276772"/>
    <w:rsid w:val="0027691A"/>
    <w:rsid w:val="002805F4"/>
    <w:rsid w:val="00286D6C"/>
    <w:rsid w:val="00286F85"/>
    <w:rsid w:val="002911C6"/>
    <w:rsid w:val="002922CA"/>
    <w:rsid w:val="00294ED2"/>
    <w:rsid w:val="0029547F"/>
    <w:rsid w:val="0029548C"/>
    <w:rsid w:val="00295750"/>
    <w:rsid w:val="00295DCD"/>
    <w:rsid w:val="00297707"/>
    <w:rsid w:val="002977F3"/>
    <w:rsid w:val="002A0A19"/>
    <w:rsid w:val="002A0E85"/>
    <w:rsid w:val="002A2A4D"/>
    <w:rsid w:val="002A2E3B"/>
    <w:rsid w:val="002A3411"/>
    <w:rsid w:val="002A61A4"/>
    <w:rsid w:val="002B174D"/>
    <w:rsid w:val="002B2CD8"/>
    <w:rsid w:val="002B3C65"/>
    <w:rsid w:val="002B3DA4"/>
    <w:rsid w:val="002B4D83"/>
    <w:rsid w:val="002B5A2C"/>
    <w:rsid w:val="002B5F55"/>
    <w:rsid w:val="002B6A8A"/>
    <w:rsid w:val="002B6EB5"/>
    <w:rsid w:val="002B7AAB"/>
    <w:rsid w:val="002B9EF2"/>
    <w:rsid w:val="002C0840"/>
    <w:rsid w:val="002C086C"/>
    <w:rsid w:val="002C1DB3"/>
    <w:rsid w:val="002C6AE6"/>
    <w:rsid w:val="002C7EBA"/>
    <w:rsid w:val="002D0BD6"/>
    <w:rsid w:val="002D0CC5"/>
    <w:rsid w:val="002D12C2"/>
    <w:rsid w:val="002D3762"/>
    <w:rsid w:val="002D5640"/>
    <w:rsid w:val="002D6F41"/>
    <w:rsid w:val="002E14A0"/>
    <w:rsid w:val="002E2CEA"/>
    <w:rsid w:val="002E38F4"/>
    <w:rsid w:val="002E3DBC"/>
    <w:rsid w:val="002E4372"/>
    <w:rsid w:val="002E499B"/>
    <w:rsid w:val="002E6079"/>
    <w:rsid w:val="002E713E"/>
    <w:rsid w:val="002E7561"/>
    <w:rsid w:val="002F0422"/>
    <w:rsid w:val="002F14D8"/>
    <w:rsid w:val="002F299D"/>
    <w:rsid w:val="002F2F10"/>
    <w:rsid w:val="002F405A"/>
    <w:rsid w:val="002F6D0F"/>
    <w:rsid w:val="002F71AB"/>
    <w:rsid w:val="002F7704"/>
    <w:rsid w:val="00301AA7"/>
    <w:rsid w:val="00302877"/>
    <w:rsid w:val="003044FE"/>
    <w:rsid w:val="00304F12"/>
    <w:rsid w:val="0030642A"/>
    <w:rsid w:val="00307C91"/>
    <w:rsid w:val="0031144E"/>
    <w:rsid w:val="003117CA"/>
    <w:rsid w:val="0031486D"/>
    <w:rsid w:val="00316CD2"/>
    <w:rsid w:val="00320746"/>
    <w:rsid w:val="0032183E"/>
    <w:rsid w:val="00323721"/>
    <w:rsid w:val="0032391B"/>
    <w:rsid w:val="00324832"/>
    <w:rsid w:val="00325E05"/>
    <w:rsid w:val="00326233"/>
    <w:rsid w:val="00330022"/>
    <w:rsid w:val="003315E7"/>
    <w:rsid w:val="00331F75"/>
    <w:rsid w:val="00333654"/>
    <w:rsid w:val="00334837"/>
    <w:rsid w:val="00335EDB"/>
    <w:rsid w:val="0033708F"/>
    <w:rsid w:val="003404C4"/>
    <w:rsid w:val="00340D85"/>
    <w:rsid w:val="0034178C"/>
    <w:rsid w:val="00343B4C"/>
    <w:rsid w:val="003442E5"/>
    <w:rsid w:val="003445C9"/>
    <w:rsid w:val="003451BF"/>
    <w:rsid w:val="0034553B"/>
    <w:rsid w:val="00345794"/>
    <w:rsid w:val="003511F5"/>
    <w:rsid w:val="00351DCA"/>
    <w:rsid w:val="00352C08"/>
    <w:rsid w:val="0035367A"/>
    <w:rsid w:val="00354E52"/>
    <w:rsid w:val="00355232"/>
    <w:rsid w:val="00356883"/>
    <w:rsid w:val="00357B85"/>
    <w:rsid w:val="003619BB"/>
    <w:rsid w:val="0036387E"/>
    <w:rsid w:val="00364292"/>
    <w:rsid w:val="003664E9"/>
    <w:rsid w:val="003668B2"/>
    <w:rsid w:val="00370071"/>
    <w:rsid w:val="003706CE"/>
    <w:rsid w:val="003709BE"/>
    <w:rsid w:val="00371858"/>
    <w:rsid w:val="00373C00"/>
    <w:rsid w:val="003749C3"/>
    <w:rsid w:val="003764C1"/>
    <w:rsid w:val="003777D6"/>
    <w:rsid w:val="00383B5B"/>
    <w:rsid w:val="00386B00"/>
    <w:rsid w:val="003908E5"/>
    <w:rsid w:val="003917D1"/>
    <w:rsid w:val="00392871"/>
    <w:rsid w:val="003973DD"/>
    <w:rsid w:val="003A08BE"/>
    <w:rsid w:val="003A272A"/>
    <w:rsid w:val="003A2AD3"/>
    <w:rsid w:val="003A2F0A"/>
    <w:rsid w:val="003A4E7E"/>
    <w:rsid w:val="003A74E5"/>
    <w:rsid w:val="003B0754"/>
    <w:rsid w:val="003B09B1"/>
    <w:rsid w:val="003B37C9"/>
    <w:rsid w:val="003B539D"/>
    <w:rsid w:val="003B69BC"/>
    <w:rsid w:val="003C0E28"/>
    <w:rsid w:val="003C1B08"/>
    <w:rsid w:val="003C2E4A"/>
    <w:rsid w:val="003C3D44"/>
    <w:rsid w:val="003C5EA4"/>
    <w:rsid w:val="003D0A9E"/>
    <w:rsid w:val="003D3092"/>
    <w:rsid w:val="003D3731"/>
    <w:rsid w:val="003D5126"/>
    <w:rsid w:val="003D585C"/>
    <w:rsid w:val="003D7432"/>
    <w:rsid w:val="003E1BEC"/>
    <w:rsid w:val="003E286F"/>
    <w:rsid w:val="003E2E50"/>
    <w:rsid w:val="003E3B33"/>
    <w:rsid w:val="003E786B"/>
    <w:rsid w:val="003F170C"/>
    <w:rsid w:val="003F192E"/>
    <w:rsid w:val="003F2A5D"/>
    <w:rsid w:val="003F2DF2"/>
    <w:rsid w:val="003F4337"/>
    <w:rsid w:val="003F47D3"/>
    <w:rsid w:val="003F55CC"/>
    <w:rsid w:val="003F6CFB"/>
    <w:rsid w:val="003F7B65"/>
    <w:rsid w:val="00400091"/>
    <w:rsid w:val="004005A4"/>
    <w:rsid w:val="004012AE"/>
    <w:rsid w:val="00401964"/>
    <w:rsid w:val="00401AF0"/>
    <w:rsid w:val="00402303"/>
    <w:rsid w:val="00403219"/>
    <w:rsid w:val="0040425C"/>
    <w:rsid w:val="0040536A"/>
    <w:rsid w:val="004056D0"/>
    <w:rsid w:val="004057F6"/>
    <w:rsid w:val="00406AE4"/>
    <w:rsid w:val="00407A68"/>
    <w:rsid w:val="00411D10"/>
    <w:rsid w:val="004121C0"/>
    <w:rsid w:val="004152CC"/>
    <w:rsid w:val="004220EE"/>
    <w:rsid w:val="004239D0"/>
    <w:rsid w:val="004243BE"/>
    <w:rsid w:val="004247DB"/>
    <w:rsid w:val="00426481"/>
    <w:rsid w:val="00426485"/>
    <w:rsid w:val="00430412"/>
    <w:rsid w:val="004319DA"/>
    <w:rsid w:val="00431DA9"/>
    <w:rsid w:val="004332F6"/>
    <w:rsid w:val="00433DA7"/>
    <w:rsid w:val="00434D05"/>
    <w:rsid w:val="004362E6"/>
    <w:rsid w:val="00436EEE"/>
    <w:rsid w:val="00437D0A"/>
    <w:rsid w:val="00440A3E"/>
    <w:rsid w:val="0044327B"/>
    <w:rsid w:val="00443EFD"/>
    <w:rsid w:val="004445B5"/>
    <w:rsid w:val="00445AE7"/>
    <w:rsid w:val="00446850"/>
    <w:rsid w:val="00450BED"/>
    <w:rsid w:val="00450C87"/>
    <w:rsid w:val="00452B7D"/>
    <w:rsid w:val="004530C4"/>
    <w:rsid w:val="00457D9C"/>
    <w:rsid w:val="00460C0E"/>
    <w:rsid w:val="00461206"/>
    <w:rsid w:val="004640E9"/>
    <w:rsid w:val="00464955"/>
    <w:rsid w:val="00471EFA"/>
    <w:rsid w:val="00474CDE"/>
    <w:rsid w:val="00476454"/>
    <w:rsid w:val="0047681C"/>
    <w:rsid w:val="00476DE1"/>
    <w:rsid w:val="00477EC8"/>
    <w:rsid w:val="00480D55"/>
    <w:rsid w:val="00481372"/>
    <w:rsid w:val="00482A29"/>
    <w:rsid w:val="004838A6"/>
    <w:rsid w:val="00483D8C"/>
    <w:rsid w:val="00485043"/>
    <w:rsid w:val="00485A01"/>
    <w:rsid w:val="004862A4"/>
    <w:rsid w:val="00486A0F"/>
    <w:rsid w:val="00486C98"/>
    <w:rsid w:val="00487546"/>
    <w:rsid w:val="004914F8"/>
    <w:rsid w:val="00492116"/>
    <w:rsid w:val="00493F22"/>
    <w:rsid w:val="004972AA"/>
    <w:rsid w:val="00497A84"/>
    <w:rsid w:val="00497FA8"/>
    <w:rsid w:val="004A110B"/>
    <w:rsid w:val="004A239D"/>
    <w:rsid w:val="004A2E15"/>
    <w:rsid w:val="004A473A"/>
    <w:rsid w:val="004A4FE6"/>
    <w:rsid w:val="004A5167"/>
    <w:rsid w:val="004A5383"/>
    <w:rsid w:val="004A556A"/>
    <w:rsid w:val="004A6042"/>
    <w:rsid w:val="004A6643"/>
    <w:rsid w:val="004A674D"/>
    <w:rsid w:val="004A6A05"/>
    <w:rsid w:val="004A739B"/>
    <w:rsid w:val="004B1A62"/>
    <w:rsid w:val="004B26A0"/>
    <w:rsid w:val="004B4086"/>
    <w:rsid w:val="004B4317"/>
    <w:rsid w:val="004B7887"/>
    <w:rsid w:val="004C02A6"/>
    <w:rsid w:val="004C157E"/>
    <w:rsid w:val="004C1D2A"/>
    <w:rsid w:val="004C249D"/>
    <w:rsid w:val="004C3387"/>
    <w:rsid w:val="004C57A8"/>
    <w:rsid w:val="004C78B0"/>
    <w:rsid w:val="004D1B51"/>
    <w:rsid w:val="004D2802"/>
    <w:rsid w:val="004D2846"/>
    <w:rsid w:val="004D5744"/>
    <w:rsid w:val="004D5747"/>
    <w:rsid w:val="004D7302"/>
    <w:rsid w:val="004E15BE"/>
    <w:rsid w:val="004E1F1E"/>
    <w:rsid w:val="004E24EE"/>
    <w:rsid w:val="004E3229"/>
    <w:rsid w:val="004E33B3"/>
    <w:rsid w:val="004E35E2"/>
    <w:rsid w:val="004E46B0"/>
    <w:rsid w:val="004E4878"/>
    <w:rsid w:val="004E5B7C"/>
    <w:rsid w:val="004E765A"/>
    <w:rsid w:val="004E7E91"/>
    <w:rsid w:val="004F0242"/>
    <w:rsid w:val="004F18E0"/>
    <w:rsid w:val="004F3AE2"/>
    <w:rsid w:val="004F5325"/>
    <w:rsid w:val="004F7929"/>
    <w:rsid w:val="005010D3"/>
    <w:rsid w:val="00502E7B"/>
    <w:rsid w:val="00504166"/>
    <w:rsid w:val="005057E7"/>
    <w:rsid w:val="00511605"/>
    <w:rsid w:val="0051207A"/>
    <w:rsid w:val="005135C7"/>
    <w:rsid w:val="00513FBD"/>
    <w:rsid w:val="00514880"/>
    <w:rsid w:val="0051666B"/>
    <w:rsid w:val="00516ED1"/>
    <w:rsid w:val="0052311F"/>
    <w:rsid w:val="00523CFF"/>
    <w:rsid w:val="0052473E"/>
    <w:rsid w:val="00525C21"/>
    <w:rsid w:val="00527FFA"/>
    <w:rsid w:val="00531654"/>
    <w:rsid w:val="005336CD"/>
    <w:rsid w:val="00534672"/>
    <w:rsid w:val="00534F7E"/>
    <w:rsid w:val="00536032"/>
    <w:rsid w:val="0053656C"/>
    <w:rsid w:val="00536D46"/>
    <w:rsid w:val="00537BA1"/>
    <w:rsid w:val="00541A61"/>
    <w:rsid w:val="00541D25"/>
    <w:rsid w:val="00543A94"/>
    <w:rsid w:val="005443C1"/>
    <w:rsid w:val="00545889"/>
    <w:rsid w:val="005462EF"/>
    <w:rsid w:val="00546915"/>
    <w:rsid w:val="00546AD3"/>
    <w:rsid w:val="00546CDC"/>
    <w:rsid w:val="00547CE0"/>
    <w:rsid w:val="00547EE2"/>
    <w:rsid w:val="005501AD"/>
    <w:rsid w:val="00551FC1"/>
    <w:rsid w:val="00552ECC"/>
    <w:rsid w:val="00554185"/>
    <w:rsid w:val="00554FB8"/>
    <w:rsid w:val="00557AAE"/>
    <w:rsid w:val="0056023D"/>
    <w:rsid w:val="00562554"/>
    <w:rsid w:val="00562686"/>
    <w:rsid w:val="00564C95"/>
    <w:rsid w:val="00565760"/>
    <w:rsid w:val="00565BD4"/>
    <w:rsid w:val="00566473"/>
    <w:rsid w:val="00566E4E"/>
    <w:rsid w:val="005716C8"/>
    <w:rsid w:val="00571BBE"/>
    <w:rsid w:val="005720DD"/>
    <w:rsid w:val="00572EFC"/>
    <w:rsid w:val="0057348B"/>
    <w:rsid w:val="00573AAD"/>
    <w:rsid w:val="00574380"/>
    <w:rsid w:val="00574B53"/>
    <w:rsid w:val="0057637C"/>
    <w:rsid w:val="00580010"/>
    <w:rsid w:val="00580B81"/>
    <w:rsid w:val="005837EB"/>
    <w:rsid w:val="00584110"/>
    <w:rsid w:val="00585485"/>
    <w:rsid w:val="005862EA"/>
    <w:rsid w:val="0058719B"/>
    <w:rsid w:val="00591535"/>
    <w:rsid w:val="00591D59"/>
    <w:rsid w:val="00591EF1"/>
    <w:rsid w:val="00592673"/>
    <w:rsid w:val="0059372C"/>
    <w:rsid w:val="00594856"/>
    <w:rsid w:val="00594CB4"/>
    <w:rsid w:val="005A0FB5"/>
    <w:rsid w:val="005A24A7"/>
    <w:rsid w:val="005A29A8"/>
    <w:rsid w:val="005A3BD0"/>
    <w:rsid w:val="005A426E"/>
    <w:rsid w:val="005A496E"/>
    <w:rsid w:val="005A538A"/>
    <w:rsid w:val="005A596C"/>
    <w:rsid w:val="005A6A60"/>
    <w:rsid w:val="005B0335"/>
    <w:rsid w:val="005B1B9A"/>
    <w:rsid w:val="005B2641"/>
    <w:rsid w:val="005B39FE"/>
    <w:rsid w:val="005B4B7E"/>
    <w:rsid w:val="005B5009"/>
    <w:rsid w:val="005B5117"/>
    <w:rsid w:val="005B51F9"/>
    <w:rsid w:val="005B6C2B"/>
    <w:rsid w:val="005B73A3"/>
    <w:rsid w:val="005B7816"/>
    <w:rsid w:val="005C53F1"/>
    <w:rsid w:val="005C5C1A"/>
    <w:rsid w:val="005C5EFE"/>
    <w:rsid w:val="005C76D1"/>
    <w:rsid w:val="005C7EA7"/>
    <w:rsid w:val="005D127F"/>
    <w:rsid w:val="005D3543"/>
    <w:rsid w:val="005D413C"/>
    <w:rsid w:val="005D659A"/>
    <w:rsid w:val="005E01F2"/>
    <w:rsid w:val="005E02BC"/>
    <w:rsid w:val="005E31A0"/>
    <w:rsid w:val="005E438A"/>
    <w:rsid w:val="005E46B9"/>
    <w:rsid w:val="005E60C1"/>
    <w:rsid w:val="005E6134"/>
    <w:rsid w:val="005E6C4D"/>
    <w:rsid w:val="005F05C2"/>
    <w:rsid w:val="005F10F1"/>
    <w:rsid w:val="005F1BFC"/>
    <w:rsid w:val="005F26A8"/>
    <w:rsid w:val="005F53B9"/>
    <w:rsid w:val="005F688A"/>
    <w:rsid w:val="005F7D28"/>
    <w:rsid w:val="00600C2C"/>
    <w:rsid w:val="0060487B"/>
    <w:rsid w:val="00605E60"/>
    <w:rsid w:val="00606B0C"/>
    <w:rsid w:val="00606E97"/>
    <w:rsid w:val="0060755A"/>
    <w:rsid w:val="0061044E"/>
    <w:rsid w:val="00611135"/>
    <w:rsid w:val="006147BE"/>
    <w:rsid w:val="00617831"/>
    <w:rsid w:val="00622709"/>
    <w:rsid w:val="00625948"/>
    <w:rsid w:val="00626428"/>
    <w:rsid w:val="00626A36"/>
    <w:rsid w:val="00626D8F"/>
    <w:rsid w:val="006344F3"/>
    <w:rsid w:val="00634AB7"/>
    <w:rsid w:val="00634F6A"/>
    <w:rsid w:val="00640B03"/>
    <w:rsid w:val="0064192C"/>
    <w:rsid w:val="006438D7"/>
    <w:rsid w:val="00643A42"/>
    <w:rsid w:val="00643AA3"/>
    <w:rsid w:val="00645803"/>
    <w:rsid w:val="0064591B"/>
    <w:rsid w:val="00645F00"/>
    <w:rsid w:val="0064761F"/>
    <w:rsid w:val="0064791B"/>
    <w:rsid w:val="00650354"/>
    <w:rsid w:val="00650A6A"/>
    <w:rsid w:val="00656D4E"/>
    <w:rsid w:val="006574EC"/>
    <w:rsid w:val="006578C6"/>
    <w:rsid w:val="0066094D"/>
    <w:rsid w:val="006611F0"/>
    <w:rsid w:val="00661F27"/>
    <w:rsid w:val="0066341B"/>
    <w:rsid w:val="0066373E"/>
    <w:rsid w:val="00664EC7"/>
    <w:rsid w:val="00665939"/>
    <w:rsid w:val="00667E5B"/>
    <w:rsid w:val="0067047C"/>
    <w:rsid w:val="006705FF"/>
    <w:rsid w:val="0067101E"/>
    <w:rsid w:val="00671907"/>
    <w:rsid w:val="00672258"/>
    <w:rsid w:val="00672634"/>
    <w:rsid w:val="00672873"/>
    <w:rsid w:val="00673B1A"/>
    <w:rsid w:val="006767A9"/>
    <w:rsid w:val="006768B2"/>
    <w:rsid w:val="006768DA"/>
    <w:rsid w:val="00682A11"/>
    <w:rsid w:val="00682BD4"/>
    <w:rsid w:val="00683351"/>
    <w:rsid w:val="006833C5"/>
    <w:rsid w:val="00683783"/>
    <w:rsid w:val="00683AF0"/>
    <w:rsid w:val="00685EA8"/>
    <w:rsid w:val="006900B4"/>
    <w:rsid w:val="006914DB"/>
    <w:rsid w:val="00692D0A"/>
    <w:rsid w:val="00693D96"/>
    <w:rsid w:val="006963D5"/>
    <w:rsid w:val="0069757A"/>
    <w:rsid w:val="006A00CB"/>
    <w:rsid w:val="006A0239"/>
    <w:rsid w:val="006A17A3"/>
    <w:rsid w:val="006A2517"/>
    <w:rsid w:val="006A53C6"/>
    <w:rsid w:val="006A7F8D"/>
    <w:rsid w:val="006B2D0F"/>
    <w:rsid w:val="006B3431"/>
    <w:rsid w:val="006B5FE2"/>
    <w:rsid w:val="006B6B9C"/>
    <w:rsid w:val="006B6DAB"/>
    <w:rsid w:val="006B7411"/>
    <w:rsid w:val="006C03E2"/>
    <w:rsid w:val="006C06B0"/>
    <w:rsid w:val="006C5627"/>
    <w:rsid w:val="006C64C2"/>
    <w:rsid w:val="006C7B56"/>
    <w:rsid w:val="006D1302"/>
    <w:rsid w:val="006D1DB2"/>
    <w:rsid w:val="006D3597"/>
    <w:rsid w:val="006E0159"/>
    <w:rsid w:val="006E028F"/>
    <w:rsid w:val="006E093D"/>
    <w:rsid w:val="006E0A25"/>
    <w:rsid w:val="006E115C"/>
    <w:rsid w:val="006E13CD"/>
    <w:rsid w:val="006E21F4"/>
    <w:rsid w:val="006E5B5B"/>
    <w:rsid w:val="006F0AED"/>
    <w:rsid w:val="006F12CE"/>
    <w:rsid w:val="006F1BFB"/>
    <w:rsid w:val="006F334C"/>
    <w:rsid w:val="006F3872"/>
    <w:rsid w:val="006F3E86"/>
    <w:rsid w:val="006F5312"/>
    <w:rsid w:val="006F577A"/>
    <w:rsid w:val="006F5EB1"/>
    <w:rsid w:val="006F676C"/>
    <w:rsid w:val="006F680C"/>
    <w:rsid w:val="006F6D7B"/>
    <w:rsid w:val="007002EC"/>
    <w:rsid w:val="007007D5"/>
    <w:rsid w:val="007021E1"/>
    <w:rsid w:val="00703635"/>
    <w:rsid w:val="00704797"/>
    <w:rsid w:val="00705C0C"/>
    <w:rsid w:val="00706618"/>
    <w:rsid w:val="007072CD"/>
    <w:rsid w:val="00707620"/>
    <w:rsid w:val="00710174"/>
    <w:rsid w:val="00710735"/>
    <w:rsid w:val="00710824"/>
    <w:rsid w:val="007136EA"/>
    <w:rsid w:val="007148ED"/>
    <w:rsid w:val="00715F62"/>
    <w:rsid w:val="00717EFA"/>
    <w:rsid w:val="00722D29"/>
    <w:rsid w:val="007234F4"/>
    <w:rsid w:val="00724F48"/>
    <w:rsid w:val="00726993"/>
    <w:rsid w:val="00726D27"/>
    <w:rsid w:val="00733890"/>
    <w:rsid w:val="00733E2D"/>
    <w:rsid w:val="0073519F"/>
    <w:rsid w:val="007354FD"/>
    <w:rsid w:val="00735D80"/>
    <w:rsid w:val="00735DCC"/>
    <w:rsid w:val="0073D646"/>
    <w:rsid w:val="00740093"/>
    <w:rsid w:val="00740815"/>
    <w:rsid w:val="00740FA0"/>
    <w:rsid w:val="007413D9"/>
    <w:rsid w:val="007446A0"/>
    <w:rsid w:val="00745409"/>
    <w:rsid w:val="007476E7"/>
    <w:rsid w:val="007500D8"/>
    <w:rsid w:val="00752739"/>
    <w:rsid w:val="0075400D"/>
    <w:rsid w:val="00755FB9"/>
    <w:rsid w:val="00761614"/>
    <w:rsid w:val="007629A9"/>
    <w:rsid w:val="007646D9"/>
    <w:rsid w:val="007654AC"/>
    <w:rsid w:val="00770DFB"/>
    <w:rsid w:val="00772EEA"/>
    <w:rsid w:val="00774D00"/>
    <w:rsid w:val="007754B4"/>
    <w:rsid w:val="00775F08"/>
    <w:rsid w:val="007760F0"/>
    <w:rsid w:val="00776399"/>
    <w:rsid w:val="007768B5"/>
    <w:rsid w:val="00776AA9"/>
    <w:rsid w:val="00776E9C"/>
    <w:rsid w:val="007772FE"/>
    <w:rsid w:val="00780413"/>
    <w:rsid w:val="007804D1"/>
    <w:rsid w:val="007811F7"/>
    <w:rsid w:val="00782A51"/>
    <w:rsid w:val="0078300A"/>
    <w:rsid w:val="00783997"/>
    <w:rsid w:val="007839AC"/>
    <w:rsid w:val="00784035"/>
    <w:rsid w:val="00785F3F"/>
    <w:rsid w:val="00786F83"/>
    <w:rsid w:val="00790072"/>
    <w:rsid w:val="00790368"/>
    <w:rsid w:val="00790EA5"/>
    <w:rsid w:val="0079290E"/>
    <w:rsid w:val="00795AA6"/>
    <w:rsid w:val="00797F7F"/>
    <w:rsid w:val="007A1592"/>
    <w:rsid w:val="007A2BC7"/>
    <w:rsid w:val="007A2E77"/>
    <w:rsid w:val="007A4EC7"/>
    <w:rsid w:val="007A7E4C"/>
    <w:rsid w:val="007B00E0"/>
    <w:rsid w:val="007B167C"/>
    <w:rsid w:val="007B31D8"/>
    <w:rsid w:val="007B3D27"/>
    <w:rsid w:val="007B4358"/>
    <w:rsid w:val="007B5559"/>
    <w:rsid w:val="007B5FAB"/>
    <w:rsid w:val="007B6D8D"/>
    <w:rsid w:val="007B6EC8"/>
    <w:rsid w:val="007B73DC"/>
    <w:rsid w:val="007B7AC8"/>
    <w:rsid w:val="007C049D"/>
    <w:rsid w:val="007C0743"/>
    <w:rsid w:val="007C18B2"/>
    <w:rsid w:val="007C1E79"/>
    <w:rsid w:val="007C21B0"/>
    <w:rsid w:val="007C43DB"/>
    <w:rsid w:val="007C5E40"/>
    <w:rsid w:val="007C6060"/>
    <w:rsid w:val="007C66EC"/>
    <w:rsid w:val="007C7457"/>
    <w:rsid w:val="007D0849"/>
    <w:rsid w:val="007D1508"/>
    <w:rsid w:val="007D24AF"/>
    <w:rsid w:val="007D2EA6"/>
    <w:rsid w:val="007D38D1"/>
    <w:rsid w:val="007D5D41"/>
    <w:rsid w:val="007D6AFE"/>
    <w:rsid w:val="007E2891"/>
    <w:rsid w:val="007E363F"/>
    <w:rsid w:val="007E390D"/>
    <w:rsid w:val="007E40A6"/>
    <w:rsid w:val="007E45BB"/>
    <w:rsid w:val="007E48A1"/>
    <w:rsid w:val="007E5B21"/>
    <w:rsid w:val="007F3034"/>
    <w:rsid w:val="007F3313"/>
    <w:rsid w:val="007F40F1"/>
    <w:rsid w:val="007F5C77"/>
    <w:rsid w:val="007F6706"/>
    <w:rsid w:val="007F71B7"/>
    <w:rsid w:val="007F7839"/>
    <w:rsid w:val="007F79B3"/>
    <w:rsid w:val="00803B92"/>
    <w:rsid w:val="008051A0"/>
    <w:rsid w:val="0080539B"/>
    <w:rsid w:val="0080604D"/>
    <w:rsid w:val="00806CD3"/>
    <w:rsid w:val="00806F7D"/>
    <w:rsid w:val="008104F2"/>
    <w:rsid w:val="00810EBD"/>
    <w:rsid w:val="00813B5F"/>
    <w:rsid w:val="0081467C"/>
    <w:rsid w:val="008149A0"/>
    <w:rsid w:val="00816402"/>
    <w:rsid w:val="00817F8C"/>
    <w:rsid w:val="00820508"/>
    <w:rsid w:val="0082235D"/>
    <w:rsid w:val="00822A10"/>
    <w:rsid w:val="00822B47"/>
    <w:rsid w:val="0082388D"/>
    <w:rsid w:val="00824325"/>
    <w:rsid w:val="0082438F"/>
    <w:rsid w:val="0082494B"/>
    <w:rsid w:val="0082595E"/>
    <w:rsid w:val="0083094C"/>
    <w:rsid w:val="008311BB"/>
    <w:rsid w:val="00831A07"/>
    <w:rsid w:val="00835108"/>
    <w:rsid w:val="008358EB"/>
    <w:rsid w:val="0083695D"/>
    <w:rsid w:val="0083699B"/>
    <w:rsid w:val="008372DC"/>
    <w:rsid w:val="008373B4"/>
    <w:rsid w:val="00837F54"/>
    <w:rsid w:val="00841D7F"/>
    <w:rsid w:val="0084298D"/>
    <w:rsid w:val="00843D09"/>
    <w:rsid w:val="008443E7"/>
    <w:rsid w:val="00844E4D"/>
    <w:rsid w:val="00844F20"/>
    <w:rsid w:val="00845091"/>
    <w:rsid w:val="008467F5"/>
    <w:rsid w:val="008507BC"/>
    <w:rsid w:val="0085222D"/>
    <w:rsid w:val="00854C6F"/>
    <w:rsid w:val="008554F7"/>
    <w:rsid w:val="008570C5"/>
    <w:rsid w:val="00857FA3"/>
    <w:rsid w:val="008601C4"/>
    <w:rsid w:val="008605D6"/>
    <w:rsid w:val="0086060F"/>
    <w:rsid w:val="00860830"/>
    <w:rsid w:val="00860A4E"/>
    <w:rsid w:val="00860B88"/>
    <w:rsid w:val="00861691"/>
    <w:rsid w:val="00862E3B"/>
    <w:rsid w:val="008637BA"/>
    <w:rsid w:val="00863932"/>
    <w:rsid w:val="00864470"/>
    <w:rsid w:val="008649BE"/>
    <w:rsid w:val="00865510"/>
    <w:rsid w:val="00867095"/>
    <w:rsid w:val="0087024B"/>
    <w:rsid w:val="00872AEB"/>
    <w:rsid w:val="00873566"/>
    <w:rsid w:val="00875F79"/>
    <w:rsid w:val="008769AB"/>
    <w:rsid w:val="0087775B"/>
    <w:rsid w:val="00881541"/>
    <w:rsid w:val="00882ACC"/>
    <w:rsid w:val="00883AB9"/>
    <w:rsid w:val="00883EE6"/>
    <w:rsid w:val="00884A91"/>
    <w:rsid w:val="0088755B"/>
    <w:rsid w:val="008902FE"/>
    <w:rsid w:val="008904B0"/>
    <w:rsid w:val="008907E8"/>
    <w:rsid w:val="00891042"/>
    <w:rsid w:val="00892947"/>
    <w:rsid w:val="00893C0D"/>
    <w:rsid w:val="00894974"/>
    <w:rsid w:val="008957B6"/>
    <w:rsid w:val="00896477"/>
    <w:rsid w:val="008967C0"/>
    <w:rsid w:val="00897EC1"/>
    <w:rsid w:val="008A0F6D"/>
    <w:rsid w:val="008A144F"/>
    <w:rsid w:val="008A26FA"/>
    <w:rsid w:val="008A3B46"/>
    <w:rsid w:val="008A44A5"/>
    <w:rsid w:val="008A4861"/>
    <w:rsid w:val="008A4934"/>
    <w:rsid w:val="008A5465"/>
    <w:rsid w:val="008A7294"/>
    <w:rsid w:val="008A7B39"/>
    <w:rsid w:val="008B10E0"/>
    <w:rsid w:val="008B1985"/>
    <w:rsid w:val="008B2B84"/>
    <w:rsid w:val="008B386F"/>
    <w:rsid w:val="008B3DDC"/>
    <w:rsid w:val="008B5744"/>
    <w:rsid w:val="008B57B2"/>
    <w:rsid w:val="008B592A"/>
    <w:rsid w:val="008B6218"/>
    <w:rsid w:val="008C05D0"/>
    <w:rsid w:val="008C2619"/>
    <w:rsid w:val="008C47CF"/>
    <w:rsid w:val="008D043B"/>
    <w:rsid w:val="008D4966"/>
    <w:rsid w:val="008D74E4"/>
    <w:rsid w:val="008E05C6"/>
    <w:rsid w:val="008E06B2"/>
    <w:rsid w:val="008E1855"/>
    <w:rsid w:val="008E1DA7"/>
    <w:rsid w:val="008E3F55"/>
    <w:rsid w:val="008E6C50"/>
    <w:rsid w:val="008E7E20"/>
    <w:rsid w:val="008F27BE"/>
    <w:rsid w:val="008F2DED"/>
    <w:rsid w:val="008F375B"/>
    <w:rsid w:val="008F3DCA"/>
    <w:rsid w:val="008F41B2"/>
    <w:rsid w:val="008F4262"/>
    <w:rsid w:val="008F4BDE"/>
    <w:rsid w:val="008F5B29"/>
    <w:rsid w:val="008F7AB2"/>
    <w:rsid w:val="00900F12"/>
    <w:rsid w:val="009012D0"/>
    <w:rsid w:val="00901A3F"/>
    <w:rsid w:val="00901C32"/>
    <w:rsid w:val="00903CBC"/>
    <w:rsid w:val="009045DE"/>
    <w:rsid w:val="009063F3"/>
    <w:rsid w:val="00910B99"/>
    <w:rsid w:val="009116BF"/>
    <w:rsid w:val="00914C48"/>
    <w:rsid w:val="00915D7F"/>
    <w:rsid w:val="00917A33"/>
    <w:rsid w:val="00917EF7"/>
    <w:rsid w:val="009200C1"/>
    <w:rsid w:val="009218BE"/>
    <w:rsid w:val="00921A7F"/>
    <w:rsid w:val="009223E4"/>
    <w:rsid w:val="00923024"/>
    <w:rsid w:val="00923224"/>
    <w:rsid w:val="00923490"/>
    <w:rsid w:val="009245B4"/>
    <w:rsid w:val="0092709F"/>
    <w:rsid w:val="00927282"/>
    <w:rsid w:val="00927513"/>
    <w:rsid w:val="00927B11"/>
    <w:rsid w:val="00927E3B"/>
    <w:rsid w:val="00932FE0"/>
    <w:rsid w:val="00941BC7"/>
    <w:rsid w:val="009421EA"/>
    <w:rsid w:val="009428BA"/>
    <w:rsid w:val="009451AE"/>
    <w:rsid w:val="00945B36"/>
    <w:rsid w:val="00946A16"/>
    <w:rsid w:val="009509A1"/>
    <w:rsid w:val="00952147"/>
    <w:rsid w:val="00952185"/>
    <w:rsid w:val="009526C7"/>
    <w:rsid w:val="00952717"/>
    <w:rsid w:val="00952768"/>
    <w:rsid w:val="00952D2B"/>
    <w:rsid w:val="009533D7"/>
    <w:rsid w:val="009548E5"/>
    <w:rsid w:val="00956EFA"/>
    <w:rsid w:val="00957030"/>
    <w:rsid w:val="00957F94"/>
    <w:rsid w:val="00960AF9"/>
    <w:rsid w:val="00961660"/>
    <w:rsid w:val="0096275E"/>
    <w:rsid w:val="00962C25"/>
    <w:rsid w:val="00970708"/>
    <w:rsid w:val="00971B4A"/>
    <w:rsid w:val="00973358"/>
    <w:rsid w:val="00975254"/>
    <w:rsid w:val="00975581"/>
    <w:rsid w:val="00976B9E"/>
    <w:rsid w:val="00980014"/>
    <w:rsid w:val="00980249"/>
    <w:rsid w:val="009822CA"/>
    <w:rsid w:val="00982768"/>
    <w:rsid w:val="009848DC"/>
    <w:rsid w:val="009849F0"/>
    <w:rsid w:val="00984EC1"/>
    <w:rsid w:val="00985700"/>
    <w:rsid w:val="00990432"/>
    <w:rsid w:val="00991BC9"/>
    <w:rsid w:val="00991F90"/>
    <w:rsid w:val="00992F7C"/>
    <w:rsid w:val="0099406D"/>
    <w:rsid w:val="009A1855"/>
    <w:rsid w:val="009A3AAD"/>
    <w:rsid w:val="009A48D1"/>
    <w:rsid w:val="009A4A07"/>
    <w:rsid w:val="009A7A00"/>
    <w:rsid w:val="009A7BF2"/>
    <w:rsid w:val="009A7D1C"/>
    <w:rsid w:val="009B0043"/>
    <w:rsid w:val="009B007E"/>
    <w:rsid w:val="009B11CE"/>
    <w:rsid w:val="009B2AE1"/>
    <w:rsid w:val="009C07D2"/>
    <w:rsid w:val="009C1987"/>
    <w:rsid w:val="009C2E6F"/>
    <w:rsid w:val="009C307F"/>
    <w:rsid w:val="009C37F5"/>
    <w:rsid w:val="009C5D3C"/>
    <w:rsid w:val="009C6205"/>
    <w:rsid w:val="009D339E"/>
    <w:rsid w:val="009D357C"/>
    <w:rsid w:val="009D37AC"/>
    <w:rsid w:val="009D65B1"/>
    <w:rsid w:val="009D6BFF"/>
    <w:rsid w:val="009D6EF4"/>
    <w:rsid w:val="009D76B7"/>
    <w:rsid w:val="009D7EF5"/>
    <w:rsid w:val="009E2DFB"/>
    <w:rsid w:val="009E391C"/>
    <w:rsid w:val="009E490B"/>
    <w:rsid w:val="009E5649"/>
    <w:rsid w:val="009E5C99"/>
    <w:rsid w:val="009E6F60"/>
    <w:rsid w:val="009F1E3F"/>
    <w:rsid w:val="009F3A4B"/>
    <w:rsid w:val="009F3C59"/>
    <w:rsid w:val="00A01891"/>
    <w:rsid w:val="00A02C4D"/>
    <w:rsid w:val="00A040FD"/>
    <w:rsid w:val="00A0488F"/>
    <w:rsid w:val="00A04EDD"/>
    <w:rsid w:val="00A05523"/>
    <w:rsid w:val="00A05999"/>
    <w:rsid w:val="00A06C8F"/>
    <w:rsid w:val="00A06DBB"/>
    <w:rsid w:val="00A07FC9"/>
    <w:rsid w:val="00A10179"/>
    <w:rsid w:val="00A10986"/>
    <w:rsid w:val="00A10EE3"/>
    <w:rsid w:val="00A144E8"/>
    <w:rsid w:val="00A147DB"/>
    <w:rsid w:val="00A15D58"/>
    <w:rsid w:val="00A17605"/>
    <w:rsid w:val="00A17B59"/>
    <w:rsid w:val="00A17C5A"/>
    <w:rsid w:val="00A17FEE"/>
    <w:rsid w:val="00A20078"/>
    <w:rsid w:val="00A21921"/>
    <w:rsid w:val="00A22D47"/>
    <w:rsid w:val="00A23556"/>
    <w:rsid w:val="00A243F6"/>
    <w:rsid w:val="00A24858"/>
    <w:rsid w:val="00A27374"/>
    <w:rsid w:val="00A323C6"/>
    <w:rsid w:val="00A32F71"/>
    <w:rsid w:val="00A33133"/>
    <w:rsid w:val="00A35569"/>
    <w:rsid w:val="00A37092"/>
    <w:rsid w:val="00A378D6"/>
    <w:rsid w:val="00A37F0D"/>
    <w:rsid w:val="00A40B12"/>
    <w:rsid w:val="00A4225F"/>
    <w:rsid w:val="00A431DC"/>
    <w:rsid w:val="00A43BEA"/>
    <w:rsid w:val="00A44401"/>
    <w:rsid w:val="00A44F3F"/>
    <w:rsid w:val="00A45532"/>
    <w:rsid w:val="00A45DF0"/>
    <w:rsid w:val="00A465C1"/>
    <w:rsid w:val="00A46D68"/>
    <w:rsid w:val="00A47829"/>
    <w:rsid w:val="00A47FDF"/>
    <w:rsid w:val="00A51626"/>
    <w:rsid w:val="00A52FBB"/>
    <w:rsid w:val="00A5423E"/>
    <w:rsid w:val="00A55069"/>
    <w:rsid w:val="00A5570A"/>
    <w:rsid w:val="00A57357"/>
    <w:rsid w:val="00A6054A"/>
    <w:rsid w:val="00A60F19"/>
    <w:rsid w:val="00A61058"/>
    <w:rsid w:val="00A616F1"/>
    <w:rsid w:val="00A61809"/>
    <w:rsid w:val="00A62CC6"/>
    <w:rsid w:val="00A63484"/>
    <w:rsid w:val="00A63D38"/>
    <w:rsid w:val="00A6773B"/>
    <w:rsid w:val="00A70E58"/>
    <w:rsid w:val="00A7247B"/>
    <w:rsid w:val="00A72A76"/>
    <w:rsid w:val="00A758E7"/>
    <w:rsid w:val="00A764C6"/>
    <w:rsid w:val="00A76E48"/>
    <w:rsid w:val="00A77AD6"/>
    <w:rsid w:val="00A8046E"/>
    <w:rsid w:val="00A80F52"/>
    <w:rsid w:val="00A80F95"/>
    <w:rsid w:val="00A812B9"/>
    <w:rsid w:val="00A8184B"/>
    <w:rsid w:val="00A83F11"/>
    <w:rsid w:val="00A9004B"/>
    <w:rsid w:val="00A9036A"/>
    <w:rsid w:val="00A90413"/>
    <w:rsid w:val="00A90627"/>
    <w:rsid w:val="00A91907"/>
    <w:rsid w:val="00A9430F"/>
    <w:rsid w:val="00A96821"/>
    <w:rsid w:val="00A96FC8"/>
    <w:rsid w:val="00A974D8"/>
    <w:rsid w:val="00A978CE"/>
    <w:rsid w:val="00AA1016"/>
    <w:rsid w:val="00AA17B2"/>
    <w:rsid w:val="00AA4D3A"/>
    <w:rsid w:val="00AB0199"/>
    <w:rsid w:val="00AB0388"/>
    <w:rsid w:val="00AB0B9A"/>
    <w:rsid w:val="00AB0DE6"/>
    <w:rsid w:val="00AB3AA1"/>
    <w:rsid w:val="00AB4298"/>
    <w:rsid w:val="00AB7622"/>
    <w:rsid w:val="00AC06AB"/>
    <w:rsid w:val="00AC1342"/>
    <w:rsid w:val="00AC1A12"/>
    <w:rsid w:val="00AC42B9"/>
    <w:rsid w:val="00AC56B8"/>
    <w:rsid w:val="00AC5F0B"/>
    <w:rsid w:val="00AC63DF"/>
    <w:rsid w:val="00AC7E52"/>
    <w:rsid w:val="00AD03DE"/>
    <w:rsid w:val="00AD0E1E"/>
    <w:rsid w:val="00AD6C45"/>
    <w:rsid w:val="00AD7E5D"/>
    <w:rsid w:val="00AE0C15"/>
    <w:rsid w:val="00AE0F80"/>
    <w:rsid w:val="00AE2880"/>
    <w:rsid w:val="00AE28BE"/>
    <w:rsid w:val="00AE2AE9"/>
    <w:rsid w:val="00AE36E3"/>
    <w:rsid w:val="00AE3B6A"/>
    <w:rsid w:val="00AE71E8"/>
    <w:rsid w:val="00AE76F0"/>
    <w:rsid w:val="00AF0498"/>
    <w:rsid w:val="00AF1650"/>
    <w:rsid w:val="00AF3934"/>
    <w:rsid w:val="00AF40A0"/>
    <w:rsid w:val="00AF6173"/>
    <w:rsid w:val="00AF731F"/>
    <w:rsid w:val="00AF7D48"/>
    <w:rsid w:val="00B0004C"/>
    <w:rsid w:val="00B02A9B"/>
    <w:rsid w:val="00B0346F"/>
    <w:rsid w:val="00B0540B"/>
    <w:rsid w:val="00B05EC3"/>
    <w:rsid w:val="00B071F3"/>
    <w:rsid w:val="00B0747C"/>
    <w:rsid w:val="00B1008D"/>
    <w:rsid w:val="00B10837"/>
    <w:rsid w:val="00B10B7A"/>
    <w:rsid w:val="00B118E4"/>
    <w:rsid w:val="00B12EB3"/>
    <w:rsid w:val="00B14F41"/>
    <w:rsid w:val="00B150AE"/>
    <w:rsid w:val="00B15289"/>
    <w:rsid w:val="00B157B7"/>
    <w:rsid w:val="00B16032"/>
    <w:rsid w:val="00B16543"/>
    <w:rsid w:val="00B16D73"/>
    <w:rsid w:val="00B200ED"/>
    <w:rsid w:val="00B21673"/>
    <w:rsid w:val="00B221B5"/>
    <w:rsid w:val="00B237AD"/>
    <w:rsid w:val="00B237EB"/>
    <w:rsid w:val="00B24619"/>
    <w:rsid w:val="00B24812"/>
    <w:rsid w:val="00B24BAC"/>
    <w:rsid w:val="00B27F2E"/>
    <w:rsid w:val="00B31BD9"/>
    <w:rsid w:val="00B31CAC"/>
    <w:rsid w:val="00B32E78"/>
    <w:rsid w:val="00B333CA"/>
    <w:rsid w:val="00B35563"/>
    <w:rsid w:val="00B358B6"/>
    <w:rsid w:val="00B3599D"/>
    <w:rsid w:val="00B35F9E"/>
    <w:rsid w:val="00B3700C"/>
    <w:rsid w:val="00B37173"/>
    <w:rsid w:val="00B4024F"/>
    <w:rsid w:val="00B40FE5"/>
    <w:rsid w:val="00B438F3"/>
    <w:rsid w:val="00B43E71"/>
    <w:rsid w:val="00B440DB"/>
    <w:rsid w:val="00B441A3"/>
    <w:rsid w:val="00B44744"/>
    <w:rsid w:val="00B45BA4"/>
    <w:rsid w:val="00B46D18"/>
    <w:rsid w:val="00B47B65"/>
    <w:rsid w:val="00B51604"/>
    <w:rsid w:val="00B51BC0"/>
    <w:rsid w:val="00B52D16"/>
    <w:rsid w:val="00B54085"/>
    <w:rsid w:val="00B5565A"/>
    <w:rsid w:val="00B5771C"/>
    <w:rsid w:val="00B60FD4"/>
    <w:rsid w:val="00B62334"/>
    <w:rsid w:val="00B65A56"/>
    <w:rsid w:val="00B67168"/>
    <w:rsid w:val="00B67178"/>
    <w:rsid w:val="00B70264"/>
    <w:rsid w:val="00B72626"/>
    <w:rsid w:val="00B74C79"/>
    <w:rsid w:val="00B74E17"/>
    <w:rsid w:val="00B74FB0"/>
    <w:rsid w:val="00B75659"/>
    <w:rsid w:val="00B75BBD"/>
    <w:rsid w:val="00B764B8"/>
    <w:rsid w:val="00B81419"/>
    <w:rsid w:val="00B819BA"/>
    <w:rsid w:val="00B825FD"/>
    <w:rsid w:val="00B82D2A"/>
    <w:rsid w:val="00B82ED2"/>
    <w:rsid w:val="00B83310"/>
    <w:rsid w:val="00B855BC"/>
    <w:rsid w:val="00B8623B"/>
    <w:rsid w:val="00B86973"/>
    <w:rsid w:val="00B869C8"/>
    <w:rsid w:val="00B87EBF"/>
    <w:rsid w:val="00B90FA9"/>
    <w:rsid w:val="00B93261"/>
    <w:rsid w:val="00B93D67"/>
    <w:rsid w:val="00B95B20"/>
    <w:rsid w:val="00B95D59"/>
    <w:rsid w:val="00B9639B"/>
    <w:rsid w:val="00BA000F"/>
    <w:rsid w:val="00BA13CE"/>
    <w:rsid w:val="00BA17E2"/>
    <w:rsid w:val="00BA1E95"/>
    <w:rsid w:val="00BA26AC"/>
    <w:rsid w:val="00BA62FD"/>
    <w:rsid w:val="00BA7256"/>
    <w:rsid w:val="00BA7323"/>
    <w:rsid w:val="00BA741B"/>
    <w:rsid w:val="00BA7FF4"/>
    <w:rsid w:val="00BB0935"/>
    <w:rsid w:val="00BB2237"/>
    <w:rsid w:val="00BB229A"/>
    <w:rsid w:val="00BB2BF7"/>
    <w:rsid w:val="00BB38E5"/>
    <w:rsid w:val="00BB44AF"/>
    <w:rsid w:val="00BB4DE7"/>
    <w:rsid w:val="00BB5220"/>
    <w:rsid w:val="00BB53A9"/>
    <w:rsid w:val="00BB56AC"/>
    <w:rsid w:val="00BB591A"/>
    <w:rsid w:val="00BB7B78"/>
    <w:rsid w:val="00BC090B"/>
    <w:rsid w:val="00BC2907"/>
    <w:rsid w:val="00BC2BA4"/>
    <w:rsid w:val="00BC32AD"/>
    <w:rsid w:val="00BC668D"/>
    <w:rsid w:val="00BC7514"/>
    <w:rsid w:val="00BD052C"/>
    <w:rsid w:val="00BD0E4C"/>
    <w:rsid w:val="00BD16AE"/>
    <w:rsid w:val="00BD1BF6"/>
    <w:rsid w:val="00BD3D51"/>
    <w:rsid w:val="00BD3E12"/>
    <w:rsid w:val="00BD5B50"/>
    <w:rsid w:val="00BD5C88"/>
    <w:rsid w:val="00BD5F3F"/>
    <w:rsid w:val="00BD620A"/>
    <w:rsid w:val="00BD6E67"/>
    <w:rsid w:val="00BD73B5"/>
    <w:rsid w:val="00BD7E89"/>
    <w:rsid w:val="00BE0752"/>
    <w:rsid w:val="00BE1799"/>
    <w:rsid w:val="00BE1B5D"/>
    <w:rsid w:val="00BE2886"/>
    <w:rsid w:val="00BE4365"/>
    <w:rsid w:val="00BE51F6"/>
    <w:rsid w:val="00BE5265"/>
    <w:rsid w:val="00BE599D"/>
    <w:rsid w:val="00BE6D2B"/>
    <w:rsid w:val="00BE712A"/>
    <w:rsid w:val="00BE7F85"/>
    <w:rsid w:val="00BF0D5E"/>
    <w:rsid w:val="00BF1DDE"/>
    <w:rsid w:val="00BF2298"/>
    <w:rsid w:val="00BF27B6"/>
    <w:rsid w:val="00BF2BE8"/>
    <w:rsid w:val="00BF3C69"/>
    <w:rsid w:val="00BF4CC0"/>
    <w:rsid w:val="00BF4E14"/>
    <w:rsid w:val="00BF5AE4"/>
    <w:rsid w:val="00BF6355"/>
    <w:rsid w:val="00C01E49"/>
    <w:rsid w:val="00C02EDD"/>
    <w:rsid w:val="00C042AF"/>
    <w:rsid w:val="00C05DCA"/>
    <w:rsid w:val="00C06013"/>
    <w:rsid w:val="00C068E3"/>
    <w:rsid w:val="00C06CC2"/>
    <w:rsid w:val="00C06E24"/>
    <w:rsid w:val="00C07120"/>
    <w:rsid w:val="00C072B1"/>
    <w:rsid w:val="00C102CD"/>
    <w:rsid w:val="00C11C5A"/>
    <w:rsid w:val="00C16556"/>
    <w:rsid w:val="00C16CF4"/>
    <w:rsid w:val="00C1713D"/>
    <w:rsid w:val="00C203F3"/>
    <w:rsid w:val="00C21690"/>
    <w:rsid w:val="00C21FDE"/>
    <w:rsid w:val="00C22B6E"/>
    <w:rsid w:val="00C236E4"/>
    <w:rsid w:val="00C25E94"/>
    <w:rsid w:val="00C30238"/>
    <w:rsid w:val="00C3405C"/>
    <w:rsid w:val="00C34683"/>
    <w:rsid w:val="00C36FAE"/>
    <w:rsid w:val="00C3EE99"/>
    <w:rsid w:val="00C408D6"/>
    <w:rsid w:val="00C4354E"/>
    <w:rsid w:val="00C43CD1"/>
    <w:rsid w:val="00C44ED5"/>
    <w:rsid w:val="00C45D7C"/>
    <w:rsid w:val="00C46370"/>
    <w:rsid w:val="00C46CCD"/>
    <w:rsid w:val="00C50357"/>
    <w:rsid w:val="00C54816"/>
    <w:rsid w:val="00C54D7A"/>
    <w:rsid w:val="00C54E23"/>
    <w:rsid w:val="00C55DF8"/>
    <w:rsid w:val="00C5792E"/>
    <w:rsid w:val="00C60C3B"/>
    <w:rsid w:val="00C625AF"/>
    <w:rsid w:val="00C626F3"/>
    <w:rsid w:val="00C62B8B"/>
    <w:rsid w:val="00C65E7E"/>
    <w:rsid w:val="00C66EB0"/>
    <w:rsid w:val="00C670B9"/>
    <w:rsid w:val="00C70068"/>
    <w:rsid w:val="00C70C03"/>
    <w:rsid w:val="00C70C19"/>
    <w:rsid w:val="00C7132A"/>
    <w:rsid w:val="00C71823"/>
    <w:rsid w:val="00C73783"/>
    <w:rsid w:val="00C73BCA"/>
    <w:rsid w:val="00C73BF0"/>
    <w:rsid w:val="00C75DFB"/>
    <w:rsid w:val="00C76031"/>
    <w:rsid w:val="00C767E9"/>
    <w:rsid w:val="00C77D10"/>
    <w:rsid w:val="00C8164F"/>
    <w:rsid w:val="00C81E25"/>
    <w:rsid w:val="00C82E8F"/>
    <w:rsid w:val="00C85F1C"/>
    <w:rsid w:val="00C8671E"/>
    <w:rsid w:val="00C8744C"/>
    <w:rsid w:val="00C901DD"/>
    <w:rsid w:val="00C90F27"/>
    <w:rsid w:val="00C911CD"/>
    <w:rsid w:val="00C91BEC"/>
    <w:rsid w:val="00C9346C"/>
    <w:rsid w:val="00C95860"/>
    <w:rsid w:val="00C95912"/>
    <w:rsid w:val="00C96535"/>
    <w:rsid w:val="00C978B5"/>
    <w:rsid w:val="00CA0618"/>
    <w:rsid w:val="00CA0685"/>
    <w:rsid w:val="00CA3CDE"/>
    <w:rsid w:val="00CA418C"/>
    <w:rsid w:val="00CA4C46"/>
    <w:rsid w:val="00CA6446"/>
    <w:rsid w:val="00CA6506"/>
    <w:rsid w:val="00CA6CE2"/>
    <w:rsid w:val="00CA71B1"/>
    <w:rsid w:val="00CA7ED3"/>
    <w:rsid w:val="00CB19EB"/>
    <w:rsid w:val="00CB1D2A"/>
    <w:rsid w:val="00CB21AC"/>
    <w:rsid w:val="00CB2FD6"/>
    <w:rsid w:val="00CB3870"/>
    <w:rsid w:val="00CB3CE5"/>
    <w:rsid w:val="00CB5713"/>
    <w:rsid w:val="00CB5A6E"/>
    <w:rsid w:val="00CB62A5"/>
    <w:rsid w:val="00CB71B8"/>
    <w:rsid w:val="00CB73C1"/>
    <w:rsid w:val="00CC0BEA"/>
    <w:rsid w:val="00CC1229"/>
    <w:rsid w:val="00CC3C87"/>
    <w:rsid w:val="00CC47D1"/>
    <w:rsid w:val="00CC4DDF"/>
    <w:rsid w:val="00CD1631"/>
    <w:rsid w:val="00CD4DA6"/>
    <w:rsid w:val="00CD6570"/>
    <w:rsid w:val="00CE36D5"/>
    <w:rsid w:val="00CE3751"/>
    <w:rsid w:val="00CE3DE1"/>
    <w:rsid w:val="00CE4801"/>
    <w:rsid w:val="00CE5453"/>
    <w:rsid w:val="00CE7A81"/>
    <w:rsid w:val="00CE7EDE"/>
    <w:rsid w:val="00CF0981"/>
    <w:rsid w:val="00CF1D95"/>
    <w:rsid w:val="00CF25BA"/>
    <w:rsid w:val="00CF2BF9"/>
    <w:rsid w:val="00CF2D7F"/>
    <w:rsid w:val="00CF4795"/>
    <w:rsid w:val="00CF4966"/>
    <w:rsid w:val="00CF5E92"/>
    <w:rsid w:val="00CF700D"/>
    <w:rsid w:val="00D0116A"/>
    <w:rsid w:val="00D01781"/>
    <w:rsid w:val="00D06798"/>
    <w:rsid w:val="00D11BA0"/>
    <w:rsid w:val="00D1224E"/>
    <w:rsid w:val="00D1335D"/>
    <w:rsid w:val="00D13D5F"/>
    <w:rsid w:val="00D14683"/>
    <w:rsid w:val="00D14CA6"/>
    <w:rsid w:val="00D150C3"/>
    <w:rsid w:val="00D16179"/>
    <w:rsid w:val="00D167C8"/>
    <w:rsid w:val="00D17309"/>
    <w:rsid w:val="00D17FBF"/>
    <w:rsid w:val="00D24C09"/>
    <w:rsid w:val="00D25255"/>
    <w:rsid w:val="00D263E5"/>
    <w:rsid w:val="00D274A9"/>
    <w:rsid w:val="00D277A9"/>
    <w:rsid w:val="00D32184"/>
    <w:rsid w:val="00D33F16"/>
    <w:rsid w:val="00D35BF6"/>
    <w:rsid w:val="00D36EA4"/>
    <w:rsid w:val="00D41160"/>
    <w:rsid w:val="00D43A69"/>
    <w:rsid w:val="00D466B0"/>
    <w:rsid w:val="00D4674D"/>
    <w:rsid w:val="00D4720B"/>
    <w:rsid w:val="00D5111F"/>
    <w:rsid w:val="00D5268D"/>
    <w:rsid w:val="00D52E05"/>
    <w:rsid w:val="00D558FC"/>
    <w:rsid w:val="00D57ABF"/>
    <w:rsid w:val="00D6045B"/>
    <w:rsid w:val="00D62D44"/>
    <w:rsid w:val="00D62D91"/>
    <w:rsid w:val="00D658E5"/>
    <w:rsid w:val="00D67032"/>
    <w:rsid w:val="00D671E2"/>
    <w:rsid w:val="00D70161"/>
    <w:rsid w:val="00D70527"/>
    <w:rsid w:val="00D705B5"/>
    <w:rsid w:val="00D70A23"/>
    <w:rsid w:val="00D72095"/>
    <w:rsid w:val="00D72153"/>
    <w:rsid w:val="00D72609"/>
    <w:rsid w:val="00D73D5F"/>
    <w:rsid w:val="00D7502D"/>
    <w:rsid w:val="00D803CD"/>
    <w:rsid w:val="00D80E7A"/>
    <w:rsid w:val="00D8351A"/>
    <w:rsid w:val="00D85AD1"/>
    <w:rsid w:val="00D86AFE"/>
    <w:rsid w:val="00D86C2B"/>
    <w:rsid w:val="00D87942"/>
    <w:rsid w:val="00D9009E"/>
    <w:rsid w:val="00D903F7"/>
    <w:rsid w:val="00D90490"/>
    <w:rsid w:val="00D9053B"/>
    <w:rsid w:val="00D91549"/>
    <w:rsid w:val="00D9407F"/>
    <w:rsid w:val="00D96C38"/>
    <w:rsid w:val="00D974DF"/>
    <w:rsid w:val="00D976AE"/>
    <w:rsid w:val="00D97AFB"/>
    <w:rsid w:val="00DA0196"/>
    <w:rsid w:val="00DA0744"/>
    <w:rsid w:val="00DA102F"/>
    <w:rsid w:val="00DA4F73"/>
    <w:rsid w:val="00DA5C45"/>
    <w:rsid w:val="00DA617C"/>
    <w:rsid w:val="00DA6620"/>
    <w:rsid w:val="00DB0A98"/>
    <w:rsid w:val="00DB0C94"/>
    <w:rsid w:val="00DB0FEA"/>
    <w:rsid w:val="00DB1F61"/>
    <w:rsid w:val="00DB3590"/>
    <w:rsid w:val="00DB6604"/>
    <w:rsid w:val="00DB74A3"/>
    <w:rsid w:val="00DC0BB0"/>
    <w:rsid w:val="00DC11BD"/>
    <w:rsid w:val="00DC1F9A"/>
    <w:rsid w:val="00DC23C8"/>
    <w:rsid w:val="00DC499B"/>
    <w:rsid w:val="00DC54FC"/>
    <w:rsid w:val="00DC5A0C"/>
    <w:rsid w:val="00DC5AF8"/>
    <w:rsid w:val="00DC6AF0"/>
    <w:rsid w:val="00DC6D8F"/>
    <w:rsid w:val="00DC7168"/>
    <w:rsid w:val="00DC7978"/>
    <w:rsid w:val="00DD0293"/>
    <w:rsid w:val="00DD48F4"/>
    <w:rsid w:val="00DD4EB0"/>
    <w:rsid w:val="00DD5480"/>
    <w:rsid w:val="00DD635D"/>
    <w:rsid w:val="00DD6A04"/>
    <w:rsid w:val="00DE01E5"/>
    <w:rsid w:val="00DE1397"/>
    <w:rsid w:val="00DE480E"/>
    <w:rsid w:val="00DE602F"/>
    <w:rsid w:val="00DE66BE"/>
    <w:rsid w:val="00DF120C"/>
    <w:rsid w:val="00DF232E"/>
    <w:rsid w:val="00DF4679"/>
    <w:rsid w:val="00DF4FE9"/>
    <w:rsid w:val="00DF565C"/>
    <w:rsid w:val="00DF5C16"/>
    <w:rsid w:val="00DF6E5C"/>
    <w:rsid w:val="00DF71A0"/>
    <w:rsid w:val="00DF7936"/>
    <w:rsid w:val="00DF7A5C"/>
    <w:rsid w:val="00DF7DCD"/>
    <w:rsid w:val="00E00299"/>
    <w:rsid w:val="00E0115A"/>
    <w:rsid w:val="00E01D5F"/>
    <w:rsid w:val="00E02EF2"/>
    <w:rsid w:val="00E0302A"/>
    <w:rsid w:val="00E036BC"/>
    <w:rsid w:val="00E04999"/>
    <w:rsid w:val="00E04F5A"/>
    <w:rsid w:val="00E10C4B"/>
    <w:rsid w:val="00E1202E"/>
    <w:rsid w:val="00E12B50"/>
    <w:rsid w:val="00E16C09"/>
    <w:rsid w:val="00E16E8A"/>
    <w:rsid w:val="00E20F06"/>
    <w:rsid w:val="00E22519"/>
    <w:rsid w:val="00E241F3"/>
    <w:rsid w:val="00E24DFD"/>
    <w:rsid w:val="00E25075"/>
    <w:rsid w:val="00E27247"/>
    <w:rsid w:val="00E279BA"/>
    <w:rsid w:val="00E27DA1"/>
    <w:rsid w:val="00E30CA4"/>
    <w:rsid w:val="00E3145B"/>
    <w:rsid w:val="00E33A82"/>
    <w:rsid w:val="00E358E2"/>
    <w:rsid w:val="00E37356"/>
    <w:rsid w:val="00E4075A"/>
    <w:rsid w:val="00E434D6"/>
    <w:rsid w:val="00E440E5"/>
    <w:rsid w:val="00E46158"/>
    <w:rsid w:val="00E50753"/>
    <w:rsid w:val="00E54D3E"/>
    <w:rsid w:val="00E54E0C"/>
    <w:rsid w:val="00E567D8"/>
    <w:rsid w:val="00E56878"/>
    <w:rsid w:val="00E56A34"/>
    <w:rsid w:val="00E56CF8"/>
    <w:rsid w:val="00E573D1"/>
    <w:rsid w:val="00E6793B"/>
    <w:rsid w:val="00E706BD"/>
    <w:rsid w:val="00E7220F"/>
    <w:rsid w:val="00E73B1F"/>
    <w:rsid w:val="00E74AB5"/>
    <w:rsid w:val="00E7528E"/>
    <w:rsid w:val="00E763E5"/>
    <w:rsid w:val="00E76B8F"/>
    <w:rsid w:val="00E80018"/>
    <w:rsid w:val="00E811DF"/>
    <w:rsid w:val="00E81391"/>
    <w:rsid w:val="00E81507"/>
    <w:rsid w:val="00E8174B"/>
    <w:rsid w:val="00E83BF8"/>
    <w:rsid w:val="00E84498"/>
    <w:rsid w:val="00E851F0"/>
    <w:rsid w:val="00E87CD5"/>
    <w:rsid w:val="00E90316"/>
    <w:rsid w:val="00E90CC4"/>
    <w:rsid w:val="00E91F82"/>
    <w:rsid w:val="00E94634"/>
    <w:rsid w:val="00E95863"/>
    <w:rsid w:val="00E95F2B"/>
    <w:rsid w:val="00E96F19"/>
    <w:rsid w:val="00E97480"/>
    <w:rsid w:val="00E97FD4"/>
    <w:rsid w:val="00EA2E5A"/>
    <w:rsid w:val="00EA3468"/>
    <w:rsid w:val="00EA369A"/>
    <w:rsid w:val="00EA506E"/>
    <w:rsid w:val="00EA78C2"/>
    <w:rsid w:val="00EB012D"/>
    <w:rsid w:val="00EB061E"/>
    <w:rsid w:val="00EB266D"/>
    <w:rsid w:val="00EB2D82"/>
    <w:rsid w:val="00EB32E7"/>
    <w:rsid w:val="00EB35B5"/>
    <w:rsid w:val="00EB413B"/>
    <w:rsid w:val="00EB46B6"/>
    <w:rsid w:val="00EB4B93"/>
    <w:rsid w:val="00EC05BE"/>
    <w:rsid w:val="00EC0DEA"/>
    <w:rsid w:val="00EC3524"/>
    <w:rsid w:val="00EC38AC"/>
    <w:rsid w:val="00EC4BD5"/>
    <w:rsid w:val="00EC6FC5"/>
    <w:rsid w:val="00EC7393"/>
    <w:rsid w:val="00EC78D6"/>
    <w:rsid w:val="00EC7C1E"/>
    <w:rsid w:val="00EC7F65"/>
    <w:rsid w:val="00ED163F"/>
    <w:rsid w:val="00ED37E3"/>
    <w:rsid w:val="00ED3D22"/>
    <w:rsid w:val="00ED488E"/>
    <w:rsid w:val="00ED61D2"/>
    <w:rsid w:val="00ED7335"/>
    <w:rsid w:val="00EE2156"/>
    <w:rsid w:val="00EE37C3"/>
    <w:rsid w:val="00EE4918"/>
    <w:rsid w:val="00EE6A5C"/>
    <w:rsid w:val="00EE6F02"/>
    <w:rsid w:val="00EE726F"/>
    <w:rsid w:val="00EF01A2"/>
    <w:rsid w:val="00EF0F40"/>
    <w:rsid w:val="00EF1173"/>
    <w:rsid w:val="00EF2D9A"/>
    <w:rsid w:val="00EF3534"/>
    <w:rsid w:val="00EF4254"/>
    <w:rsid w:val="00EF5407"/>
    <w:rsid w:val="00EF59F8"/>
    <w:rsid w:val="00EF6CE7"/>
    <w:rsid w:val="00F00F65"/>
    <w:rsid w:val="00F02A1C"/>
    <w:rsid w:val="00F04129"/>
    <w:rsid w:val="00F05EE9"/>
    <w:rsid w:val="00F07105"/>
    <w:rsid w:val="00F12AA3"/>
    <w:rsid w:val="00F130B1"/>
    <w:rsid w:val="00F13C8A"/>
    <w:rsid w:val="00F159A0"/>
    <w:rsid w:val="00F15BC1"/>
    <w:rsid w:val="00F27007"/>
    <w:rsid w:val="00F27E0E"/>
    <w:rsid w:val="00F31635"/>
    <w:rsid w:val="00F31C68"/>
    <w:rsid w:val="00F32469"/>
    <w:rsid w:val="00F336CB"/>
    <w:rsid w:val="00F338C5"/>
    <w:rsid w:val="00F341E0"/>
    <w:rsid w:val="00F40E8C"/>
    <w:rsid w:val="00F40F55"/>
    <w:rsid w:val="00F45A5A"/>
    <w:rsid w:val="00F46C5A"/>
    <w:rsid w:val="00F5211A"/>
    <w:rsid w:val="00F52A1F"/>
    <w:rsid w:val="00F53C20"/>
    <w:rsid w:val="00F53D19"/>
    <w:rsid w:val="00F54A06"/>
    <w:rsid w:val="00F55242"/>
    <w:rsid w:val="00F56321"/>
    <w:rsid w:val="00F57458"/>
    <w:rsid w:val="00F600C0"/>
    <w:rsid w:val="00F6244F"/>
    <w:rsid w:val="00F62642"/>
    <w:rsid w:val="00F65594"/>
    <w:rsid w:val="00F65C79"/>
    <w:rsid w:val="00F70158"/>
    <w:rsid w:val="00F71159"/>
    <w:rsid w:val="00F71747"/>
    <w:rsid w:val="00F72266"/>
    <w:rsid w:val="00F72E71"/>
    <w:rsid w:val="00F73453"/>
    <w:rsid w:val="00F73489"/>
    <w:rsid w:val="00F73649"/>
    <w:rsid w:val="00F73E78"/>
    <w:rsid w:val="00F73E90"/>
    <w:rsid w:val="00F8215E"/>
    <w:rsid w:val="00F8374D"/>
    <w:rsid w:val="00F83773"/>
    <w:rsid w:val="00F85E3A"/>
    <w:rsid w:val="00F86533"/>
    <w:rsid w:val="00F867E6"/>
    <w:rsid w:val="00F917B3"/>
    <w:rsid w:val="00F9227A"/>
    <w:rsid w:val="00F92884"/>
    <w:rsid w:val="00F935DE"/>
    <w:rsid w:val="00F93DFB"/>
    <w:rsid w:val="00F94664"/>
    <w:rsid w:val="00F95016"/>
    <w:rsid w:val="00F9721A"/>
    <w:rsid w:val="00F97497"/>
    <w:rsid w:val="00F97E8F"/>
    <w:rsid w:val="00FA0730"/>
    <w:rsid w:val="00FA0EE0"/>
    <w:rsid w:val="00FA22F3"/>
    <w:rsid w:val="00FA2499"/>
    <w:rsid w:val="00FA5770"/>
    <w:rsid w:val="00FA5B64"/>
    <w:rsid w:val="00FA60F3"/>
    <w:rsid w:val="00FB01BC"/>
    <w:rsid w:val="00FB255D"/>
    <w:rsid w:val="00FB2C89"/>
    <w:rsid w:val="00FB2E65"/>
    <w:rsid w:val="00FB3BFE"/>
    <w:rsid w:val="00FB4103"/>
    <w:rsid w:val="00FB476A"/>
    <w:rsid w:val="00FB5D6F"/>
    <w:rsid w:val="00FB60A1"/>
    <w:rsid w:val="00FC0FF2"/>
    <w:rsid w:val="00FC13F8"/>
    <w:rsid w:val="00FC1648"/>
    <w:rsid w:val="00FC251C"/>
    <w:rsid w:val="00FC261F"/>
    <w:rsid w:val="00FC28B3"/>
    <w:rsid w:val="00FC3688"/>
    <w:rsid w:val="00FC3B58"/>
    <w:rsid w:val="00FC3E27"/>
    <w:rsid w:val="00FC4B37"/>
    <w:rsid w:val="00FD028F"/>
    <w:rsid w:val="00FD0409"/>
    <w:rsid w:val="00FD107D"/>
    <w:rsid w:val="00FD28EE"/>
    <w:rsid w:val="00FD4E3E"/>
    <w:rsid w:val="00FD5D08"/>
    <w:rsid w:val="00FE0299"/>
    <w:rsid w:val="00FE0E81"/>
    <w:rsid w:val="00FE182C"/>
    <w:rsid w:val="00FE2027"/>
    <w:rsid w:val="00FE3388"/>
    <w:rsid w:val="00FE3EAD"/>
    <w:rsid w:val="00FE42B5"/>
    <w:rsid w:val="00FE4623"/>
    <w:rsid w:val="00FE6040"/>
    <w:rsid w:val="00FE70FC"/>
    <w:rsid w:val="00FE7343"/>
    <w:rsid w:val="00FE7AA2"/>
    <w:rsid w:val="00FF039C"/>
    <w:rsid w:val="00FF0783"/>
    <w:rsid w:val="00FF25AB"/>
    <w:rsid w:val="00FF3BBB"/>
    <w:rsid w:val="00FF5491"/>
    <w:rsid w:val="00FF652B"/>
    <w:rsid w:val="0123B199"/>
    <w:rsid w:val="017579C0"/>
    <w:rsid w:val="018481E9"/>
    <w:rsid w:val="01B229F8"/>
    <w:rsid w:val="01BA7386"/>
    <w:rsid w:val="01D7D9DD"/>
    <w:rsid w:val="01DAB8E5"/>
    <w:rsid w:val="021B91A5"/>
    <w:rsid w:val="0267DBF1"/>
    <w:rsid w:val="026F1E81"/>
    <w:rsid w:val="02742FBE"/>
    <w:rsid w:val="02B42241"/>
    <w:rsid w:val="0329A8BF"/>
    <w:rsid w:val="0391EEA4"/>
    <w:rsid w:val="039DCC14"/>
    <w:rsid w:val="03B67FDF"/>
    <w:rsid w:val="043CEDCC"/>
    <w:rsid w:val="045E3B14"/>
    <w:rsid w:val="04612D79"/>
    <w:rsid w:val="04691AFF"/>
    <w:rsid w:val="0495189F"/>
    <w:rsid w:val="04E05C5A"/>
    <w:rsid w:val="0528C339"/>
    <w:rsid w:val="052A34B9"/>
    <w:rsid w:val="054040F5"/>
    <w:rsid w:val="0587CA67"/>
    <w:rsid w:val="05B85AC3"/>
    <w:rsid w:val="05C348F3"/>
    <w:rsid w:val="0604EB60"/>
    <w:rsid w:val="0620B334"/>
    <w:rsid w:val="064F389F"/>
    <w:rsid w:val="066581EF"/>
    <w:rsid w:val="066BA135"/>
    <w:rsid w:val="0697F83A"/>
    <w:rsid w:val="06BC69A6"/>
    <w:rsid w:val="06DAD169"/>
    <w:rsid w:val="06F656AB"/>
    <w:rsid w:val="0700D021"/>
    <w:rsid w:val="073C87D2"/>
    <w:rsid w:val="07641C3C"/>
    <w:rsid w:val="0764EBE6"/>
    <w:rsid w:val="07998C1C"/>
    <w:rsid w:val="07D5E3AD"/>
    <w:rsid w:val="07F1EF02"/>
    <w:rsid w:val="08414F49"/>
    <w:rsid w:val="08580EF4"/>
    <w:rsid w:val="088B36A0"/>
    <w:rsid w:val="08957ABA"/>
    <w:rsid w:val="08A65CFA"/>
    <w:rsid w:val="08FF04AA"/>
    <w:rsid w:val="092227F0"/>
    <w:rsid w:val="09305F91"/>
    <w:rsid w:val="0933114C"/>
    <w:rsid w:val="0936AD5D"/>
    <w:rsid w:val="0943DA90"/>
    <w:rsid w:val="09C7E0FE"/>
    <w:rsid w:val="09D1FB07"/>
    <w:rsid w:val="09EB2308"/>
    <w:rsid w:val="0A086D25"/>
    <w:rsid w:val="0A11037B"/>
    <w:rsid w:val="0A2963E6"/>
    <w:rsid w:val="0A37A7A9"/>
    <w:rsid w:val="0A3F8EC2"/>
    <w:rsid w:val="0A5923EF"/>
    <w:rsid w:val="0A7C9457"/>
    <w:rsid w:val="0A817816"/>
    <w:rsid w:val="0A9C089E"/>
    <w:rsid w:val="0ACEA4FE"/>
    <w:rsid w:val="0AD3EC43"/>
    <w:rsid w:val="0B05354A"/>
    <w:rsid w:val="0B4A73E3"/>
    <w:rsid w:val="0BB0C750"/>
    <w:rsid w:val="0BB9E538"/>
    <w:rsid w:val="0BC0A77B"/>
    <w:rsid w:val="0BE20B45"/>
    <w:rsid w:val="0BFC19A0"/>
    <w:rsid w:val="0C3164B0"/>
    <w:rsid w:val="0C91573E"/>
    <w:rsid w:val="0CBFFEC4"/>
    <w:rsid w:val="0CDA743D"/>
    <w:rsid w:val="0CE7E475"/>
    <w:rsid w:val="0CE81BB6"/>
    <w:rsid w:val="0D0090F6"/>
    <w:rsid w:val="0D0A3025"/>
    <w:rsid w:val="0D1047E8"/>
    <w:rsid w:val="0D1EEC93"/>
    <w:rsid w:val="0D30FC1B"/>
    <w:rsid w:val="0D40A456"/>
    <w:rsid w:val="0D443DB5"/>
    <w:rsid w:val="0D4CFD7B"/>
    <w:rsid w:val="0D5A003D"/>
    <w:rsid w:val="0D8CD206"/>
    <w:rsid w:val="0D95DB98"/>
    <w:rsid w:val="0DAB9CE1"/>
    <w:rsid w:val="0DCD312D"/>
    <w:rsid w:val="0DDF4636"/>
    <w:rsid w:val="0DE9FCB4"/>
    <w:rsid w:val="0E3E9496"/>
    <w:rsid w:val="0E46532C"/>
    <w:rsid w:val="0E47E4F5"/>
    <w:rsid w:val="0E49A740"/>
    <w:rsid w:val="0E83B4D6"/>
    <w:rsid w:val="0EA24D2C"/>
    <w:rsid w:val="0EA96D97"/>
    <w:rsid w:val="0ECEDDE8"/>
    <w:rsid w:val="0EE00E16"/>
    <w:rsid w:val="0F677EFF"/>
    <w:rsid w:val="0F716C59"/>
    <w:rsid w:val="0F7A6E62"/>
    <w:rsid w:val="0F8C7DDE"/>
    <w:rsid w:val="101F8537"/>
    <w:rsid w:val="104DF797"/>
    <w:rsid w:val="10689CDD"/>
    <w:rsid w:val="10B20F08"/>
    <w:rsid w:val="10E71F89"/>
    <w:rsid w:val="10F617B9"/>
    <w:rsid w:val="110C6ADB"/>
    <w:rsid w:val="111AA4DB"/>
    <w:rsid w:val="11224C3A"/>
    <w:rsid w:val="1123004E"/>
    <w:rsid w:val="1125EFFC"/>
    <w:rsid w:val="116215FC"/>
    <w:rsid w:val="116B41E4"/>
    <w:rsid w:val="116EC833"/>
    <w:rsid w:val="118DB4EE"/>
    <w:rsid w:val="11B2942C"/>
    <w:rsid w:val="1204D660"/>
    <w:rsid w:val="12203E4E"/>
    <w:rsid w:val="126A453A"/>
    <w:rsid w:val="128D07E0"/>
    <w:rsid w:val="12DECE4C"/>
    <w:rsid w:val="13637435"/>
    <w:rsid w:val="137D9481"/>
    <w:rsid w:val="13891609"/>
    <w:rsid w:val="13A03D9F"/>
    <w:rsid w:val="13B61B78"/>
    <w:rsid w:val="13C8F119"/>
    <w:rsid w:val="13E9F3B0"/>
    <w:rsid w:val="13F9B7D9"/>
    <w:rsid w:val="14044308"/>
    <w:rsid w:val="14044BD4"/>
    <w:rsid w:val="14718D7A"/>
    <w:rsid w:val="1479AFDC"/>
    <w:rsid w:val="14AF3849"/>
    <w:rsid w:val="14B51AB5"/>
    <w:rsid w:val="14DACB17"/>
    <w:rsid w:val="152918D7"/>
    <w:rsid w:val="152D3E37"/>
    <w:rsid w:val="1544E34F"/>
    <w:rsid w:val="1546D489"/>
    <w:rsid w:val="154BCFCE"/>
    <w:rsid w:val="15B46C49"/>
    <w:rsid w:val="15B9A85A"/>
    <w:rsid w:val="15C7A528"/>
    <w:rsid w:val="15C9666E"/>
    <w:rsid w:val="15D81CAC"/>
    <w:rsid w:val="15DD5FDA"/>
    <w:rsid w:val="1615C0A9"/>
    <w:rsid w:val="161B0F2A"/>
    <w:rsid w:val="161E9195"/>
    <w:rsid w:val="1630B8BC"/>
    <w:rsid w:val="1704CF7C"/>
    <w:rsid w:val="1711F6EF"/>
    <w:rsid w:val="17166CC5"/>
    <w:rsid w:val="172D0A6F"/>
    <w:rsid w:val="173D0960"/>
    <w:rsid w:val="17407F8C"/>
    <w:rsid w:val="175060BF"/>
    <w:rsid w:val="176F8689"/>
    <w:rsid w:val="178D4453"/>
    <w:rsid w:val="179CB8CA"/>
    <w:rsid w:val="17AF6EAD"/>
    <w:rsid w:val="17CC891D"/>
    <w:rsid w:val="17CE78BD"/>
    <w:rsid w:val="17D66714"/>
    <w:rsid w:val="17ECB8D2"/>
    <w:rsid w:val="181097EF"/>
    <w:rsid w:val="182D37BE"/>
    <w:rsid w:val="183E14ED"/>
    <w:rsid w:val="1852F89E"/>
    <w:rsid w:val="187C8411"/>
    <w:rsid w:val="18936078"/>
    <w:rsid w:val="18A66393"/>
    <w:rsid w:val="18ADA7AB"/>
    <w:rsid w:val="18FBBC60"/>
    <w:rsid w:val="192E808D"/>
    <w:rsid w:val="192EC675"/>
    <w:rsid w:val="196853C4"/>
    <w:rsid w:val="1986A147"/>
    <w:rsid w:val="199B8763"/>
    <w:rsid w:val="19E5CA15"/>
    <w:rsid w:val="19EE4593"/>
    <w:rsid w:val="19F141DE"/>
    <w:rsid w:val="1A125826"/>
    <w:rsid w:val="1A74D972"/>
    <w:rsid w:val="1A877E8F"/>
    <w:rsid w:val="1AAE7248"/>
    <w:rsid w:val="1AC8796F"/>
    <w:rsid w:val="1B5201AB"/>
    <w:rsid w:val="1B5E7034"/>
    <w:rsid w:val="1BAFB481"/>
    <w:rsid w:val="1BC91AE3"/>
    <w:rsid w:val="1C47C237"/>
    <w:rsid w:val="1C603E62"/>
    <w:rsid w:val="1C6A5F36"/>
    <w:rsid w:val="1CD46E9F"/>
    <w:rsid w:val="1CDFFE0B"/>
    <w:rsid w:val="1CFD22DA"/>
    <w:rsid w:val="1D09E653"/>
    <w:rsid w:val="1D0A98A3"/>
    <w:rsid w:val="1D879CDF"/>
    <w:rsid w:val="1DAD7B7F"/>
    <w:rsid w:val="1DDEE4E5"/>
    <w:rsid w:val="1E28FAEB"/>
    <w:rsid w:val="1E2AECC3"/>
    <w:rsid w:val="1E941C86"/>
    <w:rsid w:val="1E94F48A"/>
    <w:rsid w:val="1EA46B72"/>
    <w:rsid w:val="1EB010CF"/>
    <w:rsid w:val="1EB0AD3A"/>
    <w:rsid w:val="1EB1D8D6"/>
    <w:rsid w:val="1EB88271"/>
    <w:rsid w:val="1EE12718"/>
    <w:rsid w:val="1EEBDABB"/>
    <w:rsid w:val="1F1A2070"/>
    <w:rsid w:val="1F39EF13"/>
    <w:rsid w:val="1F64251C"/>
    <w:rsid w:val="1F6DE86C"/>
    <w:rsid w:val="1F86B631"/>
    <w:rsid w:val="1F93FD0C"/>
    <w:rsid w:val="1FFBF18C"/>
    <w:rsid w:val="2037096B"/>
    <w:rsid w:val="20D008DF"/>
    <w:rsid w:val="20E3553C"/>
    <w:rsid w:val="212AF253"/>
    <w:rsid w:val="218C3B68"/>
    <w:rsid w:val="21BD143B"/>
    <w:rsid w:val="21D79C48"/>
    <w:rsid w:val="221F340A"/>
    <w:rsid w:val="22385C67"/>
    <w:rsid w:val="2247380C"/>
    <w:rsid w:val="2271CA8A"/>
    <w:rsid w:val="228E04BA"/>
    <w:rsid w:val="22C44092"/>
    <w:rsid w:val="22F66CED"/>
    <w:rsid w:val="231240DF"/>
    <w:rsid w:val="23260891"/>
    <w:rsid w:val="234CF7DB"/>
    <w:rsid w:val="238AD784"/>
    <w:rsid w:val="2396EDA2"/>
    <w:rsid w:val="23A6904A"/>
    <w:rsid w:val="23BB046B"/>
    <w:rsid w:val="23BC9C7E"/>
    <w:rsid w:val="23D42CC8"/>
    <w:rsid w:val="2457E4F3"/>
    <w:rsid w:val="247864E1"/>
    <w:rsid w:val="248BAB0E"/>
    <w:rsid w:val="24BE306B"/>
    <w:rsid w:val="24F01303"/>
    <w:rsid w:val="250C35B0"/>
    <w:rsid w:val="251E83DB"/>
    <w:rsid w:val="2538257D"/>
    <w:rsid w:val="2573FA91"/>
    <w:rsid w:val="257CB351"/>
    <w:rsid w:val="259EC95E"/>
    <w:rsid w:val="25A8476D"/>
    <w:rsid w:val="25C1B2C8"/>
    <w:rsid w:val="26020B05"/>
    <w:rsid w:val="2612E362"/>
    <w:rsid w:val="262F72C4"/>
    <w:rsid w:val="2636FAA8"/>
    <w:rsid w:val="263AF6B7"/>
    <w:rsid w:val="26960A48"/>
    <w:rsid w:val="2703C7EF"/>
    <w:rsid w:val="27217DD2"/>
    <w:rsid w:val="274FED70"/>
    <w:rsid w:val="27A0D622"/>
    <w:rsid w:val="27D1A77B"/>
    <w:rsid w:val="27ED36A0"/>
    <w:rsid w:val="281BB545"/>
    <w:rsid w:val="284069E0"/>
    <w:rsid w:val="285DD129"/>
    <w:rsid w:val="288A3AC4"/>
    <w:rsid w:val="28A5D3EC"/>
    <w:rsid w:val="28C6DB1E"/>
    <w:rsid w:val="28E5F306"/>
    <w:rsid w:val="28E81223"/>
    <w:rsid w:val="28ED5143"/>
    <w:rsid w:val="293B9C35"/>
    <w:rsid w:val="29516F4A"/>
    <w:rsid w:val="295F1C31"/>
    <w:rsid w:val="2969FFDA"/>
    <w:rsid w:val="2970C679"/>
    <w:rsid w:val="29B9FD8C"/>
    <w:rsid w:val="29D7A7C3"/>
    <w:rsid w:val="29EC4590"/>
    <w:rsid w:val="2A3C14F3"/>
    <w:rsid w:val="2A436E4C"/>
    <w:rsid w:val="2A9EFA9A"/>
    <w:rsid w:val="2AA0FB5D"/>
    <w:rsid w:val="2AB1CA3E"/>
    <w:rsid w:val="2AC1E907"/>
    <w:rsid w:val="2B087DAD"/>
    <w:rsid w:val="2B11EFD8"/>
    <w:rsid w:val="2B2BE4A2"/>
    <w:rsid w:val="2B34A7F2"/>
    <w:rsid w:val="2B364E5E"/>
    <w:rsid w:val="2B8CBACF"/>
    <w:rsid w:val="2B8CD992"/>
    <w:rsid w:val="2BA00D70"/>
    <w:rsid w:val="2BC37A11"/>
    <w:rsid w:val="2BDD4CA7"/>
    <w:rsid w:val="2BDF3EAD"/>
    <w:rsid w:val="2BEBD9B5"/>
    <w:rsid w:val="2BF4E83F"/>
    <w:rsid w:val="2BF8014A"/>
    <w:rsid w:val="2C9EAA79"/>
    <w:rsid w:val="2CA1212B"/>
    <w:rsid w:val="2CA7CFC3"/>
    <w:rsid w:val="2CC65122"/>
    <w:rsid w:val="2D0C585D"/>
    <w:rsid w:val="2D0F903A"/>
    <w:rsid w:val="2D27E8E8"/>
    <w:rsid w:val="2D3D4843"/>
    <w:rsid w:val="2D41C103"/>
    <w:rsid w:val="2DF844B6"/>
    <w:rsid w:val="2E21527D"/>
    <w:rsid w:val="2E8836CC"/>
    <w:rsid w:val="2E8854DA"/>
    <w:rsid w:val="2E8FFDC7"/>
    <w:rsid w:val="2E9E91BC"/>
    <w:rsid w:val="2ED140F2"/>
    <w:rsid w:val="2EF8DA05"/>
    <w:rsid w:val="2F12ECA6"/>
    <w:rsid w:val="2F242FEF"/>
    <w:rsid w:val="2F37F77C"/>
    <w:rsid w:val="2F821B82"/>
    <w:rsid w:val="2F955912"/>
    <w:rsid w:val="2FA3981D"/>
    <w:rsid w:val="2FE9B5DD"/>
    <w:rsid w:val="30293C0F"/>
    <w:rsid w:val="304279AA"/>
    <w:rsid w:val="3070D55C"/>
    <w:rsid w:val="308DF00D"/>
    <w:rsid w:val="30913C79"/>
    <w:rsid w:val="30C26589"/>
    <w:rsid w:val="31117D87"/>
    <w:rsid w:val="3158F33F"/>
    <w:rsid w:val="317A4590"/>
    <w:rsid w:val="31936DED"/>
    <w:rsid w:val="31AC6B21"/>
    <w:rsid w:val="31D7304C"/>
    <w:rsid w:val="31E2C1E6"/>
    <w:rsid w:val="31F4FD26"/>
    <w:rsid w:val="320E4CBD"/>
    <w:rsid w:val="3231F302"/>
    <w:rsid w:val="3258F5E9"/>
    <w:rsid w:val="3297D079"/>
    <w:rsid w:val="3299BA86"/>
    <w:rsid w:val="329FEB7A"/>
    <w:rsid w:val="32AA0C7F"/>
    <w:rsid w:val="32E8C72B"/>
    <w:rsid w:val="33037D0D"/>
    <w:rsid w:val="333E57E5"/>
    <w:rsid w:val="33A574AC"/>
    <w:rsid w:val="33BAA845"/>
    <w:rsid w:val="33D26E19"/>
    <w:rsid w:val="34096AEF"/>
    <w:rsid w:val="347920AF"/>
    <w:rsid w:val="34835D73"/>
    <w:rsid w:val="349AEAB5"/>
    <w:rsid w:val="34B3A534"/>
    <w:rsid w:val="34CA766E"/>
    <w:rsid w:val="34E37672"/>
    <w:rsid w:val="34FDDC3E"/>
    <w:rsid w:val="35423B2F"/>
    <w:rsid w:val="35886264"/>
    <w:rsid w:val="3589DC18"/>
    <w:rsid w:val="359AE2BC"/>
    <w:rsid w:val="35B3A908"/>
    <w:rsid w:val="35F38A84"/>
    <w:rsid w:val="35F8EF7B"/>
    <w:rsid w:val="36513900"/>
    <w:rsid w:val="3666ED2A"/>
    <w:rsid w:val="366B462B"/>
    <w:rsid w:val="3671E87E"/>
    <w:rsid w:val="36DFF4E6"/>
    <w:rsid w:val="3706FEF8"/>
    <w:rsid w:val="3747AE2E"/>
    <w:rsid w:val="37619B6A"/>
    <w:rsid w:val="376E04EE"/>
    <w:rsid w:val="37B55D07"/>
    <w:rsid w:val="381B5B29"/>
    <w:rsid w:val="3839F334"/>
    <w:rsid w:val="3843814F"/>
    <w:rsid w:val="384844F0"/>
    <w:rsid w:val="38760086"/>
    <w:rsid w:val="3881F0D9"/>
    <w:rsid w:val="38942039"/>
    <w:rsid w:val="389E381E"/>
    <w:rsid w:val="38BE2556"/>
    <w:rsid w:val="38CA69E3"/>
    <w:rsid w:val="38D4C812"/>
    <w:rsid w:val="38E078A6"/>
    <w:rsid w:val="38FAFAC9"/>
    <w:rsid w:val="390C55D9"/>
    <w:rsid w:val="39206365"/>
    <w:rsid w:val="3922A743"/>
    <w:rsid w:val="39281E1B"/>
    <w:rsid w:val="397944D7"/>
    <w:rsid w:val="399986EF"/>
    <w:rsid w:val="39B37F1F"/>
    <w:rsid w:val="39C72880"/>
    <w:rsid w:val="39CC0D66"/>
    <w:rsid w:val="39D0E3F8"/>
    <w:rsid w:val="3A468D40"/>
    <w:rsid w:val="3AB5A3A9"/>
    <w:rsid w:val="3ADFF1D2"/>
    <w:rsid w:val="3AE5748C"/>
    <w:rsid w:val="3AE7823B"/>
    <w:rsid w:val="3AF6EE81"/>
    <w:rsid w:val="3B11473B"/>
    <w:rsid w:val="3B26E46C"/>
    <w:rsid w:val="3B93FBA7"/>
    <w:rsid w:val="3BC44D22"/>
    <w:rsid w:val="3BF0FBE3"/>
    <w:rsid w:val="3C0CED3C"/>
    <w:rsid w:val="3C26FCC8"/>
    <w:rsid w:val="3C424E20"/>
    <w:rsid w:val="3C81F6A3"/>
    <w:rsid w:val="3CA5DD6E"/>
    <w:rsid w:val="3CBF8A32"/>
    <w:rsid w:val="3CF59D92"/>
    <w:rsid w:val="3D138207"/>
    <w:rsid w:val="3D1BB325"/>
    <w:rsid w:val="3D326F39"/>
    <w:rsid w:val="3D454A0D"/>
    <w:rsid w:val="3D6B2823"/>
    <w:rsid w:val="3DF6D7BB"/>
    <w:rsid w:val="3E036307"/>
    <w:rsid w:val="3E2EE72B"/>
    <w:rsid w:val="3E3CC738"/>
    <w:rsid w:val="3E3E6CAB"/>
    <w:rsid w:val="3E409208"/>
    <w:rsid w:val="3E4B5636"/>
    <w:rsid w:val="3E546F04"/>
    <w:rsid w:val="3E81746B"/>
    <w:rsid w:val="3EC175C1"/>
    <w:rsid w:val="3ECE52C9"/>
    <w:rsid w:val="3ED583C4"/>
    <w:rsid w:val="3EFE9074"/>
    <w:rsid w:val="3F5E1E43"/>
    <w:rsid w:val="3F8EB47F"/>
    <w:rsid w:val="3F9C180C"/>
    <w:rsid w:val="3FD774BF"/>
    <w:rsid w:val="3FF13E31"/>
    <w:rsid w:val="3FF33373"/>
    <w:rsid w:val="406791C4"/>
    <w:rsid w:val="409E71B7"/>
    <w:rsid w:val="40B11DCE"/>
    <w:rsid w:val="40C2E585"/>
    <w:rsid w:val="40EAB4E4"/>
    <w:rsid w:val="40EE5A08"/>
    <w:rsid w:val="40EFA7B1"/>
    <w:rsid w:val="411767BE"/>
    <w:rsid w:val="413F03E0"/>
    <w:rsid w:val="41545B47"/>
    <w:rsid w:val="4190695A"/>
    <w:rsid w:val="41F80A43"/>
    <w:rsid w:val="4240644E"/>
    <w:rsid w:val="4262D9FC"/>
    <w:rsid w:val="42E88D07"/>
    <w:rsid w:val="430AE76A"/>
    <w:rsid w:val="4315109B"/>
    <w:rsid w:val="432C39BB"/>
    <w:rsid w:val="439079D3"/>
    <w:rsid w:val="43B3F7EA"/>
    <w:rsid w:val="43FEAA5D"/>
    <w:rsid w:val="4439AF2C"/>
    <w:rsid w:val="444F6D80"/>
    <w:rsid w:val="447C2C90"/>
    <w:rsid w:val="44C91105"/>
    <w:rsid w:val="45360FF4"/>
    <w:rsid w:val="45366E12"/>
    <w:rsid w:val="4545FD9B"/>
    <w:rsid w:val="454FD19A"/>
    <w:rsid w:val="456D27C7"/>
    <w:rsid w:val="45893FE7"/>
    <w:rsid w:val="459BDA97"/>
    <w:rsid w:val="45BD799F"/>
    <w:rsid w:val="461BDB0A"/>
    <w:rsid w:val="466E1F8E"/>
    <w:rsid w:val="46DCBDF9"/>
    <w:rsid w:val="46DCED8B"/>
    <w:rsid w:val="46E752A4"/>
    <w:rsid w:val="47251048"/>
    <w:rsid w:val="472C449B"/>
    <w:rsid w:val="473E9022"/>
    <w:rsid w:val="476712CA"/>
    <w:rsid w:val="47A14D4C"/>
    <w:rsid w:val="47B718F0"/>
    <w:rsid w:val="47CEE179"/>
    <w:rsid w:val="47D33B10"/>
    <w:rsid w:val="48043051"/>
    <w:rsid w:val="482045A2"/>
    <w:rsid w:val="48A7B84C"/>
    <w:rsid w:val="48AED24D"/>
    <w:rsid w:val="48B4F959"/>
    <w:rsid w:val="48D0F027"/>
    <w:rsid w:val="48D99F88"/>
    <w:rsid w:val="48E0C059"/>
    <w:rsid w:val="48E692E7"/>
    <w:rsid w:val="48F17C97"/>
    <w:rsid w:val="4914CAA1"/>
    <w:rsid w:val="49275552"/>
    <w:rsid w:val="493F1F80"/>
    <w:rsid w:val="494815CF"/>
    <w:rsid w:val="49AE8015"/>
    <w:rsid w:val="49F1B409"/>
    <w:rsid w:val="4A4388AD"/>
    <w:rsid w:val="4AAD35BB"/>
    <w:rsid w:val="4AF9FC22"/>
    <w:rsid w:val="4B39159F"/>
    <w:rsid w:val="4B3CF765"/>
    <w:rsid w:val="4B8126E6"/>
    <w:rsid w:val="4B8996B9"/>
    <w:rsid w:val="4BCE1E37"/>
    <w:rsid w:val="4BD10C27"/>
    <w:rsid w:val="4BD7A2EB"/>
    <w:rsid w:val="4BE27FE8"/>
    <w:rsid w:val="4C055908"/>
    <w:rsid w:val="4C09BC42"/>
    <w:rsid w:val="4C20EC41"/>
    <w:rsid w:val="4C215C8F"/>
    <w:rsid w:val="4C4ABE20"/>
    <w:rsid w:val="4C61F9F2"/>
    <w:rsid w:val="4CB62189"/>
    <w:rsid w:val="4CD31C01"/>
    <w:rsid w:val="4CEE6B56"/>
    <w:rsid w:val="4D24C50A"/>
    <w:rsid w:val="4D2AB038"/>
    <w:rsid w:val="4D43B6B0"/>
    <w:rsid w:val="4D7AAA66"/>
    <w:rsid w:val="4D8419DE"/>
    <w:rsid w:val="4DD27F7B"/>
    <w:rsid w:val="4E009C14"/>
    <w:rsid w:val="4E101022"/>
    <w:rsid w:val="4E13FF0E"/>
    <w:rsid w:val="4EEA2039"/>
    <w:rsid w:val="4F9C19A5"/>
    <w:rsid w:val="4FA4A7FA"/>
    <w:rsid w:val="4FC8B654"/>
    <w:rsid w:val="4FCB5C7E"/>
    <w:rsid w:val="4FD8EDB4"/>
    <w:rsid w:val="4FEF8FFC"/>
    <w:rsid w:val="4FF157F8"/>
    <w:rsid w:val="501DC3A7"/>
    <w:rsid w:val="5037923E"/>
    <w:rsid w:val="503F13EA"/>
    <w:rsid w:val="504EE6BC"/>
    <w:rsid w:val="509789FE"/>
    <w:rsid w:val="50E2A03C"/>
    <w:rsid w:val="50F00711"/>
    <w:rsid w:val="50FD4FFD"/>
    <w:rsid w:val="511CE9CC"/>
    <w:rsid w:val="512CAAA2"/>
    <w:rsid w:val="514CC8E7"/>
    <w:rsid w:val="51B478C6"/>
    <w:rsid w:val="52097B9C"/>
    <w:rsid w:val="520F383D"/>
    <w:rsid w:val="52349FF5"/>
    <w:rsid w:val="524EC219"/>
    <w:rsid w:val="5282FB6C"/>
    <w:rsid w:val="52D2BC30"/>
    <w:rsid w:val="52F91C16"/>
    <w:rsid w:val="53141679"/>
    <w:rsid w:val="53442784"/>
    <w:rsid w:val="535D7F0E"/>
    <w:rsid w:val="536093F6"/>
    <w:rsid w:val="537B1561"/>
    <w:rsid w:val="538C61A0"/>
    <w:rsid w:val="53AE6B54"/>
    <w:rsid w:val="53B62825"/>
    <w:rsid w:val="53BA47E9"/>
    <w:rsid w:val="53C7D62B"/>
    <w:rsid w:val="53CB4248"/>
    <w:rsid w:val="53D07056"/>
    <w:rsid w:val="540BE6C7"/>
    <w:rsid w:val="5426F168"/>
    <w:rsid w:val="54448E43"/>
    <w:rsid w:val="5445FE51"/>
    <w:rsid w:val="547424AA"/>
    <w:rsid w:val="54B36A64"/>
    <w:rsid w:val="54CCF30F"/>
    <w:rsid w:val="551321AE"/>
    <w:rsid w:val="55565561"/>
    <w:rsid w:val="5564B000"/>
    <w:rsid w:val="557CE553"/>
    <w:rsid w:val="5585A7D8"/>
    <w:rsid w:val="5597762B"/>
    <w:rsid w:val="559CC71C"/>
    <w:rsid w:val="559EAF7A"/>
    <w:rsid w:val="55A2F189"/>
    <w:rsid w:val="55BA013B"/>
    <w:rsid w:val="55D1FAA8"/>
    <w:rsid w:val="5603AE7E"/>
    <w:rsid w:val="5617DA99"/>
    <w:rsid w:val="5618D564"/>
    <w:rsid w:val="56262BB3"/>
    <w:rsid w:val="56719A3F"/>
    <w:rsid w:val="56B8C279"/>
    <w:rsid w:val="56C3BCD8"/>
    <w:rsid w:val="56C42300"/>
    <w:rsid w:val="56CCD853"/>
    <w:rsid w:val="56E7B6B1"/>
    <w:rsid w:val="57610E70"/>
    <w:rsid w:val="579961AC"/>
    <w:rsid w:val="579C5E3F"/>
    <w:rsid w:val="57C88F0C"/>
    <w:rsid w:val="57F8F5E8"/>
    <w:rsid w:val="5812E710"/>
    <w:rsid w:val="58176838"/>
    <w:rsid w:val="585B5844"/>
    <w:rsid w:val="5868A8B4"/>
    <w:rsid w:val="586E239B"/>
    <w:rsid w:val="58991231"/>
    <w:rsid w:val="58A384FB"/>
    <w:rsid w:val="58D34247"/>
    <w:rsid w:val="58D467DE"/>
    <w:rsid w:val="59119362"/>
    <w:rsid w:val="591A479E"/>
    <w:rsid w:val="591AB95E"/>
    <w:rsid w:val="59D5AB82"/>
    <w:rsid w:val="59EAA33C"/>
    <w:rsid w:val="5A2A06E3"/>
    <w:rsid w:val="5A2F1F2D"/>
    <w:rsid w:val="5A30E7A4"/>
    <w:rsid w:val="5A49A18C"/>
    <w:rsid w:val="5A6A59FB"/>
    <w:rsid w:val="5A70383F"/>
    <w:rsid w:val="5A840DD3"/>
    <w:rsid w:val="5A840FAB"/>
    <w:rsid w:val="5A942725"/>
    <w:rsid w:val="5AB226FA"/>
    <w:rsid w:val="5B340A9F"/>
    <w:rsid w:val="5B3B5776"/>
    <w:rsid w:val="5B47EF51"/>
    <w:rsid w:val="5B7E059E"/>
    <w:rsid w:val="5B8954AD"/>
    <w:rsid w:val="5BDE4FF9"/>
    <w:rsid w:val="5BE2FF2B"/>
    <w:rsid w:val="5BE7D586"/>
    <w:rsid w:val="5C1CCB11"/>
    <w:rsid w:val="5C35F339"/>
    <w:rsid w:val="5C5FC15E"/>
    <w:rsid w:val="5C8BE11F"/>
    <w:rsid w:val="5CAB99BE"/>
    <w:rsid w:val="5CCBDD97"/>
    <w:rsid w:val="5CF9E56F"/>
    <w:rsid w:val="5D5EC011"/>
    <w:rsid w:val="5D5FBE75"/>
    <w:rsid w:val="5D85ACCB"/>
    <w:rsid w:val="5DA51917"/>
    <w:rsid w:val="5DA7D901"/>
    <w:rsid w:val="5DAEA0F6"/>
    <w:rsid w:val="5DCBC7E7"/>
    <w:rsid w:val="5E4E29AE"/>
    <w:rsid w:val="5E7C28CC"/>
    <w:rsid w:val="5E8B01F4"/>
    <w:rsid w:val="5E8F0DE2"/>
    <w:rsid w:val="5EE62FDA"/>
    <w:rsid w:val="5EF83A02"/>
    <w:rsid w:val="5F105373"/>
    <w:rsid w:val="5F6174C1"/>
    <w:rsid w:val="5FB80FC4"/>
    <w:rsid w:val="5FC648DE"/>
    <w:rsid w:val="5FCF77A6"/>
    <w:rsid w:val="601237B1"/>
    <w:rsid w:val="6022F706"/>
    <w:rsid w:val="6069512A"/>
    <w:rsid w:val="60711130"/>
    <w:rsid w:val="6071FCB6"/>
    <w:rsid w:val="607455BC"/>
    <w:rsid w:val="610CA860"/>
    <w:rsid w:val="61185A8C"/>
    <w:rsid w:val="612D56B9"/>
    <w:rsid w:val="61306FFA"/>
    <w:rsid w:val="61924DBA"/>
    <w:rsid w:val="61ABE712"/>
    <w:rsid w:val="61E00060"/>
    <w:rsid w:val="61E07220"/>
    <w:rsid w:val="624EFFAE"/>
    <w:rsid w:val="6259305B"/>
    <w:rsid w:val="6295E3BD"/>
    <w:rsid w:val="62D3F4D8"/>
    <w:rsid w:val="62E2418A"/>
    <w:rsid w:val="62ED8814"/>
    <w:rsid w:val="6356EF91"/>
    <w:rsid w:val="63640F11"/>
    <w:rsid w:val="63891783"/>
    <w:rsid w:val="64171A85"/>
    <w:rsid w:val="6490DDA2"/>
    <w:rsid w:val="649C9F95"/>
    <w:rsid w:val="64ADDD3C"/>
    <w:rsid w:val="64BBA834"/>
    <w:rsid w:val="64E316D9"/>
    <w:rsid w:val="64EB683D"/>
    <w:rsid w:val="6517203B"/>
    <w:rsid w:val="65255BF6"/>
    <w:rsid w:val="652A909F"/>
    <w:rsid w:val="6568D77D"/>
    <w:rsid w:val="65CE310A"/>
    <w:rsid w:val="65D0B645"/>
    <w:rsid w:val="65FC5939"/>
    <w:rsid w:val="660F9A32"/>
    <w:rsid w:val="662389EC"/>
    <w:rsid w:val="6624915E"/>
    <w:rsid w:val="6629E5EB"/>
    <w:rsid w:val="664D5B83"/>
    <w:rsid w:val="666BE376"/>
    <w:rsid w:val="668BBB67"/>
    <w:rsid w:val="66A795A2"/>
    <w:rsid w:val="66CEB0B7"/>
    <w:rsid w:val="66E778CB"/>
    <w:rsid w:val="66FB45D8"/>
    <w:rsid w:val="673E9950"/>
    <w:rsid w:val="67515604"/>
    <w:rsid w:val="676C9824"/>
    <w:rsid w:val="6785AF03"/>
    <w:rsid w:val="67A56137"/>
    <w:rsid w:val="67CE4297"/>
    <w:rsid w:val="685DE56C"/>
    <w:rsid w:val="686395B8"/>
    <w:rsid w:val="6896D219"/>
    <w:rsid w:val="69070D80"/>
    <w:rsid w:val="69280E5E"/>
    <w:rsid w:val="69526C10"/>
    <w:rsid w:val="69549B85"/>
    <w:rsid w:val="695685C2"/>
    <w:rsid w:val="69682602"/>
    <w:rsid w:val="697B4BAB"/>
    <w:rsid w:val="697E776C"/>
    <w:rsid w:val="69984B28"/>
    <w:rsid w:val="699C9588"/>
    <w:rsid w:val="69B687FC"/>
    <w:rsid w:val="69ECF769"/>
    <w:rsid w:val="69ED106A"/>
    <w:rsid w:val="6A0EDA39"/>
    <w:rsid w:val="6A21FA03"/>
    <w:rsid w:val="6A2F0392"/>
    <w:rsid w:val="6AAFC56A"/>
    <w:rsid w:val="6AB0EBCB"/>
    <w:rsid w:val="6AB1B09A"/>
    <w:rsid w:val="6AC451BF"/>
    <w:rsid w:val="6AD393D6"/>
    <w:rsid w:val="6ADE3A47"/>
    <w:rsid w:val="6AF98D93"/>
    <w:rsid w:val="6B28D2DB"/>
    <w:rsid w:val="6B7B06C5"/>
    <w:rsid w:val="6B8BF25A"/>
    <w:rsid w:val="6BBAA087"/>
    <w:rsid w:val="6BC05265"/>
    <w:rsid w:val="6BC888BB"/>
    <w:rsid w:val="6BE77C8B"/>
    <w:rsid w:val="6BEF0D02"/>
    <w:rsid w:val="6BF44067"/>
    <w:rsid w:val="6C26C16D"/>
    <w:rsid w:val="6C2C1080"/>
    <w:rsid w:val="6C2EBE6C"/>
    <w:rsid w:val="6C41CBCC"/>
    <w:rsid w:val="6C58F0EE"/>
    <w:rsid w:val="6C70E475"/>
    <w:rsid w:val="6C7BB1EC"/>
    <w:rsid w:val="6C805538"/>
    <w:rsid w:val="6C9FD38E"/>
    <w:rsid w:val="6CA6F627"/>
    <w:rsid w:val="6CADE982"/>
    <w:rsid w:val="6CBE9F1D"/>
    <w:rsid w:val="6CE0E4DE"/>
    <w:rsid w:val="6CEBC807"/>
    <w:rsid w:val="6D07103B"/>
    <w:rsid w:val="6D8E5829"/>
    <w:rsid w:val="6D95FB08"/>
    <w:rsid w:val="6DFF4BC2"/>
    <w:rsid w:val="6E3AA3DF"/>
    <w:rsid w:val="6E51E88F"/>
    <w:rsid w:val="6E56679E"/>
    <w:rsid w:val="6E6B414E"/>
    <w:rsid w:val="6E980BFF"/>
    <w:rsid w:val="6E9B33F6"/>
    <w:rsid w:val="6E9CD151"/>
    <w:rsid w:val="6EA7E89B"/>
    <w:rsid w:val="6EB45C53"/>
    <w:rsid w:val="6ED9254F"/>
    <w:rsid w:val="6F4C3259"/>
    <w:rsid w:val="6F56B427"/>
    <w:rsid w:val="6F5C69C1"/>
    <w:rsid w:val="6F7AAD98"/>
    <w:rsid w:val="6F85FA1C"/>
    <w:rsid w:val="6FA01DF9"/>
    <w:rsid w:val="6FA8299E"/>
    <w:rsid w:val="6FB662B8"/>
    <w:rsid w:val="6FB71892"/>
    <w:rsid w:val="6FCB79E0"/>
    <w:rsid w:val="70057ED0"/>
    <w:rsid w:val="701D4E87"/>
    <w:rsid w:val="7020AF72"/>
    <w:rsid w:val="70241C59"/>
    <w:rsid w:val="7078CACA"/>
    <w:rsid w:val="7091AE0C"/>
    <w:rsid w:val="70934D08"/>
    <w:rsid w:val="70E54A7F"/>
    <w:rsid w:val="70F28488"/>
    <w:rsid w:val="70FB2B5B"/>
    <w:rsid w:val="71006416"/>
    <w:rsid w:val="7135805C"/>
    <w:rsid w:val="71445598"/>
    <w:rsid w:val="715A29C5"/>
    <w:rsid w:val="7182399C"/>
    <w:rsid w:val="71931297"/>
    <w:rsid w:val="71B60C14"/>
    <w:rsid w:val="71D702CF"/>
    <w:rsid w:val="720B5872"/>
    <w:rsid w:val="72378113"/>
    <w:rsid w:val="725043CE"/>
    <w:rsid w:val="725E5F3B"/>
    <w:rsid w:val="727BE5CB"/>
    <w:rsid w:val="728D92B8"/>
    <w:rsid w:val="72BF8752"/>
    <w:rsid w:val="72CB6650"/>
    <w:rsid w:val="72CC18DC"/>
    <w:rsid w:val="730C7182"/>
    <w:rsid w:val="733203A2"/>
    <w:rsid w:val="7342FF0F"/>
    <w:rsid w:val="7356B5F0"/>
    <w:rsid w:val="7362D9F0"/>
    <w:rsid w:val="736EA519"/>
    <w:rsid w:val="73896AC2"/>
    <w:rsid w:val="7389A845"/>
    <w:rsid w:val="739CE4F2"/>
    <w:rsid w:val="73FB0648"/>
    <w:rsid w:val="742E4AB3"/>
    <w:rsid w:val="74361C1F"/>
    <w:rsid w:val="743D4BC0"/>
    <w:rsid w:val="7464320B"/>
    <w:rsid w:val="74E57A3E"/>
    <w:rsid w:val="74F6F193"/>
    <w:rsid w:val="7522727E"/>
    <w:rsid w:val="75239DD7"/>
    <w:rsid w:val="75AA918F"/>
    <w:rsid w:val="75BB8AD1"/>
    <w:rsid w:val="75ED510C"/>
    <w:rsid w:val="75EEC795"/>
    <w:rsid w:val="761C2798"/>
    <w:rsid w:val="762AF4F2"/>
    <w:rsid w:val="7638F35E"/>
    <w:rsid w:val="76424A1F"/>
    <w:rsid w:val="764FC8A5"/>
    <w:rsid w:val="765C656E"/>
    <w:rsid w:val="768CFDEE"/>
    <w:rsid w:val="76A645DB"/>
    <w:rsid w:val="76BC3B99"/>
    <w:rsid w:val="76E1113C"/>
    <w:rsid w:val="7708EB2C"/>
    <w:rsid w:val="77110DCE"/>
    <w:rsid w:val="7782AA70"/>
    <w:rsid w:val="77946CA9"/>
    <w:rsid w:val="779FAA26"/>
    <w:rsid w:val="77BC6472"/>
    <w:rsid w:val="783E1C72"/>
    <w:rsid w:val="7847F3DB"/>
    <w:rsid w:val="784A4030"/>
    <w:rsid w:val="784E00F1"/>
    <w:rsid w:val="785A1340"/>
    <w:rsid w:val="78768762"/>
    <w:rsid w:val="7879CD9A"/>
    <w:rsid w:val="788105DE"/>
    <w:rsid w:val="78D103F9"/>
    <w:rsid w:val="791E7AD1"/>
    <w:rsid w:val="791F14FA"/>
    <w:rsid w:val="79249E58"/>
    <w:rsid w:val="793E2CA6"/>
    <w:rsid w:val="79CCABC6"/>
    <w:rsid w:val="79F5E3A1"/>
    <w:rsid w:val="79F7BAD9"/>
    <w:rsid w:val="7A2397AB"/>
    <w:rsid w:val="7A3586D7"/>
    <w:rsid w:val="7A6842F1"/>
    <w:rsid w:val="7A75D5B3"/>
    <w:rsid w:val="7A8A1697"/>
    <w:rsid w:val="7AD5A59A"/>
    <w:rsid w:val="7B058DA8"/>
    <w:rsid w:val="7B2F2E44"/>
    <w:rsid w:val="7B35E5C0"/>
    <w:rsid w:val="7B3A14A8"/>
    <w:rsid w:val="7B45B51D"/>
    <w:rsid w:val="7B6E267E"/>
    <w:rsid w:val="7B869A27"/>
    <w:rsid w:val="7B8AAFC2"/>
    <w:rsid w:val="7B8C9ACE"/>
    <w:rsid w:val="7BC4894A"/>
    <w:rsid w:val="7BD975C3"/>
    <w:rsid w:val="7BF54E61"/>
    <w:rsid w:val="7C03DEC5"/>
    <w:rsid w:val="7C1CDED5"/>
    <w:rsid w:val="7C227029"/>
    <w:rsid w:val="7C2A5339"/>
    <w:rsid w:val="7C35CA4A"/>
    <w:rsid w:val="7C3A56F7"/>
    <w:rsid w:val="7C5E0919"/>
    <w:rsid w:val="7C8D0355"/>
    <w:rsid w:val="7CE46FD9"/>
    <w:rsid w:val="7CEBB255"/>
    <w:rsid w:val="7D10CBD1"/>
    <w:rsid w:val="7D2D8463"/>
    <w:rsid w:val="7D2DA93B"/>
    <w:rsid w:val="7D61B728"/>
    <w:rsid w:val="7DE3DDB0"/>
    <w:rsid w:val="7DE99AD9"/>
    <w:rsid w:val="7DF37747"/>
    <w:rsid w:val="7E163A8E"/>
    <w:rsid w:val="7E220B35"/>
    <w:rsid w:val="7E274AC8"/>
    <w:rsid w:val="7E8106FD"/>
    <w:rsid w:val="7E9288F0"/>
    <w:rsid w:val="7EABCC87"/>
    <w:rsid w:val="7EAD4A7B"/>
    <w:rsid w:val="7F22EE96"/>
    <w:rsid w:val="7F29F724"/>
    <w:rsid w:val="7F2DBE11"/>
    <w:rsid w:val="7F541B12"/>
    <w:rsid w:val="7F79D9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6969C8E"/>
  <w15:docId w15:val="{800D34D7-BC0B-452A-87CB-29D3286E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0" w:hanging="24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80" w:hanging="240"/>
    </w:pPr>
    <w:rPr>
      <w:u w:val="single" w:color="000000"/>
    </w:rPr>
  </w:style>
  <w:style w:type="paragraph" w:customStyle="1" w:styleId="TableParagraph">
    <w:name w:val="Table Paragraph"/>
    <w:basedOn w:val="Normal"/>
    <w:uiPriority w:val="1"/>
    <w:qFormat/>
    <w:pPr>
      <w:spacing w:line="249" w:lineRule="exact"/>
    </w:pPr>
  </w:style>
  <w:style w:type="paragraph" w:customStyle="1" w:styleId="Level1">
    <w:name w:val="Level 1"/>
    <w:basedOn w:val="Normal"/>
    <w:rsid w:val="0031486D"/>
    <w:pPr>
      <w:adjustRightInd w:val="0"/>
      <w:ind w:left="360" w:hanging="360"/>
    </w:pPr>
    <w:rPr>
      <w:sz w:val="24"/>
      <w:szCs w:val="24"/>
    </w:rPr>
  </w:style>
  <w:style w:type="paragraph" w:customStyle="1" w:styleId="CM13">
    <w:name w:val="CM13"/>
    <w:basedOn w:val="Normal"/>
    <w:next w:val="Normal"/>
    <w:uiPriority w:val="99"/>
    <w:rsid w:val="00780413"/>
    <w:pPr>
      <w:adjustRightInd w:val="0"/>
    </w:pPr>
    <w:rPr>
      <w:sz w:val="24"/>
      <w:szCs w:val="24"/>
    </w:rPr>
  </w:style>
  <w:style w:type="paragraph" w:styleId="Header">
    <w:name w:val="header"/>
    <w:basedOn w:val="Normal"/>
    <w:link w:val="HeaderChar"/>
    <w:uiPriority w:val="99"/>
    <w:unhideWhenUsed/>
    <w:rsid w:val="00A51626"/>
    <w:pPr>
      <w:tabs>
        <w:tab w:val="center" w:pos="4680"/>
        <w:tab w:val="right" w:pos="9360"/>
      </w:tabs>
    </w:pPr>
  </w:style>
  <w:style w:type="character" w:customStyle="1" w:styleId="HeaderChar">
    <w:name w:val="Header Char"/>
    <w:basedOn w:val="DefaultParagraphFont"/>
    <w:link w:val="Header"/>
    <w:uiPriority w:val="99"/>
    <w:rsid w:val="00A51626"/>
    <w:rPr>
      <w:rFonts w:ascii="Times New Roman" w:eastAsia="Times New Roman" w:hAnsi="Times New Roman" w:cs="Times New Roman"/>
    </w:rPr>
  </w:style>
  <w:style w:type="paragraph" w:styleId="Footer">
    <w:name w:val="footer"/>
    <w:basedOn w:val="Normal"/>
    <w:link w:val="FooterChar"/>
    <w:uiPriority w:val="99"/>
    <w:unhideWhenUsed/>
    <w:rsid w:val="00A51626"/>
    <w:pPr>
      <w:tabs>
        <w:tab w:val="center" w:pos="4680"/>
        <w:tab w:val="right" w:pos="9360"/>
      </w:tabs>
    </w:pPr>
  </w:style>
  <w:style w:type="character" w:customStyle="1" w:styleId="FooterChar">
    <w:name w:val="Footer Char"/>
    <w:basedOn w:val="DefaultParagraphFont"/>
    <w:link w:val="Footer"/>
    <w:uiPriority w:val="99"/>
    <w:rsid w:val="00A51626"/>
    <w:rPr>
      <w:rFonts w:ascii="Times New Roman" w:eastAsia="Times New Roman" w:hAnsi="Times New Roman" w:cs="Times New Roman"/>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uiPriority w:val="99"/>
    <w:unhideWhenUsed/>
    <w:qFormat/>
    <w:rsid w:val="008E05C6"/>
    <w:rPr>
      <w:sz w:val="20"/>
      <w:szCs w:val="20"/>
    </w:rPr>
  </w:style>
  <w:style w:type="character" w:customStyle="1" w:styleId="FootnoteTextChar">
    <w:name w:val="Footnote Text Char"/>
    <w:aliases w:val="ALTS FOOTNOTE Char,Car Char,Footnote Text Char Char Char,Footnote Text Char Char Char Char Char,Footnote Text Char Char Char Char Char Char Char Char Char Char Char Char Char Char Char Char Char Char,Footnote Text Char1 Char,fn Char"/>
    <w:basedOn w:val="DefaultParagraphFont"/>
    <w:link w:val="FootnoteText"/>
    <w:uiPriority w:val="99"/>
    <w:rsid w:val="008E05C6"/>
    <w:rPr>
      <w:rFonts w:ascii="Times New Roman" w:eastAsia="Times New Roman" w:hAnsi="Times New Roman" w:cs="Times New Roman"/>
      <w:sz w:val="20"/>
      <w:szCs w:val="20"/>
    </w:rPr>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basedOn w:val="DefaultParagraphFont"/>
    <w:uiPriority w:val="99"/>
    <w:unhideWhenUsed/>
    <w:qFormat/>
    <w:rsid w:val="008E05C6"/>
    <w:rPr>
      <w:vertAlign w:val="superscript"/>
    </w:rPr>
  </w:style>
  <w:style w:type="character" w:styleId="CommentReference">
    <w:name w:val="annotation reference"/>
    <w:basedOn w:val="DefaultParagraphFont"/>
    <w:uiPriority w:val="99"/>
    <w:semiHidden/>
    <w:unhideWhenUsed/>
    <w:rsid w:val="007A7E4C"/>
    <w:rPr>
      <w:sz w:val="16"/>
      <w:szCs w:val="16"/>
    </w:rPr>
  </w:style>
  <w:style w:type="paragraph" w:styleId="CommentText">
    <w:name w:val="annotation text"/>
    <w:basedOn w:val="Normal"/>
    <w:link w:val="CommentTextChar"/>
    <w:uiPriority w:val="99"/>
    <w:unhideWhenUsed/>
    <w:rsid w:val="007A7E4C"/>
    <w:rPr>
      <w:sz w:val="20"/>
      <w:szCs w:val="20"/>
    </w:rPr>
  </w:style>
  <w:style w:type="character" w:customStyle="1" w:styleId="CommentTextChar">
    <w:name w:val="Comment Text Char"/>
    <w:basedOn w:val="DefaultParagraphFont"/>
    <w:link w:val="CommentText"/>
    <w:uiPriority w:val="99"/>
    <w:rsid w:val="007A7E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E4C"/>
    <w:rPr>
      <w:b/>
      <w:bCs/>
    </w:rPr>
  </w:style>
  <w:style w:type="character" w:customStyle="1" w:styleId="CommentSubjectChar">
    <w:name w:val="Comment Subject Char"/>
    <w:basedOn w:val="CommentTextChar"/>
    <w:link w:val="CommentSubject"/>
    <w:uiPriority w:val="99"/>
    <w:semiHidden/>
    <w:rsid w:val="007A7E4C"/>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3F192E"/>
    <w:rPr>
      <w:color w:val="605E5C"/>
      <w:shd w:val="clear" w:color="auto" w:fill="E1DFDD"/>
    </w:rPr>
  </w:style>
  <w:style w:type="character" w:styleId="Mention">
    <w:name w:val="Mention"/>
    <w:basedOn w:val="DefaultParagraphFont"/>
    <w:uiPriority w:val="99"/>
    <w:unhideWhenUsed/>
    <w:rsid w:val="003F192E"/>
    <w:rPr>
      <w:color w:val="2B579A"/>
      <w:shd w:val="clear" w:color="auto" w:fill="E1DFDD"/>
    </w:rPr>
  </w:style>
  <w:style w:type="paragraph" w:customStyle="1" w:styleId="paragraph">
    <w:name w:val="paragraph"/>
    <w:basedOn w:val="Normal"/>
    <w:rsid w:val="00C1713D"/>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C1713D"/>
  </w:style>
  <w:style w:type="character" w:customStyle="1" w:styleId="eop">
    <w:name w:val="eop"/>
    <w:basedOn w:val="DefaultParagraphFont"/>
    <w:rsid w:val="00C1713D"/>
  </w:style>
  <w:style w:type="character" w:customStyle="1" w:styleId="contextualspellingandgrammarerror">
    <w:name w:val="contextualspellingandgrammarerror"/>
    <w:basedOn w:val="DefaultParagraphFont"/>
    <w:rsid w:val="00C1713D"/>
  </w:style>
  <w:style w:type="character" w:customStyle="1" w:styleId="spellingerror">
    <w:name w:val="spellingerror"/>
    <w:basedOn w:val="DefaultParagraphFont"/>
    <w:rsid w:val="00C1713D"/>
  </w:style>
  <w:style w:type="character" w:customStyle="1" w:styleId="advancedproofingissue">
    <w:name w:val="advancedproofingissue"/>
    <w:basedOn w:val="DefaultParagraphFont"/>
    <w:rsid w:val="009D339E"/>
  </w:style>
  <w:style w:type="paragraph" w:styleId="Revision">
    <w:name w:val="Revision"/>
    <w:hidden/>
    <w:uiPriority w:val="99"/>
    <w:semiHidden/>
    <w:rsid w:val="00E84498"/>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7E45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e889ae0-8a1a-4232-9f8d-124a150fc1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3190E2FEB88440A39C3F89755716B8" ma:contentTypeVersion="13" ma:contentTypeDescription="Create a new document." ma:contentTypeScope="" ma:versionID="111078ae70bb8916e011e735280b50df">
  <xsd:schema xmlns:xsd="http://www.w3.org/2001/XMLSchema" xmlns:xs="http://www.w3.org/2001/XMLSchema" xmlns:p="http://schemas.microsoft.com/office/2006/metadata/properties" xmlns:ns3="de889ae0-8a1a-4232-9f8d-124a150fc1b6" xmlns:ns4="22f72fb6-db45-40e3-833c-b31fec6cc4ed" targetNamespace="http://schemas.microsoft.com/office/2006/metadata/properties" ma:root="true" ma:fieldsID="7e0a40615e5c095aafa071f720c5222b" ns3:_="" ns4:_="">
    <xsd:import namespace="de889ae0-8a1a-4232-9f8d-124a150fc1b6"/>
    <xsd:import namespace="22f72fb6-db45-40e3-833c-b31fec6cc4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89ae0-8a1a-4232-9f8d-124a150fc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f72fb6-db45-40e3-833c-b31fec6cc4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3FCC0-B179-481D-BC2C-85382A65DF27}">
  <ds:schemaRefs>
    <ds:schemaRef ds:uri="http://schemas.openxmlformats.org/officeDocument/2006/bibliography"/>
  </ds:schemaRefs>
</ds:datastoreItem>
</file>

<file path=customXml/itemProps2.xml><?xml version="1.0" encoding="utf-8"?>
<ds:datastoreItem xmlns:ds="http://schemas.openxmlformats.org/officeDocument/2006/customXml" ds:itemID="{E3819589-D829-463A-AF8F-FC68BBCE0228}">
  <ds:schemaRefs>
    <ds:schemaRef ds:uri="http://schemas.microsoft.com/office/2006/metadata/properties"/>
    <ds:schemaRef ds:uri="http://schemas.microsoft.com/office/infopath/2007/PartnerControls"/>
    <ds:schemaRef ds:uri="de889ae0-8a1a-4232-9f8d-124a150fc1b6"/>
  </ds:schemaRefs>
</ds:datastoreItem>
</file>

<file path=customXml/itemProps3.xml><?xml version="1.0" encoding="utf-8"?>
<ds:datastoreItem xmlns:ds="http://schemas.openxmlformats.org/officeDocument/2006/customXml" ds:itemID="{3FA0922C-61FC-4120-AA87-A12E44C201A4}">
  <ds:schemaRefs>
    <ds:schemaRef ds:uri="http://schemas.microsoft.com/sharepoint/v3/contenttype/forms"/>
  </ds:schemaRefs>
</ds:datastoreItem>
</file>

<file path=customXml/itemProps4.xml><?xml version="1.0" encoding="utf-8"?>
<ds:datastoreItem xmlns:ds="http://schemas.openxmlformats.org/officeDocument/2006/customXml" ds:itemID="{7804367B-4C22-4E1D-82FD-A9B33EA8F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89ae0-8a1a-4232-9f8d-124a150fc1b6"/>
    <ds:schemaRef ds:uri="22f72fb6-db45-40e3-833c-b31fec6cc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4682</Words>
  <Characters>26693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Kaufman, Alexander (CFPB)</dc:creator>
  <cp:lastModifiedBy>May, Anthony (CFPB)</cp:lastModifiedBy>
  <cp:revision>2</cp:revision>
  <dcterms:created xsi:type="dcterms:W3CDTF">2024-07-09T16:59:00Z</dcterms:created>
  <dcterms:modified xsi:type="dcterms:W3CDTF">2024-07-09T16:59:00Z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0x0101009A3190E2FEB88440A39C3F89755716B8</vt:lpwstr>
  </property>
  <property fmtid="{D5CDD505-2E9C-101B-9397-08002B2CF9AE}" pid="3" name="Created">
    <vt:filetime>2018-11-20T00:00:00Z</vt:filetime>
  </property>
  <property fmtid="{D5CDD505-2E9C-101B-9397-08002B2CF9AE}" pid="4" name="Creator">
    <vt:lpwstr>Acrobat PDFMaker 19 for Word</vt:lpwstr>
  </property>
  <property fmtid="{D5CDD505-2E9C-101B-9397-08002B2CF9AE}" pid="5" name="LastSaved">
    <vt:filetime>2022-03-10T00:00:00Z</vt:filetime>
  </property>
  <property fmtid="{D5CDD505-2E9C-101B-9397-08002B2CF9AE}" pid="6" name="_dlc_DocIdItemGuid">
    <vt:lpwstr>1484b811-466b-47cd-99f5-95ce02c63371</vt:lpwstr>
  </property>
</Properties>
</file>