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RPr="00BF6D43" w:rsidP="005F1FFC" w14:paraId="7E088B25" w14:textId="635FAE4C"/>
    <w:p w:rsidR="003225D2" w:rsidRPr="006116D6" w:rsidP="001650D5" w14:paraId="00B8C0D6" w14:textId="52DE246B">
      <w:pPr>
        <w:jc w:val="center"/>
        <w:rPr>
          <w:b/>
          <w:caps/>
          <w:sz w:val="24"/>
          <w:szCs w:val="24"/>
        </w:rPr>
      </w:pPr>
      <w:r w:rsidRPr="006116D6">
        <w:rPr>
          <w:b/>
          <w:caps/>
          <w:sz w:val="24"/>
          <w:szCs w:val="24"/>
        </w:rPr>
        <w:t>Supporting</w:t>
      </w:r>
      <w:r w:rsidRPr="006116D6">
        <w:rPr>
          <w:b/>
          <w:sz w:val="24"/>
          <w:szCs w:val="24"/>
        </w:rPr>
        <w:t xml:space="preserve"> </w:t>
      </w:r>
      <w:r w:rsidRPr="006116D6">
        <w:rPr>
          <w:b/>
          <w:caps/>
          <w:sz w:val="24"/>
          <w:szCs w:val="24"/>
        </w:rPr>
        <w:t>Statement</w:t>
      </w:r>
      <w:r w:rsidRPr="006116D6" w:rsidR="00A4452C">
        <w:rPr>
          <w:b/>
          <w:caps/>
          <w:sz w:val="24"/>
          <w:szCs w:val="24"/>
        </w:rPr>
        <w:t xml:space="preserve"> For</w:t>
      </w:r>
    </w:p>
    <w:p w:rsidR="003225D2" w:rsidRPr="006116D6" w:rsidP="003225D2" w14:paraId="4ACA79D4" w14:textId="5F6A1E80">
      <w:pPr>
        <w:jc w:val="center"/>
        <w:rPr>
          <w:b/>
          <w:bCs/>
          <w:sz w:val="24"/>
          <w:szCs w:val="24"/>
        </w:rPr>
      </w:pPr>
      <w:r w:rsidRPr="006116D6">
        <w:rPr>
          <w:b/>
          <w:caps/>
          <w:sz w:val="24"/>
          <w:szCs w:val="24"/>
        </w:rPr>
        <w:t>Regulation F: Fair Debt Collection Practices Act, State Application for Exemption</w:t>
      </w:r>
      <w:r w:rsidRPr="006116D6" w:rsidR="00693E9D">
        <w:rPr>
          <w:b/>
          <w:caps/>
          <w:sz w:val="24"/>
          <w:szCs w:val="24"/>
        </w:rPr>
        <w:br/>
      </w:r>
      <w:r w:rsidRPr="006116D6">
        <w:rPr>
          <w:b/>
          <w:bCs/>
          <w:sz w:val="24"/>
          <w:szCs w:val="24"/>
        </w:rPr>
        <w:t>OMB CONTROL NO.</w:t>
      </w:r>
      <w:r w:rsidRPr="006116D6" w:rsidR="004D6F7D">
        <w:rPr>
          <w:b/>
          <w:bCs/>
          <w:sz w:val="24"/>
          <w:szCs w:val="24"/>
        </w:rPr>
        <w:t>:</w:t>
      </w:r>
      <w:r w:rsidRPr="006116D6">
        <w:rPr>
          <w:b/>
          <w:bCs/>
          <w:sz w:val="24"/>
          <w:szCs w:val="24"/>
        </w:rPr>
        <w:t xml:space="preserve"> </w:t>
      </w:r>
      <w:r w:rsidRPr="006116D6" w:rsidR="00E81562">
        <w:rPr>
          <w:b/>
          <w:bCs/>
          <w:sz w:val="24"/>
          <w:szCs w:val="24"/>
        </w:rPr>
        <w:t>3170-0</w:t>
      </w:r>
      <w:r w:rsidRPr="006116D6" w:rsidR="001650D5">
        <w:rPr>
          <w:b/>
          <w:bCs/>
          <w:sz w:val="24"/>
          <w:szCs w:val="24"/>
        </w:rPr>
        <w:t>0</w:t>
      </w:r>
      <w:r w:rsidRPr="006116D6" w:rsidR="00693E9D">
        <w:rPr>
          <w:b/>
          <w:bCs/>
          <w:sz w:val="24"/>
          <w:szCs w:val="24"/>
        </w:rPr>
        <w:t>56</w:t>
      </w:r>
    </w:p>
    <w:p w:rsidR="00A4452C" w:rsidRPr="006116D6" w:rsidP="000F0DD6" w14:paraId="7DC5C315" w14:textId="0B2A5A15">
      <w:pPr>
        <w:tabs>
          <w:tab w:val="left" w:pos="880"/>
        </w:tabs>
        <w:rPr>
          <w:b/>
          <w:caps/>
          <w:sz w:val="24"/>
        </w:rPr>
      </w:pPr>
      <w:r w:rsidRPr="006116D6">
        <w:rPr>
          <w:b/>
          <w:caps/>
          <w:sz w:val="24"/>
        </w:rPr>
        <w:tab/>
      </w:r>
    </w:p>
    <w:p w:rsidR="005F1FFC" w:rsidRPr="006116D6" w:rsidP="005F1FFC" w14:paraId="14A29F18" w14:textId="77777777">
      <w:pPr>
        <w:jc w:val="center"/>
        <w:rPr>
          <w:b/>
          <w:sz w:val="24"/>
        </w:rPr>
      </w:pPr>
    </w:p>
    <w:p w:rsidR="005F1FFC" w:rsidRPr="006116D6" w:rsidP="005F1FFC" w14:paraId="3DBE2AB2" w14:textId="77777777">
      <w:pPr>
        <w:rPr>
          <w:b/>
          <w:sz w:val="24"/>
        </w:rPr>
      </w:pPr>
      <w:r w:rsidRPr="006116D6">
        <w:rPr>
          <w:b/>
          <w:sz w:val="24"/>
        </w:rPr>
        <w:t xml:space="preserve">A.  </w:t>
      </w:r>
      <w:r w:rsidRPr="006116D6">
        <w:rPr>
          <w:b/>
          <w:caps/>
          <w:sz w:val="24"/>
        </w:rPr>
        <w:t>Justification</w:t>
      </w:r>
    </w:p>
    <w:p w:rsidR="005F1FFC" w:rsidRPr="006116D6" w:rsidP="005F1FFC" w14:paraId="4378B360" w14:textId="77777777">
      <w:pPr>
        <w:rPr>
          <w:b/>
          <w:sz w:val="24"/>
        </w:rPr>
      </w:pPr>
    </w:p>
    <w:p w:rsidR="00092D91" w:rsidRPr="006116D6" w:rsidP="00092D91" w14:paraId="08863302" w14:textId="298FF271">
      <w:pPr>
        <w:rPr>
          <w:b/>
          <w:bCs/>
          <w:sz w:val="24"/>
        </w:rPr>
      </w:pPr>
      <w:r w:rsidRPr="006116D6">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056B8" w:rsidRPr="006116D6" w:rsidP="00092D91" w14:paraId="1254AA93" w14:textId="1F2AC495">
      <w:pPr>
        <w:rPr>
          <w:sz w:val="24"/>
        </w:rPr>
      </w:pPr>
    </w:p>
    <w:p w:rsidR="00E056B8" w:rsidRPr="006116D6" w:rsidP="00E056B8" w14:paraId="55C93183" w14:textId="76717B99">
      <w:pPr>
        <w:rPr>
          <w:sz w:val="24"/>
        </w:rPr>
      </w:pPr>
      <w:r w:rsidRPr="006116D6">
        <w:rPr>
          <w:sz w:val="24"/>
        </w:rPr>
        <w:t>In 1977, Congress passed the Fair Debt Collection Practices Act (FDCPA) “to eliminate abusive debt collection practices by debt collectors, to insure that those debt collectors who refrain from using abusive debt collection practices are not competitively disadvantaged, and to promote consistent State action to protect consumers against debt collection abuses.”</w:t>
      </w:r>
      <w:r>
        <w:rPr>
          <w:sz w:val="24"/>
          <w:vertAlign w:val="superscript"/>
        </w:rPr>
        <w:footnoteReference w:id="3"/>
      </w:r>
      <w:r w:rsidRPr="006116D6">
        <w:rPr>
          <w:sz w:val="24"/>
        </w:rPr>
        <w:t xml:space="preserve">  The FDCPA established certain consumer protections but</w:t>
      </w:r>
      <w:r w:rsidRPr="006116D6" w:rsidR="00652404">
        <w:rPr>
          <w:sz w:val="24"/>
        </w:rPr>
        <w:t>, over time,</w:t>
      </w:r>
      <w:r w:rsidRPr="006116D6">
        <w:rPr>
          <w:sz w:val="24"/>
        </w:rPr>
        <w:t xml:space="preserve"> interpretative questions </w:t>
      </w:r>
      <w:r w:rsidRPr="006116D6" w:rsidR="00652404">
        <w:rPr>
          <w:sz w:val="24"/>
        </w:rPr>
        <w:t xml:space="preserve">arose, including </w:t>
      </w:r>
      <w:r w:rsidRPr="006116D6" w:rsidR="00FE7A51">
        <w:rPr>
          <w:sz w:val="24"/>
        </w:rPr>
        <w:t>questions</w:t>
      </w:r>
      <w:r w:rsidRPr="006116D6">
        <w:rPr>
          <w:sz w:val="24"/>
        </w:rPr>
        <w:t xml:space="preserve"> related to communication technologies that did not exist at the time the FDCPA was passed (such as cell phones, text messaging, and email)</w:t>
      </w:r>
      <w:r w:rsidRPr="006116D6" w:rsidR="00FE7A51">
        <w:rPr>
          <w:sz w:val="24"/>
        </w:rPr>
        <w:t>.</w:t>
      </w:r>
      <w:r w:rsidRPr="006116D6">
        <w:rPr>
          <w:sz w:val="24"/>
        </w:rPr>
        <w:t xml:space="preserve">. </w:t>
      </w:r>
    </w:p>
    <w:p w:rsidR="00E056B8" w:rsidRPr="006116D6" w:rsidP="00E056B8" w14:paraId="227D511F" w14:textId="77777777">
      <w:pPr>
        <w:rPr>
          <w:sz w:val="24"/>
        </w:rPr>
      </w:pPr>
    </w:p>
    <w:p w:rsidR="00CD55C4" w:rsidRPr="006116D6" w:rsidP="00CD55C4" w14:paraId="56D48A72" w14:textId="45D2846B">
      <w:pPr>
        <w:rPr>
          <w:sz w:val="24"/>
        </w:rPr>
      </w:pPr>
      <w:r w:rsidRPr="006116D6">
        <w:rPr>
          <w:sz w:val="24"/>
        </w:rPr>
        <w:t xml:space="preserve">Regulation F originally </w:t>
      </w:r>
      <w:r w:rsidRPr="006116D6">
        <w:rPr>
          <w:sz w:val="24"/>
        </w:rPr>
        <w:t xml:space="preserve">provided a procedure whereby State governments may apply to the Bureau for a determination that, under the laws of that State, any class of debt collection practices within that State is subject to requirements that are substantially </w:t>
      </w:r>
      <w:r w:rsidRPr="006116D6">
        <w:rPr>
          <w:sz w:val="24"/>
        </w:rPr>
        <w:t>similar to</w:t>
      </w:r>
      <w:r w:rsidRPr="006116D6">
        <w:rPr>
          <w:sz w:val="24"/>
        </w:rPr>
        <w:t xml:space="preserve">, or provide greater protection for consumers than, those imposed under the FDCPA, and that there is adequate provision for State enforcement of such requirements.  </w:t>
      </w:r>
    </w:p>
    <w:p w:rsidR="006A3569" w:rsidRPr="006116D6" w:rsidP="00CD55C4" w14:paraId="4A5DE0A4" w14:textId="77777777">
      <w:pPr>
        <w:rPr>
          <w:sz w:val="24"/>
        </w:rPr>
      </w:pPr>
    </w:p>
    <w:p w:rsidR="00E056B8" w:rsidRPr="006116D6" w:rsidP="00E056B8" w14:paraId="43A31BFD" w14:textId="198CEE04">
      <w:pPr>
        <w:rPr>
          <w:sz w:val="24"/>
        </w:rPr>
      </w:pPr>
      <w:r>
        <w:rPr>
          <w:sz w:val="24"/>
        </w:rPr>
        <w:t xml:space="preserve">Regulation F was updated in January 2021, </w:t>
      </w:r>
      <w:r w:rsidR="002166EA">
        <w:rPr>
          <w:sz w:val="24"/>
        </w:rPr>
        <w:t>t</w:t>
      </w:r>
      <w:r w:rsidRPr="006116D6">
        <w:rPr>
          <w:sz w:val="24"/>
        </w:rPr>
        <w:t xml:space="preserve">o provide consumers and industry with greater clarity about the FDCPA’s provisions, </w:t>
      </w:r>
      <w:r w:rsidR="002166EA">
        <w:rPr>
          <w:sz w:val="24"/>
        </w:rPr>
        <w:t xml:space="preserve">as to how </w:t>
      </w:r>
      <w:r w:rsidRPr="006116D6">
        <w:rPr>
          <w:sz w:val="24"/>
        </w:rPr>
        <w:t>Regulation F govern</w:t>
      </w:r>
      <w:r w:rsidR="000963A5">
        <w:rPr>
          <w:sz w:val="24"/>
        </w:rPr>
        <w:t>s</w:t>
      </w:r>
      <w:r w:rsidRPr="006116D6">
        <w:rPr>
          <w:sz w:val="24"/>
        </w:rPr>
        <w:t xml:space="preserve"> the activities of debt collectors as that term is defined under the FDCPA</w:t>
      </w:r>
      <w:r w:rsidR="00A560D5">
        <w:rPr>
          <w:sz w:val="24"/>
        </w:rPr>
        <w:t>.</w:t>
      </w:r>
    </w:p>
    <w:p w:rsidR="00E939D3" w:rsidRPr="006116D6" w:rsidP="005F1FFC" w14:paraId="2A8A43BC" w14:textId="77777777">
      <w:pPr>
        <w:rPr>
          <w:sz w:val="24"/>
        </w:rPr>
      </w:pPr>
    </w:p>
    <w:p w:rsidR="00092D91" w:rsidRPr="006116D6" w:rsidP="00092D91" w14:paraId="15554E87" w14:textId="721290C3">
      <w:pPr>
        <w:rPr>
          <w:b/>
          <w:bCs/>
          <w:sz w:val="24"/>
        </w:rPr>
      </w:pPr>
      <w:r w:rsidRPr="006116D6">
        <w:rPr>
          <w:b/>
          <w:bCs/>
          <w:sz w:val="24"/>
        </w:rPr>
        <w:t>2.  Indicate how, by whom, and for what purpose the information is to be used.  Except for a new collection, indicate the actual use the agency has made of the information received from the current collection.</w:t>
      </w:r>
    </w:p>
    <w:p w:rsidR="00E056B8" w:rsidRPr="006116D6" w:rsidP="00092D91" w14:paraId="4D4875EF" w14:textId="6FE13DA5">
      <w:pPr>
        <w:rPr>
          <w:b/>
          <w:bCs/>
          <w:sz w:val="24"/>
        </w:rPr>
      </w:pPr>
    </w:p>
    <w:p w:rsidR="00E056B8" w:rsidRPr="006116D6" w:rsidP="00092D91" w14:paraId="2F06CB65" w14:textId="06BE6A41">
      <w:pPr>
        <w:rPr>
          <w:sz w:val="24"/>
        </w:rPr>
      </w:pPr>
      <w:r w:rsidRPr="006116D6">
        <w:rPr>
          <w:sz w:val="24"/>
          <w:szCs w:val="24"/>
        </w:rPr>
        <w:t>Regulation F</w:t>
      </w:r>
      <w:r w:rsidRPr="006116D6">
        <w:rPr>
          <w:sz w:val="24"/>
          <w:szCs w:val="24"/>
        </w:rPr>
        <w:t xml:space="preserve"> contains information collection requirements that allow the Bureau to make a determination on State applications for a determination that, under the laws of that state, any class of debt collection practices within that State is subject to requirements that are substantially similar to those imposed under sections 803 through 812 of the FDCPA</w:t>
      </w:r>
      <w:r w:rsidRPr="006116D6" w:rsidR="00B73125">
        <w:rPr>
          <w:sz w:val="24"/>
          <w:szCs w:val="24"/>
        </w:rPr>
        <w:t xml:space="preserve"> and the correspo</w:t>
      </w:r>
      <w:r w:rsidRPr="006116D6" w:rsidR="00355790">
        <w:rPr>
          <w:sz w:val="24"/>
          <w:szCs w:val="24"/>
        </w:rPr>
        <w:t>nding provisions of Regulation F</w:t>
      </w:r>
      <w:r w:rsidRPr="006116D6">
        <w:rPr>
          <w:sz w:val="24"/>
          <w:szCs w:val="24"/>
        </w:rPr>
        <w:t xml:space="preserve">, and that there is adequate provision for State enforcement of such requirements. </w:t>
      </w:r>
      <w:r w:rsidR="004F0137">
        <w:rPr>
          <w:sz w:val="24"/>
          <w:szCs w:val="24"/>
        </w:rPr>
        <w:t xml:space="preserve"> </w:t>
      </w:r>
      <w:r w:rsidRPr="006116D6">
        <w:rPr>
          <w:sz w:val="24"/>
          <w:szCs w:val="24"/>
        </w:rPr>
        <w:t xml:space="preserve">Other information collections clarify the content of certain </w:t>
      </w:r>
      <w:r w:rsidRPr="006116D6" w:rsidR="00EB5C82">
        <w:rPr>
          <w:sz w:val="24"/>
          <w:szCs w:val="24"/>
        </w:rPr>
        <w:t xml:space="preserve">required </w:t>
      </w:r>
      <w:r w:rsidRPr="006116D6">
        <w:rPr>
          <w:sz w:val="24"/>
          <w:szCs w:val="24"/>
        </w:rPr>
        <w:t xml:space="preserve">disclosures, such as when a debt collector communicates with a </w:t>
      </w:r>
      <w:r w:rsidRPr="006116D6">
        <w:rPr>
          <w:sz w:val="24"/>
          <w:szCs w:val="24"/>
        </w:rPr>
        <w:t xml:space="preserve">consumer by electronic means. </w:t>
      </w:r>
      <w:r w:rsidR="004F0137">
        <w:rPr>
          <w:sz w:val="24"/>
          <w:szCs w:val="24"/>
        </w:rPr>
        <w:t xml:space="preserve"> </w:t>
      </w:r>
      <w:r w:rsidRPr="006116D6" w:rsidR="00EB5C82">
        <w:rPr>
          <w:sz w:val="24"/>
          <w:szCs w:val="24"/>
        </w:rPr>
        <w:t>Regulation F’s</w:t>
      </w:r>
      <w:r w:rsidRPr="006116D6">
        <w:rPr>
          <w:sz w:val="24"/>
          <w:szCs w:val="24"/>
        </w:rPr>
        <w:t xml:space="preserve"> record retention requirements facilitate the Bureau’s supervision and enforcement of the requirements of the FDCPA and </w:t>
      </w:r>
      <w:r w:rsidRPr="006116D6" w:rsidR="006D6932">
        <w:rPr>
          <w:sz w:val="24"/>
          <w:szCs w:val="24"/>
        </w:rPr>
        <w:t>Regulation F</w:t>
      </w:r>
      <w:r w:rsidRPr="006116D6">
        <w:rPr>
          <w:sz w:val="24"/>
          <w:szCs w:val="24"/>
        </w:rPr>
        <w:t>.</w:t>
      </w:r>
    </w:p>
    <w:p w:rsidR="005F1FFC" w:rsidRPr="006116D6" w:rsidP="005F1FFC" w14:paraId="04B2529C" w14:textId="77777777">
      <w:pPr>
        <w:rPr>
          <w:sz w:val="24"/>
        </w:rPr>
      </w:pPr>
    </w:p>
    <w:p w:rsidR="00092D91" w:rsidRPr="006116D6" w:rsidP="00092D91" w14:paraId="0C7BE16B" w14:textId="32B59D43">
      <w:pPr>
        <w:rPr>
          <w:b/>
          <w:bCs/>
          <w:sz w:val="24"/>
          <w:szCs w:val="24"/>
        </w:rPr>
      </w:pPr>
      <w:r w:rsidRPr="006116D6">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056B8" w:rsidRPr="006116D6" w:rsidP="00092D91" w14:paraId="7C5ED653" w14:textId="5D5116D3">
      <w:pPr>
        <w:rPr>
          <w:b/>
          <w:bCs/>
          <w:sz w:val="24"/>
          <w:szCs w:val="24"/>
        </w:rPr>
      </w:pPr>
    </w:p>
    <w:p w:rsidR="00E056B8" w:rsidRPr="006116D6" w:rsidP="00E056B8" w14:paraId="35F5BDC4" w14:textId="097B0923">
      <w:pPr>
        <w:rPr>
          <w:sz w:val="24"/>
          <w:szCs w:val="24"/>
        </w:rPr>
      </w:pPr>
      <w:r>
        <w:rPr>
          <w:sz w:val="24"/>
          <w:szCs w:val="24"/>
        </w:rPr>
        <w:t>T</w:t>
      </w:r>
      <w:r w:rsidRPr="006116D6">
        <w:rPr>
          <w:sz w:val="24"/>
          <w:szCs w:val="24"/>
        </w:rPr>
        <w:t xml:space="preserve">he application of the FDCPA </w:t>
      </w:r>
      <w:r>
        <w:rPr>
          <w:sz w:val="24"/>
          <w:szCs w:val="24"/>
        </w:rPr>
        <w:t>ha</w:t>
      </w:r>
      <w:r w:rsidR="009D1438">
        <w:rPr>
          <w:sz w:val="24"/>
          <w:szCs w:val="24"/>
        </w:rPr>
        <w:t xml:space="preserve">s </w:t>
      </w:r>
      <w:r w:rsidRPr="006116D6">
        <w:rPr>
          <w:sz w:val="24"/>
          <w:szCs w:val="24"/>
        </w:rPr>
        <w:t>newer communications technologies including email and text messaging</w:t>
      </w:r>
      <w:r w:rsidRPr="006116D6" w:rsidR="00042641">
        <w:rPr>
          <w:sz w:val="24"/>
          <w:szCs w:val="24"/>
        </w:rPr>
        <w:t xml:space="preserve"> and provide</w:t>
      </w:r>
      <w:r w:rsidR="009D1438">
        <w:rPr>
          <w:sz w:val="24"/>
          <w:szCs w:val="24"/>
        </w:rPr>
        <w:t>s</w:t>
      </w:r>
      <w:r w:rsidRPr="006116D6">
        <w:rPr>
          <w:sz w:val="24"/>
          <w:szCs w:val="24"/>
        </w:rPr>
        <w:t xml:space="preserve"> greater clarity about how to provide required disclosures electronically.  Additionally, to ensure that the process of applying for an exemption is both easy and fast, States may submit applications and supporting documentation to the Bureau in paper or electronic form. </w:t>
      </w:r>
      <w:r w:rsidR="009D1438">
        <w:rPr>
          <w:sz w:val="24"/>
          <w:szCs w:val="24"/>
        </w:rPr>
        <w:t xml:space="preserve"> T</w:t>
      </w:r>
      <w:r w:rsidRPr="006116D6">
        <w:rPr>
          <w:sz w:val="24"/>
          <w:szCs w:val="24"/>
        </w:rPr>
        <w:t xml:space="preserve">he record retention provisions </w:t>
      </w:r>
      <w:r w:rsidRPr="006116D6" w:rsidR="00E6159B">
        <w:rPr>
          <w:sz w:val="24"/>
          <w:szCs w:val="24"/>
        </w:rPr>
        <w:t xml:space="preserve">do </w:t>
      </w:r>
      <w:r w:rsidRPr="006116D6">
        <w:rPr>
          <w:sz w:val="24"/>
          <w:szCs w:val="24"/>
        </w:rPr>
        <w:t>not limit the use of available technology to maintain required records</w:t>
      </w:r>
      <w:r w:rsidR="00554AAB">
        <w:rPr>
          <w:sz w:val="24"/>
          <w:szCs w:val="24"/>
        </w:rPr>
        <w:t xml:space="preserve">, it </w:t>
      </w:r>
      <w:r w:rsidRPr="006116D6">
        <w:rPr>
          <w:sz w:val="24"/>
          <w:szCs w:val="24"/>
        </w:rPr>
        <w:t xml:space="preserve">allows covered persons to retain records in a way that reproduces the records accurately (including computer programs) and that ensures the debt collector can easily access the records.  </w:t>
      </w:r>
    </w:p>
    <w:p w:rsidR="00E056B8" w:rsidRPr="006116D6" w:rsidP="00092D91" w14:paraId="0AE5936B" w14:textId="77777777">
      <w:pPr>
        <w:rPr>
          <w:sz w:val="24"/>
          <w:szCs w:val="24"/>
        </w:rPr>
      </w:pPr>
    </w:p>
    <w:p w:rsidR="00092D91" w:rsidRPr="006116D6"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16D6">
        <w:rPr>
          <w:b/>
          <w:sz w:val="24"/>
          <w:szCs w:val="24"/>
        </w:rPr>
        <w:t xml:space="preserve">4.  </w:t>
      </w:r>
      <w:r w:rsidRPr="006116D6">
        <w:rPr>
          <w:b/>
          <w:bCs/>
          <w:sz w:val="24"/>
          <w:szCs w:val="24"/>
        </w:rPr>
        <w:t>Describe efforts to identify duplication.  Show specifically why any similar information already available cannot be used or modified for use for the purposes described in Item A.2 above.</w:t>
      </w:r>
    </w:p>
    <w:p w:rsidR="005F1FFC" w:rsidRPr="006116D6" w:rsidP="005F1FFC" w14:paraId="7339726A" w14:textId="24551F87">
      <w:pPr>
        <w:rPr>
          <w:sz w:val="24"/>
        </w:rPr>
      </w:pPr>
    </w:p>
    <w:p w:rsidR="00E056B8" w:rsidRPr="006116D6" w:rsidP="00E056B8" w14:paraId="0505785F" w14:textId="194E1E45">
      <w:pPr>
        <w:rPr>
          <w:sz w:val="24"/>
        </w:rPr>
      </w:pPr>
      <w:r w:rsidRPr="006116D6">
        <w:rPr>
          <w:bCs/>
          <w:sz w:val="24"/>
        </w:rPr>
        <w:t>The</w:t>
      </w:r>
      <w:r w:rsidRPr="006116D6">
        <w:rPr>
          <w:sz w:val="24"/>
        </w:rPr>
        <w:t xml:space="preserve"> recordkeeping, reporting, and disclosure provisions</w:t>
      </w:r>
      <w:r w:rsidR="00F9502F">
        <w:rPr>
          <w:sz w:val="24"/>
        </w:rPr>
        <w:t xml:space="preserve"> </w:t>
      </w:r>
      <w:r w:rsidRPr="006116D6" w:rsidR="00035622">
        <w:rPr>
          <w:sz w:val="24"/>
        </w:rPr>
        <w:t>do</w:t>
      </w:r>
      <w:r w:rsidRPr="006116D6">
        <w:rPr>
          <w:sz w:val="24"/>
        </w:rPr>
        <w:t xml:space="preserve"> not duplicate any other Federal information collection requirement.  The information collection requirements are unique to this regulation.</w:t>
      </w:r>
    </w:p>
    <w:p w:rsidR="00BE61FE" w:rsidRPr="006116D6" w:rsidP="005F1FFC" w14:paraId="1111F676" w14:textId="77777777">
      <w:pPr>
        <w:rPr>
          <w:sz w:val="24"/>
        </w:rPr>
      </w:pPr>
    </w:p>
    <w:p w:rsidR="00092D91" w:rsidRPr="006116D6" w:rsidP="00092D91" w14:paraId="78977288" w14:textId="5C25EA54">
      <w:pPr>
        <w:pStyle w:val="BodyText"/>
        <w:rPr>
          <w:b/>
          <w:bCs/>
        </w:rPr>
      </w:pPr>
      <w:r w:rsidRPr="006116D6">
        <w:rPr>
          <w:b/>
        </w:rPr>
        <w:t xml:space="preserve">5.  </w:t>
      </w:r>
      <w:r w:rsidRPr="006116D6">
        <w:rPr>
          <w:b/>
          <w:bCs/>
        </w:rPr>
        <w:t>If the collection of information impacts small businesses or other small entities, describe any methods used to minimize burden.</w:t>
      </w:r>
    </w:p>
    <w:p w:rsidR="00E056B8" w:rsidRPr="006116D6" w:rsidP="00092D91" w14:paraId="359B7A26" w14:textId="28A9D148">
      <w:pPr>
        <w:pStyle w:val="BodyText"/>
        <w:rPr>
          <w:b/>
          <w:bCs/>
        </w:rPr>
      </w:pPr>
    </w:p>
    <w:p w:rsidR="00E056B8" w:rsidRPr="006116D6" w:rsidP="00E056B8" w14:paraId="2DDEBADB" w14:textId="078F3FBD">
      <w:pPr>
        <w:pStyle w:val="BodyText"/>
        <w:rPr>
          <w:bCs/>
        </w:rPr>
      </w:pPr>
      <w:r w:rsidRPr="006116D6">
        <w:rPr>
          <w:bCs/>
        </w:rPr>
        <w:t xml:space="preserve">The disclosure and recordkeeping requirements apply to all debt collectors as defined in the FDCPA.  The Bureau estimates that over 90 percent of respondents are small entities.  The Bureau </w:t>
      </w:r>
      <w:r w:rsidRPr="006116D6" w:rsidR="0040510C">
        <w:rPr>
          <w:bCs/>
        </w:rPr>
        <w:t>anticipates</w:t>
      </w:r>
      <w:r w:rsidR="007F378E">
        <w:rPr>
          <w:bCs/>
        </w:rPr>
        <w:t xml:space="preserve"> </w:t>
      </w:r>
      <w:r w:rsidR="00185CAC">
        <w:rPr>
          <w:bCs/>
        </w:rPr>
        <w:t>update</w:t>
      </w:r>
      <w:r w:rsidRPr="006116D6" w:rsidR="009944C5">
        <w:rPr>
          <w:bCs/>
        </w:rPr>
        <w:t>d</w:t>
      </w:r>
      <w:r w:rsidRPr="006116D6">
        <w:rPr>
          <w:bCs/>
        </w:rPr>
        <w:t xml:space="preserve"> </w:t>
      </w:r>
      <w:r w:rsidRPr="006116D6" w:rsidR="009944C5">
        <w:rPr>
          <w:bCs/>
        </w:rPr>
        <w:t xml:space="preserve">provisions </w:t>
      </w:r>
      <w:r w:rsidR="00185CAC">
        <w:rPr>
          <w:bCs/>
        </w:rPr>
        <w:t>within Regulation F</w:t>
      </w:r>
      <w:r w:rsidR="0040510C">
        <w:rPr>
          <w:bCs/>
        </w:rPr>
        <w:t xml:space="preserve"> will </w:t>
      </w:r>
      <w:r w:rsidRPr="006116D6">
        <w:rPr>
          <w:bCs/>
        </w:rPr>
        <w:t xml:space="preserve">reduce the burden of the FDCPA on small entities by </w:t>
      </w:r>
      <w:r w:rsidRPr="006116D6" w:rsidR="00A410D8">
        <w:rPr>
          <w:bCs/>
        </w:rPr>
        <w:t xml:space="preserve">providing additional clarity about how to comply when providing required disclosures and </w:t>
      </w:r>
      <w:r w:rsidRPr="006116D6" w:rsidR="00605BEB">
        <w:rPr>
          <w:bCs/>
        </w:rPr>
        <w:t>clarifying how and how often debt collectors may communicate with consumers</w:t>
      </w:r>
      <w:r w:rsidRPr="006116D6">
        <w:rPr>
          <w:bCs/>
        </w:rPr>
        <w:t>.</w:t>
      </w:r>
    </w:p>
    <w:p w:rsidR="00E056B8" w:rsidRPr="006116D6" w:rsidP="00E056B8" w14:paraId="54B330CF" w14:textId="77777777">
      <w:pPr>
        <w:pStyle w:val="BodyText"/>
        <w:rPr>
          <w:b/>
        </w:rPr>
      </w:pPr>
    </w:p>
    <w:p w:rsidR="00F660E8" w:rsidRPr="006116D6" w:rsidP="00F660E8" w14:paraId="7ACF7470" w14:textId="77777777">
      <w:pPr>
        <w:rPr>
          <w:b/>
          <w:sz w:val="24"/>
          <w:szCs w:val="24"/>
        </w:rPr>
      </w:pPr>
      <w:r w:rsidRPr="006116D6">
        <w:rPr>
          <w:b/>
          <w:sz w:val="24"/>
          <w:szCs w:val="24"/>
        </w:rPr>
        <w:t xml:space="preserve">6.  </w:t>
      </w:r>
      <w:r w:rsidRPr="006116D6">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RPr="006116D6" w:rsidP="005F1FFC" w14:paraId="039568CD" w14:textId="312FB29F">
      <w:pPr>
        <w:rPr>
          <w:sz w:val="24"/>
        </w:rPr>
      </w:pPr>
    </w:p>
    <w:p w:rsidR="00E056B8" w:rsidRPr="006116D6" w:rsidP="00E056B8" w14:paraId="05F47D4F" w14:textId="341AC031">
      <w:pPr>
        <w:rPr>
          <w:sz w:val="24"/>
          <w:lang w:bidi="en-US"/>
        </w:rPr>
      </w:pPr>
      <w:r w:rsidRPr="006116D6">
        <w:rPr>
          <w:sz w:val="24"/>
          <w:lang w:bidi="en-US"/>
        </w:rPr>
        <w:t>Certain information collections are required by the FDCPA</w:t>
      </w:r>
      <w:r w:rsidRPr="006116D6" w:rsidR="00A23FBE">
        <w:rPr>
          <w:sz w:val="24"/>
          <w:lang w:bidi="en-US"/>
        </w:rPr>
        <w:t>; others are</w:t>
      </w:r>
      <w:r w:rsidRPr="006116D6">
        <w:rPr>
          <w:sz w:val="24"/>
          <w:lang w:bidi="en-US"/>
        </w:rPr>
        <w:t xml:space="preserve"> </w:t>
      </w:r>
      <w:r w:rsidRPr="006116D6" w:rsidR="00A23FBE">
        <w:rPr>
          <w:sz w:val="24"/>
          <w:lang w:bidi="en-US"/>
        </w:rPr>
        <w:t xml:space="preserve">required by </w:t>
      </w:r>
      <w:r w:rsidRPr="006116D6" w:rsidR="00DA3397">
        <w:rPr>
          <w:sz w:val="24"/>
          <w:lang w:bidi="en-US"/>
        </w:rPr>
        <w:t xml:space="preserve">Regulation F </w:t>
      </w:r>
      <w:r w:rsidRPr="006116D6" w:rsidR="00A23FBE">
        <w:rPr>
          <w:sz w:val="24"/>
          <w:lang w:bidi="en-US"/>
        </w:rPr>
        <w:t xml:space="preserve">as </w:t>
      </w:r>
      <w:r w:rsidRPr="006116D6">
        <w:rPr>
          <w:sz w:val="24"/>
          <w:lang w:bidi="en-US"/>
        </w:rPr>
        <w:t>interpret</w:t>
      </w:r>
      <w:r w:rsidRPr="006116D6" w:rsidR="00A23FBE">
        <w:rPr>
          <w:sz w:val="24"/>
          <w:lang w:bidi="en-US"/>
        </w:rPr>
        <w:t>ations of</w:t>
      </w:r>
      <w:r w:rsidRPr="006116D6">
        <w:rPr>
          <w:sz w:val="24"/>
          <w:lang w:bidi="en-US"/>
        </w:rPr>
        <w:t xml:space="preserve"> the FDCPA’s requirements.  </w:t>
      </w:r>
      <w:r w:rsidRPr="006116D6" w:rsidR="00DA3397">
        <w:rPr>
          <w:sz w:val="24"/>
          <w:lang w:bidi="en-US"/>
        </w:rPr>
        <w:t>In the absence of the</w:t>
      </w:r>
      <w:r w:rsidR="00BD12CA">
        <w:rPr>
          <w:sz w:val="24"/>
          <w:lang w:bidi="en-US"/>
        </w:rPr>
        <w:t>se</w:t>
      </w:r>
      <w:r w:rsidRPr="006116D6" w:rsidR="00DA3397">
        <w:rPr>
          <w:sz w:val="24"/>
          <w:lang w:bidi="en-US"/>
        </w:rPr>
        <w:t xml:space="preserve"> </w:t>
      </w:r>
      <w:r w:rsidR="00BD12CA">
        <w:rPr>
          <w:sz w:val="24"/>
          <w:lang w:bidi="en-US"/>
        </w:rPr>
        <w:t xml:space="preserve">requirement, </w:t>
      </w:r>
      <w:r w:rsidRPr="006116D6">
        <w:rPr>
          <w:sz w:val="24"/>
          <w:lang w:bidi="en-US"/>
        </w:rPr>
        <w:t>debt collectors and consumers would have less clarity about how the FDCPA applies to certain disclosures</w:t>
      </w:r>
      <w:r w:rsidRPr="006116D6" w:rsidR="00512F0C">
        <w:rPr>
          <w:sz w:val="24"/>
          <w:lang w:bidi="en-US"/>
        </w:rPr>
        <w:t xml:space="preserve">, communications, and other related collection </w:t>
      </w:r>
      <w:r w:rsidRPr="006116D6" w:rsidR="00512F0C">
        <w:rPr>
          <w:sz w:val="24"/>
          <w:lang w:bidi="en-US"/>
        </w:rPr>
        <w:t>activities</w:t>
      </w:r>
      <w:r w:rsidRPr="006116D6">
        <w:rPr>
          <w:sz w:val="24"/>
          <w:lang w:bidi="en-US"/>
        </w:rPr>
        <w:t>.  Without the recordkeeping requirements</w:t>
      </w:r>
      <w:r w:rsidR="009A1EC1">
        <w:rPr>
          <w:sz w:val="24"/>
          <w:lang w:bidi="en-US"/>
        </w:rPr>
        <w:t xml:space="preserve">, </w:t>
      </w:r>
      <w:r w:rsidRPr="006116D6">
        <w:rPr>
          <w:sz w:val="24"/>
          <w:lang w:bidi="en-US"/>
        </w:rPr>
        <w:t xml:space="preserve">the Bureau would not have a tangible mechanism to ensure that consumers are receiving the protections contained in </w:t>
      </w:r>
      <w:r w:rsidR="004C192D">
        <w:rPr>
          <w:sz w:val="24"/>
          <w:lang w:bidi="en-US"/>
        </w:rPr>
        <w:t>Regulation F</w:t>
      </w:r>
      <w:r w:rsidRPr="006116D6">
        <w:rPr>
          <w:sz w:val="24"/>
          <w:lang w:bidi="en-US"/>
        </w:rPr>
        <w:t xml:space="preserve">.  With respect to the State application, failing to collect this information may leave the Bureau without the necessary information as to State law to allow the Bureau to consider and grant </w:t>
      </w:r>
      <w:r w:rsidRPr="006116D6" w:rsidR="008851E8">
        <w:rPr>
          <w:sz w:val="24"/>
          <w:lang w:bidi="en-US"/>
        </w:rPr>
        <w:t xml:space="preserve">an </w:t>
      </w:r>
      <w:r w:rsidRPr="006116D6">
        <w:rPr>
          <w:sz w:val="24"/>
          <w:lang w:bidi="en-US"/>
        </w:rPr>
        <w:t>exemption request.</w:t>
      </w:r>
    </w:p>
    <w:p w:rsidR="00E056B8" w:rsidRPr="006116D6" w:rsidP="005F1FFC" w14:paraId="0DE446AC" w14:textId="77777777">
      <w:pPr>
        <w:rPr>
          <w:sz w:val="24"/>
        </w:rPr>
      </w:pPr>
    </w:p>
    <w:p w:rsidR="00F660E8" w:rsidRPr="006116D6"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116D6">
        <w:rPr>
          <w:b/>
          <w:sz w:val="24"/>
          <w:szCs w:val="24"/>
        </w:rPr>
        <w:t xml:space="preserve">7.  </w:t>
      </w:r>
      <w:r w:rsidRPr="006116D6">
        <w:rPr>
          <w:b/>
          <w:bCs/>
          <w:sz w:val="24"/>
          <w:szCs w:val="24"/>
        </w:rPr>
        <w:t>Explain any special circumstances that would cause an information collection to be conducted in a manner:</w:t>
      </w:r>
    </w:p>
    <w:p w:rsidR="00F660E8" w:rsidRPr="006116D6"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6116D6">
        <w:rPr>
          <w:b/>
          <w:bCs/>
          <w:sz w:val="24"/>
          <w:szCs w:val="24"/>
        </w:rPr>
        <w:t xml:space="preserve">requiring respondents to report information to the agency more often than </w:t>
      </w:r>
      <w:r w:rsidRPr="006116D6">
        <w:rPr>
          <w:b/>
          <w:bCs/>
          <w:sz w:val="24"/>
          <w:szCs w:val="24"/>
        </w:rPr>
        <w:t>quarterly;</w:t>
      </w:r>
    </w:p>
    <w:p w:rsidR="00F660E8" w:rsidRPr="006116D6"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6116D6">
        <w:rPr>
          <w:b/>
          <w:bCs/>
          <w:sz w:val="24"/>
          <w:szCs w:val="24"/>
        </w:rPr>
        <w:t xml:space="preserve">requiring respondents to prepare a written response to a collection of information in fewer than 30 days after receipt of </w:t>
      </w:r>
      <w:r w:rsidRPr="006116D6">
        <w:rPr>
          <w:b/>
          <w:bCs/>
          <w:sz w:val="24"/>
          <w:szCs w:val="24"/>
        </w:rPr>
        <w:t>it;</w:t>
      </w:r>
    </w:p>
    <w:p w:rsidR="00F660E8" w:rsidRPr="006116D6"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6116D6">
        <w:rPr>
          <w:b/>
          <w:bCs/>
          <w:sz w:val="24"/>
          <w:szCs w:val="24"/>
        </w:rPr>
        <w:t xml:space="preserve">requiring respondents to submit more than an original and two copies of any </w:t>
      </w:r>
      <w:r w:rsidRPr="006116D6">
        <w:rPr>
          <w:b/>
          <w:bCs/>
          <w:sz w:val="24"/>
          <w:szCs w:val="24"/>
        </w:rPr>
        <w:t>document;</w:t>
      </w:r>
    </w:p>
    <w:p w:rsidR="00F660E8" w:rsidRPr="006116D6"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6116D6">
        <w:rPr>
          <w:b/>
          <w:bCs/>
          <w:sz w:val="24"/>
          <w:szCs w:val="24"/>
        </w:rPr>
        <w:t xml:space="preserve">requiring respondents to retain records, other than health, medical, government contract, grant-in-aid, or tax records for more than three </w:t>
      </w:r>
      <w:r w:rsidRPr="006116D6">
        <w:rPr>
          <w:b/>
          <w:bCs/>
          <w:sz w:val="24"/>
          <w:szCs w:val="24"/>
        </w:rPr>
        <w:t>years;</w:t>
      </w:r>
    </w:p>
    <w:p w:rsidR="00F660E8" w:rsidRPr="006116D6"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116D6">
        <w:rPr>
          <w:b/>
          <w:bCs/>
        </w:rPr>
        <w:t xml:space="preserve">in connection with a statistical survey, that is not designed to produce valid and reliable results that can be generalized to the universe of </w:t>
      </w:r>
      <w:r w:rsidRPr="006116D6">
        <w:rPr>
          <w:b/>
          <w:bCs/>
        </w:rPr>
        <w:t>study;</w:t>
      </w:r>
    </w:p>
    <w:p w:rsidR="00F660E8" w:rsidRPr="006116D6"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116D6">
        <w:rPr>
          <w:b/>
          <w:bCs/>
        </w:rPr>
        <w:t xml:space="preserve">requiring the use of statistical data classification that has not been reviewed and approved by </w:t>
      </w:r>
      <w:r w:rsidRPr="006116D6">
        <w:rPr>
          <w:b/>
          <w:bCs/>
        </w:rPr>
        <w:t>OMB;</w:t>
      </w:r>
    </w:p>
    <w:p w:rsidR="00F660E8" w:rsidRPr="006116D6"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116D6">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6116D6"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6D6">
        <w:rPr>
          <w:b/>
          <w:bCs/>
        </w:rPr>
        <w:t>requiring respondents to submit proprietary trade secret, or other confidential information unless the agency can demonstrate that it has instituted procedures to protect the information's confidentially to the extent permitted by law.</w:t>
      </w:r>
    </w:p>
    <w:p w:rsidR="00E939D3" w:rsidRPr="006116D6" w:rsidP="00E056B8" w14:paraId="630F2A4B" w14:textId="64A4D585">
      <w:pPr>
        <w:rPr>
          <w:sz w:val="24"/>
        </w:rPr>
      </w:pPr>
    </w:p>
    <w:p w:rsidR="00E056B8" w:rsidRPr="006116D6" w:rsidP="00E056B8" w14:paraId="354B0034" w14:textId="77777777">
      <w:pPr>
        <w:rPr>
          <w:sz w:val="24"/>
        </w:rPr>
      </w:pPr>
      <w:r w:rsidRPr="006116D6">
        <w:rPr>
          <w:sz w:val="24"/>
        </w:rPr>
        <w:t xml:space="preserve">There are no special circumstances.  The collection of information requirements </w:t>
      </w:r>
      <w:r w:rsidRPr="006116D6">
        <w:rPr>
          <w:sz w:val="24"/>
        </w:rPr>
        <w:t>are</w:t>
      </w:r>
      <w:r w:rsidRPr="006116D6">
        <w:rPr>
          <w:sz w:val="24"/>
        </w:rPr>
        <w:t xml:space="preserve"> consistent with the applicable guidelines contained in 5 CFR § 1320.5(d)(2).</w:t>
      </w:r>
    </w:p>
    <w:p w:rsidR="00E056B8" w:rsidRPr="006116D6" w:rsidP="00E056B8" w14:paraId="79AAD2A0" w14:textId="77777777">
      <w:pPr>
        <w:rPr>
          <w:sz w:val="24"/>
        </w:rPr>
      </w:pPr>
    </w:p>
    <w:p w:rsidR="00F660E8" w:rsidRPr="006116D6"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6116D6">
        <w:rPr>
          <w:b/>
          <w:sz w:val="24"/>
          <w:szCs w:val="24"/>
        </w:rPr>
        <w:t xml:space="preserve">8.  </w:t>
      </w:r>
      <w:r w:rsidRPr="006116D6">
        <w:rPr>
          <w:b/>
          <w:bCs/>
          <w:sz w:val="24"/>
          <w:szCs w:val="24"/>
        </w:rPr>
        <w:t xml:space="preserve">If applicable, provide a copy and identify the date and page number of </w:t>
      </w:r>
      <w:r w:rsidRPr="006116D6">
        <w:rPr>
          <w:b/>
          <w:bCs/>
          <w:sz w:val="24"/>
          <w:szCs w:val="24"/>
        </w:rPr>
        <w:t>publication</w:t>
      </w:r>
      <w:r w:rsidRPr="006116D6">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6116D6"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6116D6"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6116D6">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6116D6"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6116D6"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16D6">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RPr="006116D6" w:rsidP="005F1FFC" w14:paraId="3454479C" w14:textId="77777777">
      <w:pPr>
        <w:rPr>
          <w:sz w:val="24"/>
        </w:rPr>
      </w:pPr>
    </w:p>
    <w:p w:rsidR="00BC56A2" w:rsidRPr="006116D6" w:rsidP="00BC56A2" w14:paraId="4EF51BBA" w14:textId="2E50EBAA">
      <w:pPr>
        <w:rPr>
          <w:bCs/>
          <w:sz w:val="24"/>
        </w:rPr>
      </w:pPr>
      <w:r w:rsidRPr="006116D6">
        <w:rPr>
          <w:bCs/>
          <w:sz w:val="24"/>
        </w:rPr>
        <w:t xml:space="preserve">In accordance with 5 CFR §1320.8(d)(1), the Bureau has published a notice in </w:t>
      </w:r>
      <w:r w:rsidRPr="006116D6">
        <w:rPr>
          <w:bCs/>
          <w:iCs/>
          <w:sz w:val="24"/>
        </w:rPr>
        <w:t>Federal Register</w:t>
      </w:r>
      <w:r w:rsidRPr="006116D6">
        <w:rPr>
          <w:bCs/>
          <w:sz w:val="24"/>
        </w:rPr>
        <w:t xml:space="preserve"> that provides the public 60 calendar days to comment on the extension of reporting requirements contained within OMB Control No. 3170-00</w:t>
      </w:r>
      <w:r w:rsidRPr="006116D6" w:rsidR="003D6DF9">
        <w:rPr>
          <w:bCs/>
          <w:sz w:val="24"/>
        </w:rPr>
        <w:t>56</w:t>
      </w:r>
      <w:r w:rsidRPr="006116D6">
        <w:rPr>
          <w:bCs/>
          <w:sz w:val="24"/>
        </w:rPr>
        <w:t>.</w:t>
      </w:r>
      <w:r>
        <w:rPr>
          <w:rStyle w:val="FootnoteReference"/>
          <w:bCs/>
          <w:sz w:val="24"/>
        </w:rPr>
        <w:footnoteReference w:id="4"/>
      </w:r>
      <w:r w:rsidR="007F2A90">
        <w:rPr>
          <w:bCs/>
          <w:sz w:val="24"/>
        </w:rPr>
        <w:t xml:space="preserve">  </w:t>
      </w:r>
      <w:r w:rsidR="005E3CBB">
        <w:rPr>
          <w:bCs/>
          <w:sz w:val="24"/>
        </w:rPr>
        <w:t>No comments were received.</w:t>
      </w:r>
    </w:p>
    <w:p w:rsidR="004E1F5B" w:rsidRPr="006116D6" w:rsidP="00BC56A2" w14:paraId="13830F01" w14:textId="77777777">
      <w:pPr>
        <w:rPr>
          <w:bCs/>
          <w:sz w:val="24"/>
        </w:rPr>
      </w:pPr>
    </w:p>
    <w:p w:rsidR="00BE61FE" w:rsidRPr="006116D6" w:rsidP="00BC56A2" w14:paraId="18A7A451" w14:textId="572A84AE">
      <w:pPr>
        <w:rPr>
          <w:bCs/>
          <w:sz w:val="24"/>
        </w:rPr>
      </w:pPr>
      <w:r w:rsidRPr="006116D6">
        <w:rPr>
          <w:bCs/>
          <w:sz w:val="24"/>
        </w:rPr>
        <w:t xml:space="preserve">Also, </w:t>
      </w:r>
      <w:r w:rsidRPr="006116D6" w:rsidR="00BC56A2">
        <w:rPr>
          <w:bCs/>
          <w:sz w:val="24"/>
        </w:rPr>
        <w:t xml:space="preserve">in accordance with 5 CFR §1320.5(a)(1)(iv), the Bureau has also published a notice in the </w:t>
      </w:r>
      <w:r w:rsidRPr="006116D6" w:rsidR="00BC56A2">
        <w:rPr>
          <w:bCs/>
          <w:iCs/>
          <w:sz w:val="24"/>
        </w:rPr>
        <w:t>Federal Register</w:t>
      </w:r>
      <w:r w:rsidRPr="006116D6" w:rsidR="00BC56A2">
        <w:rPr>
          <w:bCs/>
          <w:sz w:val="24"/>
        </w:rPr>
        <w:t xml:space="preserve"> </w:t>
      </w:r>
      <w:r w:rsidRPr="006116D6">
        <w:rPr>
          <w:bCs/>
          <w:sz w:val="24"/>
        </w:rPr>
        <w:t>providing</w:t>
      </w:r>
      <w:r w:rsidRPr="006116D6" w:rsidR="00BC56A2">
        <w:rPr>
          <w:bCs/>
          <w:sz w:val="24"/>
        </w:rPr>
        <w:t xml:space="preserve"> the public 30 days to comment </w:t>
      </w:r>
      <w:r w:rsidRPr="006116D6">
        <w:rPr>
          <w:bCs/>
          <w:sz w:val="24"/>
        </w:rPr>
        <w:t>on reporting requirements contained within th</w:t>
      </w:r>
      <w:r w:rsidRPr="006116D6" w:rsidR="009D7886">
        <w:rPr>
          <w:bCs/>
          <w:sz w:val="24"/>
        </w:rPr>
        <w:t>is</w:t>
      </w:r>
      <w:r w:rsidRPr="006116D6">
        <w:rPr>
          <w:bCs/>
          <w:sz w:val="24"/>
        </w:rPr>
        <w:t xml:space="preserve"> information collection request.</w:t>
      </w:r>
      <w:r>
        <w:rPr>
          <w:rStyle w:val="FootnoteReference"/>
          <w:bCs/>
          <w:sz w:val="24"/>
        </w:rPr>
        <w:footnoteReference w:id="5"/>
      </w:r>
    </w:p>
    <w:p w:rsidR="00E939D3" w:rsidRPr="006116D6" w:rsidP="005F1FFC" w14:paraId="6891C959" w14:textId="77777777">
      <w:pPr>
        <w:rPr>
          <w:sz w:val="24"/>
        </w:rPr>
      </w:pPr>
    </w:p>
    <w:p w:rsidR="00F660E8" w:rsidRPr="006116D6" w:rsidP="00F660E8" w14:paraId="3BE65949" w14:textId="77777777">
      <w:pPr>
        <w:autoSpaceDE w:val="0"/>
        <w:autoSpaceDN w:val="0"/>
        <w:adjustRightInd w:val="0"/>
        <w:rPr>
          <w:b/>
          <w:sz w:val="24"/>
          <w:szCs w:val="24"/>
        </w:rPr>
      </w:pPr>
      <w:r w:rsidRPr="006116D6">
        <w:rPr>
          <w:b/>
          <w:sz w:val="24"/>
          <w:szCs w:val="24"/>
        </w:rPr>
        <w:t xml:space="preserve">9.  </w:t>
      </w:r>
      <w:r w:rsidRPr="006116D6">
        <w:rPr>
          <w:b/>
          <w:bCs/>
          <w:sz w:val="24"/>
          <w:szCs w:val="24"/>
        </w:rPr>
        <w:t>Explain any decision to provide any payments or gifts to respondents, other than remuneration of contractors or grantees.</w:t>
      </w:r>
    </w:p>
    <w:p w:rsidR="005F1FFC" w:rsidRPr="006116D6" w:rsidP="005F1FFC" w14:paraId="0EFC2C53" w14:textId="295F44A1">
      <w:pPr>
        <w:rPr>
          <w:sz w:val="24"/>
        </w:rPr>
      </w:pPr>
    </w:p>
    <w:p w:rsidR="00E056B8" w:rsidRPr="006116D6" w:rsidP="00E056B8" w14:paraId="534BF7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116D6">
        <w:rPr>
          <w:sz w:val="24"/>
          <w:szCs w:val="24"/>
        </w:rPr>
        <w:t>Not applicable.  No payment, gifts, or other incentives are provided to respondents.</w:t>
      </w:r>
    </w:p>
    <w:p w:rsidR="00A93967" w:rsidRPr="006116D6" w:rsidP="009E1042" w14:paraId="7CFFEB9F" w14:textId="77777777">
      <w:pPr>
        <w:rPr>
          <w:sz w:val="24"/>
          <w:szCs w:val="24"/>
        </w:rPr>
      </w:pPr>
    </w:p>
    <w:p w:rsidR="00F660E8" w:rsidRPr="006116D6" w:rsidP="00F660E8" w14:paraId="00FF3777" w14:textId="77777777">
      <w:pPr>
        <w:rPr>
          <w:b/>
          <w:sz w:val="24"/>
          <w:szCs w:val="24"/>
        </w:rPr>
      </w:pPr>
      <w:r w:rsidRPr="006116D6">
        <w:rPr>
          <w:b/>
          <w:sz w:val="24"/>
          <w:szCs w:val="24"/>
        </w:rPr>
        <w:t xml:space="preserve">10.  </w:t>
      </w:r>
      <w:r w:rsidRPr="006116D6">
        <w:rPr>
          <w:b/>
          <w:bCs/>
          <w:sz w:val="24"/>
          <w:szCs w:val="24"/>
        </w:rPr>
        <w:t>Describe any assurance of confidentiality provided to respondents and the basis for the assurance in statute, regulation, or agency policy.</w:t>
      </w:r>
    </w:p>
    <w:p w:rsidR="005F1FFC" w:rsidRPr="006116D6" w:rsidP="00E056B8" w14:paraId="59FF77B7" w14:textId="7EDBBE42">
      <w:pPr>
        <w:rPr>
          <w:sz w:val="24"/>
        </w:rPr>
      </w:pPr>
    </w:p>
    <w:p w:rsidR="00E056B8" w:rsidRPr="006116D6" w:rsidP="00E056B8" w14:paraId="0A9C7748" w14:textId="7794E4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116D6">
        <w:rPr>
          <w:sz w:val="24"/>
          <w:szCs w:val="24"/>
        </w:rPr>
        <w:t xml:space="preserve">The information collected under </w:t>
      </w:r>
      <w:r w:rsidR="00040FA0">
        <w:rPr>
          <w:sz w:val="24"/>
          <w:szCs w:val="24"/>
        </w:rPr>
        <w:t>State</w:t>
      </w:r>
      <w:r w:rsidR="001F318F">
        <w:rPr>
          <w:sz w:val="24"/>
          <w:szCs w:val="24"/>
        </w:rPr>
        <w:t xml:space="preserve"> </w:t>
      </w:r>
      <w:r w:rsidRPr="006116D6">
        <w:rPr>
          <w:sz w:val="24"/>
          <w:szCs w:val="24"/>
        </w:rPr>
        <w:t>application relates to State law and would not be confidential.  To the extent that information covered by a recordkeeping requirement is collected by the Bureau for law enforcement purposes, the confidentiality provisions of the Bureau’s rules on the Disclosure of Records and Information, 12 CFR part 1070, would apply.</w:t>
      </w:r>
    </w:p>
    <w:p w:rsidR="00A93967" w:rsidRPr="006116D6" w:rsidP="005F1FFC" w14:paraId="2A4F7C4C" w14:textId="77777777">
      <w:pPr>
        <w:ind w:left="720"/>
        <w:rPr>
          <w:sz w:val="24"/>
        </w:rPr>
      </w:pPr>
    </w:p>
    <w:p w:rsidR="00F660E8" w:rsidRPr="006116D6" w:rsidP="00F660E8" w14:paraId="466038D0" w14:textId="77777777">
      <w:pPr>
        <w:rPr>
          <w:sz w:val="24"/>
        </w:rPr>
      </w:pPr>
      <w:r w:rsidRPr="006116D6">
        <w:rPr>
          <w:b/>
          <w:sz w:val="24"/>
          <w:szCs w:val="24"/>
        </w:rPr>
        <w:t xml:space="preserve">11.  </w:t>
      </w:r>
      <w:r w:rsidRPr="006116D6">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1FFC" w:rsidRPr="006116D6" w:rsidP="00E056B8" w14:paraId="74706F28" w14:textId="6DE89107">
      <w:pPr>
        <w:rPr>
          <w:sz w:val="24"/>
        </w:rPr>
      </w:pPr>
    </w:p>
    <w:p w:rsidR="00E056B8" w:rsidRPr="006116D6" w:rsidP="00E056B8" w14:paraId="06CB50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116D6">
        <w:rPr>
          <w:sz w:val="24"/>
          <w:szCs w:val="24"/>
        </w:rPr>
        <w:t>There is no information of a sensitive nature being requested by the Bureau under this information collection.</w:t>
      </w:r>
    </w:p>
    <w:p w:rsidR="00E056B8" w:rsidRPr="006116D6" w:rsidP="00E056B8" w14:paraId="0E10A9A4" w14:textId="77777777">
      <w:pPr>
        <w:rPr>
          <w:sz w:val="24"/>
        </w:rPr>
      </w:pPr>
    </w:p>
    <w:p w:rsidR="00F660E8" w:rsidRPr="006116D6" w:rsidP="00F660E8" w14:paraId="7F32CD21" w14:textId="77777777">
      <w:pPr>
        <w:contextualSpacing/>
        <w:rPr>
          <w:b/>
          <w:sz w:val="24"/>
          <w:szCs w:val="24"/>
        </w:rPr>
      </w:pPr>
      <w:r w:rsidRPr="006116D6">
        <w:rPr>
          <w:b/>
          <w:sz w:val="24"/>
          <w:szCs w:val="24"/>
        </w:rPr>
        <w:t>12.  Provide estimates of the hour burden of the collection of information.  The statement should:</w:t>
      </w:r>
    </w:p>
    <w:p w:rsidR="00F660E8" w:rsidRPr="006116D6"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6116D6">
        <w:rPr>
          <w:b/>
          <w:bCs/>
          <w:sz w:val="24"/>
          <w:szCs w:val="24"/>
        </w:rPr>
        <w:t xml:space="preserve">Indicate the number of respondents, frequency of response, annual hour burden, and an explanation of how the burden was estimated.  Unless </w:t>
      </w:r>
      <w:r w:rsidRPr="006116D6">
        <w:rPr>
          <w:b/>
          <w:bCs/>
          <w:sz w:val="24"/>
          <w:szCs w:val="24"/>
        </w:rPr>
        <w:t>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660E8" w:rsidRPr="006116D6"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6116D6">
        <w:rPr>
          <w:b/>
          <w:bCs/>
          <w:sz w:val="24"/>
          <w:szCs w:val="24"/>
        </w:rPr>
        <w:t>If this request for approval covers more than one form, provide separate hour burden estimates for each form.</w:t>
      </w:r>
    </w:p>
    <w:p w:rsidR="00F660E8" w:rsidRPr="006116D6"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6116D6">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650D5" w:rsidRPr="006116D6" w:rsidP="005F1FFC" w14:paraId="57D497F1" w14:textId="77777777">
      <w:pPr>
        <w:rPr>
          <w:bCs/>
          <w:sz w:val="24"/>
        </w:rPr>
      </w:pPr>
    </w:p>
    <w:p w:rsidR="00E056B8" w:rsidRPr="006116D6" w:rsidP="00E056B8" w14:paraId="657233BC" w14:textId="31C0AB8E">
      <w:pPr>
        <w:rPr>
          <w:bCs/>
          <w:sz w:val="24"/>
        </w:rPr>
      </w:pPr>
      <w:r w:rsidRPr="006116D6">
        <w:rPr>
          <w:bCs/>
          <w:sz w:val="24"/>
          <w:u w:val="single"/>
        </w:rPr>
        <w:t>Total Hours Allocated to CFPB:</w:t>
      </w:r>
      <w:r w:rsidRPr="006116D6">
        <w:rPr>
          <w:bCs/>
          <w:sz w:val="24"/>
        </w:rPr>
        <w:t xml:space="preserve">  </w:t>
      </w:r>
      <w:r w:rsidRPr="006116D6">
        <w:rPr>
          <w:b/>
          <w:bCs/>
          <w:sz w:val="24"/>
        </w:rPr>
        <w:t>8</w:t>
      </w:r>
      <w:r w:rsidRPr="006116D6" w:rsidR="00F1600A">
        <w:rPr>
          <w:b/>
          <w:bCs/>
          <w:sz w:val="24"/>
        </w:rPr>
        <w:t>58,343</w:t>
      </w:r>
    </w:p>
    <w:p w:rsidR="00E056B8" w:rsidRPr="006116D6" w:rsidP="00E056B8" w14:paraId="6937AE54" w14:textId="77777777">
      <w:pPr>
        <w:rPr>
          <w:bCs/>
          <w:sz w:val="24"/>
        </w:rPr>
      </w:pPr>
    </w:p>
    <w:p w:rsidR="00E056B8" w:rsidRPr="006116D6" w:rsidP="00E056B8" w14:paraId="1827B019" w14:textId="23BFD9C1">
      <w:pPr>
        <w:rPr>
          <w:bCs/>
          <w:sz w:val="24"/>
        </w:rPr>
      </w:pPr>
      <w:r w:rsidRPr="006116D6">
        <w:rPr>
          <w:bCs/>
          <w:sz w:val="24"/>
          <w:u w:val="single"/>
        </w:rPr>
        <w:t>Total Associated Labor Costs Allocated to CFPB:</w:t>
      </w:r>
      <w:r w:rsidRPr="006116D6">
        <w:rPr>
          <w:bCs/>
          <w:sz w:val="24"/>
        </w:rPr>
        <w:t xml:space="preserve">  </w:t>
      </w:r>
      <w:r w:rsidRPr="006116D6">
        <w:rPr>
          <w:b/>
          <w:bCs/>
          <w:sz w:val="24"/>
        </w:rPr>
        <w:t>$1</w:t>
      </w:r>
      <w:r w:rsidR="00063699">
        <w:rPr>
          <w:b/>
          <w:bCs/>
          <w:sz w:val="24"/>
        </w:rPr>
        <w:t>8,986,623</w:t>
      </w:r>
    </w:p>
    <w:p w:rsidR="00E056B8" w:rsidRPr="006116D6" w:rsidP="00E056B8" w14:paraId="459B71EB" w14:textId="77777777">
      <w:pPr>
        <w:rPr>
          <w:bCs/>
          <w:sz w:val="24"/>
        </w:rPr>
      </w:pPr>
    </w:p>
    <w:p w:rsidR="00E056B8" w:rsidRPr="006116D6" w:rsidP="00E056B8" w14:paraId="776E1F1B" w14:textId="77777777">
      <w:pPr>
        <w:rPr>
          <w:bCs/>
          <w:i/>
          <w:sz w:val="24"/>
        </w:rPr>
      </w:pPr>
      <w:r w:rsidRPr="006116D6">
        <w:rPr>
          <w:bCs/>
          <w:i/>
          <w:sz w:val="24"/>
        </w:rPr>
        <w:t>Covered Entities</w:t>
      </w:r>
    </w:p>
    <w:p w:rsidR="00E056B8" w:rsidRPr="006116D6" w:rsidP="00E056B8" w14:paraId="56AC4DBC" w14:textId="77777777">
      <w:pPr>
        <w:rPr>
          <w:bCs/>
          <w:sz w:val="24"/>
        </w:rPr>
      </w:pPr>
    </w:p>
    <w:p w:rsidR="00E056B8" w:rsidRPr="006116D6" w:rsidP="00E056B8" w14:paraId="2B2F1A1D" w14:textId="77777777">
      <w:pPr>
        <w:rPr>
          <w:bCs/>
          <w:sz w:val="24"/>
        </w:rPr>
      </w:pPr>
      <w:r w:rsidRPr="006116D6">
        <w:rPr>
          <w:bCs/>
          <w:sz w:val="24"/>
        </w:rPr>
        <w:t xml:space="preserve">The Provision for a State application for a waiver applies to the 53 State and US territorial governments only. </w:t>
      </w:r>
    </w:p>
    <w:p w:rsidR="00E056B8" w:rsidRPr="006116D6" w:rsidP="00E056B8" w14:paraId="490984D4" w14:textId="77777777">
      <w:pPr>
        <w:rPr>
          <w:bCs/>
          <w:sz w:val="24"/>
        </w:rPr>
      </w:pPr>
    </w:p>
    <w:p w:rsidR="00E056B8" w:rsidRPr="006116D6" w:rsidP="00E056B8" w14:paraId="0D399EFF" w14:textId="04A3E4C4">
      <w:pPr>
        <w:rPr>
          <w:bCs/>
          <w:sz w:val="24"/>
        </w:rPr>
      </w:pPr>
      <w:r w:rsidRPr="006116D6">
        <w:rPr>
          <w:bCs/>
          <w:sz w:val="24"/>
        </w:rPr>
        <w:t xml:space="preserve">The Bureau has identified four categories of entities that </w:t>
      </w:r>
      <w:r w:rsidRPr="006116D6" w:rsidR="00054AD4">
        <w:rPr>
          <w:bCs/>
          <w:sz w:val="24"/>
        </w:rPr>
        <w:t>are</w:t>
      </w:r>
      <w:r w:rsidRPr="006116D6">
        <w:rPr>
          <w:bCs/>
          <w:sz w:val="24"/>
        </w:rPr>
        <w:t xml:space="preserve"> considered debt collectors and </w:t>
      </w:r>
      <w:r w:rsidRPr="006116D6" w:rsidR="00054AD4">
        <w:rPr>
          <w:bCs/>
          <w:sz w:val="24"/>
        </w:rPr>
        <w:t xml:space="preserve">are </w:t>
      </w:r>
      <w:r w:rsidRPr="006116D6">
        <w:rPr>
          <w:bCs/>
          <w:sz w:val="24"/>
        </w:rPr>
        <w:t xml:space="preserve">therefore subject to the </w:t>
      </w:r>
      <w:r w:rsidRPr="006116D6" w:rsidR="00054AD4">
        <w:rPr>
          <w:bCs/>
          <w:sz w:val="24"/>
        </w:rPr>
        <w:t>regulation</w:t>
      </w:r>
      <w:r w:rsidRPr="006116D6">
        <w:rPr>
          <w:bCs/>
          <w:sz w:val="24"/>
        </w:rPr>
        <w:t>:</w:t>
      </w:r>
    </w:p>
    <w:p w:rsidR="00E056B8" w:rsidRPr="006116D6" w:rsidP="00E056B8" w14:paraId="76955847" w14:textId="62C1E798">
      <w:pPr>
        <w:numPr>
          <w:ilvl w:val="0"/>
          <w:numId w:val="22"/>
        </w:numPr>
        <w:rPr>
          <w:bCs/>
          <w:sz w:val="24"/>
        </w:rPr>
      </w:pPr>
      <w:r w:rsidRPr="006116D6">
        <w:rPr>
          <w:sz w:val="24"/>
          <w:szCs w:val="24"/>
        </w:rPr>
        <w:t xml:space="preserve">Collection Agencies – </w:t>
      </w:r>
      <w:r w:rsidRPr="006116D6" w:rsidR="00F1600A">
        <w:rPr>
          <w:sz w:val="24"/>
          <w:szCs w:val="24"/>
        </w:rPr>
        <w:t>7,10</w:t>
      </w:r>
      <w:r w:rsidRPr="006116D6" w:rsidR="00B664AE">
        <w:rPr>
          <w:sz w:val="24"/>
          <w:szCs w:val="24"/>
        </w:rPr>
        <w:t>7</w:t>
      </w:r>
      <w:r w:rsidRPr="006116D6">
        <w:rPr>
          <w:sz w:val="24"/>
          <w:szCs w:val="24"/>
        </w:rPr>
        <w:t xml:space="preserve"> firms primarily engaged in collecting payments for claims and remitting payments collected to their </w:t>
      </w:r>
      <w:r w:rsidRPr="006116D6">
        <w:rPr>
          <w:sz w:val="24"/>
          <w:szCs w:val="24"/>
        </w:rPr>
        <w:t>clients;</w:t>
      </w:r>
      <w:r>
        <w:rPr>
          <w:sz w:val="24"/>
          <w:szCs w:val="24"/>
          <w:vertAlign w:val="superscript"/>
        </w:rPr>
        <w:footnoteReference w:id="6"/>
      </w:r>
    </w:p>
    <w:p w:rsidR="00E056B8" w:rsidRPr="006116D6" w:rsidP="00E056B8" w14:paraId="5A688C1C" w14:textId="129675D5">
      <w:pPr>
        <w:numPr>
          <w:ilvl w:val="0"/>
          <w:numId w:val="22"/>
        </w:numPr>
        <w:rPr>
          <w:bCs/>
          <w:sz w:val="24"/>
        </w:rPr>
      </w:pPr>
      <w:r w:rsidRPr="006116D6">
        <w:rPr>
          <w:bCs/>
          <w:sz w:val="24"/>
        </w:rPr>
        <w:t xml:space="preserve">Debt Buyers – </w:t>
      </w:r>
      <w:r w:rsidRPr="006116D6" w:rsidR="00F1600A">
        <w:rPr>
          <w:bCs/>
          <w:sz w:val="24"/>
        </w:rPr>
        <w:t>660</w:t>
      </w:r>
      <w:r w:rsidRPr="006116D6">
        <w:rPr>
          <w:bCs/>
          <w:sz w:val="24"/>
        </w:rPr>
        <w:t xml:space="preserve"> firms primarily engaged in purchasing delinquent accounts from creditors and attempting to collect amounts owed, themselves or through </w:t>
      </w:r>
      <w:r w:rsidRPr="006116D6">
        <w:rPr>
          <w:bCs/>
          <w:sz w:val="24"/>
        </w:rPr>
        <w:t>agents;</w:t>
      </w:r>
      <w:r>
        <w:rPr>
          <w:bCs/>
          <w:sz w:val="24"/>
          <w:vertAlign w:val="superscript"/>
        </w:rPr>
        <w:footnoteReference w:id="7"/>
      </w:r>
    </w:p>
    <w:p w:rsidR="00E056B8" w:rsidRPr="00CF31C0" w:rsidP="00E056B8" w14:paraId="77D3F2CC" w14:textId="3E4DF971">
      <w:pPr>
        <w:numPr>
          <w:ilvl w:val="0"/>
          <w:numId w:val="22"/>
        </w:numPr>
        <w:rPr>
          <w:bCs/>
          <w:sz w:val="24"/>
        </w:rPr>
      </w:pPr>
      <w:r w:rsidRPr="00CF31C0">
        <w:rPr>
          <w:bCs/>
          <w:sz w:val="24"/>
        </w:rPr>
        <w:t xml:space="preserve">Collection Law Firms – </w:t>
      </w:r>
      <w:r w:rsidRPr="00CF31C0" w:rsidR="00F1600A">
        <w:rPr>
          <w:bCs/>
          <w:sz w:val="24"/>
        </w:rPr>
        <w:t>210</w:t>
      </w:r>
      <w:r w:rsidRPr="00CF31C0">
        <w:rPr>
          <w:bCs/>
          <w:sz w:val="24"/>
        </w:rPr>
        <w:t xml:space="preserve"> firms primarily engaged in collecting consumer debt; and</w:t>
      </w:r>
      <w:r>
        <w:rPr>
          <w:bCs/>
          <w:sz w:val="24"/>
          <w:vertAlign w:val="superscript"/>
        </w:rPr>
        <w:footnoteReference w:id="8"/>
      </w:r>
    </w:p>
    <w:p w:rsidR="00E056B8" w:rsidRPr="00CF31C0" w:rsidP="00E056B8" w14:paraId="19167A24" w14:textId="77777777">
      <w:pPr>
        <w:numPr>
          <w:ilvl w:val="0"/>
          <w:numId w:val="22"/>
        </w:numPr>
        <w:rPr>
          <w:bCs/>
          <w:sz w:val="24"/>
        </w:rPr>
      </w:pPr>
      <w:r w:rsidRPr="00CF31C0">
        <w:rPr>
          <w:bCs/>
          <w:sz w:val="24"/>
        </w:rPr>
        <w:t>Loan Servicers subject to the FDCPA – 700 firms that acquire servicing rights to loans that are already in default.</w:t>
      </w:r>
      <w:r>
        <w:rPr>
          <w:bCs/>
          <w:sz w:val="24"/>
          <w:vertAlign w:val="superscript"/>
        </w:rPr>
        <w:footnoteReference w:id="9"/>
      </w:r>
    </w:p>
    <w:p w:rsidR="00E056B8" w:rsidRPr="00CF31C0" w:rsidP="00E056B8" w14:paraId="0E587EA3" w14:textId="77777777">
      <w:pPr>
        <w:rPr>
          <w:bCs/>
          <w:sz w:val="24"/>
        </w:rPr>
      </w:pPr>
    </w:p>
    <w:p w:rsidR="00E056B8" w:rsidRPr="006116D6" w:rsidP="00E056B8" w14:paraId="73FEF898" w14:textId="41E910ED">
      <w:pPr>
        <w:rPr>
          <w:bCs/>
          <w:sz w:val="24"/>
        </w:rPr>
      </w:pPr>
      <w:r w:rsidRPr="00CF31C0">
        <w:rPr>
          <w:bCs/>
          <w:sz w:val="24"/>
        </w:rPr>
        <w:t>Therefore,</w:t>
      </w:r>
      <w:r w:rsidRPr="00CF31C0">
        <w:rPr>
          <w:bCs/>
          <w:sz w:val="24"/>
        </w:rPr>
        <w:t xml:space="preserve"> the Bureau estimates impact</w:t>
      </w:r>
      <w:r w:rsidRPr="00CF31C0" w:rsidR="00760AD5">
        <w:rPr>
          <w:bCs/>
          <w:sz w:val="24"/>
        </w:rPr>
        <w:t xml:space="preserve"> to</w:t>
      </w:r>
      <w:r w:rsidRPr="00CF31C0">
        <w:rPr>
          <w:bCs/>
          <w:sz w:val="24"/>
        </w:rPr>
        <w:t xml:space="preserve"> 53 States and U.S. territorial governments and </w:t>
      </w:r>
      <w:r w:rsidRPr="00CF31C0" w:rsidR="003B2228">
        <w:rPr>
          <w:bCs/>
          <w:sz w:val="24"/>
        </w:rPr>
        <w:t>8,67</w:t>
      </w:r>
      <w:r w:rsidRPr="00CF31C0" w:rsidR="00766D27">
        <w:rPr>
          <w:bCs/>
          <w:sz w:val="24"/>
        </w:rPr>
        <w:t>7</w:t>
      </w:r>
      <w:r w:rsidRPr="00CF31C0">
        <w:rPr>
          <w:bCs/>
          <w:sz w:val="24"/>
        </w:rPr>
        <w:t xml:space="preserve"> firms defined as “debt collectors” in the FDCPA.  Unless</w:t>
      </w:r>
      <w:r w:rsidRPr="006116D6">
        <w:rPr>
          <w:bCs/>
          <w:sz w:val="24"/>
        </w:rPr>
        <w:t xml:space="preserve"> otherwise specified, debt collectors include </w:t>
      </w:r>
      <w:r w:rsidRPr="006116D6">
        <w:rPr>
          <w:bCs/>
          <w:sz w:val="24"/>
        </w:rPr>
        <w:t>all of</w:t>
      </w:r>
      <w:r w:rsidRPr="006116D6">
        <w:rPr>
          <w:bCs/>
          <w:sz w:val="24"/>
        </w:rPr>
        <w:t xml:space="preserve"> the aforementioned mentioned firms in this analysis.</w:t>
      </w:r>
    </w:p>
    <w:p w:rsidR="00E056B8" w:rsidRPr="006116D6" w:rsidP="00E056B8" w14:paraId="201436CB" w14:textId="77777777">
      <w:pPr>
        <w:rPr>
          <w:bCs/>
          <w:sz w:val="24"/>
        </w:rPr>
      </w:pPr>
    </w:p>
    <w:p w:rsidR="00E056B8" w:rsidRPr="006116D6" w:rsidP="00E056B8" w14:paraId="4286C564" w14:textId="203C3C7B">
      <w:pPr>
        <w:rPr>
          <w:bCs/>
          <w:sz w:val="24"/>
        </w:rPr>
      </w:pPr>
      <w:r w:rsidRPr="006116D6">
        <w:rPr>
          <w:bCs/>
          <w:sz w:val="24"/>
        </w:rPr>
        <w:t>The estimated burden includes the burden of information requirements</w:t>
      </w:r>
      <w:r w:rsidR="006D5E8A">
        <w:rPr>
          <w:bCs/>
          <w:sz w:val="24"/>
        </w:rPr>
        <w:t>,</w:t>
      </w:r>
      <w:r w:rsidR="00FE5EE2">
        <w:rPr>
          <w:bCs/>
          <w:sz w:val="24"/>
        </w:rPr>
        <w:t xml:space="preserve"> that </w:t>
      </w:r>
      <w:r w:rsidRPr="006116D6">
        <w:rPr>
          <w:bCs/>
          <w:sz w:val="24"/>
        </w:rPr>
        <w:t>includ</w:t>
      </w:r>
      <w:r w:rsidR="00FE5EE2">
        <w:rPr>
          <w:bCs/>
          <w:sz w:val="24"/>
        </w:rPr>
        <w:t>es</w:t>
      </w:r>
      <w:r w:rsidRPr="006116D6">
        <w:rPr>
          <w:bCs/>
          <w:sz w:val="24"/>
        </w:rPr>
        <w:t xml:space="preserve"> the burden of information collections that are already required by the FDCPA</w:t>
      </w:r>
      <w:r w:rsidR="00FE5EE2">
        <w:rPr>
          <w:bCs/>
          <w:sz w:val="24"/>
        </w:rPr>
        <w:t>.</w:t>
      </w:r>
    </w:p>
    <w:p w:rsidR="00E056B8" w:rsidRPr="006116D6" w:rsidP="00E056B8" w14:paraId="474F5748" w14:textId="77777777">
      <w:pPr>
        <w:rPr>
          <w:bCs/>
          <w:sz w:val="24"/>
        </w:rPr>
      </w:pPr>
    </w:p>
    <w:p w:rsidR="00E056B8" w:rsidRPr="006116D6" w:rsidP="00E056B8" w14:paraId="49D449B6" w14:textId="77777777">
      <w:pPr>
        <w:rPr>
          <w:b/>
          <w:bCs/>
          <w:sz w:val="24"/>
        </w:rPr>
      </w:pPr>
      <w:r w:rsidRPr="006116D6">
        <w:rPr>
          <w:b/>
          <w:bCs/>
          <w:sz w:val="24"/>
        </w:rPr>
        <w:t>Exhibit 1: Burden Hour Summary</w:t>
      </w:r>
    </w:p>
    <w:p w:rsidR="00E056B8" w:rsidRPr="006116D6" w:rsidP="00E056B8" w14:paraId="701C9BD0" w14:textId="77777777">
      <w:pPr>
        <w:rPr>
          <w:b/>
          <w:bCs/>
          <w:sz w:val="24"/>
        </w:rPr>
      </w:pPr>
    </w:p>
    <w:p w:rsidR="00E056B8" w:rsidRPr="006116D6" w:rsidP="00E056B8" w14:paraId="14926C75" w14:textId="77777777">
      <w:pPr>
        <w:rPr>
          <w:bCs/>
          <w:sz w:val="24"/>
        </w:rPr>
      </w:pPr>
    </w:p>
    <w:tbl>
      <w:tblPr>
        <w:tblW w:w="11780" w:type="dxa"/>
        <w:jc w:val="center"/>
        <w:tblLayout w:type="fixed"/>
        <w:tblLook w:val="04A0"/>
      </w:tblPr>
      <w:tblGrid>
        <w:gridCol w:w="1520"/>
        <w:gridCol w:w="1428"/>
        <w:gridCol w:w="1415"/>
        <w:gridCol w:w="1204"/>
        <w:gridCol w:w="1170"/>
        <w:gridCol w:w="1050"/>
        <w:gridCol w:w="1200"/>
        <w:gridCol w:w="1349"/>
        <w:gridCol w:w="1444"/>
      </w:tblGrid>
      <w:tr w14:paraId="5E81EA73" w14:textId="77777777" w:rsidTr="00D70524">
        <w:tblPrEx>
          <w:tblW w:w="11780" w:type="dxa"/>
          <w:jc w:val="center"/>
          <w:tblLayout w:type="fixed"/>
          <w:tblLook w:val="04A0"/>
        </w:tblPrEx>
        <w:trPr>
          <w:trHeight w:val="760"/>
          <w:tblHeader/>
          <w:jc w:val="center"/>
        </w:trPr>
        <w:tc>
          <w:tcPr>
            <w:tcW w:w="1520" w:type="dxa"/>
            <w:tcBorders>
              <w:top w:val="single" w:sz="8" w:space="0" w:color="auto"/>
              <w:left w:val="single" w:sz="8" w:space="0" w:color="auto"/>
              <w:bottom w:val="single" w:sz="8" w:space="0" w:color="auto"/>
              <w:right w:val="single" w:sz="8" w:space="0" w:color="auto"/>
            </w:tcBorders>
            <w:vAlign w:val="center"/>
            <w:hideMark/>
          </w:tcPr>
          <w:p w:rsidR="00E056B8" w:rsidRPr="007E215B" w:rsidP="00E056B8" w14:paraId="50577B93" w14:textId="77777777">
            <w:pPr>
              <w:rPr>
                <w:b/>
                <w:bCs/>
              </w:rPr>
            </w:pPr>
            <w:r w:rsidRPr="007E215B">
              <w:rPr>
                <w:b/>
                <w:bCs/>
              </w:rPr>
              <w:t>Information Collection Requirement</w:t>
            </w:r>
          </w:p>
        </w:tc>
        <w:tc>
          <w:tcPr>
            <w:tcW w:w="1428" w:type="dxa"/>
            <w:tcBorders>
              <w:top w:val="single" w:sz="8" w:space="0" w:color="auto"/>
              <w:left w:val="nil"/>
              <w:bottom w:val="single" w:sz="8" w:space="0" w:color="auto"/>
              <w:right w:val="single" w:sz="8" w:space="0" w:color="auto"/>
            </w:tcBorders>
            <w:vAlign w:val="center"/>
            <w:hideMark/>
          </w:tcPr>
          <w:p w:rsidR="00E056B8" w:rsidRPr="007E215B" w:rsidP="00E056B8" w14:paraId="472CA3A6" w14:textId="6DFC4379">
            <w:pPr>
              <w:rPr>
                <w:b/>
                <w:bCs/>
              </w:rPr>
            </w:pPr>
            <w:r w:rsidRPr="007E215B">
              <w:rPr>
                <w:b/>
                <w:bCs/>
              </w:rPr>
              <w:t>N</w:t>
            </w:r>
            <w:r w:rsidRPr="007E215B" w:rsidR="00D70524">
              <w:rPr>
                <w:b/>
                <w:bCs/>
              </w:rPr>
              <w:t>umber</w:t>
            </w:r>
            <w:r w:rsidRPr="007E215B">
              <w:rPr>
                <w:b/>
                <w:bCs/>
              </w:rPr>
              <w:t xml:space="preserve"> of Respondent</w:t>
            </w:r>
            <w:r w:rsidRPr="007E215B" w:rsidR="00D70524">
              <w:rPr>
                <w:b/>
                <w:bCs/>
              </w:rPr>
              <w:t>s</w:t>
            </w:r>
          </w:p>
        </w:tc>
        <w:tc>
          <w:tcPr>
            <w:tcW w:w="1415" w:type="dxa"/>
            <w:tcBorders>
              <w:top w:val="single" w:sz="8" w:space="0" w:color="auto"/>
              <w:left w:val="nil"/>
              <w:bottom w:val="single" w:sz="8" w:space="0" w:color="auto"/>
              <w:right w:val="single" w:sz="8" w:space="0" w:color="auto"/>
            </w:tcBorders>
            <w:vAlign w:val="center"/>
            <w:hideMark/>
          </w:tcPr>
          <w:p w:rsidR="00D70524" w:rsidRPr="007E215B" w:rsidP="00E056B8" w14:paraId="1B2AC73F" w14:textId="77777777">
            <w:pPr>
              <w:rPr>
                <w:b/>
                <w:bCs/>
              </w:rPr>
            </w:pPr>
            <w:r w:rsidRPr="007E215B">
              <w:rPr>
                <w:b/>
                <w:bCs/>
              </w:rPr>
              <w:t>Type of I</w:t>
            </w:r>
            <w:r w:rsidRPr="007E215B">
              <w:rPr>
                <w:b/>
                <w:bCs/>
              </w:rPr>
              <w:t>nformation</w:t>
            </w:r>
          </w:p>
          <w:p w:rsidR="00E056B8" w:rsidRPr="007E215B" w:rsidP="00E056B8" w14:paraId="168EEAB4" w14:textId="4A3F3D23">
            <w:pPr>
              <w:rPr>
                <w:b/>
                <w:bCs/>
              </w:rPr>
            </w:pPr>
            <w:r w:rsidRPr="007E215B">
              <w:rPr>
                <w:b/>
                <w:bCs/>
              </w:rPr>
              <w:t>C</w:t>
            </w:r>
            <w:r w:rsidRPr="007E215B" w:rsidR="00D70524">
              <w:rPr>
                <w:b/>
                <w:bCs/>
              </w:rPr>
              <w:t>ollection</w:t>
            </w:r>
          </w:p>
        </w:tc>
        <w:tc>
          <w:tcPr>
            <w:tcW w:w="1204" w:type="dxa"/>
            <w:tcBorders>
              <w:top w:val="single" w:sz="8" w:space="0" w:color="auto"/>
              <w:left w:val="nil"/>
              <w:bottom w:val="single" w:sz="8" w:space="0" w:color="auto"/>
              <w:right w:val="single" w:sz="8" w:space="0" w:color="auto"/>
            </w:tcBorders>
            <w:vAlign w:val="center"/>
            <w:hideMark/>
          </w:tcPr>
          <w:p w:rsidR="00E056B8" w:rsidRPr="007E215B" w:rsidP="00E056B8" w14:paraId="03CEB53D" w14:textId="77777777">
            <w:pPr>
              <w:rPr>
                <w:b/>
                <w:bCs/>
              </w:rPr>
            </w:pPr>
            <w:r w:rsidRPr="007E215B">
              <w:rPr>
                <w:b/>
                <w:bCs/>
              </w:rPr>
              <w:t>Annual</w:t>
            </w:r>
          </w:p>
          <w:p w:rsidR="00E056B8" w:rsidRPr="007E215B" w:rsidP="00E056B8" w14:paraId="2C0BA154" w14:textId="77777777">
            <w:pPr>
              <w:rPr>
                <w:b/>
                <w:bCs/>
              </w:rPr>
            </w:pPr>
            <w:r w:rsidRPr="007E215B">
              <w:rPr>
                <w:b/>
                <w:bCs/>
              </w:rPr>
              <w:t xml:space="preserve">Frequency </w:t>
            </w:r>
          </w:p>
        </w:tc>
        <w:tc>
          <w:tcPr>
            <w:tcW w:w="1170" w:type="dxa"/>
            <w:tcBorders>
              <w:top w:val="single" w:sz="8" w:space="0" w:color="auto"/>
              <w:left w:val="nil"/>
              <w:bottom w:val="single" w:sz="8" w:space="0" w:color="auto"/>
              <w:right w:val="single" w:sz="8" w:space="0" w:color="auto"/>
            </w:tcBorders>
            <w:vAlign w:val="center"/>
            <w:hideMark/>
          </w:tcPr>
          <w:p w:rsidR="00E056B8" w:rsidRPr="007E215B" w:rsidP="00E056B8" w14:paraId="5538E7E2" w14:textId="77777777">
            <w:pPr>
              <w:rPr>
                <w:b/>
                <w:bCs/>
              </w:rPr>
            </w:pPr>
            <w:r w:rsidRPr="007E215B">
              <w:rPr>
                <w:b/>
                <w:bCs/>
              </w:rPr>
              <w:t>Annual Responses</w:t>
            </w:r>
          </w:p>
        </w:tc>
        <w:tc>
          <w:tcPr>
            <w:tcW w:w="1050" w:type="dxa"/>
            <w:tcBorders>
              <w:top w:val="single" w:sz="8" w:space="0" w:color="auto"/>
              <w:left w:val="nil"/>
              <w:bottom w:val="single" w:sz="8" w:space="0" w:color="auto"/>
              <w:right w:val="single" w:sz="8" w:space="0" w:color="auto"/>
            </w:tcBorders>
            <w:vAlign w:val="center"/>
            <w:hideMark/>
          </w:tcPr>
          <w:p w:rsidR="00E056B8" w:rsidRPr="007E215B" w:rsidP="00E056B8" w14:paraId="0324B72D" w14:textId="77777777">
            <w:pPr>
              <w:rPr>
                <w:b/>
                <w:bCs/>
              </w:rPr>
            </w:pPr>
            <w:r w:rsidRPr="007E215B">
              <w:rPr>
                <w:b/>
                <w:bCs/>
              </w:rPr>
              <w:t>Average Response Time (hours)</w:t>
            </w:r>
          </w:p>
        </w:tc>
        <w:tc>
          <w:tcPr>
            <w:tcW w:w="1200" w:type="dxa"/>
            <w:tcBorders>
              <w:top w:val="single" w:sz="8" w:space="0" w:color="auto"/>
              <w:left w:val="nil"/>
              <w:bottom w:val="single" w:sz="8" w:space="0" w:color="auto"/>
              <w:right w:val="single" w:sz="8" w:space="0" w:color="auto"/>
            </w:tcBorders>
            <w:vAlign w:val="center"/>
            <w:hideMark/>
          </w:tcPr>
          <w:p w:rsidR="00E056B8" w:rsidRPr="007E215B" w:rsidP="00E056B8" w14:paraId="3293E64E" w14:textId="77777777">
            <w:pPr>
              <w:rPr>
                <w:b/>
                <w:bCs/>
              </w:rPr>
            </w:pPr>
            <w:r w:rsidRPr="007E215B">
              <w:rPr>
                <w:b/>
                <w:bCs/>
              </w:rPr>
              <w:t>Annual Burden Hours</w:t>
            </w:r>
          </w:p>
        </w:tc>
        <w:tc>
          <w:tcPr>
            <w:tcW w:w="1349" w:type="dxa"/>
            <w:tcBorders>
              <w:top w:val="single" w:sz="8" w:space="0" w:color="auto"/>
              <w:left w:val="nil"/>
              <w:bottom w:val="single" w:sz="8" w:space="0" w:color="auto"/>
              <w:right w:val="single" w:sz="8" w:space="0" w:color="auto"/>
            </w:tcBorders>
            <w:vAlign w:val="center"/>
            <w:hideMark/>
          </w:tcPr>
          <w:p w:rsidR="00E056B8" w:rsidRPr="007E215B" w:rsidP="00E056B8" w14:paraId="6EF71793" w14:textId="77777777">
            <w:pPr>
              <w:rPr>
                <w:b/>
                <w:bCs/>
              </w:rPr>
            </w:pPr>
            <w:r w:rsidRPr="007E215B">
              <w:rPr>
                <w:b/>
                <w:bCs/>
              </w:rPr>
              <w:t xml:space="preserve">Hourly Rate </w:t>
            </w:r>
          </w:p>
        </w:tc>
        <w:tc>
          <w:tcPr>
            <w:tcW w:w="1444" w:type="dxa"/>
            <w:tcBorders>
              <w:top w:val="single" w:sz="8" w:space="0" w:color="auto"/>
              <w:left w:val="nil"/>
              <w:bottom w:val="single" w:sz="8" w:space="0" w:color="auto"/>
              <w:right w:val="single" w:sz="8" w:space="0" w:color="auto"/>
            </w:tcBorders>
            <w:vAlign w:val="center"/>
            <w:hideMark/>
          </w:tcPr>
          <w:p w:rsidR="00E056B8" w:rsidRPr="007E215B" w:rsidP="00E056B8" w14:paraId="1850600F" w14:textId="4A4820B6">
            <w:pPr>
              <w:rPr>
                <w:b/>
                <w:bCs/>
              </w:rPr>
            </w:pPr>
            <w:r w:rsidRPr="007E215B">
              <w:rPr>
                <w:b/>
                <w:bCs/>
              </w:rPr>
              <w:t>Total Annual</w:t>
            </w:r>
            <w:r w:rsidRPr="007E215B">
              <w:rPr>
                <w:b/>
                <w:bCs/>
              </w:rPr>
              <w:t xml:space="preserve"> Costs</w:t>
            </w:r>
          </w:p>
        </w:tc>
      </w:tr>
      <w:tr w14:paraId="17CCF0FA" w14:textId="77777777" w:rsidTr="00D70524">
        <w:tblPrEx>
          <w:tblW w:w="11780" w:type="dxa"/>
          <w:jc w:val="center"/>
          <w:tblLayout w:type="fixed"/>
          <w:tblLook w:val="04A0"/>
        </w:tblPrEx>
        <w:trPr>
          <w:trHeight w:val="819"/>
          <w:jc w:val="center"/>
        </w:trPr>
        <w:tc>
          <w:tcPr>
            <w:tcW w:w="1520" w:type="dxa"/>
            <w:tcBorders>
              <w:top w:val="nil"/>
              <w:left w:val="single" w:sz="8" w:space="0" w:color="auto"/>
              <w:bottom w:val="single" w:sz="8" w:space="0" w:color="auto"/>
              <w:right w:val="single" w:sz="8" w:space="0" w:color="auto"/>
            </w:tcBorders>
            <w:vAlign w:val="center"/>
            <w:hideMark/>
          </w:tcPr>
          <w:p w:rsidR="00E056B8" w:rsidRPr="007E215B" w:rsidP="00E056B8" w14:paraId="390C3729" w14:textId="1F9A0739">
            <w:pPr>
              <w:rPr>
                <w:bCs/>
              </w:rPr>
            </w:pPr>
            <w:r w:rsidRPr="007E215B">
              <w:rPr>
                <w:bCs/>
              </w:rPr>
              <w:t>State Application</w:t>
            </w:r>
            <w:r w:rsidRPr="007E215B">
              <w:rPr>
                <w:bCs/>
              </w:rPr>
              <w:br/>
              <w:t>for Waiver (previously §1006.2, renumbered as §1006.108)</w:t>
            </w:r>
          </w:p>
        </w:tc>
        <w:tc>
          <w:tcPr>
            <w:tcW w:w="1428" w:type="dxa"/>
            <w:tcBorders>
              <w:top w:val="nil"/>
              <w:left w:val="nil"/>
              <w:bottom w:val="single" w:sz="8" w:space="0" w:color="auto"/>
              <w:right w:val="single" w:sz="8" w:space="0" w:color="auto"/>
            </w:tcBorders>
            <w:vAlign w:val="center"/>
            <w:hideMark/>
          </w:tcPr>
          <w:p w:rsidR="00E056B8" w:rsidRPr="007E215B" w:rsidP="00E056B8" w14:paraId="24AD03A0" w14:textId="77777777">
            <w:pPr>
              <w:rPr>
                <w:bCs/>
              </w:rPr>
            </w:pPr>
            <w:r w:rsidRPr="007E215B">
              <w:rPr>
                <w:bCs/>
              </w:rPr>
              <w:t>53</w:t>
            </w:r>
          </w:p>
        </w:tc>
        <w:tc>
          <w:tcPr>
            <w:tcW w:w="1415" w:type="dxa"/>
            <w:tcBorders>
              <w:top w:val="nil"/>
              <w:left w:val="nil"/>
              <w:bottom w:val="single" w:sz="8" w:space="0" w:color="auto"/>
              <w:right w:val="single" w:sz="8" w:space="0" w:color="auto"/>
            </w:tcBorders>
            <w:vAlign w:val="center"/>
            <w:hideMark/>
          </w:tcPr>
          <w:p w:rsidR="00E056B8" w:rsidRPr="007E215B" w:rsidP="00E056B8" w14:paraId="1C70E1E6" w14:textId="77777777">
            <w:pPr>
              <w:rPr>
                <w:bCs/>
              </w:rPr>
            </w:pPr>
            <w:r w:rsidRPr="007E215B">
              <w:rPr>
                <w:bCs/>
              </w:rPr>
              <w:t>Reporting</w:t>
            </w:r>
          </w:p>
        </w:tc>
        <w:tc>
          <w:tcPr>
            <w:tcW w:w="1204" w:type="dxa"/>
            <w:tcBorders>
              <w:top w:val="nil"/>
              <w:left w:val="nil"/>
              <w:bottom w:val="single" w:sz="8" w:space="0" w:color="auto"/>
              <w:right w:val="single" w:sz="8" w:space="0" w:color="auto"/>
            </w:tcBorders>
            <w:vAlign w:val="center"/>
            <w:hideMark/>
          </w:tcPr>
          <w:p w:rsidR="00E056B8" w:rsidRPr="007E215B" w:rsidP="00E056B8" w14:paraId="3197070D" w14:textId="77777777">
            <w:pPr>
              <w:rPr>
                <w:bCs/>
              </w:rPr>
            </w:pPr>
            <w:r w:rsidRPr="007E215B">
              <w:rPr>
                <w:bCs/>
              </w:rPr>
              <w:t>1</w:t>
            </w:r>
          </w:p>
        </w:tc>
        <w:tc>
          <w:tcPr>
            <w:tcW w:w="1170" w:type="dxa"/>
            <w:tcBorders>
              <w:top w:val="nil"/>
              <w:left w:val="nil"/>
              <w:bottom w:val="single" w:sz="8" w:space="0" w:color="auto"/>
              <w:right w:val="single" w:sz="8" w:space="0" w:color="auto"/>
            </w:tcBorders>
            <w:vAlign w:val="center"/>
            <w:hideMark/>
          </w:tcPr>
          <w:p w:rsidR="00E056B8" w:rsidRPr="007E215B" w:rsidP="00E056B8" w14:paraId="09F6570A" w14:textId="77777777">
            <w:pPr>
              <w:rPr>
                <w:bCs/>
              </w:rPr>
            </w:pPr>
            <w:r w:rsidRPr="007E215B">
              <w:rPr>
                <w:bCs/>
              </w:rPr>
              <w:t>1</w:t>
            </w:r>
          </w:p>
        </w:tc>
        <w:tc>
          <w:tcPr>
            <w:tcW w:w="1050" w:type="dxa"/>
            <w:tcBorders>
              <w:top w:val="nil"/>
              <w:left w:val="nil"/>
              <w:bottom w:val="single" w:sz="8" w:space="0" w:color="auto"/>
              <w:right w:val="single" w:sz="8" w:space="0" w:color="auto"/>
            </w:tcBorders>
            <w:vAlign w:val="center"/>
            <w:hideMark/>
          </w:tcPr>
          <w:p w:rsidR="00E056B8" w:rsidRPr="007E215B" w:rsidP="00E056B8" w14:paraId="4A75E1E4" w14:textId="77777777">
            <w:pPr>
              <w:rPr>
                <w:bCs/>
              </w:rPr>
            </w:pPr>
            <w:r w:rsidRPr="007E215B">
              <w:rPr>
                <w:bCs/>
              </w:rPr>
              <w:t>2</w:t>
            </w:r>
          </w:p>
        </w:tc>
        <w:tc>
          <w:tcPr>
            <w:tcW w:w="1200" w:type="dxa"/>
            <w:tcBorders>
              <w:top w:val="nil"/>
              <w:left w:val="nil"/>
              <w:bottom w:val="single" w:sz="8" w:space="0" w:color="auto"/>
              <w:right w:val="single" w:sz="8" w:space="0" w:color="auto"/>
            </w:tcBorders>
            <w:vAlign w:val="center"/>
            <w:hideMark/>
          </w:tcPr>
          <w:p w:rsidR="00E056B8" w:rsidRPr="007E215B" w:rsidP="00E056B8" w14:paraId="2767B7B4" w14:textId="77777777">
            <w:pPr>
              <w:rPr>
                <w:bCs/>
              </w:rPr>
            </w:pPr>
            <w:r w:rsidRPr="007E215B">
              <w:rPr>
                <w:bCs/>
              </w:rPr>
              <w:t>2</w:t>
            </w:r>
          </w:p>
        </w:tc>
        <w:tc>
          <w:tcPr>
            <w:tcW w:w="1349" w:type="dxa"/>
            <w:tcBorders>
              <w:top w:val="nil"/>
              <w:left w:val="nil"/>
              <w:bottom w:val="single" w:sz="8" w:space="0" w:color="auto"/>
              <w:right w:val="single" w:sz="8" w:space="0" w:color="auto"/>
            </w:tcBorders>
            <w:vAlign w:val="center"/>
            <w:hideMark/>
          </w:tcPr>
          <w:p w:rsidR="00E056B8" w:rsidRPr="007E215B" w:rsidP="00E056B8" w14:paraId="50FF3FFE" w14:textId="660FD3B8">
            <w:pPr>
              <w:rPr>
                <w:bCs/>
              </w:rPr>
            </w:pPr>
            <w:r w:rsidRPr="007E215B">
              <w:rPr>
                <w:bCs/>
              </w:rPr>
              <w:t>$</w:t>
            </w:r>
            <w:r w:rsidRPr="007E215B" w:rsidR="00015456">
              <w:rPr>
                <w:bCs/>
              </w:rPr>
              <w:t>43.55</w:t>
            </w:r>
          </w:p>
        </w:tc>
        <w:tc>
          <w:tcPr>
            <w:tcW w:w="1444" w:type="dxa"/>
            <w:tcBorders>
              <w:top w:val="nil"/>
              <w:left w:val="nil"/>
              <w:bottom w:val="single" w:sz="8" w:space="0" w:color="auto"/>
              <w:right w:val="single" w:sz="8" w:space="0" w:color="auto"/>
            </w:tcBorders>
            <w:vAlign w:val="center"/>
            <w:hideMark/>
          </w:tcPr>
          <w:p w:rsidR="00E056B8" w:rsidRPr="007E215B" w:rsidP="00E056B8" w14:paraId="6B46D7AD" w14:textId="6F6D196B">
            <w:pPr>
              <w:rPr>
                <w:bCs/>
              </w:rPr>
            </w:pPr>
            <w:r w:rsidRPr="007E215B">
              <w:rPr>
                <w:bCs/>
              </w:rPr>
              <w:t>$</w:t>
            </w:r>
            <w:r w:rsidRPr="007E215B" w:rsidR="006866BA">
              <w:rPr>
                <w:bCs/>
              </w:rPr>
              <w:t>87.10</w:t>
            </w:r>
          </w:p>
        </w:tc>
      </w:tr>
      <w:tr w14:paraId="464165E8" w14:textId="77777777" w:rsidTr="00D70524">
        <w:tblPrEx>
          <w:tblW w:w="11780" w:type="dxa"/>
          <w:jc w:val="center"/>
          <w:tblLayout w:type="fixed"/>
          <w:tblLook w:val="04A0"/>
        </w:tblPrEx>
        <w:trPr>
          <w:trHeight w:val="760"/>
          <w:jc w:val="center"/>
        </w:trPr>
        <w:tc>
          <w:tcPr>
            <w:tcW w:w="1520" w:type="dxa"/>
            <w:tcBorders>
              <w:top w:val="nil"/>
              <w:left w:val="single" w:sz="8" w:space="0" w:color="auto"/>
              <w:bottom w:val="single" w:sz="8" w:space="0" w:color="auto"/>
              <w:right w:val="single" w:sz="8" w:space="0" w:color="auto"/>
            </w:tcBorders>
            <w:vAlign w:val="center"/>
            <w:hideMark/>
          </w:tcPr>
          <w:p w:rsidR="00E056B8" w:rsidRPr="007E215B" w:rsidP="00E056B8" w14:paraId="2C45544E" w14:textId="77777777">
            <w:pPr>
              <w:rPr>
                <w:bCs/>
                <w:i/>
                <w:iCs/>
              </w:rPr>
            </w:pPr>
            <w:r w:rsidRPr="007E215B">
              <w:rPr>
                <w:bCs/>
                <w:i/>
                <w:iCs/>
              </w:rPr>
              <w:t>Opt-out notice for electronic communication</w:t>
            </w:r>
          </w:p>
        </w:tc>
        <w:tc>
          <w:tcPr>
            <w:tcW w:w="1428" w:type="dxa"/>
            <w:tcBorders>
              <w:top w:val="nil"/>
              <w:left w:val="nil"/>
              <w:bottom w:val="single" w:sz="8" w:space="0" w:color="auto"/>
              <w:right w:val="single" w:sz="8" w:space="0" w:color="auto"/>
            </w:tcBorders>
            <w:vAlign w:val="center"/>
            <w:hideMark/>
          </w:tcPr>
          <w:p w:rsidR="00E056B8" w:rsidRPr="007E215B" w:rsidP="00E056B8" w14:paraId="7ABFF1A0" w14:textId="77777777">
            <w:pPr>
              <w:rPr>
                <w:bCs/>
                <w:i/>
                <w:iCs/>
              </w:rPr>
            </w:pPr>
          </w:p>
        </w:tc>
        <w:tc>
          <w:tcPr>
            <w:tcW w:w="1415" w:type="dxa"/>
            <w:tcBorders>
              <w:top w:val="nil"/>
              <w:left w:val="nil"/>
              <w:bottom w:val="single" w:sz="8" w:space="0" w:color="auto"/>
              <w:right w:val="single" w:sz="8" w:space="0" w:color="auto"/>
            </w:tcBorders>
            <w:vAlign w:val="center"/>
            <w:hideMark/>
          </w:tcPr>
          <w:p w:rsidR="00E056B8" w:rsidRPr="007E215B" w:rsidP="00E056B8" w14:paraId="30A5774B" w14:textId="77777777">
            <w:pPr>
              <w:rPr>
                <w:bCs/>
                <w:i/>
                <w:iCs/>
              </w:rPr>
            </w:pPr>
            <w:r w:rsidRPr="007E215B">
              <w:rPr>
                <w:bCs/>
                <w:i/>
                <w:iCs/>
              </w:rPr>
              <w:t>Disclosure</w:t>
            </w:r>
          </w:p>
        </w:tc>
        <w:tc>
          <w:tcPr>
            <w:tcW w:w="1204" w:type="dxa"/>
            <w:tcBorders>
              <w:top w:val="nil"/>
              <w:left w:val="nil"/>
              <w:bottom w:val="single" w:sz="8" w:space="0" w:color="auto"/>
              <w:right w:val="single" w:sz="8" w:space="0" w:color="auto"/>
            </w:tcBorders>
            <w:vAlign w:val="center"/>
          </w:tcPr>
          <w:p w:rsidR="00E056B8" w:rsidRPr="007E215B" w:rsidP="00E056B8" w14:paraId="56DE4EF0" w14:textId="77777777">
            <w:pPr>
              <w:rPr>
                <w:bCs/>
                <w:i/>
                <w:iCs/>
              </w:rPr>
            </w:pPr>
          </w:p>
        </w:tc>
        <w:tc>
          <w:tcPr>
            <w:tcW w:w="1170" w:type="dxa"/>
            <w:tcBorders>
              <w:top w:val="nil"/>
              <w:left w:val="nil"/>
              <w:bottom w:val="single" w:sz="8" w:space="0" w:color="auto"/>
              <w:right w:val="single" w:sz="8" w:space="0" w:color="auto"/>
            </w:tcBorders>
            <w:vAlign w:val="center"/>
          </w:tcPr>
          <w:p w:rsidR="00E056B8" w:rsidRPr="007E215B" w:rsidP="00E056B8" w14:paraId="29872D19" w14:textId="77777777">
            <w:pPr>
              <w:rPr>
                <w:bCs/>
                <w:i/>
                <w:iCs/>
              </w:rPr>
            </w:pPr>
          </w:p>
        </w:tc>
        <w:tc>
          <w:tcPr>
            <w:tcW w:w="1050" w:type="dxa"/>
            <w:tcBorders>
              <w:top w:val="nil"/>
              <w:left w:val="nil"/>
              <w:bottom w:val="single" w:sz="8" w:space="0" w:color="auto"/>
              <w:right w:val="single" w:sz="8" w:space="0" w:color="auto"/>
            </w:tcBorders>
            <w:vAlign w:val="center"/>
          </w:tcPr>
          <w:p w:rsidR="00E056B8" w:rsidRPr="007E215B" w:rsidP="00E056B8" w14:paraId="41D9DEBD" w14:textId="77777777">
            <w:pPr>
              <w:rPr>
                <w:bCs/>
                <w:i/>
                <w:iCs/>
              </w:rPr>
            </w:pPr>
          </w:p>
        </w:tc>
        <w:tc>
          <w:tcPr>
            <w:tcW w:w="1200" w:type="dxa"/>
            <w:tcBorders>
              <w:top w:val="nil"/>
              <w:left w:val="nil"/>
              <w:bottom w:val="single" w:sz="8" w:space="0" w:color="auto"/>
              <w:right w:val="single" w:sz="8" w:space="0" w:color="auto"/>
            </w:tcBorders>
            <w:vAlign w:val="center"/>
          </w:tcPr>
          <w:p w:rsidR="00E056B8" w:rsidRPr="007E215B" w:rsidP="00E056B8" w14:paraId="5E42DD83" w14:textId="77777777">
            <w:pPr>
              <w:rPr>
                <w:bCs/>
                <w:i/>
                <w:iCs/>
              </w:rPr>
            </w:pPr>
          </w:p>
        </w:tc>
        <w:tc>
          <w:tcPr>
            <w:tcW w:w="1349" w:type="dxa"/>
            <w:tcBorders>
              <w:top w:val="nil"/>
              <w:left w:val="nil"/>
              <w:bottom w:val="single" w:sz="8" w:space="0" w:color="auto"/>
              <w:right w:val="single" w:sz="8" w:space="0" w:color="auto"/>
            </w:tcBorders>
            <w:vAlign w:val="center"/>
          </w:tcPr>
          <w:p w:rsidR="00E056B8" w:rsidRPr="007E215B" w:rsidP="00E056B8" w14:paraId="4638D729" w14:textId="77777777">
            <w:pPr>
              <w:rPr>
                <w:bCs/>
                <w:i/>
                <w:iCs/>
              </w:rPr>
            </w:pPr>
          </w:p>
        </w:tc>
        <w:tc>
          <w:tcPr>
            <w:tcW w:w="1444" w:type="dxa"/>
            <w:tcBorders>
              <w:top w:val="nil"/>
              <w:left w:val="nil"/>
              <w:bottom w:val="single" w:sz="8" w:space="0" w:color="auto"/>
              <w:right w:val="single" w:sz="8" w:space="0" w:color="auto"/>
            </w:tcBorders>
            <w:vAlign w:val="center"/>
          </w:tcPr>
          <w:p w:rsidR="00E056B8" w:rsidRPr="007E215B" w:rsidP="00E056B8" w14:paraId="0DA3214E" w14:textId="77777777">
            <w:pPr>
              <w:rPr>
                <w:bCs/>
                <w:i/>
                <w:iCs/>
              </w:rPr>
            </w:pPr>
          </w:p>
        </w:tc>
      </w:tr>
      <w:tr w14:paraId="517FF470" w14:textId="77777777" w:rsidTr="00D70524">
        <w:tblPrEx>
          <w:tblW w:w="11780" w:type="dxa"/>
          <w:jc w:val="center"/>
          <w:tblLayout w:type="fixed"/>
          <w:tblLook w:val="04A0"/>
        </w:tblPrEx>
        <w:trPr>
          <w:trHeight w:val="1506"/>
          <w:jc w:val="center"/>
        </w:trPr>
        <w:tc>
          <w:tcPr>
            <w:tcW w:w="1520" w:type="dxa"/>
            <w:tcBorders>
              <w:top w:val="nil"/>
              <w:left w:val="single" w:sz="8" w:space="0" w:color="auto"/>
              <w:bottom w:val="single" w:sz="8" w:space="0" w:color="auto"/>
              <w:right w:val="single" w:sz="8" w:space="0" w:color="auto"/>
            </w:tcBorders>
            <w:vAlign w:val="center"/>
            <w:hideMark/>
          </w:tcPr>
          <w:p w:rsidR="00B05EF4" w:rsidRPr="007E215B" w:rsidP="00B05EF4" w14:paraId="55EF5470" w14:textId="77777777">
            <w:pPr>
              <w:rPr>
                <w:bCs/>
              </w:rPr>
            </w:pPr>
            <w:r w:rsidRPr="007E215B">
              <w:rPr>
                <w:bCs/>
              </w:rPr>
              <w:t>Ensuring communication system provides opt-out capacity (§ 1006.6(e)) *</w:t>
            </w:r>
          </w:p>
        </w:tc>
        <w:tc>
          <w:tcPr>
            <w:tcW w:w="1428" w:type="dxa"/>
            <w:tcBorders>
              <w:top w:val="nil"/>
              <w:left w:val="nil"/>
              <w:bottom w:val="single" w:sz="8" w:space="0" w:color="auto"/>
              <w:right w:val="single" w:sz="8" w:space="0" w:color="auto"/>
            </w:tcBorders>
            <w:vAlign w:val="center"/>
            <w:hideMark/>
          </w:tcPr>
          <w:p w:rsidR="00B05EF4" w:rsidRPr="007E215B" w:rsidP="00B05EF4" w14:paraId="598740C0" w14:textId="4C592DDB">
            <w:pPr>
              <w:rPr>
                <w:bCs/>
              </w:rPr>
            </w:pPr>
            <w:r w:rsidRPr="007E215B">
              <w:rPr>
                <w:bCs/>
              </w:rPr>
              <w:t>8,67</w:t>
            </w:r>
            <w:r w:rsidRPr="007E215B" w:rsidR="00B664AE">
              <w:rPr>
                <w:bCs/>
              </w:rPr>
              <w:t>7</w:t>
            </w:r>
          </w:p>
        </w:tc>
        <w:tc>
          <w:tcPr>
            <w:tcW w:w="1415" w:type="dxa"/>
            <w:tcBorders>
              <w:top w:val="nil"/>
              <w:left w:val="nil"/>
              <w:bottom w:val="single" w:sz="8" w:space="0" w:color="auto"/>
              <w:right w:val="single" w:sz="8" w:space="0" w:color="auto"/>
            </w:tcBorders>
            <w:vAlign w:val="center"/>
          </w:tcPr>
          <w:p w:rsidR="00B05EF4" w:rsidRPr="007E215B" w:rsidP="00B05EF4" w14:paraId="34CBED74" w14:textId="77777777">
            <w:pPr>
              <w:rPr>
                <w:bCs/>
              </w:rPr>
            </w:pPr>
          </w:p>
        </w:tc>
        <w:tc>
          <w:tcPr>
            <w:tcW w:w="1204" w:type="dxa"/>
            <w:tcBorders>
              <w:top w:val="nil"/>
              <w:left w:val="nil"/>
              <w:bottom w:val="single" w:sz="8" w:space="0" w:color="auto"/>
              <w:right w:val="single" w:sz="8" w:space="0" w:color="auto"/>
            </w:tcBorders>
            <w:vAlign w:val="center"/>
            <w:hideMark/>
          </w:tcPr>
          <w:p w:rsidR="00B05EF4" w:rsidRPr="007E215B" w:rsidP="00B05EF4" w14:paraId="0E613D9B" w14:textId="77777777">
            <w:pPr>
              <w:rPr>
                <w:bCs/>
              </w:rPr>
            </w:pPr>
            <w:r w:rsidRPr="007E215B">
              <w:rPr>
                <w:bCs/>
              </w:rPr>
              <w:t>1</w:t>
            </w:r>
          </w:p>
        </w:tc>
        <w:tc>
          <w:tcPr>
            <w:tcW w:w="1170" w:type="dxa"/>
            <w:tcBorders>
              <w:top w:val="nil"/>
              <w:left w:val="nil"/>
              <w:bottom w:val="single" w:sz="8" w:space="0" w:color="auto"/>
              <w:right w:val="single" w:sz="8" w:space="0" w:color="auto"/>
            </w:tcBorders>
            <w:vAlign w:val="center"/>
            <w:hideMark/>
          </w:tcPr>
          <w:p w:rsidR="00B05EF4" w:rsidRPr="007E215B" w:rsidP="00B05EF4" w14:paraId="43851B35" w14:textId="39638DC7">
            <w:pPr>
              <w:rPr>
                <w:bCs/>
              </w:rPr>
            </w:pPr>
            <w:r w:rsidRPr="007E215B">
              <w:rPr>
                <w:bCs/>
              </w:rPr>
              <w:t>8,67</w:t>
            </w:r>
            <w:r w:rsidRPr="007E215B" w:rsidR="00B664AE">
              <w:rPr>
                <w:bCs/>
              </w:rPr>
              <w:t>7</w:t>
            </w:r>
          </w:p>
        </w:tc>
        <w:tc>
          <w:tcPr>
            <w:tcW w:w="1050" w:type="dxa"/>
            <w:tcBorders>
              <w:top w:val="nil"/>
              <w:left w:val="nil"/>
              <w:bottom w:val="single" w:sz="8" w:space="0" w:color="auto"/>
              <w:right w:val="single" w:sz="8" w:space="0" w:color="auto"/>
            </w:tcBorders>
            <w:vAlign w:val="center"/>
            <w:hideMark/>
          </w:tcPr>
          <w:p w:rsidR="00B05EF4" w:rsidRPr="007E215B" w:rsidP="00B05EF4" w14:paraId="6471870F" w14:textId="77777777">
            <w:pPr>
              <w:rPr>
                <w:bCs/>
              </w:rPr>
            </w:pPr>
            <w:r w:rsidRPr="007E215B">
              <w:rPr>
                <w:bCs/>
              </w:rPr>
              <w:t>0</w:t>
            </w:r>
          </w:p>
        </w:tc>
        <w:tc>
          <w:tcPr>
            <w:tcW w:w="1200" w:type="dxa"/>
            <w:tcBorders>
              <w:top w:val="nil"/>
              <w:left w:val="nil"/>
              <w:bottom w:val="single" w:sz="8" w:space="0" w:color="auto"/>
              <w:right w:val="single" w:sz="8" w:space="0" w:color="auto"/>
            </w:tcBorders>
            <w:vAlign w:val="center"/>
            <w:hideMark/>
          </w:tcPr>
          <w:p w:rsidR="00B05EF4" w:rsidRPr="007E215B" w:rsidP="00B05EF4" w14:paraId="72573D3D" w14:textId="77777777">
            <w:pPr>
              <w:rPr>
                <w:bCs/>
              </w:rPr>
            </w:pPr>
            <w:r w:rsidRPr="007E215B">
              <w:rPr>
                <w:bCs/>
              </w:rPr>
              <w:t>0</w:t>
            </w:r>
          </w:p>
        </w:tc>
        <w:tc>
          <w:tcPr>
            <w:tcW w:w="1349" w:type="dxa"/>
            <w:tcBorders>
              <w:top w:val="nil"/>
              <w:left w:val="nil"/>
              <w:bottom w:val="single" w:sz="8" w:space="0" w:color="auto"/>
              <w:right w:val="single" w:sz="8" w:space="0" w:color="auto"/>
            </w:tcBorders>
            <w:vAlign w:val="center"/>
            <w:hideMark/>
          </w:tcPr>
          <w:p w:rsidR="00B05EF4" w:rsidRPr="007E215B" w:rsidP="00B05EF4" w14:paraId="17D5317E" w14:textId="77777777">
            <w:pPr>
              <w:rPr>
                <w:bCs/>
              </w:rPr>
            </w:pPr>
            <w:r w:rsidRPr="007E215B">
              <w:rPr>
                <w:bCs/>
              </w:rPr>
              <w:t>n/a</w:t>
            </w:r>
          </w:p>
        </w:tc>
        <w:tc>
          <w:tcPr>
            <w:tcW w:w="1444" w:type="dxa"/>
            <w:tcBorders>
              <w:top w:val="nil"/>
              <w:left w:val="nil"/>
              <w:bottom w:val="single" w:sz="8" w:space="0" w:color="auto"/>
              <w:right w:val="single" w:sz="8" w:space="0" w:color="auto"/>
            </w:tcBorders>
            <w:vAlign w:val="center"/>
            <w:hideMark/>
          </w:tcPr>
          <w:p w:rsidR="00B05EF4" w:rsidRPr="007E215B" w:rsidP="00B05EF4" w14:paraId="68D86AA4" w14:textId="77777777">
            <w:pPr>
              <w:rPr>
                <w:bCs/>
              </w:rPr>
            </w:pPr>
            <w:r w:rsidRPr="007E215B">
              <w:rPr>
                <w:bCs/>
              </w:rPr>
              <w:t xml:space="preserve">$0 </w:t>
            </w:r>
          </w:p>
        </w:tc>
      </w:tr>
      <w:tr w14:paraId="0F9DDB08" w14:textId="77777777" w:rsidTr="00D70524">
        <w:tblPrEx>
          <w:tblW w:w="11780" w:type="dxa"/>
          <w:jc w:val="center"/>
          <w:tblLayout w:type="fixed"/>
          <w:tblLook w:val="04A0"/>
        </w:tblPrEx>
        <w:trPr>
          <w:trHeight w:val="1258"/>
          <w:jc w:val="center"/>
        </w:trPr>
        <w:tc>
          <w:tcPr>
            <w:tcW w:w="1520" w:type="dxa"/>
            <w:tcBorders>
              <w:top w:val="nil"/>
              <w:left w:val="single" w:sz="8" w:space="0" w:color="auto"/>
              <w:bottom w:val="single" w:sz="8" w:space="0" w:color="auto"/>
              <w:right w:val="single" w:sz="8" w:space="0" w:color="auto"/>
            </w:tcBorders>
            <w:vAlign w:val="center"/>
            <w:hideMark/>
          </w:tcPr>
          <w:p w:rsidR="00B05EF4" w:rsidRPr="007E215B" w:rsidP="00B05EF4" w14:paraId="34D144E1" w14:textId="77777777">
            <w:pPr>
              <w:rPr>
                <w:bCs/>
              </w:rPr>
            </w:pPr>
            <w:r w:rsidRPr="007E215B">
              <w:rPr>
                <w:bCs/>
              </w:rPr>
              <w:t xml:space="preserve">Providing disclosure in communications (§ 1006.6(e))  </w:t>
            </w:r>
          </w:p>
        </w:tc>
        <w:tc>
          <w:tcPr>
            <w:tcW w:w="1428" w:type="dxa"/>
            <w:tcBorders>
              <w:top w:val="nil"/>
              <w:left w:val="nil"/>
              <w:bottom w:val="single" w:sz="8" w:space="0" w:color="auto"/>
              <w:right w:val="single" w:sz="8" w:space="0" w:color="auto"/>
            </w:tcBorders>
            <w:vAlign w:val="center"/>
            <w:hideMark/>
          </w:tcPr>
          <w:p w:rsidR="00B05EF4" w:rsidRPr="007E215B" w:rsidP="00B05EF4" w14:paraId="5B4C3D8F" w14:textId="1EE21CC1">
            <w:pPr>
              <w:rPr>
                <w:bCs/>
              </w:rPr>
            </w:pPr>
            <w:r w:rsidRPr="007E215B">
              <w:rPr>
                <w:bCs/>
              </w:rPr>
              <w:t>8,67</w:t>
            </w:r>
            <w:r w:rsidRPr="007E215B" w:rsidR="00B664AE">
              <w:rPr>
                <w:bCs/>
              </w:rPr>
              <w:t>7</w:t>
            </w:r>
          </w:p>
        </w:tc>
        <w:tc>
          <w:tcPr>
            <w:tcW w:w="1415" w:type="dxa"/>
            <w:tcBorders>
              <w:top w:val="nil"/>
              <w:left w:val="nil"/>
              <w:bottom w:val="single" w:sz="8" w:space="0" w:color="auto"/>
              <w:right w:val="single" w:sz="8" w:space="0" w:color="auto"/>
            </w:tcBorders>
            <w:vAlign w:val="center"/>
          </w:tcPr>
          <w:p w:rsidR="00B05EF4" w:rsidRPr="007E215B" w:rsidP="00B05EF4" w14:paraId="16E27E47" w14:textId="77777777">
            <w:pPr>
              <w:rPr>
                <w:bCs/>
              </w:rPr>
            </w:pPr>
          </w:p>
        </w:tc>
        <w:tc>
          <w:tcPr>
            <w:tcW w:w="1204" w:type="dxa"/>
            <w:tcBorders>
              <w:top w:val="nil"/>
              <w:left w:val="nil"/>
              <w:bottom w:val="single" w:sz="8" w:space="0" w:color="auto"/>
              <w:right w:val="single" w:sz="8" w:space="0" w:color="auto"/>
            </w:tcBorders>
            <w:vAlign w:val="center"/>
            <w:hideMark/>
          </w:tcPr>
          <w:p w:rsidR="00B05EF4" w:rsidRPr="007E215B" w:rsidP="00B05EF4" w14:paraId="0A132FC8" w14:textId="77777777">
            <w:pPr>
              <w:rPr>
                <w:bCs/>
              </w:rPr>
            </w:pPr>
            <w:r w:rsidRPr="007E215B">
              <w:rPr>
                <w:bCs/>
              </w:rPr>
              <w:t>1</w:t>
            </w:r>
          </w:p>
        </w:tc>
        <w:tc>
          <w:tcPr>
            <w:tcW w:w="1170" w:type="dxa"/>
            <w:tcBorders>
              <w:top w:val="nil"/>
              <w:left w:val="nil"/>
              <w:bottom w:val="single" w:sz="8" w:space="0" w:color="auto"/>
              <w:right w:val="single" w:sz="8" w:space="0" w:color="auto"/>
            </w:tcBorders>
            <w:vAlign w:val="center"/>
            <w:hideMark/>
          </w:tcPr>
          <w:p w:rsidR="00B05EF4" w:rsidRPr="007E215B" w:rsidP="00B05EF4" w14:paraId="1D1CB1CC" w14:textId="0FA2436F">
            <w:pPr>
              <w:rPr>
                <w:bCs/>
              </w:rPr>
            </w:pPr>
            <w:r w:rsidRPr="007E215B">
              <w:rPr>
                <w:bCs/>
              </w:rPr>
              <w:t>8,67</w:t>
            </w:r>
            <w:r w:rsidRPr="007E215B" w:rsidR="00B664AE">
              <w:rPr>
                <w:bCs/>
              </w:rPr>
              <w:t>7</w:t>
            </w:r>
          </w:p>
        </w:tc>
        <w:tc>
          <w:tcPr>
            <w:tcW w:w="1050" w:type="dxa"/>
            <w:tcBorders>
              <w:top w:val="nil"/>
              <w:left w:val="nil"/>
              <w:bottom w:val="single" w:sz="8" w:space="0" w:color="auto"/>
              <w:right w:val="single" w:sz="8" w:space="0" w:color="auto"/>
            </w:tcBorders>
            <w:vAlign w:val="center"/>
            <w:hideMark/>
          </w:tcPr>
          <w:p w:rsidR="00B05EF4" w:rsidRPr="007E215B" w:rsidP="00B05EF4" w14:paraId="70DDA40A" w14:textId="77777777">
            <w:pPr>
              <w:rPr>
                <w:bCs/>
              </w:rPr>
            </w:pPr>
            <w:r w:rsidRPr="007E215B">
              <w:rPr>
                <w:bCs/>
              </w:rPr>
              <w:t>0</w:t>
            </w:r>
          </w:p>
        </w:tc>
        <w:tc>
          <w:tcPr>
            <w:tcW w:w="1200" w:type="dxa"/>
            <w:tcBorders>
              <w:top w:val="nil"/>
              <w:left w:val="nil"/>
              <w:bottom w:val="single" w:sz="8" w:space="0" w:color="auto"/>
              <w:right w:val="single" w:sz="8" w:space="0" w:color="auto"/>
            </w:tcBorders>
            <w:vAlign w:val="center"/>
            <w:hideMark/>
          </w:tcPr>
          <w:p w:rsidR="00B05EF4" w:rsidRPr="007E215B" w:rsidP="00B05EF4" w14:paraId="01EB1809" w14:textId="77777777">
            <w:pPr>
              <w:rPr>
                <w:bCs/>
              </w:rPr>
            </w:pPr>
            <w:r w:rsidRPr="007E215B">
              <w:rPr>
                <w:bCs/>
              </w:rPr>
              <w:t>0</w:t>
            </w:r>
          </w:p>
        </w:tc>
        <w:tc>
          <w:tcPr>
            <w:tcW w:w="1349" w:type="dxa"/>
            <w:tcBorders>
              <w:top w:val="nil"/>
              <w:left w:val="nil"/>
              <w:bottom w:val="single" w:sz="8" w:space="0" w:color="auto"/>
              <w:right w:val="single" w:sz="8" w:space="0" w:color="auto"/>
            </w:tcBorders>
            <w:vAlign w:val="center"/>
            <w:hideMark/>
          </w:tcPr>
          <w:p w:rsidR="00B05EF4" w:rsidRPr="007E215B" w:rsidP="00B05EF4" w14:paraId="3305C33F" w14:textId="77777777">
            <w:pPr>
              <w:rPr>
                <w:bCs/>
              </w:rPr>
            </w:pPr>
            <w:r w:rsidRPr="007E215B">
              <w:rPr>
                <w:bCs/>
              </w:rPr>
              <w:t>n/a</w:t>
            </w:r>
          </w:p>
        </w:tc>
        <w:tc>
          <w:tcPr>
            <w:tcW w:w="1444" w:type="dxa"/>
            <w:tcBorders>
              <w:top w:val="nil"/>
              <w:left w:val="nil"/>
              <w:bottom w:val="single" w:sz="8" w:space="0" w:color="auto"/>
              <w:right w:val="single" w:sz="8" w:space="0" w:color="auto"/>
            </w:tcBorders>
            <w:vAlign w:val="center"/>
            <w:hideMark/>
          </w:tcPr>
          <w:p w:rsidR="00B05EF4" w:rsidRPr="007E215B" w:rsidP="00B05EF4" w14:paraId="7F2027A5" w14:textId="77777777">
            <w:pPr>
              <w:rPr>
                <w:bCs/>
              </w:rPr>
            </w:pPr>
            <w:r w:rsidRPr="007E215B">
              <w:rPr>
                <w:bCs/>
              </w:rPr>
              <w:t xml:space="preserve">$0 </w:t>
            </w:r>
          </w:p>
        </w:tc>
      </w:tr>
      <w:tr w14:paraId="79CC762E" w14:textId="77777777" w:rsidTr="00D70524">
        <w:tblPrEx>
          <w:tblW w:w="11780" w:type="dxa"/>
          <w:jc w:val="center"/>
          <w:tblLayout w:type="fixed"/>
          <w:tblLook w:val="04A0"/>
        </w:tblPrEx>
        <w:trPr>
          <w:trHeight w:val="524"/>
          <w:jc w:val="center"/>
        </w:trPr>
        <w:tc>
          <w:tcPr>
            <w:tcW w:w="1520" w:type="dxa"/>
            <w:tcBorders>
              <w:top w:val="nil"/>
              <w:left w:val="single" w:sz="8" w:space="0" w:color="auto"/>
              <w:bottom w:val="single" w:sz="8" w:space="0" w:color="auto"/>
              <w:right w:val="single" w:sz="8" w:space="0" w:color="auto"/>
            </w:tcBorders>
            <w:vAlign w:val="center"/>
            <w:hideMark/>
          </w:tcPr>
          <w:p w:rsidR="00B05EF4" w:rsidRPr="007E215B" w:rsidP="00B05EF4" w14:paraId="35E87F93" w14:textId="77777777">
            <w:pPr>
              <w:rPr>
                <w:bCs/>
                <w:i/>
                <w:iCs/>
              </w:rPr>
            </w:pPr>
            <w:r w:rsidRPr="007E215B">
              <w:rPr>
                <w:bCs/>
                <w:i/>
                <w:iCs/>
              </w:rPr>
              <w:t>Communication prior to furnishing</w:t>
            </w:r>
          </w:p>
        </w:tc>
        <w:tc>
          <w:tcPr>
            <w:tcW w:w="1428" w:type="dxa"/>
            <w:tcBorders>
              <w:top w:val="nil"/>
              <w:left w:val="nil"/>
              <w:bottom w:val="single" w:sz="8" w:space="0" w:color="auto"/>
              <w:right w:val="single" w:sz="8" w:space="0" w:color="auto"/>
            </w:tcBorders>
            <w:vAlign w:val="center"/>
            <w:hideMark/>
          </w:tcPr>
          <w:p w:rsidR="00B05EF4" w:rsidRPr="007E215B" w:rsidP="00B05EF4" w14:paraId="3372F0B0" w14:textId="77777777">
            <w:pPr>
              <w:rPr>
                <w:bCs/>
                <w:i/>
                <w:iCs/>
              </w:rPr>
            </w:pPr>
          </w:p>
        </w:tc>
        <w:tc>
          <w:tcPr>
            <w:tcW w:w="1415" w:type="dxa"/>
            <w:tcBorders>
              <w:top w:val="nil"/>
              <w:left w:val="nil"/>
              <w:bottom w:val="single" w:sz="8" w:space="0" w:color="auto"/>
              <w:right w:val="single" w:sz="8" w:space="0" w:color="auto"/>
            </w:tcBorders>
            <w:vAlign w:val="center"/>
            <w:hideMark/>
          </w:tcPr>
          <w:p w:rsidR="00B05EF4" w:rsidRPr="007E215B" w:rsidP="00B05EF4" w14:paraId="5B8851F3" w14:textId="77777777">
            <w:pPr>
              <w:rPr>
                <w:bCs/>
                <w:i/>
                <w:iCs/>
              </w:rPr>
            </w:pPr>
            <w:r w:rsidRPr="007E215B">
              <w:rPr>
                <w:bCs/>
                <w:i/>
                <w:iCs/>
              </w:rPr>
              <w:t>Disclosure</w:t>
            </w:r>
          </w:p>
        </w:tc>
        <w:tc>
          <w:tcPr>
            <w:tcW w:w="1204" w:type="dxa"/>
            <w:tcBorders>
              <w:top w:val="nil"/>
              <w:left w:val="nil"/>
              <w:bottom w:val="single" w:sz="8" w:space="0" w:color="auto"/>
              <w:right w:val="single" w:sz="8" w:space="0" w:color="auto"/>
            </w:tcBorders>
            <w:vAlign w:val="center"/>
          </w:tcPr>
          <w:p w:rsidR="00B05EF4" w:rsidRPr="007E215B" w:rsidP="00B05EF4" w14:paraId="17BCB218" w14:textId="77777777">
            <w:pPr>
              <w:rPr>
                <w:bCs/>
                <w:i/>
                <w:iCs/>
              </w:rPr>
            </w:pPr>
          </w:p>
        </w:tc>
        <w:tc>
          <w:tcPr>
            <w:tcW w:w="1170" w:type="dxa"/>
            <w:tcBorders>
              <w:top w:val="nil"/>
              <w:left w:val="nil"/>
              <w:bottom w:val="single" w:sz="8" w:space="0" w:color="auto"/>
              <w:right w:val="single" w:sz="8" w:space="0" w:color="auto"/>
            </w:tcBorders>
            <w:vAlign w:val="center"/>
          </w:tcPr>
          <w:p w:rsidR="00B05EF4" w:rsidRPr="007E215B" w:rsidP="00B05EF4" w14:paraId="3D08FBE4" w14:textId="77777777">
            <w:pPr>
              <w:rPr>
                <w:bCs/>
                <w:i/>
                <w:iCs/>
              </w:rPr>
            </w:pPr>
          </w:p>
        </w:tc>
        <w:tc>
          <w:tcPr>
            <w:tcW w:w="1050" w:type="dxa"/>
            <w:tcBorders>
              <w:top w:val="nil"/>
              <w:left w:val="nil"/>
              <w:bottom w:val="single" w:sz="8" w:space="0" w:color="auto"/>
              <w:right w:val="single" w:sz="8" w:space="0" w:color="auto"/>
            </w:tcBorders>
            <w:vAlign w:val="center"/>
          </w:tcPr>
          <w:p w:rsidR="00B05EF4" w:rsidRPr="007E215B" w:rsidP="00B05EF4" w14:paraId="1CB42402" w14:textId="77777777">
            <w:pPr>
              <w:rPr>
                <w:bCs/>
                <w:i/>
                <w:iCs/>
              </w:rPr>
            </w:pPr>
          </w:p>
        </w:tc>
        <w:tc>
          <w:tcPr>
            <w:tcW w:w="1200" w:type="dxa"/>
            <w:tcBorders>
              <w:top w:val="nil"/>
              <w:left w:val="nil"/>
              <w:bottom w:val="single" w:sz="8" w:space="0" w:color="auto"/>
              <w:right w:val="single" w:sz="8" w:space="0" w:color="auto"/>
            </w:tcBorders>
            <w:vAlign w:val="center"/>
          </w:tcPr>
          <w:p w:rsidR="00B05EF4" w:rsidRPr="007E215B" w:rsidP="00B05EF4" w14:paraId="45D633D2" w14:textId="77777777">
            <w:pPr>
              <w:rPr>
                <w:bCs/>
                <w:i/>
                <w:iCs/>
              </w:rPr>
            </w:pPr>
          </w:p>
        </w:tc>
        <w:tc>
          <w:tcPr>
            <w:tcW w:w="1349" w:type="dxa"/>
            <w:tcBorders>
              <w:top w:val="nil"/>
              <w:left w:val="nil"/>
              <w:bottom w:val="single" w:sz="8" w:space="0" w:color="auto"/>
              <w:right w:val="single" w:sz="8" w:space="0" w:color="auto"/>
            </w:tcBorders>
            <w:vAlign w:val="center"/>
          </w:tcPr>
          <w:p w:rsidR="00B05EF4" w:rsidRPr="007E215B" w:rsidP="00B05EF4" w14:paraId="458EE9FD" w14:textId="77777777">
            <w:pPr>
              <w:rPr>
                <w:bCs/>
                <w:i/>
                <w:iCs/>
              </w:rPr>
            </w:pPr>
          </w:p>
        </w:tc>
        <w:tc>
          <w:tcPr>
            <w:tcW w:w="1444" w:type="dxa"/>
            <w:tcBorders>
              <w:top w:val="nil"/>
              <w:left w:val="nil"/>
              <w:bottom w:val="single" w:sz="8" w:space="0" w:color="auto"/>
              <w:right w:val="single" w:sz="8" w:space="0" w:color="auto"/>
            </w:tcBorders>
            <w:vAlign w:val="center"/>
          </w:tcPr>
          <w:p w:rsidR="00B05EF4" w:rsidRPr="007E215B" w:rsidP="00B05EF4" w14:paraId="16B35B91" w14:textId="77777777">
            <w:pPr>
              <w:rPr>
                <w:bCs/>
                <w:i/>
                <w:iCs/>
              </w:rPr>
            </w:pPr>
          </w:p>
        </w:tc>
      </w:tr>
      <w:tr w14:paraId="49CE7156" w14:textId="77777777" w:rsidTr="00D70524">
        <w:tblPrEx>
          <w:tblW w:w="11780" w:type="dxa"/>
          <w:jc w:val="center"/>
          <w:tblLayout w:type="fixed"/>
          <w:tblLook w:val="04A0"/>
        </w:tblPrEx>
        <w:trPr>
          <w:trHeight w:val="1798"/>
          <w:jc w:val="center"/>
        </w:trPr>
        <w:tc>
          <w:tcPr>
            <w:tcW w:w="1520" w:type="dxa"/>
            <w:tcBorders>
              <w:top w:val="nil"/>
              <w:left w:val="single" w:sz="8" w:space="0" w:color="auto"/>
              <w:bottom w:val="single" w:sz="8" w:space="0" w:color="auto"/>
              <w:right w:val="single" w:sz="8" w:space="0" w:color="auto"/>
            </w:tcBorders>
            <w:vAlign w:val="center"/>
            <w:hideMark/>
          </w:tcPr>
          <w:p w:rsidR="00B05EF4" w:rsidRPr="007E215B" w:rsidP="00B05EF4" w14:paraId="33DEBEDE" w14:textId="169D0CD6">
            <w:pPr>
              <w:rPr>
                <w:bCs/>
              </w:rPr>
            </w:pPr>
            <w:r w:rsidRPr="007E215B">
              <w:rPr>
                <w:bCs/>
              </w:rPr>
              <w:t xml:space="preserve">Updating policies such that </w:t>
            </w:r>
            <w:r w:rsidRPr="007E215B" w:rsidR="007B6873">
              <w:rPr>
                <w:bCs/>
              </w:rPr>
              <w:t>requirements described in</w:t>
            </w:r>
            <w:r w:rsidRPr="007E215B" w:rsidR="00A64B2C">
              <w:rPr>
                <w:bCs/>
              </w:rPr>
              <w:t xml:space="preserve"> § 1006.30(a)</w:t>
            </w:r>
            <w:r w:rsidRPr="007E215B">
              <w:rPr>
                <w:bCs/>
              </w:rPr>
              <w:t xml:space="preserve"> </w:t>
            </w:r>
            <w:r w:rsidRPr="007E215B" w:rsidR="00A64B2C">
              <w:rPr>
                <w:bCs/>
              </w:rPr>
              <w:t>are met</w:t>
            </w:r>
            <w:r w:rsidRPr="007E215B">
              <w:rPr>
                <w:bCs/>
              </w:rPr>
              <w:t xml:space="preserve"> before furnishing (§ 1006.30(a))</w:t>
            </w:r>
          </w:p>
        </w:tc>
        <w:tc>
          <w:tcPr>
            <w:tcW w:w="10260" w:type="dxa"/>
            <w:gridSpan w:val="8"/>
            <w:tcBorders>
              <w:top w:val="nil"/>
              <w:left w:val="nil"/>
              <w:bottom w:val="single" w:sz="8" w:space="0" w:color="auto"/>
              <w:right w:val="single" w:sz="8" w:space="0" w:color="auto"/>
            </w:tcBorders>
            <w:vAlign w:val="center"/>
            <w:hideMark/>
          </w:tcPr>
          <w:p w:rsidR="00B05EF4" w:rsidRPr="007E215B" w:rsidP="00B05EF4" w14:paraId="354C43B6" w14:textId="4CCD74B1">
            <w:pPr>
              <w:rPr>
                <w:bCs/>
              </w:rPr>
            </w:pPr>
            <w:r w:rsidRPr="007E215B">
              <w:rPr>
                <w:bCs/>
              </w:rPr>
              <w:t>ONE-TIME COST, FROM INITIAL IMPLEMENTATION OF THE RULE</w:t>
            </w:r>
          </w:p>
        </w:tc>
      </w:tr>
      <w:tr w14:paraId="60BE5104" w14:textId="77777777" w:rsidTr="00D70524">
        <w:tblPrEx>
          <w:tblW w:w="11780" w:type="dxa"/>
          <w:jc w:val="center"/>
          <w:tblLayout w:type="fixed"/>
          <w:tblLook w:val="04A0"/>
        </w:tblPrEx>
        <w:trPr>
          <w:trHeight w:val="1543"/>
          <w:jc w:val="center"/>
        </w:trPr>
        <w:tc>
          <w:tcPr>
            <w:tcW w:w="1520" w:type="dxa"/>
            <w:tcBorders>
              <w:top w:val="nil"/>
              <w:left w:val="single" w:sz="8" w:space="0" w:color="auto"/>
              <w:bottom w:val="single" w:sz="8" w:space="0" w:color="auto"/>
              <w:right w:val="single" w:sz="8" w:space="0" w:color="auto"/>
            </w:tcBorders>
            <w:vAlign w:val="center"/>
            <w:hideMark/>
          </w:tcPr>
          <w:p w:rsidR="00B05EF4" w:rsidRPr="007E215B" w:rsidP="00B05EF4" w14:paraId="0FDED061" w14:textId="4703500A">
            <w:pPr>
              <w:rPr>
                <w:bCs/>
              </w:rPr>
            </w:pPr>
            <w:r w:rsidRPr="007E215B">
              <w:rPr>
                <w:bCs/>
              </w:rPr>
              <w:t>Meeting requirements</w:t>
            </w:r>
            <w:r w:rsidRPr="007E215B" w:rsidR="006B34F5">
              <w:rPr>
                <w:bCs/>
              </w:rPr>
              <w:t xml:space="preserve"> described in § 1006.30(a)</w:t>
            </w:r>
            <w:r w:rsidRPr="007E215B">
              <w:rPr>
                <w:bCs/>
              </w:rPr>
              <w:t xml:space="preserve"> (§ 1006.30(a))</w:t>
            </w:r>
          </w:p>
        </w:tc>
        <w:tc>
          <w:tcPr>
            <w:tcW w:w="1428" w:type="dxa"/>
            <w:tcBorders>
              <w:top w:val="nil"/>
              <w:left w:val="nil"/>
              <w:bottom w:val="single" w:sz="8" w:space="0" w:color="auto"/>
              <w:right w:val="single" w:sz="8" w:space="0" w:color="auto"/>
            </w:tcBorders>
            <w:vAlign w:val="center"/>
            <w:hideMark/>
          </w:tcPr>
          <w:p w:rsidR="00B05EF4" w:rsidRPr="007E215B" w:rsidP="00B05EF4" w14:paraId="71ECCE6F" w14:textId="4AD5BB3D">
            <w:pPr>
              <w:rPr>
                <w:bCs/>
              </w:rPr>
            </w:pPr>
            <w:r w:rsidRPr="007E215B">
              <w:rPr>
                <w:bCs/>
              </w:rPr>
              <w:t>451</w:t>
            </w:r>
          </w:p>
        </w:tc>
        <w:tc>
          <w:tcPr>
            <w:tcW w:w="1415" w:type="dxa"/>
            <w:tcBorders>
              <w:top w:val="nil"/>
              <w:left w:val="nil"/>
              <w:bottom w:val="single" w:sz="8" w:space="0" w:color="auto"/>
              <w:right w:val="single" w:sz="8" w:space="0" w:color="auto"/>
            </w:tcBorders>
            <w:vAlign w:val="center"/>
            <w:hideMark/>
          </w:tcPr>
          <w:p w:rsidR="00B05EF4" w:rsidRPr="007E215B" w:rsidP="00B05EF4" w14:paraId="24B8772E" w14:textId="77777777">
            <w:pPr>
              <w:rPr>
                <w:bCs/>
              </w:rPr>
            </w:pPr>
          </w:p>
        </w:tc>
        <w:tc>
          <w:tcPr>
            <w:tcW w:w="1204" w:type="dxa"/>
            <w:tcBorders>
              <w:top w:val="nil"/>
              <w:left w:val="nil"/>
              <w:bottom w:val="single" w:sz="8" w:space="0" w:color="auto"/>
              <w:right w:val="single" w:sz="8" w:space="0" w:color="auto"/>
            </w:tcBorders>
            <w:vAlign w:val="center"/>
            <w:hideMark/>
          </w:tcPr>
          <w:p w:rsidR="00B05EF4" w:rsidRPr="007E215B" w:rsidP="00B05EF4" w14:paraId="53C0E71E" w14:textId="4122C71A">
            <w:pPr>
              <w:rPr>
                <w:bCs/>
              </w:rPr>
            </w:pPr>
            <w:r w:rsidRPr="007E215B">
              <w:rPr>
                <w:bCs/>
              </w:rPr>
              <w:t>8,825</w:t>
            </w:r>
          </w:p>
        </w:tc>
        <w:tc>
          <w:tcPr>
            <w:tcW w:w="1170" w:type="dxa"/>
            <w:tcBorders>
              <w:top w:val="nil"/>
              <w:left w:val="nil"/>
              <w:bottom w:val="single" w:sz="8" w:space="0" w:color="auto"/>
              <w:right w:val="single" w:sz="8" w:space="0" w:color="auto"/>
            </w:tcBorders>
            <w:vAlign w:val="center"/>
            <w:hideMark/>
          </w:tcPr>
          <w:p w:rsidR="00B05EF4" w:rsidRPr="007E215B" w:rsidP="00B05EF4" w14:paraId="2A6F47B6" w14:textId="17BEDEF2">
            <w:pPr>
              <w:rPr>
                <w:bCs/>
              </w:rPr>
            </w:pPr>
            <w:r w:rsidRPr="007E215B">
              <w:rPr>
                <w:bCs/>
              </w:rPr>
              <w:t>3,979,184</w:t>
            </w:r>
          </w:p>
        </w:tc>
        <w:tc>
          <w:tcPr>
            <w:tcW w:w="1050" w:type="dxa"/>
            <w:tcBorders>
              <w:top w:val="nil"/>
              <w:left w:val="nil"/>
              <w:bottom w:val="single" w:sz="8" w:space="0" w:color="auto"/>
              <w:right w:val="single" w:sz="8" w:space="0" w:color="auto"/>
            </w:tcBorders>
            <w:vAlign w:val="center"/>
            <w:hideMark/>
          </w:tcPr>
          <w:p w:rsidR="00B05EF4" w:rsidRPr="007E215B" w:rsidP="00B05EF4" w14:paraId="0A1ED47B" w14:textId="77777777">
            <w:pPr>
              <w:rPr>
                <w:bCs/>
              </w:rPr>
            </w:pPr>
            <w:r w:rsidRPr="007E215B">
              <w:rPr>
                <w:bCs/>
              </w:rPr>
              <w:t>0.003</w:t>
            </w:r>
          </w:p>
        </w:tc>
        <w:tc>
          <w:tcPr>
            <w:tcW w:w="1200" w:type="dxa"/>
            <w:tcBorders>
              <w:top w:val="nil"/>
              <w:left w:val="nil"/>
              <w:bottom w:val="single" w:sz="8" w:space="0" w:color="auto"/>
              <w:right w:val="single" w:sz="8" w:space="0" w:color="auto"/>
            </w:tcBorders>
            <w:vAlign w:val="center"/>
            <w:hideMark/>
          </w:tcPr>
          <w:p w:rsidR="00B05EF4" w:rsidRPr="007E215B" w:rsidP="00B05EF4" w14:paraId="5BCA3179" w14:textId="4B44880A">
            <w:pPr>
              <w:rPr>
                <w:bCs/>
              </w:rPr>
            </w:pPr>
            <w:r w:rsidRPr="007E215B">
              <w:rPr>
                <w:bCs/>
              </w:rPr>
              <w:t>1</w:t>
            </w:r>
            <w:r w:rsidRPr="007E215B" w:rsidR="00E207FC">
              <w:rPr>
                <w:bCs/>
              </w:rPr>
              <w:t>1,938</w:t>
            </w:r>
          </w:p>
        </w:tc>
        <w:tc>
          <w:tcPr>
            <w:tcW w:w="1349" w:type="dxa"/>
            <w:tcBorders>
              <w:top w:val="nil"/>
              <w:left w:val="nil"/>
              <w:bottom w:val="single" w:sz="8" w:space="0" w:color="auto"/>
              <w:right w:val="single" w:sz="8" w:space="0" w:color="auto"/>
            </w:tcBorders>
            <w:vAlign w:val="center"/>
            <w:hideMark/>
          </w:tcPr>
          <w:p w:rsidR="00B05EF4" w:rsidRPr="007E215B" w:rsidP="00B05EF4" w14:paraId="76D8D109" w14:textId="6BAA82D4">
            <w:pPr>
              <w:rPr>
                <w:bCs/>
              </w:rPr>
            </w:pPr>
            <w:r w:rsidRPr="007E215B">
              <w:rPr>
                <w:bCs/>
              </w:rPr>
              <w:t>$</w:t>
            </w:r>
            <w:r w:rsidRPr="007E215B" w:rsidR="00751009">
              <w:rPr>
                <w:bCs/>
              </w:rPr>
              <w:t>22.12</w:t>
            </w:r>
          </w:p>
        </w:tc>
        <w:tc>
          <w:tcPr>
            <w:tcW w:w="1444" w:type="dxa"/>
            <w:tcBorders>
              <w:top w:val="nil"/>
              <w:left w:val="nil"/>
              <w:bottom w:val="single" w:sz="8" w:space="0" w:color="auto"/>
              <w:right w:val="single" w:sz="8" w:space="0" w:color="auto"/>
            </w:tcBorders>
            <w:vAlign w:val="center"/>
            <w:hideMark/>
          </w:tcPr>
          <w:p w:rsidR="00B05EF4" w:rsidRPr="007E215B" w:rsidP="00B05EF4" w14:paraId="76D83D8D" w14:textId="51174FF0">
            <w:pPr>
              <w:rPr>
                <w:bCs/>
              </w:rPr>
            </w:pPr>
            <w:r w:rsidRPr="007E215B">
              <w:rPr>
                <w:bCs/>
              </w:rPr>
              <w:t>$2</w:t>
            </w:r>
            <w:r w:rsidRPr="007E215B" w:rsidR="006866BA">
              <w:rPr>
                <w:bCs/>
              </w:rPr>
              <w:t>64,068</w:t>
            </w:r>
          </w:p>
        </w:tc>
      </w:tr>
      <w:tr w14:paraId="341FCB37" w14:textId="77777777" w:rsidTr="00D70524">
        <w:tblPrEx>
          <w:tblW w:w="11780" w:type="dxa"/>
          <w:jc w:val="center"/>
          <w:tblLayout w:type="fixed"/>
          <w:tblLook w:val="04A0"/>
        </w:tblPrEx>
        <w:trPr>
          <w:trHeight w:val="1258"/>
          <w:jc w:val="center"/>
        </w:trPr>
        <w:tc>
          <w:tcPr>
            <w:tcW w:w="1520" w:type="dxa"/>
            <w:tcBorders>
              <w:top w:val="nil"/>
              <w:left w:val="single" w:sz="8" w:space="0" w:color="auto"/>
              <w:bottom w:val="single" w:sz="8" w:space="0" w:color="auto"/>
              <w:right w:val="single" w:sz="8" w:space="0" w:color="auto"/>
            </w:tcBorders>
            <w:vAlign w:val="center"/>
            <w:hideMark/>
          </w:tcPr>
          <w:p w:rsidR="00B05EF4" w:rsidRPr="007E215B" w:rsidP="00B05EF4" w14:paraId="0036FDF8" w14:textId="77777777">
            <w:pPr>
              <w:rPr>
                <w:bCs/>
                <w:i/>
              </w:rPr>
            </w:pPr>
            <w:r w:rsidRPr="007E215B">
              <w:rPr>
                <w:bCs/>
                <w:i/>
              </w:rPr>
              <w:t>Transfer of debts discharged in bankruptcy</w:t>
            </w:r>
          </w:p>
        </w:tc>
        <w:tc>
          <w:tcPr>
            <w:tcW w:w="1428" w:type="dxa"/>
            <w:tcBorders>
              <w:top w:val="nil"/>
              <w:left w:val="nil"/>
              <w:bottom w:val="single" w:sz="8" w:space="0" w:color="auto"/>
              <w:right w:val="single" w:sz="8" w:space="0" w:color="auto"/>
            </w:tcBorders>
            <w:vAlign w:val="center"/>
          </w:tcPr>
          <w:p w:rsidR="00B05EF4" w:rsidRPr="007E215B" w:rsidP="00B05EF4" w14:paraId="58B9BBB4" w14:textId="77777777">
            <w:pPr>
              <w:rPr>
                <w:bCs/>
              </w:rPr>
            </w:pPr>
          </w:p>
        </w:tc>
        <w:tc>
          <w:tcPr>
            <w:tcW w:w="1415" w:type="dxa"/>
            <w:tcBorders>
              <w:top w:val="nil"/>
              <w:left w:val="nil"/>
              <w:bottom w:val="single" w:sz="8" w:space="0" w:color="auto"/>
              <w:right w:val="single" w:sz="8" w:space="0" w:color="auto"/>
            </w:tcBorders>
            <w:vAlign w:val="center"/>
            <w:hideMark/>
          </w:tcPr>
          <w:p w:rsidR="00B05EF4" w:rsidRPr="007E215B" w:rsidP="00B05EF4" w14:paraId="6862D376" w14:textId="77777777">
            <w:pPr>
              <w:rPr>
                <w:bCs/>
              </w:rPr>
            </w:pPr>
            <w:r w:rsidRPr="007E215B">
              <w:rPr>
                <w:bCs/>
                <w:i/>
                <w:iCs/>
              </w:rPr>
              <w:t>Disclosure</w:t>
            </w:r>
          </w:p>
        </w:tc>
        <w:tc>
          <w:tcPr>
            <w:tcW w:w="1204" w:type="dxa"/>
            <w:tcBorders>
              <w:top w:val="nil"/>
              <w:left w:val="nil"/>
              <w:bottom w:val="single" w:sz="8" w:space="0" w:color="auto"/>
              <w:right w:val="single" w:sz="8" w:space="0" w:color="auto"/>
            </w:tcBorders>
            <w:vAlign w:val="center"/>
          </w:tcPr>
          <w:p w:rsidR="00B05EF4" w:rsidRPr="007E215B" w:rsidP="00B05EF4" w14:paraId="325753BF" w14:textId="77777777">
            <w:pPr>
              <w:rPr>
                <w:bCs/>
              </w:rPr>
            </w:pPr>
          </w:p>
        </w:tc>
        <w:tc>
          <w:tcPr>
            <w:tcW w:w="1170" w:type="dxa"/>
            <w:tcBorders>
              <w:top w:val="nil"/>
              <w:left w:val="nil"/>
              <w:bottom w:val="single" w:sz="8" w:space="0" w:color="auto"/>
              <w:right w:val="single" w:sz="8" w:space="0" w:color="auto"/>
            </w:tcBorders>
            <w:vAlign w:val="center"/>
          </w:tcPr>
          <w:p w:rsidR="00B05EF4" w:rsidRPr="007E215B" w:rsidP="00B05EF4" w14:paraId="5B34A638" w14:textId="77777777">
            <w:pPr>
              <w:rPr>
                <w:bCs/>
              </w:rPr>
            </w:pPr>
          </w:p>
        </w:tc>
        <w:tc>
          <w:tcPr>
            <w:tcW w:w="1050" w:type="dxa"/>
            <w:tcBorders>
              <w:top w:val="nil"/>
              <w:left w:val="nil"/>
              <w:bottom w:val="single" w:sz="8" w:space="0" w:color="auto"/>
              <w:right w:val="single" w:sz="8" w:space="0" w:color="auto"/>
            </w:tcBorders>
            <w:vAlign w:val="center"/>
          </w:tcPr>
          <w:p w:rsidR="00B05EF4" w:rsidRPr="007E215B" w:rsidP="00B05EF4" w14:paraId="0DD99866" w14:textId="77777777">
            <w:pPr>
              <w:rPr>
                <w:bCs/>
              </w:rPr>
            </w:pPr>
          </w:p>
        </w:tc>
        <w:tc>
          <w:tcPr>
            <w:tcW w:w="1200" w:type="dxa"/>
            <w:tcBorders>
              <w:top w:val="nil"/>
              <w:left w:val="nil"/>
              <w:bottom w:val="single" w:sz="8" w:space="0" w:color="auto"/>
              <w:right w:val="single" w:sz="8" w:space="0" w:color="auto"/>
            </w:tcBorders>
            <w:vAlign w:val="center"/>
          </w:tcPr>
          <w:p w:rsidR="00B05EF4" w:rsidRPr="007E215B" w:rsidP="00B05EF4" w14:paraId="6FB843AA" w14:textId="77777777">
            <w:pPr>
              <w:rPr>
                <w:bCs/>
              </w:rPr>
            </w:pPr>
          </w:p>
        </w:tc>
        <w:tc>
          <w:tcPr>
            <w:tcW w:w="1349" w:type="dxa"/>
            <w:tcBorders>
              <w:top w:val="nil"/>
              <w:left w:val="nil"/>
              <w:bottom w:val="single" w:sz="8" w:space="0" w:color="auto"/>
              <w:right w:val="single" w:sz="8" w:space="0" w:color="auto"/>
            </w:tcBorders>
            <w:vAlign w:val="center"/>
          </w:tcPr>
          <w:p w:rsidR="00B05EF4" w:rsidRPr="007E215B" w:rsidP="00B05EF4" w14:paraId="0B08BCF5" w14:textId="77777777">
            <w:pPr>
              <w:rPr>
                <w:bCs/>
              </w:rPr>
            </w:pPr>
          </w:p>
        </w:tc>
        <w:tc>
          <w:tcPr>
            <w:tcW w:w="1444" w:type="dxa"/>
            <w:tcBorders>
              <w:top w:val="nil"/>
              <w:left w:val="nil"/>
              <w:bottom w:val="single" w:sz="8" w:space="0" w:color="auto"/>
              <w:right w:val="single" w:sz="8" w:space="0" w:color="auto"/>
            </w:tcBorders>
            <w:vAlign w:val="center"/>
          </w:tcPr>
          <w:p w:rsidR="00B05EF4" w:rsidRPr="007E215B" w:rsidP="00B05EF4" w14:paraId="6945C191" w14:textId="77777777">
            <w:pPr>
              <w:rPr>
                <w:bCs/>
              </w:rPr>
            </w:pPr>
          </w:p>
        </w:tc>
      </w:tr>
      <w:tr w14:paraId="1664673E" w14:textId="77777777" w:rsidTr="00D70524">
        <w:tblPrEx>
          <w:tblW w:w="11780" w:type="dxa"/>
          <w:jc w:val="center"/>
          <w:tblLayout w:type="fixed"/>
          <w:tblLook w:val="04A0"/>
        </w:tblPrEx>
        <w:trPr>
          <w:trHeight w:val="1258"/>
          <w:jc w:val="center"/>
        </w:trPr>
        <w:tc>
          <w:tcPr>
            <w:tcW w:w="1520" w:type="dxa"/>
            <w:tcBorders>
              <w:top w:val="nil"/>
              <w:left w:val="single" w:sz="8" w:space="0" w:color="auto"/>
              <w:bottom w:val="single" w:sz="8" w:space="0" w:color="auto"/>
              <w:right w:val="single" w:sz="8" w:space="0" w:color="auto"/>
            </w:tcBorders>
            <w:vAlign w:val="center"/>
            <w:hideMark/>
          </w:tcPr>
          <w:p w:rsidR="00B05EF4" w:rsidRPr="007E215B" w:rsidP="00B05EF4" w14:paraId="42C3DA44" w14:textId="52D059C4">
            <w:pPr>
              <w:rPr>
                <w:bCs/>
              </w:rPr>
            </w:pPr>
            <w:r w:rsidRPr="007E215B">
              <w:rPr>
                <w:bCs/>
              </w:rPr>
              <w:t>Providing notice to transferee that</w:t>
            </w:r>
            <w:r w:rsidRPr="007E215B" w:rsidR="00430433">
              <w:rPr>
                <w:bCs/>
              </w:rPr>
              <w:t xml:space="preserve"> the consumer's personal liability</w:t>
            </w:r>
            <w:r w:rsidRPr="007E215B" w:rsidR="00550AAA">
              <w:rPr>
                <w:bCs/>
              </w:rPr>
              <w:t xml:space="preserve"> for a</w:t>
            </w:r>
            <w:r w:rsidRPr="007E215B">
              <w:rPr>
                <w:bCs/>
              </w:rPr>
              <w:t xml:space="preserve"> secured debt was discharged in bankruptcy</w:t>
            </w:r>
            <w:r w:rsidRPr="007E215B" w:rsidR="000E400A">
              <w:rPr>
                <w:bCs/>
              </w:rPr>
              <w:t xml:space="preserve"> (§ 1006.</w:t>
            </w:r>
            <w:r w:rsidRPr="007E215B" w:rsidR="00FF6CBF">
              <w:rPr>
                <w:bCs/>
              </w:rPr>
              <w:t>30(b)(2))</w:t>
            </w:r>
          </w:p>
        </w:tc>
        <w:tc>
          <w:tcPr>
            <w:tcW w:w="1428" w:type="dxa"/>
            <w:tcBorders>
              <w:top w:val="nil"/>
              <w:left w:val="nil"/>
              <w:bottom w:val="single" w:sz="8" w:space="0" w:color="auto"/>
              <w:right w:val="single" w:sz="8" w:space="0" w:color="auto"/>
            </w:tcBorders>
            <w:vAlign w:val="center"/>
            <w:hideMark/>
          </w:tcPr>
          <w:p w:rsidR="00B05EF4" w:rsidRPr="007E215B" w:rsidP="00B05EF4" w14:paraId="6E994202" w14:textId="77777777">
            <w:pPr>
              <w:rPr>
                <w:bCs/>
              </w:rPr>
            </w:pPr>
            <w:r w:rsidRPr="007E215B">
              <w:rPr>
                <w:bCs/>
              </w:rPr>
              <w:t>700</w:t>
            </w:r>
          </w:p>
        </w:tc>
        <w:tc>
          <w:tcPr>
            <w:tcW w:w="1415" w:type="dxa"/>
            <w:tcBorders>
              <w:top w:val="nil"/>
              <w:left w:val="nil"/>
              <w:bottom w:val="single" w:sz="8" w:space="0" w:color="auto"/>
              <w:right w:val="single" w:sz="8" w:space="0" w:color="auto"/>
            </w:tcBorders>
            <w:vAlign w:val="center"/>
          </w:tcPr>
          <w:p w:rsidR="00B05EF4" w:rsidRPr="007E215B" w:rsidP="00B05EF4" w14:paraId="088648BB" w14:textId="77777777">
            <w:pPr>
              <w:rPr>
                <w:bCs/>
              </w:rPr>
            </w:pPr>
          </w:p>
        </w:tc>
        <w:tc>
          <w:tcPr>
            <w:tcW w:w="1204" w:type="dxa"/>
            <w:tcBorders>
              <w:top w:val="nil"/>
              <w:left w:val="nil"/>
              <w:bottom w:val="single" w:sz="8" w:space="0" w:color="auto"/>
              <w:right w:val="single" w:sz="8" w:space="0" w:color="auto"/>
            </w:tcBorders>
            <w:vAlign w:val="center"/>
          </w:tcPr>
          <w:p w:rsidR="00B05EF4" w:rsidRPr="007E215B" w:rsidP="00B05EF4" w14:paraId="22A0E71B" w14:textId="77777777">
            <w:pPr>
              <w:rPr>
                <w:bCs/>
              </w:rPr>
            </w:pPr>
          </w:p>
        </w:tc>
        <w:tc>
          <w:tcPr>
            <w:tcW w:w="1170" w:type="dxa"/>
            <w:tcBorders>
              <w:top w:val="nil"/>
              <w:left w:val="nil"/>
              <w:bottom w:val="single" w:sz="8" w:space="0" w:color="auto"/>
              <w:right w:val="single" w:sz="8" w:space="0" w:color="auto"/>
            </w:tcBorders>
            <w:vAlign w:val="center"/>
          </w:tcPr>
          <w:p w:rsidR="00B05EF4" w:rsidRPr="007E215B" w:rsidP="00B05EF4" w14:paraId="11CEC0FE" w14:textId="77777777">
            <w:pPr>
              <w:rPr>
                <w:bCs/>
              </w:rPr>
            </w:pPr>
          </w:p>
        </w:tc>
        <w:tc>
          <w:tcPr>
            <w:tcW w:w="1050" w:type="dxa"/>
            <w:tcBorders>
              <w:top w:val="nil"/>
              <w:left w:val="nil"/>
              <w:bottom w:val="single" w:sz="8" w:space="0" w:color="auto"/>
              <w:right w:val="single" w:sz="8" w:space="0" w:color="auto"/>
            </w:tcBorders>
            <w:vAlign w:val="center"/>
            <w:hideMark/>
          </w:tcPr>
          <w:p w:rsidR="00B05EF4" w:rsidRPr="007E215B" w:rsidP="00B05EF4" w14:paraId="43CE7D01" w14:textId="77777777">
            <w:pPr>
              <w:rPr>
                <w:bCs/>
              </w:rPr>
            </w:pPr>
            <w:r w:rsidRPr="007E215B">
              <w:rPr>
                <w:bCs/>
              </w:rPr>
              <w:t>0</w:t>
            </w:r>
          </w:p>
        </w:tc>
        <w:tc>
          <w:tcPr>
            <w:tcW w:w="1200" w:type="dxa"/>
            <w:tcBorders>
              <w:top w:val="nil"/>
              <w:left w:val="nil"/>
              <w:bottom w:val="single" w:sz="8" w:space="0" w:color="auto"/>
              <w:right w:val="single" w:sz="8" w:space="0" w:color="auto"/>
            </w:tcBorders>
            <w:vAlign w:val="center"/>
            <w:hideMark/>
          </w:tcPr>
          <w:p w:rsidR="00B05EF4" w:rsidRPr="007E215B" w:rsidP="00B05EF4" w14:paraId="639E7A0F" w14:textId="77777777">
            <w:pPr>
              <w:rPr>
                <w:bCs/>
              </w:rPr>
            </w:pPr>
            <w:r w:rsidRPr="007E215B">
              <w:rPr>
                <w:bCs/>
              </w:rPr>
              <w:t>0</w:t>
            </w:r>
          </w:p>
        </w:tc>
        <w:tc>
          <w:tcPr>
            <w:tcW w:w="1349" w:type="dxa"/>
            <w:tcBorders>
              <w:top w:val="nil"/>
              <w:left w:val="nil"/>
              <w:bottom w:val="single" w:sz="8" w:space="0" w:color="auto"/>
              <w:right w:val="single" w:sz="8" w:space="0" w:color="auto"/>
            </w:tcBorders>
            <w:vAlign w:val="center"/>
            <w:hideMark/>
          </w:tcPr>
          <w:p w:rsidR="00B05EF4" w:rsidRPr="007E215B" w:rsidP="00B05EF4" w14:paraId="51BD8477" w14:textId="77777777">
            <w:pPr>
              <w:rPr>
                <w:bCs/>
              </w:rPr>
            </w:pPr>
            <w:r w:rsidRPr="007E215B">
              <w:rPr>
                <w:bCs/>
              </w:rPr>
              <w:t>n/a</w:t>
            </w:r>
          </w:p>
        </w:tc>
        <w:tc>
          <w:tcPr>
            <w:tcW w:w="1444" w:type="dxa"/>
            <w:tcBorders>
              <w:top w:val="nil"/>
              <w:left w:val="nil"/>
              <w:bottom w:val="single" w:sz="8" w:space="0" w:color="auto"/>
              <w:right w:val="single" w:sz="8" w:space="0" w:color="auto"/>
            </w:tcBorders>
            <w:vAlign w:val="center"/>
            <w:hideMark/>
          </w:tcPr>
          <w:p w:rsidR="00B05EF4" w:rsidRPr="007E215B" w:rsidP="00B05EF4" w14:paraId="6E8F9C19" w14:textId="77777777">
            <w:pPr>
              <w:rPr>
                <w:bCs/>
              </w:rPr>
            </w:pPr>
            <w:r w:rsidRPr="007E215B">
              <w:rPr>
                <w:bCs/>
              </w:rPr>
              <w:t>$0</w:t>
            </w:r>
          </w:p>
        </w:tc>
      </w:tr>
      <w:tr w14:paraId="1F089CED" w14:textId="77777777" w:rsidTr="00D70524">
        <w:tblPrEx>
          <w:tblW w:w="11780" w:type="dxa"/>
          <w:jc w:val="center"/>
          <w:tblLayout w:type="fixed"/>
          <w:tblLook w:val="04A0"/>
        </w:tblPrEx>
        <w:trPr>
          <w:trHeight w:val="329"/>
          <w:jc w:val="center"/>
        </w:trPr>
        <w:tc>
          <w:tcPr>
            <w:tcW w:w="1520" w:type="dxa"/>
            <w:tcBorders>
              <w:top w:val="nil"/>
              <w:left w:val="single" w:sz="8" w:space="0" w:color="auto"/>
              <w:bottom w:val="single" w:sz="8" w:space="0" w:color="auto"/>
              <w:right w:val="single" w:sz="8" w:space="0" w:color="auto"/>
            </w:tcBorders>
            <w:vAlign w:val="center"/>
            <w:hideMark/>
          </w:tcPr>
          <w:p w:rsidR="00B05EF4" w:rsidRPr="007E215B" w:rsidP="00B05EF4" w14:paraId="24D96840" w14:textId="77777777">
            <w:pPr>
              <w:rPr>
                <w:bCs/>
                <w:i/>
                <w:iCs/>
              </w:rPr>
            </w:pPr>
            <w:r w:rsidRPr="007E215B">
              <w:rPr>
                <w:bCs/>
                <w:i/>
                <w:iCs/>
              </w:rPr>
              <w:t>Validation Notice</w:t>
            </w:r>
          </w:p>
        </w:tc>
        <w:tc>
          <w:tcPr>
            <w:tcW w:w="1428" w:type="dxa"/>
            <w:tcBorders>
              <w:top w:val="nil"/>
              <w:left w:val="nil"/>
              <w:bottom w:val="single" w:sz="8" w:space="0" w:color="auto"/>
              <w:right w:val="single" w:sz="8" w:space="0" w:color="auto"/>
            </w:tcBorders>
            <w:vAlign w:val="center"/>
            <w:hideMark/>
          </w:tcPr>
          <w:p w:rsidR="00B05EF4" w:rsidRPr="007E215B" w:rsidP="00B05EF4" w14:paraId="438137F7" w14:textId="77777777">
            <w:pPr>
              <w:rPr>
                <w:bCs/>
                <w:i/>
                <w:iCs/>
              </w:rPr>
            </w:pPr>
          </w:p>
        </w:tc>
        <w:tc>
          <w:tcPr>
            <w:tcW w:w="1415" w:type="dxa"/>
            <w:tcBorders>
              <w:top w:val="nil"/>
              <w:left w:val="nil"/>
              <w:bottom w:val="single" w:sz="8" w:space="0" w:color="auto"/>
              <w:right w:val="single" w:sz="8" w:space="0" w:color="auto"/>
            </w:tcBorders>
            <w:vAlign w:val="center"/>
            <w:hideMark/>
          </w:tcPr>
          <w:p w:rsidR="00B05EF4" w:rsidRPr="007E215B" w:rsidP="00B05EF4" w14:paraId="4F4CDAF7" w14:textId="77777777">
            <w:pPr>
              <w:rPr>
                <w:bCs/>
                <w:i/>
                <w:iCs/>
              </w:rPr>
            </w:pPr>
            <w:r w:rsidRPr="007E215B">
              <w:rPr>
                <w:bCs/>
                <w:i/>
                <w:iCs/>
              </w:rPr>
              <w:t>Disclosure</w:t>
            </w:r>
          </w:p>
        </w:tc>
        <w:tc>
          <w:tcPr>
            <w:tcW w:w="1204" w:type="dxa"/>
            <w:tcBorders>
              <w:top w:val="nil"/>
              <w:left w:val="nil"/>
              <w:bottom w:val="single" w:sz="8" w:space="0" w:color="auto"/>
              <w:right w:val="single" w:sz="8" w:space="0" w:color="auto"/>
            </w:tcBorders>
            <w:vAlign w:val="center"/>
          </w:tcPr>
          <w:p w:rsidR="00B05EF4" w:rsidRPr="007E215B" w:rsidP="00B05EF4" w14:paraId="52792692" w14:textId="77777777">
            <w:pPr>
              <w:rPr>
                <w:bCs/>
                <w:i/>
                <w:iCs/>
              </w:rPr>
            </w:pPr>
          </w:p>
        </w:tc>
        <w:tc>
          <w:tcPr>
            <w:tcW w:w="1170" w:type="dxa"/>
            <w:tcBorders>
              <w:top w:val="nil"/>
              <w:left w:val="nil"/>
              <w:bottom w:val="single" w:sz="8" w:space="0" w:color="auto"/>
              <w:right w:val="single" w:sz="8" w:space="0" w:color="auto"/>
            </w:tcBorders>
            <w:vAlign w:val="center"/>
          </w:tcPr>
          <w:p w:rsidR="00B05EF4" w:rsidRPr="007E215B" w:rsidP="00B05EF4" w14:paraId="0CC99E03" w14:textId="77777777">
            <w:pPr>
              <w:rPr>
                <w:bCs/>
                <w:i/>
                <w:iCs/>
              </w:rPr>
            </w:pPr>
          </w:p>
        </w:tc>
        <w:tc>
          <w:tcPr>
            <w:tcW w:w="1050" w:type="dxa"/>
            <w:tcBorders>
              <w:top w:val="nil"/>
              <w:left w:val="nil"/>
              <w:bottom w:val="single" w:sz="8" w:space="0" w:color="auto"/>
              <w:right w:val="single" w:sz="8" w:space="0" w:color="auto"/>
            </w:tcBorders>
            <w:vAlign w:val="center"/>
          </w:tcPr>
          <w:p w:rsidR="00B05EF4" w:rsidRPr="007E215B" w:rsidP="00B05EF4" w14:paraId="2DBF8CF1" w14:textId="77777777">
            <w:pPr>
              <w:rPr>
                <w:bCs/>
                <w:i/>
                <w:iCs/>
              </w:rPr>
            </w:pPr>
          </w:p>
        </w:tc>
        <w:tc>
          <w:tcPr>
            <w:tcW w:w="1200" w:type="dxa"/>
            <w:tcBorders>
              <w:top w:val="nil"/>
              <w:left w:val="nil"/>
              <w:bottom w:val="single" w:sz="8" w:space="0" w:color="auto"/>
              <w:right w:val="single" w:sz="8" w:space="0" w:color="auto"/>
            </w:tcBorders>
            <w:vAlign w:val="center"/>
          </w:tcPr>
          <w:p w:rsidR="00B05EF4" w:rsidRPr="007E215B" w:rsidP="00B05EF4" w14:paraId="288EC7B4" w14:textId="77777777">
            <w:pPr>
              <w:rPr>
                <w:bCs/>
                <w:i/>
                <w:iCs/>
              </w:rPr>
            </w:pPr>
          </w:p>
        </w:tc>
        <w:tc>
          <w:tcPr>
            <w:tcW w:w="1349" w:type="dxa"/>
            <w:tcBorders>
              <w:top w:val="nil"/>
              <w:left w:val="nil"/>
              <w:bottom w:val="single" w:sz="8" w:space="0" w:color="auto"/>
              <w:right w:val="single" w:sz="8" w:space="0" w:color="auto"/>
            </w:tcBorders>
            <w:vAlign w:val="center"/>
          </w:tcPr>
          <w:p w:rsidR="00B05EF4" w:rsidRPr="007E215B" w:rsidP="00B05EF4" w14:paraId="0890092E" w14:textId="77777777">
            <w:pPr>
              <w:rPr>
                <w:bCs/>
                <w:i/>
                <w:iCs/>
              </w:rPr>
            </w:pPr>
          </w:p>
        </w:tc>
        <w:tc>
          <w:tcPr>
            <w:tcW w:w="1444" w:type="dxa"/>
            <w:tcBorders>
              <w:top w:val="nil"/>
              <w:left w:val="nil"/>
              <w:bottom w:val="single" w:sz="8" w:space="0" w:color="auto"/>
              <w:right w:val="single" w:sz="8" w:space="0" w:color="auto"/>
            </w:tcBorders>
            <w:vAlign w:val="center"/>
          </w:tcPr>
          <w:p w:rsidR="00B05EF4" w:rsidRPr="007E215B" w:rsidP="00B05EF4" w14:paraId="18BCD373" w14:textId="77777777">
            <w:pPr>
              <w:rPr>
                <w:bCs/>
                <w:i/>
                <w:iCs/>
              </w:rPr>
            </w:pPr>
          </w:p>
        </w:tc>
      </w:tr>
      <w:tr w14:paraId="0C3A900C" w14:textId="77777777" w:rsidTr="00D70524">
        <w:tblPrEx>
          <w:tblW w:w="11780" w:type="dxa"/>
          <w:jc w:val="center"/>
          <w:tblLayout w:type="fixed"/>
          <w:tblLook w:val="04A0"/>
        </w:tblPrEx>
        <w:trPr>
          <w:trHeight w:val="1034"/>
          <w:jc w:val="center"/>
        </w:trPr>
        <w:tc>
          <w:tcPr>
            <w:tcW w:w="1520" w:type="dxa"/>
            <w:tcBorders>
              <w:top w:val="nil"/>
              <w:left w:val="single" w:sz="8" w:space="0" w:color="auto"/>
              <w:bottom w:val="single" w:sz="8" w:space="0" w:color="auto"/>
              <w:right w:val="single" w:sz="8" w:space="0" w:color="auto"/>
            </w:tcBorders>
            <w:vAlign w:val="center"/>
            <w:hideMark/>
          </w:tcPr>
          <w:p w:rsidR="00E207FC" w:rsidRPr="007E215B" w:rsidP="00E207FC" w14:paraId="2878E1C7" w14:textId="77777777">
            <w:pPr>
              <w:rPr>
                <w:bCs/>
              </w:rPr>
            </w:pPr>
            <w:r w:rsidRPr="007E215B">
              <w:rPr>
                <w:bCs/>
              </w:rPr>
              <w:t>Reformatting of Validation Notice (§ 1006.34)</w:t>
            </w:r>
          </w:p>
        </w:tc>
        <w:tc>
          <w:tcPr>
            <w:tcW w:w="10260" w:type="dxa"/>
            <w:gridSpan w:val="8"/>
            <w:tcBorders>
              <w:top w:val="nil"/>
              <w:left w:val="nil"/>
              <w:bottom w:val="single" w:sz="8" w:space="0" w:color="auto"/>
              <w:right w:val="single" w:sz="8" w:space="0" w:color="auto"/>
            </w:tcBorders>
            <w:vAlign w:val="center"/>
            <w:hideMark/>
          </w:tcPr>
          <w:p w:rsidR="00E207FC" w:rsidRPr="007E215B" w:rsidP="00E207FC" w14:paraId="047B60BB" w14:textId="7FEA2F2A">
            <w:pPr>
              <w:rPr>
                <w:bCs/>
              </w:rPr>
            </w:pPr>
            <w:r w:rsidRPr="007E215B">
              <w:rPr>
                <w:bCs/>
              </w:rPr>
              <w:t>ONE-TIME COST, FROM INITIAL IMPLEMENTATION OF THE RULE</w:t>
            </w:r>
          </w:p>
        </w:tc>
      </w:tr>
      <w:tr w14:paraId="01906C24" w14:textId="77777777" w:rsidTr="00D70524">
        <w:tblPrEx>
          <w:tblW w:w="11780" w:type="dxa"/>
          <w:jc w:val="center"/>
          <w:tblLayout w:type="fixed"/>
          <w:tblLook w:val="04A0"/>
        </w:tblPrEx>
        <w:trPr>
          <w:trHeight w:val="1379"/>
          <w:jc w:val="center"/>
        </w:trPr>
        <w:tc>
          <w:tcPr>
            <w:tcW w:w="1520" w:type="dxa"/>
            <w:tcBorders>
              <w:top w:val="nil"/>
              <w:left w:val="single" w:sz="8" w:space="0" w:color="auto"/>
              <w:bottom w:val="single" w:sz="8" w:space="0" w:color="auto"/>
              <w:right w:val="single" w:sz="8" w:space="0" w:color="auto"/>
            </w:tcBorders>
            <w:vAlign w:val="center"/>
            <w:hideMark/>
          </w:tcPr>
          <w:p w:rsidR="00E207FC" w:rsidRPr="007E215B" w:rsidP="00E207FC" w14:paraId="3DB4D2FC" w14:textId="76BB3589">
            <w:pPr>
              <w:rPr>
                <w:bCs/>
              </w:rPr>
            </w:pPr>
            <w:r w:rsidRPr="007E215B">
              <w:rPr>
                <w:bCs/>
              </w:rPr>
              <w:t>System Upgrades to Implement Validation Notice (§ 1006.34)</w:t>
            </w:r>
          </w:p>
        </w:tc>
        <w:tc>
          <w:tcPr>
            <w:tcW w:w="10260" w:type="dxa"/>
            <w:gridSpan w:val="8"/>
            <w:tcBorders>
              <w:top w:val="nil"/>
              <w:left w:val="nil"/>
              <w:bottom w:val="single" w:sz="8" w:space="0" w:color="auto"/>
              <w:right w:val="single" w:sz="8" w:space="0" w:color="auto"/>
            </w:tcBorders>
            <w:vAlign w:val="center"/>
            <w:hideMark/>
          </w:tcPr>
          <w:p w:rsidR="00E207FC" w:rsidRPr="007E215B" w:rsidP="00E207FC" w14:paraId="76C1BD84" w14:textId="40789E20">
            <w:pPr>
              <w:rPr>
                <w:bCs/>
              </w:rPr>
            </w:pPr>
            <w:r w:rsidRPr="007E215B">
              <w:rPr>
                <w:bCs/>
              </w:rPr>
              <w:t>ONE-TIME COST, FROM INITIAL IMPLEMENTATION OF THE RULE</w:t>
            </w:r>
          </w:p>
        </w:tc>
      </w:tr>
      <w:tr w14:paraId="07B3B1FC" w14:textId="77777777" w:rsidTr="00D70524">
        <w:tblPrEx>
          <w:tblW w:w="11780" w:type="dxa"/>
          <w:jc w:val="center"/>
          <w:tblLayout w:type="fixed"/>
          <w:tblLook w:val="04A0"/>
        </w:tblPrEx>
        <w:trPr>
          <w:trHeight w:val="1009"/>
          <w:jc w:val="center"/>
        </w:trPr>
        <w:tc>
          <w:tcPr>
            <w:tcW w:w="1520" w:type="dxa"/>
            <w:tcBorders>
              <w:top w:val="nil"/>
              <w:left w:val="single" w:sz="8" w:space="0" w:color="auto"/>
              <w:bottom w:val="single" w:sz="8" w:space="0" w:color="auto"/>
              <w:right w:val="single" w:sz="8" w:space="0" w:color="auto"/>
            </w:tcBorders>
            <w:vAlign w:val="center"/>
            <w:hideMark/>
          </w:tcPr>
          <w:p w:rsidR="00E207FC" w:rsidRPr="007E215B" w:rsidP="00E207FC" w14:paraId="1C9145DF" w14:textId="65227D53">
            <w:pPr>
              <w:rPr>
                <w:bCs/>
              </w:rPr>
            </w:pPr>
            <w:r w:rsidRPr="007E215B">
              <w:rPr>
                <w:bCs/>
              </w:rPr>
              <w:t>Delivering Validation Notice (§ 1006.34)</w:t>
            </w:r>
          </w:p>
        </w:tc>
        <w:tc>
          <w:tcPr>
            <w:tcW w:w="1428" w:type="dxa"/>
            <w:tcBorders>
              <w:top w:val="nil"/>
              <w:left w:val="nil"/>
              <w:bottom w:val="single" w:sz="8" w:space="0" w:color="auto"/>
              <w:right w:val="single" w:sz="8" w:space="0" w:color="auto"/>
            </w:tcBorders>
            <w:vAlign w:val="center"/>
            <w:hideMark/>
          </w:tcPr>
          <w:p w:rsidR="00E207FC" w:rsidRPr="007E215B" w:rsidP="00E207FC" w14:paraId="0C32369C" w14:textId="5E23E815">
            <w:pPr>
              <w:rPr>
                <w:bCs/>
              </w:rPr>
            </w:pPr>
            <w:r w:rsidRPr="007E215B">
              <w:rPr>
                <w:bCs/>
              </w:rPr>
              <w:t>8,67</w:t>
            </w:r>
            <w:r w:rsidRPr="007E215B" w:rsidR="00B664AE">
              <w:rPr>
                <w:bCs/>
              </w:rPr>
              <w:t>7</w:t>
            </w:r>
          </w:p>
        </w:tc>
        <w:tc>
          <w:tcPr>
            <w:tcW w:w="1415" w:type="dxa"/>
            <w:tcBorders>
              <w:top w:val="nil"/>
              <w:left w:val="nil"/>
              <w:bottom w:val="single" w:sz="8" w:space="0" w:color="auto"/>
              <w:right w:val="single" w:sz="8" w:space="0" w:color="auto"/>
            </w:tcBorders>
            <w:vAlign w:val="center"/>
          </w:tcPr>
          <w:p w:rsidR="00E207FC" w:rsidRPr="007E215B" w:rsidP="00E207FC" w14:paraId="7D65BF4B" w14:textId="77777777">
            <w:pPr>
              <w:rPr>
                <w:bCs/>
              </w:rPr>
            </w:pPr>
          </w:p>
        </w:tc>
        <w:tc>
          <w:tcPr>
            <w:tcW w:w="1204" w:type="dxa"/>
            <w:tcBorders>
              <w:top w:val="nil"/>
              <w:left w:val="nil"/>
              <w:bottom w:val="single" w:sz="8" w:space="0" w:color="auto"/>
              <w:right w:val="single" w:sz="8" w:space="0" w:color="auto"/>
            </w:tcBorders>
            <w:vAlign w:val="center"/>
            <w:hideMark/>
          </w:tcPr>
          <w:p w:rsidR="00E207FC" w:rsidRPr="007E215B" w:rsidP="00E207FC" w14:paraId="4368A6C8" w14:textId="57B41090">
            <w:pPr>
              <w:rPr>
                <w:bCs/>
              </w:rPr>
            </w:pPr>
            <w:r w:rsidRPr="007E215B">
              <w:rPr>
                <w:bCs/>
              </w:rPr>
              <w:t>9,34</w:t>
            </w:r>
            <w:r w:rsidRPr="007E215B" w:rsidR="00B664AE">
              <w:rPr>
                <w:bCs/>
              </w:rPr>
              <w:t>0</w:t>
            </w:r>
          </w:p>
        </w:tc>
        <w:tc>
          <w:tcPr>
            <w:tcW w:w="1170" w:type="dxa"/>
            <w:tcBorders>
              <w:top w:val="nil"/>
              <w:left w:val="nil"/>
              <w:bottom w:val="single" w:sz="8" w:space="0" w:color="auto"/>
              <w:right w:val="single" w:sz="8" w:space="0" w:color="auto"/>
            </w:tcBorders>
            <w:vAlign w:val="center"/>
            <w:hideMark/>
          </w:tcPr>
          <w:p w:rsidR="00E207FC" w:rsidRPr="007E215B" w:rsidP="00E207FC" w14:paraId="20D31290" w14:textId="49CC1D4D">
            <w:pPr>
              <w:rPr>
                <w:bCs/>
              </w:rPr>
            </w:pPr>
            <w:r w:rsidRPr="007E215B">
              <w:rPr>
                <w:bCs/>
              </w:rPr>
              <w:t>81,</w:t>
            </w:r>
            <w:r w:rsidRPr="007E215B" w:rsidR="00A3006B">
              <w:rPr>
                <w:bCs/>
              </w:rPr>
              <w:t>046,118</w:t>
            </w:r>
          </w:p>
        </w:tc>
        <w:tc>
          <w:tcPr>
            <w:tcW w:w="1050" w:type="dxa"/>
            <w:tcBorders>
              <w:top w:val="nil"/>
              <w:left w:val="nil"/>
              <w:bottom w:val="single" w:sz="8" w:space="0" w:color="auto"/>
              <w:right w:val="single" w:sz="8" w:space="0" w:color="auto"/>
            </w:tcBorders>
            <w:vAlign w:val="center"/>
            <w:hideMark/>
          </w:tcPr>
          <w:p w:rsidR="00E207FC" w:rsidRPr="007E215B" w:rsidP="00E207FC" w14:paraId="5C7BD1DD" w14:textId="77777777">
            <w:pPr>
              <w:rPr>
                <w:bCs/>
              </w:rPr>
            </w:pPr>
            <w:r w:rsidRPr="007E215B">
              <w:rPr>
                <w:bCs/>
              </w:rPr>
              <w:t>0.003</w:t>
            </w:r>
          </w:p>
        </w:tc>
        <w:tc>
          <w:tcPr>
            <w:tcW w:w="1200" w:type="dxa"/>
            <w:tcBorders>
              <w:top w:val="nil"/>
              <w:left w:val="nil"/>
              <w:bottom w:val="single" w:sz="8" w:space="0" w:color="auto"/>
              <w:right w:val="single" w:sz="8" w:space="0" w:color="auto"/>
            </w:tcBorders>
            <w:vAlign w:val="center"/>
            <w:hideMark/>
          </w:tcPr>
          <w:p w:rsidR="00E207FC" w:rsidRPr="007E215B" w:rsidP="00E207FC" w14:paraId="152EE3EE" w14:textId="37264279">
            <w:pPr>
              <w:rPr>
                <w:bCs/>
              </w:rPr>
            </w:pPr>
            <w:r w:rsidRPr="007E215B">
              <w:rPr>
                <w:bCs/>
              </w:rPr>
              <w:t>243,138</w:t>
            </w:r>
          </w:p>
        </w:tc>
        <w:tc>
          <w:tcPr>
            <w:tcW w:w="1349" w:type="dxa"/>
            <w:tcBorders>
              <w:top w:val="nil"/>
              <w:left w:val="nil"/>
              <w:bottom w:val="single" w:sz="8" w:space="0" w:color="auto"/>
              <w:right w:val="single" w:sz="8" w:space="0" w:color="auto"/>
            </w:tcBorders>
            <w:vAlign w:val="center"/>
            <w:hideMark/>
          </w:tcPr>
          <w:p w:rsidR="00E207FC" w:rsidRPr="007E215B" w:rsidP="00E207FC" w14:paraId="42EAD05E" w14:textId="12CA7B63">
            <w:pPr>
              <w:rPr>
                <w:bCs/>
              </w:rPr>
            </w:pPr>
            <w:r w:rsidRPr="007E215B">
              <w:rPr>
                <w:bCs/>
              </w:rPr>
              <w:t>$</w:t>
            </w:r>
            <w:r w:rsidRPr="007E215B" w:rsidR="00944827">
              <w:rPr>
                <w:bCs/>
              </w:rPr>
              <w:t>22</w:t>
            </w:r>
            <w:r w:rsidRPr="007E215B" w:rsidR="002F6BAE">
              <w:rPr>
                <w:bCs/>
              </w:rPr>
              <w:t>.</w:t>
            </w:r>
            <w:r w:rsidRPr="007E215B" w:rsidR="00944827">
              <w:rPr>
                <w:bCs/>
              </w:rPr>
              <w:t>12</w:t>
            </w:r>
          </w:p>
        </w:tc>
        <w:tc>
          <w:tcPr>
            <w:tcW w:w="1444" w:type="dxa"/>
            <w:tcBorders>
              <w:top w:val="nil"/>
              <w:left w:val="nil"/>
              <w:bottom w:val="single" w:sz="8" w:space="0" w:color="auto"/>
              <w:right w:val="single" w:sz="8" w:space="0" w:color="auto"/>
            </w:tcBorders>
            <w:vAlign w:val="center"/>
            <w:hideMark/>
          </w:tcPr>
          <w:p w:rsidR="00E207FC" w:rsidRPr="007E215B" w:rsidP="00E207FC" w14:paraId="454874C0" w14:textId="24C4AD90">
            <w:pPr>
              <w:rPr>
                <w:bCs/>
              </w:rPr>
            </w:pPr>
            <w:r w:rsidRPr="007E215B">
              <w:rPr>
                <w:bCs/>
              </w:rPr>
              <w:t>$</w:t>
            </w:r>
            <w:r w:rsidRPr="007E215B" w:rsidR="00CC7B6A">
              <w:rPr>
                <w:bCs/>
              </w:rPr>
              <w:t>5,378,212</w:t>
            </w:r>
          </w:p>
        </w:tc>
      </w:tr>
      <w:tr w14:paraId="2CD28E38" w14:textId="77777777" w:rsidTr="00D70524">
        <w:tblPrEx>
          <w:tblW w:w="11780" w:type="dxa"/>
          <w:jc w:val="center"/>
          <w:tblLayout w:type="fixed"/>
          <w:tblLook w:val="04A0"/>
        </w:tblPrEx>
        <w:trPr>
          <w:trHeight w:val="760"/>
          <w:jc w:val="center"/>
        </w:trPr>
        <w:tc>
          <w:tcPr>
            <w:tcW w:w="1520" w:type="dxa"/>
            <w:tcBorders>
              <w:top w:val="nil"/>
              <w:left w:val="single" w:sz="8" w:space="0" w:color="auto"/>
              <w:bottom w:val="single" w:sz="8" w:space="0" w:color="auto"/>
              <w:right w:val="single" w:sz="8" w:space="0" w:color="auto"/>
            </w:tcBorders>
            <w:vAlign w:val="center"/>
            <w:hideMark/>
          </w:tcPr>
          <w:p w:rsidR="00E207FC" w:rsidRPr="007E215B" w:rsidP="00E207FC" w14:paraId="13BFC7EC" w14:textId="77777777">
            <w:pPr>
              <w:rPr>
                <w:bCs/>
                <w:i/>
                <w:iCs/>
              </w:rPr>
            </w:pPr>
            <w:r w:rsidRPr="007E215B">
              <w:rPr>
                <w:bCs/>
                <w:i/>
                <w:iCs/>
              </w:rPr>
              <w:t>Request for creditor information</w:t>
            </w:r>
          </w:p>
        </w:tc>
        <w:tc>
          <w:tcPr>
            <w:tcW w:w="1428" w:type="dxa"/>
            <w:tcBorders>
              <w:top w:val="nil"/>
              <w:left w:val="nil"/>
              <w:bottom w:val="single" w:sz="8" w:space="0" w:color="auto"/>
              <w:right w:val="single" w:sz="8" w:space="0" w:color="auto"/>
            </w:tcBorders>
            <w:vAlign w:val="center"/>
            <w:hideMark/>
          </w:tcPr>
          <w:p w:rsidR="00E207FC" w:rsidRPr="007E215B" w:rsidP="00E207FC" w14:paraId="3F656520" w14:textId="77777777">
            <w:pPr>
              <w:rPr>
                <w:bCs/>
                <w:i/>
                <w:iCs/>
              </w:rPr>
            </w:pPr>
          </w:p>
        </w:tc>
        <w:tc>
          <w:tcPr>
            <w:tcW w:w="1415" w:type="dxa"/>
            <w:tcBorders>
              <w:top w:val="nil"/>
              <w:left w:val="nil"/>
              <w:bottom w:val="single" w:sz="8" w:space="0" w:color="auto"/>
              <w:right w:val="single" w:sz="8" w:space="0" w:color="auto"/>
            </w:tcBorders>
            <w:vAlign w:val="center"/>
            <w:hideMark/>
          </w:tcPr>
          <w:p w:rsidR="00E207FC" w:rsidRPr="007E215B" w:rsidP="00E207FC" w14:paraId="2FE565E7" w14:textId="77777777">
            <w:pPr>
              <w:rPr>
                <w:bCs/>
                <w:i/>
                <w:iCs/>
              </w:rPr>
            </w:pPr>
            <w:r w:rsidRPr="007E215B">
              <w:rPr>
                <w:bCs/>
                <w:i/>
                <w:iCs/>
              </w:rPr>
              <w:t>Disclosure</w:t>
            </w:r>
          </w:p>
        </w:tc>
        <w:tc>
          <w:tcPr>
            <w:tcW w:w="1204" w:type="dxa"/>
            <w:tcBorders>
              <w:top w:val="nil"/>
              <w:left w:val="nil"/>
              <w:bottom w:val="single" w:sz="8" w:space="0" w:color="auto"/>
              <w:right w:val="single" w:sz="8" w:space="0" w:color="auto"/>
            </w:tcBorders>
            <w:vAlign w:val="center"/>
          </w:tcPr>
          <w:p w:rsidR="00E207FC" w:rsidRPr="007E215B" w:rsidP="00E207FC" w14:paraId="0E830A44" w14:textId="77777777">
            <w:pPr>
              <w:rPr>
                <w:bCs/>
                <w:i/>
                <w:iCs/>
              </w:rPr>
            </w:pPr>
          </w:p>
        </w:tc>
        <w:tc>
          <w:tcPr>
            <w:tcW w:w="1170" w:type="dxa"/>
            <w:tcBorders>
              <w:top w:val="nil"/>
              <w:left w:val="nil"/>
              <w:bottom w:val="single" w:sz="8" w:space="0" w:color="auto"/>
              <w:right w:val="single" w:sz="8" w:space="0" w:color="auto"/>
            </w:tcBorders>
            <w:vAlign w:val="center"/>
          </w:tcPr>
          <w:p w:rsidR="00E207FC" w:rsidRPr="007E215B" w:rsidP="00E207FC" w14:paraId="542D80C8" w14:textId="77777777">
            <w:pPr>
              <w:rPr>
                <w:bCs/>
                <w:i/>
                <w:iCs/>
              </w:rPr>
            </w:pPr>
          </w:p>
        </w:tc>
        <w:tc>
          <w:tcPr>
            <w:tcW w:w="1050" w:type="dxa"/>
            <w:tcBorders>
              <w:top w:val="nil"/>
              <w:left w:val="nil"/>
              <w:bottom w:val="single" w:sz="8" w:space="0" w:color="auto"/>
              <w:right w:val="single" w:sz="8" w:space="0" w:color="auto"/>
            </w:tcBorders>
            <w:vAlign w:val="center"/>
          </w:tcPr>
          <w:p w:rsidR="00E207FC" w:rsidRPr="007E215B" w:rsidP="00E207FC" w14:paraId="70B26DB1" w14:textId="77777777">
            <w:pPr>
              <w:rPr>
                <w:bCs/>
                <w:i/>
                <w:iCs/>
              </w:rPr>
            </w:pPr>
          </w:p>
        </w:tc>
        <w:tc>
          <w:tcPr>
            <w:tcW w:w="1200" w:type="dxa"/>
            <w:tcBorders>
              <w:top w:val="nil"/>
              <w:left w:val="nil"/>
              <w:bottom w:val="single" w:sz="8" w:space="0" w:color="auto"/>
              <w:right w:val="single" w:sz="8" w:space="0" w:color="auto"/>
            </w:tcBorders>
            <w:vAlign w:val="center"/>
          </w:tcPr>
          <w:p w:rsidR="00E207FC" w:rsidRPr="007E215B" w:rsidP="00E207FC" w14:paraId="082714DE" w14:textId="77777777">
            <w:pPr>
              <w:rPr>
                <w:bCs/>
                <w:i/>
                <w:iCs/>
              </w:rPr>
            </w:pPr>
          </w:p>
        </w:tc>
        <w:tc>
          <w:tcPr>
            <w:tcW w:w="1349" w:type="dxa"/>
            <w:tcBorders>
              <w:top w:val="nil"/>
              <w:left w:val="nil"/>
              <w:bottom w:val="single" w:sz="8" w:space="0" w:color="auto"/>
              <w:right w:val="single" w:sz="8" w:space="0" w:color="auto"/>
            </w:tcBorders>
            <w:vAlign w:val="center"/>
          </w:tcPr>
          <w:p w:rsidR="00E207FC" w:rsidRPr="007E215B" w:rsidP="00E207FC" w14:paraId="5E583BF9" w14:textId="77777777">
            <w:pPr>
              <w:rPr>
                <w:bCs/>
                <w:i/>
                <w:iCs/>
              </w:rPr>
            </w:pPr>
          </w:p>
        </w:tc>
        <w:tc>
          <w:tcPr>
            <w:tcW w:w="1444" w:type="dxa"/>
            <w:tcBorders>
              <w:top w:val="nil"/>
              <w:left w:val="nil"/>
              <w:bottom w:val="single" w:sz="8" w:space="0" w:color="auto"/>
              <w:right w:val="single" w:sz="8" w:space="0" w:color="auto"/>
            </w:tcBorders>
            <w:vAlign w:val="center"/>
          </w:tcPr>
          <w:p w:rsidR="00E207FC" w:rsidRPr="007E215B" w:rsidP="00E207FC" w14:paraId="7A01A98D" w14:textId="77777777">
            <w:pPr>
              <w:rPr>
                <w:bCs/>
                <w:i/>
                <w:iCs/>
              </w:rPr>
            </w:pPr>
          </w:p>
        </w:tc>
      </w:tr>
      <w:tr w14:paraId="679E7A10" w14:textId="77777777" w:rsidTr="00D70524">
        <w:tblPrEx>
          <w:tblW w:w="11780" w:type="dxa"/>
          <w:jc w:val="center"/>
          <w:tblLayout w:type="fixed"/>
          <w:tblLook w:val="04A0"/>
        </w:tblPrEx>
        <w:trPr>
          <w:trHeight w:val="1506"/>
          <w:jc w:val="center"/>
        </w:trPr>
        <w:tc>
          <w:tcPr>
            <w:tcW w:w="1520" w:type="dxa"/>
            <w:tcBorders>
              <w:top w:val="nil"/>
              <w:left w:val="single" w:sz="8" w:space="0" w:color="auto"/>
              <w:bottom w:val="single" w:sz="8" w:space="0" w:color="auto"/>
              <w:right w:val="single" w:sz="8" w:space="0" w:color="auto"/>
            </w:tcBorders>
            <w:vAlign w:val="center"/>
            <w:hideMark/>
          </w:tcPr>
          <w:p w:rsidR="00E207FC" w:rsidRPr="007E215B" w:rsidP="00E207FC" w14:paraId="24A6C7E6" w14:textId="23CCF76D">
            <w:pPr>
              <w:rPr>
                <w:bCs/>
              </w:rPr>
            </w:pPr>
            <w:r w:rsidRPr="007E215B">
              <w:rPr>
                <w:bCs/>
              </w:rPr>
              <w:t>Responding to requests for original creditor information (§ 1006.38(c))</w:t>
            </w:r>
          </w:p>
        </w:tc>
        <w:tc>
          <w:tcPr>
            <w:tcW w:w="1428" w:type="dxa"/>
            <w:tcBorders>
              <w:top w:val="nil"/>
              <w:left w:val="nil"/>
              <w:bottom w:val="single" w:sz="8" w:space="0" w:color="auto"/>
              <w:right w:val="single" w:sz="8" w:space="0" w:color="auto"/>
            </w:tcBorders>
            <w:vAlign w:val="center"/>
            <w:hideMark/>
          </w:tcPr>
          <w:p w:rsidR="00E207FC" w:rsidRPr="007E215B" w:rsidP="00E207FC" w14:paraId="2D4F75F5" w14:textId="4F278F31">
            <w:pPr>
              <w:rPr>
                <w:bCs/>
              </w:rPr>
            </w:pPr>
            <w:r w:rsidRPr="007E215B">
              <w:rPr>
                <w:bCs/>
              </w:rPr>
              <w:t>8,67</w:t>
            </w:r>
            <w:r w:rsidRPr="007E215B" w:rsidR="00B664AE">
              <w:rPr>
                <w:bCs/>
              </w:rPr>
              <w:t>7</w:t>
            </w:r>
          </w:p>
        </w:tc>
        <w:tc>
          <w:tcPr>
            <w:tcW w:w="1415" w:type="dxa"/>
            <w:tcBorders>
              <w:top w:val="nil"/>
              <w:left w:val="nil"/>
              <w:bottom w:val="single" w:sz="8" w:space="0" w:color="auto"/>
              <w:right w:val="single" w:sz="8" w:space="0" w:color="auto"/>
            </w:tcBorders>
            <w:vAlign w:val="center"/>
            <w:hideMark/>
          </w:tcPr>
          <w:p w:rsidR="00E207FC" w:rsidRPr="007E215B" w:rsidP="00E207FC" w14:paraId="5C6D02B5" w14:textId="77777777">
            <w:pPr>
              <w:rPr>
                <w:bCs/>
              </w:rPr>
            </w:pPr>
          </w:p>
        </w:tc>
        <w:tc>
          <w:tcPr>
            <w:tcW w:w="1204" w:type="dxa"/>
            <w:tcBorders>
              <w:top w:val="nil"/>
              <w:left w:val="nil"/>
              <w:bottom w:val="single" w:sz="8" w:space="0" w:color="auto"/>
              <w:right w:val="single" w:sz="8" w:space="0" w:color="auto"/>
            </w:tcBorders>
            <w:vAlign w:val="center"/>
            <w:hideMark/>
          </w:tcPr>
          <w:p w:rsidR="00E207FC" w:rsidRPr="007E215B" w:rsidP="00E207FC" w14:paraId="5D0DB743" w14:textId="3DEA46AB">
            <w:pPr>
              <w:rPr>
                <w:bCs/>
              </w:rPr>
            </w:pPr>
            <w:r w:rsidRPr="007E215B">
              <w:rPr>
                <w:bCs/>
              </w:rPr>
              <w:t>33</w:t>
            </w:r>
          </w:p>
        </w:tc>
        <w:tc>
          <w:tcPr>
            <w:tcW w:w="1170" w:type="dxa"/>
            <w:tcBorders>
              <w:top w:val="nil"/>
              <w:left w:val="nil"/>
              <w:bottom w:val="single" w:sz="8" w:space="0" w:color="auto"/>
              <w:right w:val="single" w:sz="8" w:space="0" w:color="auto"/>
            </w:tcBorders>
            <w:vAlign w:val="center"/>
            <w:hideMark/>
          </w:tcPr>
          <w:p w:rsidR="00E207FC" w:rsidRPr="007E215B" w:rsidP="00E207FC" w14:paraId="723C798D" w14:textId="4618CCF7">
            <w:pPr>
              <w:rPr>
                <w:bCs/>
              </w:rPr>
            </w:pPr>
            <w:r w:rsidRPr="007E215B">
              <w:rPr>
                <w:bCs/>
              </w:rPr>
              <w:t>283,661</w:t>
            </w:r>
          </w:p>
        </w:tc>
        <w:tc>
          <w:tcPr>
            <w:tcW w:w="1050" w:type="dxa"/>
            <w:tcBorders>
              <w:top w:val="nil"/>
              <w:left w:val="nil"/>
              <w:bottom w:val="single" w:sz="8" w:space="0" w:color="auto"/>
              <w:right w:val="single" w:sz="8" w:space="0" w:color="auto"/>
            </w:tcBorders>
            <w:vAlign w:val="center"/>
            <w:hideMark/>
          </w:tcPr>
          <w:p w:rsidR="00E207FC" w:rsidRPr="007E215B" w:rsidP="00E207FC" w14:paraId="15100BDD" w14:textId="77777777">
            <w:pPr>
              <w:rPr>
                <w:bCs/>
              </w:rPr>
            </w:pPr>
            <w:r w:rsidRPr="007E215B">
              <w:rPr>
                <w:bCs/>
              </w:rPr>
              <w:t>0.003</w:t>
            </w:r>
          </w:p>
        </w:tc>
        <w:tc>
          <w:tcPr>
            <w:tcW w:w="1200" w:type="dxa"/>
            <w:tcBorders>
              <w:top w:val="nil"/>
              <w:left w:val="nil"/>
              <w:bottom w:val="single" w:sz="8" w:space="0" w:color="auto"/>
              <w:right w:val="single" w:sz="8" w:space="0" w:color="auto"/>
            </w:tcBorders>
            <w:vAlign w:val="center"/>
            <w:hideMark/>
          </w:tcPr>
          <w:p w:rsidR="00E207FC" w:rsidRPr="007E215B" w:rsidP="00E207FC" w14:paraId="23A3D7A8" w14:textId="766FE378">
            <w:pPr>
              <w:rPr>
                <w:bCs/>
              </w:rPr>
            </w:pPr>
            <w:r w:rsidRPr="007E215B">
              <w:rPr>
                <w:bCs/>
              </w:rPr>
              <w:t>851</w:t>
            </w:r>
          </w:p>
        </w:tc>
        <w:tc>
          <w:tcPr>
            <w:tcW w:w="1349" w:type="dxa"/>
            <w:tcBorders>
              <w:top w:val="nil"/>
              <w:left w:val="nil"/>
              <w:bottom w:val="single" w:sz="8" w:space="0" w:color="auto"/>
              <w:right w:val="single" w:sz="8" w:space="0" w:color="auto"/>
            </w:tcBorders>
            <w:vAlign w:val="center"/>
            <w:hideMark/>
          </w:tcPr>
          <w:p w:rsidR="00E207FC" w:rsidRPr="007E215B" w:rsidP="00E207FC" w14:paraId="5F950E9D" w14:textId="1C5C0F7A">
            <w:pPr>
              <w:rPr>
                <w:bCs/>
              </w:rPr>
            </w:pPr>
            <w:r w:rsidRPr="007E215B">
              <w:rPr>
                <w:bCs/>
              </w:rPr>
              <w:t>$</w:t>
            </w:r>
            <w:r w:rsidRPr="007E215B" w:rsidR="002F6BAE">
              <w:rPr>
                <w:bCs/>
              </w:rPr>
              <w:t>22.12</w:t>
            </w:r>
          </w:p>
        </w:tc>
        <w:tc>
          <w:tcPr>
            <w:tcW w:w="1444" w:type="dxa"/>
            <w:tcBorders>
              <w:top w:val="nil"/>
              <w:left w:val="nil"/>
              <w:bottom w:val="single" w:sz="8" w:space="0" w:color="auto"/>
              <w:right w:val="single" w:sz="8" w:space="0" w:color="auto"/>
            </w:tcBorders>
            <w:vAlign w:val="center"/>
            <w:hideMark/>
          </w:tcPr>
          <w:p w:rsidR="00E207FC" w:rsidRPr="007E215B" w:rsidP="00E207FC" w14:paraId="745E7AEB" w14:textId="132AA826">
            <w:pPr>
              <w:rPr>
                <w:bCs/>
              </w:rPr>
            </w:pPr>
            <w:r w:rsidRPr="007E215B">
              <w:rPr>
                <w:bCs/>
              </w:rPr>
              <w:t>$1</w:t>
            </w:r>
            <w:r w:rsidRPr="007E215B" w:rsidR="008E436E">
              <w:rPr>
                <w:bCs/>
              </w:rPr>
              <w:t>8</w:t>
            </w:r>
            <w:r w:rsidRPr="007E215B" w:rsidR="00CC7B6A">
              <w:rPr>
                <w:bCs/>
              </w:rPr>
              <w:t>,824</w:t>
            </w:r>
          </w:p>
        </w:tc>
      </w:tr>
      <w:tr w14:paraId="2974454B" w14:textId="77777777" w:rsidTr="00D70524">
        <w:tblPrEx>
          <w:tblW w:w="11780" w:type="dxa"/>
          <w:jc w:val="center"/>
          <w:tblLayout w:type="fixed"/>
          <w:tblLook w:val="04A0"/>
        </w:tblPrEx>
        <w:trPr>
          <w:trHeight w:val="321"/>
          <w:jc w:val="center"/>
        </w:trPr>
        <w:tc>
          <w:tcPr>
            <w:tcW w:w="1520" w:type="dxa"/>
            <w:tcBorders>
              <w:top w:val="nil"/>
              <w:left w:val="single" w:sz="8" w:space="0" w:color="auto"/>
              <w:bottom w:val="single" w:sz="8" w:space="0" w:color="auto"/>
              <w:right w:val="single" w:sz="8" w:space="0" w:color="auto"/>
            </w:tcBorders>
            <w:vAlign w:val="center"/>
            <w:hideMark/>
          </w:tcPr>
          <w:p w:rsidR="00E207FC" w:rsidRPr="007E215B" w:rsidP="00E207FC" w14:paraId="45BD98D8" w14:textId="77777777">
            <w:pPr>
              <w:rPr>
                <w:bCs/>
                <w:i/>
                <w:iCs/>
              </w:rPr>
            </w:pPr>
            <w:r w:rsidRPr="007E215B">
              <w:rPr>
                <w:bCs/>
                <w:i/>
                <w:iCs/>
              </w:rPr>
              <w:t>Disputes</w:t>
            </w:r>
          </w:p>
        </w:tc>
        <w:tc>
          <w:tcPr>
            <w:tcW w:w="1428" w:type="dxa"/>
            <w:tcBorders>
              <w:top w:val="nil"/>
              <w:left w:val="nil"/>
              <w:bottom w:val="single" w:sz="8" w:space="0" w:color="auto"/>
              <w:right w:val="single" w:sz="8" w:space="0" w:color="auto"/>
            </w:tcBorders>
            <w:vAlign w:val="center"/>
            <w:hideMark/>
          </w:tcPr>
          <w:p w:rsidR="00E207FC" w:rsidRPr="007E215B" w:rsidP="00E207FC" w14:paraId="159D78ED" w14:textId="77777777">
            <w:pPr>
              <w:rPr>
                <w:bCs/>
                <w:i/>
                <w:iCs/>
              </w:rPr>
            </w:pPr>
          </w:p>
        </w:tc>
        <w:tc>
          <w:tcPr>
            <w:tcW w:w="1415" w:type="dxa"/>
            <w:tcBorders>
              <w:top w:val="nil"/>
              <w:left w:val="nil"/>
              <w:bottom w:val="single" w:sz="8" w:space="0" w:color="auto"/>
              <w:right w:val="single" w:sz="8" w:space="0" w:color="auto"/>
            </w:tcBorders>
            <w:vAlign w:val="center"/>
            <w:hideMark/>
          </w:tcPr>
          <w:p w:rsidR="00E207FC" w:rsidRPr="007E215B" w:rsidP="00E207FC" w14:paraId="5534E97F" w14:textId="77777777">
            <w:pPr>
              <w:rPr>
                <w:bCs/>
                <w:i/>
                <w:iCs/>
              </w:rPr>
            </w:pPr>
            <w:r w:rsidRPr="007E215B">
              <w:rPr>
                <w:bCs/>
                <w:i/>
                <w:iCs/>
              </w:rPr>
              <w:t>Disclosure</w:t>
            </w:r>
          </w:p>
        </w:tc>
        <w:tc>
          <w:tcPr>
            <w:tcW w:w="1204" w:type="dxa"/>
            <w:tcBorders>
              <w:top w:val="nil"/>
              <w:left w:val="nil"/>
              <w:bottom w:val="single" w:sz="8" w:space="0" w:color="auto"/>
              <w:right w:val="single" w:sz="8" w:space="0" w:color="auto"/>
            </w:tcBorders>
            <w:vAlign w:val="center"/>
          </w:tcPr>
          <w:p w:rsidR="00E207FC" w:rsidRPr="007E215B" w:rsidP="00E207FC" w14:paraId="69EE9F53" w14:textId="77777777">
            <w:pPr>
              <w:rPr>
                <w:bCs/>
                <w:i/>
                <w:iCs/>
              </w:rPr>
            </w:pPr>
          </w:p>
        </w:tc>
        <w:tc>
          <w:tcPr>
            <w:tcW w:w="1170" w:type="dxa"/>
            <w:tcBorders>
              <w:top w:val="nil"/>
              <w:left w:val="nil"/>
              <w:bottom w:val="single" w:sz="8" w:space="0" w:color="auto"/>
              <w:right w:val="single" w:sz="8" w:space="0" w:color="auto"/>
            </w:tcBorders>
            <w:vAlign w:val="center"/>
          </w:tcPr>
          <w:p w:rsidR="00E207FC" w:rsidRPr="007E215B" w:rsidP="00E207FC" w14:paraId="02632C77" w14:textId="77777777">
            <w:pPr>
              <w:rPr>
                <w:bCs/>
                <w:i/>
                <w:iCs/>
              </w:rPr>
            </w:pPr>
          </w:p>
        </w:tc>
        <w:tc>
          <w:tcPr>
            <w:tcW w:w="1050" w:type="dxa"/>
            <w:tcBorders>
              <w:top w:val="nil"/>
              <w:left w:val="nil"/>
              <w:bottom w:val="single" w:sz="8" w:space="0" w:color="auto"/>
              <w:right w:val="single" w:sz="8" w:space="0" w:color="auto"/>
            </w:tcBorders>
            <w:vAlign w:val="center"/>
          </w:tcPr>
          <w:p w:rsidR="00E207FC" w:rsidRPr="007E215B" w:rsidP="00E207FC" w14:paraId="31AD87A1" w14:textId="77777777">
            <w:pPr>
              <w:rPr>
                <w:bCs/>
                <w:i/>
                <w:iCs/>
              </w:rPr>
            </w:pPr>
          </w:p>
        </w:tc>
        <w:tc>
          <w:tcPr>
            <w:tcW w:w="1200" w:type="dxa"/>
            <w:tcBorders>
              <w:top w:val="nil"/>
              <w:left w:val="nil"/>
              <w:bottom w:val="single" w:sz="8" w:space="0" w:color="auto"/>
              <w:right w:val="single" w:sz="8" w:space="0" w:color="auto"/>
            </w:tcBorders>
            <w:vAlign w:val="center"/>
          </w:tcPr>
          <w:p w:rsidR="00E207FC" w:rsidRPr="007E215B" w:rsidP="00E207FC" w14:paraId="69390062" w14:textId="77777777">
            <w:pPr>
              <w:rPr>
                <w:bCs/>
                <w:i/>
                <w:iCs/>
              </w:rPr>
            </w:pPr>
          </w:p>
        </w:tc>
        <w:tc>
          <w:tcPr>
            <w:tcW w:w="1349" w:type="dxa"/>
            <w:tcBorders>
              <w:top w:val="nil"/>
              <w:left w:val="nil"/>
              <w:bottom w:val="single" w:sz="8" w:space="0" w:color="auto"/>
              <w:right w:val="single" w:sz="8" w:space="0" w:color="auto"/>
            </w:tcBorders>
            <w:vAlign w:val="center"/>
          </w:tcPr>
          <w:p w:rsidR="00E207FC" w:rsidRPr="007E215B" w:rsidP="00E207FC" w14:paraId="4AD098BA" w14:textId="77777777">
            <w:pPr>
              <w:rPr>
                <w:bCs/>
                <w:i/>
                <w:iCs/>
              </w:rPr>
            </w:pPr>
          </w:p>
        </w:tc>
        <w:tc>
          <w:tcPr>
            <w:tcW w:w="1444" w:type="dxa"/>
            <w:tcBorders>
              <w:top w:val="nil"/>
              <w:left w:val="nil"/>
              <w:bottom w:val="single" w:sz="8" w:space="0" w:color="auto"/>
              <w:right w:val="single" w:sz="8" w:space="0" w:color="auto"/>
            </w:tcBorders>
            <w:vAlign w:val="center"/>
          </w:tcPr>
          <w:p w:rsidR="00E207FC" w:rsidRPr="007E215B" w:rsidP="00E207FC" w14:paraId="3F7FEB57" w14:textId="77777777">
            <w:pPr>
              <w:rPr>
                <w:bCs/>
                <w:i/>
                <w:iCs/>
              </w:rPr>
            </w:pPr>
          </w:p>
        </w:tc>
      </w:tr>
      <w:tr w14:paraId="4D647C1F" w14:textId="77777777" w:rsidTr="00D70524">
        <w:tblPrEx>
          <w:tblW w:w="11780" w:type="dxa"/>
          <w:jc w:val="center"/>
          <w:tblLayout w:type="fixed"/>
          <w:tblLook w:val="04A0"/>
        </w:tblPrEx>
        <w:trPr>
          <w:trHeight w:val="1287"/>
          <w:jc w:val="center"/>
        </w:trPr>
        <w:tc>
          <w:tcPr>
            <w:tcW w:w="1520" w:type="dxa"/>
            <w:tcBorders>
              <w:top w:val="nil"/>
              <w:left w:val="single" w:sz="8" w:space="0" w:color="auto"/>
              <w:bottom w:val="single" w:sz="8" w:space="0" w:color="auto"/>
              <w:right w:val="single" w:sz="8" w:space="0" w:color="auto"/>
            </w:tcBorders>
            <w:vAlign w:val="center"/>
            <w:hideMark/>
          </w:tcPr>
          <w:p w:rsidR="00E207FC" w:rsidRPr="007E215B" w:rsidP="00E207FC" w14:paraId="6C931C2B" w14:textId="77777777">
            <w:pPr>
              <w:rPr>
                <w:bCs/>
              </w:rPr>
            </w:pPr>
            <w:r w:rsidRPr="007E215B">
              <w:rPr>
                <w:bCs/>
              </w:rPr>
              <w:t>Responding to non-duplicative disputes (§ 1006.38(d)(2)(ii))</w:t>
            </w:r>
          </w:p>
        </w:tc>
        <w:tc>
          <w:tcPr>
            <w:tcW w:w="1428" w:type="dxa"/>
            <w:tcBorders>
              <w:top w:val="nil"/>
              <w:left w:val="nil"/>
              <w:bottom w:val="single" w:sz="8" w:space="0" w:color="auto"/>
              <w:right w:val="single" w:sz="8" w:space="0" w:color="auto"/>
            </w:tcBorders>
            <w:vAlign w:val="center"/>
            <w:hideMark/>
          </w:tcPr>
          <w:p w:rsidR="00E207FC" w:rsidRPr="007E215B" w:rsidP="00E207FC" w14:paraId="62AC9A3A" w14:textId="7EFB7B5F">
            <w:pPr>
              <w:rPr>
                <w:bCs/>
              </w:rPr>
            </w:pPr>
            <w:r w:rsidRPr="007E215B">
              <w:rPr>
                <w:bCs/>
              </w:rPr>
              <w:t>8,67</w:t>
            </w:r>
            <w:r w:rsidRPr="007E215B" w:rsidR="00B664AE">
              <w:rPr>
                <w:bCs/>
              </w:rPr>
              <w:t>7</w:t>
            </w:r>
          </w:p>
        </w:tc>
        <w:tc>
          <w:tcPr>
            <w:tcW w:w="1415" w:type="dxa"/>
            <w:tcBorders>
              <w:top w:val="nil"/>
              <w:left w:val="nil"/>
              <w:bottom w:val="single" w:sz="8" w:space="0" w:color="auto"/>
              <w:right w:val="single" w:sz="8" w:space="0" w:color="auto"/>
            </w:tcBorders>
            <w:vAlign w:val="center"/>
          </w:tcPr>
          <w:p w:rsidR="00E207FC" w:rsidRPr="007E215B" w:rsidP="00E207FC" w14:paraId="12A57F9C" w14:textId="77777777">
            <w:pPr>
              <w:rPr>
                <w:bCs/>
              </w:rPr>
            </w:pPr>
          </w:p>
        </w:tc>
        <w:tc>
          <w:tcPr>
            <w:tcW w:w="1204" w:type="dxa"/>
            <w:tcBorders>
              <w:top w:val="nil"/>
              <w:left w:val="nil"/>
              <w:bottom w:val="single" w:sz="8" w:space="0" w:color="auto"/>
              <w:right w:val="single" w:sz="8" w:space="0" w:color="auto"/>
            </w:tcBorders>
            <w:vAlign w:val="center"/>
            <w:hideMark/>
          </w:tcPr>
          <w:p w:rsidR="00E207FC" w:rsidRPr="007E215B" w:rsidP="00E207FC" w14:paraId="721D43A8" w14:textId="223771A5">
            <w:pPr>
              <w:rPr>
                <w:bCs/>
              </w:rPr>
            </w:pPr>
            <w:r w:rsidRPr="007E215B">
              <w:rPr>
                <w:bCs/>
              </w:rPr>
              <w:t>49</w:t>
            </w:r>
            <w:r w:rsidRPr="007E215B" w:rsidR="00B664AE">
              <w:rPr>
                <w:bCs/>
              </w:rPr>
              <w:t>0</w:t>
            </w:r>
          </w:p>
        </w:tc>
        <w:tc>
          <w:tcPr>
            <w:tcW w:w="1170" w:type="dxa"/>
            <w:tcBorders>
              <w:top w:val="nil"/>
              <w:left w:val="nil"/>
              <w:bottom w:val="single" w:sz="8" w:space="0" w:color="auto"/>
              <w:right w:val="single" w:sz="8" w:space="0" w:color="auto"/>
            </w:tcBorders>
            <w:vAlign w:val="center"/>
            <w:hideMark/>
          </w:tcPr>
          <w:p w:rsidR="00E207FC" w:rsidRPr="007E215B" w:rsidP="00E207FC" w14:paraId="67B988E1" w14:textId="13C20EDF">
            <w:pPr>
              <w:rPr>
                <w:bCs/>
              </w:rPr>
            </w:pPr>
            <w:r w:rsidRPr="007E215B">
              <w:rPr>
                <w:bCs/>
              </w:rPr>
              <w:t>4,254,921</w:t>
            </w:r>
          </w:p>
        </w:tc>
        <w:tc>
          <w:tcPr>
            <w:tcW w:w="1050" w:type="dxa"/>
            <w:tcBorders>
              <w:top w:val="nil"/>
              <w:left w:val="nil"/>
              <w:bottom w:val="single" w:sz="8" w:space="0" w:color="auto"/>
              <w:right w:val="single" w:sz="8" w:space="0" w:color="auto"/>
            </w:tcBorders>
            <w:vAlign w:val="center"/>
            <w:hideMark/>
          </w:tcPr>
          <w:p w:rsidR="00E207FC" w:rsidRPr="007E215B" w:rsidP="00E207FC" w14:paraId="53C4FB86" w14:textId="77777777">
            <w:pPr>
              <w:rPr>
                <w:bCs/>
              </w:rPr>
            </w:pPr>
            <w:r w:rsidRPr="007E215B">
              <w:rPr>
                <w:bCs/>
              </w:rPr>
              <w:t>0.332</w:t>
            </w:r>
          </w:p>
        </w:tc>
        <w:tc>
          <w:tcPr>
            <w:tcW w:w="1200" w:type="dxa"/>
            <w:tcBorders>
              <w:top w:val="nil"/>
              <w:left w:val="nil"/>
              <w:bottom w:val="single" w:sz="8" w:space="0" w:color="auto"/>
              <w:right w:val="single" w:sz="8" w:space="0" w:color="auto"/>
            </w:tcBorders>
            <w:vAlign w:val="center"/>
            <w:hideMark/>
          </w:tcPr>
          <w:p w:rsidR="00E207FC" w:rsidRPr="007E215B" w:rsidP="00E207FC" w14:paraId="46F23113" w14:textId="5CC60EA3">
            <w:pPr>
              <w:rPr>
                <w:bCs/>
              </w:rPr>
            </w:pPr>
            <w:r w:rsidRPr="007E215B">
              <w:rPr>
                <w:bCs/>
              </w:rPr>
              <w:t>1,4</w:t>
            </w:r>
            <w:r w:rsidRPr="007E215B" w:rsidR="00A3006B">
              <w:rPr>
                <w:bCs/>
              </w:rPr>
              <w:t>12,634</w:t>
            </w:r>
          </w:p>
        </w:tc>
        <w:tc>
          <w:tcPr>
            <w:tcW w:w="1349" w:type="dxa"/>
            <w:tcBorders>
              <w:top w:val="nil"/>
              <w:left w:val="nil"/>
              <w:bottom w:val="single" w:sz="8" w:space="0" w:color="auto"/>
              <w:right w:val="single" w:sz="8" w:space="0" w:color="auto"/>
            </w:tcBorders>
            <w:vAlign w:val="center"/>
            <w:hideMark/>
          </w:tcPr>
          <w:p w:rsidR="00E207FC" w:rsidRPr="007E215B" w:rsidP="00E207FC" w14:paraId="5451873C" w14:textId="615116DE">
            <w:pPr>
              <w:rPr>
                <w:bCs/>
              </w:rPr>
            </w:pPr>
            <w:r w:rsidRPr="007E215B">
              <w:rPr>
                <w:bCs/>
              </w:rPr>
              <w:t>$</w:t>
            </w:r>
            <w:r w:rsidRPr="007E215B" w:rsidR="002F6BAE">
              <w:rPr>
                <w:bCs/>
              </w:rPr>
              <w:t>22.12</w:t>
            </w:r>
          </w:p>
        </w:tc>
        <w:tc>
          <w:tcPr>
            <w:tcW w:w="1444" w:type="dxa"/>
            <w:tcBorders>
              <w:top w:val="nil"/>
              <w:left w:val="nil"/>
              <w:bottom w:val="single" w:sz="8" w:space="0" w:color="auto"/>
              <w:right w:val="single" w:sz="8" w:space="0" w:color="auto"/>
            </w:tcBorders>
            <w:vAlign w:val="center"/>
            <w:hideMark/>
          </w:tcPr>
          <w:p w:rsidR="00E207FC" w:rsidRPr="007E215B" w:rsidP="00E207FC" w14:paraId="56BDE0C3" w14:textId="046816C0">
            <w:pPr>
              <w:rPr>
                <w:bCs/>
              </w:rPr>
            </w:pPr>
            <w:r w:rsidRPr="007E215B">
              <w:rPr>
                <w:bCs/>
              </w:rPr>
              <w:t>$</w:t>
            </w:r>
            <w:r w:rsidRPr="007E215B" w:rsidR="00D74D87">
              <w:rPr>
                <w:bCs/>
              </w:rPr>
              <w:t>31</w:t>
            </w:r>
            <w:r w:rsidRPr="007E215B" w:rsidR="008E436E">
              <w:rPr>
                <w:bCs/>
              </w:rPr>
              <w:t>,247,464</w:t>
            </w:r>
          </w:p>
        </w:tc>
      </w:tr>
      <w:tr w14:paraId="3BB27C06" w14:textId="77777777" w:rsidTr="00D70524">
        <w:tblPrEx>
          <w:tblW w:w="11780" w:type="dxa"/>
          <w:jc w:val="center"/>
          <w:tblLayout w:type="fixed"/>
          <w:tblLook w:val="04A0"/>
        </w:tblPrEx>
        <w:trPr>
          <w:trHeight w:val="1258"/>
          <w:jc w:val="center"/>
        </w:trPr>
        <w:tc>
          <w:tcPr>
            <w:tcW w:w="1520" w:type="dxa"/>
            <w:tcBorders>
              <w:top w:val="nil"/>
              <w:left w:val="single" w:sz="8" w:space="0" w:color="auto"/>
              <w:bottom w:val="single" w:sz="8" w:space="0" w:color="auto"/>
              <w:right w:val="single" w:sz="8" w:space="0" w:color="auto"/>
            </w:tcBorders>
            <w:vAlign w:val="center"/>
            <w:hideMark/>
          </w:tcPr>
          <w:p w:rsidR="00E207FC" w:rsidRPr="007E215B" w:rsidP="00E207FC" w14:paraId="22FA7E97" w14:textId="77777777">
            <w:pPr>
              <w:rPr>
                <w:bCs/>
              </w:rPr>
            </w:pPr>
            <w:r w:rsidRPr="007E215B">
              <w:rPr>
                <w:bCs/>
              </w:rPr>
              <w:t>Responding to duplicative disputes (§ 1006.38(d)(2)(ii))</w:t>
            </w:r>
          </w:p>
        </w:tc>
        <w:tc>
          <w:tcPr>
            <w:tcW w:w="1428" w:type="dxa"/>
            <w:tcBorders>
              <w:top w:val="nil"/>
              <w:left w:val="nil"/>
              <w:bottom w:val="single" w:sz="8" w:space="0" w:color="auto"/>
              <w:right w:val="single" w:sz="8" w:space="0" w:color="auto"/>
            </w:tcBorders>
            <w:vAlign w:val="center"/>
            <w:hideMark/>
          </w:tcPr>
          <w:p w:rsidR="00E207FC" w:rsidRPr="007E215B" w:rsidP="00E207FC" w14:paraId="7ED72BB6" w14:textId="234DB039">
            <w:pPr>
              <w:rPr>
                <w:bCs/>
              </w:rPr>
            </w:pPr>
            <w:r w:rsidRPr="007E215B">
              <w:rPr>
                <w:bCs/>
              </w:rPr>
              <w:t>8,67</w:t>
            </w:r>
            <w:r w:rsidRPr="007E215B" w:rsidR="00B664AE">
              <w:rPr>
                <w:bCs/>
              </w:rPr>
              <w:t>7</w:t>
            </w:r>
          </w:p>
        </w:tc>
        <w:tc>
          <w:tcPr>
            <w:tcW w:w="1415" w:type="dxa"/>
            <w:tcBorders>
              <w:top w:val="nil"/>
              <w:left w:val="nil"/>
              <w:bottom w:val="single" w:sz="8" w:space="0" w:color="auto"/>
              <w:right w:val="single" w:sz="8" w:space="0" w:color="auto"/>
            </w:tcBorders>
            <w:vAlign w:val="center"/>
          </w:tcPr>
          <w:p w:rsidR="00E207FC" w:rsidRPr="007E215B" w:rsidP="00E207FC" w14:paraId="1FB4E28D" w14:textId="77777777">
            <w:pPr>
              <w:rPr>
                <w:bCs/>
              </w:rPr>
            </w:pPr>
          </w:p>
        </w:tc>
        <w:tc>
          <w:tcPr>
            <w:tcW w:w="1204" w:type="dxa"/>
            <w:tcBorders>
              <w:top w:val="nil"/>
              <w:left w:val="nil"/>
              <w:bottom w:val="single" w:sz="8" w:space="0" w:color="auto"/>
              <w:right w:val="single" w:sz="8" w:space="0" w:color="auto"/>
            </w:tcBorders>
            <w:vAlign w:val="center"/>
            <w:hideMark/>
          </w:tcPr>
          <w:p w:rsidR="00E207FC" w:rsidRPr="007E215B" w:rsidP="00E207FC" w14:paraId="7963F165" w14:textId="7E97D418">
            <w:pPr>
              <w:rPr>
                <w:bCs/>
              </w:rPr>
            </w:pPr>
            <w:r w:rsidRPr="007E215B">
              <w:rPr>
                <w:bCs/>
              </w:rPr>
              <w:t>5</w:t>
            </w:r>
            <w:r w:rsidRPr="007E215B" w:rsidR="00B664AE">
              <w:rPr>
                <w:bCs/>
              </w:rPr>
              <w:t>4</w:t>
            </w:r>
          </w:p>
        </w:tc>
        <w:tc>
          <w:tcPr>
            <w:tcW w:w="1170" w:type="dxa"/>
            <w:tcBorders>
              <w:top w:val="nil"/>
              <w:left w:val="nil"/>
              <w:bottom w:val="single" w:sz="8" w:space="0" w:color="auto"/>
              <w:right w:val="single" w:sz="8" w:space="0" w:color="auto"/>
            </w:tcBorders>
            <w:vAlign w:val="center"/>
            <w:hideMark/>
          </w:tcPr>
          <w:p w:rsidR="00E207FC" w:rsidRPr="007E215B" w:rsidP="00E207FC" w14:paraId="0A30960C" w14:textId="38F3C456">
            <w:pPr>
              <w:rPr>
                <w:bCs/>
              </w:rPr>
            </w:pPr>
            <w:r w:rsidRPr="007E215B">
              <w:rPr>
                <w:bCs/>
              </w:rPr>
              <w:t>472,769</w:t>
            </w:r>
          </w:p>
        </w:tc>
        <w:tc>
          <w:tcPr>
            <w:tcW w:w="1050" w:type="dxa"/>
            <w:tcBorders>
              <w:top w:val="nil"/>
              <w:left w:val="nil"/>
              <w:bottom w:val="single" w:sz="8" w:space="0" w:color="auto"/>
              <w:right w:val="single" w:sz="8" w:space="0" w:color="auto"/>
            </w:tcBorders>
            <w:vAlign w:val="center"/>
            <w:hideMark/>
          </w:tcPr>
          <w:p w:rsidR="00E207FC" w:rsidRPr="007E215B" w:rsidP="00E207FC" w14:paraId="04F902A2" w14:textId="77777777">
            <w:pPr>
              <w:rPr>
                <w:bCs/>
              </w:rPr>
            </w:pPr>
            <w:r w:rsidRPr="007E215B">
              <w:rPr>
                <w:bCs/>
              </w:rPr>
              <w:t>0.102</w:t>
            </w:r>
          </w:p>
        </w:tc>
        <w:tc>
          <w:tcPr>
            <w:tcW w:w="1200" w:type="dxa"/>
            <w:tcBorders>
              <w:top w:val="nil"/>
              <w:left w:val="nil"/>
              <w:bottom w:val="single" w:sz="8" w:space="0" w:color="auto"/>
              <w:right w:val="single" w:sz="8" w:space="0" w:color="auto"/>
            </w:tcBorders>
            <w:vAlign w:val="center"/>
            <w:hideMark/>
          </w:tcPr>
          <w:p w:rsidR="00E207FC" w:rsidRPr="007E215B" w:rsidP="00E207FC" w14:paraId="5FE6C423" w14:textId="7A2D4BD2">
            <w:pPr>
              <w:rPr>
                <w:bCs/>
              </w:rPr>
            </w:pPr>
            <w:r w:rsidRPr="007E215B">
              <w:rPr>
                <w:bCs/>
              </w:rPr>
              <w:t>48,128</w:t>
            </w:r>
          </w:p>
        </w:tc>
        <w:tc>
          <w:tcPr>
            <w:tcW w:w="1349" w:type="dxa"/>
            <w:tcBorders>
              <w:top w:val="nil"/>
              <w:left w:val="nil"/>
              <w:bottom w:val="single" w:sz="8" w:space="0" w:color="auto"/>
              <w:right w:val="single" w:sz="8" w:space="0" w:color="auto"/>
            </w:tcBorders>
            <w:vAlign w:val="center"/>
            <w:hideMark/>
          </w:tcPr>
          <w:p w:rsidR="00E207FC" w:rsidRPr="007E215B" w:rsidP="00E207FC" w14:paraId="32FF50E7" w14:textId="28352D9E">
            <w:pPr>
              <w:rPr>
                <w:bCs/>
              </w:rPr>
            </w:pPr>
            <w:r w:rsidRPr="007E215B">
              <w:rPr>
                <w:bCs/>
              </w:rPr>
              <w:t>$</w:t>
            </w:r>
            <w:r w:rsidRPr="007E215B" w:rsidR="002F6BAE">
              <w:rPr>
                <w:bCs/>
              </w:rPr>
              <w:t>22.12</w:t>
            </w:r>
          </w:p>
        </w:tc>
        <w:tc>
          <w:tcPr>
            <w:tcW w:w="1444" w:type="dxa"/>
            <w:tcBorders>
              <w:top w:val="nil"/>
              <w:left w:val="nil"/>
              <w:bottom w:val="single" w:sz="8" w:space="0" w:color="auto"/>
              <w:right w:val="single" w:sz="8" w:space="0" w:color="auto"/>
            </w:tcBorders>
            <w:vAlign w:val="center"/>
            <w:hideMark/>
          </w:tcPr>
          <w:p w:rsidR="00E207FC" w:rsidRPr="007E215B" w:rsidP="00E207FC" w14:paraId="07CF6DC3" w14:textId="7F5258DC">
            <w:pPr>
              <w:rPr>
                <w:bCs/>
              </w:rPr>
            </w:pPr>
            <w:r w:rsidRPr="007E215B">
              <w:rPr>
                <w:bCs/>
              </w:rPr>
              <w:t>$</w:t>
            </w:r>
            <w:r w:rsidRPr="007E215B" w:rsidR="00E0584F">
              <w:rPr>
                <w:bCs/>
              </w:rPr>
              <w:t>1,064</w:t>
            </w:r>
            <w:r w:rsidRPr="007E215B" w:rsidR="00D74D87">
              <w:rPr>
                <w:bCs/>
              </w:rPr>
              <w:t>,591</w:t>
            </w:r>
          </w:p>
        </w:tc>
      </w:tr>
      <w:tr w14:paraId="5FA0BF72" w14:textId="77777777" w:rsidTr="00D70524">
        <w:tblPrEx>
          <w:tblW w:w="11780" w:type="dxa"/>
          <w:jc w:val="center"/>
          <w:tblLayout w:type="fixed"/>
          <w:tblLook w:val="04A0"/>
        </w:tblPrEx>
        <w:trPr>
          <w:trHeight w:val="321"/>
          <w:jc w:val="center"/>
        </w:trPr>
        <w:tc>
          <w:tcPr>
            <w:tcW w:w="1520" w:type="dxa"/>
            <w:tcBorders>
              <w:top w:val="nil"/>
              <w:left w:val="single" w:sz="8" w:space="0" w:color="auto"/>
              <w:bottom w:val="single" w:sz="8" w:space="0" w:color="auto"/>
              <w:right w:val="single" w:sz="8" w:space="0" w:color="auto"/>
            </w:tcBorders>
            <w:vAlign w:val="center"/>
            <w:hideMark/>
          </w:tcPr>
          <w:p w:rsidR="00E207FC" w:rsidRPr="007E215B" w:rsidP="00E207FC" w14:paraId="494CD622" w14:textId="77777777">
            <w:pPr>
              <w:rPr>
                <w:bCs/>
                <w:i/>
                <w:iCs/>
              </w:rPr>
            </w:pPr>
            <w:bookmarkStart w:id="0" w:name="_Hlk29989808"/>
            <w:r w:rsidRPr="007E215B">
              <w:rPr>
                <w:bCs/>
                <w:i/>
                <w:iCs/>
              </w:rPr>
              <w:t>Recordkeeping</w:t>
            </w:r>
          </w:p>
        </w:tc>
        <w:tc>
          <w:tcPr>
            <w:tcW w:w="1428" w:type="dxa"/>
            <w:tcBorders>
              <w:top w:val="nil"/>
              <w:left w:val="nil"/>
              <w:bottom w:val="single" w:sz="8" w:space="0" w:color="auto"/>
              <w:right w:val="single" w:sz="8" w:space="0" w:color="auto"/>
            </w:tcBorders>
            <w:vAlign w:val="center"/>
            <w:hideMark/>
          </w:tcPr>
          <w:p w:rsidR="00E207FC" w:rsidRPr="007E215B" w:rsidP="00E207FC" w14:paraId="23BFBC08" w14:textId="77777777">
            <w:pPr>
              <w:rPr>
                <w:bCs/>
                <w:i/>
                <w:iCs/>
              </w:rPr>
            </w:pPr>
          </w:p>
        </w:tc>
        <w:tc>
          <w:tcPr>
            <w:tcW w:w="1415" w:type="dxa"/>
            <w:tcBorders>
              <w:top w:val="nil"/>
              <w:left w:val="nil"/>
              <w:bottom w:val="single" w:sz="8" w:space="0" w:color="auto"/>
              <w:right w:val="single" w:sz="8" w:space="0" w:color="auto"/>
            </w:tcBorders>
            <w:vAlign w:val="center"/>
            <w:hideMark/>
          </w:tcPr>
          <w:p w:rsidR="00E207FC" w:rsidRPr="007E215B" w:rsidP="00E207FC" w14:paraId="0D9D450B" w14:textId="77777777">
            <w:pPr>
              <w:rPr>
                <w:bCs/>
                <w:i/>
                <w:iCs/>
              </w:rPr>
            </w:pPr>
            <w:r w:rsidRPr="007E215B">
              <w:rPr>
                <w:bCs/>
                <w:i/>
                <w:iCs/>
              </w:rPr>
              <w:t>Recordkeeping</w:t>
            </w:r>
          </w:p>
        </w:tc>
        <w:tc>
          <w:tcPr>
            <w:tcW w:w="1204" w:type="dxa"/>
            <w:tcBorders>
              <w:top w:val="nil"/>
              <w:left w:val="nil"/>
              <w:bottom w:val="single" w:sz="8" w:space="0" w:color="auto"/>
              <w:right w:val="single" w:sz="8" w:space="0" w:color="auto"/>
            </w:tcBorders>
            <w:vAlign w:val="center"/>
          </w:tcPr>
          <w:p w:rsidR="00E207FC" w:rsidRPr="007E215B" w:rsidP="00E207FC" w14:paraId="656E6B12" w14:textId="77777777">
            <w:pPr>
              <w:rPr>
                <w:bCs/>
                <w:i/>
                <w:iCs/>
              </w:rPr>
            </w:pPr>
          </w:p>
        </w:tc>
        <w:tc>
          <w:tcPr>
            <w:tcW w:w="1170" w:type="dxa"/>
            <w:tcBorders>
              <w:top w:val="nil"/>
              <w:left w:val="nil"/>
              <w:bottom w:val="single" w:sz="8" w:space="0" w:color="auto"/>
              <w:right w:val="single" w:sz="8" w:space="0" w:color="auto"/>
            </w:tcBorders>
            <w:vAlign w:val="center"/>
          </w:tcPr>
          <w:p w:rsidR="00E207FC" w:rsidRPr="007E215B" w:rsidP="00E207FC" w14:paraId="580E7498" w14:textId="77777777">
            <w:pPr>
              <w:rPr>
                <w:bCs/>
                <w:i/>
                <w:iCs/>
              </w:rPr>
            </w:pPr>
          </w:p>
        </w:tc>
        <w:tc>
          <w:tcPr>
            <w:tcW w:w="1050" w:type="dxa"/>
            <w:tcBorders>
              <w:top w:val="nil"/>
              <w:left w:val="nil"/>
              <w:bottom w:val="single" w:sz="8" w:space="0" w:color="auto"/>
              <w:right w:val="single" w:sz="8" w:space="0" w:color="auto"/>
            </w:tcBorders>
            <w:vAlign w:val="center"/>
          </w:tcPr>
          <w:p w:rsidR="00E207FC" w:rsidRPr="007E215B" w:rsidP="00E207FC" w14:paraId="3D9BCA01" w14:textId="77777777">
            <w:pPr>
              <w:rPr>
                <w:bCs/>
                <w:i/>
                <w:iCs/>
              </w:rPr>
            </w:pPr>
          </w:p>
        </w:tc>
        <w:tc>
          <w:tcPr>
            <w:tcW w:w="1200" w:type="dxa"/>
            <w:tcBorders>
              <w:top w:val="nil"/>
              <w:left w:val="nil"/>
              <w:bottom w:val="single" w:sz="8" w:space="0" w:color="auto"/>
              <w:right w:val="single" w:sz="8" w:space="0" w:color="auto"/>
            </w:tcBorders>
            <w:vAlign w:val="center"/>
          </w:tcPr>
          <w:p w:rsidR="00E207FC" w:rsidRPr="007E215B" w:rsidP="00E207FC" w14:paraId="1CA15997" w14:textId="77777777">
            <w:pPr>
              <w:rPr>
                <w:bCs/>
                <w:i/>
                <w:iCs/>
              </w:rPr>
            </w:pPr>
          </w:p>
        </w:tc>
        <w:tc>
          <w:tcPr>
            <w:tcW w:w="1349" w:type="dxa"/>
            <w:tcBorders>
              <w:top w:val="nil"/>
              <w:left w:val="nil"/>
              <w:bottom w:val="single" w:sz="8" w:space="0" w:color="auto"/>
              <w:right w:val="single" w:sz="8" w:space="0" w:color="auto"/>
            </w:tcBorders>
            <w:vAlign w:val="center"/>
          </w:tcPr>
          <w:p w:rsidR="00E207FC" w:rsidRPr="007E215B" w:rsidP="00E207FC" w14:paraId="74F6A56F" w14:textId="77777777">
            <w:pPr>
              <w:rPr>
                <w:bCs/>
                <w:i/>
                <w:iCs/>
              </w:rPr>
            </w:pPr>
          </w:p>
        </w:tc>
        <w:tc>
          <w:tcPr>
            <w:tcW w:w="1444" w:type="dxa"/>
            <w:tcBorders>
              <w:top w:val="nil"/>
              <w:left w:val="nil"/>
              <w:bottom w:val="single" w:sz="8" w:space="0" w:color="auto"/>
              <w:right w:val="single" w:sz="8" w:space="0" w:color="auto"/>
            </w:tcBorders>
            <w:vAlign w:val="center"/>
          </w:tcPr>
          <w:p w:rsidR="00E207FC" w:rsidRPr="007E215B" w:rsidP="00E207FC" w14:paraId="35357A47" w14:textId="77777777">
            <w:pPr>
              <w:rPr>
                <w:bCs/>
                <w:i/>
                <w:iCs/>
              </w:rPr>
            </w:pPr>
          </w:p>
        </w:tc>
        <w:bookmarkEnd w:id="0"/>
      </w:tr>
      <w:tr w14:paraId="3D8C20F5" w14:textId="77777777" w:rsidTr="00D70524">
        <w:tblPrEx>
          <w:tblW w:w="11780" w:type="dxa"/>
          <w:jc w:val="center"/>
          <w:tblLayout w:type="fixed"/>
          <w:tblLook w:val="04A0"/>
        </w:tblPrEx>
        <w:trPr>
          <w:trHeight w:val="760"/>
          <w:jc w:val="center"/>
        </w:trPr>
        <w:tc>
          <w:tcPr>
            <w:tcW w:w="1520" w:type="dxa"/>
            <w:tcBorders>
              <w:top w:val="nil"/>
              <w:left w:val="single" w:sz="8" w:space="0" w:color="auto"/>
              <w:bottom w:val="single" w:sz="8" w:space="0" w:color="auto"/>
              <w:right w:val="single" w:sz="8" w:space="0" w:color="auto"/>
            </w:tcBorders>
            <w:vAlign w:val="center"/>
            <w:hideMark/>
          </w:tcPr>
          <w:p w:rsidR="00E207FC" w:rsidRPr="007E215B" w:rsidP="00E207FC" w14:paraId="34DD6775" w14:textId="77777777">
            <w:pPr>
              <w:rPr>
                <w:bCs/>
              </w:rPr>
            </w:pPr>
            <w:r w:rsidRPr="007E215B">
              <w:rPr>
                <w:bCs/>
              </w:rPr>
              <w:t xml:space="preserve">Record retention (§ </w:t>
            </w:r>
            <w:r w:rsidRPr="007E215B">
              <w:rPr>
                <w:bCs/>
              </w:rPr>
              <w:t>1006.100)*</w:t>
            </w:r>
          </w:p>
        </w:tc>
        <w:tc>
          <w:tcPr>
            <w:tcW w:w="1428" w:type="dxa"/>
            <w:tcBorders>
              <w:top w:val="nil"/>
              <w:left w:val="nil"/>
              <w:bottom w:val="single" w:sz="8" w:space="0" w:color="auto"/>
              <w:right w:val="single" w:sz="8" w:space="0" w:color="auto"/>
            </w:tcBorders>
            <w:vAlign w:val="center"/>
            <w:hideMark/>
          </w:tcPr>
          <w:p w:rsidR="00E207FC" w:rsidRPr="007E215B" w:rsidP="00E207FC" w14:paraId="2CD6D4B0" w14:textId="0CCEFA86">
            <w:pPr>
              <w:rPr>
                <w:bCs/>
              </w:rPr>
            </w:pPr>
            <w:r w:rsidRPr="007E215B">
              <w:rPr>
                <w:bCs/>
              </w:rPr>
              <w:t>8,67</w:t>
            </w:r>
            <w:r w:rsidRPr="007E215B" w:rsidR="00B664AE">
              <w:rPr>
                <w:bCs/>
              </w:rPr>
              <w:t>7</w:t>
            </w:r>
          </w:p>
        </w:tc>
        <w:tc>
          <w:tcPr>
            <w:tcW w:w="1415" w:type="dxa"/>
            <w:tcBorders>
              <w:top w:val="nil"/>
              <w:left w:val="nil"/>
              <w:bottom w:val="single" w:sz="8" w:space="0" w:color="auto"/>
              <w:right w:val="single" w:sz="8" w:space="0" w:color="auto"/>
            </w:tcBorders>
            <w:vAlign w:val="center"/>
          </w:tcPr>
          <w:p w:rsidR="00E207FC" w:rsidRPr="007E215B" w:rsidP="00E207FC" w14:paraId="48AA2DF7" w14:textId="77777777">
            <w:pPr>
              <w:rPr>
                <w:bCs/>
              </w:rPr>
            </w:pPr>
          </w:p>
        </w:tc>
        <w:tc>
          <w:tcPr>
            <w:tcW w:w="1204" w:type="dxa"/>
            <w:tcBorders>
              <w:top w:val="nil"/>
              <w:left w:val="nil"/>
              <w:bottom w:val="single" w:sz="8" w:space="0" w:color="auto"/>
              <w:right w:val="single" w:sz="8" w:space="0" w:color="auto"/>
            </w:tcBorders>
            <w:vAlign w:val="center"/>
            <w:hideMark/>
          </w:tcPr>
          <w:p w:rsidR="00E207FC" w:rsidRPr="007E215B" w:rsidP="00E207FC" w14:paraId="43B24841" w14:textId="77777777">
            <w:pPr>
              <w:rPr>
                <w:bCs/>
              </w:rPr>
            </w:pPr>
            <w:r w:rsidRPr="007E215B">
              <w:rPr>
                <w:bCs/>
              </w:rPr>
              <w:t>1</w:t>
            </w:r>
          </w:p>
        </w:tc>
        <w:tc>
          <w:tcPr>
            <w:tcW w:w="1170" w:type="dxa"/>
            <w:tcBorders>
              <w:top w:val="nil"/>
              <w:left w:val="nil"/>
              <w:bottom w:val="single" w:sz="8" w:space="0" w:color="auto"/>
              <w:right w:val="single" w:sz="8" w:space="0" w:color="auto"/>
            </w:tcBorders>
            <w:vAlign w:val="center"/>
          </w:tcPr>
          <w:p w:rsidR="00E207FC" w:rsidRPr="007E215B" w:rsidP="00E207FC" w14:paraId="298AB231" w14:textId="77777777">
            <w:pPr>
              <w:rPr>
                <w:bCs/>
              </w:rPr>
            </w:pPr>
          </w:p>
        </w:tc>
        <w:tc>
          <w:tcPr>
            <w:tcW w:w="1050" w:type="dxa"/>
            <w:tcBorders>
              <w:top w:val="nil"/>
              <w:left w:val="nil"/>
              <w:bottom w:val="single" w:sz="8" w:space="0" w:color="auto"/>
              <w:right w:val="single" w:sz="8" w:space="0" w:color="auto"/>
            </w:tcBorders>
            <w:vAlign w:val="center"/>
            <w:hideMark/>
          </w:tcPr>
          <w:p w:rsidR="00E207FC" w:rsidRPr="007E215B" w:rsidP="00E207FC" w14:paraId="48E2CDB4" w14:textId="77777777">
            <w:pPr>
              <w:rPr>
                <w:bCs/>
              </w:rPr>
            </w:pPr>
            <w:r w:rsidRPr="007E215B">
              <w:rPr>
                <w:bCs/>
              </w:rPr>
              <w:t>0</w:t>
            </w:r>
          </w:p>
        </w:tc>
        <w:tc>
          <w:tcPr>
            <w:tcW w:w="1200" w:type="dxa"/>
            <w:tcBorders>
              <w:top w:val="nil"/>
              <w:left w:val="nil"/>
              <w:bottom w:val="single" w:sz="8" w:space="0" w:color="auto"/>
              <w:right w:val="single" w:sz="8" w:space="0" w:color="auto"/>
            </w:tcBorders>
            <w:vAlign w:val="center"/>
            <w:hideMark/>
          </w:tcPr>
          <w:p w:rsidR="00E207FC" w:rsidRPr="007E215B" w:rsidP="00E207FC" w14:paraId="3FFA4C4E" w14:textId="77777777">
            <w:pPr>
              <w:rPr>
                <w:bCs/>
              </w:rPr>
            </w:pPr>
            <w:r w:rsidRPr="007E215B">
              <w:rPr>
                <w:bCs/>
              </w:rPr>
              <w:t>0</w:t>
            </w:r>
          </w:p>
        </w:tc>
        <w:tc>
          <w:tcPr>
            <w:tcW w:w="1349" w:type="dxa"/>
            <w:tcBorders>
              <w:top w:val="nil"/>
              <w:left w:val="nil"/>
              <w:bottom w:val="single" w:sz="8" w:space="0" w:color="auto"/>
              <w:right w:val="single" w:sz="8" w:space="0" w:color="auto"/>
            </w:tcBorders>
            <w:vAlign w:val="center"/>
            <w:hideMark/>
          </w:tcPr>
          <w:p w:rsidR="00E207FC" w:rsidRPr="007E215B" w:rsidP="00E207FC" w14:paraId="004E24FB" w14:textId="77777777">
            <w:pPr>
              <w:rPr>
                <w:bCs/>
              </w:rPr>
            </w:pPr>
            <w:r w:rsidRPr="007E215B">
              <w:rPr>
                <w:bCs/>
              </w:rPr>
              <w:t>n/a</w:t>
            </w:r>
          </w:p>
        </w:tc>
        <w:tc>
          <w:tcPr>
            <w:tcW w:w="1444" w:type="dxa"/>
            <w:tcBorders>
              <w:top w:val="nil"/>
              <w:left w:val="nil"/>
              <w:bottom w:val="single" w:sz="8" w:space="0" w:color="auto"/>
              <w:right w:val="single" w:sz="8" w:space="0" w:color="auto"/>
            </w:tcBorders>
            <w:vAlign w:val="center"/>
            <w:hideMark/>
          </w:tcPr>
          <w:p w:rsidR="00E207FC" w:rsidRPr="007E215B" w:rsidP="00E207FC" w14:paraId="50ED6017" w14:textId="77777777">
            <w:pPr>
              <w:rPr>
                <w:bCs/>
              </w:rPr>
            </w:pPr>
            <w:r w:rsidRPr="007E215B">
              <w:rPr>
                <w:bCs/>
              </w:rPr>
              <w:t xml:space="preserve">$0 </w:t>
            </w:r>
          </w:p>
        </w:tc>
      </w:tr>
      <w:tr w14:paraId="07B19604" w14:textId="77777777" w:rsidTr="00A76434">
        <w:tblPrEx>
          <w:tblW w:w="11780" w:type="dxa"/>
          <w:jc w:val="center"/>
          <w:tblLayout w:type="fixed"/>
          <w:tblLook w:val="04A0"/>
        </w:tblPrEx>
        <w:trPr>
          <w:trHeight w:val="321"/>
          <w:jc w:val="center"/>
        </w:trPr>
        <w:tc>
          <w:tcPr>
            <w:tcW w:w="1520" w:type="dxa"/>
            <w:tcBorders>
              <w:top w:val="nil"/>
              <w:left w:val="single" w:sz="8" w:space="0" w:color="auto"/>
              <w:bottom w:val="single" w:sz="8" w:space="0" w:color="auto"/>
              <w:right w:val="single" w:sz="8" w:space="0" w:color="auto"/>
            </w:tcBorders>
            <w:vAlign w:val="bottom"/>
            <w:hideMark/>
          </w:tcPr>
          <w:p w:rsidR="008F2475" w:rsidRPr="007E215B" w:rsidP="00E207FC" w14:paraId="43D92D9F" w14:textId="77777777">
            <w:pPr>
              <w:rPr>
                <w:b/>
                <w:bCs/>
              </w:rPr>
            </w:pPr>
            <w:r w:rsidRPr="007E215B">
              <w:rPr>
                <w:b/>
                <w:bCs/>
              </w:rPr>
              <w:t>Totals:</w:t>
            </w:r>
          </w:p>
        </w:tc>
        <w:tc>
          <w:tcPr>
            <w:tcW w:w="1428" w:type="dxa"/>
            <w:tcBorders>
              <w:top w:val="nil"/>
              <w:left w:val="nil"/>
              <w:bottom w:val="single" w:sz="8" w:space="0" w:color="auto"/>
              <w:right w:val="single" w:sz="8" w:space="0" w:color="auto"/>
            </w:tcBorders>
            <w:vAlign w:val="bottom"/>
            <w:hideMark/>
          </w:tcPr>
          <w:p w:rsidR="008F2475" w:rsidRPr="007E215B" w:rsidP="00E207FC" w14:paraId="7DB805B3" w14:textId="7C47892E">
            <w:pPr>
              <w:rPr>
                <w:b/>
                <w:bCs/>
              </w:rPr>
            </w:pPr>
            <w:bookmarkStart w:id="1" w:name="_Hlk158794957"/>
            <w:r w:rsidRPr="007E215B">
              <w:rPr>
                <w:b/>
                <w:bCs/>
              </w:rPr>
              <w:t>8,7</w:t>
            </w:r>
            <w:bookmarkEnd w:id="1"/>
            <w:r w:rsidRPr="007E215B">
              <w:rPr>
                <w:b/>
                <w:bCs/>
              </w:rPr>
              <w:t>30</w:t>
            </w:r>
          </w:p>
        </w:tc>
        <w:tc>
          <w:tcPr>
            <w:tcW w:w="2619" w:type="dxa"/>
            <w:gridSpan w:val="2"/>
            <w:tcBorders>
              <w:top w:val="nil"/>
              <w:left w:val="nil"/>
              <w:bottom w:val="single" w:sz="8" w:space="0" w:color="auto"/>
              <w:right w:val="single" w:sz="8" w:space="0" w:color="auto"/>
            </w:tcBorders>
            <w:shd w:val="clear" w:color="auto" w:fill="D9D9D9" w:themeFill="background1" w:themeFillShade="D9"/>
            <w:vAlign w:val="bottom"/>
          </w:tcPr>
          <w:p w:rsidR="008F2475" w:rsidRPr="007E215B" w:rsidP="00E207FC" w14:paraId="2BCA7740" w14:textId="0D077CFD">
            <w:pPr>
              <w:rPr>
                <w:b/>
                <w:bCs/>
              </w:rPr>
            </w:pPr>
          </w:p>
        </w:tc>
        <w:tc>
          <w:tcPr>
            <w:tcW w:w="1170" w:type="dxa"/>
            <w:tcBorders>
              <w:top w:val="nil"/>
              <w:left w:val="nil"/>
              <w:bottom w:val="single" w:sz="8" w:space="0" w:color="auto"/>
              <w:right w:val="single" w:sz="8" w:space="0" w:color="auto"/>
            </w:tcBorders>
            <w:vAlign w:val="bottom"/>
            <w:hideMark/>
          </w:tcPr>
          <w:p w:rsidR="008F2475" w:rsidRPr="007E215B" w:rsidP="00E207FC" w14:paraId="114DA9EB" w14:textId="50F459AE">
            <w:pPr>
              <w:rPr>
                <w:b/>
                <w:bCs/>
              </w:rPr>
            </w:pPr>
            <w:r w:rsidRPr="007E215B">
              <w:rPr>
                <w:b/>
                <w:bCs/>
              </w:rPr>
              <w:t>90,053,997</w:t>
            </w:r>
          </w:p>
        </w:tc>
        <w:tc>
          <w:tcPr>
            <w:tcW w:w="1050" w:type="dxa"/>
            <w:tcBorders>
              <w:top w:val="nil"/>
              <w:left w:val="nil"/>
              <w:bottom w:val="single" w:sz="8" w:space="0" w:color="auto"/>
              <w:right w:val="single" w:sz="8" w:space="0" w:color="auto"/>
            </w:tcBorders>
            <w:shd w:val="clear" w:color="auto" w:fill="D9D9D9" w:themeFill="background1" w:themeFillShade="D9"/>
            <w:vAlign w:val="bottom"/>
            <w:hideMark/>
          </w:tcPr>
          <w:p w:rsidR="008F2475" w:rsidRPr="007E215B" w:rsidP="00E207FC" w14:paraId="6B7C63C7" w14:textId="42BD2DD8">
            <w:pPr>
              <w:rPr>
                <w:b/>
                <w:bCs/>
              </w:rPr>
            </w:pPr>
          </w:p>
        </w:tc>
        <w:tc>
          <w:tcPr>
            <w:tcW w:w="1200" w:type="dxa"/>
            <w:tcBorders>
              <w:top w:val="nil"/>
              <w:left w:val="nil"/>
              <w:bottom w:val="single" w:sz="8" w:space="0" w:color="auto"/>
              <w:right w:val="single" w:sz="8" w:space="0" w:color="auto"/>
            </w:tcBorders>
            <w:vAlign w:val="bottom"/>
            <w:hideMark/>
          </w:tcPr>
          <w:p w:rsidR="008F2475" w:rsidRPr="007E215B" w:rsidP="00E207FC" w14:paraId="1E0CA71B" w14:textId="3981BDD3">
            <w:pPr>
              <w:rPr>
                <w:b/>
                <w:bCs/>
              </w:rPr>
            </w:pPr>
            <w:r w:rsidRPr="007E215B">
              <w:rPr>
                <w:b/>
                <w:bCs/>
              </w:rPr>
              <w:t xml:space="preserve">      1,716,691</w:t>
            </w:r>
          </w:p>
        </w:tc>
        <w:tc>
          <w:tcPr>
            <w:tcW w:w="1349" w:type="dxa"/>
            <w:tcBorders>
              <w:top w:val="nil"/>
              <w:left w:val="nil"/>
              <w:bottom w:val="single" w:sz="8" w:space="0" w:color="auto"/>
              <w:right w:val="single" w:sz="8" w:space="0" w:color="auto"/>
            </w:tcBorders>
            <w:shd w:val="clear" w:color="auto" w:fill="D9D9D9" w:themeFill="background1" w:themeFillShade="D9"/>
            <w:vAlign w:val="bottom"/>
            <w:hideMark/>
          </w:tcPr>
          <w:p w:rsidR="008F2475" w:rsidRPr="007E215B" w:rsidP="00E207FC" w14:paraId="66737A2B" w14:textId="1D88AE12">
            <w:pPr>
              <w:rPr>
                <w:b/>
                <w:bCs/>
              </w:rPr>
            </w:pPr>
          </w:p>
        </w:tc>
        <w:tc>
          <w:tcPr>
            <w:tcW w:w="1444" w:type="dxa"/>
            <w:tcBorders>
              <w:top w:val="nil"/>
              <w:left w:val="nil"/>
              <w:bottom w:val="single" w:sz="8" w:space="0" w:color="auto"/>
              <w:right w:val="single" w:sz="8" w:space="0" w:color="auto"/>
            </w:tcBorders>
            <w:vAlign w:val="bottom"/>
            <w:hideMark/>
          </w:tcPr>
          <w:p w:rsidR="008F2475" w:rsidRPr="007E215B" w:rsidP="00E207FC" w14:paraId="7722A8C5" w14:textId="136718A8">
            <w:pPr>
              <w:rPr>
                <w:b/>
                <w:bCs/>
              </w:rPr>
            </w:pPr>
            <w:r w:rsidRPr="007E215B">
              <w:rPr>
                <w:b/>
                <w:bCs/>
              </w:rPr>
              <w:t>$37,973,246</w:t>
            </w:r>
          </w:p>
        </w:tc>
      </w:tr>
      <w:tr w14:paraId="05041AD2" w14:textId="77777777" w:rsidTr="00A76434">
        <w:tblPrEx>
          <w:tblW w:w="11780" w:type="dxa"/>
          <w:jc w:val="center"/>
          <w:tblLayout w:type="fixed"/>
          <w:tblLook w:val="04A0"/>
        </w:tblPrEx>
        <w:trPr>
          <w:trHeight w:val="321"/>
          <w:jc w:val="center"/>
        </w:trPr>
        <w:tc>
          <w:tcPr>
            <w:tcW w:w="1520" w:type="dxa"/>
            <w:tcBorders>
              <w:top w:val="nil"/>
              <w:left w:val="single" w:sz="8" w:space="0" w:color="auto"/>
              <w:bottom w:val="single" w:sz="8" w:space="0" w:color="auto"/>
              <w:right w:val="single" w:sz="8" w:space="0" w:color="auto"/>
            </w:tcBorders>
            <w:vAlign w:val="bottom"/>
            <w:hideMark/>
          </w:tcPr>
          <w:p w:rsidR="008F2475" w:rsidRPr="007E215B" w:rsidP="00E207FC" w14:paraId="42D4C216" w14:textId="77777777">
            <w:pPr>
              <w:rPr>
                <w:b/>
                <w:bCs/>
              </w:rPr>
            </w:pPr>
            <w:r w:rsidRPr="007E215B">
              <w:rPr>
                <w:b/>
                <w:bCs/>
              </w:rPr>
              <w:t>CFPB Totals:</w:t>
            </w:r>
          </w:p>
        </w:tc>
        <w:tc>
          <w:tcPr>
            <w:tcW w:w="1428" w:type="dxa"/>
            <w:tcBorders>
              <w:top w:val="nil"/>
              <w:left w:val="nil"/>
              <w:bottom w:val="single" w:sz="8" w:space="0" w:color="auto"/>
              <w:right w:val="single" w:sz="8" w:space="0" w:color="auto"/>
            </w:tcBorders>
            <w:vAlign w:val="bottom"/>
            <w:hideMark/>
          </w:tcPr>
          <w:p w:rsidR="008F2475" w:rsidRPr="007E215B" w:rsidP="00E207FC" w14:paraId="7726AD64" w14:textId="2AA4F48F">
            <w:pPr>
              <w:rPr>
                <w:b/>
                <w:bCs/>
              </w:rPr>
            </w:pPr>
            <w:r w:rsidRPr="007E215B">
              <w:rPr>
                <w:b/>
                <w:bCs/>
              </w:rPr>
              <w:t>8,730</w:t>
            </w:r>
          </w:p>
        </w:tc>
        <w:tc>
          <w:tcPr>
            <w:tcW w:w="2619" w:type="dxa"/>
            <w:gridSpan w:val="2"/>
            <w:tcBorders>
              <w:top w:val="nil"/>
              <w:left w:val="nil"/>
              <w:bottom w:val="single" w:sz="8" w:space="0" w:color="auto"/>
              <w:right w:val="single" w:sz="8" w:space="0" w:color="auto"/>
            </w:tcBorders>
            <w:shd w:val="clear" w:color="auto" w:fill="D9D9D9" w:themeFill="background1" w:themeFillShade="D9"/>
            <w:vAlign w:val="bottom"/>
          </w:tcPr>
          <w:p w:rsidR="008F2475" w:rsidRPr="007E215B" w:rsidP="00E207FC" w14:paraId="47DC2A66" w14:textId="36FF1882">
            <w:pPr>
              <w:rPr>
                <w:b/>
                <w:bCs/>
              </w:rPr>
            </w:pPr>
          </w:p>
        </w:tc>
        <w:tc>
          <w:tcPr>
            <w:tcW w:w="1170" w:type="dxa"/>
            <w:tcBorders>
              <w:top w:val="nil"/>
              <w:left w:val="nil"/>
              <w:bottom w:val="single" w:sz="8" w:space="0" w:color="auto"/>
              <w:right w:val="single" w:sz="8" w:space="0" w:color="auto"/>
            </w:tcBorders>
            <w:vAlign w:val="bottom"/>
            <w:hideMark/>
          </w:tcPr>
          <w:p w:rsidR="008F2475" w:rsidRPr="007E215B" w:rsidP="00E207FC" w14:paraId="64535754" w14:textId="39836C40">
            <w:pPr>
              <w:rPr>
                <w:b/>
                <w:bCs/>
              </w:rPr>
            </w:pPr>
            <w:r w:rsidRPr="007E215B">
              <w:rPr>
                <w:b/>
                <w:bCs/>
              </w:rPr>
              <w:t xml:space="preserve">       45,026,999</w:t>
            </w:r>
          </w:p>
        </w:tc>
        <w:tc>
          <w:tcPr>
            <w:tcW w:w="1050" w:type="dxa"/>
            <w:tcBorders>
              <w:top w:val="nil"/>
              <w:left w:val="nil"/>
              <w:bottom w:val="single" w:sz="8" w:space="0" w:color="auto"/>
              <w:right w:val="single" w:sz="8" w:space="0" w:color="auto"/>
            </w:tcBorders>
            <w:shd w:val="clear" w:color="auto" w:fill="D9D9D9" w:themeFill="background1" w:themeFillShade="D9"/>
            <w:vAlign w:val="bottom"/>
            <w:hideMark/>
          </w:tcPr>
          <w:p w:rsidR="008F2475" w:rsidRPr="007E215B" w:rsidP="00E207FC" w14:paraId="6C4A2E45" w14:textId="6E947CDA">
            <w:pPr>
              <w:rPr>
                <w:b/>
                <w:bCs/>
              </w:rPr>
            </w:pPr>
          </w:p>
        </w:tc>
        <w:tc>
          <w:tcPr>
            <w:tcW w:w="1200" w:type="dxa"/>
            <w:tcBorders>
              <w:top w:val="nil"/>
              <w:left w:val="nil"/>
              <w:bottom w:val="single" w:sz="8" w:space="0" w:color="auto"/>
              <w:right w:val="single" w:sz="8" w:space="0" w:color="auto"/>
            </w:tcBorders>
            <w:vAlign w:val="bottom"/>
            <w:hideMark/>
          </w:tcPr>
          <w:p w:rsidR="008F2475" w:rsidRPr="007E215B" w:rsidP="00E207FC" w14:paraId="74DDF776" w14:textId="68817107">
            <w:pPr>
              <w:rPr>
                <w:b/>
                <w:bCs/>
              </w:rPr>
            </w:pPr>
            <w:r w:rsidRPr="007E215B">
              <w:rPr>
                <w:b/>
                <w:bCs/>
              </w:rPr>
              <w:t>858,345</w:t>
            </w:r>
          </w:p>
        </w:tc>
        <w:tc>
          <w:tcPr>
            <w:tcW w:w="1349" w:type="dxa"/>
            <w:tcBorders>
              <w:top w:val="nil"/>
              <w:left w:val="nil"/>
              <w:bottom w:val="single" w:sz="8" w:space="0" w:color="auto"/>
              <w:right w:val="single" w:sz="8" w:space="0" w:color="auto"/>
            </w:tcBorders>
            <w:shd w:val="clear" w:color="auto" w:fill="D9D9D9" w:themeFill="background1" w:themeFillShade="D9"/>
            <w:vAlign w:val="bottom"/>
            <w:hideMark/>
          </w:tcPr>
          <w:p w:rsidR="008F2475" w:rsidRPr="007E215B" w:rsidP="00E207FC" w14:paraId="026B6760" w14:textId="1204A393">
            <w:pPr>
              <w:rPr>
                <w:b/>
                <w:bCs/>
              </w:rPr>
            </w:pPr>
          </w:p>
        </w:tc>
        <w:tc>
          <w:tcPr>
            <w:tcW w:w="1444" w:type="dxa"/>
            <w:tcBorders>
              <w:top w:val="nil"/>
              <w:left w:val="nil"/>
              <w:bottom w:val="single" w:sz="8" w:space="0" w:color="auto"/>
              <w:right w:val="single" w:sz="8" w:space="0" w:color="auto"/>
            </w:tcBorders>
            <w:vAlign w:val="bottom"/>
            <w:hideMark/>
          </w:tcPr>
          <w:p w:rsidR="008F2475" w:rsidRPr="007E215B" w:rsidP="00E207FC" w14:paraId="6D698AF0" w14:textId="42424B8D">
            <w:pPr>
              <w:rPr>
                <w:b/>
                <w:bCs/>
              </w:rPr>
            </w:pPr>
            <w:r w:rsidRPr="007E215B">
              <w:rPr>
                <w:b/>
                <w:bCs/>
              </w:rPr>
              <w:t>$18,986,623</w:t>
            </w:r>
          </w:p>
        </w:tc>
      </w:tr>
    </w:tbl>
    <w:p w:rsidR="00E056B8" w:rsidRPr="006116D6" w:rsidP="00E056B8" w14:paraId="098597A0" w14:textId="77777777">
      <w:pPr>
        <w:rPr>
          <w:bCs/>
          <w:sz w:val="24"/>
        </w:rPr>
      </w:pPr>
      <w:r w:rsidRPr="006116D6">
        <w:rPr>
          <w:bCs/>
          <w:sz w:val="24"/>
        </w:rPr>
        <w:t>*</w:t>
      </w:r>
      <w:r w:rsidRPr="006116D6">
        <w:rPr>
          <w:bCs/>
          <w:sz w:val="24"/>
        </w:rPr>
        <w:t>the</w:t>
      </w:r>
      <w:r w:rsidRPr="006116D6">
        <w:rPr>
          <w:bCs/>
          <w:sz w:val="24"/>
        </w:rPr>
        <w:t xml:space="preserve"> Bureau assumes that all or substantially all respondents already provide this information in the regular course of their business and therefore assigns no burden to this information collection</w:t>
      </w:r>
    </w:p>
    <w:p w:rsidR="00E056B8" w:rsidRPr="006116D6" w:rsidP="00E056B8" w14:paraId="2BE534BB" w14:textId="77777777">
      <w:pPr>
        <w:rPr>
          <w:bCs/>
          <w:sz w:val="24"/>
        </w:rPr>
      </w:pPr>
    </w:p>
    <w:p w:rsidR="00E056B8" w:rsidRPr="006116D6" w:rsidP="00E056B8" w14:paraId="1324BFCE" w14:textId="77777777">
      <w:pPr>
        <w:rPr>
          <w:bCs/>
          <w:i/>
          <w:iCs/>
          <w:sz w:val="24"/>
        </w:rPr>
      </w:pPr>
      <w:r w:rsidRPr="006116D6">
        <w:rPr>
          <w:bCs/>
          <w:i/>
          <w:iCs/>
          <w:sz w:val="24"/>
        </w:rPr>
        <w:t>Burden Shared Between CFPB and the Federal Trade Commission</w:t>
      </w:r>
      <w:r w:rsidRPr="006116D6">
        <w:rPr>
          <w:bCs/>
          <w:i/>
          <w:iCs/>
          <w:sz w:val="24"/>
        </w:rPr>
        <w:br/>
      </w:r>
    </w:p>
    <w:p w:rsidR="00E056B8" w:rsidRPr="006116D6" w:rsidP="00E056B8" w14:paraId="03DEFB76" w14:textId="4DFB27A8">
      <w:pPr>
        <w:rPr>
          <w:bCs/>
          <w:sz w:val="24"/>
        </w:rPr>
      </w:pPr>
      <w:r w:rsidRPr="006116D6">
        <w:rPr>
          <w:bCs/>
          <w:sz w:val="24"/>
        </w:rPr>
        <w:t>The CFPB shares administrative enforcement authority under the FDCPA with the Federal Trade Commission</w:t>
      </w:r>
      <w:r w:rsidRPr="006116D6" w:rsidR="000213BE">
        <w:rPr>
          <w:bCs/>
          <w:sz w:val="24"/>
        </w:rPr>
        <w:t xml:space="preserve"> (FTC)</w:t>
      </w:r>
      <w:r w:rsidRPr="006116D6">
        <w:rPr>
          <w:bCs/>
          <w:sz w:val="24"/>
        </w:rPr>
        <w:t>.  To avoid double-counting, the CFPB allocates to itself half of the estimated paperwork burden by dividing the burden hours even</w:t>
      </w:r>
      <w:r w:rsidRPr="006116D6" w:rsidR="0057187C">
        <w:rPr>
          <w:bCs/>
          <w:sz w:val="24"/>
        </w:rPr>
        <w:t>ly</w:t>
      </w:r>
      <w:r w:rsidRPr="006116D6">
        <w:rPr>
          <w:bCs/>
          <w:sz w:val="24"/>
        </w:rPr>
        <w:t xml:space="preserve"> between the agenc</w:t>
      </w:r>
      <w:r w:rsidRPr="006116D6" w:rsidR="0057187C">
        <w:rPr>
          <w:bCs/>
          <w:sz w:val="24"/>
        </w:rPr>
        <w:t>ies</w:t>
      </w:r>
      <w:r w:rsidRPr="006116D6">
        <w:rPr>
          <w:bCs/>
          <w:sz w:val="24"/>
        </w:rPr>
        <w:t>.</w:t>
      </w:r>
      <w:r w:rsidRPr="006116D6" w:rsidR="003D6DF9">
        <w:rPr>
          <w:bCs/>
          <w:sz w:val="24"/>
        </w:rPr>
        <w:t xml:space="preserve"> </w:t>
      </w:r>
      <w:r w:rsidRPr="006116D6">
        <w:rPr>
          <w:bCs/>
          <w:sz w:val="24"/>
        </w:rPr>
        <w:t xml:space="preserve"> </w:t>
      </w:r>
      <w:r w:rsidRPr="006116D6" w:rsidR="003D6DF9">
        <w:rPr>
          <w:bCs/>
          <w:sz w:val="24"/>
        </w:rPr>
        <w:t>However,</w:t>
      </w:r>
      <w:r w:rsidRPr="006116D6">
        <w:rPr>
          <w:bCs/>
          <w:sz w:val="24"/>
        </w:rPr>
        <w:t xml:space="preserve"> since </w:t>
      </w:r>
      <w:r w:rsidRPr="006116D6" w:rsidR="00BB2F39">
        <w:rPr>
          <w:bCs/>
          <w:sz w:val="24"/>
        </w:rPr>
        <w:t>the CFPB and FTC</w:t>
      </w:r>
      <w:r w:rsidRPr="006116D6">
        <w:rPr>
          <w:bCs/>
          <w:sz w:val="24"/>
        </w:rPr>
        <w:t xml:space="preserve"> have joint authority over the respondents themselves, </w:t>
      </w:r>
      <w:r w:rsidRPr="006116D6" w:rsidR="006F74DC">
        <w:rPr>
          <w:bCs/>
          <w:sz w:val="24"/>
        </w:rPr>
        <w:t>the CFPB</w:t>
      </w:r>
      <w:r w:rsidRPr="006116D6">
        <w:rPr>
          <w:bCs/>
          <w:sz w:val="24"/>
        </w:rPr>
        <w:t xml:space="preserve"> retain</w:t>
      </w:r>
      <w:r w:rsidRPr="006116D6" w:rsidR="006F74DC">
        <w:rPr>
          <w:bCs/>
          <w:sz w:val="24"/>
        </w:rPr>
        <w:t>s</w:t>
      </w:r>
      <w:r w:rsidRPr="006116D6">
        <w:rPr>
          <w:bCs/>
          <w:sz w:val="24"/>
        </w:rPr>
        <w:t xml:space="preserve"> the entity count of all affected respondents as shown above.</w:t>
      </w:r>
    </w:p>
    <w:p w:rsidR="00E056B8" w:rsidRPr="006116D6" w:rsidP="00E056B8" w14:paraId="1C618522" w14:textId="77777777">
      <w:pPr>
        <w:rPr>
          <w:bCs/>
          <w:sz w:val="24"/>
        </w:rPr>
      </w:pPr>
    </w:p>
    <w:p w:rsidR="00E056B8" w:rsidRPr="006116D6" w:rsidP="00E056B8" w14:paraId="643D23B8" w14:textId="77777777">
      <w:pPr>
        <w:rPr>
          <w:bCs/>
          <w:i/>
          <w:sz w:val="24"/>
        </w:rPr>
      </w:pPr>
      <w:r w:rsidRPr="006116D6">
        <w:rPr>
          <w:bCs/>
          <w:i/>
          <w:sz w:val="24"/>
        </w:rPr>
        <w:t>State Application</w:t>
      </w:r>
    </w:p>
    <w:p w:rsidR="00E056B8" w:rsidRPr="006116D6" w:rsidP="00E056B8" w14:paraId="189036CB" w14:textId="77777777">
      <w:pPr>
        <w:rPr>
          <w:bCs/>
          <w:i/>
          <w:sz w:val="24"/>
        </w:rPr>
      </w:pPr>
    </w:p>
    <w:p w:rsidR="00E056B8" w:rsidRPr="006116D6" w:rsidP="00445CD1" w14:paraId="531F89B9" w14:textId="4364BB0A">
      <w:pPr>
        <w:rPr>
          <w:bCs/>
          <w:sz w:val="24"/>
          <w:lang w:bidi="en-US"/>
        </w:rPr>
      </w:pPr>
      <w:r w:rsidRPr="006116D6">
        <w:rPr>
          <w:bCs/>
          <w:sz w:val="24"/>
          <w:lang w:bidi="en-US"/>
        </w:rPr>
        <w:t>12 CFR § 1006.</w:t>
      </w:r>
      <w:r w:rsidRPr="006116D6" w:rsidR="00D37583">
        <w:rPr>
          <w:bCs/>
          <w:sz w:val="24"/>
          <w:lang w:bidi="en-US"/>
        </w:rPr>
        <w:t>108</w:t>
      </w:r>
      <w:r w:rsidRPr="006116D6">
        <w:rPr>
          <w:bCs/>
          <w:sz w:val="24"/>
          <w:lang w:bidi="en-US"/>
        </w:rPr>
        <w:t xml:space="preserve"> provides that any State may apply for a determination that, under the laws of that state, any class of debt collection practices within that State is subject to requirements that are substantially </w:t>
      </w:r>
      <w:r w:rsidRPr="006116D6">
        <w:rPr>
          <w:bCs/>
          <w:sz w:val="24"/>
          <w:lang w:bidi="en-US"/>
        </w:rPr>
        <w:t>similar to</w:t>
      </w:r>
      <w:r w:rsidRPr="006116D6">
        <w:rPr>
          <w:bCs/>
          <w:sz w:val="24"/>
          <w:lang w:bidi="en-US"/>
        </w:rPr>
        <w:t xml:space="preserve"> those imposed under sections 803 through 812 of the FDCPA, and </w:t>
      </w:r>
      <w:r w:rsidRPr="006116D6" w:rsidR="00175102">
        <w:rPr>
          <w:bCs/>
          <w:sz w:val="24"/>
          <w:lang w:bidi="en-US"/>
        </w:rPr>
        <w:t xml:space="preserve">the corresponding provisions of Regulation F, </w:t>
      </w:r>
      <w:r w:rsidRPr="006116D6">
        <w:rPr>
          <w:bCs/>
          <w:sz w:val="24"/>
          <w:lang w:bidi="en-US"/>
        </w:rPr>
        <w:t xml:space="preserve">and that there is adequate provision for State enforcement of such requirements. </w:t>
      </w:r>
      <w:r w:rsidR="00CD4369">
        <w:rPr>
          <w:bCs/>
          <w:sz w:val="24"/>
          <w:lang w:bidi="en-US"/>
        </w:rPr>
        <w:t xml:space="preserve"> </w:t>
      </w:r>
      <w:r w:rsidRPr="006116D6" w:rsidR="00E03D93">
        <w:rPr>
          <w:bCs/>
          <w:sz w:val="24"/>
          <w:lang w:bidi="en-US"/>
        </w:rPr>
        <w:t xml:space="preserve">The procedures and criteria whereby States </w:t>
      </w:r>
      <w:r w:rsidRPr="006116D6" w:rsidR="003C37D0">
        <w:rPr>
          <w:bCs/>
          <w:sz w:val="24"/>
          <w:lang w:bidi="en-US"/>
        </w:rPr>
        <w:t xml:space="preserve">may apply to the Bureau for exemption of a class of debt collection practices within the applying State from the provisions of the Act and the corresponding provisions of Regulation F are set forth in appendix A. </w:t>
      </w:r>
    </w:p>
    <w:p w:rsidR="00E056B8" w:rsidRPr="006116D6" w:rsidP="00E056B8" w14:paraId="7BF360BC" w14:textId="77777777">
      <w:pPr>
        <w:rPr>
          <w:bCs/>
          <w:sz w:val="24"/>
          <w:lang w:bidi="en-US"/>
        </w:rPr>
      </w:pPr>
    </w:p>
    <w:p w:rsidR="00E056B8" w:rsidRPr="006116D6" w:rsidP="00E056B8" w14:paraId="42D30708" w14:textId="094A0DF2">
      <w:pPr>
        <w:rPr>
          <w:bCs/>
          <w:sz w:val="24"/>
          <w:lang w:bidi="en-US"/>
        </w:rPr>
      </w:pPr>
      <w:r w:rsidRPr="006116D6">
        <w:rPr>
          <w:bCs/>
          <w:sz w:val="24"/>
          <w:lang w:bidi="en-US"/>
        </w:rPr>
        <w:t>There are potentially 53 state respondents (50 states and 3 territories); however, in past years, one State has applied for this determination.  The application must be resubmitted annually.  Given an estimate of two hours to complete the application, the Bureau estimates two burden hours annually and $</w:t>
      </w:r>
      <w:r w:rsidR="009A5F3D">
        <w:rPr>
          <w:bCs/>
          <w:sz w:val="24"/>
          <w:lang w:bidi="en-US"/>
        </w:rPr>
        <w:t>87.10</w:t>
      </w:r>
      <w:r w:rsidRPr="006116D6" w:rsidR="003B2228">
        <w:rPr>
          <w:bCs/>
          <w:sz w:val="24"/>
          <w:lang w:bidi="en-US"/>
        </w:rPr>
        <w:t xml:space="preserve"> </w:t>
      </w:r>
      <w:r w:rsidRPr="006116D6">
        <w:rPr>
          <w:bCs/>
          <w:sz w:val="24"/>
          <w:lang w:bidi="en-US"/>
        </w:rPr>
        <w:t>in ongoing labor costs.</w:t>
      </w:r>
      <w:r>
        <w:rPr>
          <w:bCs/>
          <w:sz w:val="24"/>
          <w:vertAlign w:val="superscript"/>
          <w:lang w:bidi="en-US"/>
        </w:rPr>
        <w:footnoteReference w:id="10"/>
      </w:r>
    </w:p>
    <w:p w:rsidR="00E056B8" w:rsidRPr="006116D6" w:rsidP="00E056B8" w14:paraId="34C185C3" w14:textId="77777777">
      <w:pPr>
        <w:rPr>
          <w:bCs/>
          <w:sz w:val="24"/>
          <w:lang w:bidi="en-US"/>
        </w:rPr>
      </w:pPr>
    </w:p>
    <w:p w:rsidR="00E056B8" w:rsidRPr="006116D6" w:rsidP="00E056B8" w14:paraId="7F356B18" w14:textId="77777777">
      <w:pPr>
        <w:rPr>
          <w:bCs/>
          <w:i/>
          <w:sz w:val="24"/>
        </w:rPr>
      </w:pPr>
      <w:r w:rsidRPr="006116D6">
        <w:rPr>
          <w:bCs/>
          <w:i/>
          <w:sz w:val="24"/>
        </w:rPr>
        <w:t>Opt-out Notice for Electronic Communications or Attempts to Communicate</w:t>
      </w:r>
    </w:p>
    <w:p w:rsidR="00E056B8" w:rsidRPr="006116D6" w:rsidP="00E056B8" w14:paraId="3F5A6F14" w14:textId="77777777">
      <w:pPr>
        <w:rPr>
          <w:bCs/>
          <w:i/>
          <w:sz w:val="24"/>
        </w:rPr>
      </w:pPr>
    </w:p>
    <w:p w:rsidR="00E056B8" w:rsidRPr="006116D6" w:rsidP="00E056B8" w14:paraId="0B6439BF" w14:textId="1F6B972F">
      <w:pPr>
        <w:rPr>
          <w:bCs/>
          <w:sz w:val="24"/>
        </w:rPr>
      </w:pPr>
      <w:r w:rsidRPr="006116D6">
        <w:rPr>
          <w:bCs/>
          <w:sz w:val="24"/>
        </w:rPr>
        <w:t>§ 1006.6(e) requires a debt collector who communicates or attempts to communicate with a consumer electronically in connection with the collection of a debt</w:t>
      </w:r>
      <w:r w:rsidRPr="006116D6" w:rsidR="002E4640">
        <w:rPr>
          <w:bCs/>
          <w:sz w:val="24"/>
        </w:rPr>
        <w:t xml:space="preserve"> to</w:t>
      </w:r>
      <w:r w:rsidRPr="006116D6">
        <w:rPr>
          <w:bCs/>
          <w:sz w:val="24"/>
        </w:rPr>
        <w:t xml:space="preserve"> describe a reasonable and simple method by which the consumer can opt out of further electronic communications or attempts to communicate by the debt collector to a particular electronic address or telephone number.</w:t>
      </w:r>
    </w:p>
    <w:p w:rsidR="00E056B8" w:rsidRPr="006116D6" w:rsidP="00E056B8" w14:paraId="1F0801F2" w14:textId="77777777">
      <w:pPr>
        <w:rPr>
          <w:bCs/>
          <w:sz w:val="24"/>
        </w:rPr>
      </w:pPr>
    </w:p>
    <w:p w:rsidR="00E056B8" w:rsidRPr="006116D6" w:rsidP="00E056B8" w14:paraId="113F652D" w14:textId="5A7C3407">
      <w:pPr>
        <w:rPr>
          <w:bCs/>
          <w:sz w:val="24"/>
        </w:rPr>
      </w:pPr>
      <w:r w:rsidRPr="006116D6">
        <w:rPr>
          <w:bCs/>
          <w:sz w:val="24"/>
        </w:rPr>
        <w:t>The Bureau understands that opt-out functionality is a common component of business email and text message software products.</w:t>
      </w:r>
      <w:r w:rsidR="00AE27A0">
        <w:rPr>
          <w:bCs/>
          <w:sz w:val="24"/>
        </w:rPr>
        <w:t xml:space="preserve"> </w:t>
      </w:r>
      <w:r w:rsidRPr="006116D6">
        <w:rPr>
          <w:bCs/>
          <w:sz w:val="24"/>
        </w:rPr>
        <w:t xml:space="preserve"> If a debt collector chose to adopt email or text messaging as a means of communication, it is very likely the software system the debt collector selected would include opt-out functionality.  </w:t>
      </w:r>
      <w:bookmarkStart w:id="2" w:name="_Hlk52826606"/>
      <w:r w:rsidRPr="006116D6">
        <w:rPr>
          <w:bCs/>
          <w:sz w:val="24"/>
        </w:rPr>
        <w:t>Therefore, inasmuch as this is something all or nearly all respondents already do in the ordinary course of business the Bureau estimates that there is no one-time or ongoing costs associated with this provision.</w:t>
      </w:r>
      <w:bookmarkEnd w:id="2"/>
      <w:r>
        <w:rPr>
          <w:bCs/>
          <w:sz w:val="24"/>
          <w:vertAlign w:val="superscript"/>
        </w:rPr>
        <w:footnoteReference w:id="11"/>
      </w:r>
    </w:p>
    <w:p w:rsidR="00E056B8" w:rsidRPr="006116D6" w:rsidP="00E056B8" w14:paraId="48193508" w14:textId="77777777">
      <w:pPr>
        <w:rPr>
          <w:bCs/>
          <w:i/>
          <w:sz w:val="24"/>
        </w:rPr>
      </w:pPr>
    </w:p>
    <w:p w:rsidR="00E056B8" w:rsidRPr="006116D6" w:rsidP="00E056B8" w14:paraId="0A144AE7" w14:textId="77777777">
      <w:pPr>
        <w:rPr>
          <w:bCs/>
          <w:i/>
          <w:sz w:val="24"/>
        </w:rPr>
      </w:pPr>
      <w:r w:rsidRPr="006116D6">
        <w:rPr>
          <w:bCs/>
          <w:i/>
          <w:sz w:val="24"/>
        </w:rPr>
        <w:t xml:space="preserve">Disclosures required by FDCPA section 807(11). </w:t>
      </w:r>
    </w:p>
    <w:p w:rsidR="00E056B8" w:rsidRPr="006116D6" w:rsidP="00E056B8" w14:paraId="478A2EF9" w14:textId="77777777">
      <w:pPr>
        <w:rPr>
          <w:bCs/>
          <w:i/>
          <w:sz w:val="24"/>
        </w:rPr>
      </w:pPr>
    </w:p>
    <w:p w:rsidR="00E056B8" w:rsidRPr="006116D6" w:rsidP="00E056B8" w14:paraId="1B38E2FF" w14:textId="0CEC75BC">
      <w:pPr>
        <w:rPr>
          <w:bCs/>
          <w:sz w:val="24"/>
        </w:rPr>
      </w:pPr>
      <w:r w:rsidRPr="006116D6">
        <w:rPr>
          <w:bCs/>
          <w:sz w:val="24"/>
        </w:rPr>
        <w:t xml:space="preserve">FDCPA section 807(11) requires debt collectors to disclose in their initial communications with consumers that they are attempting to collect a debt and that any information obtained will be used for that purpose, and to disclose in their subsequent communications with consumers that the communication is from a debt collector, except </w:t>
      </w:r>
      <w:r w:rsidRPr="006116D6">
        <w:rPr>
          <w:bCs/>
          <w:sz w:val="24"/>
        </w:rPr>
        <w:t>in a formal pleading made in connection with a legal action.</w:t>
      </w:r>
      <w:r>
        <w:rPr>
          <w:bCs/>
          <w:sz w:val="24"/>
          <w:vertAlign w:val="superscript"/>
        </w:rPr>
        <w:footnoteReference w:id="12"/>
      </w:r>
      <w:r w:rsidRPr="006116D6">
        <w:rPr>
          <w:bCs/>
          <w:sz w:val="24"/>
        </w:rPr>
        <w:t xml:space="preserve">  § 1006.18(e) implements FDCPA section 807(11).</w:t>
      </w:r>
    </w:p>
    <w:p w:rsidR="00E056B8" w:rsidRPr="006116D6" w:rsidP="00E056B8" w14:paraId="7069109F" w14:textId="77777777">
      <w:pPr>
        <w:rPr>
          <w:bCs/>
          <w:sz w:val="24"/>
        </w:rPr>
      </w:pPr>
    </w:p>
    <w:p w:rsidR="00E056B8" w:rsidRPr="006116D6" w:rsidP="00E056B8" w14:paraId="09AFA89D" w14:textId="244C481D">
      <w:pPr>
        <w:rPr>
          <w:bCs/>
          <w:sz w:val="24"/>
        </w:rPr>
      </w:pPr>
      <w:r w:rsidRPr="006116D6">
        <w:rPr>
          <w:bCs/>
          <w:sz w:val="24"/>
        </w:rPr>
        <w:t>FDCPA section 807(11) and § 1006.18(e) provide the required content for a debt collector’s initial and subsequent communication with a consumer.  Therefore, this provision qualifies for the label exception to the definition of an information collection under the PRA</w:t>
      </w:r>
      <w:r>
        <w:rPr>
          <w:bCs/>
          <w:sz w:val="24"/>
          <w:vertAlign w:val="superscript"/>
        </w:rPr>
        <w:footnoteReference w:id="13"/>
      </w:r>
      <w:r w:rsidRPr="006116D6" w:rsidR="00B5461C">
        <w:rPr>
          <w:bCs/>
          <w:sz w:val="24"/>
        </w:rPr>
        <w:t xml:space="preserve"> </w:t>
      </w:r>
      <w:r w:rsidRPr="006116D6">
        <w:rPr>
          <w:bCs/>
          <w:sz w:val="24"/>
        </w:rPr>
        <w:t>and the Bureau does not estimate any one-time or ongoing costs associated with it.</w:t>
      </w:r>
    </w:p>
    <w:p w:rsidR="00E056B8" w:rsidRPr="006116D6" w:rsidP="00E056B8" w14:paraId="32E44476" w14:textId="77777777">
      <w:pPr>
        <w:rPr>
          <w:bCs/>
          <w:sz w:val="24"/>
        </w:rPr>
      </w:pPr>
    </w:p>
    <w:p w:rsidR="00E056B8" w:rsidRPr="006116D6" w:rsidP="00E056B8" w14:paraId="7A2329E5" w14:textId="77777777">
      <w:pPr>
        <w:rPr>
          <w:bCs/>
          <w:i/>
          <w:sz w:val="24"/>
        </w:rPr>
      </w:pPr>
      <w:r w:rsidRPr="006116D6">
        <w:rPr>
          <w:bCs/>
          <w:i/>
          <w:sz w:val="24"/>
        </w:rPr>
        <w:t>Communication Prior to Furnishing Information</w:t>
      </w:r>
    </w:p>
    <w:p w:rsidR="00E056B8" w:rsidRPr="006116D6" w:rsidP="00E056B8" w14:paraId="320B3DE3" w14:textId="77777777">
      <w:pPr>
        <w:rPr>
          <w:bCs/>
          <w:sz w:val="24"/>
        </w:rPr>
      </w:pPr>
    </w:p>
    <w:p w:rsidR="00E056B8" w:rsidRPr="006116D6" w:rsidP="00E056B8" w14:paraId="74520581" w14:textId="1D77526F">
      <w:pPr>
        <w:rPr>
          <w:bCs/>
          <w:sz w:val="24"/>
        </w:rPr>
      </w:pPr>
      <w:r w:rsidRPr="006116D6">
        <w:rPr>
          <w:bCs/>
          <w:sz w:val="24"/>
        </w:rPr>
        <w:t>Section 1006.30(a) provides, subject to certain exceptions, that a debt collector must not furnish to a consumer reporting agency, as defined in section 603(f) of the Fair Credit Reporting Act,</w:t>
      </w:r>
      <w:r>
        <w:rPr>
          <w:bCs/>
          <w:sz w:val="24"/>
          <w:vertAlign w:val="superscript"/>
        </w:rPr>
        <w:footnoteReference w:id="14"/>
      </w:r>
      <w:r w:rsidRPr="006116D6">
        <w:rPr>
          <w:bCs/>
          <w:sz w:val="24"/>
        </w:rPr>
        <w:t xml:space="preserve"> information regarding a debt before </w:t>
      </w:r>
      <w:r w:rsidRPr="006116D6" w:rsidR="00F64308">
        <w:rPr>
          <w:bCs/>
          <w:sz w:val="24"/>
        </w:rPr>
        <w:t>the debt collector takes certain steps</w:t>
      </w:r>
      <w:r w:rsidRPr="006116D6">
        <w:rPr>
          <w:bCs/>
          <w:sz w:val="24"/>
        </w:rPr>
        <w:t>.  The Bureau anticipates that debt collectors generally will comply with this requirement by ensuring that they send a validation notice to the consumer before furnishing information about the debt to a consumer reporting agency.</w:t>
      </w:r>
    </w:p>
    <w:p w:rsidR="00E056B8" w:rsidRPr="006116D6" w:rsidP="00E056B8" w14:paraId="09AA101E" w14:textId="77777777">
      <w:pPr>
        <w:rPr>
          <w:bCs/>
          <w:sz w:val="24"/>
        </w:rPr>
      </w:pPr>
    </w:p>
    <w:p w:rsidR="00E056B8" w:rsidRPr="006116D6" w:rsidP="00E056B8" w14:paraId="5C38F1E3" w14:textId="4B34E28B">
      <w:pPr>
        <w:rPr>
          <w:bCs/>
          <w:sz w:val="24"/>
        </w:rPr>
      </w:pPr>
      <w:r w:rsidRPr="006116D6">
        <w:rPr>
          <w:bCs/>
          <w:sz w:val="24"/>
        </w:rPr>
        <w:t>The Bureau understands that most debt collectors already send validation notices to consumers before furnishing information to consumer reporting agencies, but that some debt collectors furnish information about debts and do not provide validation notices unless or until they communicate with the consumer.  The Bureau expect</w:t>
      </w:r>
      <w:r w:rsidRPr="006116D6" w:rsidR="009A07A3">
        <w:rPr>
          <w:bCs/>
          <w:sz w:val="24"/>
        </w:rPr>
        <w:t>ed</w:t>
      </w:r>
      <w:r w:rsidRPr="006116D6">
        <w:rPr>
          <w:bCs/>
          <w:sz w:val="24"/>
        </w:rPr>
        <w:t xml:space="preserve"> debt collectors who furnish</w:t>
      </w:r>
      <w:r w:rsidRPr="006116D6" w:rsidR="009A07A3">
        <w:rPr>
          <w:bCs/>
          <w:sz w:val="24"/>
        </w:rPr>
        <w:t>ed</w:t>
      </w:r>
      <w:r w:rsidRPr="006116D6">
        <w:rPr>
          <w:bCs/>
          <w:sz w:val="24"/>
        </w:rPr>
        <w:t xml:space="preserve"> to a consumer reporting agency before </w:t>
      </w:r>
      <w:r w:rsidRPr="006116D6" w:rsidR="009A07A3">
        <w:rPr>
          <w:bCs/>
          <w:sz w:val="24"/>
        </w:rPr>
        <w:t>p</w:t>
      </w:r>
      <w:r w:rsidRPr="006116D6">
        <w:rPr>
          <w:bCs/>
          <w:sz w:val="24"/>
        </w:rPr>
        <w:t xml:space="preserve">roviding a validation notice </w:t>
      </w:r>
      <w:r w:rsidRPr="006116D6" w:rsidR="009A07A3">
        <w:rPr>
          <w:bCs/>
          <w:sz w:val="24"/>
        </w:rPr>
        <w:t>incurred a</w:t>
      </w:r>
      <w:r w:rsidRPr="006116D6">
        <w:rPr>
          <w:bCs/>
          <w:sz w:val="24"/>
        </w:rPr>
        <w:t xml:space="preserve"> one-time burden of updating their policies such that the debt collector provides a validation notice before furnishing information to a consumer reporting agency</w:t>
      </w:r>
      <w:r w:rsidRPr="006116D6" w:rsidR="009A07A3">
        <w:rPr>
          <w:bCs/>
          <w:sz w:val="24"/>
        </w:rPr>
        <w:t>, when Reg F was initially implemented</w:t>
      </w:r>
      <w:r w:rsidRPr="006116D6">
        <w:rPr>
          <w:bCs/>
          <w:sz w:val="24"/>
        </w:rPr>
        <w:t>.  The Bureau estimate</w:t>
      </w:r>
      <w:r w:rsidRPr="006116D6" w:rsidR="009A07A3">
        <w:rPr>
          <w:bCs/>
          <w:sz w:val="24"/>
        </w:rPr>
        <w:t>d</w:t>
      </w:r>
      <w:r w:rsidRPr="006116D6">
        <w:rPr>
          <w:bCs/>
          <w:sz w:val="24"/>
        </w:rPr>
        <w:t xml:space="preserve"> that 5.2 percent of debt collectors, or 619 firms, furnish</w:t>
      </w:r>
      <w:r w:rsidRPr="006116D6" w:rsidR="009A07A3">
        <w:rPr>
          <w:bCs/>
          <w:sz w:val="24"/>
        </w:rPr>
        <w:t>ed</w:t>
      </w:r>
      <w:r w:rsidRPr="006116D6">
        <w:rPr>
          <w:bCs/>
          <w:sz w:val="24"/>
        </w:rPr>
        <w:t xml:space="preserve"> before providing a validation notice.</w:t>
      </w:r>
      <w:r>
        <w:rPr>
          <w:bCs/>
          <w:sz w:val="24"/>
          <w:vertAlign w:val="superscript"/>
        </w:rPr>
        <w:footnoteReference w:id="15"/>
      </w:r>
      <w:r w:rsidRPr="006116D6">
        <w:rPr>
          <w:bCs/>
          <w:sz w:val="24"/>
        </w:rPr>
        <w:t xml:space="preserve">  The Bureau estimate</w:t>
      </w:r>
      <w:r w:rsidRPr="006116D6" w:rsidR="009A07A3">
        <w:rPr>
          <w:bCs/>
          <w:sz w:val="24"/>
        </w:rPr>
        <w:t>d</w:t>
      </w:r>
      <w:r w:rsidRPr="006116D6">
        <w:rPr>
          <w:bCs/>
          <w:sz w:val="24"/>
        </w:rPr>
        <w:t xml:space="preserve"> it </w:t>
      </w:r>
      <w:r w:rsidRPr="006116D6" w:rsidR="009A07A3">
        <w:rPr>
          <w:bCs/>
          <w:sz w:val="24"/>
        </w:rPr>
        <w:t>would</w:t>
      </w:r>
      <w:r w:rsidRPr="006116D6">
        <w:rPr>
          <w:bCs/>
          <w:sz w:val="24"/>
        </w:rPr>
        <w:t xml:space="preserve"> take each firm, on average, 4 hours to update their policies, resulting in approximately 5,000 hours of one-time burden and $1</w:t>
      </w:r>
      <w:r w:rsidR="00FB1AAD">
        <w:rPr>
          <w:bCs/>
          <w:sz w:val="24"/>
        </w:rPr>
        <w:t>92,750</w:t>
      </w:r>
      <w:r w:rsidRPr="006116D6">
        <w:rPr>
          <w:bCs/>
          <w:sz w:val="24"/>
        </w:rPr>
        <w:t xml:space="preserve"> in labor costs.</w:t>
      </w:r>
      <w:r>
        <w:rPr>
          <w:bCs/>
          <w:sz w:val="24"/>
          <w:vertAlign w:val="superscript"/>
        </w:rPr>
        <w:footnoteReference w:id="16"/>
      </w:r>
      <w:r w:rsidRPr="006116D6" w:rsidR="009A07A3">
        <w:rPr>
          <w:bCs/>
          <w:sz w:val="24"/>
        </w:rPr>
        <w:t xml:space="preserve"> This one-time cost was included in the initial cost estimates, but has now been removed in the current estimates.</w:t>
      </w:r>
    </w:p>
    <w:p w:rsidR="00E056B8" w:rsidRPr="006116D6" w:rsidP="00E056B8" w14:paraId="0FA48B00" w14:textId="77777777">
      <w:pPr>
        <w:rPr>
          <w:bCs/>
          <w:sz w:val="24"/>
        </w:rPr>
      </w:pPr>
    </w:p>
    <w:p w:rsidR="00E056B8" w:rsidRPr="006116D6" w:rsidP="00E056B8" w14:paraId="36754A4E" w14:textId="5E64B185">
      <w:pPr>
        <w:rPr>
          <w:bCs/>
          <w:sz w:val="24"/>
        </w:rPr>
      </w:pPr>
      <w:r w:rsidRPr="006116D6">
        <w:rPr>
          <w:bCs/>
          <w:sz w:val="24"/>
        </w:rPr>
        <w:t>The Bureau estimates that consumers are contacted about approximately 18</w:t>
      </w:r>
      <w:r w:rsidRPr="006116D6" w:rsidR="003A6360">
        <w:rPr>
          <w:bCs/>
          <w:sz w:val="24"/>
        </w:rPr>
        <w:t>5</w:t>
      </w:r>
      <w:r w:rsidRPr="006116D6">
        <w:rPr>
          <w:bCs/>
          <w:sz w:val="24"/>
        </w:rPr>
        <w:t>,</w:t>
      </w:r>
      <w:r w:rsidRPr="006116D6" w:rsidR="003A6360">
        <w:rPr>
          <w:bCs/>
          <w:sz w:val="24"/>
        </w:rPr>
        <w:t>036,800</w:t>
      </w:r>
      <w:r w:rsidRPr="006116D6">
        <w:rPr>
          <w:bCs/>
          <w:sz w:val="24"/>
        </w:rPr>
        <w:t xml:space="preserve"> debts in collection annually.</w:t>
      </w:r>
      <w:r>
        <w:rPr>
          <w:bCs/>
          <w:sz w:val="24"/>
          <w:vertAlign w:val="superscript"/>
        </w:rPr>
        <w:footnoteReference w:id="17"/>
      </w:r>
      <w:r w:rsidRPr="006116D6">
        <w:rPr>
          <w:bCs/>
          <w:sz w:val="24"/>
        </w:rPr>
        <w:t xml:space="preserve"> The Bureau estimates that 73 percent of these contacts are made by debt collectors.</w:t>
      </w:r>
      <w:r>
        <w:rPr>
          <w:bCs/>
          <w:sz w:val="24"/>
          <w:vertAlign w:val="superscript"/>
        </w:rPr>
        <w:footnoteReference w:id="18"/>
      </w:r>
      <w:r w:rsidRPr="006116D6">
        <w:rPr>
          <w:bCs/>
          <w:sz w:val="24"/>
        </w:rPr>
        <w:t xml:space="preserve">  Therefore, the Bureau estimates there are 13</w:t>
      </w:r>
      <w:r w:rsidRPr="006116D6" w:rsidR="003A6360">
        <w:rPr>
          <w:bCs/>
          <w:sz w:val="24"/>
        </w:rPr>
        <w:t>5</w:t>
      </w:r>
      <w:r w:rsidRPr="006116D6">
        <w:rPr>
          <w:bCs/>
          <w:sz w:val="24"/>
        </w:rPr>
        <w:t xml:space="preserve"> million validation notices sent annually.</w:t>
      </w:r>
    </w:p>
    <w:p w:rsidR="00E056B8" w:rsidRPr="006116D6" w:rsidP="00E056B8" w14:paraId="4CB05ADE" w14:textId="77777777">
      <w:pPr>
        <w:rPr>
          <w:bCs/>
          <w:sz w:val="24"/>
        </w:rPr>
      </w:pPr>
    </w:p>
    <w:p w:rsidR="00E056B8" w:rsidRPr="006116D6" w:rsidP="00E056B8" w14:paraId="249AC9E5" w14:textId="279192A5">
      <w:pPr>
        <w:rPr>
          <w:sz w:val="24"/>
          <w:szCs w:val="24"/>
        </w:rPr>
      </w:pPr>
      <w:r w:rsidRPr="006116D6">
        <w:rPr>
          <w:sz w:val="24"/>
          <w:szCs w:val="24"/>
        </w:rPr>
        <w:t>The Bureau estimate</w:t>
      </w:r>
      <w:r w:rsidRPr="006116D6" w:rsidR="3E0F3248">
        <w:rPr>
          <w:sz w:val="24"/>
          <w:szCs w:val="24"/>
        </w:rPr>
        <w:t>d</w:t>
      </w:r>
      <w:r w:rsidRPr="006116D6">
        <w:rPr>
          <w:sz w:val="24"/>
          <w:szCs w:val="24"/>
        </w:rPr>
        <w:t xml:space="preserve"> that debt collectors who furnish before providing a validation notice successfully reach 10 percent of consumers they attempt to contact and ultimately provide a validation notice.  The Bureau estimate</w:t>
      </w:r>
      <w:r w:rsidR="00E153F1">
        <w:rPr>
          <w:sz w:val="24"/>
          <w:szCs w:val="24"/>
        </w:rPr>
        <w:t xml:space="preserve">s </w:t>
      </w:r>
      <w:r w:rsidRPr="006116D6">
        <w:rPr>
          <w:sz w:val="24"/>
          <w:szCs w:val="24"/>
        </w:rPr>
        <w:t xml:space="preserve">60 percent of notices </w:t>
      </w:r>
      <w:r w:rsidRPr="006116D6" w:rsidR="31FB2235">
        <w:rPr>
          <w:sz w:val="24"/>
          <w:szCs w:val="24"/>
        </w:rPr>
        <w:t>are</w:t>
      </w:r>
      <w:r w:rsidRPr="006116D6">
        <w:rPr>
          <w:sz w:val="24"/>
          <w:szCs w:val="24"/>
        </w:rPr>
        <w:t xml:space="preserve"> sent by mail and the remaining 40 percent </w:t>
      </w:r>
      <w:r w:rsidRPr="006116D6" w:rsidR="16F299EC">
        <w:rPr>
          <w:sz w:val="24"/>
          <w:szCs w:val="24"/>
        </w:rPr>
        <w:t>are</w:t>
      </w:r>
      <w:r w:rsidRPr="006116D6">
        <w:rPr>
          <w:sz w:val="24"/>
          <w:szCs w:val="24"/>
        </w:rPr>
        <w:t xml:space="preserve"> sent electronically.  Given an estimate of 0.003 hours to mail a notice, the Bureau estimate</w:t>
      </w:r>
      <w:r w:rsidRPr="006116D6" w:rsidR="29C21F2F">
        <w:rPr>
          <w:sz w:val="24"/>
          <w:szCs w:val="24"/>
        </w:rPr>
        <w:t>d</w:t>
      </w:r>
      <w:r w:rsidRPr="006116D6">
        <w:rPr>
          <w:sz w:val="24"/>
          <w:szCs w:val="24"/>
        </w:rPr>
        <w:t xml:space="preserve"> the ongoing annual burden hours </w:t>
      </w:r>
      <w:r w:rsidRPr="006116D6" w:rsidR="36777625">
        <w:rPr>
          <w:sz w:val="24"/>
          <w:szCs w:val="24"/>
        </w:rPr>
        <w:t>is</w:t>
      </w:r>
      <w:r w:rsidRPr="006116D6">
        <w:rPr>
          <w:sz w:val="24"/>
          <w:szCs w:val="24"/>
        </w:rPr>
        <w:t xml:space="preserve"> approximately 1</w:t>
      </w:r>
      <w:r w:rsidRPr="006116D6" w:rsidR="660B3707">
        <w:rPr>
          <w:sz w:val="24"/>
          <w:szCs w:val="24"/>
        </w:rPr>
        <w:t>1,938</w:t>
      </w:r>
      <w:r w:rsidRPr="006116D6">
        <w:rPr>
          <w:sz w:val="24"/>
          <w:szCs w:val="24"/>
        </w:rPr>
        <w:t xml:space="preserve"> and ongoing annual labor costs of $2</w:t>
      </w:r>
      <w:r w:rsidR="000C6BCD">
        <w:rPr>
          <w:sz w:val="24"/>
          <w:szCs w:val="24"/>
        </w:rPr>
        <w:t>64,068</w:t>
      </w:r>
      <w:r w:rsidRPr="006116D6">
        <w:rPr>
          <w:sz w:val="24"/>
          <w:szCs w:val="24"/>
        </w:rPr>
        <w:t>.</w:t>
      </w:r>
      <w:r>
        <w:rPr>
          <w:sz w:val="24"/>
          <w:szCs w:val="24"/>
          <w:vertAlign w:val="superscript"/>
        </w:rPr>
        <w:footnoteReference w:id="19"/>
      </w:r>
    </w:p>
    <w:p w:rsidR="00E056B8" w:rsidRPr="006116D6" w:rsidP="00E056B8" w14:paraId="61402876" w14:textId="77777777">
      <w:pPr>
        <w:rPr>
          <w:bCs/>
          <w:i/>
          <w:sz w:val="24"/>
        </w:rPr>
      </w:pPr>
    </w:p>
    <w:p w:rsidR="00E056B8" w:rsidRPr="006116D6" w:rsidP="00E056B8" w14:paraId="755D21A3" w14:textId="77777777">
      <w:pPr>
        <w:rPr>
          <w:bCs/>
          <w:i/>
          <w:sz w:val="24"/>
        </w:rPr>
      </w:pPr>
      <w:r w:rsidRPr="006116D6">
        <w:rPr>
          <w:bCs/>
          <w:i/>
          <w:sz w:val="24"/>
        </w:rPr>
        <w:t xml:space="preserve">Notification regarding secured claims in bankruptcy  </w:t>
      </w:r>
    </w:p>
    <w:p w:rsidR="00E056B8" w:rsidRPr="006116D6" w:rsidP="00E056B8" w14:paraId="10E06434" w14:textId="77777777">
      <w:pPr>
        <w:rPr>
          <w:bCs/>
          <w:sz w:val="24"/>
        </w:rPr>
      </w:pPr>
    </w:p>
    <w:p w:rsidR="00E056B8" w:rsidRPr="006116D6" w:rsidP="00E056B8" w14:paraId="0B70C748" w14:textId="7DA76785">
      <w:pPr>
        <w:rPr>
          <w:bCs/>
          <w:sz w:val="24"/>
        </w:rPr>
      </w:pPr>
      <w:r w:rsidRPr="006116D6">
        <w:rPr>
          <w:bCs/>
          <w:sz w:val="24"/>
        </w:rPr>
        <w:t xml:space="preserve">Section 1006.30(b) generally prohibits a debt collector from selling, transferring for consideration, or placing for collection a debt if the debt collector knows or should know that the debt has been discharged in bankruptcy.  However, § 1006.30(b)(2)(ii) provides an exception to this general rule if the debt is secured by an enforceable lien and the debt collector notifies the transferee that the consumer’s personal liability for the debt was discharged in bankruptcy.  </w:t>
      </w:r>
    </w:p>
    <w:p w:rsidR="00E056B8" w:rsidRPr="006116D6" w:rsidP="00E056B8" w14:paraId="0099C4F7" w14:textId="77777777">
      <w:pPr>
        <w:rPr>
          <w:bCs/>
          <w:sz w:val="24"/>
        </w:rPr>
      </w:pPr>
    </w:p>
    <w:p w:rsidR="00E056B8" w:rsidRPr="006116D6" w:rsidP="00E056B8" w14:paraId="2625E6DD" w14:textId="615BCB47">
      <w:pPr>
        <w:rPr>
          <w:bCs/>
          <w:sz w:val="24"/>
        </w:rPr>
      </w:pPr>
      <w:r w:rsidRPr="006116D6">
        <w:rPr>
          <w:bCs/>
          <w:sz w:val="24"/>
        </w:rPr>
        <w:t xml:space="preserve">The Bureau understands that most types of debt collectors generally do not sell, transfer, or place for collection debt that has been discharged in bankruptcy.  The Bureau further understands, however, that in certain circumstances, </w:t>
      </w:r>
      <w:r w:rsidRPr="006116D6">
        <w:rPr>
          <w:bCs/>
          <w:sz w:val="24"/>
        </w:rPr>
        <w:t>in particular for</w:t>
      </w:r>
      <w:r w:rsidRPr="006116D6">
        <w:rPr>
          <w:bCs/>
          <w:sz w:val="24"/>
        </w:rPr>
        <w:t xml:space="preserve"> certain residential mortgage debts, debts that have been discharged in bankruptcy but are secured by an enforceable lien may be transferred to servicers that are debt collectors under the FDCPA.  The Bureau expects that entities affected by this provision would be loan servicers.  Where such transfers take place, the Bureau understands that the transferring debt collector would, in the ordinary course of business, provide information to the transferee about whether the debt has been discharged in bankruptcy.  Because affected </w:t>
      </w:r>
      <w:r w:rsidRPr="006116D6">
        <w:rPr>
          <w:bCs/>
          <w:sz w:val="24"/>
        </w:rPr>
        <w:t xml:space="preserve">respondents already make such </w:t>
      </w:r>
      <w:r w:rsidRPr="006116D6" w:rsidR="00096D9C">
        <w:rPr>
          <w:bCs/>
          <w:sz w:val="24"/>
        </w:rPr>
        <w:t>notification</w:t>
      </w:r>
      <w:r w:rsidRPr="006116D6">
        <w:rPr>
          <w:bCs/>
          <w:sz w:val="24"/>
        </w:rPr>
        <w:t xml:space="preserve"> in the ordinary course of business the Bureau estimates that there is no one-time or ongoing costs associated with this provision.</w:t>
      </w:r>
    </w:p>
    <w:p w:rsidR="00E056B8" w:rsidRPr="006116D6" w:rsidP="00E056B8" w14:paraId="4FCA4C06" w14:textId="77777777">
      <w:pPr>
        <w:rPr>
          <w:bCs/>
          <w:sz w:val="24"/>
        </w:rPr>
      </w:pPr>
    </w:p>
    <w:p w:rsidR="00E056B8" w:rsidRPr="006116D6" w:rsidP="00E056B8" w14:paraId="1ED35ABF" w14:textId="77777777">
      <w:pPr>
        <w:rPr>
          <w:bCs/>
          <w:i/>
          <w:sz w:val="24"/>
        </w:rPr>
      </w:pPr>
      <w:r w:rsidRPr="006116D6">
        <w:rPr>
          <w:bCs/>
          <w:i/>
          <w:sz w:val="24"/>
        </w:rPr>
        <w:t>Validation Notice</w:t>
      </w:r>
    </w:p>
    <w:p w:rsidR="00E056B8" w:rsidRPr="006116D6" w:rsidP="00E056B8" w14:paraId="2D4D1FB0" w14:textId="77777777">
      <w:pPr>
        <w:rPr>
          <w:bCs/>
          <w:sz w:val="24"/>
        </w:rPr>
      </w:pPr>
    </w:p>
    <w:p w:rsidR="00E056B8" w:rsidRPr="006116D6" w:rsidP="00E056B8" w14:paraId="02C575AA" w14:textId="73140952">
      <w:pPr>
        <w:rPr>
          <w:sz w:val="24"/>
          <w:szCs w:val="24"/>
        </w:rPr>
      </w:pPr>
      <w:r>
        <w:rPr>
          <w:sz w:val="24"/>
          <w:szCs w:val="24"/>
        </w:rPr>
        <w:t xml:space="preserve">Regulation F </w:t>
      </w:r>
      <w:r w:rsidRPr="006116D6">
        <w:rPr>
          <w:sz w:val="24"/>
          <w:szCs w:val="24"/>
        </w:rPr>
        <w:t xml:space="preserve">requires that debt collectors provide additional information on validation notices sent to consumers.  While the Bureau </w:t>
      </w:r>
      <w:r w:rsidRPr="006116D6" w:rsidR="00BB0D37">
        <w:rPr>
          <w:sz w:val="24"/>
          <w:szCs w:val="24"/>
        </w:rPr>
        <w:t xml:space="preserve">did </w:t>
      </w:r>
      <w:r w:rsidRPr="006116D6">
        <w:rPr>
          <w:sz w:val="24"/>
          <w:szCs w:val="24"/>
        </w:rPr>
        <w:t xml:space="preserve">not expect that the requirement to provide additional information would result in an increase in any ongoing printing or mailing costs, debt collectors may </w:t>
      </w:r>
      <w:r w:rsidRPr="006116D6" w:rsidR="00AC5FFD">
        <w:rPr>
          <w:sz w:val="24"/>
          <w:szCs w:val="24"/>
        </w:rPr>
        <w:t xml:space="preserve">have </w:t>
      </w:r>
      <w:r w:rsidRPr="006116D6">
        <w:rPr>
          <w:sz w:val="24"/>
          <w:szCs w:val="24"/>
        </w:rPr>
        <w:t>experience</w:t>
      </w:r>
      <w:r w:rsidRPr="006116D6" w:rsidR="00AC5FFD">
        <w:rPr>
          <w:sz w:val="24"/>
          <w:szCs w:val="24"/>
        </w:rPr>
        <w:t>d</w:t>
      </w:r>
      <w:r w:rsidRPr="006116D6">
        <w:rPr>
          <w:sz w:val="24"/>
          <w:szCs w:val="24"/>
        </w:rPr>
        <w:t xml:space="preserve"> costs resulting from the need to reformat validation notices to include the required information.  The Bureau </w:t>
      </w:r>
      <w:r w:rsidRPr="006116D6" w:rsidR="00AC5FFD">
        <w:rPr>
          <w:sz w:val="24"/>
          <w:szCs w:val="24"/>
        </w:rPr>
        <w:t xml:space="preserve">expected </w:t>
      </w:r>
      <w:r w:rsidRPr="006116D6">
        <w:rPr>
          <w:sz w:val="24"/>
          <w:szCs w:val="24"/>
        </w:rPr>
        <w:t xml:space="preserve">that debt collectors relying on vendors to send validation notices </w:t>
      </w:r>
      <w:r w:rsidRPr="006116D6" w:rsidR="00AC5FFD">
        <w:rPr>
          <w:sz w:val="24"/>
          <w:szCs w:val="24"/>
        </w:rPr>
        <w:t xml:space="preserve">would </w:t>
      </w:r>
      <w:r w:rsidRPr="006116D6">
        <w:rPr>
          <w:sz w:val="24"/>
          <w:szCs w:val="24"/>
        </w:rPr>
        <w:t xml:space="preserve">experience minimal costs as a result of this requirement because vendors </w:t>
      </w:r>
      <w:r w:rsidRPr="006116D6" w:rsidR="00AC5FFD">
        <w:rPr>
          <w:sz w:val="24"/>
          <w:szCs w:val="24"/>
        </w:rPr>
        <w:t xml:space="preserve">were </w:t>
      </w:r>
      <w:r w:rsidRPr="006116D6">
        <w:rPr>
          <w:sz w:val="24"/>
          <w:szCs w:val="24"/>
        </w:rPr>
        <w:t>likely to provide updates to the notices at no additional cost.</w:t>
      </w:r>
      <w:r w:rsidR="00636A08">
        <w:rPr>
          <w:sz w:val="24"/>
          <w:szCs w:val="24"/>
        </w:rPr>
        <w:t xml:space="preserve"> </w:t>
      </w:r>
      <w:r w:rsidRPr="006116D6">
        <w:rPr>
          <w:sz w:val="24"/>
          <w:szCs w:val="24"/>
        </w:rPr>
        <w:t xml:space="preserve"> </w:t>
      </w:r>
      <w:r w:rsidRPr="006116D6" w:rsidR="00272785">
        <w:rPr>
          <w:sz w:val="24"/>
          <w:szCs w:val="24"/>
        </w:rPr>
        <w:t>In the original estimates, t</w:t>
      </w:r>
      <w:r w:rsidRPr="006116D6">
        <w:rPr>
          <w:sz w:val="24"/>
          <w:szCs w:val="24"/>
        </w:rPr>
        <w:t>he Bureau estimate</w:t>
      </w:r>
      <w:r w:rsidRPr="006116D6" w:rsidR="00272785">
        <w:rPr>
          <w:sz w:val="24"/>
          <w:szCs w:val="24"/>
        </w:rPr>
        <w:t>d</w:t>
      </w:r>
      <w:r w:rsidRPr="006116D6">
        <w:rPr>
          <w:sz w:val="24"/>
          <w:szCs w:val="24"/>
        </w:rPr>
        <w:t xml:space="preserve"> that </w:t>
      </w:r>
      <w:r w:rsidRPr="006116D6" w:rsidR="003F3021">
        <w:rPr>
          <w:sz w:val="24"/>
          <w:szCs w:val="24"/>
        </w:rPr>
        <w:t>1,700</w:t>
      </w:r>
      <w:r w:rsidRPr="006116D6">
        <w:rPr>
          <w:sz w:val="24"/>
          <w:szCs w:val="24"/>
        </w:rPr>
        <w:t xml:space="preserve"> firms d</w:t>
      </w:r>
      <w:r w:rsidRPr="006116D6" w:rsidR="003F3021">
        <w:rPr>
          <w:sz w:val="24"/>
          <w:szCs w:val="24"/>
        </w:rPr>
        <w:t>id</w:t>
      </w:r>
      <w:r w:rsidRPr="006116D6">
        <w:rPr>
          <w:sz w:val="24"/>
          <w:szCs w:val="24"/>
        </w:rPr>
        <w:t xml:space="preserve"> not use a vendor to send validation notices and therefore would bear the cost of reformatting validation notices themselves.</w:t>
      </w:r>
      <w:r>
        <w:rPr>
          <w:sz w:val="24"/>
          <w:szCs w:val="24"/>
          <w:vertAlign w:val="superscript"/>
        </w:rPr>
        <w:footnoteReference w:id="20"/>
      </w:r>
      <w:r w:rsidRPr="006116D6">
        <w:rPr>
          <w:sz w:val="24"/>
          <w:szCs w:val="24"/>
        </w:rPr>
        <w:t xml:space="preserve"> </w:t>
      </w:r>
      <w:r w:rsidR="00636A08">
        <w:rPr>
          <w:sz w:val="24"/>
          <w:szCs w:val="24"/>
        </w:rPr>
        <w:t xml:space="preserve"> </w:t>
      </w:r>
      <w:r w:rsidRPr="006116D6">
        <w:rPr>
          <w:sz w:val="24"/>
          <w:szCs w:val="24"/>
        </w:rPr>
        <w:t>The Bureau assume</w:t>
      </w:r>
      <w:r w:rsidRPr="006116D6" w:rsidR="003F3021">
        <w:rPr>
          <w:sz w:val="24"/>
          <w:szCs w:val="24"/>
        </w:rPr>
        <w:t>d</w:t>
      </w:r>
      <w:r w:rsidRPr="006116D6">
        <w:rPr>
          <w:sz w:val="24"/>
          <w:szCs w:val="24"/>
        </w:rPr>
        <w:t xml:space="preserve"> that each of the </w:t>
      </w:r>
      <w:r w:rsidRPr="006116D6" w:rsidR="003F3021">
        <w:rPr>
          <w:sz w:val="24"/>
          <w:szCs w:val="24"/>
        </w:rPr>
        <w:t>1,700</w:t>
      </w:r>
      <w:r w:rsidRPr="006116D6">
        <w:rPr>
          <w:sz w:val="24"/>
          <w:szCs w:val="24"/>
        </w:rPr>
        <w:t xml:space="preserve"> firms </w:t>
      </w:r>
      <w:r w:rsidRPr="006116D6" w:rsidR="003F3021">
        <w:rPr>
          <w:sz w:val="24"/>
          <w:szCs w:val="24"/>
        </w:rPr>
        <w:t>would take</w:t>
      </w:r>
      <w:r w:rsidRPr="006116D6">
        <w:rPr>
          <w:sz w:val="24"/>
          <w:szCs w:val="24"/>
        </w:rPr>
        <w:t>, on average, 8 hours to reformat the validation notice, resulting in approximately 13,600 hours of one-time burden and $</w:t>
      </w:r>
      <w:r w:rsidR="003942CA">
        <w:rPr>
          <w:sz w:val="24"/>
          <w:szCs w:val="24"/>
        </w:rPr>
        <w:t>524,280</w:t>
      </w:r>
      <w:r w:rsidRPr="006116D6">
        <w:rPr>
          <w:sz w:val="24"/>
          <w:szCs w:val="24"/>
        </w:rPr>
        <w:t xml:space="preserve"> in labor costs.</w:t>
      </w:r>
      <w:r>
        <w:rPr>
          <w:sz w:val="24"/>
          <w:szCs w:val="24"/>
          <w:vertAlign w:val="superscript"/>
        </w:rPr>
        <w:footnoteReference w:id="21"/>
      </w:r>
      <w:r w:rsidRPr="006116D6" w:rsidR="003F3021">
        <w:rPr>
          <w:sz w:val="24"/>
          <w:szCs w:val="24"/>
        </w:rPr>
        <w:t xml:space="preserve"> </w:t>
      </w:r>
      <w:r w:rsidR="00636A08">
        <w:rPr>
          <w:sz w:val="24"/>
          <w:szCs w:val="24"/>
        </w:rPr>
        <w:t xml:space="preserve"> </w:t>
      </w:r>
      <w:r w:rsidRPr="006116D6" w:rsidR="003F3021">
        <w:rPr>
          <w:sz w:val="24"/>
          <w:szCs w:val="24"/>
        </w:rPr>
        <w:t>This one-time cost was included in the initial cost estimates, but has been removed in the current estimates.</w:t>
      </w:r>
    </w:p>
    <w:p w:rsidR="00E056B8" w:rsidRPr="006116D6" w:rsidP="00E056B8" w14:paraId="6C3F9C40" w14:textId="77777777">
      <w:pPr>
        <w:rPr>
          <w:bCs/>
          <w:strike/>
          <w:sz w:val="24"/>
        </w:rPr>
      </w:pPr>
    </w:p>
    <w:p w:rsidR="00E056B8" w:rsidRPr="006116D6" w:rsidP="00E056B8" w14:paraId="5F5A2482" w14:textId="4F362CAD">
      <w:pPr>
        <w:rPr>
          <w:bCs/>
          <w:sz w:val="24"/>
        </w:rPr>
      </w:pPr>
      <w:r w:rsidRPr="006116D6">
        <w:rPr>
          <w:bCs/>
          <w:sz w:val="24"/>
        </w:rPr>
        <w:t xml:space="preserve">Some debt collectors would also </w:t>
      </w:r>
      <w:r w:rsidRPr="006116D6" w:rsidR="00595131">
        <w:rPr>
          <w:bCs/>
          <w:sz w:val="24"/>
        </w:rPr>
        <w:t xml:space="preserve">have </w:t>
      </w:r>
      <w:r w:rsidRPr="006116D6">
        <w:rPr>
          <w:bCs/>
          <w:sz w:val="24"/>
        </w:rPr>
        <w:t>need</w:t>
      </w:r>
      <w:r w:rsidRPr="006116D6" w:rsidR="00595131">
        <w:rPr>
          <w:bCs/>
          <w:sz w:val="24"/>
        </w:rPr>
        <w:t>ed</w:t>
      </w:r>
      <w:r w:rsidRPr="006116D6">
        <w:rPr>
          <w:bCs/>
          <w:sz w:val="24"/>
        </w:rPr>
        <w:t xml:space="preserve"> to update their debt collection management systems to enable them to track certain information required by the validation notices that they d</w:t>
      </w:r>
      <w:r w:rsidRPr="006116D6" w:rsidR="00595131">
        <w:rPr>
          <w:bCs/>
          <w:sz w:val="24"/>
        </w:rPr>
        <w:t>id</w:t>
      </w:r>
      <w:r w:rsidRPr="006116D6">
        <w:rPr>
          <w:bCs/>
          <w:sz w:val="24"/>
        </w:rPr>
        <w:t>n’t already track.  The Bureau believe</w:t>
      </w:r>
      <w:r w:rsidRPr="006116D6" w:rsidR="003F3021">
        <w:rPr>
          <w:bCs/>
          <w:sz w:val="24"/>
        </w:rPr>
        <w:t>d</w:t>
      </w:r>
      <w:r w:rsidRPr="006116D6">
        <w:rPr>
          <w:bCs/>
          <w:sz w:val="24"/>
        </w:rPr>
        <w:t xml:space="preserve"> that all debt collectors </w:t>
      </w:r>
      <w:r w:rsidRPr="006116D6" w:rsidR="003F3021">
        <w:rPr>
          <w:bCs/>
          <w:sz w:val="24"/>
        </w:rPr>
        <w:t>were</w:t>
      </w:r>
      <w:r w:rsidRPr="006116D6">
        <w:rPr>
          <w:bCs/>
          <w:sz w:val="24"/>
        </w:rPr>
        <w:t xml:space="preserve"> maintaining </w:t>
      </w:r>
      <w:r w:rsidRPr="006116D6">
        <w:rPr>
          <w:bCs/>
          <w:sz w:val="24"/>
        </w:rPr>
        <w:t>all of</w:t>
      </w:r>
      <w:r w:rsidRPr="006116D6">
        <w:rPr>
          <w:bCs/>
          <w:sz w:val="24"/>
        </w:rPr>
        <w:t xml:space="preserve"> the information required</w:t>
      </w:r>
      <w:r w:rsidR="00636A08">
        <w:rPr>
          <w:bCs/>
          <w:sz w:val="24"/>
        </w:rPr>
        <w:t xml:space="preserve">, </w:t>
      </w:r>
      <w:r w:rsidRPr="006116D6">
        <w:rPr>
          <w:bCs/>
          <w:sz w:val="24"/>
        </w:rPr>
        <w:t xml:space="preserve">in a validation notice with the exception of post-default interest and fee data.  The Bureau </w:t>
      </w:r>
      <w:r w:rsidRPr="006116D6" w:rsidR="003F3021">
        <w:rPr>
          <w:bCs/>
          <w:sz w:val="24"/>
        </w:rPr>
        <w:t xml:space="preserve">originally </w:t>
      </w:r>
      <w:r w:rsidRPr="006116D6">
        <w:rPr>
          <w:bCs/>
          <w:sz w:val="24"/>
        </w:rPr>
        <w:t>estimate</w:t>
      </w:r>
      <w:r w:rsidRPr="006116D6" w:rsidR="003F3021">
        <w:rPr>
          <w:bCs/>
          <w:sz w:val="24"/>
        </w:rPr>
        <w:t>d</w:t>
      </w:r>
      <w:r w:rsidRPr="006116D6">
        <w:rPr>
          <w:bCs/>
          <w:sz w:val="24"/>
        </w:rPr>
        <w:t xml:space="preserve"> that 1,900 firms d</w:t>
      </w:r>
      <w:r w:rsidRPr="006116D6" w:rsidR="003F3021">
        <w:rPr>
          <w:bCs/>
          <w:sz w:val="24"/>
        </w:rPr>
        <w:t>id</w:t>
      </w:r>
      <w:r w:rsidRPr="006116D6">
        <w:rPr>
          <w:bCs/>
          <w:sz w:val="24"/>
        </w:rPr>
        <w:t xml:space="preserve"> not track post-default interest and fee data and would therefore need to upgrade their systems to add such data fields.</w:t>
      </w:r>
      <w:r>
        <w:rPr>
          <w:bCs/>
          <w:sz w:val="24"/>
          <w:vertAlign w:val="superscript"/>
        </w:rPr>
        <w:footnoteReference w:id="22"/>
      </w:r>
      <w:r w:rsidRPr="006116D6">
        <w:rPr>
          <w:bCs/>
          <w:sz w:val="24"/>
        </w:rPr>
        <w:t xml:space="preserve">  The Bureau expect</w:t>
      </w:r>
      <w:r w:rsidR="00F8187C">
        <w:rPr>
          <w:bCs/>
          <w:sz w:val="24"/>
        </w:rPr>
        <w:t xml:space="preserve"> </w:t>
      </w:r>
      <w:r w:rsidRPr="006116D6">
        <w:rPr>
          <w:bCs/>
          <w:sz w:val="24"/>
        </w:rPr>
        <w:t>the majority of</w:t>
      </w:r>
      <w:r w:rsidRPr="006116D6">
        <w:rPr>
          <w:bCs/>
          <w:sz w:val="24"/>
        </w:rPr>
        <w:t xml:space="preserve"> these updates </w:t>
      </w:r>
      <w:r w:rsidRPr="006116D6" w:rsidR="00595131">
        <w:rPr>
          <w:bCs/>
          <w:sz w:val="24"/>
        </w:rPr>
        <w:t xml:space="preserve">would </w:t>
      </w:r>
      <w:r w:rsidRPr="006116D6">
        <w:rPr>
          <w:bCs/>
          <w:sz w:val="24"/>
        </w:rPr>
        <w:t>be made by vendors supplying collection management systems at a minimal cost to the debt collectors.  The Bureau estimate</w:t>
      </w:r>
      <w:r w:rsidR="00F8187C">
        <w:rPr>
          <w:bCs/>
          <w:sz w:val="24"/>
        </w:rPr>
        <w:t>s</w:t>
      </w:r>
      <w:r w:rsidRPr="006116D6">
        <w:rPr>
          <w:bCs/>
          <w:sz w:val="24"/>
        </w:rPr>
        <w:t xml:space="preserve"> that 238 of the firms that would need to add fields use a proprietary system and would therefore bear the burden of making upgrades.</w:t>
      </w:r>
      <w:r>
        <w:rPr>
          <w:bCs/>
          <w:sz w:val="24"/>
          <w:vertAlign w:val="superscript"/>
        </w:rPr>
        <w:footnoteReference w:id="23"/>
      </w:r>
      <w:r w:rsidRPr="006116D6">
        <w:rPr>
          <w:bCs/>
          <w:sz w:val="24"/>
        </w:rPr>
        <w:t xml:space="preserve">  The Bureau estimate</w:t>
      </w:r>
      <w:r w:rsidR="000E470C">
        <w:rPr>
          <w:bCs/>
          <w:sz w:val="24"/>
        </w:rPr>
        <w:t>s</w:t>
      </w:r>
      <w:r w:rsidRPr="006116D6">
        <w:rPr>
          <w:bCs/>
          <w:sz w:val="24"/>
        </w:rPr>
        <w:t xml:space="preserve"> these updates would take, on </w:t>
      </w:r>
      <w:r w:rsidRPr="001B69F7">
        <w:rPr>
          <w:bCs/>
          <w:sz w:val="24"/>
        </w:rPr>
        <w:t>average, 40 hours of programming time.</w:t>
      </w:r>
      <w:r>
        <w:rPr>
          <w:bCs/>
          <w:sz w:val="24"/>
          <w:vertAlign w:val="superscript"/>
        </w:rPr>
        <w:footnoteReference w:id="24"/>
      </w:r>
      <w:r w:rsidRPr="001B69F7">
        <w:rPr>
          <w:bCs/>
          <w:sz w:val="24"/>
        </w:rPr>
        <w:t xml:space="preserve">  </w:t>
      </w:r>
      <w:r w:rsidRPr="001B69F7">
        <w:rPr>
          <w:bCs/>
          <w:sz w:val="24"/>
        </w:rPr>
        <w:t>Therefore debt collectors upgrading proprietary debt collection management systems would result in approximately 9,520 hours of one-time burden and $</w:t>
      </w:r>
      <w:r w:rsidRPr="001B69F7" w:rsidR="005B45B2">
        <w:rPr>
          <w:bCs/>
          <w:sz w:val="24"/>
        </w:rPr>
        <w:t>493,136</w:t>
      </w:r>
      <w:r w:rsidRPr="001B69F7">
        <w:rPr>
          <w:bCs/>
          <w:sz w:val="24"/>
        </w:rPr>
        <w:t xml:space="preserve"> in labor costs.</w:t>
      </w:r>
      <w:r>
        <w:rPr>
          <w:bCs/>
          <w:sz w:val="24"/>
          <w:vertAlign w:val="superscript"/>
        </w:rPr>
        <w:footnoteReference w:id="25"/>
      </w:r>
      <w:r w:rsidRPr="001B69F7" w:rsidR="003F3021">
        <w:rPr>
          <w:bCs/>
          <w:sz w:val="24"/>
        </w:rPr>
        <w:t xml:space="preserve"> This one-time cost was included in the initial cost estimates, but has been removed in the current estimates.</w:t>
      </w:r>
    </w:p>
    <w:p w:rsidR="00E056B8" w:rsidRPr="006116D6" w:rsidP="00E056B8" w14:paraId="2037774E" w14:textId="77777777">
      <w:pPr>
        <w:rPr>
          <w:bCs/>
          <w:sz w:val="24"/>
        </w:rPr>
      </w:pPr>
    </w:p>
    <w:p w:rsidR="00E056B8" w:rsidRPr="00EF22C4" w:rsidP="00E056B8" w14:paraId="0AE8AA47" w14:textId="3E7F1465">
      <w:pPr>
        <w:rPr>
          <w:sz w:val="24"/>
          <w:szCs w:val="24"/>
        </w:rPr>
      </w:pPr>
      <w:r w:rsidRPr="006116D6">
        <w:rPr>
          <w:sz w:val="24"/>
          <w:szCs w:val="24"/>
        </w:rPr>
        <w:t xml:space="preserve">Debt collectors will incur the cost of delivering validation notices. </w:t>
      </w:r>
      <w:r w:rsidR="000E470C">
        <w:rPr>
          <w:sz w:val="24"/>
          <w:szCs w:val="24"/>
        </w:rPr>
        <w:t xml:space="preserve"> </w:t>
      </w:r>
      <w:r w:rsidRPr="006116D6">
        <w:rPr>
          <w:sz w:val="24"/>
          <w:szCs w:val="24"/>
        </w:rPr>
        <w:t>As described above, the Bureau estimates there are 13</w:t>
      </w:r>
      <w:r w:rsidRPr="006116D6" w:rsidR="00FF34A1">
        <w:rPr>
          <w:sz w:val="24"/>
          <w:szCs w:val="24"/>
        </w:rPr>
        <w:t>5</w:t>
      </w:r>
      <w:r w:rsidRPr="006116D6">
        <w:rPr>
          <w:sz w:val="24"/>
          <w:szCs w:val="24"/>
        </w:rPr>
        <w:t xml:space="preserve"> million validation notices sent annually. </w:t>
      </w:r>
      <w:r w:rsidR="000F14D7">
        <w:rPr>
          <w:sz w:val="24"/>
          <w:szCs w:val="24"/>
        </w:rPr>
        <w:t xml:space="preserve"> </w:t>
      </w:r>
      <w:r w:rsidRPr="006116D6">
        <w:rPr>
          <w:sz w:val="24"/>
          <w:szCs w:val="24"/>
        </w:rPr>
        <w:t>The Bureau estimate</w:t>
      </w:r>
      <w:r w:rsidR="000F14D7">
        <w:rPr>
          <w:sz w:val="24"/>
          <w:szCs w:val="24"/>
        </w:rPr>
        <w:t xml:space="preserve">s </w:t>
      </w:r>
      <w:r w:rsidRPr="006116D6">
        <w:rPr>
          <w:sz w:val="24"/>
          <w:szCs w:val="24"/>
        </w:rPr>
        <w:t xml:space="preserve">60 percent of validation notices </w:t>
      </w:r>
      <w:r w:rsidRPr="006116D6" w:rsidR="51D7B811">
        <w:rPr>
          <w:sz w:val="24"/>
          <w:szCs w:val="24"/>
        </w:rPr>
        <w:t>are</w:t>
      </w:r>
      <w:r w:rsidRPr="006116D6">
        <w:rPr>
          <w:sz w:val="24"/>
          <w:szCs w:val="24"/>
        </w:rPr>
        <w:t xml:space="preserve"> sent by mail and the remaining 40 percent </w:t>
      </w:r>
      <w:r w:rsidRPr="006116D6" w:rsidR="3BDEB25E">
        <w:rPr>
          <w:sz w:val="24"/>
          <w:szCs w:val="24"/>
        </w:rPr>
        <w:t xml:space="preserve">are </w:t>
      </w:r>
      <w:r w:rsidRPr="006116D6">
        <w:rPr>
          <w:sz w:val="24"/>
          <w:szCs w:val="24"/>
        </w:rPr>
        <w:t xml:space="preserve">sent electronically.  Therefore, the Bureau estimates that 81 million notices </w:t>
      </w:r>
      <w:r w:rsidRPr="006116D6" w:rsidR="68218714">
        <w:rPr>
          <w:sz w:val="24"/>
          <w:szCs w:val="24"/>
        </w:rPr>
        <w:t>are</w:t>
      </w:r>
      <w:r w:rsidRPr="006116D6">
        <w:rPr>
          <w:sz w:val="24"/>
          <w:szCs w:val="24"/>
        </w:rPr>
        <w:t xml:space="preserve"> sent by mail annually. </w:t>
      </w:r>
      <w:r w:rsidR="000F14D7">
        <w:rPr>
          <w:sz w:val="24"/>
          <w:szCs w:val="24"/>
        </w:rPr>
        <w:t xml:space="preserve"> </w:t>
      </w:r>
      <w:r w:rsidRPr="006116D6">
        <w:rPr>
          <w:sz w:val="24"/>
          <w:szCs w:val="24"/>
        </w:rPr>
        <w:t xml:space="preserve">Given an </w:t>
      </w:r>
      <w:r w:rsidRPr="00EF22C4">
        <w:rPr>
          <w:sz w:val="24"/>
          <w:szCs w:val="24"/>
        </w:rPr>
        <w:t>average time of 0.003 hours to mail each notice, the Bureau estimates debt collectors incur approximately 24</w:t>
      </w:r>
      <w:r w:rsidRPr="00EF22C4" w:rsidR="00FF34A1">
        <w:rPr>
          <w:sz w:val="24"/>
          <w:szCs w:val="24"/>
        </w:rPr>
        <w:t>3,138</w:t>
      </w:r>
      <w:r w:rsidRPr="00EF22C4">
        <w:rPr>
          <w:sz w:val="24"/>
          <w:szCs w:val="24"/>
        </w:rPr>
        <w:t xml:space="preserve"> burden hours annually and $</w:t>
      </w:r>
      <w:r w:rsidRPr="00EF22C4" w:rsidR="003B7721">
        <w:rPr>
          <w:sz w:val="24"/>
          <w:szCs w:val="24"/>
        </w:rPr>
        <w:t>5,378,212</w:t>
      </w:r>
      <w:r w:rsidRPr="00EF22C4">
        <w:rPr>
          <w:sz w:val="24"/>
          <w:szCs w:val="24"/>
        </w:rPr>
        <w:t xml:space="preserve"> in labor costs.</w:t>
      </w:r>
      <w:r>
        <w:rPr>
          <w:sz w:val="24"/>
          <w:szCs w:val="24"/>
          <w:vertAlign w:val="superscript"/>
        </w:rPr>
        <w:footnoteReference w:id="26"/>
      </w:r>
    </w:p>
    <w:p w:rsidR="00E056B8" w:rsidRPr="00EF22C4" w:rsidP="00E056B8" w14:paraId="18FE1776" w14:textId="77777777">
      <w:pPr>
        <w:rPr>
          <w:bCs/>
          <w:sz w:val="24"/>
        </w:rPr>
      </w:pPr>
    </w:p>
    <w:p w:rsidR="00E056B8" w:rsidRPr="006116D6" w:rsidP="00E056B8" w14:paraId="66D6C4AF" w14:textId="77777777">
      <w:pPr>
        <w:rPr>
          <w:bCs/>
          <w:i/>
          <w:sz w:val="24"/>
        </w:rPr>
      </w:pPr>
      <w:r w:rsidRPr="00EF22C4">
        <w:rPr>
          <w:bCs/>
          <w:i/>
          <w:sz w:val="24"/>
        </w:rPr>
        <w:t>Responses to requests for original-creditor</w:t>
      </w:r>
      <w:r w:rsidRPr="006116D6">
        <w:rPr>
          <w:bCs/>
          <w:i/>
          <w:sz w:val="24"/>
        </w:rPr>
        <w:t xml:space="preserve"> information</w:t>
      </w:r>
    </w:p>
    <w:p w:rsidR="00E056B8" w:rsidRPr="006116D6" w:rsidP="00E056B8" w14:paraId="58445DF7" w14:textId="77777777">
      <w:pPr>
        <w:rPr>
          <w:bCs/>
          <w:sz w:val="24"/>
        </w:rPr>
      </w:pPr>
    </w:p>
    <w:p w:rsidR="00E056B8" w:rsidRPr="006116D6" w:rsidP="00E056B8" w14:paraId="51D5B840" w14:textId="77777777">
      <w:pPr>
        <w:rPr>
          <w:bCs/>
          <w:sz w:val="24"/>
        </w:rPr>
      </w:pPr>
      <w:r w:rsidRPr="006116D6">
        <w:rPr>
          <w:bCs/>
          <w:sz w:val="24"/>
        </w:rPr>
        <w:t>§ 1006.38(c) requires that upon receipt of a request for the name and address of the original creditor submitted by the consumer in writing within the validation period, a debt collector must cease collection of the debt until the debt collector provides the name and address of the original creditor to the consumer in writing or electronically in a manner permitted by § 1006.42.  This provision incorporates the existing requirement to provide information about the original creditor as required by FDCPA section 809(a)(5).</w:t>
      </w:r>
    </w:p>
    <w:p w:rsidR="00E056B8" w:rsidRPr="006116D6" w:rsidP="00E056B8" w14:paraId="0F0A6231" w14:textId="77777777">
      <w:pPr>
        <w:rPr>
          <w:bCs/>
          <w:sz w:val="24"/>
        </w:rPr>
      </w:pPr>
    </w:p>
    <w:p w:rsidR="00E056B8" w:rsidRPr="006116D6" w:rsidP="00E056B8" w14:paraId="1C65BDB5" w14:textId="0F012768">
      <w:pPr>
        <w:rPr>
          <w:bCs/>
          <w:sz w:val="24"/>
        </w:rPr>
      </w:pPr>
      <w:r w:rsidRPr="006116D6">
        <w:rPr>
          <w:bCs/>
          <w:sz w:val="24"/>
        </w:rPr>
        <w:t xml:space="preserve">Debt collectors will incur costs to respond by mail to consumer requests for information about the original creditor.  The Bureau expects that debt collectors who respond to requests for information by email will not incur any ongoing costs. </w:t>
      </w:r>
      <w:r w:rsidR="000F14D7">
        <w:rPr>
          <w:bCs/>
          <w:sz w:val="24"/>
        </w:rPr>
        <w:t xml:space="preserve"> </w:t>
      </w:r>
      <w:r w:rsidRPr="006116D6">
        <w:rPr>
          <w:bCs/>
          <w:sz w:val="24"/>
        </w:rPr>
        <w:t>The Bureau estimates that 0.35 percent of consumers contacted by a debt collector request information about the original creditor.</w:t>
      </w:r>
      <w:r>
        <w:rPr>
          <w:bCs/>
          <w:sz w:val="24"/>
          <w:vertAlign w:val="superscript"/>
        </w:rPr>
        <w:footnoteReference w:id="27"/>
      </w:r>
      <w:r w:rsidRPr="006116D6">
        <w:rPr>
          <w:bCs/>
          <w:sz w:val="24"/>
        </w:rPr>
        <w:t xml:space="preserve">  The Bureau estimates that in 60 percent of these cases, the debt collector will respond by mail.  As described above, the Bureau estimates 13</w:t>
      </w:r>
      <w:r w:rsidRPr="006116D6" w:rsidR="00296C2B">
        <w:rPr>
          <w:bCs/>
          <w:sz w:val="24"/>
        </w:rPr>
        <w:t>5</w:t>
      </w:r>
      <w:r w:rsidRPr="006116D6">
        <w:rPr>
          <w:bCs/>
          <w:sz w:val="24"/>
        </w:rPr>
        <w:t xml:space="preserve"> million validation notices are sent annually.  Therefore, the Bureau estimates that there will be 28</w:t>
      </w:r>
      <w:r w:rsidRPr="006116D6" w:rsidR="00296C2B">
        <w:rPr>
          <w:bCs/>
          <w:sz w:val="24"/>
        </w:rPr>
        <w:t>3,661</w:t>
      </w:r>
      <w:r w:rsidRPr="006116D6">
        <w:rPr>
          <w:bCs/>
          <w:sz w:val="24"/>
        </w:rPr>
        <w:t xml:space="preserve"> requests for information that debt collectors will respond to by mail annually.</w:t>
      </w:r>
      <w:r>
        <w:rPr>
          <w:bCs/>
          <w:sz w:val="24"/>
          <w:vertAlign w:val="superscript"/>
        </w:rPr>
        <w:footnoteReference w:id="28"/>
      </w:r>
      <w:r w:rsidRPr="006116D6">
        <w:rPr>
          <w:bCs/>
          <w:sz w:val="24"/>
        </w:rPr>
        <w:t xml:space="preserve">  Given an average time of 0.003 hours to mail each response, the Bureau estimates that debt collectors will incur an ongoing annual burden of 8</w:t>
      </w:r>
      <w:r w:rsidRPr="006116D6" w:rsidR="00296C2B">
        <w:rPr>
          <w:bCs/>
          <w:sz w:val="24"/>
        </w:rPr>
        <w:t>51</w:t>
      </w:r>
      <w:r w:rsidRPr="006116D6">
        <w:rPr>
          <w:bCs/>
          <w:sz w:val="24"/>
        </w:rPr>
        <w:t xml:space="preserve"> hours and $1</w:t>
      </w:r>
      <w:r w:rsidR="00C76BE4">
        <w:rPr>
          <w:bCs/>
          <w:sz w:val="24"/>
        </w:rPr>
        <w:t>8,</w:t>
      </w:r>
      <w:r w:rsidR="00844B19">
        <w:rPr>
          <w:bCs/>
          <w:sz w:val="24"/>
        </w:rPr>
        <w:t>824</w:t>
      </w:r>
      <w:r w:rsidRPr="006116D6">
        <w:rPr>
          <w:bCs/>
          <w:sz w:val="24"/>
        </w:rPr>
        <w:t xml:space="preserve"> in labor costs.</w:t>
      </w:r>
      <w:r>
        <w:rPr>
          <w:bCs/>
          <w:sz w:val="24"/>
          <w:vertAlign w:val="superscript"/>
        </w:rPr>
        <w:footnoteReference w:id="29"/>
      </w:r>
    </w:p>
    <w:p w:rsidR="00E056B8" w:rsidRPr="006116D6" w:rsidP="00E056B8" w14:paraId="062B7C4F" w14:textId="77777777">
      <w:pPr>
        <w:rPr>
          <w:bCs/>
          <w:sz w:val="24"/>
        </w:rPr>
      </w:pPr>
    </w:p>
    <w:p w:rsidR="00E056B8" w:rsidRPr="006116D6" w:rsidP="00E056B8" w14:paraId="4D4C94FA" w14:textId="77777777">
      <w:pPr>
        <w:rPr>
          <w:bCs/>
          <w:i/>
          <w:sz w:val="24"/>
        </w:rPr>
      </w:pPr>
      <w:r w:rsidRPr="006116D6">
        <w:rPr>
          <w:bCs/>
          <w:i/>
          <w:sz w:val="24"/>
        </w:rPr>
        <w:t>Responses to Disputes</w:t>
      </w:r>
    </w:p>
    <w:p w:rsidR="00E056B8" w:rsidRPr="006116D6" w:rsidP="00E056B8" w14:paraId="0DFC1018" w14:textId="77777777">
      <w:pPr>
        <w:rPr>
          <w:bCs/>
          <w:sz w:val="24"/>
        </w:rPr>
      </w:pPr>
    </w:p>
    <w:p w:rsidR="00E056B8" w:rsidRPr="006116D6" w:rsidP="00E056B8" w14:paraId="1A0210F5" w14:textId="77777777">
      <w:pPr>
        <w:rPr>
          <w:bCs/>
          <w:sz w:val="24"/>
        </w:rPr>
      </w:pPr>
      <w:r w:rsidRPr="006116D6">
        <w:rPr>
          <w:bCs/>
          <w:sz w:val="24"/>
        </w:rPr>
        <w:t>FDCPA section 809(b) provides that, if a consumer disputes a debt in writing within 30 days of receiving the validation information or notice described in section 809(a), the debt collector must cease collection of the debt, or any disputed portion of the debt, until the debt collector obtains verification of the debt or a copy of a judgment and mails it to the consumer.</w:t>
      </w:r>
      <w:r>
        <w:rPr>
          <w:bCs/>
          <w:sz w:val="24"/>
          <w:vertAlign w:val="superscript"/>
        </w:rPr>
        <w:footnoteReference w:id="30"/>
      </w:r>
      <w:r w:rsidRPr="006116D6">
        <w:rPr>
          <w:bCs/>
          <w:sz w:val="24"/>
        </w:rPr>
        <w:t xml:space="preserve">  Section 1006.38(d) implements and interprets this requirement, including the requirement to provide a copy either of verification of the debt or of a judgment to the consumer in writing or electronically in a manner permitted by § 1006.42.</w:t>
      </w:r>
    </w:p>
    <w:p w:rsidR="00E056B8" w:rsidRPr="006116D6" w:rsidP="00E056B8" w14:paraId="5C514F3C" w14:textId="77777777">
      <w:pPr>
        <w:rPr>
          <w:bCs/>
          <w:sz w:val="24"/>
        </w:rPr>
      </w:pPr>
    </w:p>
    <w:p w:rsidR="00E056B8" w:rsidRPr="006116D6" w:rsidP="00E056B8" w14:paraId="36598E88" w14:textId="77777777">
      <w:pPr>
        <w:rPr>
          <w:bCs/>
          <w:sz w:val="24"/>
        </w:rPr>
      </w:pPr>
      <w:r w:rsidRPr="006116D6">
        <w:rPr>
          <w:bCs/>
          <w:sz w:val="24"/>
        </w:rPr>
        <w:t>§ 1006.38(d)(2)(ii) establishes an alternative way for debt collectors to respond to disputes that they reasonably conclude are duplicative disputes, as that term is defined in § 1006.38(a)(1). § 1006.38(d)(2)(ii) provides that, upon receipt of a duplicative dispute, a debt collector must cease collection of the debt, or any disputed portion of the debt, until the debt collector either: notifies the consumer in writing or electronically that the dispute is duplicative, provides a brief statement of the reasons for the determination, and refers the consumer to the debt collector’s response to the earlier dispute; or provides the disclosure required for a non-duplicative dispute.</w:t>
      </w:r>
    </w:p>
    <w:p w:rsidR="00E056B8" w:rsidRPr="006116D6" w:rsidP="00E056B8" w14:paraId="24BDDA2A" w14:textId="77777777">
      <w:pPr>
        <w:rPr>
          <w:bCs/>
          <w:sz w:val="24"/>
        </w:rPr>
      </w:pPr>
    </w:p>
    <w:p w:rsidR="00E056B8" w:rsidRPr="006116D6" w:rsidP="00E056B8" w14:paraId="2267402C" w14:textId="386C2E19">
      <w:pPr>
        <w:rPr>
          <w:bCs/>
          <w:sz w:val="24"/>
        </w:rPr>
      </w:pPr>
      <w:r w:rsidRPr="006116D6">
        <w:rPr>
          <w:bCs/>
          <w:sz w:val="24"/>
        </w:rPr>
        <w:t>Debt collectors will incur costs to respond to both duplicative and non-duplicative disputes.  The Bureau estimates that 3.5 percent of consumers who receive a validation notice dispute the debt.</w:t>
      </w:r>
      <w:r>
        <w:rPr>
          <w:bCs/>
          <w:sz w:val="24"/>
          <w:vertAlign w:val="superscript"/>
        </w:rPr>
        <w:footnoteReference w:id="31"/>
      </w:r>
      <w:r w:rsidRPr="006116D6">
        <w:rPr>
          <w:bCs/>
          <w:sz w:val="24"/>
        </w:rPr>
        <w:t xml:space="preserve">  The Bureau estimates that 10 percent of disputes are duplicative.  As described above, the Bureau estimates that 13</w:t>
      </w:r>
      <w:r w:rsidRPr="006116D6" w:rsidR="00296C2B">
        <w:rPr>
          <w:bCs/>
          <w:sz w:val="24"/>
        </w:rPr>
        <w:t>5</w:t>
      </w:r>
      <w:r w:rsidRPr="006116D6">
        <w:rPr>
          <w:bCs/>
          <w:sz w:val="24"/>
        </w:rPr>
        <w:t xml:space="preserve"> million validation notices are sent annually.  Therefore, the Bureau estimates there are 4,2</w:t>
      </w:r>
      <w:r w:rsidRPr="006116D6" w:rsidR="00296C2B">
        <w:rPr>
          <w:bCs/>
          <w:sz w:val="24"/>
        </w:rPr>
        <w:t>54,921</w:t>
      </w:r>
      <w:r w:rsidRPr="006116D6">
        <w:rPr>
          <w:bCs/>
          <w:sz w:val="24"/>
        </w:rPr>
        <w:t xml:space="preserve"> non-duplicative disputes and 47</w:t>
      </w:r>
      <w:r w:rsidRPr="006116D6" w:rsidR="00296C2B">
        <w:rPr>
          <w:bCs/>
          <w:sz w:val="24"/>
        </w:rPr>
        <w:t>2</w:t>
      </w:r>
      <w:r w:rsidRPr="006116D6">
        <w:rPr>
          <w:bCs/>
          <w:sz w:val="24"/>
        </w:rPr>
        <w:t>,</w:t>
      </w:r>
      <w:r w:rsidRPr="006116D6" w:rsidR="00296C2B">
        <w:rPr>
          <w:bCs/>
          <w:sz w:val="24"/>
        </w:rPr>
        <w:t>769</w:t>
      </w:r>
      <w:r w:rsidRPr="006116D6">
        <w:rPr>
          <w:bCs/>
          <w:sz w:val="24"/>
        </w:rPr>
        <w:t xml:space="preserve"> duplicative disputes annually.</w:t>
      </w:r>
    </w:p>
    <w:p w:rsidR="00E056B8" w:rsidRPr="006116D6" w:rsidP="00E056B8" w14:paraId="6E159353" w14:textId="77777777">
      <w:pPr>
        <w:rPr>
          <w:bCs/>
          <w:sz w:val="24"/>
        </w:rPr>
      </w:pPr>
    </w:p>
    <w:p w:rsidR="00E056B8" w:rsidRPr="006116D6" w:rsidP="00E056B8" w14:paraId="4CC1D1F6" w14:textId="1176AB88">
      <w:pPr>
        <w:rPr>
          <w:bCs/>
          <w:sz w:val="24"/>
        </w:rPr>
      </w:pPr>
      <w:r w:rsidRPr="006116D6">
        <w:rPr>
          <w:bCs/>
          <w:sz w:val="24"/>
        </w:rPr>
        <w:t>The Bureau expects that debt collectors who respond to disputes by mail will experience a time burden for investigating the dispute and for mailing a response.  Debt collectors who respond electronically will only incur the time burden of investigating the dispute.  The Bureau estimates that it takes 0.33 hours to investigate a non-duplicative dispute and 0.003 hours to mail a response, and that it takes 0.1 hours to investigate a duplicative dispute and 0.003 hours to mail a response.  Given the estimate that 60 percent of responses to disputes will be sent by mail, the Bureau estimates that the average response time per non-duplicative dispute is 0.332 hours and that the average response time per duplicative dispute is 0.102 hours.</w:t>
      </w:r>
      <w:r>
        <w:rPr>
          <w:bCs/>
          <w:sz w:val="24"/>
          <w:vertAlign w:val="superscript"/>
        </w:rPr>
        <w:footnoteReference w:id="32"/>
      </w:r>
      <w:r w:rsidRPr="006116D6">
        <w:rPr>
          <w:bCs/>
          <w:sz w:val="24"/>
        </w:rPr>
        <w:t xml:space="preserve">  Therefore, the Bureau estimates an ongoing annual burden </w:t>
      </w:r>
      <w:r w:rsidRPr="00D30171">
        <w:rPr>
          <w:bCs/>
          <w:sz w:val="24"/>
        </w:rPr>
        <w:t>of approximately 1,4</w:t>
      </w:r>
      <w:r w:rsidRPr="00D30171" w:rsidR="0005234E">
        <w:rPr>
          <w:bCs/>
          <w:sz w:val="24"/>
        </w:rPr>
        <w:t>12</w:t>
      </w:r>
      <w:r w:rsidRPr="00D30171">
        <w:rPr>
          <w:bCs/>
          <w:sz w:val="24"/>
        </w:rPr>
        <w:t>,</w:t>
      </w:r>
      <w:r w:rsidRPr="00D30171" w:rsidR="0005234E">
        <w:rPr>
          <w:bCs/>
          <w:sz w:val="24"/>
        </w:rPr>
        <w:t>634</w:t>
      </w:r>
      <w:r w:rsidRPr="00D30171">
        <w:rPr>
          <w:bCs/>
          <w:sz w:val="24"/>
        </w:rPr>
        <w:t xml:space="preserve"> hours and $</w:t>
      </w:r>
      <w:r w:rsidRPr="00D30171" w:rsidR="00F802D2">
        <w:rPr>
          <w:bCs/>
          <w:sz w:val="24"/>
        </w:rPr>
        <w:t>31.2</w:t>
      </w:r>
      <w:r w:rsidRPr="00D30171">
        <w:rPr>
          <w:bCs/>
          <w:sz w:val="24"/>
        </w:rPr>
        <w:t xml:space="preserve"> million for non-duplicative disputes and 4</w:t>
      </w:r>
      <w:r w:rsidRPr="00D30171" w:rsidR="0005234E">
        <w:rPr>
          <w:bCs/>
          <w:sz w:val="24"/>
        </w:rPr>
        <w:t>8</w:t>
      </w:r>
      <w:r w:rsidRPr="00D30171">
        <w:rPr>
          <w:bCs/>
          <w:sz w:val="24"/>
        </w:rPr>
        <w:t>,</w:t>
      </w:r>
      <w:r w:rsidRPr="00D30171" w:rsidR="0005234E">
        <w:rPr>
          <w:bCs/>
          <w:sz w:val="24"/>
        </w:rPr>
        <w:t>128</w:t>
      </w:r>
      <w:r w:rsidRPr="00D30171">
        <w:rPr>
          <w:bCs/>
          <w:sz w:val="24"/>
        </w:rPr>
        <w:t xml:space="preserve"> hours and $</w:t>
      </w:r>
      <w:r w:rsidRPr="00D30171" w:rsidR="003000F2">
        <w:rPr>
          <w:bCs/>
          <w:sz w:val="24"/>
        </w:rPr>
        <w:t>1,064,591</w:t>
      </w:r>
      <w:r w:rsidRPr="00D30171">
        <w:rPr>
          <w:bCs/>
          <w:sz w:val="24"/>
        </w:rPr>
        <w:t xml:space="preserve"> for duplicative disputes.</w:t>
      </w:r>
      <w:r>
        <w:rPr>
          <w:bCs/>
          <w:sz w:val="24"/>
          <w:vertAlign w:val="superscript"/>
        </w:rPr>
        <w:footnoteReference w:id="33"/>
      </w:r>
    </w:p>
    <w:p w:rsidR="00E056B8" w:rsidRPr="006116D6" w:rsidP="00E056B8" w14:paraId="0B0663AC" w14:textId="77777777">
      <w:pPr>
        <w:rPr>
          <w:bCs/>
          <w:sz w:val="24"/>
        </w:rPr>
      </w:pPr>
    </w:p>
    <w:p w:rsidR="00E056B8" w:rsidRPr="006116D6" w:rsidP="00E056B8" w14:paraId="0F2A7AA1" w14:textId="77777777">
      <w:pPr>
        <w:rPr>
          <w:bCs/>
          <w:sz w:val="24"/>
        </w:rPr>
      </w:pPr>
      <w:r w:rsidRPr="006116D6">
        <w:rPr>
          <w:bCs/>
          <w:i/>
          <w:sz w:val="24"/>
        </w:rPr>
        <w:t>Recordkeeping</w:t>
      </w:r>
    </w:p>
    <w:p w:rsidR="00E056B8" w:rsidRPr="006116D6" w:rsidP="00E056B8" w14:paraId="6BAF2E5B" w14:textId="77777777">
      <w:pPr>
        <w:rPr>
          <w:bCs/>
          <w:sz w:val="24"/>
        </w:rPr>
      </w:pPr>
    </w:p>
    <w:p w:rsidR="00E056B8" w:rsidRPr="006116D6" w:rsidP="00E056B8" w14:paraId="3A9237EB" w14:textId="201EC3A1">
      <w:pPr>
        <w:rPr>
          <w:bCs/>
          <w:sz w:val="24"/>
        </w:rPr>
      </w:pPr>
      <w:r w:rsidRPr="006116D6">
        <w:rPr>
          <w:bCs/>
          <w:sz w:val="24"/>
        </w:rPr>
        <w:t xml:space="preserve">FDCPA and Regulation F </w:t>
      </w:r>
      <w:r w:rsidRPr="006116D6">
        <w:rPr>
          <w:bCs/>
          <w:sz w:val="24"/>
        </w:rPr>
        <w:t>requires debt collectors to retain evidence of compliance with the</w:t>
      </w:r>
      <w:r w:rsidR="00205A3F">
        <w:rPr>
          <w:bCs/>
          <w:sz w:val="24"/>
        </w:rPr>
        <w:t>m</w:t>
      </w:r>
      <w:r w:rsidRPr="006116D6">
        <w:rPr>
          <w:bCs/>
          <w:sz w:val="24"/>
        </w:rPr>
        <w:t xml:space="preserve"> for three years after the debt collector’s last collection activity on the debt.  The Bureau believes that, in most cases, debt collectors are already maintaining records for three or more years for legal purposes and therefore would not incur significant costs as a result of this requirement.</w:t>
      </w:r>
    </w:p>
    <w:p w:rsidR="00A93967" w:rsidRPr="006116D6" w:rsidP="005F1FFC" w14:paraId="0D6A5C78" w14:textId="4AFC0AFE">
      <w:pPr>
        <w:rPr>
          <w:b/>
          <w:sz w:val="24"/>
          <w:szCs w:val="24"/>
        </w:rPr>
      </w:pPr>
    </w:p>
    <w:p w:rsidR="00F660E8" w:rsidRPr="006116D6" w:rsidP="00F660E8" w14:paraId="446A24E3" w14:textId="77777777">
      <w:pPr>
        <w:rPr>
          <w:b/>
          <w:sz w:val="24"/>
          <w:szCs w:val="24"/>
        </w:rPr>
      </w:pPr>
      <w:r w:rsidRPr="006116D6">
        <w:rPr>
          <w:b/>
          <w:sz w:val="24"/>
          <w:szCs w:val="24"/>
        </w:rPr>
        <w:t>13.  Provide an estimate of the total annual cost burden to respondents or record</w:t>
      </w:r>
      <w:r w:rsidRPr="006116D6" w:rsidR="007E7E37">
        <w:rPr>
          <w:b/>
          <w:sz w:val="24"/>
          <w:szCs w:val="24"/>
        </w:rPr>
        <w:t xml:space="preserve"> </w:t>
      </w:r>
      <w:r w:rsidRPr="006116D6">
        <w:rPr>
          <w:b/>
          <w:sz w:val="24"/>
          <w:szCs w:val="24"/>
        </w:rPr>
        <w:t>keepers resulting from the collection of information.  (Do not include the cost of any hour burden shown in Items 12 and 14).</w:t>
      </w:r>
    </w:p>
    <w:p w:rsidR="005F1FFC" w:rsidRPr="006116D6" w:rsidP="005F1FFC" w14:paraId="3715E245" w14:textId="49D4C5AE">
      <w:pPr>
        <w:rPr>
          <w:b/>
          <w:sz w:val="24"/>
        </w:rPr>
      </w:pPr>
    </w:p>
    <w:p w:rsidR="00E056B8" w:rsidRPr="006116D6" w:rsidP="00E056B8" w14:paraId="71A2D7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6116D6">
        <w:rPr>
          <w:i/>
          <w:sz w:val="24"/>
          <w:szCs w:val="24"/>
        </w:rPr>
        <w:t>Communication Prior to Furnishing Information</w:t>
      </w:r>
    </w:p>
    <w:p w:rsidR="00E056B8" w:rsidRPr="006116D6" w:rsidP="00E056B8" w14:paraId="0F2FA7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56B8" w:rsidRPr="006116D6" w:rsidP="00E056B8" w14:paraId="3233DC12" w14:textId="5743B6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Regulation F </w:t>
      </w:r>
      <w:r w:rsidRPr="006116D6">
        <w:rPr>
          <w:sz w:val="24"/>
          <w:szCs w:val="24"/>
        </w:rPr>
        <w:t xml:space="preserve">rule requires debt collectors to </w:t>
      </w:r>
      <w:r w:rsidRPr="006116D6" w:rsidR="00FD5C6B">
        <w:rPr>
          <w:sz w:val="24"/>
          <w:szCs w:val="24"/>
        </w:rPr>
        <w:t>take certain steps</w:t>
      </w:r>
      <w:r w:rsidRPr="006116D6">
        <w:rPr>
          <w:sz w:val="24"/>
          <w:szCs w:val="24"/>
        </w:rPr>
        <w:t xml:space="preserve"> before furnishing information to a credit reporting agency, subject to certain exceptions.  As described above, the Bureau estimates this requirement will result in approximately </w:t>
      </w:r>
      <w:r w:rsidRPr="006116D6" w:rsidR="0005234E">
        <w:rPr>
          <w:sz w:val="24"/>
          <w:szCs w:val="24"/>
        </w:rPr>
        <w:t>6.6</w:t>
      </w:r>
      <w:r w:rsidRPr="006116D6">
        <w:rPr>
          <w:sz w:val="24"/>
          <w:szCs w:val="24"/>
        </w:rPr>
        <w:t xml:space="preserve"> million additional </w:t>
      </w:r>
      <w:r w:rsidRPr="006116D6" w:rsidR="00253DC0">
        <w:rPr>
          <w:sz w:val="24"/>
          <w:szCs w:val="24"/>
        </w:rPr>
        <w:t xml:space="preserve">validation </w:t>
      </w:r>
      <w:r w:rsidRPr="006116D6">
        <w:rPr>
          <w:sz w:val="24"/>
          <w:szCs w:val="24"/>
        </w:rPr>
        <w:t xml:space="preserve">notices sent annually, 60 percent or </w:t>
      </w:r>
      <w:r w:rsidRPr="006116D6" w:rsidR="0005234E">
        <w:rPr>
          <w:sz w:val="24"/>
          <w:szCs w:val="24"/>
        </w:rPr>
        <w:t>3.98</w:t>
      </w:r>
      <w:r w:rsidRPr="006116D6">
        <w:rPr>
          <w:sz w:val="24"/>
          <w:szCs w:val="24"/>
        </w:rPr>
        <w:t xml:space="preserve"> million of which will be sent by mail.  The Bureau estimates that the cost to send validation notices with a return envelope is, on average, $0.65 per notice.</w:t>
      </w:r>
      <w:r>
        <w:rPr>
          <w:rStyle w:val="FootnoteReference"/>
          <w:sz w:val="24"/>
          <w:szCs w:val="24"/>
        </w:rPr>
        <w:footnoteReference w:id="34"/>
      </w:r>
      <w:r w:rsidRPr="006116D6">
        <w:rPr>
          <w:sz w:val="24"/>
          <w:szCs w:val="24"/>
        </w:rPr>
        <w:t xml:space="preserve">  Therefore, the Bureau estimates this requirement will result in materials costs of approximately $2.</w:t>
      </w:r>
      <w:r w:rsidRPr="006116D6" w:rsidR="0005234E">
        <w:rPr>
          <w:sz w:val="24"/>
          <w:szCs w:val="24"/>
        </w:rPr>
        <w:t>6</w:t>
      </w:r>
      <w:r w:rsidRPr="006116D6">
        <w:rPr>
          <w:sz w:val="24"/>
          <w:szCs w:val="24"/>
        </w:rPr>
        <w:t xml:space="preserve"> million annually.</w:t>
      </w:r>
    </w:p>
    <w:p w:rsidR="00E056B8" w:rsidRPr="006116D6" w:rsidP="00E056B8" w14:paraId="0A8E77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E056B8" w:rsidRPr="006116D6" w:rsidP="00E056B8" w14:paraId="167C1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116D6">
        <w:rPr>
          <w:i/>
          <w:sz w:val="24"/>
          <w:szCs w:val="24"/>
        </w:rPr>
        <w:t>Validation Notice</w:t>
      </w:r>
    </w:p>
    <w:p w:rsidR="00E056B8" w:rsidRPr="006116D6" w:rsidP="00E056B8" w14:paraId="3142A5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56B8" w:rsidRPr="006116D6" w:rsidP="00E056B8" w14:paraId="64E30A0C" w14:textId="720B5A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Regulation F </w:t>
      </w:r>
      <w:r w:rsidRPr="006116D6">
        <w:rPr>
          <w:sz w:val="24"/>
          <w:szCs w:val="24"/>
        </w:rPr>
        <w:t>requires debt collectors to provide a validation notice.  The Bureau assumes that 60 percent of validation notices would be sent by mail</w:t>
      </w:r>
      <w:r w:rsidR="00736E59">
        <w:rPr>
          <w:sz w:val="24"/>
          <w:szCs w:val="24"/>
        </w:rPr>
        <w:t xml:space="preserve"> due to</w:t>
      </w:r>
      <w:r w:rsidR="00C66BCE">
        <w:rPr>
          <w:sz w:val="24"/>
          <w:szCs w:val="24"/>
        </w:rPr>
        <w:t xml:space="preserve"> updated </w:t>
      </w:r>
      <w:r w:rsidRPr="006116D6">
        <w:rPr>
          <w:sz w:val="24"/>
          <w:szCs w:val="24"/>
        </w:rPr>
        <w:t>provisions regarding electronic communications.  Given an estimated mailing cost of $0.65 per response, the Bureau estimates the validation notice requirement will result in material costs of approximately $5</w:t>
      </w:r>
      <w:r w:rsidRPr="006116D6" w:rsidR="0005234E">
        <w:rPr>
          <w:sz w:val="24"/>
          <w:szCs w:val="24"/>
        </w:rPr>
        <w:t>2.7</w:t>
      </w:r>
      <w:r w:rsidRPr="006116D6">
        <w:rPr>
          <w:sz w:val="24"/>
          <w:szCs w:val="24"/>
        </w:rPr>
        <w:t xml:space="preserve"> million annually.</w:t>
      </w:r>
    </w:p>
    <w:p w:rsidR="00E056B8" w:rsidRPr="006116D6" w:rsidP="00E056B8" w14:paraId="75054F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56B8" w:rsidRPr="006116D6" w:rsidP="00E056B8" w14:paraId="67CC31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116D6">
        <w:rPr>
          <w:i/>
          <w:sz w:val="24"/>
          <w:szCs w:val="24"/>
        </w:rPr>
        <w:t>Responses to requests for original-creditor information</w:t>
      </w:r>
    </w:p>
    <w:p w:rsidR="00E056B8" w:rsidRPr="006116D6" w:rsidP="00E056B8" w14:paraId="1F8FD7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56B8" w:rsidRPr="006116D6" w:rsidP="00E056B8" w14:paraId="6C3E608A" w14:textId="38A207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Regulation F </w:t>
      </w:r>
      <w:r w:rsidRPr="006116D6">
        <w:rPr>
          <w:sz w:val="24"/>
          <w:szCs w:val="24"/>
        </w:rPr>
        <w:t>requires debt collectors to respond to requests for information about the original creditor submitted by the consumer in writing within the validation period.  As described above, the Bureau estimates there are approximately 28</w:t>
      </w:r>
      <w:r w:rsidRPr="006116D6" w:rsidR="0005234E">
        <w:rPr>
          <w:sz w:val="24"/>
          <w:szCs w:val="24"/>
        </w:rPr>
        <w:t>3</w:t>
      </w:r>
      <w:r w:rsidRPr="006116D6">
        <w:rPr>
          <w:sz w:val="24"/>
          <w:szCs w:val="24"/>
        </w:rPr>
        <w:t>,</w:t>
      </w:r>
      <w:r w:rsidRPr="006116D6" w:rsidR="0005234E">
        <w:rPr>
          <w:sz w:val="24"/>
          <w:szCs w:val="24"/>
        </w:rPr>
        <w:t>661</w:t>
      </w:r>
      <w:r w:rsidRPr="006116D6">
        <w:rPr>
          <w:sz w:val="24"/>
          <w:szCs w:val="24"/>
        </w:rPr>
        <w:t xml:space="preserve"> requests annually that debt collectors will respond to by mail.  Given an estimated mailing cost of $0.65 per response, the Bureau estimates this requirement will result in materials costs of approximately $18</w:t>
      </w:r>
      <w:r w:rsidRPr="006116D6" w:rsidR="0005234E">
        <w:rPr>
          <w:sz w:val="24"/>
          <w:szCs w:val="24"/>
        </w:rPr>
        <w:t>4</w:t>
      </w:r>
      <w:r w:rsidRPr="006116D6">
        <w:rPr>
          <w:sz w:val="24"/>
          <w:szCs w:val="24"/>
        </w:rPr>
        <w:t>,</w:t>
      </w:r>
      <w:r w:rsidRPr="006116D6" w:rsidR="0005234E">
        <w:rPr>
          <w:sz w:val="24"/>
          <w:szCs w:val="24"/>
        </w:rPr>
        <w:t>380</w:t>
      </w:r>
      <w:r w:rsidRPr="006116D6">
        <w:rPr>
          <w:sz w:val="24"/>
          <w:szCs w:val="24"/>
        </w:rPr>
        <w:t xml:space="preserve"> annually.</w:t>
      </w:r>
    </w:p>
    <w:p w:rsidR="00E056B8" w:rsidRPr="006116D6" w:rsidP="00E056B8" w14:paraId="300A7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56B8" w:rsidRPr="006116D6" w:rsidP="00E056B8" w14:paraId="1CC770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6116D6">
        <w:rPr>
          <w:i/>
          <w:sz w:val="24"/>
          <w:szCs w:val="24"/>
        </w:rPr>
        <w:t>Responses to Disputes</w:t>
      </w:r>
    </w:p>
    <w:p w:rsidR="00E056B8" w:rsidRPr="006116D6" w:rsidP="00E056B8" w14:paraId="2A298B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56B8" w:rsidRPr="006116D6" w:rsidP="00E056B8" w14:paraId="16E362C7" w14:textId="3F1610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116D6">
        <w:rPr>
          <w:sz w:val="24"/>
          <w:szCs w:val="24"/>
        </w:rPr>
        <w:t>Debt collectors will incur costs to respond to both duplicative and non-duplicative disputes.  As described above, the Bureau estimates there are approximately 4,2</w:t>
      </w:r>
      <w:r w:rsidRPr="006116D6" w:rsidR="0005234E">
        <w:rPr>
          <w:sz w:val="24"/>
          <w:szCs w:val="24"/>
        </w:rPr>
        <w:t>54,921</w:t>
      </w:r>
      <w:r w:rsidRPr="006116D6">
        <w:rPr>
          <w:sz w:val="24"/>
          <w:szCs w:val="24"/>
        </w:rPr>
        <w:t xml:space="preserve"> non-duplicative disputes and 47</w:t>
      </w:r>
      <w:r w:rsidRPr="006116D6" w:rsidR="0005234E">
        <w:rPr>
          <w:sz w:val="24"/>
          <w:szCs w:val="24"/>
        </w:rPr>
        <w:t>2</w:t>
      </w:r>
      <w:r w:rsidRPr="006116D6">
        <w:rPr>
          <w:sz w:val="24"/>
          <w:szCs w:val="24"/>
        </w:rPr>
        <w:t>,</w:t>
      </w:r>
      <w:r w:rsidRPr="006116D6" w:rsidR="0005234E">
        <w:rPr>
          <w:sz w:val="24"/>
          <w:szCs w:val="24"/>
        </w:rPr>
        <w:t>769</w:t>
      </w:r>
      <w:r w:rsidRPr="006116D6">
        <w:rPr>
          <w:sz w:val="24"/>
          <w:szCs w:val="24"/>
        </w:rPr>
        <w:t xml:space="preserve"> duplicative disputes annually.  The Bureau estimates that debt collectors will respond to 60 percent, or 2,</w:t>
      </w:r>
      <w:r w:rsidRPr="006116D6" w:rsidR="0005234E">
        <w:rPr>
          <w:sz w:val="24"/>
          <w:szCs w:val="24"/>
        </w:rPr>
        <w:t>552,953</w:t>
      </w:r>
      <w:r w:rsidRPr="006116D6">
        <w:rPr>
          <w:sz w:val="24"/>
          <w:szCs w:val="24"/>
        </w:rPr>
        <w:t xml:space="preserve"> non-duplicative disputes and 28</w:t>
      </w:r>
      <w:r w:rsidRPr="006116D6" w:rsidR="0005234E">
        <w:rPr>
          <w:sz w:val="24"/>
          <w:szCs w:val="24"/>
        </w:rPr>
        <w:t>3</w:t>
      </w:r>
      <w:r w:rsidRPr="006116D6">
        <w:rPr>
          <w:sz w:val="24"/>
          <w:szCs w:val="24"/>
        </w:rPr>
        <w:t>,</w:t>
      </w:r>
      <w:r w:rsidRPr="006116D6" w:rsidR="0005234E">
        <w:rPr>
          <w:sz w:val="24"/>
          <w:szCs w:val="24"/>
        </w:rPr>
        <w:t>661</w:t>
      </w:r>
      <w:r w:rsidRPr="006116D6">
        <w:rPr>
          <w:sz w:val="24"/>
          <w:szCs w:val="24"/>
        </w:rPr>
        <w:t xml:space="preserve"> duplicative disputes, by mail. </w:t>
      </w:r>
      <w:r w:rsidR="009746A7">
        <w:rPr>
          <w:sz w:val="24"/>
          <w:szCs w:val="24"/>
        </w:rPr>
        <w:t xml:space="preserve"> </w:t>
      </w:r>
      <w:r w:rsidRPr="006116D6">
        <w:rPr>
          <w:sz w:val="24"/>
          <w:szCs w:val="24"/>
        </w:rPr>
        <w:t>The Bureau estimates that the cost to respond is, on average, $1.03 per non-duplicative dispute response and $0.65 per duplicative dispute response.</w:t>
      </w:r>
      <w:r>
        <w:rPr>
          <w:rStyle w:val="FootnoteReference"/>
          <w:sz w:val="24"/>
          <w:szCs w:val="24"/>
        </w:rPr>
        <w:footnoteReference w:id="35"/>
      </w:r>
      <w:r w:rsidRPr="006116D6">
        <w:rPr>
          <w:sz w:val="24"/>
          <w:szCs w:val="24"/>
        </w:rPr>
        <w:t xml:space="preserve">  Therefore, this requirement would result in material costs of approximately $2,</w:t>
      </w:r>
      <w:r w:rsidRPr="006116D6" w:rsidR="00A748A8">
        <w:rPr>
          <w:sz w:val="24"/>
          <w:szCs w:val="24"/>
        </w:rPr>
        <w:t>629</w:t>
      </w:r>
      <w:r w:rsidRPr="006116D6">
        <w:rPr>
          <w:sz w:val="24"/>
          <w:szCs w:val="24"/>
        </w:rPr>
        <w:t>,</w:t>
      </w:r>
      <w:r w:rsidRPr="006116D6" w:rsidR="00A748A8">
        <w:rPr>
          <w:sz w:val="24"/>
          <w:szCs w:val="24"/>
        </w:rPr>
        <w:t>541</w:t>
      </w:r>
      <w:r w:rsidRPr="006116D6">
        <w:rPr>
          <w:sz w:val="24"/>
          <w:szCs w:val="24"/>
        </w:rPr>
        <w:t xml:space="preserve"> for non-duplicative disputes and $18</w:t>
      </w:r>
      <w:r w:rsidRPr="006116D6" w:rsidR="00A748A8">
        <w:rPr>
          <w:sz w:val="24"/>
          <w:szCs w:val="24"/>
        </w:rPr>
        <w:t>4</w:t>
      </w:r>
      <w:r w:rsidRPr="006116D6">
        <w:rPr>
          <w:sz w:val="24"/>
          <w:szCs w:val="24"/>
        </w:rPr>
        <w:t>,</w:t>
      </w:r>
      <w:r w:rsidRPr="006116D6" w:rsidR="00A748A8">
        <w:rPr>
          <w:sz w:val="24"/>
          <w:szCs w:val="24"/>
        </w:rPr>
        <w:t>380</w:t>
      </w:r>
      <w:r w:rsidRPr="006116D6">
        <w:rPr>
          <w:sz w:val="24"/>
          <w:szCs w:val="24"/>
        </w:rPr>
        <w:t xml:space="preserve"> for duplicative disputes annually.</w:t>
      </w:r>
    </w:p>
    <w:p w:rsidR="00E056B8" w:rsidRPr="006116D6" w:rsidP="00E056B8" w14:paraId="2C5122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56B8" w:rsidRPr="006116D6" w:rsidP="00E056B8" w14:paraId="3FB274F0"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116D6">
        <w:rPr>
          <w:b/>
          <w:sz w:val="24"/>
          <w:szCs w:val="24"/>
        </w:rPr>
        <w:t>Exhibit 2: Cost Burden Summary</w:t>
      </w:r>
    </w:p>
    <w:p w:rsidR="00E056B8" w:rsidRPr="006116D6" w:rsidP="00E056B8" w14:paraId="3C3CE511"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6300" w:type="dxa"/>
        <w:tblLook w:val="04A0"/>
      </w:tblPr>
      <w:tblGrid>
        <w:gridCol w:w="2106"/>
        <w:gridCol w:w="1304"/>
        <w:gridCol w:w="1453"/>
        <w:gridCol w:w="1437"/>
      </w:tblGrid>
      <w:tr w14:paraId="7A684569" w14:textId="77777777" w:rsidTr="007A1664">
        <w:tblPrEx>
          <w:tblW w:w="6300" w:type="dxa"/>
          <w:tblLook w:val="04A0"/>
        </w:tblPrEx>
        <w:trPr>
          <w:trHeight w:val="525"/>
          <w:tblHeader/>
        </w:trPr>
        <w:tc>
          <w:tcPr>
            <w:tcW w:w="2106" w:type="dxa"/>
            <w:tcBorders>
              <w:top w:val="single" w:sz="8" w:space="0" w:color="auto"/>
              <w:left w:val="single" w:sz="8" w:space="0" w:color="auto"/>
              <w:bottom w:val="single" w:sz="8" w:space="0" w:color="auto"/>
              <w:right w:val="single" w:sz="8" w:space="0" w:color="auto"/>
            </w:tcBorders>
            <w:vAlign w:val="center"/>
            <w:hideMark/>
          </w:tcPr>
          <w:p w:rsidR="00E056B8" w:rsidRPr="006116D6" w14:paraId="072C9AC4" w14:textId="77777777">
            <w:pPr>
              <w:jc w:val="center"/>
              <w:rPr>
                <w:b/>
                <w:bCs/>
                <w:color w:val="000000"/>
              </w:rPr>
            </w:pPr>
            <w:r w:rsidRPr="006116D6">
              <w:rPr>
                <w:b/>
                <w:bCs/>
                <w:color w:val="000000"/>
              </w:rPr>
              <w:t>Description of Costs (O&amp;M)</w:t>
            </w:r>
          </w:p>
        </w:tc>
        <w:tc>
          <w:tcPr>
            <w:tcW w:w="1304" w:type="dxa"/>
            <w:tcBorders>
              <w:top w:val="single" w:sz="8" w:space="0" w:color="auto"/>
              <w:left w:val="nil"/>
              <w:bottom w:val="single" w:sz="8" w:space="0" w:color="auto"/>
              <w:right w:val="single" w:sz="8" w:space="0" w:color="auto"/>
            </w:tcBorders>
            <w:vAlign w:val="center"/>
            <w:hideMark/>
          </w:tcPr>
          <w:p w:rsidR="00E056B8" w:rsidRPr="006116D6" w14:paraId="5539FFA8" w14:textId="77777777">
            <w:pPr>
              <w:jc w:val="center"/>
              <w:rPr>
                <w:b/>
                <w:bCs/>
                <w:color w:val="000000"/>
              </w:rPr>
            </w:pPr>
            <w:r w:rsidRPr="006116D6">
              <w:rPr>
                <w:b/>
                <w:bCs/>
                <w:color w:val="000000"/>
              </w:rPr>
              <w:t>Per Unit Costs</w:t>
            </w:r>
          </w:p>
        </w:tc>
        <w:tc>
          <w:tcPr>
            <w:tcW w:w="1453" w:type="dxa"/>
            <w:tcBorders>
              <w:top w:val="single" w:sz="8" w:space="0" w:color="auto"/>
              <w:left w:val="nil"/>
              <w:bottom w:val="single" w:sz="8" w:space="0" w:color="auto"/>
              <w:right w:val="single" w:sz="8" w:space="0" w:color="auto"/>
            </w:tcBorders>
            <w:vAlign w:val="center"/>
            <w:hideMark/>
          </w:tcPr>
          <w:p w:rsidR="00E056B8" w:rsidRPr="006116D6" w14:paraId="2D11C18D" w14:textId="77777777">
            <w:pPr>
              <w:jc w:val="center"/>
              <w:rPr>
                <w:b/>
                <w:bCs/>
                <w:color w:val="000000"/>
              </w:rPr>
            </w:pPr>
            <w:r w:rsidRPr="006116D6">
              <w:rPr>
                <w:b/>
                <w:bCs/>
                <w:color w:val="000000"/>
              </w:rPr>
              <w:t>Quantity</w:t>
            </w:r>
          </w:p>
        </w:tc>
        <w:tc>
          <w:tcPr>
            <w:tcW w:w="1437" w:type="dxa"/>
            <w:tcBorders>
              <w:top w:val="single" w:sz="8" w:space="0" w:color="auto"/>
              <w:left w:val="nil"/>
              <w:bottom w:val="single" w:sz="8" w:space="0" w:color="auto"/>
              <w:right w:val="single" w:sz="8" w:space="0" w:color="auto"/>
            </w:tcBorders>
            <w:vAlign w:val="center"/>
            <w:hideMark/>
          </w:tcPr>
          <w:p w:rsidR="00E056B8" w:rsidRPr="006116D6" w14:paraId="1D3AF8D2" w14:textId="77777777">
            <w:pPr>
              <w:jc w:val="center"/>
              <w:rPr>
                <w:b/>
                <w:bCs/>
                <w:color w:val="000000"/>
              </w:rPr>
            </w:pPr>
            <w:r w:rsidRPr="006116D6">
              <w:rPr>
                <w:b/>
                <w:bCs/>
                <w:color w:val="000000"/>
              </w:rPr>
              <w:t>Costs</w:t>
            </w:r>
          </w:p>
        </w:tc>
      </w:tr>
      <w:tr w14:paraId="4DA86167" w14:textId="77777777" w:rsidTr="007A1664">
        <w:tblPrEx>
          <w:tblW w:w="6300" w:type="dxa"/>
          <w:tblLook w:val="04A0"/>
        </w:tblPrEx>
        <w:trPr>
          <w:trHeight w:val="529"/>
        </w:trPr>
        <w:tc>
          <w:tcPr>
            <w:tcW w:w="2106" w:type="dxa"/>
            <w:tcBorders>
              <w:top w:val="nil"/>
              <w:left w:val="single" w:sz="8" w:space="0" w:color="auto"/>
              <w:bottom w:val="single" w:sz="8" w:space="0" w:color="auto"/>
              <w:right w:val="single" w:sz="8" w:space="0" w:color="auto"/>
            </w:tcBorders>
            <w:vAlign w:val="center"/>
            <w:hideMark/>
          </w:tcPr>
          <w:p w:rsidR="00E056B8" w:rsidRPr="006116D6" w14:paraId="0D3BC509" w14:textId="77777777">
            <w:pPr>
              <w:rPr>
                <w:color w:val="000000"/>
              </w:rPr>
            </w:pPr>
            <w:r w:rsidRPr="006116D6">
              <w:rPr>
                <w:color w:val="000000"/>
              </w:rPr>
              <w:t>Mailing Validation Notice prior to furnishing</w:t>
            </w:r>
          </w:p>
        </w:tc>
        <w:tc>
          <w:tcPr>
            <w:tcW w:w="1304" w:type="dxa"/>
            <w:tcBorders>
              <w:top w:val="nil"/>
              <w:left w:val="nil"/>
              <w:bottom w:val="single" w:sz="8" w:space="0" w:color="auto"/>
              <w:right w:val="single" w:sz="8" w:space="0" w:color="auto"/>
            </w:tcBorders>
            <w:vAlign w:val="center"/>
            <w:hideMark/>
          </w:tcPr>
          <w:p w:rsidR="00E056B8" w:rsidRPr="006116D6" w14:paraId="49028F5C" w14:textId="77777777">
            <w:pPr>
              <w:jc w:val="right"/>
              <w:rPr>
                <w:color w:val="000000"/>
              </w:rPr>
            </w:pPr>
            <w:r w:rsidRPr="006116D6">
              <w:rPr>
                <w:color w:val="000000"/>
              </w:rPr>
              <w:t xml:space="preserve">$0.65 </w:t>
            </w:r>
          </w:p>
        </w:tc>
        <w:tc>
          <w:tcPr>
            <w:tcW w:w="1453" w:type="dxa"/>
            <w:tcBorders>
              <w:top w:val="nil"/>
              <w:left w:val="nil"/>
              <w:bottom w:val="single" w:sz="8" w:space="0" w:color="auto"/>
              <w:right w:val="single" w:sz="8" w:space="0" w:color="auto"/>
            </w:tcBorders>
            <w:vAlign w:val="center"/>
            <w:hideMark/>
          </w:tcPr>
          <w:p w:rsidR="00E056B8" w:rsidRPr="006116D6" w14:paraId="024292E5" w14:textId="52B1A0A3">
            <w:pPr>
              <w:jc w:val="right"/>
              <w:rPr>
                <w:color w:val="000000"/>
              </w:rPr>
            </w:pPr>
            <w:r w:rsidRPr="006116D6">
              <w:rPr>
                <w:color w:val="000000"/>
              </w:rPr>
              <w:t>3,979,184</w:t>
            </w:r>
          </w:p>
        </w:tc>
        <w:tc>
          <w:tcPr>
            <w:tcW w:w="1437" w:type="dxa"/>
            <w:tcBorders>
              <w:top w:val="nil"/>
              <w:left w:val="nil"/>
              <w:bottom w:val="single" w:sz="8" w:space="0" w:color="auto"/>
              <w:right w:val="single" w:sz="8" w:space="0" w:color="auto"/>
            </w:tcBorders>
            <w:vAlign w:val="center"/>
            <w:hideMark/>
          </w:tcPr>
          <w:p w:rsidR="00E056B8" w:rsidRPr="006116D6" w14:paraId="4F09FFD5" w14:textId="4D2B812B">
            <w:pPr>
              <w:jc w:val="right"/>
              <w:rPr>
                <w:color w:val="000000"/>
              </w:rPr>
            </w:pPr>
            <w:r w:rsidRPr="006116D6">
              <w:rPr>
                <w:color w:val="000000"/>
              </w:rPr>
              <w:t>$2,</w:t>
            </w:r>
            <w:r w:rsidRPr="006116D6" w:rsidR="00F1600A">
              <w:rPr>
                <w:color w:val="000000"/>
              </w:rPr>
              <w:t>586,470</w:t>
            </w:r>
            <w:r w:rsidRPr="006116D6">
              <w:rPr>
                <w:color w:val="000000"/>
              </w:rPr>
              <w:t xml:space="preserve"> </w:t>
            </w:r>
          </w:p>
        </w:tc>
      </w:tr>
      <w:tr w14:paraId="33660EA5" w14:textId="77777777" w:rsidTr="007A1664">
        <w:tblPrEx>
          <w:tblW w:w="6300" w:type="dxa"/>
          <w:tblLook w:val="04A0"/>
        </w:tblPrEx>
        <w:trPr>
          <w:trHeight w:val="529"/>
        </w:trPr>
        <w:tc>
          <w:tcPr>
            <w:tcW w:w="2106" w:type="dxa"/>
            <w:tcBorders>
              <w:top w:val="nil"/>
              <w:left w:val="single" w:sz="8" w:space="0" w:color="auto"/>
              <w:bottom w:val="single" w:sz="8" w:space="0" w:color="auto"/>
              <w:right w:val="single" w:sz="8" w:space="0" w:color="auto"/>
            </w:tcBorders>
            <w:vAlign w:val="center"/>
            <w:hideMark/>
          </w:tcPr>
          <w:p w:rsidR="00E056B8" w:rsidRPr="006116D6" w14:paraId="4FAD80C9" w14:textId="77777777">
            <w:pPr>
              <w:rPr>
                <w:color w:val="000000"/>
              </w:rPr>
            </w:pPr>
            <w:r w:rsidRPr="006116D6">
              <w:rPr>
                <w:color w:val="000000"/>
              </w:rPr>
              <w:t>Mailing Validation Notices</w:t>
            </w:r>
          </w:p>
        </w:tc>
        <w:tc>
          <w:tcPr>
            <w:tcW w:w="1304" w:type="dxa"/>
            <w:tcBorders>
              <w:top w:val="nil"/>
              <w:left w:val="nil"/>
              <w:bottom w:val="single" w:sz="8" w:space="0" w:color="auto"/>
              <w:right w:val="single" w:sz="8" w:space="0" w:color="auto"/>
            </w:tcBorders>
            <w:vAlign w:val="center"/>
            <w:hideMark/>
          </w:tcPr>
          <w:p w:rsidR="00E056B8" w:rsidRPr="006116D6" w14:paraId="4E328D17" w14:textId="77777777">
            <w:pPr>
              <w:jc w:val="right"/>
              <w:rPr>
                <w:color w:val="000000"/>
              </w:rPr>
            </w:pPr>
            <w:r w:rsidRPr="006116D6">
              <w:rPr>
                <w:color w:val="000000"/>
              </w:rPr>
              <w:t xml:space="preserve">$0.65 </w:t>
            </w:r>
          </w:p>
        </w:tc>
        <w:tc>
          <w:tcPr>
            <w:tcW w:w="1453" w:type="dxa"/>
            <w:tcBorders>
              <w:top w:val="nil"/>
              <w:left w:val="nil"/>
              <w:bottom w:val="single" w:sz="8" w:space="0" w:color="auto"/>
              <w:right w:val="single" w:sz="8" w:space="0" w:color="auto"/>
            </w:tcBorders>
            <w:vAlign w:val="center"/>
            <w:hideMark/>
          </w:tcPr>
          <w:p w:rsidR="00E056B8" w:rsidRPr="006116D6" w14:paraId="045B7EAE" w14:textId="771E3163">
            <w:pPr>
              <w:jc w:val="right"/>
              <w:rPr>
                <w:color w:val="000000"/>
              </w:rPr>
            </w:pPr>
            <w:r w:rsidRPr="006116D6">
              <w:rPr>
                <w:color w:val="000000"/>
              </w:rPr>
              <w:t>81,</w:t>
            </w:r>
            <w:r w:rsidRPr="006116D6" w:rsidR="00F1600A">
              <w:rPr>
                <w:color w:val="000000"/>
              </w:rPr>
              <w:t>046,118</w:t>
            </w:r>
          </w:p>
        </w:tc>
        <w:tc>
          <w:tcPr>
            <w:tcW w:w="1437" w:type="dxa"/>
            <w:tcBorders>
              <w:top w:val="nil"/>
              <w:left w:val="nil"/>
              <w:bottom w:val="single" w:sz="8" w:space="0" w:color="auto"/>
              <w:right w:val="single" w:sz="8" w:space="0" w:color="auto"/>
            </w:tcBorders>
            <w:vAlign w:val="center"/>
            <w:hideMark/>
          </w:tcPr>
          <w:p w:rsidR="00E056B8" w:rsidRPr="006116D6" w14:paraId="45178C16" w14:textId="2BE3002A">
            <w:pPr>
              <w:jc w:val="right"/>
              <w:rPr>
                <w:color w:val="000000"/>
              </w:rPr>
            </w:pPr>
            <w:r w:rsidRPr="006116D6">
              <w:rPr>
                <w:color w:val="000000"/>
              </w:rPr>
              <w:t>$</w:t>
            </w:r>
            <w:r w:rsidRPr="006116D6" w:rsidR="00F1600A">
              <w:rPr>
                <w:color w:val="000000"/>
              </w:rPr>
              <w:t>52,679,977</w:t>
            </w:r>
            <w:r w:rsidRPr="006116D6">
              <w:rPr>
                <w:color w:val="000000"/>
              </w:rPr>
              <w:t xml:space="preserve"> </w:t>
            </w:r>
          </w:p>
        </w:tc>
      </w:tr>
      <w:tr w14:paraId="0C38C433" w14:textId="77777777" w:rsidTr="007A1664">
        <w:tblPrEx>
          <w:tblW w:w="6300" w:type="dxa"/>
          <w:tblLook w:val="04A0"/>
        </w:tblPrEx>
        <w:trPr>
          <w:trHeight w:val="529"/>
        </w:trPr>
        <w:tc>
          <w:tcPr>
            <w:tcW w:w="2106" w:type="dxa"/>
            <w:tcBorders>
              <w:top w:val="nil"/>
              <w:left w:val="single" w:sz="8" w:space="0" w:color="auto"/>
              <w:bottom w:val="single" w:sz="8" w:space="0" w:color="auto"/>
              <w:right w:val="single" w:sz="8" w:space="0" w:color="auto"/>
            </w:tcBorders>
            <w:vAlign w:val="center"/>
            <w:hideMark/>
          </w:tcPr>
          <w:p w:rsidR="00E056B8" w:rsidRPr="006116D6" w14:paraId="6D4CA3EF" w14:textId="77777777">
            <w:pPr>
              <w:rPr>
                <w:color w:val="000000"/>
              </w:rPr>
            </w:pPr>
            <w:r w:rsidRPr="006116D6">
              <w:rPr>
                <w:color w:val="000000"/>
              </w:rPr>
              <w:t>Responses to requests for original creditor</w:t>
            </w:r>
          </w:p>
        </w:tc>
        <w:tc>
          <w:tcPr>
            <w:tcW w:w="1304" w:type="dxa"/>
            <w:tcBorders>
              <w:top w:val="nil"/>
              <w:left w:val="nil"/>
              <w:bottom w:val="single" w:sz="8" w:space="0" w:color="auto"/>
              <w:right w:val="single" w:sz="8" w:space="0" w:color="auto"/>
            </w:tcBorders>
            <w:vAlign w:val="center"/>
            <w:hideMark/>
          </w:tcPr>
          <w:p w:rsidR="00E056B8" w:rsidRPr="006116D6" w14:paraId="3039F96B" w14:textId="77777777">
            <w:pPr>
              <w:jc w:val="right"/>
              <w:rPr>
                <w:color w:val="000000"/>
              </w:rPr>
            </w:pPr>
            <w:r w:rsidRPr="006116D6">
              <w:rPr>
                <w:color w:val="000000"/>
              </w:rPr>
              <w:t xml:space="preserve">$0.65 </w:t>
            </w:r>
          </w:p>
        </w:tc>
        <w:tc>
          <w:tcPr>
            <w:tcW w:w="1453" w:type="dxa"/>
            <w:tcBorders>
              <w:top w:val="nil"/>
              <w:left w:val="nil"/>
              <w:bottom w:val="single" w:sz="8" w:space="0" w:color="auto"/>
              <w:right w:val="single" w:sz="8" w:space="0" w:color="auto"/>
            </w:tcBorders>
            <w:vAlign w:val="center"/>
            <w:hideMark/>
          </w:tcPr>
          <w:p w:rsidR="00E056B8" w:rsidRPr="006116D6" w14:paraId="3B223F6F" w14:textId="74BB49D3">
            <w:pPr>
              <w:jc w:val="right"/>
              <w:rPr>
                <w:color w:val="000000"/>
              </w:rPr>
            </w:pPr>
            <w:r w:rsidRPr="006116D6">
              <w:rPr>
                <w:color w:val="000000"/>
              </w:rPr>
              <w:t>283,661,41</w:t>
            </w:r>
          </w:p>
        </w:tc>
        <w:tc>
          <w:tcPr>
            <w:tcW w:w="1437" w:type="dxa"/>
            <w:tcBorders>
              <w:top w:val="nil"/>
              <w:left w:val="nil"/>
              <w:bottom w:val="single" w:sz="8" w:space="0" w:color="auto"/>
              <w:right w:val="single" w:sz="8" w:space="0" w:color="auto"/>
            </w:tcBorders>
            <w:vAlign w:val="center"/>
            <w:hideMark/>
          </w:tcPr>
          <w:p w:rsidR="00E056B8" w:rsidRPr="006116D6" w14:paraId="2BE85CB1" w14:textId="2A9A17C5">
            <w:pPr>
              <w:jc w:val="right"/>
              <w:rPr>
                <w:color w:val="000000"/>
              </w:rPr>
            </w:pPr>
            <w:r w:rsidRPr="006116D6">
              <w:rPr>
                <w:color w:val="000000"/>
              </w:rPr>
              <w:t>$184,379.92</w:t>
            </w:r>
          </w:p>
        </w:tc>
      </w:tr>
      <w:tr w14:paraId="3C421824" w14:textId="77777777" w:rsidTr="007A1664">
        <w:tblPrEx>
          <w:tblW w:w="6300" w:type="dxa"/>
          <w:tblLook w:val="04A0"/>
        </w:tblPrEx>
        <w:trPr>
          <w:trHeight w:val="529"/>
        </w:trPr>
        <w:tc>
          <w:tcPr>
            <w:tcW w:w="2106" w:type="dxa"/>
            <w:tcBorders>
              <w:top w:val="nil"/>
              <w:left w:val="single" w:sz="8" w:space="0" w:color="auto"/>
              <w:bottom w:val="single" w:sz="8" w:space="0" w:color="auto"/>
              <w:right w:val="single" w:sz="8" w:space="0" w:color="auto"/>
            </w:tcBorders>
            <w:vAlign w:val="center"/>
            <w:hideMark/>
          </w:tcPr>
          <w:p w:rsidR="00E056B8" w:rsidRPr="006116D6" w14:paraId="78CBA075" w14:textId="77777777">
            <w:pPr>
              <w:rPr>
                <w:color w:val="000000"/>
              </w:rPr>
            </w:pPr>
            <w:r w:rsidRPr="006116D6">
              <w:rPr>
                <w:color w:val="000000"/>
              </w:rPr>
              <w:t>Responses to non-duplicative disputes</w:t>
            </w:r>
          </w:p>
        </w:tc>
        <w:tc>
          <w:tcPr>
            <w:tcW w:w="1304" w:type="dxa"/>
            <w:tcBorders>
              <w:top w:val="nil"/>
              <w:left w:val="nil"/>
              <w:bottom w:val="single" w:sz="8" w:space="0" w:color="auto"/>
              <w:right w:val="single" w:sz="8" w:space="0" w:color="auto"/>
            </w:tcBorders>
            <w:vAlign w:val="center"/>
            <w:hideMark/>
          </w:tcPr>
          <w:p w:rsidR="00E056B8" w:rsidRPr="006116D6" w14:paraId="36D790BB" w14:textId="77777777">
            <w:pPr>
              <w:jc w:val="right"/>
              <w:rPr>
                <w:color w:val="000000"/>
              </w:rPr>
            </w:pPr>
            <w:r w:rsidRPr="006116D6">
              <w:rPr>
                <w:color w:val="000000"/>
              </w:rPr>
              <w:t xml:space="preserve">$1.03 </w:t>
            </w:r>
          </w:p>
        </w:tc>
        <w:tc>
          <w:tcPr>
            <w:tcW w:w="1453" w:type="dxa"/>
            <w:tcBorders>
              <w:top w:val="nil"/>
              <w:left w:val="nil"/>
              <w:bottom w:val="single" w:sz="8" w:space="0" w:color="auto"/>
              <w:right w:val="single" w:sz="8" w:space="0" w:color="auto"/>
            </w:tcBorders>
            <w:vAlign w:val="center"/>
            <w:hideMark/>
          </w:tcPr>
          <w:p w:rsidR="00E056B8" w:rsidRPr="006116D6" w14:paraId="06D822E4" w14:textId="4B784C7F">
            <w:pPr>
              <w:jc w:val="right"/>
              <w:rPr>
                <w:color w:val="000000"/>
              </w:rPr>
            </w:pPr>
            <w:r w:rsidRPr="006116D6">
              <w:rPr>
                <w:color w:val="000000"/>
              </w:rPr>
              <w:t>2,5</w:t>
            </w:r>
            <w:r w:rsidRPr="006116D6" w:rsidR="00F1600A">
              <w:rPr>
                <w:color w:val="000000"/>
              </w:rPr>
              <w:t>52,953</w:t>
            </w:r>
          </w:p>
        </w:tc>
        <w:tc>
          <w:tcPr>
            <w:tcW w:w="1437" w:type="dxa"/>
            <w:tcBorders>
              <w:top w:val="nil"/>
              <w:left w:val="nil"/>
              <w:bottom w:val="single" w:sz="8" w:space="0" w:color="auto"/>
              <w:right w:val="single" w:sz="8" w:space="0" w:color="auto"/>
            </w:tcBorders>
            <w:vAlign w:val="center"/>
            <w:hideMark/>
          </w:tcPr>
          <w:p w:rsidR="00E056B8" w:rsidRPr="006116D6" w14:paraId="2CBF26D9" w14:textId="7E61ED99">
            <w:pPr>
              <w:jc w:val="right"/>
              <w:rPr>
                <w:color w:val="000000"/>
              </w:rPr>
            </w:pPr>
            <w:r w:rsidRPr="006116D6">
              <w:rPr>
                <w:color w:val="000000"/>
              </w:rPr>
              <w:t>$2,6</w:t>
            </w:r>
            <w:r w:rsidRPr="006116D6" w:rsidR="00F1600A">
              <w:rPr>
                <w:color w:val="000000"/>
              </w:rPr>
              <w:t>29,541</w:t>
            </w:r>
            <w:r w:rsidRPr="006116D6">
              <w:rPr>
                <w:color w:val="000000"/>
              </w:rPr>
              <w:t xml:space="preserve"> </w:t>
            </w:r>
          </w:p>
        </w:tc>
      </w:tr>
      <w:tr w14:paraId="4AE203E0" w14:textId="77777777" w:rsidTr="007A1664">
        <w:tblPrEx>
          <w:tblW w:w="6300" w:type="dxa"/>
          <w:tblLook w:val="04A0"/>
        </w:tblPrEx>
        <w:trPr>
          <w:trHeight w:val="529"/>
        </w:trPr>
        <w:tc>
          <w:tcPr>
            <w:tcW w:w="2106" w:type="dxa"/>
            <w:tcBorders>
              <w:top w:val="nil"/>
              <w:left w:val="single" w:sz="8" w:space="0" w:color="auto"/>
              <w:bottom w:val="single" w:sz="8" w:space="0" w:color="auto"/>
              <w:right w:val="single" w:sz="8" w:space="0" w:color="auto"/>
            </w:tcBorders>
            <w:vAlign w:val="center"/>
            <w:hideMark/>
          </w:tcPr>
          <w:p w:rsidR="00E056B8" w:rsidRPr="006116D6" w14:paraId="4EA4F797" w14:textId="77777777">
            <w:pPr>
              <w:rPr>
                <w:color w:val="000000"/>
              </w:rPr>
            </w:pPr>
            <w:r w:rsidRPr="006116D6">
              <w:rPr>
                <w:color w:val="000000"/>
              </w:rPr>
              <w:t>Responses to duplicative disputes</w:t>
            </w:r>
          </w:p>
        </w:tc>
        <w:tc>
          <w:tcPr>
            <w:tcW w:w="1304" w:type="dxa"/>
            <w:tcBorders>
              <w:top w:val="nil"/>
              <w:left w:val="nil"/>
              <w:bottom w:val="single" w:sz="8" w:space="0" w:color="auto"/>
              <w:right w:val="single" w:sz="8" w:space="0" w:color="auto"/>
            </w:tcBorders>
            <w:vAlign w:val="center"/>
            <w:hideMark/>
          </w:tcPr>
          <w:p w:rsidR="00E056B8" w:rsidRPr="006116D6" w14:paraId="29BB45E1" w14:textId="77777777">
            <w:pPr>
              <w:jc w:val="right"/>
              <w:rPr>
                <w:color w:val="000000"/>
              </w:rPr>
            </w:pPr>
            <w:r w:rsidRPr="006116D6">
              <w:rPr>
                <w:color w:val="000000"/>
              </w:rPr>
              <w:t xml:space="preserve">$0.65 </w:t>
            </w:r>
          </w:p>
        </w:tc>
        <w:tc>
          <w:tcPr>
            <w:tcW w:w="1453" w:type="dxa"/>
            <w:tcBorders>
              <w:top w:val="nil"/>
              <w:left w:val="nil"/>
              <w:bottom w:val="single" w:sz="8" w:space="0" w:color="auto"/>
              <w:right w:val="single" w:sz="8" w:space="0" w:color="auto"/>
            </w:tcBorders>
            <w:vAlign w:val="center"/>
            <w:hideMark/>
          </w:tcPr>
          <w:p w:rsidR="00E056B8" w:rsidRPr="006116D6" w14:paraId="1074A368" w14:textId="4CD02A26">
            <w:pPr>
              <w:jc w:val="right"/>
              <w:rPr>
                <w:color w:val="000000"/>
              </w:rPr>
            </w:pPr>
            <w:r w:rsidRPr="006116D6">
              <w:rPr>
                <w:color w:val="000000"/>
              </w:rPr>
              <w:t>28</w:t>
            </w:r>
            <w:r w:rsidRPr="006116D6" w:rsidR="00F1600A">
              <w:rPr>
                <w:color w:val="000000"/>
              </w:rPr>
              <w:t>3,661</w:t>
            </w:r>
          </w:p>
        </w:tc>
        <w:tc>
          <w:tcPr>
            <w:tcW w:w="1437" w:type="dxa"/>
            <w:tcBorders>
              <w:top w:val="nil"/>
              <w:left w:val="nil"/>
              <w:bottom w:val="single" w:sz="8" w:space="0" w:color="auto"/>
              <w:right w:val="single" w:sz="8" w:space="0" w:color="auto"/>
            </w:tcBorders>
            <w:vAlign w:val="center"/>
            <w:hideMark/>
          </w:tcPr>
          <w:p w:rsidR="00E056B8" w:rsidRPr="006116D6" w14:paraId="65AD7803" w14:textId="20E6CAF8">
            <w:pPr>
              <w:jc w:val="right"/>
              <w:rPr>
                <w:color w:val="000000"/>
              </w:rPr>
            </w:pPr>
            <w:r w:rsidRPr="006116D6">
              <w:rPr>
                <w:color w:val="000000"/>
              </w:rPr>
              <w:t>$184,380</w:t>
            </w:r>
          </w:p>
        </w:tc>
      </w:tr>
      <w:tr w14:paraId="69599DB3" w14:textId="77777777" w:rsidTr="00E36816">
        <w:tblPrEx>
          <w:tblW w:w="6300" w:type="dxa"/>
          <w:tblLook w:val="04A0"/>
        </w:tblPrEx>
        <w:trPr>
          <w:trHeight w:val="330"/>
        </w:trPr>
        <w:tc>
          <w:tcPr>
            <w:tcW w:w="2106" w:type="dxa"/>
            <w:tcBorders>
              <w:top w:val="nil"/>
              <w:left w:val="single" w:sz="8" w:space="0" w:color="auto"/>
              <w:bottom w:val="single" w:sz="8" w:space="0" w:color="auto"/>
              <w:right w:val="single" w:sz="8" w:space="0" w:color="auto"/>
            </w:tcBorders>
            <w:vAlign w:val="center"/>
            <w:hideMark/>
          </w:tcPr>
          <w:p w:rsidR="00E056B8" w:rsidRPr="006116D6" w14:paraId="5BBB7AB8" w14:textId="77777777">
            <w:pPr>
              <w:jc w:val="right"/>
              <w:rPr>
                <w:b/>
                <w:bCs/>
                <w:color w:val="000000"/>
              </w:rPr>
            </w:pPr>
            <w:r w:rsidRPr="006116D6">
              <w:rPr>
                <w:b/>
                <w:bCs/>
                <w:color w:val="000000"/>
              </w:rPr>
              <w:t>Total Burden Costs:</w:t>
            </w:r>
          </w:p>
        </w:tc>
        <w:tc>
          <w:tcPr>
            <w:tcW w:w="1304" w:type="dxa"/>
            <w:tcBorders>
              <w:top w:val="nil"/>
              <w:left w:val="nil"/>
              <w:bottom w:val="single" w:sz="8" w:space="0" w:color="auto"/>
              <w:right w:val="single" w:sz="8" w:space="0" w:color="auto"/>
            </w:tcBorders>
            <w:shd w:val="clear" w:color="auto" w:fill="D9D9D9" w:themeFill="background1" w:themeFillShade="D9"/>
            <w:vAlign w:val="center"/>
            <w:hideMark/>
          </w:tcPr>
          <w:p w:rsidR="00E056B8" w:rsidRPr="006116D6" w:rsidP="00E36816" w14:paraId="425FD696" w14:textId="61D3989F">
            <w:pPr>
              <w:rPr>
                <w:b/>
                <w:bCs/>
                <w:color w:val="000000"/>
              </w:rPr>
            </w:pPr>
          </w:p>
        </w:tc>
        <w:tc>
          <w:tcPr>
            <w:tcW w:w="1453" w:type="dxa"/>
            <w:tcBorders>
              <w:top w:val="nil"/>
              <w:left w:val="nil"/>
              <w:bottom w:val="single" w:sz="8" w:space="0" w:color="auto"/>
              <w:right w:val="single" w:sz="8" w:space="0" w:color="auto"/>
            </w:tcBorders>
            <w:shd w:val="clear" w:color="auto" w:fill="D9D9D9" w:themeFill="background1" w:themeFillShade="D9"/>
            <w:vAlign w:val="center"/>
            <w:hideMark/>
          </w:tcPr>
          <w:p w:rsidR="00E056B8" w:rsidRPr="006116D6" w:rsidP="00E36816" w14:paraId="71B807FD" w14:textId="65A28B5E">
            <w:pPr>
              <w:rPr>
                <w:b/>
                <w:bCs/>
                <w:color w:val="000000"/>
              </w:rPr>
            </w:pPr>
          </w:p>
        </w:tc>
        <w:tc>
          <w:tcPr>
            <w:tcW w:w="1437" w:type="dxa"/>
            <w:tcBorders>
              <w:top w:val="nil"/>
              <w:left w:val="nil"/>
              <w:bottom w:val="single" w:sz="8" w:space="0" w:color="auto"/>
              <w:right w:val="single" w:sz="8" w:space="0" w:color="auto"/>
            </w:tcBorders>
            <w:vAlign w:val="center"/>
            <w:hideMark/>
          </w:tcPr>
          <w:p w:rsidR="00E056B8" w:rsidRPr="006116D6" w14:paraId="3C176A66" w14:textId="6069CB45">
            <w:pPr>
              <w:jc w:val="right"/>
              <w:rPr>
                <w:b/>
                <w:bCs/>
                <w:color w:val="000000"/>
              </w:rPr>
            </w:pPr>
            <w:r w:rsidRPr="006116D6">
              <w:rPr>
                <w:b/>
                <w:bCs/>
                <w:color w:val="000000"/>
              </w:rPr>
              <w:t>$58,</w:t>
            </w:r>
            <w:r w:rsidRPr="006116D6" w:rsidR="00F1600A">
              <w:rPr>
                <w:b/>
                <w:bCs/>
                <w:color w:val="000000"/>
              </w:rPr>
              <w:t>264,748</w:t>
            </w:r>
          </w:p>
        </w:tc>
      </w:tr>
      <w:tr w14:paraId="4CBEB1FD" w14:textId="77777777" w:rsidTr="00E36816">
        <w:tblPrEx>
          <w:tblW w:w="6300" w:type="dxa"/>
          <w:tblLook w:val="04A0"/>
        </w:tblPrEx>
        <w:trPr>
          <w:trHeight w:val="330"/>
        </w:trPr>
        <w:tc>
          <w:tcPr>
            <w:tcW w:w="2106" w:type="dxa"/>
            <w:tcBorders>
              <w:top w:val="nil"/>
              <w:left w:val="single" w:sz="8" w:space="0" w:color="auto"/>
              <w:bottom w:val="single" w:sz="8" w:space="0" w:color="auto"/>
              <w:right w:val="single" w:sz="8" w:space="0" w:color="auto"/>
            </w:tcBorders>
            <w:vAlign w:val="center"/>
            <w:hideMark/>
          </w:tcPr>
          <w:p w:rsidR="00E056B8" w:rsidRPr="006116D6" w14:paraId="2E03C348" w14:textId="77777777">
            <w:pPr>
              <w:jc w:val="right"/>
              <w:rPr>
                <w:b/>
                <w:bCs/>
                <w:color w:val="000000"/>
              </w:rPr>
            </w:pPr>
            <w:r w:rsidRPr="006116D6">
              <w:rPr>
                <w:b/>
                <w:bCs/>
                <w:color w:val="000000"/>
              </w:rPr>
              <w:t>CFPB Burden Costs:</w:t>
            </w:r>
          </w:p>
        </w:tc>
        <w:tc>
          <w:tcPr>
            <w:tcW w:w="1304" w:type="dxa"/>
            <w:tcBorders>
              <w:top w:val="nil"/>
              <w:left w:val="nil"/>
              <w:bottom w:val="single" w:sz="8" w:space="0" w:color="auto"/>
              <w:right w:val="single" w:sz="8" w:space="0" w:color="auto"/>
            </w:tcBorders>
            <w:shd w:val="clear" w:color="auto" w:fill="D9D9D9" w:themeFill="background1" w:themeFillShade="D9"/>
            <w:vAlign w:val="center"/>
            <w:hideMark/>
          </w:tcPr>
          <w:p w:rsidR="00E056B8" w:rsidRPr="006116D6" w:rsidP="00E36816" w14:paraId="6167602B" w14:textId="321F01C6">
            <w:pPr>
              <w:rPr>
                <w:b/>
                <w:bCs/>
                <w:color w:val="000000"/>
              </w:rPr>
            </w:pPr>
          </w:p>
        </w:tc>
        <w:tc>
          <w:tcPr>
            <w:tcW w:w="1453" w:type="dxa"/>
            <w:tcBorders>
              <w:top w:val="nil"/>
              <w:left w:val="nil"/>
              <w:bottom w:val="single" w:sz="8" w:space="0" w:color="auto"/>
              <w:right w:val="single" w:sz="8" w:space="0" w:color="auto"/>
            </w:tcBorders>
            <w:shd w:val="clear" w:color="auto" w:fill="D9D9D9" w:themeFill="background1" w:themeFillShade="D9"/>
            <w:vAlign w:val="center"/>
            <w:hideMark/>
          </w:tcPr>
          <w:p w:rsidR="00E056B8" w:rsidRPr="006116D6" w:rsidP="00E36816" w14:paraId="55E1489B" w14:textId="00EB915D">
            <w:pPr>
              <w:rPr>
                <w:b/>
                <w:bCs/>
                <w:color w:val="000000"/>
              </w:rPr>
            </w:pPr>
          </w:p>
        </w:tc>
        <w:tc>
          <w:tcPr>
            <w:tcW w:w="1437" w:type="dxa"/>
            <w:tcBorders>
              <w:top w:val="nil"/>
              <w:left w:val="nil"/>
              <w:bottom w:val="single" w:sz="8" w:space="0" w:color="auto"/>
              <w:right w:val="single" w:sz="8" w:space="0" w:color="auto"/>
            </w:tcBorders>
            <w:vAlign w:val="center"/>
            <w:hideMark/>
          </w:tcPr>
          <w:p w:rsidR="00E056B8" w:rsidRPr="006116D6" w14:paraId="3EAB4D3B" w14:textId="4AD45651">
            <w:pPr>
              <w:jc w:val="right"/>
              <w:rPr>
                <w:b/>
                <w:bCs/>
                <w:color w:val="000000"/>
              </w:rPr>
            </w:pPr>
            <w:r w:rsidRPr="006116D6">
              <w:rPr>
                <w:b/>
                <w:bCs/>
                <w:color w:val="000000"/>
              </w:rPr>
              <w:t>$29,</w:t>
            </w:r>
            <w:r w:rsidRPr="006116D6" w:rsidR="00F1600A">
              <w:rPr>
                <w:b/>
                <w:bCs/>
                <w:color w:val="000000"/>
              </w:rPr>
              <w:t>132,374</w:t>
            </w:r>
            <w:r w:rsidRPr="006116D6">
              <w:rPr>
                <w:b/>
                <w:bCs/>
                <w:color w:val="000000"/>
              </w:rPr>
              <w:t xml:space="preserve"> </w:t>
            </w:r>
          </w:p>
        </w:tc>
      </w:tr>
    </w:tbl>
    <w:p w:rsidR="00E056B8" w:rsidRPr="006116D6" w:rsidP="005F1FFC" w14:paraId="02B06F85" w14:textId="77777777">
      <w:pPr>
        <w:rPr>
          <w:b/>
          <w:sz w:val="24"/>
        </w:rPr>
      </w:pPr>
    </w:p>
    <w:p w:rsidR="00F660E8" w:rsidRPr="006116D6"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6116D6">
        <w:rPr>
          <w:b/>
          <w:sz w:val="24"/>
          <w:szCs w:val="24"/>
        </w:rPr>
        <w:t xml:space="preserve">14.  </w:t>
      </w:r>
      <w:r w:rsidRPr="006116D6">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6116D6">
        <w:rPr>
          <w:sz w:val="24"/>
          <w:szCs w:val="24"/>
        </w:rPr>
        <w:t xml:space="preserve"> </w:t>
      </w:r>
      <w:r w:rsidRPr="006116D6">
        <w:rPr>
          <w:b/>
          <w:bCs/>
          <w:sz w:val="24"/>
          <w:szCs w:val="24"/>
        </w:rPr>
        <w:t>without this collection of information.  Agencies also may aggregate cost estimates from Items 12, 13, and 14 into a single table.</w:t>
      </w:r>
    </w:p>
    <w:p w:rsidR="005F1FFC" w:rsidRPr="006116D6" w:rsidP="00E056B8" w14:paraId="0A689257" w14:textId="74F3B8BC">
      <w:pPr>
        <w:rPr>
          <w:sz w:val="24"/>
        </w:rPr>
      </w:pPr>
    </w:p>
    <w:p w:rsidR="00E056B8" w:rsidRPr="006116D6" w:rsidP="00E056B8" w14:paraId="1974152B" w14:textId="77777777">
      <w:pPr>
        <w:rPr>
          <w:sz w:val="24"/>
          <w:szCs w:val="24"/>
        </w:rPr>
      </w:pPr>
      <w:r w:rsidRPr="006116D6">
        <w:rPr>
          <w:sz w:val="24"/>
          <w:szCs w:val="24"/>
        </w:rPr>
        <w:t>There are no additional costs to the Federal Government.</w:t>
      </w:r>
    </w:p>
    <w:p w:rsidR="00E056B8" w:rsidRPr="006116D6" w:rsidP="00E056B8" w14:paraId="4502EC5F" w14:textId="77777777">
      <w:pPr>
        <w:rPr>
          <w:sz w:val="24"/>
        </w:rPr>
      </w:pPr>
    </w:p>
    <w:p w:rsidR="00F660E8" w:rsidRPr="006116D6" w:rsidP="00F660E8" w14:paraId="2B232019" w14:textId="312FA3A8">
      <w:pPr>
        <w:rPr>
          <w:b/>
          <w:bCs/>
          <w:sz w:val="24"/>
          <w:szCs w:val="24"/>
        </w:rPr>
      </w:pPr>
      <w:r w:rsidRPr="006116D6">
        <w:rPr>
          <w:b/>
          <w:sz w:val="24"/>
          <w:szCs w:val="24"/>
        </w:rPr>
        <w:t xml:space="preserve">15.  </w:t>
      </w:r>
      <w:r w:rsidRPr="006116D6">
        <w:rPr>
          <w:b/>
          <w:bCs/>
          <w:sz w:val="24"/>
          <w:szCs w:val="24"/>
        </w:rPr>
        <w:t>Explain the reasons for any program changes or adjustments.</w:t>
      </w:r>
    </w:p>
    <w:p w:rsidR="00A14C7F" w:rsidRPr="006116D6" w:rsidP="00F660E8" w14:paraId="0BA62BE4" w14:textId="00EE84BA">
      <w:pPr>
        <w:rPr>
          <w:b/>
          <w:bCs/>
          <w:sz w:val="24"/>
          <w:szCs w:val="24"/>
        </w:rPr>
      </w:pPr>
    </w:p>
    <w:p w:rsidR="003402CA" w:rsidRPr="00872772" w:rsidP="00E056B8" w14:paraId="34D72BA9" w14:textId="77777777">
      <w:pPr>
        <w:rPr>
          <w:sz w:val="24"/>
        </w:rPr>
      </w:pPr>
      <w:r w:rsidRPr="00872772">
        <w:rPr>
          <w:sz w:val="24"/>
        </w:rPr>
        <w:t>T</w:t>
      </w:r>
      <w:r w:rsidRPr="00872772" w:rsidR="00D43526">
        <w:rPr>
          <w:sz w:val="24"/>
        </w:rPr>
        <w:t>he estimated burden has changed</w:t>
      </w:r>
      <w:r w:rsidRPr="00872772">
        <w:rPr>
          <w:sz w:val="24"/>
        </w:rPr>
        <w:t xml:space="preserve"> because of three reasons:</w:t>
      </w:r>
    </w:p>
    <w:p w:rsidR="00872772" w:rsidRPr="00872772" w:rsidP="003402CA" w14:paraId="32EEE6FD" w14:textId="1E38D15E">
      <w:pPr>
        <w:pStyle w:val="ListParagraph"/>
        <w:numPr>
          <w:ilvl w:val="0"/>
          <w:numId w:val="24"/>
        </w:numPr>
        <w:rPr>
          <w:rFonts w:ascii="Times New Roman" w:hAnsi="Times New Roman"/>
          <w:sz w:val="24"/>
        </w:rPr>
      </w:pPr>
      <w:r w:rsidRPr="00872772">
        <w:rPr>
          <w:rFonts w:ascii="Times New Roman" w:hAnsi="Times New Roman"/>
          <w:sz w:val="24"/>
        </w:rPr>
        <w:t xml:space="preserve">median hourly wages have </w:t>
      </w:r>
      <w:r w:rsidRPr="00872772">
        <w:rPr>
          <w:rFonts w:ascii="Times New Roman" w:hAnsi="Times New Roman"/>
          <w:sz w:val="24"/>
        </w:rPr>
        <w:t>increased</w:t>
      </w:r>
      <w:r w:rsidRPr="00872772">
        <w:rPr>
          <w:rFonts w:ascii="Times New Roman" w:hAnsi="Times New Roman"/>
          <w:sz w:val="24"/>
        </w:rPr>
        <w:t>;</w:t>
      </w:r>
    </w:p>
    <w:p w:rsidR="00872772" w:rsidRPr="00872772" w:rsidP="003402CA" w14:paraId="6ED87EFC" w14:textId="739066D5">
      <w:pPr>
        <w:pStyle w:val="ListParagraph"/>
        <w:numPr>
          <w:ilvl w:val="0"/>
          <w:numId w:val="24"/>
        </w:numPr>
        <w:rPr>
          <w:rFonts w:ascii="Times New Roman" w:hAnsi="Times New Roman"/>
          <w:sz w:val="24"/>
        </w:rPr>
      </w:pPr>
      <w:r w:rsidRPr="00872772">
        <w:rPr>
          <w:rFonts w:ascii="Times New Roman" w:hAnsi="Times New Roman"/>
          <w:sz w:val="24"/>
        </w:rPr>
        <w:t>the total number of covered entities has decreased</w:t>
      </w:r>
      <w:r w:rsidRPr="00872772">
        <w:rPr>
          <w:rFonts w:ascii="Times New Roman" w:hAnsi="Times New Roman"/>
          <w:sz w:val="24"/>
        </w:rPr>
        <w:t>; and</w:t>
      </w:r>
    </w:p>
    <w:p w:rsidR="00872772" w:rsidP="003402CA" w14:paraId="102E26C1" w14:textId="0AED780A">
      <w:pPr>
        <w:pStyle w:val="ListParagraph"/>
        <w:numPr>
          <w:ilvl w:val="0"/>
          <w:numId w:val="24"/>
        </w:numPr>
        <w:rPr>
          <w:rFonts w:ascii="Times New Roman" w:hAnsi="Times New Roman"/>
          <w:sz w:val="24"/>
        </w:rPr>
      </w:pPr>
      <w:r w:rsidRPr="00872772">
        <w:rPr>
          <w:rFonts w:ascii="Times New Roman" w:hAnsi="Times New Roman"/>
          <w:sz w:val="24"/>
        </w:rPr>
        <w:t>one-time cost</w:t>
      </w:r>
      <w:r w:rsidR="00A15ED9">
        <w:rPr>
          <w:rFonts w:ascii="Times New Roman" w:hAnsi="Times New Roman"/>
          <w:sz w:val="24"/>
        </w:rPr>
        <w:t>s</w:t>
      </w:r>
      <w:r w:rsidR="004709B0">
        <w:rPr>
          <w:rFonts w:ascii="Times New Roman" w:hAnsi="Times New Roman"/>
          <w:sz w:val="24"/>
        </w:rPr>
        <w:t xml:space="preserve"> associated with </w:t>
      </w:r>
      <w:r w:rsidR="00335567">
        <w:rPr>
          <w:rFonts w:ascii="Times New Roman" w:hAnsi="Times New Roman"/>
          <w:sz w:val="24"/>
        </w:rPr>
        <w:t>initial</w:t>
      </w:r>
      <w:r w:rsidR="004709B0">
        <w:rPr>
          <w:rFonts w:ascii="Times New Roman" w:hAnsi="Times New Roman"/>
          <w:sz w:val="24"/>
        </w:rPr>
        <w:t xml:space="preserve"> implementation</w:t>
      </w:r>
      <w:r w:rsidRPr="00872772">
        <w:rPr>
          <w:rFonts w:ascii="Times New Roman" w:hAnsi="Times New Roman"/>
          <w:sz w:val="24"/>
        </w:rPr>
        <w:t>.</w:t>
      </w:r>
    </w:p>
    <w:p w:rsidR="002E5C72" w:rsidRPr="00872772" w:rsidP="002E5C72" w14:paraId="7A4C3487" w14:textId="77777777">
      <w:pPr>
        <w:pStyle w:val="ListParagraph"/>
        <w:rPr>
          <w:rFonts w:ascii="Times New Roman" w:hAnsi="Times New Roman"/>
          <w:sz w:val="24"/>
        </w:rPr>
      </w:pPr>
    </w:p>
    <w:p w:rsidR="00E056B8" w:rsidRPr="00872772" w:rsidP="00872772" w14:paraId="75535A7D" w14:textId="2569B40A">
      <w:pPr>
        <w:rPr>
          <w:sz w:val="24"/>
        </w:rPr>
      </w:pPr>
      <w:r w:rsidRPr="00872772">
        <w:rPr>
          <w:sz w:val="24"/>
        </w:rPr>
        <w:t xml:space="preserve">Overall, the </w:t>
      </w:r>
      <w:r w:rsidR="00A01914">
        <w:rPr>
          <w:sz w:val="24"/>
        </w:rPr>
        <w:t>total annual</w:t>
      </w:r>
      <w:r w:rsidRPr="00872772">
        <w:rPr>
          <w:sz w:val="24"/>
        </w:rPr>
        <w:t xml:space="preserve"> burden has de</w:t>
      </w:r>
      <w:r w:rsidR="00A01914">
        <w:rPr>
          <w:sz w:val="24"/>
        </w:rPr>
        <w:t>creased due to</w:t>
      </w:r>
      <w:r w:rsidRPr="00872772">
        <w:rPr>
          <w:sz w:val="24"/>
        </w:rPr>
        <w:t xml:space="preserve"> </w:t>
      </w:r>
      <w:r w:rsidR="00A01914">
        <w:rPr>
          <w:sz w:val="24"/>
        </w:rPr>
        <w:t xml:space="preserve">a reduction in </w:t>
      </w:r>
      <w:r w:rsidR="00877C8D">
        <w:rPr>
          <w:sz w:val="24"/>
        </w:rPr>
        <w:t xml:space="preserve">the number of </w:t>
      </w:r>
      <w:r w:rsidRPr="00872772">
        <w:rPr>
          <w:sz w:val="24"/>
        </w:rPr>
        <w:t xml:space="preserve">covered entities and the </w:t>
      </w:r>
      <w:r w:rsidR="00877C8D">
        <w:rPr>
          <w:sz w:val="24"/>
        </w:rPr>
        <w:t xml:space="preserve">addition </w:t>
      </w:r>
      <w:r w:rsidRPr="00872772">
        <w:rPr>
          <w:sz w:val="24"/>
        </w:rPr>
        <w:t>of one-time costs</w:t>
      </w:r>
      <w:r w:rsidR="00877C8D">
        <w:rPr>
          <w:sz w:val="24"/>
        </w:rPr>
        <w:t>.</w:t>
      </w:r>
    </w:p>
    <w:p w:rsidR="00D43526" w:rsidRPr="006116D6" w:rsidP="00E056B8" w14:paraId="734CFA61" w14:textId="77777777">
      <w:pPr>
        <w:rPr>
          <w:sz w:val="24"/>
        </w:rPr>
      </w:pPr>
    </w:p>
    <w:p w:rsidR="00F660E8" w:rsidRPr="006116D6" w:rsidP="00F660E8" w14:paraId="1715AB5F" w14:textId="77777777">
      <w:pPr>
        <w:rPr>
          <w:b/>
          <w:sz w:val="24"/>
          <w:szCs w:val="24"/>
        </w:rPr>
      </w:pPr>
      <w:r w:rsidRPr="006116D6">
        <w:rPr>
          <w:b/>
          <w:sz w:val="24"/>
          <w:szCs w:val="24"/>
        </w:rPr>
        <w:t>16.  F</w:t>
      </w:r>
      <w:r w:rsidRPr="006116D6">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6116D6">
        <w:rPr>
          <w:sz w:val="24"/>
          <w:szCs w:val="24"/>
        </w:rPr>
        <w:t>.</w:t>
      </w:r>
    </w:p>
    <w:p w:rsidR="005F1FFC" w:rsidRPr="006116D6" w:rsidP="005F1FFC" w14:paraId="3C07C2B3" w14:textId="28865972">
      <w:pPr>
        <w:rPr>
          <w:sz w:val="24"/>
        </w:rPr>
      </w:pPr>
    </w:p>
    <w:p w:rsidR="00E056B8" w:rsidRPr="006116D6" w:rsidP="00E056B8" w14:paraId="7EA9E2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116D6">
        <w:rPr>
          <w:sz w:val="24"/>
          <w:szCs w:val="24"/>
        </w:rPr>
        <w:t>There are no plans to provide any publications based on the information collection of this regulation.</w:t>
      </w:r>
    </w:p>
    <w:p w:rsidR="005F1FFC" w:rsidRPr="006116D6" w:rsidP="005F1FFC" w14:paraId="77B89593" w14:textId="77777777">
      <w:pPr>
        <w:rPr>
          <w:sz w:val="24"/>
        </w:rPr>
      </w:pPr>
    </w:p>
    <w:p w:rsidR="00F660E8" w:rsidRPr="006116D6" w:rsidP="00F660E8" w14:paraId="7F4F1EB6" w14:textId="77777777">
      <w:pPr>
        <w:rPr>
          <w:b/>
          <w:sz w:val="24"/>
          <w:szCs w:val="24"/>
        </w:rPr>
      </w:pPr>
      <w:r w:rsidRPr="006116D6">
        <w:rPr>
          <w:b/>
          <w:sz w:val="24"/>
        </w:rPr>
        <w:t xml:space="preserve">17.  </w:t>
      </w:r>
      <w:r w:rsidRPr="006116D6">
        <w:rPr>
          <w:b/>
          <w:sz w:val="24"/>
          <w:szCs w:val="24"/>
        </w:rPr>
        <w:t>I</w:t>
      </w:r>
      <w:r w:rsidRPr="006116D6">
        <w:rPr>
          <w:b/>
          <w:bCs/>
          <w:sz w:val="24"/>
          <w:szCs w:val="24"/>
        </w:rPr>
        <w:t>f seeking approval to not display the expiration date for OMB approval of the information collection, explain the reasons that display would be inappropriate</w:t>
      </w:r>
      <w:r w:rsidRPr="006116D6">
        <w:rPr>
          <w:b/>
          <w:sz w:val="24"/>
          <w:szCs w:val="24"/>
        </w:rPr>
        <w:t>.</w:t>
      </w:r>
    </w:p>
    <w:p w:rsidR="005F1FFC" w:rsidRPr="006116D6" w:rsidP="005F1FFC" w14:paraId="195A2521" w14:textId="77777777">
      <w:pPr>
        <w:rPr>
          <w:sz w:val="24"/>
        </w:rPr>
      </w:pPr>
    </w:p>
    <w:p w:rsidR="00791AC9" w:rsidRPr="006116D6" w:rsidP="005F1FFC" w14:paraId="2449748D" w14:textId="0889DAB4">
      <w:pPr>
        <w:rPr>
          <w:sz w:val="24"/>
        </w:rPr>
      </w:pPr>
      <w:r w:rsidRPr="006116D6">
        <w:rPr>
          <w:sz w:val="24"/>
        </w:rPr>
        <w:t xml:space="preserve">The information collection is not collected in a manner that allows the display of the current expiration date.  However, the expiration date can be found under the “Information Collections under Review” section of </w:t>
      </w:r>
      <w:hyperlink r:id="rId10" w:history="1">
        <w:r w:rsidRPr="006116D6">
          <w:rPr>
            <w:rStyle w:val="Hyperlink"/>
            <w:sz w:val="24"/>
          </w:rPr>
          <w:t>www.reginfo.gov</w:t>
        </w:r>
      </w:hyperlink>
      <w:r w:rsidRPr="006116D6">
        <w:rPr>
          <w:sz w:val="24"/>
        </w:rPr>
        <w:t xml:space="preserve"> (</w:t>
      </w:r>
      <w:hyperlink r:id="rId11" w:history="1">
        <w:r w:rsidRPr="006116D6">
          <w:rPr>
            <w:rStyle w:val="Hyperlink"/>
            <w:sz w:val="24"/>
          </w:rPr>
          <w:t>https://www.reginfo.gov/public/do/PRAMain</w:t>
        </w:r>
      </w:hyperlink>
      <w:r w:rsidRPr="006116D6">
        <w:rPr>
          <w:sz w:val="24"/>
        </w:rPr>
        <w:t>).</w:t>
      </w:r>
    </w:p>
    <w:p w:rsidR="00A93967" w:rsidRPr="006116D6" w:rsidP="003E083F" w14:paraId="58CE7FA0" w14:textId="77777777">
      <w:pPr>
        <w:rPr>
          <w:sz w:val="24"/>
        </w:rPr>
      </w:pPr>
    </w:p>
    <w:p w:rsidR="00F660E8" w:rsidRPr="006116D6" w:rsidP="00F660E8" w14:paraId="0503086D" w14:textId="77777777">
      <w:pPr>
        <w:rPr>
          <w:b/>
          <w:sz w:val="24"/>
        </w:rPr>
      </w:pPr>
      <w:r w:rsidRPr="006116D6">
        <w:rPr>
          <w:b/>
          <w:sz w:val="24"/>
        </w:rPr>
        <w:t>18.  Explain each exception to the certification statement.</w:t>
      </w:r>
    </w:p>
    <w:p w:rsidR="005F1FFC" w:rsidRPr="006116D6" w:rsidP="005F1FFC" w14:paraId="6066F545" w14:textId="77777777">
      <w:pPr>
        <w:pStyle w:val="BodyText"/>
      </w:pPr>
    </w:p>
    <w:p w:rsidR="00CA6DAB" w:rsidRPr="00A637BE" w:rsidP="00E76DDF" w14:paraId="235F0EA3" w14:textId="6D04CAF6">
      <w:pPr>
        <w:pStyle w:val="NoSpacing"/>
        <w:rPr>
          <w:sz w:val="24"/>
        </w:rPr>
      </w:pPr>
      <w:bookmarkStart w:id="3" w:name="_Hlk70680085"/>
      <w:r w:rsidRPr="006116D6">
        <w:rPr>
          <w:sz w:val="24"/>
        </w:rPr>
        <w:t xml:space="preserve">The Bureau certifies that this collection of information is consistent with the requirements of 5 CFR 1320.9 and the related provisions of 5 CFR 1320.8(b)(3).  </w:t>
      </w:r>
      <w:bookmarkEnd w:id="3"/>
      <w:r w:rsidRPr="006116D6">
        <w:rPr>
          <w:sz w:val="24"/>
        </w:rPr>
        <w:t>The Bureau is not seeking an exemption to these certification requirements.</w:t>
      </w:r>
    </w:p>
    <w:sectPr w:rsidSect="0079547E">
      <w:headerReference w:type="default" r:id="rId12"/>
      <w:footerReference w:type="default" r:id="rId13"/>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rsidRPr="00AC411F" w14:paraId="1CD8F4C2" w14:textId="77777777">
    <w:pPr>
      <w:pStyle w:val="Footer"/>
      <w:jc w:val="center"/>
    </w:pPr>
    <w:r w:rsidRPr="00AC411F">
      <w:rPr>
        <w:shd w:val="clear" w:color="auto" w:fill="E6E6E6"/>
      </w:rPr>
      <w:fldChar w:fldCharType="begin"/>
    </w:r>
    <w:r w:rsidRPr="00AC411F">
      <w:instrText xml:space="preserve"> PAGE   \* MERGEFORMAT </w:instrText>
    </w:r>
    <w:r w:rsidRPr="00AC411F">
      <w:rPr>
        <w:shd w:val="clear" w:color="auto" w:fill="E6E6E6"/>
      </w:rPr>
      <w:fldChar w:fldCharType="separate"/>
    </w:r>
    <w:r w:rsidRPr="00AC411F" w:rsidR="001E418A">
      <w:rPr>
        <w:noProof/>
      </w:rPr>
      <w:t>8</w:t>
    </w:r>
    <w:r w:rsidRPr="00AC411F">
      <w:rPr>
        <w:shd w:val="clear" w:color="auto" w:fill="E6E6E6"/>
      </w:rP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0F17" w:rsidP="0079547E" w14:paraId="21203358" w14:textId="77777777">
      <w:r>
        <w:separator/>
      </w:r>
    </w:p>
  </w:footnote>
  <w:footnote w:type="continuationSeparator" w:id="1">
    <w:p w:rsidR="00AF0F17" w:rsidP="0079547E" w14:paraId="21A797C2" w14:textId="77777777">
      <w:r>
        <w:continuationSeparator/>
      </w:r>
    </w:p>
  </w:footnote>
  <w:footnote w:type="continuationNotice" w:id="2">
    <w:p w:rsidR="00AF0F17" w14:paraId="00165B00" w14:textId="77777777"/>
  </w:footnote>
  <w:footnote w:id="3">
    <w:p w:rsidR="00E056B8" w:rsidP="00E056B8" w14:paraId="63758CE7" w14:textId="77777777">
      <w:pPr>
        <w:pStyle w:val="FootnoteText"/>
      </w:pPr>
      <w:r>
        <w:rPr>
          <w:rStyle w:val="FootnoteReference"/>
        </w:rPr>
        <w:footnoteRef/>
      </w:r>
      <w:r>
        <w:t xml:space="preserve"> 15 U.S.C. 1692(e).</w:t>
      </w:r>
    </w:p>
  </w:footnote>
  <w:footnote w:id="4">
    <w:p w:rsidR="00BC56A2" w14:paraId="1F586CAA" w14:textId="11FC22C3">
      <w:pPr>
        <w:pStyle w:val="FootnoteText"/>
      </w:pPr>
      <w:r>
        <w:rPr>
          <w:rStyle w:val="FootnoteReference"/>
        </w:rPr>
        <w:footnoteRef/>
      </w:r>
      <w:r>
        <w:t xml:space="preserve"> </w:t>
      </w:r>
      <w:r w:rsidR="00AD68CF">
        <w:t>89</w:t>
      </w:r>
      <w:r>
        <w:t xml:space="preserve"> FR </w:t>
      </w:r>
      <w:r w:rsidR="00AD68CF">
        <w:t>18606</w:t>
      </w:r>
      <w:r>
        <w:t xml:space="preserve"> (published on </w:t>
      </w:r>
      <w:r w:rsidR="00AD68CF">
        <w:t>3/14/2024</w:t>
      </w:r>
      <w:r>
        <w:t>)</w:t>
      </w:r>
      <w:r w:rsidR="009D7886">
        <w:t>.</w:t>
      </w:r>
    </w:p>
  </w:footnote>
  <w:footnote w:id="5">
    <w:p w:rsidR="009D7886" w14:paraId="1530F2D0" w14:textId="1F618265">
      <w:pPr>
        <w:pStyle w:val="FootnoteText"/>
      </w:pPr>
      <w:r>
        <w:rPr>
          <w:rStyle w:val="FootnoteReference"/>
        </w:rPr>
        <w:footnoteRef/>
      </w:r>
      <w:r>
        <w:t xml:space="preserve"> </w:t>
      </w:r>
      <w:r w:rsidR="00142934">
        <w:t>89</w:t>
      </w:r>
      <w:r>
        <w:t xml:space="preserve"> FR </w:t>
      </w:r>
      <w:r w:rsidR="00142934">
        <w:t>56</w:t>
      </w:r>
      <w:r w:rsidR="00C57AC5">
        <w:t>741</w:t>
      </w:r>
      <w:r w:rsidR="001650D5">
        <w:t xml:space="preserve"> </w:t>
      </w:r>
      <w:r>
        <w:t xml:space="preserve">(published on </w:t>
      </w:r>
      <w:r w:rsidR="00BC14D1">
        <w:t>7/10/2024</w:t>
      </w:r>
      <w:r>
        <w:t xml:space="preserve">; comment period ends on </w:t>
      </w:r>
      <w:r w:rsidR="007F2A90">
        <w:t>8/9/2024</w:t>
      </w:r>
      <w:r>
        <w:t>).</w:t>
      </w:r>
    </w:p>
  </w:footnote>
  <w:footnote w:id="6">
    <w:p w:rsidR="00E056B8" w:rsidRPr="00CF31C0" w:rsidP="00E056B8" w14:paraId="16780AB7" w14:textId="77194333">
      <w:pPr>
        <w:pStyle w:val="FootnoteText"/>
      </w:pPr>
      <w:r>
        <w:rPr>
          <w:rStyle w:val="FootnoteReference"/>
        </w:rPr>
        <w:footnoteRef/>
      </w:r>
      <w:r>
        <w:t xml:space="preserve"> </w:t>
      </w:r>
      <w:r w:rsidRPr="00CF31C0">
        <w:t xml:space="preserve">The Census Bureau estimates that there are </w:t>
      </w:r>
      <w:r w:rsidRPr="00CF31C0" w:rsidR="00F1600A">
        <w:t>3,421</w:t>
      </w:r>
      <w:r w:rsidRPr="00CF31C0">
        <w:t xml:space="preserve"> collection agencies (NAICS Code 56144) with paid employees in the U.S. and </w:t>
      </w:r>
      <w:r w:rsidRPr="00CF31C0" w:rsidR="00F1600A">
        <w:t>3,868</w:t>
      </w:r>
      <w:r w:rsidRPr="00CF31C0">
        <w:t xml:space="preserve"> </w:t>
      </w:r>
      <w:r w:rsidRPr="00CF31C0">
        <w:t>nonemployer</w:t>
      </w:r>
      <w:r w:rsidRPr="00CF31C0">
        <w:t xml:space="preserve"> collection agencies in the U.S. as of 20</w:t>
      </w:r>
      <w:r w:rsidRPr="00CF31C0" w:rsidR="00F1600A">
        <w:t>20</w:t>
      </w:r>
      <w:r w:rsidRPr="00CF31C0">
        <w:t xml:space="preserve">.  </w:t>
      </w:r>
      <w:r w:rsidRPr="00CF31C0" w:rsidR="1A4AF710">
        <w:t>Economic Surveys Business Patterns 2020</w:t>
      </w:r>
      <w:r w:rsidRPr="00CF31C0" w:rsidR="3D9D0D17">
        <w:t>.</w:t>
      </w:r>
      <w:r w:rsidRPr="00CF31C0" w:rsidR="1A4AF710">
        <w:t xml:space="preserve"> </w:t>
      </w:r>
    </w:p>
  </w:footnote>
  <w:footnote w:id="7">
    <w:p w:rsidR="00E056B8" w:rsidRPr="00CF31C0" w:rsidP="00E056B8" w14:paraId="163FC7E1" w14:textId="09352966">
      <w:pPr>
        <w:pStyle w:val="FootnoteText"/>
      </w:pPr>
      <w:r w:rsidRPr="00CF31C0">
        <w:rPr>
          <w:rStyle w:val="FootnoteReference"/>
        </w:rPr>
        <w:footnoteRef/>
      </w:r>
      <w:r w:rsidRPr="00CF31C0">
        <w:t xml:space="preserve"> Receivables Management Association (previously DBA International), the largest trade group for this industry segment, states that it has approximately </w:t>
      </w:r>
      <w:r w:rsidRPr="00CF31C0" w:rsidR="003B2228">
        <w:t>6</w:t>
      </w:r>
      <w:r w:rsidRPr="00CF31C0">
        <w:t>00 members</w:t>
      </w:r>
      <w:r w:rsidRPr="00CF31C0" w:rsidR="003B2228">
        <w:t xml:space="preserve"> </w:t>
      </w:r>
      <w:r w:rsidRPr="00CF31C0">
        <w:t>and believes that 90 percent of debt buyers are current members.</w:t>
      </w:r>
    </w:p>
  </w:footnote>
  <w:footnote w:id="8">
    <w:p w:rsidR="00E056B8" w:rsidRPr="00CF31C0" w:rsidP="00E056B8" w14:paraId="27E3BB76" w14:textId="4675975F">
      <w:pPr>
        <w:pStyle w:val="FootnoteText"/>
      </w:pPr>
      <w:r w:rsidRPr="00CF31C0">
        <w:rPr>
          <w:rStyle w:val="FootnoteReference"/>
        </w:rPr>
        <w:footnoteRef/>
      </w:r>
      <w:r w:rsidRPr="00CF31C0">
        <w:t xml:space="preserve"> The primary trade association for collection attorneys, the National Creditors Bar Association (</w:t>
      </w:r>
      <w:r w:rsidRPr="00CF31C0" w:rsidR="003B2228">
        <w:t>NCBA</w:t>
      </w:r>
      <w:r w:rsidRPr="00CF31C0">
        <w:t xml:space="preserve">), states that it has approximately </w:t>
      </w:r>
      <w:r w:rsidRPr="00CF31C0" w:rsidR="003B2228">
        <w:t>350</w:t>
      </w:r>
      <w:r w:rsidRPr="00CF31C0">
        <w:t xml:space="preserve"> law firm members.</w:t>
      </w:r>
      <w:r w:rsidR="00056F2A">
        <w:t xml:space="preserve"> </w:t>
      </w:r>
      <w:r w:rsidRPr="00CF31C0">
        <w:t xml:space="preserve"> The Bureau estimates that approximately 60 percent of law firms that collect debt are </w:t>
      </w:r>
      <w:r w:rsidRPr="00CF31C0" w:rsidR="003B2228">
        <w:t>NCB</w:t>
      </w:r>
      <w:r w:rsidRPr="00CF31C0">
        <w:t>A members.</w:t>
      </w:r>
    </w:p>
  </w:footnote>
  <w:footnote w:id="9">
    <w:p w:rsidR="00E056B8" w:rsidP="00E056B8" w14:paraId="669B6499" w14:textId="096E242B">
      <w:pPr>
        <w:pStyle w:val="FootnoteText"/>
      </w:pPr>
      <w:r w:rsidRPr="00CF31C0">
        <w:rPr>
          <w:rStyle w:val="FootnoteReference"/>
        </w:rPr>
        <w:footnoteRef/>
      </w:r>
      <w:r w:rsidRPr="00CF31C0">
        <w:t xml:space="preserve"> Loan servicers </w:t>
      </w:r>
      <w:r w:rsidR="009A1B46">
        <w:t xml:space="preserve">are </w:t>
      </w:r>
      <w:r w:rsidRPr="00CF31C0">
        <w:t>covered</w:t>
      </w:r>
      <w:r w:rsidR="009A1B46">
        <w:t xml:space="preserve">, </w:t>
      </w:r>
      <w:r w:rsidRPr="00CF31C0">
        <w:t>if they</w:t>
      </w:r>
      <w:r>
        <w:t xml:space="preserve"> acquire servicing of loans already in default.  The Bureau believes that this is most likely to occur </w:t>
      </w:r>
      <w:r>
        <w:t>with regard to</w:t>
      </w:r>
      <w:r>
        <w:t xml:space="preserve"> companies that service mortgage loans or student loans.  The Bureau estimates that there are 500 mortgage loan servicers that service more than 5,000 loans.  The Bureau </w:t>
      </w:r>
      <w:r>
        <w:t>makes the assumption</w:t>
      </w:r>
      <w:r>
        <w:t xml:space="preserve"> that all those servicing more than 5,000 loans may acquire servicing of loans when loans are in default and that at most 100 of those servicing 5,000 loans or fewer acquire servicing of loans when loans are in default.  The Bureau estimates that there are fewer than 100 servicers of student loans that may obtain servicing of delinquent loans </w:t>
      </w:r>
      <w:r>
        <w:t>in the course of</w:t>
      </w:r>
      <w:r>
        <w:t xml:space="preserve"> their business.</w:t>
      </w:r>
    </w:p>
  </w:footnote>
  <w:footnote w:id="10">
    <w:p w:rsidR="00E056B8" w:rsidRPr="00232EFC" w:rsidP="00E056B8" w14:paraId="2E2DB0DF" w14:textId="24BADF92">
      <w:pPr>
        <w:pStyle w:val="FootnoteText"/>
      </w:pPr>
      <w:r>
        <w:rPr>
          <w:rStyle w:val="FootnoteReference"/>
        </w:rPr>
        <w:footnoteRef/>
      </w:r>
      <w:r>
        <w:t xml:space="preserve"> The Bureau uses the me</w:t>
      </w:r>
      <w:r w:rsidR="00D235C3">
        <w:t>an</w:t>
      </w:r>
      <w:r>
        <w:t xml:space="preserve"> </w:t>
      </w:r>
      <w:r w:rsidRPr="00232EFC">
        <w:t>hourly wage of $</w:t>
      </w:r>
      <w:r w:rsidR="009372BE">
        <w:t>43</w:t>
      </w:r>
      <w:r w:rsidR="00D235C3">
        <w:t>.55</w:t>
      </w:r>
      <w:r w:rsidRPr="00232EFC">
        <w:t xml:space="preserve"> for Business and Financial Operations Occupations (13-0000) to calculate labor costs.  Bureau of Labor Statistics, </w:t>
      </w:r>
      <w:r w:rsidRPr="00232EFC">
        <w:rPr>
          <w:i/>
        </w:rPr>
        <w:t>National Occupational Employment and Wage Estimates</w:t>
      </w:r>
      <w:r w:rsidRPr="00232EFC">
        <w:t xml:space="preserve"> (May 20</w:t>
      </w:r>
      <w:r w:rsidRPr="00232EFC" w:rsidR="003B2228">
        <w:t>2</w:t>
      </w:r>
      <w:r w:rsidR="009372BE">
        <w:t>3</w:t>
      </w:r>
      <w:r w:rsidRPr="00232EFC">
        <w:t xml:space="preserve">), </w:t>
      </w:r>
      <w:r w:rsidRPr="00232EFC">
        <w:rPr>
          <w:i/>
        </w:rPr>
        <w:t>available at</w:t>
      </w:r>
      <w:r w:rsidRPr="00232EFC">
        <w:t xml:space="preserve"> </w:t>
      </w:r>
      <w:r w:rsidRPr="00D32E8A" w:rsidR="00D32E8A">
        <w:t>https://www.bls.gov/oes/current/oes130000.htm</w:t>
      </w:r>
      <w:r w:rsidR="009372BE">
        <w:t>.</w:t>
      </w:r>
    </w:p>
  </w:footnote>
  <w:footnote w:id="11">
    <w:p w:rsidR="00E056B8" w:rsidP="00E056B8" w14:paraId="29E71695" w14:textId="47CA01E9">
      <w:pPr>
        <w:pStyle w:val="FootnoteText"/>
      </w:pPr>
      <w:r w:rsidRPr="00232EFC">
        <w:rPr>
          <w:rStyle w:val="FootnoteReference"/>
        </w:rPr>
        <w:footnoteRef/>
      </w:r>
      <w:r w:rsidRPr="00232EFC">
        <w:t xml:space="preserve"> Some free email software systems include this functionality. See </w:t>
      </w:r>
      <w:hyperlink r:id="rId1" w:history="1">
        <w:r>
          <w:rPr>
            <w:rStyle w:val="Hyperlink"/>
          </w:rPr>
          <w:t>https://knowledge.hubspot.com/articles/kcs_article/email/how-do-i-add-an-unsubscribe-link-to-my-one-to-one-sales-emails-and-sequences</w:t>
        </w:r>
      </w:hyperlink>
      <w:r>
        <w:t xml:space="preserve"> for opt-out functionality information.  For product pricing see </w:t>
      </w:r>
      <w:hyperlink r:id="rId2" w:history="1">
        <w:r>
          <w:rPr>
            <w:rStyle w:val="Hyperlink"/>
          </w:rPr>
          <w:t>https://www.hubspot.com/pricing/sales?selectedPackage=free</w:t>
        </w:r>
      </w:hyperlink>
      <w:r>
        <w:t>.  Microsoft Outlook email users can add an unsubscribe link to all their email messages at no cost (</w:t>
      </w:r>
      <w:hyperlink r:id="rId3" w:history="1">
        <w:r>
          <w:rPr>
            <w:rStyle w:val="Hyperlink"/>
          </w:rPr>
          <w:t>https://answers.microsoft.com/en-us/outlook_com/forum/all/insert-unsubscribe-link/4e37fcb2-e038-403d-93d3-68203675e4cb</w:t>
        </w:r>
      </w:hyperlink>
      <w:r>
        <w:t xml:space="preserve">).  The functionality is available in text message services as well; see, </w:t>
      </w:r>
      <w:r>
        <w:rPr>
          <w:i/>
        </w:rPr>
        <w:t>e.g.</w:t>
      </w:r>
      <w:r>
        <w:t xml:space="preserve">, </w:t>
      </w:r>
      <w:hyperlink r:id="rId4" w:history="1">
        <w:r w:rsidRPr="00924424" w:rsidR="00BA22C4">
          <w:rPr>
            <w:rStyle w:val="Hyperlink"/>
          </w:rPr>
          <w:t>https://www.protextig.com/product-and-services.html</w:t>
        </w:r>
      </w:hyperlink>
      <w:r>
        <w:t>.</w:t>
      </w:r>
    </w:p>
  </w:footnote>
  <w:footnote w:id="12">
    <w:p w:rsidR="00E056B8" w:rsidP="00E056B8" w14:paraId="215A151E" w14:textId="77777777">
      <w:pPr>
        <w:pStyle w:val="FootnoteText"/>
      </w:pPr>
      <w:r>
        <w:rPr>
          <w:rStyle w:val="FootnoteReference"/>
        </w:rPr>
        <w:footnoteRef/>
      </w:r>
      <w:r>
        <w:t xml:space="preserve"> 15 U.S.C. 1692</w:t>
      </w:r>
      <w:r>
        <w:t>e(</w:t>
      </w:r>
      <w:r>
        <w:t>11).</w:t>
      </w:r>
    </w:p>
  </w:footnote>
  <w:footnote w:id="13">
    <w:p w:rsidR="00E056B8" w:rsidP="00E056B8" w14:paraId="17E8E236" w14:textId="77777777">
      <w:pPr>
        <w:pStyle w:val="FootnoteText"/>
      </w:pPr>
      <w:r>
        <w:rPr>
          <w:rStyle w:val="FootnoteReference"/>
        </w:rPr>
        <w:footnoteRef/>
      </w:r>
      <w:r>
        <w:t xml:space="preserve"> 5 CFR 1320.3(c)(2)</w:t>
      </w:r>
    </w:p>
  </w:footnote>
  <w:footnote w:id="14">
    <w:p w:rsidR="00E056B8" w:rsidP="00E056B8" w14:paraId="5C3B01F0" w14:textId="77777777">
      <w:pPr>
        <w:pStyle w:val="FootnoteText"/>
      </w:pPr>
      <w:r>
        <w:rPr>
          <w:rStyle w:val="FootnoteReference"/>
        </w:rPr>
        <w:footnoteRef/>
      </w:r>
      <w:r>
        <w:t xml:space="preserve"> 15 U.S.C. 1681a(f).</w:t>
      </w:r>
    </w:p>
  </w:footnote>
  <w:footnote w:id="15">
    <w:p w:rsidR="00E056B8" w:rsidRPr="00823274" w:rsidP="00E056B8" w14:paraId="5EC64999" w14:textId="77777777">
      <w:pPr>
        <w:pStyle w:val="FootnoteText"/>
      </w:pPr>
      <w:r>
        <w:rPr>
          <w:rStyle w:val="FootnoteReference"/>
        </w:rPr>
        <w:footnoteRef/>
      </w:r>
      <w:r>
        <w:t xml:space="preserve"> </w:t>
      </w:r>
      <w:r>
        <w:rPr>
          <w:i/>
        </w:rPr>
        <w:t xml:space="preserve">See </w:t>
      </w:r>
      <w:r>
        <w:t xml:space="preserve">Consumer Financial Protection Bureau, </w:t>
      </w:r>
      <w:r>
        <w:rPr>
          <w:i/>
        </w:rPr>
        <w:t>Study of Third-Party Debt Collection Operations</w:t>
      </w:r>
      <w:r>
        <w:t xml:space="preserve"> (July 2016) at 19, </w:t>
      </w:r>
      <w:r>
        <w:rPr>
          <w:i/>
        </w:rPr>
        <w:t>available at</w:t>
      </w:r>
      <w:r>
        <w:t xml:space="preserve"> </w:t>
      </w:r>
      <w:hyperlink r:id="rId5" w:history="1">
        <w:r>
          <w:rPr>
            <w:rStyle w:val="Hyperlink"/>
          </w:rPr>
          <w:t>http://files.consumerfinance.gov/f/documents/Third_Party_Debt_Collection_Operations_Study_embargoed.pdf</w:t>
        </w:r>
      </w:hyperlink>
      <w:r>
        <w:t xml:space="preserve">  (CFPB Operations Study). </w:t>
      </w:r>
      <w:r>
        <w:rPr>
          <w:i/>
        </w:rPr>
        <w:t xml:space="preserve"> </w:t>
      </w:r>
      <w:r>
        <w:t xml:space="preserve">Forty-five of 58 respondents reported that they furnish data to the credit bureaus. In all but three of these cases the respondents said that they send a validation notice upon account placement, such that the </w:t>
      </w:r>
      <w:r w:rsidRPr="00823274">
        <w:t>requirement would be satisfied (CFPB analysis of data from the CFPB Operations Study).  3 / 58 = 0.052.</w:t>
      </w:r>
    </w:p>
  </w:footnote>
  <w:footnote w:id="16">
    <w:p w:rsidR="00E056B8" w:rsidP="00E056B8" w14:paraId="7802649F" w14:textId="4656CC06">
      <w:pPr>
        <w:pStyle w:val="FootnoteText"/>
      </w:pPr>
      <w:r w:rsidRPr="00823274">
        <w:rPr>
          <w:rStyle w:val="FootnoteReference"/>
        </w:rPr>
        <w:footnoteRef/>
      </w:r>
      <w:r w:rsidRPr="00823274">
        <w:t xml:space="preserve"> The Bureau uses the me</w:t>
      </w:r>
      <w:r w:rsidR="008D7814">
        <w:t>an</w:t>
      </w:r>
      <w:r w:rsidRPr="00823274">
        <w:t xml:space="preserve"> hourly wage of $3</w:t>
      </w:r>
      <w:r w:rsidR="008D7814">
        <w:t>8.55</w:t>
      </w:r>
      <w:r w:rsidRPr="00823274">
        <w:t xml:space="preserve"> for Compliance Officers (13-1041) to calculate labor costs.  </w:t>
      </w:r>
      <w:r w:rsidRPr="00823274">
        <w:rPr>
          <w:i/>
        </w:rPr>
        <w:t>See</w:t>
      </w:r>
      <w:r w:rsidRPr="00823274">
        <w:t xml:space="preserve"> May 20</w:t>
      </w:r>
      <w:r w:rsidRPr="00823274" w:rsidR="00284C6E">
        <w:t>2</w:t>
      </w:r>
      <w:r w:rsidR="00DB39DB">
        <w:t>3</w:t>
      </w:r>
      <w:r w:rsidRPr="00823274">
        <w:t xml:space="preserve"> BLS Wage Estimates.</w:t>
      </w:r>
    </w:p>
  </w:footnote>
  <w:footnote w:id="17">
    <w:p w:rsidR="00E056B8" w:rsidRPr="00DB515C" w:rsidP="00E056B8" w14:paraId="0EDB1323" w14:textId="60D6FCE1">
      <w:pPr>
        <w:pStyle w:val="FootnoteText"/>
      </w:pPr>
      <w:r>
        <w:rPr>
          <w:rStyle w:val="FootnoteReference"/>
        </w:rPr>
        <w:footnoteRef/>
      </w:r>
      <w:r>
        <w:t xml:space="preserve"> The Bureau estimates that there are approximately </w:t>
      </w:r>
      <w:r w:rsidRPr="00AA183E">
        <w:t xml:space="preserve">208 million U.S. consumers with a credit file.  </w:t>
      </w:r>
      <w:r w:rsidRPr="00AA183E">
        <w:rPr>
          <w:i/>
        </w:rPr>
        <w:t>See</w:t>
      </w:r>
      <w:r w:rsidRPr="00AA183E">
        <w:t xml:space="preserve"> Brevoort, Kenneth P., Philipp Grimm and Michelle Kambara. (May 2015).</w:t>
      </w:r>
      <w:r w:rsidRPr="00AA183E">
        <w:rPr>
          <w:i/>
        </w:rPr>
        <w:t xml:space="preserve"> Credit Invisibles</w:t>
      </w:r>
      <w:r w:rsidRPr="00AA183E">
        <w:t xml:space="preserve">. Bureau of Consumer Financial Protection, p. 12, </w:t>
      </w:r>
      <w:r w:rsidRPr="00AA183E">
        <w:rPr>
          <w:i/>
        </w:rPr>
        <w:t>available at</w:t>
      </w:r>
      <w:r w:rsidRPr="00AA183E">
        <w:t xml:space="preserve"> </w:t>
      </w:r>
      <w:hyperlink r:id="rId6" w:history="1">
        <w:r w:rsidRPr="00AA183E">
          <w:rPr>
            <w:rStyle w:val="Hyperlink"/>
          </w:rPr>
          <w:t>https://files.consumerfinance.gov/f/201505_cfpb_data-point-credit-invisibles.pdf</w:t>
        </w:r>
      </w:hyperlink>
      <w:r w:rsidRPr="00AA183E">
        <w:t>.  Of these, approximately 32 percent, or 6</w:t>
      </w:r>
      <w:r w:rsidRPr="00AA183E" w:rsidR="003A6360">
        <w:t>6.6</w:t>
      </w:r>
      <w:r w:rsidRPr="00AA183E">
        <w:t xml:space="preserve"> million, are contacted about a debt in collection each year. </w:t>
      </w:r>
      <w:r w:rsidRPr="00AA183E">
        <w:rPr>
          <w:i/>
        </w:rPr>
        <w:t>See</w:t>
      </w:r>
      <w:r w:rsidRPr="00AA183E">
        <w:t xml:space="preserve"> </w:t>
      </w:r>
      <w:r w:rsidRPr="00AA183E">
        <w:rPr>
          <w:i/>
        </w:rPr>
        <w:t>CFPB Debt Collection Consumer Survey</w:t>
      </w:r>
      <w:r w:rsidRPr="00AA183E">
        <w:t xml:space="preserve"> (January 2017). Consumer Financial Protection Bureau, p. 13 (CFPB Debt Collection Consumer Survey report).  Of those contacted about a debt, 27 percent of consumers reported being contacted about one debt, 57 percent</w:t>
      </w:r>
      <w:r>
        <w:t xml:space="preserve"> of consumers reported being contacted two to four debts, and 16 percent of consumers reported being contacted about 5 or more debts.  </w:t>
      </w:r>
      <w:r>
        <w:rPr>
          <w:i/>
        </w:rPr>
        <w:t xml:space="preserve">See </w:t>
      </w:r>
      <w:r>
        <w:t xml:space="preserve">CFPB Debt Collection Consumer Survey report at 13. Based on those reported number of debts, the Bureau estimates that the </w:t>
      </w:r>
      <w:r w:rsidRPr="00DB515C">
        <w:t xml:space="preserve">average consumer is contacted about 2.78 debts annually (0.68*0 + 0.27*1 + 0.57*3 + 0.16*5 = 2.78).  Therefore, the Bureau estimates that consumers are contacted about approximately </w:t>
      </w:r>
      <w:r w:rsidRPr="00DB515C" w:rsidR="003A6360">
        <w:t>185,036,800</w:t>
      </w:r>
      <w:r w:rsidRPr="00DB515C">
        <w:t xml:space="preserve"> debts in collection annually (6</w:t>
      </w:r>
      <w:r w:rsidRPr="00DB515C" w:rsidR="003A6360">
        <w:t>6.6</w:t>
      </w:r>
      <w:r w:rsidRPr="00DB515C">
        <w:t xml:space="preserve"> million * 2.78 = 18</w:t>
      </w:r>
      <w:r w:rsidRPr="00DB515C" w:rsidR="003A6360">
        <w:t>5</w:t>
      </w:r>
      <w:r w:rsidRPr="00DB515C">
        <w:t>,</w:t>
      </w:r>
      <w:r w:rsidRPr="00DB515C" w:rsidR="003A6360">
        <w:t>036,800</w:t>
      </w:r>
      <w:r w:rsidRPr="00DB515C">
        <w:t>).</w:t>
      </w:r>
    </w:p>
  </w:footnote>
  <w:footnote w:id="18">
    <w:p w:rsidR="00E056B8" w:rsidRPr="00DB515C" w:rsidP="00E056B8" w14:paraId="0579E46F" w14:textId="77777777">
      <w:pPr>
        <w:pStyle w:val="FootnoteText"/>
      </w:pPr>
      <w:r w:rsidRPr="00DB515C">
        <w:rPr>
          <w:rStyle w:val="FootnoteReference"/>
        </w:rPr>
        <w:footnoteRef/>
      </w:r>
      <w:r w:rsidRPr="00DB515C">
        <w:t xml:space="preserve"> The CFPB Debt Collection Consumer Survey asked respondents whether the most recent contact regarding a debt was from a creditor or debt collector.  Of the 86 percent of respondents who were able to answer, 73 percent said they were contacted by a debt collector. </w:t>
      </w:r>
      <w:r w:rsidRPr="00DB515C">
        <w:rPr>
          <w:i/>
        </w:rPr>
        <w:t>See</w:t>
      </w:r>
      <w:r w:rsidRPr="00DB515C">
        <w:t xml:space="preserve"> CFPB Debt Collection Consumer Survey report at 40.</w:t>
      </w:r>
    </w:p>
  </w:footnote>
  <w:footnote w:id="19">
    <w:p w:rsidR="00E056B8" w:rsidP="00E056B8" w14:paraId="6156BFF8" w14:textId="258A6C1A">
      <w:pPr>
        <w:pStyle w:val="FootnoteText"/>
      </w:pPr>
      <w:r w:rsidRPr="00DB515C">
        <w:rPr>
          <w:rStyle w:val="FootnoteReference"/>
        </w:rPr>
        <w:footnoteRef/>
      </w:r>
      <w:r w:rsidRPr="00DB515C">
        <w:t xml:space="preserve"> </w:t>
      </w:r>
      <w:r w:rsidRPr="00DB515C" w:rsidR="00284C6E">
        <w:t>6.4</w:t>
      </w:r>
      <w:r w:rsidRPr="00DB515C">
        <w:t xml:space="preserve"> million additional notices * 0.6 * 0.003 = 1</w:t>
      </w:r>
      <w:r w:rsidRPr="00DB515C" w:rsidR="00284C6E">
        <w:t>1,938</w:t>
      </w:r>
      <w:r w:rsidRPr="00DB515C">
        <w:t>.  The Bureau uses the me</w:t>
      </w:r>
      <w:r w:rsidR="00361F4F">
        <w:t>an</w:t>
      </w:r>
      <w:r w:rsidRPr="00DB515C">
        <w:t xml:space="preserve"> hourly wage of $</w:t>
      </w:r>
      <w:r w:rsidR="00361F4F">
        <w:t>22.12</w:t>
      </w:r>
      <w:r w:rsidRPr="00DB515C">
        <w:t xml:space="preserve"> for Bill and Account Collectors (43-3011) to calculate labor costs.  </w:t>
      </w:r>
      <w:r w:rsidRPr="00DB515C">
        <w:rPr>
          <w:i/>
        </w:rPr>
        <w:t>See</w:t>
      </w:r>
      <w:r w:rsidRPr="00DB515C">
        <w:t xml:space="preserve"> May 20</w:t>
      </w:r>
      <w:r w:rsidRPr="00DB515C" w:rsidR="00272785">
        <w:t>2</w:t>
      </w:r>
      <w:r w:rsidR="00573DC3">
        <w:t>3</w:t>
      </w:r>
      <w:r w:rsidRPr="00DB515C">
        <w:t xml:space="preserve"> BLS Wage Estimates.</w:t>
      </w:r>
    </w:p>
  </w:footnote>
  <w:footnote w:id="20">
    <w:p w:rsidR="00E056B8" w:rsidRPr="003072BC" w:rsidP="00E056B8" w14:paraId="580F880D" w14:textId="77777777">
      <w:pPr>
        <w:pStyle w:val="FootnoteText"/>
      </w:pPr>
      <w:r w:rsidRPr="003F3021">
        <w:rPr>
          <w:rStyle w:val="FootnoteReference"/>
        </w:rPr>
        <w:footnoteRef/>
      </w:r>
      <w:r w:rsidRPr="003F3021">
        <w:t xml:space="preserve"> </w:t>
      </w:r>
      <w:r w:rsidRPr="003072BC">
        <w:t xml:space="preserve">The Bureau estimates that 86 percent of debt collectors use letter vendors.  </w:t>
      </w:r>
      <w:r w:rsidRPr="003072BC">
        <w:rPr>
          <w:i/>
        </w:rPr>
        <w:t xml:space="preserve">See </w:t>
      </w:r>
      <w:r w:rsidRPr="003072BC">
        <w:t>CFPB Operations Study at 32.</w:t>
      </w:r>
    </w:p>
  </w:footnote>
  <w:footnote w:id="21">
    <w:p w:rsidR="00E056B8" w:rsidRPr="003072BC" w:rsidP="00E056B8" w14:paraId="66E33755" w14:textId="7BB5970A">
      <w:pPr>
        <w:pStyle w:val="FootnoteText"/>
      </w:pPr>
      <w:r w:rsidRPr="003072BC">
        <w:rPr>
          <w:rStyle w:val="FootnoteReference"/>
        </w:rPr>
        <w:footnoteRef/>
      </w:r>
      <w:r w:rsidRPr="003072BC">
        <w:t xml:space="preserve"> The Bureau use</w:t>
      </w:r>
      <w:r w:rsidRPr="003072BC" w:rsidR="003F3021">
        <w:t>d</w:t>
      </w:r>
      <w:r w:rsidRPr="003072BC">
        <w:t xml:space="preserve"> the me</w:t>
      </w:r>
      <w:r w:rsidRPr="003072BC" w:rsidR="000A6F3C">
        <w:t>an</w:t>
      </w:r>
      <w:r w:rsidRPr="003072BC">
        <w:t xml:space="preserve"> hourly wage of $</w:t>
      </w:r>
      <w:r w:rsidRPr="003072BC" w:rsidR="008D02F4">
        <w:t>38.55</w:t>
      </w:r>
      <w:r w:rsidRPr="003072BC">
        <w:t xml:space="preserve"> for Compliance Officers (13-1041) to calculate labor costs.  </w:t>
      </w:r>
      <w:r w:rsidRPr="003072BC">
        <w:rPr>
          <w:i/>
        </w:rPr>
        <w:t>See</w:t>
      </w:r>
      <w:r w:rsidRPr="003072BC">
        <w:t xml:space="preserve"> May 20</w:t>
      </w:r>
      <w:r w:rsidRPr="003072BC" w:rsidR="00BD45E4">
        <w:t>23</w:t>
      </w:r>
      <w:r w:rsidRPr="003072BC">
        <w:t xml:space="preserve"> BLS Wage Estimates.</w:t>
      </w:r>
    </w:p>
  </w:footnote>
  <w:footnote w:id="22">
    <w:p w:rsidR="00E056B8" w:rsidRPr="003F3021" w:rsidP="00E056B8" w14:paraId="35CEA533" w14:textId="77777777">
      <w:pPr>
        <w:pStyle w:val="FootnoteText"/>
      </w:pPr>
      <w:r w:rsidRPr="003072BC">
        <w:rPr>
          <w:rStyle w:val="FootnoteReference"/>
        </w:rPr>
        <w:footnoteRef/>
      </w:r>
      <w:r w:rsidRPr="003072BC">
        <w:t xml:space="preserve"> This estimate is based on the percentage of firms reporting that they rarely (9 percent) or never (7 percent) receive a breakdown of post-charge-off</w:t>
      </w:r>
      <w:r w:rsidRPr="003F3021">
        <w:t xml:space="preserve"> fees and interest from clients.  </w:t>
      </w:r>
      <w:r w:rsidRPr="003F3021">
        <w:rPr>
          <w:i/>
        </w:rPr>
        <w:t xml:space="preserve">See </w:t>
      </w:r>
      <w:r w:rsidRPr="003F3021">
        <w:t>CFPB Operations Study</w:t>
      </w:r>
      <w:r w:rsidRPr="003F3021">
        <w:rPr>
          <w:i/>
        </w:rPr>
        <w:t xml:space="preserve"> </w:t>
      </w:r>
      <w:r w:rsidRPr="003F3021">
        <w:t>at 23.</w:t>
      </w:r>
    </w:p>
  </w:footnote>
  <w:footnote w:id="23">
    <w:p w:rsidR="00E056B8" w:rsidRPr="003F3021" w:rsidP="00E056B8" w14:paraId="53A46FE4" w14:textId="77777777">
      <w:pPr>
        <w:pStyle w:val="FootnoteText"/>
      </w:pPr>
      <w:r w:rsidRPr="003F3021">
        <w:rPr>
          <w:rStyle w:val="FootnoteReference"/>
        </w:rPr>
        <w:footnoteRef/>
      </w:r>
      <w:r w:rsidRPr="003F3021">
        <w:t xml:space="preserve"> One vendor estimated that approximately 10 to 15 percent of collection firms use an in-house collection system, which is roughly consistent with the eight of 58 respondents that indicated using a proprietary system in the CFPB Operations Study.  The Bureau used a midpoint (12.5 percent) of the 10 to 15 percent to estimate the number of firms not tracking post-default interest and fee data that also use a proprietary debt collection management system.</w:t>
      </w:r>
    </w:p>
  </w:footnote>
  <w:footnote w:id="24">
    <w:p w:rsidR="00E056B8" w:rsidRPr="00CC15E0" w:rsidP="00E056B8" w14:paraId="666559EA" w14:textId="77777777">
      <w:pPr>
        <w:pStyle w:val="FootnoteText"/>
        <w:rPr>
          <w:strike/>
        </w:rPr>
      </w:pPr>
      <w:r w:rsidRPr="003F3021">
        <w:rPr>
          <w:rStyle w:val="FootnoteReference"/>
        </w:rPr>
        <w:footnoteRef/>
      </w:r>
      <w:r w:rsidRPr="003F3021">
        <w:t xml:space="preserve"> Respondents in the CFPB Operations Study reported a wide range of programming costs to make upgrades to debt collection management systems, from “under $1,000” for smaller firms to as much as “$13,000 to $26,000” for larger firms.  The respondents also indicated that adding data fields could be done using in-house resources.  The Bureau assumes that these changes could be made with 40 hours of programming time and that, given the number of small firms relative to larger firms, that the labor costs </w:t>
      </w:r>
      <w:r w:rsidRPr="00CC15E0">
        <w:t>associated with that programming time is representative of the feedback received in the CFPB Operations Study.</w:t>
      </w:r>
    </w:p>
  </w:footnote>
  <w:footnote w:id="25">
    <w:p w:rsidR="00E056B8" w:rsidRPr="00CC15E0" w:rsidP="00E056B8" w14:paraId="593748E9" w14:textId="441751D6">
      <w:pPr>
        <w:pStyle w:val="FootnoteText"/>
      </w:pPr>
      <w:r w:rsidRPr="00CC15E0">
        <w:rPr>
          <w:rStyle w:val="FootnoteReference"/>
        </w:rPr>
        <w:footnoteRef/>
      </w:r>
      <w:r w:rsidRPr="00CC15E0">
        <w:t xml:space="preserve"> The Bureau use</w:t>
      </w:r>
      <w:r w:rsidRPr="00CC15E0" w:rsidR="007E186F">
        <w:t>d</w:t>
      </w:r>
      <w:r w:rsidRPr="00CC15E0">
        <w:t xml:space="preserve"> the me</w:t>
      </w:r>
      <w:r w:rsidR="00450853">
        <w:t>an</w:t>
      </w:r>
      <w:r w:rsidRPr="00CC15E0">
        <w:t xml:space="preserve"> hourly wage of $</w:t>
      </w:r>
      <w:r w:rsidR="005D39DF">
        <w:t>51.80</w:t>
      </w:r>
      <w:r w:rsidRPr="00CC15E0">
        <w:t xml:space="preserve"> for Computer Programmers (15-1</w:t>
      </w:r>
      <w:r w:rsidR="005D39DF">
        <w:t>251</w:t>
      </w:r>
      <w:r w:rsidRPr="00CC15E0">
        <w:t xml:space="preserve">) to calculate labor costs.  </w:t>
      </w:r>
      <w:r w:rsidRPr="00CC15E0">
        <w:rPr>
          <w:i/>
        </w:rPr>
        <w:t>See</w:t>
      </w:r>
      <w:r w:rsidRPr="00CC15E0">
        <w:t xml:space="preserve"> May 20</w:t>
      </w:r>
      <w:r w:rsidR="00D51CAE">
        <w:t>23</w:t>
      </w:r>
      <w:r w:rsidRPr="00CC15E0">
        <w:t xml:space="preserve"> BLS Wage Estimates.</w:t>
      </w:r>
    </w:p>
  </w:footnote>
  <w:footnote w:id="26">
    <w:p w:rsidR="00E056B8" w:rsidP="00E056B8" w14:paraId="38F509DB" w14:textId="34B390DE">
      <w:pPr>
        <w:pStyle w:val="FootnoteText"/>
      </w:pPr>
      <w:r w:rsidRPr="00CC15E0">
        <w:rPr>
          <w:rStyle w:val="FootnoteReference"/>
        </w:rPr>
        <w:footnoteRef/>
      </w:r>
      <w:r w:rsidRPr="00CC15E0">
        <w:t xml:space="preserve"> The Bureau uses the me</w:t>
      </w:r>
      <w:r w:rsidRPr="00CC15E0" w:rsidR="00F76901">
        <w:t>an</w:t>
      </w:r>
      <w:r w:rsidRPr="00CC15E0">
        <w:t xml:space="preserve"> hourly wage of $</w:t>
      </w:r>
      <w:r w:rsidR="002A5D5B">
        <w:t>22.12</w:t>
      </w:r>
      <w:r w:rsidRPr="00CC15E0">
        <w:t xml:space="preserve"> for Bill and Account Collectors (43-3011) to calculate labor costs.  </w:t>
      </w:r>
      <w:r w:rsidRPr="00CC15E0">
        <w:rPr>
          <w:i/>
        </w:rPr>
        <w:t>See</w:t>
      </w:r>
      <w:r w:rsidRPr="00CC15E0">
        <w:t xml:space="preserve"> May 20</w:t>
      </w:r>
      <w:r w:rsidRPr="00CC15E0" w:rsidR="00296C2B">
        <w:t>2</w:t>
      </w:r>
      <w:r w:rsidRPr="00CC15E0" w:rsidR="007E186F">
        <w:t>2</w:t>
      </w:r>
      <w:r w:rsidRPr="00CC15E0">
        <w:t xml:space="preserve"> BLS Wage Estimates.</w:t>
      </w:r>
    </w:p>
  </w:footnote>
  <w:footnote w:id="27">
    <w:p w:rsidR="00E056B8" w:rsidP="00E056B8" w14:paraId="2B87F006" w14:textId="77777777">
      <w:pPr>
        <w:pStyle w:val="FootnoteText"/>
      </w:pPr>
      <w:r>
        <w:rPr>
          <w:rStyle w:val="FootnoteReference"/>
        </w:rPr>
        <w:footnoteRef/>
      </w:r>
      <w:r>
        <w:t xml:space="preserve"> The Bureau estimates that 3.5 percent of consumers dispute a debt after being contacted by a debt collector.  </w:t>
      </w:r>
      <w:r>
        <w:rPr>
          <w:i/>
        </w:rPr>
        <w:t>See</w:t>
      </w:r>
      <w:r>
        <w:t xml:space="preserve"> CFPB Operations Study at 30. The Bureau understands that requests for original creditor information are substantially less common than disputes.</w:t>
      </w:r>
    </w:p>
  </w:footnote>
  <w:footnote w:id="28">
    <w:p w:rsidR="00E056B8" w:rsidP="00E056B8" w14:paraId="190FEB60" w14:textId="6CDEE96D">
      <w:pPr>
        <w:pStyle w:val="FootnoteText"/>
      </w:pPr>
      <w:r>
        <w:rPr>
          <w:rStyle w:val="FootnoteReference"/>
        </w:rPr>
        <w:footnoteRef/>
      </w:r>
      <w:r>
        <w:t xml:space="preserve"> </w:t>
      </w:r>
      <w:r w:rsidRPr="00D30171">
        <w:t>13</w:t>
      </w:r>
      <w:r w:rsidRPr="00D30171" w:rsidR="00296C2B">
        <w:t>5</w:t>
      </w:r>
      <w:r w:rsidRPr="00D30171">
        <w:t>,0</w:t>
      </w:r>
      <w:r w:rsidRPr="00D30171" w:rsidR="00296C2B">
        <w:t>76,864</w:t>
      </w:r>
      <w:r w:rsidRPr="00D30171">
        <w:t xml:space="preserve"> * 0.0035 * 0.6 = 28</w:t>
      </w:r>
      <w:r w:rsidRPr="00D30171" w:rsidR="00296C2B">
        <w:t>3,661</w:t>
      </w:r>
      <w:r>
        <w:t>.</w:t>
      </w:r>
    </w:p>
  </w:footnote>
  <w:footnote w:id="29">
    <w:p w:rsidR="00E056B8" w:rsidP="00E056B8" w14:paraId="12C58982" w14:textId="758745F7">
      <w:pPr>
        <w:pStyle w:val="FootnoteText"/>
      </w:pPr>
      <w:r>
        <w:rPr>
          <w:rStyle w:val="FootnoteReference"/>
        </w:rPr>
        <w:footnoteRef/>
      </w:r>
      <w:r>
        <w:t xml:space="preserve"> The Bureau uses the </w:t>
      </w:r>
      <w:r w:rsidRPr="00844B19">
        <w:t>median hourly wage of $</w:t>
      </w:r>
      <w:r w:rsidRPr="00844B19" w:rsidR="00AB416F">
        <w:t>22.12</w:t>
      </w:r>
      <w:r w:rsidRPr="00844B19">
        <w:t xml:space="preserve"> for Bill and Account Collectors (43-3011) to calculate labor costs.  </w:t>
      </w:r>
      <w:r w:rsidRPr="00844B19">
        <w:rPr>
          <w:i/>
        </w:rPr>
        <w:t>See</w:t>
      </w:r>
      <w:r w:rsidRPr="00844B19">
        <w:t xml:space="preserve"> May 20</w:t>
      </w:r>
      <w:r w:rsidRPr="00844B19" w:rsidR="00296C2B">
        <w:t>2</w:t>
      </w:r>
      <w:r w:rsidRPr="00844B19" w:rsidR="00AB416F">
        <w:t>3</w:t>
      </w:r>
      <w:r w:rsidRPr="00844B19">
        <w:t xml:space="preserve"> BLS Wage Estimates.</w:t>
      </w:r>
    </w:p>
  </w:footnote>
  <w:footnote w:id="30">
    <w:p w:rsidR="00E056B8" w:rsidP="00E056B8" w14:paraId="3F390C94" w14:textId="77777777">
      <w:pPr>
        <w:pStyle w:val="FootnoteText"/>
      </w:pPr>
      <w:r>
        <w:rPr>
          <w:rStyle w:val="FootnoteReference"/>
        </w:rPr>
        <w:footnoteRef/>
      </w:r>
      <w:r>
        <w:t xml:space="preserve"> 15 U.S.C. 1692g(b).</w:t>
      </w:r>
    </w:p>
  </w:footnote>
  <w:footnote w:id="31">
    <w:p w:rsidR="00E056B8" w:rsidP="00E056B8" w14:paraId="0AA46721" w14:textId="77777777">
      <w:pPr>
        <w:pStyle w:val="FootnoteText"/>
      </w:pPr>
      <w:r>
        <w:rPr>
          <w:rStyle w:val="FootnoteReference"/>
        </w:rPr>
        <w:footnoteRef/>
      </w:r>
      <w:r>
        <w:t xml:space="preserve"> </w:t>
      </w:r>
      <w:r>
        <w:rPr>
          <w:i/>
        </w:rPr>
        <w:t xml:space="preserve">See </w:t>
      </w:r>
      <w:r>
        <w:t>CFPB Operations Study at 30. 3.5 percent is the midpoint of the estimates given by respondents who used business data to estimate dispute rates.</w:t>
      </w:r>
    </w:p>
  </w:footnote>
  <w:footnote w:id="32">
    <w:p w:rsidR="00E056B8" w:rsidP="00E056B8" w14:paraId="60151CE7" w14:textId="77777777">
      <w:pPr>
        <w:pStyle w:val="FootnoteText"/>
      </w:pPr>
      <w:r>
        <w:rPr>
          <w:rStyle w:val="FootnoteReference"/>
        </w:rPr>
        <w:footnoteRef/>
      </w:r>
      <w:r>
        <w:t xml:space="preserve"> For non-duplicative disputes, 0.6*(0.33 + 0.003) + 0.4*0.33 = 0.332; for duplicative disputes 0.6*(0.1 + 0.003) + 0.4*0.1 = 0.102.</w:t>
      </w:r>
    </w:p>
  </w:footnote>
  <w:footnote w:id="33">
    <w:p w:rsidR="00E056B8" w:rsidP="00E056B8" w14:paraId="2502A170" w14:textId="5CE5E2F5">
      <w:pPr>
        <w:pStyle w:val="FootnoteText"/>
      </w:pPr>
      <w:r>
        <w:rPr>
          <w:rStyle w:val="FootnoteReference"/>
        </w:rPr>
        <w:footnoteRef/>
      </w:r>
      <w:r>
        <w:t xml:space="preserve"> The Bureau uses the m</w:t>
      </w:r>
      <w:r w:rsidR="00505F4B">
        <w:t>e</w:t>
      </w:r>
      <w:r>
        <w:t xml:space="preserve">an hourly wage </w:t>
      </w:r>
      <w:r w:rsidRPr="00C05FB5">
        <w:t>of $</w:t>
      </w:r>
      <w:r w:rsidRPr="00C05FB5" w:rsidR="00505F4B">
        <w:t>22.12</w:t>
      </w:r>
      <w:r>
        <w:t xml:space="preserve"> for Bill and Account Collectors (43-3011) to calculate labor costs.  </w:t>
      </w:r>
      <w:r>
        <w:rPr>
          <w:i/>
        </w:rPr>
        <w:t>See</w:t>
      </w:r>
      <w:r>
        <w:t xml:space="preserve"> May 20</w:t>
      </w:r>
      <w:r w:rsidR="00C05FB5">
        <w:t>23 BLS</w:t>
      </w:r>
      <w:r>
        <w:t xml:space="preserve"> Wage Estimates.</w:t>
      </w:r>
    </w:p>
  </w:footnote>
  <w:footnote w:id="34">
    <w:p w:rsidR="00E056B8" w:rsidP="00E056B8" w14:paraId="4ABF23C8" w14:textId="7A763DD7">
      <w:pPr>
        <w:pStyle w:val="FootnoteText"/>
      </w:pPr>
      <w:r>
        <w:rPr>
          <w:rStyle w:val="FootnoteReference"/>
        </w:rPr>
        <w:footnoteRef/>
      </w:r>
      <w:r>
        <w:t xml:space="preserve"> Respondents to the CFPB Operation Study generally said that the cost of sending a letter with one page and a return envelope was $0.50 to $0.80 per letter sent.  </w:t>
      </w:r>
      <w:r>
        <w:rPr>
          <w:i/>
        </w:rPr>
        <w:t>See</w:t>
      </w:r>
      <w:r>
        <w:t xml:space="preserve"> CFPB Operations Study at 32.  The Bureau uses the midpoint of this range in its analysis.</w:t>
      </w:r>
    </w:p>
  </w:footnote>
  <w:footnote w:id="35">
    <w:p w:rsidR="00E056B8" w:rsidP="00E056B8" w14:paraId="21CC8693" w14:textId="4F9515C7">
      <w:pPr>
        <w:pStyle w:val="FootnoteText"/>
      </w:pPr>
      <w:r>
        <w:rPr>
          <w:rStyle w:val="FootnoteReference"/>
        </w:rPr>
        <w:footnoteRef/>
      </w:r>
      <w:r>
        <w:t xml:space="preserve"> The Bureau estimated that the response to a non-duplicative is approximately 6 pages while the response to a duplicative request is approximately 1 page.  Respondents to the CFPB Operations Study said the cost of including an additional 8.5” x 11” insert in a </w:t>
      </w:r>
      <w:r w:rsidR="007A0944">
        <w:t>mailing cost</w:t>
      </w:r>
      <w:r>
        <w:t xml:space="preserve"> approximately $0.05 - $0.10 per letter.  </w:t>
      </w:r>
      <w:r>
        <w:rPr>
          <w:i/>
        </w:rPr>
        <w:t>See</w:t>
      </w:r>
      <w:r>
        <w:t xml:space="preserve"> CFPB Operations Study at 33.  The Bureau used the mid-point of this range in its analysis.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3E9D" w14:paraId="2E8DF3F8" w14:textId="4369D3AF">
    <w:pPr>
      <w:pStyle w:val="Header"/>
    </w:pPr>
    <w:r w:rsidRPr="00693E9D">
      <w:t>Regulation F: Fair Debt Collection Practices Act, State Application for Exemption</w:t>
    </w:r>
  </w:p>
  <w:p w:rsidR="00B35205" w14:paraId="55C694D9" w14:textId="00A12717">
    <w:pPr>
      <w:pStyle w:val="Header"/>
    </w:pPr>
    <w:r>
      <w:t>OMB Control Number</w:t>
    </w:r>
    <w:r w:rsidR="004D6F7D">
      <w:t>:</w:t>
    </w:r>
    <w:r>
      <w:t xml:space="preserve"> </w:t>
    </w:r>
    <w:r w:rsidR="00E81562">
      <w:t>3170-</w:t>
    </w:r>
    <w:r w:rsidR="00693E9D">
      <w:t>0056</w:t>
    </w:r>
  </w:p>
  <w:p w:rsidR="00B35205" w14:paraId="3E4932DB" w14:textId="35D0FD61">
    <w:pPr>
      <w:pStyle w:val="Header"/>
    </w:pPr>
    <w:r>
      <w:t xml:space="preserve">OMB Expiration Date: </w:t>
    </w:r>
    <w:r w:rsidR="00693E9D">
      <w:t>7/31/2024</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173E66"/>
    <w:multiLevelType w:val="hybridMultilevel"/>
    <w:tmpl w:val="191819F8"/>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8">
    <w:nsid w:val="419F436B"/>
    <w:multiLevelType w:val="hybridMultilevel"/>
    <w:tmpl w:val="3E3CE5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1">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3">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5">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6">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9">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85495961">
    <w:abstractNumId w:val="12"/>
  </w:num>
  <w:num w:numId="2" w16cid:durableId="1283073048">
    <w:abstractNumId w:val="10"/>
  </w:num>
  <w:num w:numId="3" w16cid:durableId="2130589278">
    <w:abstractNumId w:val="18"/>
  </w:num>
  <w:num w:numId="4" w16cid:durableId="2000885098">
    <w:abstractNumId w:val="9"/>
  </w:num>
  <w:num w:numId="5" w16cid:durableId="624848207">
    <w:abstractNumId w:val="15"/>
  </w:num>
  <w:num w:numId="6" w16cid:durableId="590814226">
    <w:abstractNumId w:val="14"/>
  </w:num>
  <w:num w:numId="7" w16cid:durableId="72194488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40344">
    <w:abstractNumId w:val="17"/>
  </w:num>
  <w:num w:numId="9" w16cid:durableId="1342272240">
    <w:abstractNumId w:val="16"/>
  </w:num>
  <w:num w:numId="10" w16cid:durableId="797914436">
    <w:abstractNumId w:val="5"/>
  </w:num>
  <w:num w:numId="11" w16cid:durableId="623580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3351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045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8909">
    <w:abstractNumId w:val="6"/>
  </w:num>
  <w:num w:numId="15" w16cid:durableId="1362047880">
    <w:abstractNumId w:val="1"/>
  </w:num>
  <w:num w:numId="16" w16cid:durableId="574822581">
    <w:abstractNumId w:val="19"/>
  </w:num>
  <w:num w:numId="17" w16cid:durableId="883298877">
    <w:abstractNumId w:val="2"/>
  </w:num>
  <w:num w:numId="18" w16cid:durableId="1205606314">
    <w:abstractNumId w:val="7"/>
  </w:num>
  <w:num w:numId="19" w16cid:durableId="1237787146">
    <w:abstractNumId w:val="4"/>
  </w:num>
  <w:num w:numId="20" w16cid:durableId="1913539107">
    <w:abstractNumId w:val="11"/>
  </w:num>
  <w:num w:numId="21" w16cid:durableId="908537976">
    <w:abstractNumId w:val="0"/>
  </w:num>
  <w:num w:numId="22" w16cid:durableId="884029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5078790">
    <w:abstractNumId w:val="3"/>
  </w:num>
  <w:num w:numId="24" w16cid:durableId="198906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15E4"/>
    <w:rsid w:val="00012CAC"/>
    <w:rsid w:val="0001380B"/>
    <w:rsid w:val="00014936"/>
    <w:rsid w:val="00015456"/>
    <w:rsid w:val="00015BAA"/>
    <w:rsid w:val="00016BDE"/>
    <w:rsid w:val="000213BE"/>
    <w:rsid w:val="00022DEA"/>
    <w:rsid w:val="000267DB"/>
    <w:rsid w:val="00026B7D"/>
    <w:rsid w:val="000311A2"/>
    <w:rsid w:val="00032848"/>
    <w:rsid w:val="00032C14"/>
    <w:rsid w:val="00034C49"/>
    <w:rsid w:val="00035622"/>
    <w:rsid w:val="00035AE5"/>
    <w:rsid w:val="00035E5E"/>
    <w:rsid w:val="00040FA0"/>
    <w:rsid w:val="0004229D"/>
    <w:rsid w:val="00042641"/>
    <w:rsid w:val="00047CAE"/>
    <w:rsid w:val="0005070D"/>
    <w:rsid w:val="000511F4"/>
    <w:rsid w:val="0005234E"/>
    <w:rsid w:val="000533A4"/>
    <w:rsid w:val="00054AD4"/>
    <w:rsid w:val="00055B2E"/>
    <w:rsid w:val="0005687E"/>
    <w:rsid w:val="00056F2A"/>
    <w:rsid w:val="00057B87"/>
    <w:rsid w:val="000621AB"/>
    <w:rsid w:val="00063699"/>
    <w:rsid w:val="00066707"/>
    <w:rsid w:val="0007006A"/>
    <w:rsid w:val="00070215"/>
    <w:rsid w:val="00071C66"/>
    <w:rsid w:val="00073EF1"/>
    <w:rsid w:val="000763B3"/>
    <w:rsid w:val="00080781"/>
    <w:rsid w:val="00081109"/>
    <w:rsid w:val="000869B4"/>
    <w:rsid w:val="00091AE1"/>
    <w:rsid w:val="00092D91"/>
    <w:rsid w:val="000935C7"/>
    <w:rsid w:val="0009401F"/>
    <w:rsid w:val="000963A5"/>
    <w:rsid w:val="00096D9C"/>
    <w:rsid w:val="0009786C"/>
    <w:rsid w:val="000A0A3F"/>
    <w:rsid w:val="000A0C1E"/>
    <w:rsid w:val="000A44E3"/>
    <w:rsid w:val="000A6F3C"/>
    <w:rsid w:val="000C1729"/>
    <w:rsid w:val="000C39BD"/>
    <w:rsid w:val="000C6BCD"/>
    <w:rsid w:val="000D0B4D"/>
    <w:rsid w:val="000D3E1A"/>
    <w:rsid w:val="000D74D0"/>
    <w:rsid w:val="000E400A"/>
    <w:rsid w:val="000E470C"/>
    <w:rsid w:val="000F0DD6"/>
    <w:rsid w:val="000F14D7"/>
    <w:rsid w:val="000F5117"/>
    <w:rsid w:val="00100120"/>
    <w:rsid w:val="00110F8E"/>
    <w:rsid w:val="00123042"/>
    <w:rsid w:val="001304EE"/>
    <w:rsid w:val="00130C4B"/>
    <w:rsid w:val="00131850"/>
    <w:rsid w:val="00132362"/>
    <w:rsid w:val="001345AE"/>
    <w:rsid w:val="001346E6"/>
    <w:rsid w:val="00135A84"/>
    <w:rsid w:val="00141E34"/>
    <w:rsid w:val="00142934"/>
    <w:rsid w:val="001438BA"/>
    <w:rsid w:val="00143C38"/>
    <w:rsid w:val="00143D87"/>
    <w:rsid w:val="001462F3"/>
    <w:rsid w:val="001502DF"/>
    <w:rsid w:val="00157C14"/>
    <w:rsid w:val="00162371"/>
    <w:rsid w:val="00163724"/>
    <w:rsid w:val="001639C2"/>
    <w:rsid w:val="001650D5"/>
    <w:rsid w:val="0016521F"/>
    <w:rsid w:val="00165391"/>
    <w:rsid w:val="00166D3B"/>
    <w:rsid w:val="00166FBE"/>
    <w:rsid w:val="001670D7"/>
    <w:rsid w:val="00173772"/>
    <w:rsid w:val="00175102"/>
    <w:rsid w:val="00177293"/>
    <w:rsid w:val="001772C5"/>
    <w:rsid w:val="00180061"/>
    <w:rsid w:val="00185CAC"/>
    <w:rsid w:val="00186836"/>
    <w:rsid w:val="0018704E"/>
    <w:rsid w:val="00187617"/>
    <w:rsid w:val="001912C5"/>
    <w:rsid w:val="00194264"/>
    <w:rsid w:val="001A00A0"/>
    <w:rsid w:val="001A66BA"/>
    <w:rsid w:val="001B12AF"/>
    <w:rsid w:val="001B1CF7"/>
    <w:rsid w:val="001B50EB"/>
    <w:rsid w:val="001B69F7"/>
    <w:rsid w:val="001C1B92"/>
    <w:rsid w:val="001C1DAC"/>
    <w:rsid w:val="001C4457"/>
    <w:rsid w:val="001C59A8"/>
    <w:rsid w:val="001D110F"/>
    <w:rsid w:val="001D5558"/>
    <w:rsid w:val="001D7405"/>
    <w:rsid w:val="001E418A"/>
    <w:rsid w:val="001F0989"/>
    <w:rsid w:val="001F318F"/>
    <w:rsid w:val="001F4D46"/>
    <w:rsid w:val="001F6619"/>
    <w:rsid w:val="0020044A"/>
    <w:rsid w:val="002029FA"/>
    <w:rsid w:val="00205A3F"/>
    <w:rsid w:val="002063CD"/>
    <w:rsid w:val="00211F72"/>
    <w:rsid w:val="0021467B"/>
    <w:rsid w:val="002153B7"/>
    <w:rsid w:val="002166EA"/>
    <w:rsid w:val="00216E5A"/>
    <w:rsid w:val="002215EA"/>
    <w:rsid w:val="00224576"/>
    <w:rsid w:val="00226237"/>
    <w:rsid w:val="0023162A"/>
    <w:rsid w:val="00232EFC"/>
    <w:rsid w:val="002341FB"/>
    <w:rsid w:val="00235BD3"/>
    <w:rsid w:val="0023686D"/>
    <w:rsid w:val="0024126C"/>
    <w:rsid w:val="0025091D"/>
    <w:rsid w:val="002526D9"/>
    <w:rsid w:val="00253DC0"/>
    <w:rsid w:val="00253FF0"/>
    <w:rsid w:val="00255107"/>
    <w:rsid w:val="00256325"/>
    <w:rsid w:val="002678C2"/>
    <w:rsid w:val="00272785"/>
    <w:rsid w:val="00274CC0"/>
    <w:rsid w:val="002811AB"/>
    <w:rsid w:val="00284C6E"/>
    <w:rsid w:val="00286843"/>
    <w:rsid w:val="00294DF4"/>
    <w:rsid w:val="0029506E"/>
    <w:rsid w:val="002955DE"/>
    <w:rsid w:val="00296C2B"/>
    <w:rsid w:val="002A5D5B"/>
    <w:rsid w:val="002A5F08"/>
    <w:rsid w:val="002B0AB2"/>
    <w:rsid w:val="002B341A"/>
    <w:rsid w:val="002B6B95"/>
    <w:rsid w:val="002B7700"/>
    <w:rsid w:val="002C126F"/>
    <w:rsid w:val="002C5F25"/>
    <w:rsid w:val="002C6BC6"/>
    <w:rsid w:val="002D1431"/>
    <w:rsid w:val="002D19AD"/>
    <w:rsid w:val="002D240C"/>
    <w:rsid w:val="002D2C81"/>
    <w:rsid w:val="002D5173"/>
    <w:rsid w:val="002D5E66"/>
    <w:rsid w:val="002D6276"/>
    <w:rsid w:val="002D789D"/>
    <w:rsid w:val="002E0E6B"/>
    <w:rsid w:val="002E4640"/>
    <w:rsid w:val="002E5C72"/>
    <w:rsid w:val="002E65EF"/>
    <w:rsid w:val="002E7B73"/>
    <w:rsid w:val="002F17DC"/>
    <w:rsid w:val="002F4F70"/>
    <w:rsid w:val="002F6BAE"/>
    <w:rsid w:val="002F7B4C"/>
    <w:rsid w:val="003000F2"/>
    <w:rsid w:val="003008B6"/>
    <w:rsid w:val="003009F3"/>
    <w:rsid w:val="0030107A"/>
    <w:rsid w:val="00302B1C"/>
    <w:rsid w:val="00303B71"/>
    <w:rsid w:val="0030710F"/>
    <w:rsid w:val="003072BC"/>
    <w:rsid w:val="003105AC"/>
    <w:rsid w:val="00312C7C"/>
    <w:rsid w:val="003161D3"/>
    <w:rsid w:val="00316F7F"/>
    <w:rsid w:val="00316FE0"/>
    <w:rsid w:val="003209A7"/>
    <w:rsid w:val="0032183C"/>
    <w:rsid w:val="003225D2"/>
    <w:rsid w:val="00324141"/>
    <w:rsid w:val="003252C5"/>
    <w:rsid w:val="00327A0B"/>
    <w:rsid w:val="0033065D"/>
    <w:rsid w:val="00332D44"/>
    <w:rsid w:val="00335567"/>
    <w:rsid w:val="0033632B"/>
    <w:rsid w:val="003372E9"/>
    <w:rsid w:val="003402CA"/>
    <w:rsid w:val="00340510"/>
    <w:rsid w:val="003427C8"/>
    <w:rsid w:val="00342FF1"/>
    <w:rsid w:val="00345720"/>
    <w:rsid w:val="00355790"/>
    <w:rsid w:val="003560DF"/>
    <w:rsid w:val="0036198E"/>
    <w:rsid w:val="00361F4F"/>
    <w:rsid w:val="00366EAF"/>
    <w:rsid w:val="003712FB"/>
    <w:rsid w:val="003732F3"/>
    <w:rsid w:val="00377440"/>
    <w:rsid w:val="0038607F"/>
    <w:rsid w:val="00386FD7"/>
    <w:rsid w:val="00387404"/>
    <w:rsid w:val="0038749E"/>
    <w:rsid w:val="00387993"/>
    <w:rsid w:val="0039043A"/>
    <w:rsid w:val="003942CA"/>
    <w:rsid w:val="003A1165"/>
    <w:rsid w:val="003A1CBC"/>
    <w:rsid w:val="003A6360"/>
    <w:rsid w:val="003A66A4"/>
    <w:rsid w:val="003B2228"/>
    <w:rsid w:val="003B350B"/>
    <w:rsid w:val="003B463C"/>
    <w:rsid w:val="003B4917"/>
    <w:rsid w:val="003B6BEF"/>
    <w:rsid w:val="003B7721"/>
    <w:rsid w:val="003C30A7"/>
    <w:rsid w:val="003C37D0"/>
    <w:rsid w:val="003C4F2E"/>
    <w:rsid w:val="003D0704"/>
    <w:rsid w:val="003D1A46"/>
    <w:rsid w:val="003D39F0"/>
    <w:rsid w:val="003D3ED3"/>
    <w:rsid w:val="003D6197"/>
    <w:rsid w:val="003D6C6B"/>
    <w:rsid w:val="003D6DF9"/>
    <w:rsid w:val="003D6EA7"/>
    <w:rsid w:val="003D732A"/>
    <w:rsid w:val="003E083F"/>
    <w:rsid w:val="003E34FA"/>
    <w:rsid w:val="003F3021"/>
    <w:rsid w:val="0040510C"/>
    <w:rsid w:val="0040655C"/>
    <w:rsid w:val="00410198"/>
    <w:rsid w:val="00410D91"/>
    <w:rsid w:val="004209E8"/>
    <w:rsid w:val="00421FAE"/>
    <w:rsid w:val="004246F3"/>
    <w:rsid w:val="00426D4F"/>
    <w:rsid w:val="00427149"/>
    <w:rsid w:val="00430433"/>
    <w:rsid w:val="004318BF"/>
    <w:rsid w:val="004332D2"/>
    <w:rsid w:val="00433D35"/>
    <w:rsid w:val="004342CA"/>
    <w:rsid w:val="00441BED"/>
    <w:rsid w:val="00445CD1"/>
    <w:rsid w:val="004460F3"/>
    <w:rsid w:val="00450853"/>
    <w:rsid w:val="00452EC4"/>
    <w:rsid w:val="00455D59"/>
    <w:rsid w:val="004709B0"/>
    <w:rsid w:val="00473ADB"/>
    <w:rsid w:val="0047444F"/>
    <w:rsid w:val="00475305"/>
    <w:rsid w:val="00477376"/>
    <w:rsid w:val="00481A62"/>
    <w:rsid w:val="00484F57"/>
    <w:rsid w:val="004864F5"/>
    <w:rsid w:val="00486C34"/>
    <w:rsid w:val="00487A05"/>
    <w:rsid w:val="004920BC"/>
    <w:rsid w:val="00493CB8"/>
    <w:rsid w:val="0049767C"/>
    <w:rsid w:val="00497CB5"/>
    <w:rsid w:val="004A0C5F"/>
    <w:rsid w:val="004A3D75"/>
    <w:rsid w:val="004A4A5D"/>
    <w:rsid w:val="004A4D72"/>
    <w:rsid w:val="004A4F4B"/>
    <w:rsid w:val="004A535D"/>
    <w:rsid w:val="004A5D8F"/>
    <w:rsid w:val="004A7DC4"/>
    <w:rsid w:val="004B0015"/>
    <w:rsid w:val="004B2410"/>
    <w:rsid w:val="004B45A2"/>
    <w:rsid w:val="004B7532"/>
    <w:rsid w:val="004C0E57"/>
    <w:rsid w:val="004C192D"/>
    <w:rsid w:val="004C1AAE"/>
    <w:rsid w:val="004C57BB"/>
    <w:rsid w:val="004C77CB"/>
    <w:rsid w:val="004D38C3"/>
    <w:rsid w:val="004D65E7"/>
    <w:rsid w:val="004D665B"/>
    <w:rsid w:val="004D6F7D"/>
    <w:rsid w:val="004E1F5B"/>
    <w:rsid w:val="004F0137"/>
    <w:rsid w:val="004F06A3"/>
    <w:rsid w:val="004F54E3"/>
    <w:rsid w:val="004F695A"/>
    <w:rsid w:val="0050413C"/>
    <w:rsid w:val="00505F4B"/>
    <w:rsid w:val="00510D42"/>
    <w:rsid w:val="00511C92"/>
    <w:rsid w:val="00512F0C"/>
    <w:rsid w:val="00513ACA"/>
    <w:rsid w:val="005148FE"/>
    <w:rsid w:val="0051563D"/>
    <w:rsid w:val="0051614E"/>
    <w:rsid w:val="005168DD"/>
    <w:rsid w:val="00516CC6"/>
    <w:rsid w:val="00524CBB"/>
    <w:rsid w:val="00525142"/>
    <w:rsid w:val="005270DF"/>
    <w:rsid w:val="00532872"/>
    <w:rsid w:val="00533076"/>
    <w:rsid w:val="005339D5"/>
    <w:rsid w:val="005339EB"/>
    <w:rsid w:val="00536500"/>
    <w:rsid w:val="005367AF"/>
    <w:rsid w:val="00536912"/>
    <w:rsid w:val="0054251A"/>
    <w:rsid w:val="00544563"/>
    <w:rsid w:val="005466CE"/>
    <w:rsid w:val="00550AAA"/>
    <w:rsid w:val="00553771"/>
    <w:rsid w:val="005546B5"/>
    <w:rsid w:val="00554AAB"/>
    <w:rsid w:val="00557BA1"/>
    <w:rsid w:val="005623FF"/>
    <w:rsid w:val="00564A4C"/>
    <w:rsid w:val="0057187C"/>
    <w:rsid w:val="0057278C"/>
    <w:rsid w:val="00573509"/>
    <w:rsid w:val="00573DC3"/>
    <w:rsid w:val="0057551F"/>
    <w:rsid w:val="005767C0"/>
    <w:rsid w:val="0058625C"/>
    <w:rsid w:val="005922A0"/>
    <w:rsid w:val="00594C60"/>
    <w:rsid w:val="00595131"/>
    <w:rsid w:val="00595988"/>
    <w:rsid w:val="005964C1"/>
    <w:rsid w:val="005A1AE0"/>
    <w:rsid w:val="005A4E6A"/>
    <w:rsid w:val="005A5458"/>
    <w:rsid w:val="005B08E8"/>
    <w:rsid w:val="005B2AE3"/>
    <w:rsid w:val="005B3933"/>
    <w:rsid w:val="005B45B2"/>
    <w:rsid w:val="005B6341"/>
    <w:rsid w:val="005B7DE5"/>
    <w:rsid w:val="005B7FA8"/>
    <w:rsid w:val="005C73BA"/>
    <w:rsid w:val="005D1CA9"/>
    <w:rsid w:val="005D2B19"/>
    <w:rsid w:val="005D39DF"/>
    <w:rsid w:val="005D4BF2"/>
    <w:rsid w:val="005D4E18"/>
    <w:rsid w:val="005D4E57"/>
    <w:rsid w:val="005D5CE6"/>
    <w:rsid w:val="005D6DBE"/>
    <w:rsid w:val="005D7A16"/>
    <w:rsid w:val="005E2698"/>
    <w:rsid w:val="005E3CBB"/>
    <w:rsid w:val="005E5175"/>
    <w:rsid w:val="005E649D"/>
    <w:rsid w:val="005F1CFE"/>
    <w:rsid w:val="005F1FFC"/>
    <w:rsid w:val="005F249F"/>
    <w:rsid w:val="00600A9A"/>
    <w:rsid w:val="00603371"/>
    <w:rsid w:val="00605BEB"/>
    <w:rsid w:val="0061088B"/>
    <w:rsid w:val="006116D6"/>
    <w:rsid w:val="0061390A"/>
    <w:rsid w:val="006213DD"/>
    <w:rsid w:val="006238D9"/>
    <w:rsid w:val="00625395"/>
    <w:rsid w:val="00626F36"/>
    <w:rsid w:val="00633245"/>
    <w:rsid w:val="00634112"/>
    <w:rsid w:val="00635204"/>
    <w:rsid w:val="00636A08"/>
    <w:rsid w:val="00637913"/>
    <w:rsid w:val="00637FFD"/>
    <w:rsid w:val="00641707"/>
    <w:rsid w:val="00643848"/>
    <w:rsid w:val="00650767"/>
    <w:rsid w:val="006507EA"/>
    <w:rsid w:val="00652404"/>
    <w:rsid w:val="0065680E"/>
    <w:rsid w:val="0065682C"/>
    <w:rsid w:val="00660D41"/>
    <w:rsid w:val="00664D05"/>
    <w:rsid w:val="00665C34"/>
    <w:rsid w:val="006704E6"/>
    <w:rsid w:val="0068349A"/>
    <w:rsid w:val="006866BA"/>
    <w:rsid w:val="00690A19"/>
    <w:rsid w:val="00690B79"/>
    <w:rsid w:val="00693E9D"/>
    <w:rsid w:val="006940B1"/>
    <w:rsid w:val="006A3569"/>
    <w:rsid w:val="006A5577"/>
    <w:rsid w:val="006A5FED"/>
    <w:rsid w:val="006B34F5"/>
    <w:rsid w:val="006B45B1"/>
    <w:rsid w:val="006B7AD2"/>
    <w:rsid w:val="006C002F"/>
    <w:rsid w:val="006C3ED4"/>
    <w:rsid w:val="006C511F"/>
    <w:rsid w:val="006C5CE4"/>
    <w:rsid w:val="006C7C21"/>
    <w:rsid w:val="006C7D2E"/>
    <w:rsid w:val="006D1E8C"/>
    <w:rsid w:val="006D37FD"/>
    <w:rsid w:val="006D4E10"/>
    <w:rsid w:val="006D5E8A"/>
    <w:rsid w:val="006D6932"/>
    <w:rsid w:val="006E1A49"/>
    <w:rsid w:val="006E2197"/>
    <w:rsid w:val="006E5FB6"/>
    <w:rsid w:val="006E6951"/>
    <w:rsid w:val="006F0A01"/>
    <w:rsid w:val="006F13DD"/>
    <w:rsid w:val="006F2252"/>
    <w:rsid w:val="006F61BB"/>
    <w:rsid w:val="006F74DC"/>
    <w:rsid w:val="007011FA"/>
    <w:rsid w:val="007017A2"/>
    <w:rsid w:val="007059EE"/>
    <w:rsid w:val="00706218"/>
    <w:rsid w:val="00706828"/>
    <w:rsid w:val="0070725E"/>
    <w:rsid w:val="00710CC5"/>
    <w:rsid w:val="00715C7F"/>
    <w:rsid w:val="0072536C"/>
    <w:rsid w:val="007319B7"/>
    <w:rsid w:val="00732F4F"/>
    <w:rsid w:val="00733C46"/>
    <w:rsid w:val="007346BA"/>
    <w:rsid w:val="007355AA"/>
    <w:rsid w:val="00736E59"/>
    <w:rsid w:val="00744ECB"/>
    <w:rsid w:val="00745F63"/>
    <w:rsid w:val="0074629B"/>
    <w:rsid w:val="007505F2"/>
    <w:rsid w:val="00751009"/>
    <w:rsid w:val="00751358"/>
    <w:rsid w:val="00751371"/>
    <w:rsid w:val="00760AD5"/>
    <w:rsid w:val="00763D5B"/>
    <w:rsid w:val="00765C7B"/>
    <w:rsid w:val="00766BAB"/>
    <w:rsid w:val="00766D27"/>
    <w:rsid w:val="00777580"/>
    <w:rsid w:val="007915DE"/>
    <w:rsid w:val="00791AC9"/>
    <w:rsid w:val="0079339F"/>
    <w:rsid w:val="00793479"/>
    <w:rsid w:val="0079547E"/>
    <w:rsid w:val="007A0944"/>
    <w:rsid w:val="007A1664"/>
    <w:rsid w:val="007A30EB"/>
    <w:rsid w:val="007A6EE8"/>
    <w:rsid w:val="007A75AE"/>
    <w:rsid w:val="007B6873"/>
    <w:rsid w:val="007C0923"/>
    <w:rsid w:val="007C3C35"/>
    <w:rsid w:val="007C7E60"/>
    <w:rsid w:val="007D3D93"/>
    <w:rsid w:val="007E0981"/>
    <w:rsid w:val="007E186F"/>
    <w:rsid w:val="007E215B"/>
    <w:rsid w:val="007E7E37"/>
    <w:rsid w:val="007F2A90"/>
    <w:rsid w:val="007F3057"/>
    <w:rsid w:val="007F35B6"/>
    <w:rsid w:val="007F378E"/>
    <w:rsid w:val="007F3D29"/>
    <w:rsid w:val="007F4556"/>
    <w:rsid w:val="00803509"/>
    <w:rsid w:val="00806AB5"/>
    <w:rsid w:val="00810FF4"/>
    <w:rsid w:val="0081330B"/>
    <w:rsid w:val="00814193"/>
    <w:rsid w:val="008146AC"/>
    <w:rsid w:val="00816792"/>
    <w:rsid w:val="00816AA8"/>
    <w:rsid w:val="0082243F"/>
    <w:rsid w:val="00823274"/>
    <w:rsid w:val="00823FDC"/>
    <w:rsid w:val="00825A4E"/>
    <w:rsid w:val="008307DF"/>
    <w:rsid w:val="00833E4B"/>
    <w:rsid w:val="00844B19"/>
    <w:rsid w:val="00855E15"/>
    <w:rsid w:val="008573A2"/>
    <w:rsid w:val="008576C7"/>
    <w:rsid w:val="0085794D"/>
    <w:rsid w:val="00863437"/>
    <w:rsid w:val="008671F9"/>
    <w:rsid w:val="00870BCF"/>
    <w:rsid w:val="00872772"/>
    <w:rsid w:val="00875B65"/>
    <w:rsid w:val="008777F3"/>
    <w:rsid w:val="00877C8D"/>
    <w:rsid w:val="00880A0A"/>
    <w:rsid w:val="0088222A"/>
    <w:rsid w:val="00882935"/>
    <w:rsid w:val="008851E8"/>
    <w:rsid w:val="008964E9"/>
    <w:rsid w:val="00896A3D"/>
    <w:rsid w:val="008970DC"/>
    <w:rsid w:val="008A6525"/>
    <w:rsid w:val="008B001F"/>
    <w:rsid w:val="008B2CB9"/>
    <w:rsid w:val="008B40CD"/>
    <w:rsid w:val="008B54DF"/>
    <w:rsid w:val="008C44A7"/>
    <w:rsid w:val="008C7818"/>
    <w:rsid w:val="008D02F4"/>
    <w:rsid w:val="008D3161"/>
    <w:rsid w:val="008D38AE"/>
    <w:rsid w:val="008D3940"/>
    <w:rsid w:val="008D7814"/>
    <w:rsid w:val="008E164F"/>
    <w:rsid w:val="008E331E"/>
    <w:rsid w:val="008E3E92"/>
    <w:rsid w:val="008E436E"/>
    <w:rsid w:val="008E5D30"/>
    <w:rsid w:val="008E6955"/>
    <w:rsid w:val="008E777F"/>
    <w:rsid w:val="008E7EF9"/>
    <w:rsid w:val="008F0126"/>
    <w:rsid w:val="008F2475"/>
    <w:rsid w:val="0090025B"/>
    <w:rsid w:val="00904477"/>
    <w:rsid w:val="00906849"/>
    <w:rsid w:val="0092092B"/>
    <w:rsid w:val="00922D31"/>
    <w:rsid w:val="00923029"/>
    <w:rsid w:val="00924424"/>
    <w:rsid w:val="00924F09"/>
    <w:rsid w:val="00931067"/>
    <w:rsid w:val="009336CF"/>
    <w:rsid w:val="00936A46"/>
    <w:rsid w:val="009372BE"/>
    <w:rsid w:val="00942103"/>
    <w:rsid w:val="0094375B"/>
    <w:rsid w:val="00944827"/>
    <w:rsid w:val="00945F9C"/>
    <w:rsid w:val="0095318B"/>
    <w:rsid w:val="00954684"/>
    <w:rsid w:val="009546C5"/>
    <w:rsid w:val="00955CDF"/>
    <w:rsid w:val="009627C0"/>
    <w:rsid w:val="0096415E"/>
    <w:rsid w:val="009664D0"/>
    <w:rsid w:val="00967432"/>
    <w:rsid w:val="0097154F"/>
    <w:rsid w:val="00973293"/>
    <w:rsid w:val="009746A7"/>
    <w:rsid w:val="00976EF1"/>
    <w:rsid w:val="00977470"/>
    <w:rsid w:val="0098476E"/>
    <w:rsid w:val="00990141"/>
    <w:rsid w:val="00990CFC"/>
    <w:rsid w:val="009913A6"/>
    <w:rsid w:val="009936CA"/>
    <w:rsid w:val="009944C5"/>
    <w:rsid w:val="00994943"/>
    <w:rsid w:val="00996A0D"/>
    <w:rsid w:val="009A07A3"/>
    <w:rsid w:val="009A13BD"/>
    <w:rsid w:val="009A1B46"/>
    <w:rsid w:val="009A1EC1"/>
    <w:rsid w:val="009A4505"/>
    <w:rsid w:val="009A5F3D"/>
    <w:rsid w:val="009A641F"/>
    <w:rsid w:val="009B30FA"/>
    <w:rsid w:val="009B3CA2"/>
    <w:rsid w:val="009C10E1"/>
    <w:rsid w:val="009C5ABF"/>
    <w:rsid w:val="009C60DA"/>
    <w:rsid w:val="009C66FE"/>
    <w:rsid w:val="009C6731"/>
    <w:rsid w:val="009C7539"/>
    <w:rsid w:val="009D1438"/>
    <w:rsid w:val="009D15E3"/>
    <w:rsid w:val="009D195A"/>
    <w:rsid w:val="009D33D2"/>
    <w:rsid w:val="009D412E"/>
    <w:rsid w:val="009D61E0"/>
    <w:rsid w:val="009D7886"/>
    <w:rsid w:val="009E1042"/>
    <w:rsid w:val="009E47CC"/>
    <w:rsid w:val="009E527F"/>
    <w:rsid w:val="009E76E0"/>
    <w:rsid w:val="009F0BC4"/>
    <w:rsid w:val="009F3A08"/>
    <w:rsid w:val="009F4202"/>
    <w:rsid w:val="009F4469"/>
    <w:rsid w:val="009F45AB"/>
    <w:rsid w:val="009F49A3"/>
    <w:rsid w:val="009F49EB"/>
    <w:rsid w:val="009F53B7"/>
    <w:rsid w:val="009F6E69"/>
    <w:rsid w:val="009F7E64"/>
    <w:rsid w:val="00A01914"/>
    <w:rsid w:val="00A0364C"/>
    <w:rsid w:val="00A0474C"/>
    <w:rsid w:val="00A06C9A"/>
    <w:rsid w:val="00A131C1"/>
    <w:rsid w:val="00A13C84"/>
    <w:rsid w:val="00A143F1"/>
    <w:rsid w:val="00A14C7F"/>
    <w:rsid w:val="00A15ED9"/>
    <w:rsid w:val="00A202B0"/>
    <w:rsid w:val="00A213DD"/>
    <w:rsid w:val="00A2258D"/>
    <w:rsid w:val="00A23FBE"/>
    <w:rsid w:val="00A3006B"/>
    <w:rsid w:val="00A30AA0"/>
    <w:rsid w:val="00A358CE"/>
    <w:rsid w:val="00A36144"/>
    <w:rsid w:val="00A410D8"/>
    <w:rsid w:val="00A4452C"/>
    <w:rsid w:val="00A5063C"/>
    <w:rsid w:val="00A55878"/>
    <w:rsid w:val="00A560D5"/>
    <w:rsid w:val="00A567A1"/>
    <w:rsid w:val="00A622E9"/>
    <w:rsid w:val="00A637BE"/>
    <w:rsid w:val="00A64555"/>
    <w:rsid w:val="00A64B2C"/>
    <w:rsid w:val="00A653B4"/>
    <w:rsid w:val="00A67A6C"/>
    <w:rsid w:val="00A70FB1"/>
    <w:rsid w:val="00A71151"/>
    <w:rsid w:val="00A748A8"/>
    <w:rsid w:val="00A76434"/>
    <w:rsid w:val="00A818AE"/>
    <w:rsid w:val="00A83ED2"/>
    <w:rsid w:val="00A84128"/>
    <w:rsid w:val="00A84DB5"/>
    <w:rsid w:val="00A90DA3"/>
    <w:rsid w:val="00A92A19"/>
    <w:rsid w:val="00A93967"/>
    <w:rsid w:val="00A97920"/>
    <w:rsid w:val="00AA0DC6"/>
    <w:rsid w:val="00AA183E"/>
    <w:rsid w:val="00AA3858"/>
    <w:rsid w:val="00AA633C"/>
    <w:rsid w:val="00AA66A0"/>
    <w:rsid w:val="00AA6EC1"/>
    <w:rsid w:val="00AB3CE5"/>
    <w:rsid w:val="00AB416F"/>
    <w:rsid w:val="00AC033C"/>
    <w:rsid w:val="00AC21DA"/>
    <w:rsid w:val="00AC2DFF"/>
    <w:rsid w:val="00AC411F"/>
    <w:rsid w:val="00AC5FFD"/>
    <w:rsid w:val="00AC64C8"/>
    <w:rsid w:val="00AD0BCB"/>
    <w:rsid w:val="00AD2890"/>
    <w:rsid w:val="00AD3168"/>
    <w:rsid w:val="00AD68CF"/>
    <w:rsid w:val="00AD7C75"/>
    <w:rsid w:val="00AE27A0"/>
    <w:rsid w:val="00AF0F17"/>
    <w:rsid w:val="00AF1678"/>
    <w:rsid w:val="00AF51D0"/>
    <w:rsid w:val="00B0041E"/>
    <w:rsid w:val="00B02F1E"/>
    <w:rsid w:val="00B03988"/>
    <w:rsid w:val="00B048D4"/>
    <w:rsid w:val="00B05AA2"/>
    <w:rsid w:val="00B05EF4"/>
    <w:rsid w:val="00B07D28"/>
    <w:rsid w:val="00B10271"/>
    <w:rsid w:val="00B16815"/>
    <w:rsid w:val="00B2160D"/>
    <w:rsid w:val="00B258FB"/>
    <w:rsid w:val="00B2672B"/>
    <w:rsid w:val="00B308BC"/>
    <w:rsid w:val="00B30BA4"/>
    <w:rsid w:val="00B35205"/>
    <w:rsid w:val="00B364D1"/>
    <w:rsid w:val="00B41CAE"/>
    <w:rsid w:val="00B43E7B"/>
    <w:rsid w:val="00B5461C"/>
    <w:rsid w:val="00B54B60"/>
    <w:rsid w:val="00B579AF"/>
    <w:rsid w:val="00B606DD"/>
    <w:rsid w:val="00B6404D"/>
    <w:rsid w:val="00B651CA"/>
    <w:rsid w:val="00B664AE"/>
    <w:rsid w:val="00B7194A"/>
    <w:rsid w:val="00B73125"/>
    <w:rsid w:val="00B76BED"/>
    <w:rsid w:val="00B804F3"/>
    <w:rsid w:val="00B8133D"/>
    <w:rsid w:val="00B85F31"/>
    <w:rsid w:val="00B860C7"/>
    <w:rsid w:val="00B869FC"/>
    <w:rsid w:val="00B92BDE"/>
    <w:rsid w:val="00B94615"/>
    <w:rsid w:val="00B96DD6"/>
    <w:rsid w:val="00B974E3"/>
    <w:rsid w:val="00B97801"/>
    <w:rsid w:val="00BA1433"/>
    <w:rsid w:val="00BA22C4"/>
    <w:rsid w:val="00BA4383"/>
    <w:rsid w:val="00BB0D37"/>
    <w:rsid w:val="00BB2F39"/>
    <w:rsid w:val="00BC10FD"/>
    <w:rsid w:val="00BC14D1"/>
    <w:rsid w:val="00BC16BB"/>
    <w:rsid w:val="00BC550B"/>
    <w:rsid w:val="00BC56A2"/>
    <w:rsid w:val="00BC5B56"/>
    <w:rsid w:val="00BD12CA"/>
    <w:rsid w:val="00BD42E6"/>
    <w:rsid w:val="00BD440C"/>
    <w:rsid w:val="00BD45E4"/>
    <w:rsid w:val="00BD596F"/>
    <w:rsid w:val="00BD634B"/>
    <w:rsid w:val="00BD789B"/>
    <w:rsid w:val="00BD7D0B"/>
    <w:rsid w:val="00BE4034"/>
    <w:rsid w:val="00BE414D"/>
    <w:rsid w:val="00BE61FE"/>
    <w:rsid w:val="00BF3B8E"/>
    <w:rsid w:val="00BF48F3"/>
    <w:rsid w:val="00BF6D43"/>
    <w:rsid w:val="00C00011"/>
    <w:rsid w:val="00C00D83"/>
    <w:rsid w:val="00C01B87"/>
    <w:rsid w:val="00C01BBE"/>
    <w:rsid w:val="00C05B3E"/>
    <w:rsid w:val="00C05FB5"/>
    <w:rsid w:val="00C26D14"/>
    <w:rsid w:val="00C27AA8"/>
    <w:rsid w:val="00C27C46"/>
    <w:rsid w:val="00C310E7"/>
    <w:rsid w:val="00C31208"/>
    <w:rsid w:val="00C3225C"/>
    <w:rsid w:val="00C34282"/>
    <w:rsid w:val="00C34CD3"/>
    <w:rsid w:val="00C3748E"/>
    <w:rsid w:val="00C37D4E"/>
    <w:rsid w:val="00C40CD8"/>
    <w:rsid w:val="00C41186"/>
    <w:rsid w:val="00C4132E"/>
    <w:rsid w:val="00C41820"/>
    <w:rsid w:val="00C4197A"/>
    <w:rsid w:val="00C44DA9"/>
    <w:rsid w:val="00C51760"/>
    <w:rsid w:val="00C561B9"/>
    <w:rsid w:val="00C574C1"/>
    <w:rsid w:val="00C57AC5"/>
    <w:rsid w:val="00C602F5"/>
    <w:rsid w:val="00C62364"/>
    <w:rsid w:val="00C6633F"/>
    <w:rsid w:val="00C66BCE"/>
    <w:rsid w:val="00C701D2"/>
    <w:rsid w:val="00C70859"/>
    <w:rsid w:val="00C7631A"/>
    <w:rsid w:val="00C76906"/>
    <w:rsid w:val="00C76BE4"/>
    <w:rsid w:val="00C801D4"/>
    <w:rsid w:val="00C808F0"/>
    <w:rsid w:val="00C812E5"/>
    <w:rsid w:val="00C86DD8"/>
    <w:rsid w:val="00C8745F"/>
    <w:rsid w:val="00C90044"/>
    <w:rsid w:val="00C93228"/>
    <w:rsid w:val="00CA6DAB"/>
    <w:rsid w:val="00CB0526"/>
    <w:rsid w:val="00CB33D0"/>
    <w:rsid w:val="00CB5026"/>
    <w:rsid w:val="00CB51F6"/>
    <w:rsid w:val="00CB5E27"/>
    <w:rsid w:val="00CB6B31"/>
    <w:rsid w:val="00CB6D80"/>
    <w:rsid w:val="00CC11BA"/>
    <w:rsid w:val="00CC15E0"/>
    <w:rsid w:val="00CC2D48"/>
    <w:rsid w:val="00CC384D"/>
    <w:rsid w:val="00CC45DE"/>
    <w:rsid w:val="00CC5231"/>
    <w:rsid w:val="00CC66EC"/>
    <w:rsid w:val="00CC7299"/>
    <w:rsid w:val="00CC7831"/>
    <w:rsid w:val="00CC7B6A"/>
    <w:rsid w:val="00CD3D03"/>
    <w:rsid w:val="00CD4369"/>
    <w:rsid w:val="00CD55C4"/>
    <w:rsid w:val="00CD5A13"/>
    <w:rsid w:val="00CD5F33"/>
    <w:rsid w:val="00CE13C5"/>
    <w:rsid w:val="00CE2CA6"/>
    <w:rsid w:val="00CE36FF"/>
    <w:rsid w:val="00CE65D6"/>
    <w:rsid w:val="00CE6EF6"/>
    <w:rsid w:val="00CE781E"/>
    <w:rsid w:val="00CF1807"/>
    <w:rsid w:val="00CF1F79"/>
    <w:rsid w:val="00CF31C0"/>
    <w:rsid w:val="00CF3AAC"/>
    <w:rsid w:val="00CF54AB"/>
    <w:rsid w:val="00CF6E73"/>
    <w:rsid w:val="00D07149"/>
    <w:rsid w:val="00D13CC0"/>
    <w:rsid w:val="00D152D6"/>
    <w:rsid w:val="00D1640B"/>
    <w:rsid w:val="00D1702D"/>
    <w:rsid w:val="00D1736B"/>
    <w:rsid w:val="00D21CAF"/>
    <w:rsid w:val="00D2236D"/>
    <w:rsid w:val="00D235C3"/>
    <w:rsid w:val="00D26708"/>
    <w:rsid w:val="00D27EE7"/>
    <w:rsid w:val="00D30171"/>
    <w:rsid w:val="00D32E8A"/>
    <w:rsid w:val="00D348BA"/>
    <w:rsid w:val="00D35E81"/>
    <w:rsid w:val="00D37583"/>
    <w:rsid w:val="00D41323"/>
    <w:rsid w:val="00D43526"/>
    <w:rsid w:val="00D51A8E"/>
    <w:rsid w:val="00D51CAE"/>
    <w:rsid w:val="00D5266A"/>
    <w:rsid w:val="00D53658"/>
    <w:rsid w:val="00D54E06"/>
    <w:rsid w:val="00D561AD"/>
    <w:rsid w:val="00D70524"/>
    <w:rsid w:val="00D71D84"/>
    <w:rsid w:val="00D745AD"/>
    <w:rsid w:val="00D74D87"/>
    <w:rsid w:val="00D759A1"/>
    <w:rsid w:val="00D84541"/>
    <w:rsid w:val="00D86091"/>
    <w:rsid w:val="00DA0CF0"/>
    <w:rsid w:val="00DA3397"/>
    <w:rsid w:val="00DA62F9"/>
    <w:rsid w:val="00DA6406"/>
    <w:rsid w:val="00DB1D3D"/>
    <w:rsid w:val="00DB39DB"/>
    <w:rsid w:val="00DB515C"/>
    <w:rsid w:val="00DB7A78"/>
    <w:rsid w:val="00DD1FDE"/>
    <w:rsid w:val="00DD20FC"/>
    <w:rsid w:val="00DD3EB0"/>
    <w:rsid w:val="00DD40BE"/>
    <w:rsid w:val="00DD6D2B"/>
    <w:rsid w:val="00DD6F06"/>
    <w:rsid w:val="00DD7199"/>
    <w:rsid w:val="00DE1F99"/>
    <w:rsid w:val="00DE2E05"/>
    <w:rsid w:val="00DE3025"/>
    <w:rsid w:val="00DE6849"/>
    <w:rsid w:val="00DE70D6"/>
    <w:rsid w:val="00DE719E"/>
    <w:rsid w:val="00DF1590"/>
    <w:rsid w:val="00DF2DAA"/>
    <w:rsid w:val="00DF4D05"/>
    <w:rsid w:val="00E0047E"/>
    <w:rsid w:val="00E02D6D"/>
    <w:rsid w:val="00E0306E"/>
    <w:rsid w:val="00E03D93"/>
    <w:rsid w:val="00E056B8"/>
    <w:rsid w:val="00E0584F"/>
    <w:rsid w:val="00E118C3"/>
    <w:rsid w:val="00E153F1"/>
    <w:rsid w:val="00E207FC"/>
    <w:rsid w:val="00E22A8C"/>
    <w:rsid w:val="00E23E09"/>
    <w:rsid w:val="00E24848"/>
    <w:rsid w:val="00E2598F"/>
    <w:rsid w:val="00E30F77"/>
    <w:rsid w:val="00E315B7"/>
    <w:rsid w:val="00E31770"/>
    <w:rsid w:val="00E3197C"/>
    <w:rsid w:val="00E34C47"/>
    <w:rsid w:val="00E35C99"/>
    <w:rsid w:val="00E365FF"/>
    <w:rsid w:val="00E36816"/>
    <w:rsid w:val="00E43450"/>
    <w:rsid w:val="00E44531"/>
    <w:rsid w:val="00E44FDB"/>
    <w:rsid w:val="00E509E8"/>
    <w:rsid w:val="00E55040"/>
    <w:rsid w:val="00E5745B"/>
    <w:rsid w:val="00E577E0"/>
    <w:rsid w:val="00E6073A"/>
    <w:rsid w:val="00E6159B"/>
    <w:rsid w:val="00E621CC"/>
    <w:rsid w:val="00E628D0"/>
    <w:rsid w:val="00E63DE1"/>
    <w:rsid w:val="00E66CDA"/>
    <w:rsid w:val="00E66F4A"/>
    <w:rsid w:val="00E76DDF"/>
    <w:rsid w:val="00E76E84"/>
    <w:rsid w:val="00E81562"/>
    <w:rsid w:val="00E81DA1"/>
    <w:rsid w:val="00E8218B"/>
    <w:rsid w:val="00E85B4C"/>
    <w:rsid w:val="00E91260"/>
    <w:rsid w:val="00E939D3"/>
    <w:rsid w:val="00EA1984"/>
    <w:rsid w:val="00EA669E"/>
    <w:rsid w:val="00EB0A8A"/>
    <w:rsid w:val="00EB4DF0"/>
    <w:rsid w:val="00EB554A"/>
    <w:rsid w:val="00EB5C82"/>
    <w:rsid w:val="00EB5DB2"/>
    <w:rsid w:val="00EC2804"/>
    <w:rsid w:val="00ED1B0C"/>
    <w:rsid w:val="00ED26B5"/>
    <w:rsid w:val="00ED4133"/>
    <w:rsid w:val="00ED49A8"/>
    <w:rsid w:val="00EE165A"/>
    <w:rsid w:val="00EE1724"/>
    <w:rsid w:val="00EE31E1"/>
    <w:rsid w:val="00EE6C88"/>
    <w:rsid w:val="00EF22C4"/>
    <w:rsid w:val="00F00FDC"/>
    <w:rsid w:val="00F014D5"/>
    <w:rsid w:val="00F04735"/>
    <w:rsid w:val="00F07733"/>
    <w:rsid w:val="00F07C26"/>
    <w:rsid w:val="00F10718"/>
    <w:rsid w:val="00F10F75"/>
    <w:rsid w:val="00F13A08"/>
    <w:rsid w:val="00F1588B"/>
    <w:rsid w:val="00F1600A"/>
    <w:rsid w:val="00F17311"/>
    <w:rsid w:val="00F20A04"/>
    <w:rsid w:val="00F213B5"/>
    <w:rsid w:val="00F2419A"/>
    <w:rsid w:val="00F26141"/>
    <w:rsid w:val="00F27EFD"/>
    <w:rsid w:val="00F307E5"/>
    <w:rsid w:val="00F32331"/>
    <w:rsid w:val="00F32901"/>
    <w:rsid w:val="00F3304E"/>
    <w:rsid w:val="00F348C5"/>
    <w:rsid w:val="00F4023B"/>
    <w:rsid w:val="00F43FAC"/>
    <w:rsid w:val="00F449B5"/>
    <w:rsid w:val="00F4661D"/>
    <w:rsid w:val="00F4755C"/>
    <w:rsid w:val="00F508CD"/>
    <w:rsid w:val="00F50D5F"/>
    <w:rsid w:val="00F52081"/>
    <w:rsid w:val="00F52D42"/>
    <w:rsid w:val="00F53898"/>
    <w:rsid w:val="00F561CC"/>
    <w:rsid w:val="00F60B0E"/>
    <w:rsid w:val="00F62578"/>
    <w:rsid w:val="00F62EE2"/>
    <w:rsid w:val="00F64308"/>
    <w:rsid w:val="00F64476"/>
    <w:rsid w:val="00F6521D"/>
    <w:rsid w:val="00F660E8"/>
    <w:rsid w:val="00F70BBC"/>
    <w:rsid w:val="00F7353F"/>
    <w:rsid w:val="00F76901"/>
    <w:rsid w:val="00F802D2"/>
    <w:rsid w:val="00F804DD"/>
    <w:rsid w:val="00F8187C"/>
    <w:rsid w:val="00F83445"/>
    <w:rsid w:val="00F85F5D"/>
    <w:rsid w:val="00F90B74"/>
    <w:rsid w:val="00F93C3D"/>
    <w:rsid w:val="00F9419F"/>
    <w:rsid w:val="00F9485D"/>
    <w:rsid w:val="00F9502F"/>
    <w:rsid w:val="00F97A0C"/>
    <w:rsid w:val="00FA61C8"/>
    <w:rsid w:val="00FB1AAD"/>
    <w:rsid w:val="00FB24F1"/>
    <w:rsid w:val="00FB4384"/>
    <w:rsid w:val="00FB4B0E"/>
    <w:rsid w:val="00FB4CC2"/>
    <w:rsid w:val="00FB531D"/>
    <w:rsid w:val="00FD0C4E"/>
    <w:rsid w:val="00FD1CB4"/>
    <w:rsid w:val="00FD39F0"/>
    <w:rsid w:val="00FD422F"/>
    <w:rsid w:val="00FD45EB"/>
    <w:rsid w:val="00FD5C6B"/>
    <w:rsid w:val="00FD666D"/>
    <w:rsid w:val="00FE5EE2"/>
    <w:rsid w:val="00FE7A51"/>
    <w:rsid w:val="00FF34A1"/>
    <w:rsid w:val="00FF6C53"/>
    <w:rsid w:val="00FF6CBF"/>
    <w:rsid w:val="01D5517F"/>
    <w:rsid w:val="032F56A3"/>
    <w:rsid w:val="03BBDA4B"/>
    <w:rsid w:val="055F3290"/>
    <w:rsid w:val="06F87959"/>
    <w:rsid w:val="0857B4C2"/>
    <w:rsid w:val="0944B3CC"/>
    <w:rsid w:val="0A9093B2"/>
    <w:rsid w:val="0C1C4642"/>
    <w:rsid w:val="0C8758AD"/>
    <w:rsid w:val="1150B13B"/>
    <w:rsid w:val="154E4D25"/>
    <w:rsid w:val="1668A6D4"/>
    <w:rsid w:val="16F299EC"/>
    <w:rsid w:val="19CDB791"/>
    <w:rsid w:val="1A4AF710"/>
    <w:rsid w:val="1AE1934D"/>
    <w:rsid w:val="1D68D474"/>
    <w:rsid w:val="1DC4630F"/>
    <w:rsid w:val="226ED5A7"/>
    <w:rsid w:val="22C3D140"/>
    <w:rsid w:val="25276786"/>
    <w:rsid w:val="2573E659"/>
    <w:rsid w:val="27920489"/>
    <w:rsid w:val="28041125"/>
    <w:rsid w:val="28299540"/>
    <w:rsid w:val="29C21F2F"/>
    <w:rsid w:val="2A478A4D"/>
    <w:rsid w:val="2B57E2BF"/>
    <w:rsid w:val="2CC5C075"/>
    <w:rsid w:val="2D12F81A"/>
    <w:rsid w:val="2E041CF6"/>
    <w:rsid w:val="303B8914"/>
    <w:rsid w:val="31A84D06"/>
    <w:rsid w:val="31FB2235"/>
    <w:rsid w:val="329AF7D8"/>
    <w:rsid w:val="3621D3EB"/>
    <w:rsid w:val="36777625"/>
    <w:rsid w:val="3B73EBCB"/>
    <w:rsid w:val="3BDEB25E"/>
    <w:rsid w:val="3C06FAA9"/>
    <w:rsid w:val="3CF431D7"/>
    <w:rsid w:val="3D9D0D17"/>
    <w:rsid w:val="3E0F3248"/>
    <w:rsid w:val="3E22FAD5"/>
    <w:rsid w:val="400C5148"/>
    <w:rsid w:val="4132E918"/>
    <w:rsid w:val="41CC9321"/>
    <w:rsid w:val="42016D82"/>
    <w:rsid w:val="45CA68E8"/>
    <w:rsid w:val="464E98D3"/>
    <w:rsid w:val="46A927C6"/>
    <w:rsid w:val="479D4F60"/>
    <w:rsid w:val="49539AF0"/>
    <w:rsid w:val="4AEBBA9F"/>
    <w:rsid w:val="4DD5AD9E"/>
    <w:rsid w:val="4ED02E2C"/>
    <w:rsid w:val="4FE538D8"/>
    <w:rsid w:val="50650E21"/>
    <w:rsid w:val="51687854"/>
    <w:rsid w:val="517C00C0"/>
    <w:rsid w:val="51D7B811"/>
    <w:rsid w:val="538D9F1B"/>
    <w:rsid w:val="53ECB8C0"/>
    <w:rsid w:val="5439D36A"/>
    <w:rsid w:val="5509BB5A"/>
    <w:rsid w:val="5530F760"/>
    <w:rsid w:val="57B96777"/>
    <w:rsid w:val="57CAF200"/>
    <w:rsid w:val="590AB405"/>
    <w:rsid w:val="59442ED7"/>
    <w:rsid w:val="595D3614"/>
    <w:rsid w:val="5AB1D2C6"/>
    <w:rsid w:val="5CBF9798"/>
    <w:rsid w:val="5DB456AA"/>
    <w:rsid w:val="6244CA17"/>
    <w:rsid w:val="660B3707"/>
    <w:rsid w:val="68218714"/>
    <w:rsid w:val="685A91BD"/>
    <w:rsid w:val="6A100F11"/>
    <w:rsid w:val="6AC85C32"/>
    <w:rsid w:val="6BB4C917"/>
    <w:rsid w:val="6BD31B78"/>
    <w:rsid w:val="6D7E2E72"/>
    <w:rsid w:val="6E714E7C"/>
    <w:rsid w:val="6F0811E6"/>
    <w:rsid w:val="75A8DE3B"/>
    <w:rsid w:val="7627C33C"/>
    <w:rsid w:val="766E5829"/>
    <w:rsid w:val="798E27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A17B67F5-3347-48A4-AFA2-0F2105A4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aliases w:val="Footnote Text Char Char"/>
    <w:basedOn w:val="Normal"/>
    <w:link w:val="FootnoteTextChar"/>
    <w:uiPriority w:val="99"/>
    <w:rsid w:val="00F26141"/>
  </w:style>
  <w:style w:type="character" w:customStyle="1" w:styleId="FootnoteTextChar">
    <w:name w:val="Footnote Text Char"/>
    <w:aliases w:val="Footnote Text Char Char Char"/>
    <w:basedOn w:val="DefaultParagraphFont"/>
    <w:link w:val="FootnoteText"/>
    <w:uiPriority w:val="99"/>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styleId="NoSpacing">
    <w:name w:val="No Spacing"/>
    <w:uiPriority w:val="1"/>
    <w:qFormat/>
    <w:rsid w:val="00E76DDF"/>
    <w:rPr>
      <w:rFonts w:eastAsia="Calibri"/>
      <w:szCs w:val="24"/>
    </w:rPr>
  </w:style>
  <w:style w:type="character" w:styleId="Mention">
    <w:name w:val="Mention"/>
    <w:basedOn w:val="DefaultParagraphFont"/>
    <w:uiPriority w:val="99"/>
    <w:unhideWhenUsed/>
    <w:rsid w:val="004332D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 TargetMode="External" /><Relationship Id="rId11" Type="http://schemas.openxmlformats.org/officeDocument/2006/relationships/hyperlink" Target="https://www.reginfo.gov/public/do/PRAMain"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knowledge.hubspot.com/articles/kcs_article/email/how-do-i-add-an-unsubscribe-link-to-my-one-to-one-sales-emails-and-sequences" TargetMode="External" /><Relationship Id="rId2" Type="http://schemas.openxmlformats.org/officeDocument/2006/relationships/hyperlink" Target="https://www.hubspot.com/pricing/sales?selectedPackage=free" TargetMode="External" /><Relationship Id="rId3" Type="http://schemas.openxmlformats.org/officeDocument/2006/relationships/hyperlink" Target="https://answers.microsoft.com/en-us/outlook_com/forum/all/insert-unsubscribe-link/4e37fcb2-e038-403d-93d3-68203675e4cb" TargetMode="External" /><Relationship Id="rId4" Type="http://schemas.openxmlformats.org/officeDocument/2006/relationships/hyperlink" Target="https://www.protextig.com/product-and-services.html" TargetMode="External" /><Relationship Id="rId5" Type="http://schemas.openxmlformats.org/officeDocument/2006/relationships/hyperlink" Target="http://files.consumerfinance.gov/f/documents/Third_Party_Debt_Collection_Operations_Study_embargoed.pdf" TargetMode="External" /><Relationship Id="rId6" Type="http://schemas.openxmlformats.org/officeDocument/2006/relationships/hyperlink" Target="https://files.consumerfinance.gov/f/201505_cfpb_data-point-credit-invisibl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OPSOCDOPRA-2116056712-2137159</_dlc_DocId>
    <_dlc_DocIdUrl xmlns="8097749c-35e3-4292-9c41-d352b303d2cf">
      <Url>https://bcfp365.sharepoint.com/sites/ops-ocdo-pra/_layouts/15/DocIdRedir.aspx?ID=OPSOCDOPRA-2116056712-2137159</Url>
      <Description>OPSOCDOPRA-2116056712-2137159</Description>
    </_dlc_DocIdUrl>
    <md95245a80cd48af84779a6a8432aa88 xmlns="3c358492-2927-472d-85d8-14627d068203">
      <Terms xmlns="http://schemas.microsoft.com/office/infopath/2007/PartnerControls"/>
    </md95245a80cd48af84779a6a8432aa88>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1E825-D177-4E3A-AF48-9C09547D12B4}">
  <ds:schemaRefs>
    <ds:schemaRef ds:uri="http://schemas.microsoft.com/sharepoint/events"/>
  </ds:schemaRefs>
</ds:datastoreItem>
</file>

<file path=customXml/itemProps2.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http://schemas.microsoft.com/sharepoint/v3"/>
    <ds:schemaRef ds:uri="8097749c-35e3-4292-9c41-d352b303d2cf"/>
    <ds:schemaRef ds:uri="3c358492-2927-472d-85d8-14627d068203"/>
  </ds:schemaRefs>
</ds:datastoreItem>
</file>

<file path=customXml/itemProps3.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4.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5.xml><?xml version="1.0" encoding="utf-8"?>
<ds:datastoreItem xmlns:ds="http://schemas.openxmlformats.org/officeDocument/2006/customXml" ds:itemID="{A4A4D46C-9A60-40EA-B42D-C443D5A17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5240</Words>
  <Characters>29868</Characters>
  <Application>Microsoft Office Word</Application>
  <DocSecurity>0</DocSecurity>
  <Lines>248</Lines>
  <Paragraphs>70</Paragraphs>
  <ScaleCrop>false</ScaleCrop>
  <Company>Bureau of Labor Statistics</Company>
  <LinksUpToDate>false</LinksUpToDate>
  <CharactersWithSpaces>35038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May, Anthony (CFPB)</cp:lastModifiedBy>
  <cp:revision>21</cp:revision>
  <cp:lastPrinted>2017-07-25T16:39:00Z</cp:lastPrinted>
  <dcterms:created xsi:type="dcterms:W3CDTF">2024-07-23T17:52:00Z</dcterms:created>
  <dcterms:modified xsi:type="dcterms:W3CDTF">2024-07-23T19:02:00Z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TaxKeyword">
    <vt:lpwstr/>
  </property>
  <property fmtid="{D5CDD505-2E9C-101B-9397-08002B2CF9AE}" pid="6" name="West km Library Group RMR-Regs">
    <vt:lpwstr/>
  </property>
  <property fmtid="{D5CDD505-2E9C-101B-9397-08002B2CF9AE}" pid="7" name="_dlc_DocIdItemGuid">
    <vt:lpwstr>a1529e27-4983-4a7d-9c86-a2aea362cffe</vt:lpwstr>
  </property>
  <property fmtid="{D5CDD505-2E9C-101B-9397-08002B2CF9AE}" pid="8" name="_NewReviewCycle">
    <vt:lpwstr/>
  </property>
</Properties>
</file>