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1900EED7" w14:textId="77777777"/>
    <w:p w:rsidR="003225D2" w:rsidP="001650D5" w14:paraId="53D77E0E"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0D0BB1A9" w14:textId="77777777">
      <w:pPr>
        <w:jc w:val="center"/>
        <w:rPr>
          <w:b/>
          <w:caps/>
          <w:sz w:val="24"/>
          <w:szCs w:val="24"/>
        </w:rPr>
      </w:pPr>
      <w:r>
        <w:rPr>
          <w:b/>
          <w:sz w:val="24"/>
        </w:rPr>
        <w:t>REAL</w:t>
      </w:r>
      <w:r>
        <w:rPr>
          <w:b/>
          <w:spacing w:val="-6"/>
          <w:sz w:val="24"/>
        </w:rPr>
        <w:t xml:space="preserve"> </w:t>
      </w:r>
      <w:r>
        <w:rPr>
          <w:b/>
          <w:sz w:val="24"/>
        </w:rPr>
        <w:t>ESTATE</w:t>
      </w:r>
      <w:r>
        <w:rPr>
          <w:b/>
          <w:spacing w:val="-3"/>
          <w:sz w:val="24"/>
        </w:rPr>
        <w:t xml:space="preserve"> </w:t>
      </w:r>
      <w:r>
        <w:rPr>
          <w:b/>
          <w:sz w:val="24"/>
        </w:rPr>
        <w:t>SETTLEMENT</w:t>
      </w:r>
      <w:r>
        <w:rPr>
          <w:b/>
          <w:spacing w:val="-3"/>
          <w:sz w:val="24"/>
        </w:rPr>
        <w:t xml:space="preserve"> </w:t>
      </w:r>
      <w:r>
        <w:rPr>
          <w:b/>
          <w:sz w:val="24"/>
        </w:rPr>
        <w:t>PROCEDURES</w:t>
      </w:r>
      <w:r>
        <w:rPr>
          <w:b/>
          <w:spacing w:val="-3"/>
          <w:sz w:val="24"/>
        </w:rPr>
        <w:t xml:space="preserve"> </w:t>
      </w:r>
      <w:r>
        <w:rPr>
          <w:b/>
          <w:sz w:val="24"/>
        </w:rPr>
        <w:t>ACT</w:t>
      </w:r>
      <w:r>
        <w:rPr>
          <w:b/>
          <w:spacing w:val="-4"/>
          <w:sz w:val="24"/>
        </w:rPr>
        <w:t xml:space="preserve"> </w:t>
      </w:r>
      <w:r>
        <w:rPr>
          <w:b/>
          <w:sz w:val="24"/>
        </w:rPr>
        <w:t>(REGULATION</w:t>
      </w:r>
      <w:r>
        <w:rPr>
          <w:b/>
          <w:spacing w:val="-3"/>
          <w:sz w:val="24"/>
        </w:rPr>
        <w:t xml:space="preserve"> </w:t>
      </w:r>
      <w:r>
        <w:rPr>
          <w:b/>
          <w:sz w:val="24"/>
        </w:rPr>
        <w:t>X)</w:t>
      </w:r>
    </w:p>
    <w:p w:rsidR="003225D2" w:rsidRPr="00BF6D43" w:rsidP="003225D2" w14:paraId="14AB5A51" w14:textId="77777777">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E94287">
        <w:rPr>
          <w:b/>
          <w:bCs/>
          <w:sz w:val="24"/>
          <w:szCs w:val="24"/>
        </w:rPr>
        <w:t>16</w:t>
      </w:r>
    </w:p>
    <w:p w:rsidR="00A4452C" w:rsidRPr="00BF6D43" w:rsidP="000F0DD6" w14:paraId="0CB49891" w14:textId="77777777">
      <w:pPr>
        <w:tabs>
          <w:tab w:val="left" w:pos="880"/>
        </w:tabs>
        <w:rPr>
          <w:b/>
          <w:caps/>
          <w:sz w:val="24"/>
        </w:rPr>
      </w:pPr>
      <w:r w:rsidRPr="00BF6D43">
        <w:rPr>
          <w:b/>
          <w:caps/>
          <w:sz w:val="24"/>
        </w:rPr>
        <w:tab/>
      </w:r>
    </w:p>
    <w:p w:rsidR="005F1FFC" w:rsidRPr="00BF6D43" w:rsidP="005F1FFC" w14:paraId="074D9C91" w14:textId="77777777">
      <w:pPr>
        <w:jc w:val="center"/>
        <w:rPr>
          <w:b/>
          <w:sz w:val="24"/>
        </w:rPr>
      </w:pPr>
    </w:p>
    <w:p w:rsidR="005F1FFC" w:rsidRPr="00BF6D43" w:rsidP="005F1FFC" w14:paraId="477C0865" w14:textId="77777777">
      <w:pPr>
        <w:rPr>
          <w:b/>
          <w:sz w:val="24"/>
        </w:rPr>
      </w:pPr>
      <w:r w:rsidRPr="00BF6D43">
        <w:rPr>
          <w:b/>
          <w:sz w:val="24"/>
        </w:rPr>
        <w:t xml:space="preserve">A.  </w:t>
      </w:r>
      <w:r w:rsidRPr="00BF6D43">
        <w:rPr>
          <w:b/>
          <w:caps/>
          <w:sz w:val="24"/>
        </w:rPr>
        <w:t>Justification</w:t>
      </w:r>
    </w:p>
    <w:p w:rsidR="005F1FFC" w:rsidRPr="00BF6D43" w:rsidP="005F1FFC" w14:paraId="7C5ADA7D" w14:textId="77777777">
      <w:pPr>
        <w:rPr>
          <w:b/>
          <w:sz w:val="24"/>
        </w:rPr>
      </w:pPr>
    </w:p>
    <w:p w:rsidR="00092D91" w:rsidRPr="00BF6D43" w:rsidP="00092D91" w14:paraId="447CD868"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3D3A" w:rsidP="00BF3D3A" w14:paraId="0486F64F" w14:textId="77777777">
      <w:pPr>
        <w:pStyle w:val="BodyText"/>
        <w:spacing w:before="1"/>
        <w:ind w:left="220"/>
      </w:pPr>
    </w:p>
    <w:p w:rsidR="00FD2D3B" w:rsidP="00BF3D3A" w14:paraId="48A3F716" w14:textId="62AEE951">
      <w:pPr>
        <w:pStyle w:val="BodyText"/>
        <w:spacing w:before="1"/>
        <w:ind w:left="220"/>
      </w:pPr>
      <w:r>
        <w:t>The</w:t>
      </w:r>
      <w:r>
        <w:rPr>
          <w:spacing w:val="-4"/>
        </w:rPr>
        <w:t xml:space="preserve"> </w:t>
      </w:r>
      <w:r>
        <w:t>Real</w:t>
      </w:r>
      <w:r>
        <w:rPr>
          <w:spacing w:val="-1"/>
        </w:rPr>
        <w:t xml:space="preserve"> </w:t>
      </w:r>
      <w:r>
        <w:t>Estate</w:t>
      </w:r>
      <w:r>
        <w:rPr>
          <w:spacing w:val="-2"/>
        </w:rPr>
        <w:t xml:space="preserve"> </w:t>
      </w:r>
      <w:r>
        <w:t>Settlement</w:t>
      </w:r>
      <w:r>
        <w:rPr>
          <w:spacing w:val="-1"/>
        </w:rPr>
        <w:t xml:space="preserve"> </w:t>
      </w:r>
      <w:r>
        <w:t>Procedures</w:t>
      </w:r>
      <w:r>
        <w:rPr>
          <w:spacing w:val="-2"/>
        </w:rPr>
        <w:t xml:space="preserve"> </w:t>
      </w:r>
      <w:r>
        <w:t>Act</w:t>
      </w:r>
      <w:r>
        <w:rPr>
          <w:spacing w:val="-1"/>
        </w:rPr>
        <w:t xml:space="preserve"> </w:t>
      </w:r>
      <w:r>
        <w:t>of</w:t>
      </w:r>
      <w:r>
        <w:rPr>
          <w:spacing w:val="-2"/>
        </w:rPr>
        <w:t xml:space="preserve"> </w:t>
      </w:r>
      <w:r>
        <w:t>1974</w:t>
      </w:r>
      <w:r>
        <w:rPr>
          <w:spacing w:val="-2"/>
        </w:rPr>
        <w:t xml:space="preserve"> </w:t>
      </w:r>
      <w:r>
        <w:t>(RESPA)</w:t>
      </w:r>
      <w:r>
        <w:rPr>
          <w:rStyle w:val="FootnoteReference"/>
        </w:rPr>
        <w:footnoteReference w:id="3"/>
      </w:r>
      <w:r w:rsidR="00B565D4">
        <w:t xml:space="preserve"> </w:t>
      </w:r>
      <w:r>
        <w:t>as</w:t>
      </w:r>
      <w:r>
        <w:rPr>
          <w:spacing w:val="-1"/>
        </w:rPr>
        <w:t xml:space="preserve"> </w:t>
      </w:r>
      <w:r>
        <w:rPr>
          <w:spacing w:val="-2"/>
        </w:rPr>
        <w:t>amended,</w:t>
      </w:r>
      <w:r w:rsidR="00D150DA">
        <w:rPr>
          <w:spacing w:val="-2"/>
        </w:rPr>
        <w:t xml:space="preserve"> </w:t>
      </w:r>
      <w:r>
        <w:t>requires lenders, mortgage brokers, or servicers of certain home loans to provide borrowers with pertinent</w:t>
      </w:r>
      <w:r>
        <w:rPr>
          <w:spacing w:val="-3"/>
        </w:rPr>
        <w:t xml:space="preserve"> </w:t>
      </w:r>
      <w:r>
        <w:t>and</w:t>
      </w:r>
      <w:r>
        <w:rPr>
          <w:spacing w:val="-3"/>
        </w:rPr>
        <w:t xml:space="preserve"> </w:t>
      </w:r>
      <w:r>
        <w:t>timely</w:t>
      </w:r>
      <w:r>
        <w:rPr>
          <w:spacing w:val="-3"/>
        </w:rPr>
        <w:t xml:space="preserve"> </w:t>
      </w:r>
      <w:r>
        <w:t>disclosures</w:t>
      </w:r>
      <w:r>
        <w:rPr>
          <w:spacing w:val="-3"/>
        </w:rPr>
        <w:t xml:space="preserve"> </w:t>
      </w:r>
      <w:r>
        <w:t>regarding</w:t>
      </w:r>
      <w:r>
        <w:rPr>
          <w:spacing w:val="-5"/>
        </w:rPr>
        <w:t xml:space="preserve"> </w:t>
      </w:r>
      <w:r>
        <w:t>the</w:t>
      </w:r>
      <w:r>
        <w:rPr>
          <w:spacing w:val="-3"/>
        </w:rPr>
        <w:t xml:space="preserve"> </w:t>
      </w:r>
      <w:r>
        <w:t>nature</w:t>
      </w:r>
      <w:r>
        <w:rPr>
          <w:spacing w:val="-4"/>
        </w:rPr>
        <w:t xml:space="preserve"> </w:t>
      </w:r>
      <w:r>
        <w:t>and</w:t>
      </w:r>
      <w:r>
        <w:rPr>
          <w:spacing w:val="-3"/>
        </w:rPr>
        <w:t xml:space="preserve"> </w:t>
      </w:r>
      <w:r>
        <w:t>costs</w:t>
      </w:r>
      <w:r>
        <w:rPr>
          <w:spacing w:val="-3"/>
        </w:rPr>
        <w:t xml:space="preserve"> </w:t>
      </w:r>
      <w:r>
        <w:t>of</w:t>
      </w:r>
      <w:r>
        <w:rPr>
          <w:spacing w:val="-4"/>
        </w:rPr>
        <w:t xml:space="preserve"> </w:t>
      </w:r>
      <w:r>
        <w:t>the</w:t>
      </w:r>
      <w:r>
        <w:rPr>
          <w:spacing w:val="-3"/>
        </w:rPr>
        <w:t xml:space="preserve"> </w:t>
      </w:r>
      <w:r>
        <w:t>real</w:t>
      </w:r>
      <w:r>
        <w:rPr>
          <w:spacing w:val="-3"/>
        </w:rPr>
        <w:t xml:space="preserve"> </w:t>
      </w:r>
      <w:r>
        <w:t>estate</w:t>
      </w:r>
      <w:r>
        <w:rPr>
          <w:spacing w:val="-3"/>
        </w:rPr>
        <w:t xml:space="preserve"> </w:t>
      </w:r>
      <w:r>
        <w:t>settlement</w:t>
      </w:r>
      <w:r>
        <w:rPr>
          <w:spacing w:val="-3"/>
        </w:rPr>
        <w:t xml:space="preserve"> </w:t>
      </w:r>
      <w:r>
        <w:t>process,</w:t>
      </w:r>
      <w:r>
        <w:rPr>
          <w:spacing w:val="-3"/>
        </w:rPr>
        <w:t xml:space="preserve"> </w:t>
      </w:r>
      <w:r>
        <w:t>as well as servicing, including escrowing. The Act also prohibits specific practices, such as kickbacks, and places limitations upon the use of escrow accounts</w:t>
      </w:r>
      <w:r w:rsidR="00EE6725">
        <w:t>. A</w:t>
      </w:r>
      <w:r>
        <w:t>mong other things</w:t>
      </w:r>
      <w:r w:rsidR="00EE6725">
        <w:t>,</w:t>
      </w:r>
      <w:r>
        <w:t xml:space="preserve"> the purposes of RESPA include, in part, providing consumers with more effective advance disclosure of settlement costs and eliminating certain abusive practices that tend to increase unnecessarily the costs of settlement </w:t>
      </w:r>
      <w:r>
        <w:rPr>
          <w:spacing w:val="-2"/>
        </w:rPr>
        <w:t>services.</w:t>
      </w:r>
    </w:p>
    <w:p w:rsidR="00FD2D3B" w:rsidP="00FD2D3B" w14:paraId="554ADE48" w14:textId="77777777">
      <w:pPr>
        <w:pStyle w:val="BodyText"/>
      </w:pPr>
    </w:p>
    <w:p w:rsidR="00FD2D3B" w:rsidP="00FD2D3B" w14:paraId="343E6173" w14:textId="77777777">
      <w:pPr>
        <w:pStyle w:val="BodyText"/>
        <w:ind w:left="220" w:right="297"/>
      </w:pPr>
      <w:r>
        <w:t>The</w:t>
      </w:r>
      <w:r>
        <w:rPr>
          <w:spacing w:val="-3"/>
        </w:rPr>
        <w:t xml:space="preserve"> </w:t>
      </w:r>
      <w:r>
        <w:t>Dodd-Frank</w:t>
      </w:r>
      <w:r>
        <w:rPr>
          <w:spacing w:val="-3"/>
        </w:rPr>
        <w:t xml:space="preserve"> </w:t>
      </w:r>
      <w:r>
        <w:t>Wall</w:t>
      </w:r>
      <w:r>
        <w:rPr>
          <w:spacing w:val="-3"/>
        </w:rPr>
        <w:t xml:space="preserve"> </w:t>
      </w:r>
      <w:r>
        <w:t>Street</w:t>
      </w:r>
      <w:r>
        <w:rPr>
          <w:spacing w:val="-3"/>
        </w:rPr>
        <w:t xml:space="preserve"> </w:t>
      </w:r>
      <w:r>
        <w:t>Reform</w:t>
      </w:r>
      <w:r>
        <w:rPr>
          <w:spacing w:val="-4"/>
        </w:rPr>
        <w:t xml:space="preserve"> </w:t>
      </w:r>
      <w:r>
        <w:t>and</w:t>
      </w:r>
      <w:r>
        <w:rPr>
          <w:spacing w:val="-3"/>
        </w:rPr>
        <w:t xml:space="preserve"> </w:t>
      </w:r>
      <w:r>
        <w:t>Consumer</w:t>
      </w:r>
      <w:r>
        <w:rPr>
          <w:spacing w:val="-3"/>
        </w:rPr>
        <w:t xml:space="preserve"> </w:t>
      </w:r>
      <w:r>
        <w:t>Protection</w:t>
      </w:r>
      <w:r>
        <w:rPr>
          <w:spacing w:val="-3"/>
        </w:rPr>
        <w:t xml:space="preserve"> </w:t>
      </w:r>
      <w:r>
        <w:t>Act</w:t>
      </w:r>
      <w:r>
        <w:rPr>
          <w:spacing w:val="-3"/>
        </w:rPr>
        <w:t xml:space="preserve"> </w:t>
      </w:r>
      <w:r>
        <w:t>(Dodd-Frank)</w:t>
      </w:r>
      <w:r>
        <w:rPr>
          <w:spacing w:val="-3"/>
        </w:rPr>
        <w:t xml:space="preserve"> </w:t>
      </w:r>
      <w:r>
        <w:t>amended</w:t>
      </w:r>
      <w:r>
        <w:rPr>
          <w:spacing w:val="-3"/>
        </w:rPr>
        <w:t xml:space="preserve"> </w:t>
      </w:r>
      <w:r>
        <w:t>RESPA by, among other things, requiring a single, integrated disclosure for mortgage loan transactions, mandating new disclosures and protections concerning force-placed hazard insurance, revising requirements</w:t>
      </w:r>
      <w:r>
        <w:rPr>
          <w:spacing w:val="-2"/>
        </w:rPr>
        <w:t xml:space="preserve"> </w:t>
      </w:r>
      <w:r>
        <w:t>for</w:t>
      </w:r>
      <w:r>
        <w:rPr>
          <w:spacing w:val="-2"/>
        </w:rPr>
        <w:t xml:space="preserve"> </w:t>
      </w:r>
      <w:r>
        <w:t>home</w:t>
      </w:r>
      <w:r>
        <w:rPr>
          <w:spacing w:val="-2"/>
        </w:rPr>
        <w:t xml:space="preserve"> </w:t>
      </w:r>
      <w:r>
        <w:t>buying</w:t>
      </w:r>
      <w:r>
        <w:rPr>
          <w:spacing w:val="-2"/>
        </w:rPr>
        <w:t xml:space="preserve"> </w:t>
      </w:r>
      <w:r>
        <w:t>information</w:t>
      </w:r>
      <w:r>
        <w:rPr>
          <w:spacing w:val="-2"/>
        </w:rPr>
        <w:t xml:space="preserve"> </w:t>
      </w:r>
      <w:r>
        <w:t>booklets,</w:t>
      </w:r>
      <w:r>
        <w:rPr>
          <w:spacing w:val="-4"/>
        </w:rPr>
        <w:t xml:space="preserve"> </w:t>
      </w:r>
      <w:r>
        <w:t>reducing</w:t>
      </w:r>
      <w:r>
        <w:rPr>
          <w:spacing w:val="-2"/>
        </w:rPr>
        <w:t xml:space="preserve"> </w:t>
      </w:r>
      <w:r>
        <w:t>response</w:t>
      </w:r>
      <w:r>
        <w:rPr>
          <w:spacing w:val="-3"/>
        </w:rPr>
        <w:t xml:space="preserve"> </w:t>
      </w:r>
      <w:r>
        <w:t>times</w:t>
      </w:r>
      <w:r>
        <w:rPr>
          <w:spacing w:val="-2"/>
        </w:rPr>
        <w:t xml:space="preserve"> </w:t>
      </w:r>
      <w:r>
        <w:t>to</w:t>
      </w:r>
      <w:r>
        <w:rPr>
          <w:spacing w:val="-2"/>
        </w:rPr>
        <w:t xml:space="preserve"> </w:t>
      </w:r>
      <w:r>
        <w:t>borrower</w:t>
      </w:r>
      <w:r>
        <w:rPr>
          <w:spacing w:val="-2"/>
        </w:rPr>
        <w:t xml:space="preserve"> </w:t>
      </w:r>
      <w:r>
        <w:t>inquiries, and</w:t>
      </w:r>
      <w:r>
        <w:rPr>
          <w:spacing w:val="-3"/>
        </w:rPr>
        <w:t xml:space="preserve"> </w:t>
      </w:r>
      <w:r>
        <w:t>settling</w:t>
      </w:r>
      <w:r>
        <w:rPr>
          <w:spacing w:val="-5"/>
        </w:rPr>
        <w:t xml:space="preserve"> </w:t>
      </w:r>
      <w:r>
        <w:t>time</w:t>
      </w:r>
      <w:r>
        <w:rPr>
          <w:spacing w:val="-3"/>
        </w:rPr>
        <w:t xml:space="preserve"> </w:t>
      </w:r>
      <w:r>
        <w:t>limits</w:t>
      </w:r>
      <w:r>
        <w:rPr>
          <w:spacing w:val="-3"/>
        </w:rPr>
        <w:t xml:space="preserve"> </w:t>
      </w:r>
      <w:r>
        <w:t>on</w:t>
      </w:r>
      <w:r>
        <w:rPr>
          <w:spacing w:val="-3"/>
        </w:rPr>
        <w:t xml:space="preserve"> </w:t>
      </w:r>
      <w:r>
        <w:t>refunds</w:t>
      </w:r>
      <w:r>
        <w:rPr>
          <w:spacing w:val="-3"/>
        </w:rPr>
        <w:t xml:space="preserve"> </w:t>
      </w:r>
      <w:r>
        <w:t>of</w:t>
      </w:r>
      <w:r>
        <w:rPr>
          <w:spacing w:val="-4"/>
        </w:rPr>
        <w:t xml:space="preserve"> </w:t>
      </w:r>
      <w:r>
        <w:t>escrow</w:t>
      </w:r>
      <w:r>
        <w:rPr>
          <w:spacing w:val="-4"/>
        </w:rPr>
        <w:t xml:space="preserve"> </w:t>
      </w:r>
      <w:r>
        <w:t>account</w:t>
      </w:r>
      <w:r>
        <w:rPr>
          <w:spacing w:val="-3"/>
        </w:rPr>
        <w:t xml:space="preserve"> </w:t>
      </w:r>
      <w:r>
        <w:t>balances</w:t>
      </w:r>
      <w:r>
        <w:rPr>
          <w:spacing w:val="-4"/>
        </w:rPr>
        <w:t xml:space="preserve"> </w:t>
      </w:r>
      <w:r>
        <w:t>at</w:t>
      </w:r>
      <w:r>
        <w:rPr>
          <w:spacing w:val="-3"/>
        </w:rPr>
        <w:t xml:space="preserve"> </w:t>
      </w:r>
      <w:r>
        <w:t>payoff.</w:t>
      </w:r>
      <w:r>
        <w:rPr>
          <w:spacing w:val="-3"/>
        </w:rPr>
        <w:t xml:space="preserve"> </w:t>
      </w:r>
      <w:r>
        <w:t>for</w:t>
      </w:r>
      <w:r>
        <w:rPr>
          <w:spacing w:val="-3"/>
        </w:rPr>
        <w:t xml:space="preserve"> </w:t>
      </w:r>
      <w:r>
        <w:t>consumers</w:t>
      </w:r>
      <w:r>
        <w:rPr>
          <w:spacing w:val="-3"/>
        </w:rPr>
        <w:t xml:space="preserve"> </w:t>
      </w:r>
      <w:r>
        <w:t>with</w:t>
      </w:r>
      <w:r>
        <w:rPr>
          <w:spacing w:val="-3"/>
        </w:rPr>
        <w:t xml:space="preserve"> </w:t>
      </w:r>
      <w:r>
        <w:t>certain residential mortgages, 12 U.S.C. 2603, 2604, and 2605.</w:t>
      </w:r>
    </w:p>
    <w:p w:rsidR="00FD2D3B" w:rsidP="00FD2D3B" w14:paraId="582D44D4" w14:textId="77777777">
      <w:pPr>
        <w:pStyle w:val="BodyText"/>
      </w:pPr>
    </w:p>
    <w:p w:rsidR="00FD2D3B" w:rsidP="00FD2D3B" w14:paraId="5BB660DD" w14:textId="14B4D2DB">
      <w:pPr>
        <w:pStyle w:val="BodyText"/>
        <w:ind w:left="220" w:right="251"/>
      </w:pPr>
      <w:r>
        <w:t>The Consumer Financial Protection Bureau’s (CFPB’s) Regulation X</w:t>
      </w:r>
      <w:r>
        <w:rPr>
          <w:rStyle w:val="FootnoteReference"/>
        </w:rPr>
        <w:footnoteReference w:id="4"/>
      </w:r>
      <w:r>
        <w:t xml:space="preserve"> implements RESPA. Regulation X contains information collections</w:t>
      </w:r>
      <w:r>
        <w:rPr>
          <w:spacing w:val="-2"/>
        </w:rPr>
        <w:t xml:space="preserve"> </w:t>
      </w:r>
      <w:r>
        <w:t>in</w:t>
      </w:r>
      <w:r>
        <w:rPr>
          <w:spacing w:val="-2"/>
        </w:rPr>
        <w:t xml:space="preserve"> </w:t>
      </w:r>
      <w:r>
        <w:t>the</w:t>
      </w:r>
      <w:r>
        <w:rPr>
          <w:spacing w:val="-2"/>
        </w:rPr>
        <w:t xml:space="preserve"> </w:t>
      </w:r>
      <w:r>
        <w:t>form</w:t>
      </w:r>
      <w:r>
        <w:rPr>
          <w:spacing w:val="-4"/>
        </w:rPr>
        <w:t xml:space="preserve"> </w:t>
      </w:r>
      <w:r>
        <w:t>of</w:t>
      </w:r>
      <w:r>
        <w:rPr>
          <w:spacing w:val="-3"/>
        </w:rPr>
        <w:t xml:space="preserve"> </w:t>
      </w:r>
      <w:r>
        <w:t>various</w:t>
      </w:r>
      <w:r>
        <w:rPr>
          <w:spacing w:val="-2"/>
        </w:rPr>
        <w:t xml:space="preserve"> </w:t>
      </w:r>
      <w:r>
        <w:t>disclosure</w:t>
      </w:r>
      <w:r>
        <w:rPr>
          <w:spacing w:val="-3"/>
        </w:rPr>
        <w:t xml:space="preserve"> </w:t>
      </w:r>
      <w:r>
        <w:t>and</w:t>
      </w:r>
      <w:r>
        <w:rPr>
          <w:spacing w:val="-4"/>
        </w:rPr>
        <w:t xml:space="preserve"> </w:t>
      </w:r>
      <w:r>
        <w:t>recordkeeping</w:t>
      </w:r>
      <w:r>
        <w:rPr>
          <w:spacing w:val="-2"/>
        </w:rPr>
        <w:t xml:space="preserve"> </w:t>
      </w:r>
      <w:r>
        <w:t>requirements.</w:t>
      </w:r>
      <w:r>
        <w:rPr>
          <w:spacing w:val="-2"/>
        </w:rPr>
        <w:t xml:space="preserve"> </w:t>
      </w:r>
      <w:r>
        <w:t>The</w:t>
      </w:r>
      <w:r>
        <w:rPr>
          <w:spacing w:val="-2"/>
        </w:rPr>
        <w:t xml:space="preserve"> </w:t>
      </w:r>
      <w:r>
        <w:t>disclosures</w:t>
      </w:r>
      <w:r>
        <w:rPr>
          <w:spacing w:val="-2"/>
        </w:rPr>
        <w:t xml:space="preserve"> </w:t>
      </w:r>
      <w:r>
        <w:t>in</w:t>
      </w:r>
      <w:r>
        <w:rPr>
          <w:spacing w:val="-4"/>
        </w:rPr>
        <w:t xml:space="preserve"> </w:t>
      </w:r>
      <w:r>
        <w:t xml:space="preserve">this collection are required by the statute and implementing regulations. </w:t>
      </w:r>
    </w:p>
    <w:p w:rsidR="00FD2D3B" w:rsidP="00FD2D3B" w14:paraId="7EAEF50B" w14:textId="77777777">
      <w:pPr>
        <w:pStyle w:val="BodyText"/>
        <w:spacing w:before="1"/>
        <w:ind w:left="220" w:right="310"/>
      </w:pPr>
    </w:p>
    <w:p w:rsidR="00FD2D3B" w:rsidP="00FD2D3B" w14:paraId="18FBA361" w14:textId="4CE7EB01">
      <w:pPr>
        <w:pStyle w:val="BodyText"/>
        <w:spacing w:before="1"/>
        <w:ind w:left="220" w:right="310"/>
      </w:pPr>
      <w:r>
        <w:t>The</w:t>
      </w:r>
      <w:r>
        <w:rPr>
          <w:spacing w:val="-3"/>
        </w:rPr>
        <w:t xml:space="preserve"> </w:t>
      </w:r>
      <w:r>
        <w:t>information</w:t>
      </w:r>
      <w:r>
        <w:rPr>
          <w:spacing w:val="-3"/>
        </w:rPr>
        <w:t xml:space="preserve"> </w:t>
      </w:r>
      <w:r>
        <w:t>collections</w:t>
      </w:r>
      <w:r>
        <w:rPr>
          <w:spacing w:val="-3"/>
        </w:rPr>
        <w:t xml:space="preserve"> </w:t>
      </w:r>
      <w:r>
        <w:t>discussed</w:t>
      </w:r>
      <w:r>
        <w:rPr>
          <w:spacing w:val="-3"/>
        </w:rPr>
        <w:t xml:space="preserve"> </w:t>
      </w:r>
      <w:r>
        <w:t>in</w:t>
      </w:r>
      <w:r>
        <w:rPr>
          <w:spacing w:val="-3"/>
        </w:rPr>
        <w:t xml:space="preserve"> </w:t>
      </w:r>
      <w:r>
        <w:t>this</w:t>
      </w:r>
      <w:r>
        <w:rPr>
          <w:spacing w:val="-4"/>
        </w:rPr>
        <w:t xml:space="preserve"> </w:t>
      </w:r>
      <w:r>
        <w:t>supporting</w:t>
      </w:r>
      <w:r>
        <w:rPr>
          <w:spacing w:val="-3"/>
        </w:rPr>
        <w:t xml:space="preserve"> </w:t>
      </w:r>
      <w:r>
        <w:t>statement</w:t>
      </w:r>
      <w:r>
        <w:rPr>
          <w:spacing w:val="-3"/>
        </w:rPr>
        <w:t xml:space="preserve"> </w:t>
      </w:r>
      <w:r>
        <w:t>are</w:t>
      </w:r>
      <w:r>
        <w:rPr>
          <w:spacing w:val="-3"/>
        </w:rPr>
        <w:t xml:space="preserve"> </w:t>
      </w:r>
      <w:r>
        <w:t>required</w:t>
      </w:r>
      <w:r>
        <w:rPr>
          <w:spacing w:val="-5"/>
        </w:rPr>
        <w:t xml:space="preserve"> </w:t>
      </w:r>
      <w:r>
        <w:t>in</w:t>
      </w:r>
      <w:r>
        <w:rPr>
          <w:spacing w:val="-3"/>
        </w:rPr>
        <w:t xml:space="preserve"> </w:t>
      </w:r>
      <w:r>
        <w:t>Regulation</w:t>
      </w:r>
      <w:r>
        <w:rPr>
          <w:spacing w:val="-3"/>
        </w:rPr>
        <w:t xml:space="preserve"> </w:t>
      </w:r>
      <w:r>
        <w:t>X,</w:t>
      </w:r>
      <w:r>
        <w:rPr>
          <w:spacing w:val="-3"/>
        </w:rPr>
        <w:t xml:space="preserve"> </w:t>
      </w:r>
      <w:r>
        <w:t>but to the extent that compliance with requirements in Regulation Z</w:t>
      </w:r>
      <w:r>
        <w:rPr>
          <w:rStyle w:val="FootnoteReference"/>
        </w:rPr>
        <w:footnoteReference w:id="5"/>
      </w:r>
      <w:r>
        <w:t xml:space="preserve"> provides an exemption from compliance with similar requirements in Regulation X, the information collection burden is accounted for in OMB Control Number 3170-0015.</w:t>
      </w:r>
    </w:p>
    <w:p w:rsidR="00354452" w:rsidP="00FD2D3B" w14:paraId="08B787CC" w14:textId="77777777">
      <w:pPr>
        <w:pStyle w:val="BodyText"/>
        <w:spacing w:before="1"/>
        <w:ind w:left="220" w:right="310"/>
      </w:pPr>
    </w:p>
    <w:p w:rsidR="008D2F0F" w:rsidP="008D2F0F" w14:paraId="03E1627F" w14:textId="77777777">
      <w:pPr>
        <w:pStyle w:val="BodyText"/>
        <w:spacing w:before="1"/>
        <w:ind w:left="220" w:right="310"/>
      </w:pPr>
      <w:r>
        <w:t xml:space="preserve">On </w:t>
      </w:r>
      <w:r w:rsidR="00FE206E">
        <w:t xml:space="preserve">July 10, 2024, </w:t>
      </w:r>
      <w:r w:rsidR="0003785C">
        <w:t xml:space="preserve">the Bureau issued on its website a Notice of Proposed Rulemaking (NPRM) to amend Regulation X.  </w:t>
      </w:r>
      <w:r>
        <w:t>the proposed rule would revise existing information collections and create the following new information collection requirements in Regulation X:</w:t>
      </w:r>
    </w:p>
    <w:p w:rsidR="008D2F0F" w:rsidP="008D2F0F" w14:paraId="788C5D41" w14:textId="77777777">
      <w:pPr>
        <w:pStyle w:val="BodyText"/>
        <w:spacing w:before="1"/>
        <w:ind w:left="220" w:right="310"/>
      </w:pPr>
    </w:p>
    <w:p w:rsidR="003A7A87" w:rsidP="003A7A87" w14:paraId="3BE26C84" w14:textId="77777777">
      <w:pPr>
        <w:pStyle w:val="BodyText"/>
        <w:numPr>
          <w:ilvl w:val="0"/>
          <w:numId w:val="25"/>
        </w:numPr>
        <w:spacing w:before="1"/>
        <w:ind w:right="310"/>
      </w:pPr>
      <w:r>
        <w:t xml:space="preserve">The proposed rule would require that a servicer provide a delinquent borrower who is performing pursuant to the terms of a forbearance agreement with a written notice containing </w:t>
      </w:r>
      <w:r>
        <w:t>certain information relating to loss mitigation and the borrower’s forbearance when the forbearance is nearing its scheduled end.</w:t>
      </w:r>
    </w:p>
    <w:p w:rsidR="001E1601" w:rsidRPr="00B14B37" w:rsidP="001E1601" w14:paraId="7869DEFD" w14:textId="77777777">
      <w:pPr>
        <w:pStyle w:val="BodyText"/>
        <w:numPr>
          <w:ilvl w:val="0"/>
          <w:numId w:val="25"/>
        </w:numPr>
        <w:spacing w:before="1"/>
        <w:ind w:right="310"/>
      </w:pPr>
      <w:r w:rsidRPr="00B14B37">
        <w:rPr>
          <w:color w:val="000000"/>
          <w:sz w:val="23"/>
          <w:szCs w:val="23"/>
        </w:rPr>
        <w:t xml:space="preserve">The proposed rule would require that a servicer provide certain additional information to delinquent borrowers in early intervention notices, such as the name of the investor on the borrower’s loan, a brief description of each type of loss mitigation option that is generally available from that owner or assignee, as well as a website and telephone number where the borrower can obtain information about all of the loss mitigation options that may be available from that investor. </w:t>
      </w:r>
    </w:p>
    <w:p w:rsidR="006D6ED0" w:rsidRPr="00B14B37" w:rsidP="00CD0D35" w14:paraId="109C845A" w14:textId="77777777">
      <w:pPr>
        <w:pStyle w:val="BodyText"/>
        <w:numPr>
          <w:ilvl w:val="0"/>
          <w:numId w:val="25"/>
        </w:numPr>
        <w:spacing w:before="1"/>
        <w:ind w:right="310"/>
      </w:pPr>
      <w:r w:rsidRPr="00B14B37">
        <w:rPr>
          <w:color w:val="000000"/>
          <w:sz w:val="23"/>
          <w:szCs w:val="23"/>
        </w:rPr>
        <w:t xml:space="preserve">The proposed rule would require that a servicer send loss mitigation determination notices to borrowers when a servicer offers a borrower a loss mitigation option and when a servicer denies the borrower for any loss mitigation option. Currently, servicers are required to send detailed determination notices only for denials of loan modifications. The proposed rule would (a) require more detail in the notices specifying the borrower-provided inputs that served as the basis for the determination, (b) provide contact information that the borrower can use to access a list of non-borrower provided inputs, if any, used by the servicer in </w:t>
      </w:r>
      <w:r w:rsidRPr="00B14B37" w:rsidR="00F86D7F">
        <w:rPr>
          <w:color w:val="000000"/>
          <w:sz w:val="23"/>
          <w:szCs w:val="23"/>
        </w:rPr>
        <w:t xml:space="preserve">making the loss mitigation determination, (c) require certain disclosures regarding loss mitigation options that may remain available to the borrower, and (d) require that the servicer inform the borrower as to whether an offer will still be available if the borrower requests to be reviewed for other loss mitigation options. </w:t>
      </w:r>
    </w:p>
    <w:p w:rsidR="00FA2755" w:rsidRPr="00B14B37" w:rsidP="00FA2755" w14:paraId="5F8E2EA9" w14:textId="77777777">
      <w:pPr>
        <w:pStyle w:val="BodyText"/>
        <w:numPr>
          <w:ilvl w:val="0"/>
          <w:numId w:val="25"/>
        </w:numPr>
        <w:spacing w:before="1"/>
        <w:ind w:right="310"/>
      </w:pPr>
      <w:r w:rsidRPr="00B14B37">
        <w:rPr>
          <w:color w:val="000000"/>
          <w:sz w:val="23"/>
          <w:szCs w:val="23"/>
        </w:rPr>
        <w:t xml:space="preserve">The proposed rule would expand the information that is currently required to be disclosed when a servicer denies a borrower for a loss mitigation option due to missing documents and information not in the borrower’s control, to include, for example, a list of loss mitigation options that are still available to the borrower. </w:t>
      </w:r>
    </w:p>
    <w:p w:rsidR="004C30E1" w:rsidRPr="00FA2755" w:rsidP="00B14B37" w14:paraId="6CA0EB8C" w14:textId="77777777">
      <w:pPr>
        <w:pStyle w:val="BodyText"/>
        <w:numPr>
          <w:ilvl w:val="0"/>
          <w:numId w:val="25"/>
        </w:numPr>
        <w:spacing w:before="1"/>
        <w:ind w:right="310"/>
      </w:pPr>
      <w:r w:rsidRPr="00B14B37">
        <w:rPr>
          <w:color w:val="000000"/>
          <w:sz w:val="23"/>
          <w:szCs w:val="23"/>
        </w:rPr>
        <w:t xml:space="preserve">The proposed rule would require that certain written early intervention and loss mitigation communications contain statements making a borrower aware of the availability of translation of the notices into non-English languages, that all such communications be made available to borrowers in both English and Spanish, and that servicers make available additional translations and oral interpretations under certain other circumstances. </w:t>
      </w:r>
    </w:p>
    <w:p w:rsidR="00E939D3" w:rsidRPr="00BF6D43" w:rsidP="005F1FFC" w14:paraId="6E362CEB" w14:textId="77777777">
      <w:pPr>
        <w:rPr>
          <w:sz w:val="24"/>
        </w:rPr>
      </w:pPr>
    </w:p>
    <w:p w:rsidR="00092D91" w:rsidP="00092D91" w14:paraId="2F66323A" w14:textId="77777777">
      <w:pPr>
        <w:rPr>
          <w:b/>
          <w:bCs/>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B565D4" w:rsidP="00FD2D3B" w14:paraId="3AED54A0" w14:textId="77777777">
      <w:pPr>
        <w:pStyle w:val="BodyText"/>
        <w:spacing w:before="90"/>
        <w:ind w:left="220" w:right="251"/>
      </w:pPr>
    </w:p>
    <w:p w:rsidR="00196736" w:rsidP="00FD2D3B" w14:paraId="7EA1A279" w14:textId="49A0DA8E">
      <w:pPr>
        <w:pStyle w:val="BodyText"/>
        <w:spacing w:before="90"/>
        <w:ind w:left="220" w:right="251"/>
      </w:pPr>
      <w:r>
        <w:t>Regulation X requires that several disclosures be made to a consumer during the process of applying for</w:t>
      </w:r>
      <w:r>
        <w:rPr>
          <w:spacing w:val="-3"/>
        </w:rPr>
        <w:t xml:space="preserve"> </w:t>
      </w:r>
      <w:r>
        <w:t>and</w:t>
      </w:r>
      <w:r>
        <w:rPr>
          <w:spacing w:val="-3"/>
        </w:rPr>
        <w:t xml:space="preserve"> </w:t>
      </w:r>
      <w:r>
        <w:t>consummating</w:t>
      </w:r>
      <w:r>
        <w:rPr>
          <w:spacing w:val="-3"/>
        </w:rPr>
        <w:t xml:space="preserve"> </w:t>
      </w:r>
      <w:r>
        <w:t>a</w:t>
      </w:r>
      <w:r>
        <w:rPr>
          <w:spacing w:val="-3"/>
        </w:rPr>
        <w:t xml:space="preserve"> </w:t>
      </w:r>
      <w:r>
        <w:t>federally</w:t>
      </w:r>
      <w:r>
        <w:rPr>
          <w:spacing w:val="-5"/>
        </w:rPr>
        <w:t xml:space="preserve"> </w:t>
      </w:r>
      <w:r>
        <w:t>related</w:t>
      </w:r>
      <w:r>
        <w:rPr>
          <w:spacing w:val="-3"/>
        </w:rPr>
        <w:t xml:space="preserve"> </w:t>
      </w:r>
      <w:r>
        <w:t>mortgage</w:t>
      </w:r>
      <w:r>
        <w:rPr>
          <w:spacing w:val="-3"/>
        </w:rPr>
        <w:t xml:space="preserve"> </w:t>
      </w:r>
      <w:r>
        <w:t>loan.</w:t>
      </w:r>
      <w:r>
        <w:rPr>
          <w:spacing w:val="-3"/>
        </w:rPr>
        <w:t xml:space="preserve"> </w:t>
      </w:r>
      <w:r>
        <w:t xml:space="preserve"> Such disclosures include:</w:t>
      </w:r>
    </w:p>
    <w:p w:rsidR="00244C43" w:rsidP="00B14B37" w14:paraId="19E30022" w14:textId="77777777">
      <w:pPr>
        <w:pStyle w:val="BodyText"/>
        <w:spacing w:before="90"/>
        <w:ind w:right="251"/>
      </w:pPr>
    </w:p>
    <w:p w:rsidR="00196736" w:rsidP="00196736" w14:paraId="3488DBB7" w14:textId="77777777">
      <w:pPr>
        <w:ind w:left="220"/>
        <w:rPr>
          <w:i/>
          <w:sz w:val="24"/>
        </w:rPr>
      </w:pPr>
      <w:r>
        <w:rPr>
          <w:i/>
          <w:sz w:val="24"/>
        </w:rPr>
        <w:t>Initial</w:t>
      </w:r>
      <w:r>
        <w:rPr>
          <w:i/>
          <w:spacing w:val="-2"/>
          <w:sz w:val="24"/>
        </w:rPr>
        <w:t xml:space="preserve"> </w:t>
      </w:r>
      <w:r>
        <w:rPr>
          <w:i/>
          <w:sz w:val="24"/>
        </w:rPr>
        <w:t>escrow</w:t>
      </w:r>
      <w:r>
        <w:rPr>
          <w:i/>
          <w:spacing w:val="-2"/>
          <w:sz w:val="24"/>
        </w:rPr>
        <w:t xml:space="preserve"> </w:t>
      </w:r>
      <w:r>
        <w:rPr>
          <w:i/>
          <w:sz w:val="24"/>
        </w:rPr>
        <w:t>account</w:t>
      </w:r>
      <w:r>
        <w:rPr>
          <w:i/>
          <w:spacing w:val="-1"/>
          <w:sz w:val="24"/>
        </w:rPr>
        <w:t xml:space="preserve"> </w:t>
      </w:r>
      <w:r>
        <w:rPr>
          <w:i/>
          <w:spacing w:val="-2"/>
          <w:sz w:val="24"/>
        </w:rPr>
        <w:t>statement</w:t>
      </w:r>
    </w:p>
    <w:p w:rsidR="00196736" w:rsidP="00196736" w14:paraId="0161BA46" w14:textId="77777777">
      <w:pPr>
        <w:pStyle w:val="BodyText"/>
        <w:spacing w:before="9"/>
        <w:rPr>
          <w:i/>
          <w:sz w:val="23"/>
        </w:rPr>
      </w:pPr>
    </w:p>
    <w:p w:rsidR="00196736" w:rsidP="00196736" w14:paraId="1D33CB26" w14:textId="77777777">
      <w:pPr>
        <w:pStyle w:val="BodyText"/>
        <w:spacing w:before="1"/>
        <w:ind w:left="220"/>
      </w:pPr>
      <w:r>
        <w:t>Servicers are required to provide an account statement regard a borrower’s escrow account when opene</w:t>
      </w:r>
      <w:r w:rsidR="00EE6725">
        <w:t>d.</w:t>
      </w:r>
    </w:p>
    <w:p w:rsidR="00196736" w:rsidP="00196736" w14:paraId="670541BA" w14:textId="77777777">
      <w:pPr>
        <w:pStyle w:val="BodyText"/>
        <w:spacing w:before="1"/>
        <w:ind w:left="220"/>
      </w:pPr>
    </w:p>
    <w:p w:rsidR="00196736" w:rsidP="00196736" w14:paraId="4FB76881" w14:textId="77777777">
      <w:pPr>
        <w:spacing w:before="1"/>
        <w:ind w:left="220"/>
        <w:rPr>
          <w:i/>
          <w:sz w:val="24"/>
        </w:rPr>
      </w:pPr>
      <w:r>
        <w:rPr>
          <w:i/>
          <w:sz w:val="24"/>
        </w:rPr>
        <w:t>Short</w:t>
      </w:r>
      <w:r>
        <w:rPr>
          <w:i/>
          <w:spacing w:val="-1"/>
          <w:sz w:val="24"/>
        </w:rPr>
        <w:t xml:space="preserve"> </w:t>
      </w:r>
      <w:r>
        <w:rPr>
          <w:i/>
          <w:sz w:val="24"/>
        </w:rPr>
        <w:t>year and</w:t>
      </w:r>
      <w:r>
        <w:rPr>
          <w:i/>
          <w:spacing w:val="-1"/>
          <w:sz w:val="24"/>
        </w:rPr>
        <w:t xml:space="preserve"> </w:t>
      </w:r>
      <w:r>
        <w:rPr>
          <w:i/>
          <w:sz w:val="24"/>
        </w:rPr>
        <w:t>annual escrow</w:t>
      </w:r>
      <w:r>
        <w:rPr>
          <w:i/>
          <w:spacing w:val="-2"/>
          <w:sz w:val="24"/>
        </w:rPr>
        <w:t xml:space="preserve"> </w:t>
      </w:r>
      <w:r>
        <w:rPr>
          <w:i/>
          <w:sz w:val="24"/>
        </w:rPr>
        <w:t xml:space="preserve">account </w:t>
      </w:r>
      <w:r>
        <w:rPr>
          <w:i/>
          <w:spacing w:val="-2"/>
          <w:sz w:val="24"/>
        </w:rPr>
        <w:t>statement</w:t>
      </w:r>
    </w:p>
    <w:p w:rsidR="00196736" w:rsidP="00196736" w14:paraId="4A30FC9F" w14:textId="77777777">
      <w:pPr>
        <w:pStyle w:val="BodyText"/>
        <w:spacing w:before="10"/>
        <w:rPr>
          <w:i/>
          <w:sz w:val="23"/>
        </w:rPr>
      </w:pPr>
    </w:p>
    <w:p w:rsidR="00196736" w:rsidP="00196736" w14:paraId="54583ED8" w14:textId="77777777">
      <w:pPr>
        <w:pStyle w:val="BodyText"/>
        <w:ind w:left="220" w:right="251"/>
      </w:pPr>
      <w:r>
        <w:t>Pursuant</w:t>
      </w:r>
      <w:r>
        <w:rPr>
          <w:spacing w:val="-1"/>
        </w:rPr>
        <w:t xml:space="preserve"> </w:t>
      </w:r>
      <w:r>
        <w:t>to</w:t>
      </w:r>
      <w:r>
        <w:rPr>
          <w:spacing w:val="-3"/>
        </w:rPr>
        <w:t xml:space="preserve"> </w:t>
      </w:r>
      <w:r>
        <w:t>§1024.17(</w:t>
      </w:r>
      <w:r>
        <w:t>i</w:t>
      </w:r>
      <w:r>
        <w:t>)</w:t>
      </w:r>
      <w:r>
        <w:rPr>
          <w:spacing w:val="-2"/>
        </w:rPr>
        <w:t xml:space="preserve"> </w:t>
      </w:r>
      <w:r>
        <w:t>servicers</w:t>
      </w:r>
      <w:r>
        <w:rPr>
          <w:spacing w:val="-2"/>
        </w:rPr>
        <w:t xml:space="preserve"> </w:t>
      </w:r>
      <w:r>
        <w:t>are</w:t>
      </w:r>
      <w:r>
        <w:rPr>
          <w:spacing w:val="-2"/>
        </w:rPr>
        <w:t xml:space="preserve"> </w:t>
      </w:r>
      <w:r>
        <w:t>generally</w:t>
      </w:r>
      <w:r>
        <w:rPr>
          <w:spacing w:val="-1"/>
        </w:rPr>
        <w:t xml:space="preserve"> </w:t>
      </w:r>
      <w:r>
        <w:t>required</w:t>
      </w:r>
      <w:r>
        <w:rPr>
          <w:spacing w:val="-3"/>
        </w:rPr>
        <w:t xml:space="preserve"> </w:t>
      </w:r>
      <w:r>
        <w:t>to</w:t>
      </w:r>
      <w:r>
        <w:rPr>
          <w:spacing w:val="-1"/>
        </w:rPr>
        <w:t xml:space="preserve"> </w:t>
      </w:r>
      <w:r>
        <w:t>provide</w:t>
      </w:r>
      <w:r>
        <w:rPr>
          <w:spacing w:val="-1"/>
        </w:rPr>
        <w:t xml:space="preserve"> </w:t>
      </w:r>
      <w:r>
        <w:t>annual</w:t>
      </w:r>
      <w:r>
        <w:rPr>
          <w:spacing w:val="-1"/>
        </w:rPr>
        <w:t xml:space="preserve"> </w:t>
      </w:r>
      <w:r>
        <w:t>escrow</w:t>
      </w:r>
      <w:r>
        <w:rPr>
          <w:spacing w:val="-2"/>
        </w:rPr>
        <w:t xml:space="preserve"> </w:t>
      </w:r>
      <w:r>
        <w:t>statements</w:t>
      </w:r>
      <w:r>
        <w:rPr>
          <w:spacing w:val="-1"/>
        </w:rPr>
        <w:t xml:space="preserve"> </w:t>
      </w:r>
      <w:r>
        <w:t>within 30 days of the completion of the escrow account computation year, and §1024.17(</w:t>
      </w:r>
      <w:r>
        <w:t>i</w:t>
      </w:r>
      <w:r>
        <w:t>)(4) permits the servicer</w:t>
      </w:r>
      <w:r>
        <w:rPr>
          <w:spacing w:val="-3"/>
        </w:rPr>
        <w:t xml:space="preserve"> </w:t>
      </w:r>
      <w:r>
        <w:t>provide</w:t>
      </w:r>
      <w:r>
        <w:rPr>
          <w:spacing w:val="-3"/>
        </w:rPr>
        <w:t xml:space="preserve"> </w:t>
      </w:r>
      <w:r>
        <w:t>short-year</w:t>
      </w:r>
      <w:r>
        <w:rPr>
          <w:spacing w:val="-3"/>
        </w:rPr>
        <w:t xml:space="preserve"> </w:t>
      </w:r>
      <w:r>
        <w:t>statements</w:t>
      </w:r>
      <w:r>
        <w:rPr>
          <w:spacing w:val="-3"/>
        </w:rPr>
        <w:t xml:space="preserve"> </w:t>
      </w:r>
      <w:r>
        <w:t>but</w:t>
      </w:r>
      <w:r>
        <w:rPr>
          <w:spacing w:val="-3"/>
        </w:rPr>
        <w:t xml:space="preserve"> </w:t>
      </w:r>
      <w:r>
        <w:t>requires</w:t>
      </w:r>
      <w:r>
        <w:rPr>
          <w:spacing w:val="-3"/>
        </w:rPr>
        <w:t xml:space="preserve"> </w:t>
      </w:r>
      <w:r>
        <w:t>such</w:t>
      </w:r>
      <w:r>
        <w:rPr>
          <w:spacing w:val="-3"/>
        </w:rPr>
        <w:t xml:space="preserve"> </w:t>
      </w:r>
      <w:r>
        <w:t>a</w:t>
      </w:r>
      <w:r>
        <w:rPr>
          <w:spacing w:val="-3"/>
        </w:rPr>
        <w:t xml:space="preserve"> </w:t>
      </w:r>
      <w:r>
        <w:t>statement</w:t>
      </w:r>
      <w:r>
        <w:rPr>
          <w:spacing w:val="-3"/>
        </w:rPr>
        <w:t xml:space="preserve"> </w:t>
      </w:r>
      <w:r>
        <w:t>when</w:t>
      </w:r>
      <w:r>
        <w:rPr>
          <w:spacing w:val="-3"/>
        </w:rPr>
        <w:t xml:space="preserve"> </w:t>
      </w:r>
      <w:r>
        <w:t>servicing</w:t>
      </w:r>
      <w:r>
        <w:rPr>
          <w:spacing w:val="-3"/>
        </w:rPr>
        <w:t xml:space="preserve"> </w:t>
      </w:r>
      <w:r>
        <w:t>is</w:t>
      </w:r>
      <w:r>
        <w:rPr>
          <w:spacing w:val="-3"/>
        </w:rPr>
        <w:t xml:space="preserve"> </w:t>
      </w:r>
      <w:r>
        <w:t>transferred</w:t>
      </w:r>
      <w:r>
        <w:rPr>
          <w:spacing w:val="-5"/>
        </w:rPr>
        <w:t xml:space="preserve"> </w:t>
      </w:r>
      <w:r>
        <w:t xml:space="preserve">or the mortgage is paid off. </w:t>
      </w:r>
    </w:p>
    <w:p w:rsidR="00F308ED" w:rsidP="00196736" w14:paraId="586FD190" w14:textId="77777777">
      <w:pPr>
        <w:pStyle w:val="BodyText"/>
        <w:ind w:left="220" w:right="251"/>
      </w:pPr>
    </w:p>
    <w:p w:rsidR="00196736" w:rsidP="00196736" w14:paraId="54C76D22" w14:textId="77777777">
      <w:pPr>
        <w:ind w:left="220"/>
        <w:rPr>
          <w:i/>
          <w:sz w:val="24"/>
        </w:rPr>
      </w:pPr>
      <w:r>
        <w:rPr>
          <w:i/>
          <w:sz w:val="24"/>
        </w:rPr>
        <w:t>Good</w:t>
      </w:r>
      <w:r>
        <w:rPr>
          <w:i/>
          <w:spacing w:val="-1"/>
          <w:sz w:val="24"/>
        </w:rPr>
        <w:t xml:space="preserve"> </w:t>
      </w:r>
      <w:r>
        <w:rPr>
          <w:i/>
          <w:sz w:val="24"/>
        </w:rPr>
        <w:t>Faith</w:t>
      </w:r>
      <w:r>
        <w:rPr>
          <w:i/>
          <w:spacing w:val="-1"/>
          <w:sz w:val="24"/>
        </w:rPr>
        <w:t xml:space="preserve"> </w:t>
      </w:r>
      <w:r>
        <w:rPr>
          <w:i/>
          <w:sz w:val="24"/>
        </w:rPr>
        <w:t>Estimate</w:t>
      </w:r>
      <w:r>
        <w:rPr>
          <w:i/>
          <w:spacing w:val="-2"/>
          <w:sz w:val="24"/>
        </w:rPr>
        <w:t xml:space="preserve"> </w:t>
      </w:r>
      <w:r>
        <w:rPr>
          <w:i/>
          <w:sz w:val="24"/>
        </w:rPr>
        <w:t>for</w:t>
      </w:r>
      <w:r>
        <w:rPr>
          <w:i/>
          <w:spacing w:val="-2"/>
          <w:sz w:val="24"/>
        </w:rPr>
        <w:t xml:space="preserve"> </w:t>
      </w:r>
      <w:r>
        <w:rPr>
          <w:i/>
          <w:sz w:val="24"/>
        </w:rPr>
        <w:t xml:space="preserve">reverse </w:t>
      </w:r>
      <w:r>
        <w:rPr>
          <w:i/>
          <w:spacing w:val="-2"/>
          <w:sz w:val="24"/>
        </w:rPr>
        <w:t>mortgages</w:t>
      </w:r>
    </w:p>
    <w:p w:rsidR="00196736" w:rsidP="00196736" w14:paraId="01B299CE" w14:textId="77777777">
      <w:pPr>
        <w:pStyle w:val="BodyText"/>
        <w:spacing w:before="11"/>
        <w:rPr>
          <w:i/>
          <w:sz w:val="23"/>
        </w:rPr>
      </w:pPr>
    </w:p>
    <w:p w:rsidR="00196736" w:rsidP="00196736" w14:paraId="3BC32F41" w14:textId="77777777">
      <w:pPr>
        <w:pStyle w:val="BodyText"/>
        <w:ind w:left="220" w:right="297"/>
      </w:pPr>
      <w:r>
        <w:t>Regulation X generally requires that applicants must be provided a Good Faith Estimate (GFE) no later</w:t>
      </w:r>
      <w:r>
        <w:rPr>
          <w:spacing w:val="-2"/>
        </w:rPr>
        <w:t xml:space="preserve"> </w:t>
      </w:r>
      <w:r>
        <w:t>than</w:t>
      </w:r>
      <w:r>
        <w:rPr>
          <w:spacing w:val="-2"/>
        </w:rPr>
        <w:t xml:space="preserve"> </w:t>
      </w:r>
      <w:r>
        <w:t>3</w:t>
      </w:r>
      <w:r>
        <w:rPr>
          <w:spacing w:val="-4"/>
        </w:rPr>
        <w:t xml:space="preserve"> </w:t>
      </w:r>
      <w:r>
        <w:t>business</w:t>
      </w:r>
      <w:r>
        <w:rPr>
          <w:spacing w:val="-2"/>
        </w:rPr>
        <w:t xml:space="preserve"> </w:t>
      </w:r>
      <w:r>
        <w:t>days</w:t>
      </w:r>
      <w:r>
        <w:rPr>
          <w:spacing w:val="-2"/>
        </w:rPr>
        <w:t xml:space="preserve"> </w:t>
      </w:r>
      <w:r>
        <w:t>after</w:t>
      </w:r>
      <w:r>
        <w:rPr>
          <w:spacing w:val="-2"/>
        </w:rPr>
        <w:t xml:space="preserve"> </w:t>
      </w:r>
      <w:r>
        <w:t>a</w:t>
      </w:r>
      <w:r>
        <w:rPr>
          <w:spacing w:val="-3"/>
        </w:rPr>
        <w:t xml:space="preserve"> </w:t>
      </w:r>
      <w:r>
        <w:t>lender</w:t>
      </w:r>
      <w:r>
        <w:rPr>
          <w:spacing w:val="-2"/>
        </w:rPr>
        <w:t xml:space="preserve"> </w:t>
      </w:r>
      <w:r>
        <w:t>receives</w:t>
      </w:r>
      <w:r>
        <w:rPr>
          <w:spacing w:val="-3"/>
        </w:rPr>
        <w:t xml:space="preserve"> </w:t>
      </w:r>
      <w:r>
        <w:t>an</w:t>
      </w:r>
      <w:r>
        <w:rPr>
          <w:spacing w:val="-2"/>
        </w:rPr>
        <w:t xml:space="preserve"> </w:t>
      </w:r>
      <w:r>
        <w:t>application</w:t>
      </w:r>
      <w:r>
        <w:rPr>
          <w:spacing w:val="-2"/>
        </w:rPr>
        <w:t xml:space="preserve"> </w:t>
      </w:r>
      <w:r>
        <w:t>(§</w:t>
      </w:r>
      <w:r>
        <w:rPr>
          <w:spacing w:val="-2"/>
        </w:rPr>
        <w:t xml:space="preserve"> </w:t>
      </w:r>
      <w:r>
        <w:t>1024.7(a)(a)).</w:t>
      </w:r>
      <w:r>
        <w:rPr>
          <w:spacing w:val="-4"/>
        </w:rPr>
        <w:t xml:space="preserve"> </w:t>
      </w:r>
      <w:r>
        <w:t>Much</w:t>
      </w:r>
      <w:r>
        <w:rPr>
          <w:spacing w:val="-2"/>
        </w:rPr>
        <w:t xml:space="preserve"> </w:t>
      </w:r>
      <w:r>
        <w:t>of</w:t>
      </w:r>
      <w:r>
        <w:rPr>
          <w:spacing w:val="-3"/>
        </w:rPr>
        <w:t xml:space="preserve"> </w:t>
      </w:r>
      <w:r>
        <w:t>this</w:t>
      </w:r>
      <w:r>
        <w:rPr>
          <w:spacing w:val="-2"/>
        </w:rPr>
        <w:t xml:space="preserve"> </w:t>
      </w:r>
      <w:r>
        <w:t>burden is accounted for in OMB Control Number 3170-0015, but the CFPB states the burden of GFE for reverse mortgages in this Control Number.</w:t>
      </w:r>
    </w:p>
    <w:p w:rsidR="00196736" w:rsidP="00196736" w14:paraId="49F8AC07" w14:textId="77777777">
      <w:pPr>
        <w:pStyle w:val="BodyText"/>
        <w:spacing w:before="1"/>
      </w:pPr>
    </w:p>
    <w:p w:rsidR="00196736" w:rsidP="00196736" w14:paraId="63EC6A19" w14:textId="77777777">
      <w:pPr>
        <w:ind w:left="220"/>
        <w:rPr>
          <w:i/>
          <w:sz w:val="24"/>
        </w:rPr>
      </w:pPr>
      <w:r>
        <w:rPr>
          <w:i/>
          <w:sz w:val="24"/>
        </w:rPr>
        <w:t>Use</w:t>
      </w:r>
      <w:r>
        <w:rPr>
          <w:i/>
          <w:spacing w:val="-3"/>
          <w:sz w:val="24"/>
        </w:rPr>
        <w:t xml:space="preserve"> </w:t>
      </w:r>
      <w:r>
        <w:rPr>
          <w:i/>
          <w:sz w:val="24"/>
        </w:rPr>
        <w:t>of</w:t>
      </w:r>
      <w:r>
        <w:rPr>
          <w:i/>
          <w:spacing w:val="-1"/>
          <w:sz w:val="24"/>
        </w:rPr>
        <w:t xml:space="preserve"> </w:t>
      </w:r>
      <w:r>
        <w:rPr>
          <w:i/>
          <w:sz w:val="24"/>
        </w:rPr>
        <w:t>HUD-1</w:t>
      </w:r>
      <w:r>
        <w:rPr>
          <w:i/>
          <w:spacing w:val="-1"/>
          <w:sz w:val="24"/>
        </w:rPr>
        <w:t xml:space="preserve"> </w:t>
      </w:r>
      <w:r>
        <w:rPr>
          <w:i/>
          <w:sz w:val="24"/>
        </w:rPr>
        <w:t>or</w:t>
      </w:r>
      <w:r>
        <w:rPr>
          <w:i/>
          <w:spacing w:val="-1"/>
          <w:sz w:val="24"/>
        </w:rPr>
        <w:t xml:space="preserve"> </w:t>
      </w:r>
      <w:r>
        <w:rPr>
          <w:i/>
          <w:sz w:val="24"/>
        </w:rPr>
        <w:t>HUD-1A</w:t>
      </w:r>
      <w:r>
        <w:rPr>
          <w:i/>
          <w:spacing w:val="-2"/>
          <w:sz w:val="24"/>
        </w:rPr>
        <w:t xml:space="preserve"> </w:t>
      </w:r>
      <w:r>
        <w:rPr>
          <w:i/>
          <w:sz w:val="24"/>
        </w:rPr>
        <w:t>and</w:t>
      </w:r>
      <w:r>
        <w:rPr>
          <w:i/>
          <w:spacing w:val="-1"/>
          <w:sz w:val="24"/>
        </w:rPr>
        <w:t xml:space="preserve"> </w:t>
      </w:r>
      <w:r>
        <w:rPr>
          <w:i/>
          <w:sz w:val="24"/>
        </w:rPr>
        <w:t>waivers</w:t>
      </w:r>
      <w:r>
        <w:rPr>
          <w:i/>
          <w:spacing w:val="-1"/>
          <w:sz w:val="24"/>
        </w:rPr>
        <w:t xml:space="preserve"> </w:t>
      </w:r>
      <w:r>
        <w:rPr>
          <w:i/>
          <w:sz w:val="24"/>
        </w:rPr>
        <w:t>for</w:t>
      </w:r>
      <w:r>
        <w:rPr>
          <w:i/>
          <w:spacing w:val="-1"/>
          <w:sz w:val="24"/>
        </w:rPr>
        <w:t xml:space="preserve"> </w:t>
      </w:r>
      <w:r>
        <w:rPr>
          <w:i/>
          <w:sz w:val="24"/>
        </w:rPr>
        <w:t>reverse</w:t>
      </w:r>
      <w:r>
        <w:rPr>
          <w:i/>
          <w:spacing w:val="-1"/>
          <w:sz w:val="24"/>
        </w:rPr>
        <w:t xml:space="preserve"> </w:t>
      </w:r>
      <w:r>
        <w:rPr>
          <w:i/>
          <w:spacing w:val="-2"/>
          <w:sz w:val="24"/>
        </w:rPr>
        <w:t>mortgages</w:t>
      </w:r>
    </w:p>
    <w:p w:rsidR="00196736" w:rsidP="00196736" w14:paraId="7FAF2DF3" w14:textId="77777777">
      <w:pPr>
        <w:pStyle w:val="BodyText"/>
        <w:spacing w:before="10"/>
        <w:rPr>
          <w:i/>
          <w:sz w:val="23"/>
        </w:rPr>
      </w:pPr>
    </w:p>
    <w:p w:rsidR="00196736" w:rsidP="00196736" w14:paraId="7E82C08E" w14:textId="77777777">
      <w:pPr>
        <w:pStyle w:val="BodyText"/>
        <w:spacing w:before="1"/>
        <w:ind w:left="220" w:right="251"/>
      </w:pPr>
      <w:r>
        <w:t xml:space="preserve">This regulation </w:t>
      </w:r>
      <w:r>
        <w:rPr>
          <w:spacing w:val="-4"/>
        </w:rPr>
        <w:t xml:space="preserve">generally </w:t>
      </w:r>
      <w:r>
        <w:t>requires</w:t>
      </w:r>
      <w:r>
        <w:rPr>
          <w:spacing w:val="-3"/>
        </w:rPr>
        <w:t xml:space="preserve"> </w:t>
      </w:r>
      <w:r>
        <w:t>that</w:t>
      </w:r>
      <w:r>
        <w:rPr>
          <w:spacing w:val="-4"/>
        </w:rPr>
        <w:t xml:space="preserve"> </w:t>
      </w:r>
      <w:r>
        <w:t>the</w:t>
      </w:r>
      <w:r>
        <w:rPr>
          <w:spacing w:val="-3"/>
        </w:rPr>
        <w:t xml:space="preserve"> </w:t>
      </w:r>
      <w:r>
        <w:t>settlement</w:t>
      </w:r>
      <w:r>
        <w:rPr>
          <w:spacing w:val="-3"/>
        </w:rPr>
        <w:t xml:space="preserve"> </w:t>
      </w:r>
      <w:r>
        <w:t>agent</w:t>
      </w:r>
      <w:r>
        <w:rPr>
          <w:spacing w:val="-3"/>
        </w:rPr>
        <w:t xml:space="preserve"> </w:t>
      </w:r>
      <w:r>
        <w:t>provide</w:t>
      </w:r>
      <w:r>
        <w:rPr>
          <w:spacing w:val="-3"/>
        </w:rPr>
        <w:t xml:space="preserve"> </w:t>
      </w:r>
      <w:r>
        <w:t>a</w:t>
      </w:r>
      <w:r>
        <w:rPr>
          <w:spacing w:val="-3"/>
        </w:rPr>
        <w:t xml:space="preserve"> </w:t>
      </w:r>
      <w:r>
        <w:t>settlement</w:t>
      </w:r>
      <w:r>
        <w:rPr>
          <w:spacing w:val="-3"/>
        </w:rPr>
        <w:t xml:space="preserve"> </w:t>
      </w:r>
      <w:r>
        <w:t>statement</w:t>
      </w:r>
      <w:r>
        <w:rPr>
          <w:spacing w:val="-3"/>
        </w:rPr>
        <w:t xml:space="preserve"> </w:t>
      </w:r>
      <w:r>
        <w:t>to</w:t>
      </w:r>
      <w:r>
        <w:rPr>
          <w:spacing w:val="-4"/>
        </w:rPr>
        <w:t xml:space="preserve"> </w:t>
      </w:r>
      <w:r>
        <w:t>the</w:t>
      </w:r>
      <w:r>
        <w:rPr>
          <w:spacing w:val="-3"/>
        </w:rPr>
        <w:t xml:space="preserve"> </w:t>
      </w:r>
      <w:r>
        <w:t>buyer and seller (§ 1024.8). Additionally, § 1024.10(e) allows for the buyer to waive their right to the settlement statement.</w:t>
      </w:r>
    </w:p>
    <w:p w:rsidR="00196736" w:rsidP="00196736" w14:paraId="7921FC65" w14:textId="77777777">
      <w:pPr>
        <w:pStyle w:val="BodyText"/>
        <w:spacing w:before="11"/>
        <w:rPr>
          <w:sz w:val="23"/>
        </w:rPr>
      </w:pPr>
    </w:p>
    <w:p w:rsidR="00196736" w:rsidP="00196736" w14:paraId="27DCB5CA" w14:textId="77777777">
      <w:pPr>
        <w:pStyle w:val="BodyText"/>
        <w:ind w:left="220" w:right="251"/>
      </w:pPr>
      <w:r>
        <w:t>In</w:t>
      </w:r>
      <w:r>
        <w:rPr>
          <w:spacing w:val="-2"/>
        </w:rPr>
        <w:t xml:space="preserve"> </w:t>
      </w:r>
      <w:r>
        <w:t>general,</w:t>
      </w:r>
      <w:r>
        <w:rPr>
          <w:spacing w:val="-2"/>
        </w:rPr>
        <w:t xml:space="preserve"> </w:t>
      </w:r>
      <w:r>
        <w:t>the</w:t>
      </w:r>
      <w:r>
        <w:rPr>
          <w:spacing w:val="-2"/>
        </w:rPr>
        <w:t xml:space="preserve"> </w:t>
      </w:r>
      <w:r>
        <w:t>settlement</w:t>
      </w:r>
      <w:r>
        <w:rPr>
          <w:spacing w:val="-2"/>
        </w:rPr>
        <w:t xml:space="preserve"> </w:t>
      </w:r>
      <w:r>
        <w:t>agent</w:t>
      </w:r>
      <w:r>
        <w:rPr>
          <w:spacing w:val="-2"/>
        </w:rPr>
        <w:t xml:space="preserve"> </w:t>
      </w:r>
      <w:r>
        <w:t>must</w:t>
      </w:r>
      <w:r>
        <w:rPr>
          <w:spacing w:val="-2"/>
        </w:rPr>
        <w:t xml:space="preserve"> </w:t>
      </w:r>
      <w:r>
        <w:t>provide</w:t>
      </w:r>
      <w:r>
        <w:rPr>
          <w:spacing w:val="-3"/>
        </w:rPr>
        <w:t xml:space="preserve"> </w:t>
      </w:r>
      <w:r>
        <w:t>two</w:t>
      </w:r>
      <w:r>
        <w:rPr>
          <w:spacing w:val="-2"/>
        </w:rPr>
        <w:t xml:space="preserve"> </w:t>
      </w:r>
      <w:r>
        <w:t>settlement</w:t>
      </w:r>
      <w:r>
        <w:rPr>
          <w:spacing w:val="-2"/>
        </w:rPr>
        <w:t xml:space="preserve"> </w:t>
      </w:r>
      <w:r>
        <w:t>statements</w:t>
      </w:r>
      <w:r>
        <w:rPr>
          <w:spacing w:val="-2"/>
        </w:rPr>
        <w:t xml:space="preserve"> </w:t>
      </w:r>
      <w:r>
        <w:t>to</w:t>
      </w:r>
      <w:r>
        <w:rPr>
          <w:spacing w:val="-4"/>
        </w:rPr>
        <w:t xml:space="preserve"> </w:t>
      </w:r>
      <w:r>
        <w:t>each</w:t>
      </w:r>
      <w:r>
        <w:rPr>
          <w:spacing w:val="-2"/>
        </w:rPr>
        <w:t xml:space="preserve"> </w:t>
      </w:r>
      <w:r>
        <w:t>the</w:t>
      </w:r>
      <w:r>
        <w:rPr>
          <w:spacing w:val="-2"/>
        </w:rPr>
        <w:t xml:space="preserve"> </w:t>
      </w:r>
      <w:r>
        <w:t>buyer</w:t>
      </w:r>
      <w:r>
        <w:rPr>
          <w:spacing w:val="-2"/>
        </w:rPr>
        <w:t xml:space="preserve"> </w:t>
      </w:r>
      <w:r>
        <w:t>and</w:t>
      </w:r>
      <w:r>
        <w:rPr>
          <w:spacing w:val="-2"/>
        </w:rPr>
        <w:t xml:space="preserve"> </w:t>
      </w:r>
      <w:r>
        <w:t>seller</w:t>
      </w:r>
      <w:r>
        <w:rPr>
          <w:spacing w:val="-3"/>
        </w:rPr>
        <w:t xml:space="preserve"> </w:t>
      </w:r>
      <w:r>
        <w:t>if there</w:t>
      </w:r>
      <w:r>
        <w:rPr>
          <w:spacing w:val="-1"/>
        </w:rPr>
        <w:t xml:space="preserve"> </w:t>
      </w:r>
      <w:r>
        <w:t>is a seller</w:t>
      </w:r>
      <w:r>
        <w:rPr>
          <w:spacing w:val="-1"/>
        </w:rPr>
        <w:t xml:space="preserve"> </w:t>
      </w:r>
      <w:r>
        <w:t>in the</w:t>
      </w:r>
      <w:r>
        <w:rPr>
          <w:spacing w:val="-1"/>
        </w:rPr>
        <w:t xml:space="preserve"> </w:t>
      </w:r>
      <w:r>
        <w:t xml:space="preserve">transaction. </w:t>
      </w:r>
    </w:p>
    <w:p w:rsidR="00196736" w:rsidP="00196736" w14:paraId="5936CD0A" w14:textId="77777777">
      <w:pPr>
        <w:pStyle w:val="BodyText"/>
        <w:spacing w:before="1"/>
      </w:pPr>
    </w:p>
    <w:p w:rsidR="00196736" w:rsidP="00196736" w14:paraId="2664DD7D" w14:textId="77777777">
      <w:pPr>
        <w:spacing w:before="1"/>
        <w:ind w:left="220"/>
        <w:rPr>
          <w:i/>
          <w:sz w:val="24"/>
        </w:rPr>
      </w:pPr>
      <w:r>
        <w:rPr>
          <w:i/>
          <w:sz w:val="24"/>
        </w:rPr>
        <w:t>Successor</w:t>
      </w:r>
      <w:r>
        <w:rPr>
          <w:i/>
          <w:spacing w:val="-6"/>
          <w:sz w:val="24"/>
        </w:rPr>
        <w:t xml:space="preserve"> </w:t>
      </w:r>
      <w:r>
        <w:rPr>
          <w:i/>
          <w:sz w:val="24"/>
        </w:rPr>
        <w:t>in</w:t>
      </w:r>
      <w:r>
        <w:rPr>
          <w:i/>
          <w:spacing w:val="-3"/>
          <w:sz w:val="24"/>
        </w:rPr>
        <w:t xml:space="preserve"> </w:t>
      </w:r>
      <w:r>
        <w:rPr>
          <w:i/>
          <w:sz w:val="24"/>
        </w:rPr>
        <w:t>interest</w:t>
      </w:r>
      <w:r>
        <w:rPr>
          <w:i/>
          <w:spacing w:val="-2"/>
          <w:sz w:val="24"/>
        </w:rPr>
        <w:t xml:space="preserve"> </w:t>
      </w:r>
      <w:r>
        <w:rPr>
          <w:i/>
          <w:sz w:val="24"/>
        </w:rPr>
        <w:t>information</w:t>
      </w:r>
      <w:r>
        <w:rPr>
          <w:i/>
          <w:spacing w:val="-2"/>
          <w:sz w:val="24"/>
        </w:rPr>
        <w:t xml:space="preserve"> </w:t>
      </w:r>
      <w:r>
        <w:rPr>
          <w:i/>
          <w:sz w:val="24"/>
        </w:rPr>
        <w:t>sent</w:t>
      </w:r>
      <w:r>
        <w:rPr>
          <w:i/>
          <w:spacing w:val="-2"/>
          <w:sz w:val="24"/>
        </w:rPr>
        <w:t xml:space="preserve"> </w:t>
      </w:r>
      <w:r>
        <w:rPr>
          <w:i/>
          <w:sz w:val="24"/>
        </w:rPr>
        <w:t>to</w:t>
      </w:r>
      <w:r>
        <w:rPr>
          <w:i/>
          <w:spacing w:val="-1"/>
          <w:sz w:val="24"/>
        </w:rPr>
        <w:t xml:space="preserve"> </w:t>
      </w:r>
      <w:r>
        <w:rPr>
          <w:i/>
          <w:sz w:val="24"/>
        </w:rPr>
        <w:t>servicer</w:t>
      </w:r>
      <w:r>
        <w:rPr>
          <w:i/>
          <w:spacing w:val="-2"/>
          <w:sz w:val="24"/>
        </w:rPr>
        <w:t xml:space="preserve"> </w:t>
      </w:r>
      <w:r>
        <w:rPr>
          <w:i/>
          <w:sz w:val="24"/>
        </w:rPr>
        <w:t>to</w:t>
      </w:r>
      <w:r>
        <w:rPr>
          <w:i/>
          <w:spacing w:val="-2"/>
          <w:sz w:val="24"/>
        </w:rPr>
        <w:t xml:space="preserve"> </w:t>
      </w:r>
      <w:r>
        <w:rPr>
          <w:i/>
          <w:sz w:val="24"/>
        </w:rPr>
        <w:t>receive</w:t>
      </w:r>
      <w:r>
        <w:rPr>
          <w:i/>
          <w:spacing w:val="-1"/>
          <w:sz w:val="24"/>
        </w:rPr>
        <w:t xml:space="preserve"> </w:t>
      </w:r>
      <w:r>
        <w:rPr>
          <w:i/>
          <w:sz w:val="24"/>
        </w:rPr>
        <w:t>notifications</w:t>
      </w:r>
      <w:r>
        <w:rPr>
          <w:i/>
          <w:spacing w:val="-1"/>
          <w:sz w:val="24"/>
        </w:rPr>
        <w:t xml:space="preserve"> </w:t>
      </w:r>
      <w:r>
        <w:rPr>
          <w:i/>
          <w:sz w:val="24"/>
        </w:rPr>
        <w:t>and</w:t>
      </w:r>
      <w:r>
        <w:rPr>
          <w:i/>
          <w:spacing w:val="-1"/>
          <w:sz w:val="24"/>
        </w:rPr>
        <w:t xml:space="preserve"> </w:t>
      </w:r>
      <w:r>
        <w:rPr>
          <w:i/>
          <w:spacing w:val="-2"/>
          <w:sz w:val="24"/>
        </w:rPr>
        <w:t>disclosures</w:t>
      </w:r>
    </w:p>
    <w:p w:rsidR="00196736" w:rsidP="00196736" w14:paraId="0691CA9F" w14:textId="77777777">
      <w:pPr>
        <w:pStyle w:val="BodyText"/>
        <w:spacing w:before="10"/>
        <w:rPr>
          <w:i/>
          <w:sz w:val="23"/>
        </w:rPr>
      </w:pPr>
    </w:p>
    <w:p w:rsidR="00196736" w:rsidP="00196736" w14:paraId="2216F0CF" w14:textId="77777777">
      <w:pPr>
        <w:pStyle w:val="BodyText"/>
        <w:ind w:left="220"/>
      </w:pPr>
      <w:r>
        <w:t>Servicers</w:t>
      </w:r>
      <w:r>
        <w:rPr>
          <w:spacing w:val="-5"/>
        </w:rPr>
        <w:t xml:space="preserve"> </w:t>
      </w:r>
      <w:r>
        <w:t>are</w:t>
      </w:r>
      <w:r>
        <w:rPr>
          <w:spacing w:val="-3"/>
        </w:rPr>
        <w:t xml:space="preserve"> </w:t>
      </w:r>
      <w:r>
        <w:t>generally</w:t>
      </w:r>
      <w:r>
        <w:rPr>
          <w:spacing w:val="-3"/>
        </w:rPr>
        <w:t xml:space="preserve"> </w:t>
      </w:r>
      <w:r>
        <w:t>required:</w:t>
      </w:r>
      <w:r>
        <w:rPr>
          <w:spacing w:val="-3"/>
        </w:rPr>
        <w:t xml:space="preserve"> </w:t>
      </w:r>
      <w:r>
        <w:t>(1)</w:t>
      </w:r>
      <w:r>
        <w:rPr>
          <w:spacing w:val="-3"/>
        </w:rPr>
        <w:t xml:space="preserve"> </w:t>
      </w:r>
      <w:r>
        <w:t>to</w:t>
      </w:r>
      <w:r>
        <w:rPr>
          <w:spacing w:val="-5"/>
        </w:rPr>
        <w:t xml:space="preserve"> </w:t>
      </w:r>
      <w:r>
        <w:t>respond</w:t>
      </w:r>
      <w:r>
        <w:rPr>
          <w:spacing w:val="-3"/>
        </w:rPr>
        <w:t xml:space="preserve"> </w:t>
      </w:r>
      <w:r>
        <w:t>to</w:t>
      </w:r>
      <w:r>
        <w:rPr>
          <w:spacing w:val="-3"/>
        </w:rPr>
        <w:t xml:space="preserve"> </w:t>
      </w:r>
      <w:r>
        <w:t>a</w:t>
      </w:r>
      <w:r>
        <w:rPr>
          <w:spacing w:val="-3"/>
        </w:rPr>
        <w:t xml:space="preserve"> </w:t>
      </w:r>
      <w:r>
        <w:t>written</w:t>
      </w:r>
      <w:r>
        <w:rPr>
          <w:spacing w:val="-3"/>
        </w:rPr>
        <w:t xml:space="preserve"> </w:t>
      </w:r>
      <w:r>
        <w:t>request</w:t>
      </w:r>
      <w:r>
        <w:rPr>
          <w:spacing w:val="-3"/>
        </w:rPr>
        <w:t xml:space="preserve"> </w:t>
      </w:r>
      <w:r>
        <w:t>that</w:t>
      </w:r>
      <w:r>
        <w:rPr>
          <w:spacing w:val="-3"/>
        </w:rPr>
        <w:t xml:space="preserve"> </w:t>
      </w:r>
      <w:r>
        <w:t>indicates that the person making the request may be a successor in interest by providing that person with a description of the documents the servicer reasonably requires to confirm the person’s identity and ownership interest in the property; and (2) to maintain certain policies and procedures with respect to successors in interest, which are generally intended to facilitate the process of confirming a person’s status as a successor in interest and communicating with the person about the status. Servicers are also required to treat confirmed successors in interest as borrowers for purposes of Regulation X’s mortgage</w:t>
      </w:r>
      <w:r>
        <w:rPr>
          <w:spacing w:val="-3"/>
        </w:rPr>
        <w:t xml:space="preserve"> </w:t>
      </w:r>
      <w:r>
        <w:t>servicing</w:t>
      </w:r>
      <w:r>
        <w:rPr>
          <w:spacing w:val="-3"/>
        </w:rPr>
        <w:t xml:space="preserve"> </w:t>
      </w:r>
      <w:r>
        <w:t>rules,</w:t>
      </w:r>
      <w:r>
        <w:rPr>
          <w:spacing w:val="-3"/>
        </w:rPr>
        <w:t xml:space="preserve"> </w:t>
      </w:r>
      <w:r>
        <w:t>including</w:t>
      </w:r>
      <w:r>
        <w:rPr>
          <w:spacing w:val="-5"/>
        </w:rPr>
        <w:t xml:space="preserve"> </w:t>
      </w:r>
      <w:r>
        <w:t>with</w:t>
      </w:r>
      <w:r>
        <w:rPr>
          <w:spacing w:val="-3"/>
        </w:rPr>
        <w:t xml:space="preserve"> </w:t>
      </w:r>
      <w:r>
        <w:t>respect</w:t>
      </w:r>
      <w:r>
        <w:rPr>
          <w:spacing w:val="-4"/>
        </w:rPr>
        <w:t xml:space="preserve"> </w:t>
      </w:r>
      <w:r>
        <w:t>to</w:t>
      </w:r>
      <w:r>
        <w:rPr>
          <w:spacing w:val="-3"/>
        </w:rPr>
        <w:t xml:space="preserve"> </w:t>
      </w:r>
      <w:r>
        <w:t>the</w:t>
      </w:r>
      <w:r>
        <w:rPr>
          <w:spacing w:val="-3"/>
        </w:rPr>
        <w:t xml:space="preserve"> </w:t>
      </w:r>
      <w:r>
        <w:t>provision</w:t>
      </w:r>
      <w:r>
        <w:rPr>
          <w:spacing w:val="-3"/>
        </w:rPr>
        <w:t xml:space="preserve"> </w:t>
      </w:r>
      <w:r>
        <w:t>of</w:t>
      </w:r>
      <w:r>
        <w:rPr>
          <w:spacing w:val="-4"/>
        </w:rPr>
        <w:t xml:space="preserve"> </w:t>
      </w:r>
      <w:r>
        <w:t>disclosures</w:t>
      </w:r>
      <w:r>
        <w:rPr>
          <w:spacing w:val="-3"/>
        </w:rPr>
        <w:t xml:space="preserve"> </w:t>
      </w:r>
      <w:r>
        <w:t>servicers</w:t>
      </w:r>
      <w:r>
        <w:rPr>
          <w:spacing w:val="-3"/>
        </w:rPr>
        <w:t xml:space="preserve"> </w:t>
      </w:r>
      <w:r>
        <w:t>are</w:t>
      </w:r>
      <w:r>
        <w:rPr>
          <w:spacing w:val="-3"/>
        </w:rPr>
        <w:t xml:space="preserve"> </w:t>
      </w:r>
      <w:r>
        <w:t>currently required to provide to borrowers, although additional copies of disclosures are generally not required where such disclosures are already being provided to another borrower on the loan.</w:t>
      </w:r>
    </w:p>
    <w:p w:rsidR="00196736" w:rsidP="00196736" w14:paraId="6520EDC5" w14:textId="77777777">
      <w:pPr>
        <w:ind w:left="220"/>
        <w:rPr>
          <w:i/>
          <w:sz w:val="24"/>
        </w:rPr>
      </w:pPr>
    </w:p>
    <w:p w:rsidR="00196736" w:rsidP="00196736" w14:paraId="3B4E7DBA" w14:textId="77777777">
      <w:pPr>
        <w:ind w:left="220"/>
        <w:rPr>
          <w:i/>
          <w:sz w:val="24"/>
        </w:rPr>
      </w:pPr>
      <w:r>
        <w:rPr>
          <w:i/>
          <w:sz w:val="24"/>
        </w:rPr>
        <w:t>Mortgage</w:t>
      </w:r>
      <w:r>
        <w:rPr>
          <w:i/>
          <w:spacing w:val="-3"/>
          <w:sz w:val="24"/>
        </w:rPr>
        <w:t xml:space="preserve"> </w:t>
      </w:r>
      <w:r>
        <w:rPr>
          <w:i/>
          <w:sz w:val="24"/>
        </w:rPr>
        <w:t>servicing</w:t>
      </w:r>
      <w:r>
        <w:rPr>
          <w:i/>
          <w:spacing w:val="-2"/>
          <w:sz w:val="24"/>
        </w:rPr>
        <w:t xml:space="preserve"> </w:t>
      </w:r>
      <w:r>
        <w:rPr>
          <w:i/>
          <w:sz w:val="24"/>
        </w:rPr>
        <w:t>transfer</w:t>
      </w:r>
      <w:r>
        <w:rPr>
          <w:i/>
          <w:spacing w:val="-2"/>
          <w:sz w:val="24"/>
        </w:rPr>
        <w:t xml:space="preserve"> notice</w:t>
      </w:r>
    </w:p>
    <w:p w:rsidR="00196736" w:rsidP="00196736" w14:paraId="4D3A1645" w14:textId="77777777">
      <w:pPr>
        <w:pStyle w:val="BodyText"/>
        <w:spacing w:before="11"/>
        <w:rPr>
          <w:i/>
          <w:sz w:val="23"/>
        </w:rPr>
      </w:pPr>
    </w:p>
    <w:p w:rsidR="00196736" w:rsidP="00196736" w14:paraId="48753CC4" w14:textId="77777777">
      <w:pPr>
        <w:pStyle w:val="BodyText"/>
        <w:ind w:left="220" w:right="251"/>
      </w:pPr>
      <w:r>
        <w:t>Servicers provide borrowers with</w:t>
      </w:r>
      <w:r>
        <w:rPr>
          <w:spacing w:val="-1"/>
        </w:rPr>
        <w:t xml:space="preserve"> </w:t>
      </w:r>
      <w:r>
        <w:t>a notice of whether their loan may be sold</w:t>
      </w:r>
      <w:r>
        <w:rPr>
          <w:spacing w:val="-3"/>
        </w:rPr>
        <w:t xml:space="preserve"> </w:t>
      </w:r>
      <w:r>
        <w:t>or</w:t>
      </w:r>
      <w:r>
        <w:rPr>
          <w:spacing w:val="-3"/>
        </w:rPr>
        <w:t xml:space="preserve"> </w:t>
      </w:r>
      <w:r>
        <w:t>transferred</w:t>
      </w:r>
      <w:r>
        <w:rPr>
          <w:spacing w:val="-3"/>
        </w:rPr>
        <w:t xml:space="preserve"> </w:t>
      </w:r>
      <w:r>
        <w:t>for</w:t>
      </w:r>
      <w:r>
        <w:rPr>
          <w:spacing w:val="-3"/>
        </w:rPr>
        <w:t xml:space="preserve"> </w:t>
      </w:r>
      <w:r>
        <w:t>reverse</w:t>
      </w:r>
      <w:r>
        <w:rPr>
          <w:spacing w:val="-3"/>
        </w:rPr>
        <w:t xml:space="preserve"> </w:t>
      </w:r>
      <w:r>
        <w:t>mortgages</w:t>
      </w:r>
      <w:r>
        <w:rPr>
          <w:spacing w:val="-3"/>
        </w:rPr>
        <w:t xml:space="preserve"> </w:t>
      </w:r>
      <w:r>
        <w:t>and</w:t>
      </w:r>
      <w:r>
        <w:rPr>
          <w:spacing w:val="-3"/>
        </w:rPr>
        <w:t xml:space="preserve"> </w:t>
      </w:r>
      <w:r>
        <w:t>for</w:t>
      </w:r>
      <w:r>
        <w:rPr>
          <w:spacing w:val="-4"/>
        </w:rPr>
        <w:t xml:space="preserve"> </w:t>
      </w:r>
      <w:r>
        <w:t>closed-end</w:t>
      </w:r>
      <w:r>
        <w:rPr>
          <w:spacing w:val="-5"/>
        </w:rPr>
        <w:t xml:space="preserve"> </w:t>
      </w:r>
      <w:r>
        <w:t>first</w:t>
      </w:r>
      <w:r>
        <w:rPr>
          <w:spacing w:val="-3"/>
        </w:rPr>
        <w:t xml:space="preserve"> </w:t>
      </w:r>
      <w:r>
        <w:t>and</w:t>
      </w:r>
      <w:r>
        <w:rPr>
          <w:spacing w:val="-3"/>
        </w:rPr>
        <w:t xml:space="preserve"> </w:t>
      </w:r>
      <w:r>
        <w:t>subordinated</w:t>
      </w:r>
      <w:r>
        <w:rPr>
          <w:spacing w:val="-3"/>
        </w:rPr>
        <w:t xml:space="preserve"> </w:t>
      </w:r>
      <w:r>
        <w:t>lien</w:t>
      </w:r>
      <w:r>
        <w:rPr>
          <w:spacing w:val="-2"/>
        </w:rPr>
        <w:t xml:space="preserve"> </w:t>
      </w:r>
      <w:r>
        <w:t>mortgages.</w:t>
      </w:r>
    </w:p>
    <w:p w:rsidR="00196736" w:rsidP="00196736" w14:paraId="54A91407" w14:textId="77777777">
      <w:pPr>
        <w:pStyle w:val="BodyText"/>
        <w:spacing w:before="1"/>
      </w:pPr>
    </w:p>
    <w:p w:rsidR="00196736" w:rsidP="00196736" w14:paraId="75722ECD" w14:textId="77777777">
      <w:pPr>
        <w:ind w:left="220"/>
        <w:rPr>
          <w:i/>
          <w:sz w:val="24"/>
        </w:rPr>
      </w:pPr>
      <w:r>
        <w:rPr>
          <w:i/>
          <w:sz w:val="24"/>
        </w:rPr>
        <w:t>Early</w:t>
      </w:r>
      <w:r>
        <w:rPr>
          <w:i/>
          <w:spacing w:val="-2"/>
          <w:sz w:val="24"/>
        </w:rPr>
        <w:t xml:space="preserve"> </w:t>
      </w:r>
      <w:r>
        <w:rPr>
          <w:i/>
          <w:sz w:val="24"/>
        </w:rPr>
        <w:t>intervention</w:t>
      </w:r>
      <w:r>
        <w:rPr>
          <w:i/>
          <w:spacing w:val="-2"/>
          <w:sz w:val="24"/>
        </w:rPr>
        <w:t xml:space="preserve"> </w:t>
      </w:r>
      <w:r>
        <w:rPr>
          <w:i/>
          <w:sz w:val="24"/>
        </w:rPr>
        <w:t>notices</w:t>
      </w:r>
      <w:r>
        <w:rPr>
          <w:i/>
          <w:spacing w:val="-2"/>
          <w:sz w:val="24"/>
        </w:rPr>
        <w:t xml:space="preserve"> </w:t>
      </w:r>
      <w:r>
        <w:rPr>
          <w:i/>
          <w:sz w:val="24"/>
        </w:rPr>
        <w:t>for</w:t>
      </w:r>
      <w:r>
        <w:rPr>
          <w:i/>
          <w:spacing w:val="-2"/>
          <w:sz w:val="24"/>
        </w:rPr>
        <w:t xml:space="preserve"> </w:t>
      </w:r>
      <w:r>
        <w:rPr>
          <w:i/>
          <w:sz w:val="24"/>
        </w:rPr>
        <w:t>delinquent</w:t>
      </w:r>
      <w:r>
        <w:rPr>
          <w:i/>
          <w:spacing w:val="-2"/>
          <w:sz w:val="24"/>
        </w:rPr>
        <w:t xml:space="preserve"> borrowers</w:t>
      </w:r>
    </w:p>
    <w:p w:rsidR="00196736" w:rsidP="00196736" w14:paraId="387A5BA5" w14:textId="77777777">
      <w:pPr>
        <w:pStyle w:val="BodyText"/>
        <w:spacing w:before="10"/>
        <w:rPr>
          <w:i/>
          <w:sz w:val="23"/>
        </w:rPr>
      </w:pPr>
    </w:p>
    <w:p w:rsidR="00196736" w:rsidP="00196736" w14:paraId="491A9571" w14:textId="77777777">
      <w:pPr>
        <w:pStyle w:val="BodyText"/>
        <w:spacing w:before="1"/>
        <w:ind w:left="220"/>
        <w:jc w:val="both"/>
      </w:pPr>
      <w:r>
        <w:t>In</w:t>
      </w:r>
      <w:r>
        <w:rPr>
          <w:spacing w:val="-4"/>
        </w:rPr>
        <w:t xml:space="preserve"> </w:t>
      </w:r>
      <w:r>
        <w:t>general,</w:t>
      </w:r>
      <w:r>
        <w:rPr>
          <w:spacing w:val="-1"/>
        </w:rPr>
        <w:t xml:space="preserve"> </w:t>
      </w:r>
      <w:r>
        <w:t>servicers</w:t>
      </w:r>
      <w:r>
        <w:rPr>
          <w:spacing w:val="-2"/>
        </w:rPr>
        <w:t xml:space="preserve"> </w:t>
      </w:r>
      <w:r>
        <w:t>are</w:t>
      </w:r>
      <w:r>
        <w:rPr>
          <w:spacing w:val="-2"/>
        </w:rPr>
        <w:t xml:space="preserve"> </w:t>
      </w:r>
      <w:r>
        <w:t>required</w:t>
      </w:r>
      <w:r>
        <w:rPr>
          <w:spacing w:val="-2"/>
        </w:rPr>
        <w:t xml:space="preserve"> </w:t>
      </w:r>
      <w:r>
        <w:t>to</w:t>
      </w:r>
      <w:r>
        <w:rPr>
          <w:spacing w:val="-1"/>
        </w:rPr>
        <w:t xml:space="preserve"> </w:t>
      </w:r>
      <w:r>
        <w:t>provide</w:t>
      </w:r>
      <w:r>
        <w:rPr>
          <w:spacing w:val="-2"/>
        </w:rPr>
        <w:t xml:space="preserve"> </w:t>
      </w:r>
      <w:r>
        <w:t>certain</w:t>
      </w:r>
      <w:r>
        <w:rPr>
          <w:spacing w:val="-1"/>
        </w:rPr>
        <w:t xml:space="preserve"> </w:t>
      </w:r>
      <w:r>
        <w:t>written</w:t>
      </w:r>
      <w:r>
        <w:rPr>
          <w:spacing w:val="-1"/>
        </w:rPr>
        <w:t xml:space="preserve"> </w:t>
      </w:r>
      <w:r>
        <w:t>early</w:t>
      </w:r>
      <w:r>
        <w:rPr>
          <w:spacing w:val="-2"/>
        </w:rPr>
        <w:t xml:space="preserve"> </w:t>
      </w:r>
      <w:r>
        <w:t>intervention</w:t>
      </w:r>
      <w:r>
        <w:rPr>
          <w:spacing w:val="-1"/>
        </w:rPr>
        <w:t xml:space="preserve"> </w:t>
      </w:r>
      <w:r>
        <w:t>notices</w:t>
      </w:r>
      <w:r>
        <w:rPr>
          <w:spacing w:val="-2"/>
        </w:rPr>
        <w:t xml:space="preserve"> </w:t>
      </w:r>
      <w:r>
        <w:t>as</w:t>
      </w:r>
      <w:r>
        <w:rPr>
          <w:spacing w:val="-1"/>
        </w:rPr>
        <w:t xml:space="preserve"> </w:t>
      </w:r>
      <w:r>
        <w:t>prescribed</w:t>
      </w:r>
      <w:r>
        <w:rPr>
          <w:spacing w:val="-3"/>
        </w:rPr>
        <w:t xml:space="preserve"> </w:t>
      </w:r>
      <w:r>
        <w:rPr>
          <w:spacing w:val="-5"/>
        </w:rPr>
        <w:t>in</w:t>
      </w:r>
    </w:p>
    <w:p w:rsidR="00196736" w:rsidP="00196736" w14:paraId="1BE3FB5A" w14:textId="77777777">
      <w:pPr>
        <w:pStyle w:val="BodyText"/>
        <w:ind w:left="220" w:right="272"/>
        <w:jc w:val="both"/>
      </w:pPr>
      <w:r>
        <w:t>§1024.39</w:t>
      </w:r>
      <w:r>
        <w:rPr>
          <w:spacing w:val="-1"/>
        </w:rPr>
        <w:t xml:space="preserve"> </w:t>
      </w:r>
      <w:r>
        <w:t>to</w:t>
      </w:r>
      <w:r>
        <w:rPr>
          <w:spacing w:val="-1"/>
        </w:rPr>
        <w:t xml:space="preserve"> </w:t>
      </w:r>
      <w:r>
        <w:t>certain</w:t>
      </w:r>
      <w:r>
        <w:rPr>
          <w:spacing w:val="-1"/>
        </w:rPr>
        <w:t xml:space="preserve"> </w:t>
      </w:r>
      <w:r>
        <w:t>borrowers</w:t>
      </w:r>
      <w:r>
        <w:rPr>
          <w:spacing w:val="-1"/>
        </w:rPr>
        <w:t xml:space="preserve"> </w:t>
      </w:r>
      <w:r>
        <w:t>by</w:t>
      </w:r>
      <w:r>
        <w:rPr>
          <w:spacing w:val="-1"/>
        </w:rPr>
        <w:t xml:space="preserve"> </w:t>
      </w:r>
      <w:r>
        <w:t>the</w:t>
      </w:r>
      <w:r>
        <w:rPr>
          <w:spacing w:val="-2"/>
        </w:rPr>
        <w:t xml:space="preserve"> </w:t>
      </w:r>
      <w:r>
        <w:t>45</w:t>
      </w:r>
      <w:r>
        <w:rPr>
          <w:vertAlign w:val="superscript"/>
        </w:rPr>
        <w:t>th</w:t>
      </w:r>
      <w:r>
        <w:rPr>
          <w:spacing w:val="-1"/>
        </w:rPr>
        <w:t xml:space="preserve"> </w:t>
      </w:r>
      <w:r>
        <w:t>day</w:t>
      </w:r>
      <w:r>
        <w:rPr>
          <w:spacing w:val="-1"/>
        </w:rPr>
        <w:t xml:space="preserve"> </w:t>
      </w:r>
      <w:r>
        <w:t>of</w:t>
      </w:r>
      <w:r>
        <w:rPr>
          <w:spacing w:val="-2"/>
        </w:rPr>
        <w:t xml:space="preserve"> </w:t>
      </w:r>
      <w:r>
        <w:t>the</w:t>
      </w:r>
      <w:r>
        <w:rPr>
          <w:spacing w:val="-1"/>
        </w:rPr>
        <w:t xml:space="preserve"> </w:t>
      </w:r>
      <w:r>
        <w:t>borrower’s</w:t>
      </w:r>
      <w:r>
        <w:rPr>
          <w:spacing w:val="-1"/>
        </w:rPr>
        <w:t xml:space="preserve"> </w:t>
      </w:r>
      <w:r>
        <w:t>delinquency.</w:t>
      </w:r>
      <w:r>
        <w:rPr>
          <w:spacing w:val="-1"/>
        </w:rPr>
        <w:t xml:space="preserve"> </w:t>
      </w:r>
      <w:r>
        <w:t>These</w:t>
      </w:r>
      <w:r>
        <w:rPr>
          <w:spacing w:val="-1"/>
        </w:rPr>
        <w:t xml:space="preserve"> </w:t>
      </w:r>
      <w:r>
        <w:t>notices</w:t>
      </w:r>
      <w:r>
        <w:rPr>
          <w:spacing w:val="-1"/>
        </w:rPr>
        <w:t xml:space="preserve"> </w:t>
      </w:r>
      <w:r>
        <w:t>generally must</w:t>
      </w:r>
      <w:r>
        <w:rPr>
          <w:spacing w:val="-4"/>
        </w:rPr>
        <w:t xml:space="preserve"> </w:t>
      </w:r>
      <w:r>
        <w:t>include</w:t>
      </w:r>
      <w:r>
        <w:rPr>
          <w:spacing w:val="-4"/>
        </w:rPr>
        <w:t xml:space="preserve"> </w:t>
      </w:r>
      <w:r>
        <w:t>information</w:t>
      </w:r>
      <w:r>
        <w:rPr>
          <w:spacing w:val="-4"/>
        </w:rPr>
        <w:t xml:space="preserve"> </w:t>
      </w:r>
      <w:r>
        <w:t>on</w:t>
      </w:r>
      <w:r>
        <w:rPr>
          <w:spacing w:val="-4"/>
        </w:rPr>
        <w:t xml:space="preserve"> </w:t>
      </w:r>
      <w:r>
        <w:t>contacting</w:t>
      </w:r>
      <w:r>
        <w:rPr>
          <w:spacing w:val="-4"/>
        </w:rPr>
        <w:t xml:space="preserve"> </w:t>
      </w:r>
      <w:r>
        <w:t>the</w:t>
      </w:r>
      <w:r>
        <w:rPr>
          <w:spacing w:val="-4"/>
        </w:rPr>
        <w:t xml:space="preserve"> </w:t>
      </w:r>
      <w:r>
        <w:t>servicer,</w:t>
      </w:r>
      <w:r>
        <w:rPr>
          <w:spacing w:val="-4"/>
        </w:rPr>
        <w:t xml:space="preserve"> </w:t>
      </w:r>
      <w:r>
        <w:t>information</w:t>
      </w:r>
      <w:r>
        <w:rPr>
          <w:spacing w:val="-4"/>
        </w:rPr>
        <w:t xml:space="preserve"> </w:t>
      </w:r>
      <w:r>
        <w:t>available</w:t>
      </w:r>
      <w:r>
        <w:rPr>
          <w:spacing w:val="-4"/>
        </w:rPr>
        <w:t xml:space="preserve"> </w:t>
      </w:r>
      <w:r>
        <w:t>on</w:t>
      </w:r>
      <w:r>
        <w:rPr>
          <w:spacing w:val="-4"/>
        </w:rPr>
        <w:t xml:space="preserve"> </w:t>
      </w:r>
      <w:r>
        <w:t>loss</w:t>
      </w:r>
      <w:r>
        <w:rPr>
          <w:spacing w:val="-4"/>
        </w:rPr>
        <w:t xml:space="preserve"> </w:t>
      </w:r>
      <w:r>
        <w:t>mitigation</w:t>
      </w:r>
      <w:r>
        <w:rPr>
          <w:spacing w:val="-4"/>
        </w:rPr>
        <w:t xml:space="preserve"> </w:t>
      </w:r>
      <w:r>
        <w:t>options, if available, and information on the CFPB or HUD list of homeownership counselors.</w:t>
      </w:r>
      <w:r w:rsidR="00744359">
        <w:t xml:space="preserve">  See Section 1 above </w:t>
      </w:r>
      <w:r w:rsidR="007D1B4A">
        <w:t xml:space="preserve">and the NPRM published on the Bureau’s website on July 10, </w:t>
      </w:r>
      <w:r w:rsidR="007D1B4A">
        <w:t>2024</w:t>
      </w:r>
      <w:r w:rsidR="007D1B4A">
        <w:t xml:space="preserve"> </w:t>
      </w:r>
      <w:r w:rsidR="00744359">
        <w:t xml:space="preserve">for a description of how the proposed rule </w:t>
      </w:r>
      <w:r w:rsidR="00157BA6">
        <w:t>would change these requirements.</w:t>
      </w:r>
    </w:p>
    <w:p w:rsidR="00196736" w:rsidP="00196736" w14:paraId="142E635F" w14:textId="77777777">
      <w:pPr>
        <w:pStyle w:val="BodyText"/>
        <w:spacing w:before="1"/>
      </w:pPr>
    </w:p>
    <w:p w:rsidR="00196736" w:rsidP="00196736" w14:paraId="52A6E56A" w14:textId="77777777">
      <w:pPr>
        <w:spacing w:before="1"/>
        <w:ind w:left="220"/>
        <w:jc w:val="both"/>
        <w:rPr>
          <w:i/>
          <w:sz w:val="24"/>
        </w:rPr>
      </w:pPr>
      <w:r>
        <w:rPr>
          <w:i/>
          <w:sz w:val="24"/>
        </w:rPr>
        <w:t>Error-resolution</w:t>
      </w:r>
      <w:r>
        <w:rPr>
          <w:i/>
          <w:spacing w:val="-3"/>
          <w:sz w:val="24"/>
        </w:rPr>
        <w:t xml:space="preserve"> </w:t>
      </w:r>
      <w:r>
        <w:rPr>
          <w:i/>
          <w:sz w:val="24"/>
        </w:rPr>
        <w:t>and</w:t>
      </w:r>
      <w:r>
        <w:rPr>
          <w:i/>
          <w:spacing w:val="-2"/>
          <w:sz w:val="24"/>
        </w:rPr>
        <w:t xml:space="preserve"> </w:t>
      </w:r>
      <w:r>
        <w:rPr>
          <w:i/>
          <w:sz w:val="24"/>
        </w:rPr>
        <w:t>requests</w:t>
      </w:r>
      <w:r>
        <w:rPr>
          <w:i/>
          <w:spacing w:val="-3"/>
          <w:sz w:val="24"/>
        </w:rPr>
        <w:t xml:space="preserve"> </w:t>
      </w:r>
      <w:r>
        <w:rPr>
          <w:i/>
          <w:sz w:val="24"/>
        </w:rPr>
        <w:t>for</w:t>
      </w:r>
      <w:r>
        <w:rPr>
          <w:i/>
          <w:spacing w:val="-2"/>
          <w:sz w:val="24"/>
        </w:rPr>
        <w:t xml:space="preserve"> information</w:t>
      </w:r>
    </w:p>
    <w:p w:rsidR="00196736" w:rsidP="00196736" w14:paraId="67BBEC4C" w14:textId="77777777">
      <w:pPr>
        <w:pStyle w:val="BodyText"/>
        <w:spacing w:before="10"/>
        <w:rPr>
          <w:i/>
          <w:sz w:val="23"/>
        </w:rPr>
      </w:pPr>
    </w:p>
    <w:p w:rsidR="00196736" w:rsidP="00196736" w14:paraId="2F6502D1" w14:textId="77777777">
      <w:pPr>
        <w:pStyle w:val="BodyText"/>
        <w:ind w:left="220"/>
      </w:pPr>
      <w:r>
        <w:t>Regulation X’s provision for error resolution and requests for information generally requires written acknowledgement of receiving a notice of error or an information request, written notification of correction of error, and oral or written provision of the information requested by the borrower or a written</w:t>
      </w:r>
      <w:r>
        <w:rPr>
          <w:spacing w:val="-3"/>
        </w:rPr>
        <w:t xml:space="preserve"> </w:t>
      </w:r>
      <w:r>
        <w:t>notification</w:t>
      </w:r>
      <w:r>
        <w:rPr>
          <w:spacing w:val="-3"/>
        </w:rPr>
        <w:t xml:space="preserve"> </w:t>
      </w:r>
      <w:r>
        <w:t>that</w:t>
      </w:r>
      <w:r>
        <w:rPr>
          <w:spacing w:val="-3"/>
        </w:rPr>
        <w:t xml:space="preserve"> </w:t>
      </w:r>
      <w:r>
        <w:t>the</w:t>
      </w:r>
      <w:r>
        <w:rPr>
          <w:spacing w:val="-3"/>
        </w:rPr>
        <w:t xml:space="preserve"> </w:t>
      </w:r>
      <w:r>
        <w:t>information</w:t>
      </w:r>
      <w:r>
        <w:rPr>
          <w:spacing w:val="-3"/>
        </w:rPr>
        <w:t xml:space="preserve"> </w:t>
      </w:r>
      <w:r>
        <w:t>requested</w:t>
      </w:r>
      <w:r>
        <w:rPr>
          <w:spacing w:val="-5"/>
        </w:rPr>
        <w:t xml:space="preserve"> </w:t>
      </w:r>
      <w:r>
        <w:t>is</w:t>
      </w:r>
      <w:r>
        <w:rPr>
          <w:spacing w:val="-3"/>
        </w:rPr>
        <w:t xml:space="preserve"> </w:t>
      </w:r>
      <w:r>
        <w:t>not</w:t>
      </w:r>
      <w:r>
        <w:rPr>
          <w:spacing w:val="-3"/>
        </w:rPr>
        <w:t xml:space="preserve"> </w:t>
      </w:r>
      <w:r>
        <w:t>available</w:t>
      </w:r>
      <w:r>
        <w:rPr>
          <w:spacing w:val="-3"/>
        </w:rPr>
        <w:t xml:space="preserve"> </w:t>
      </w:r>
      <w:r>
        <w:t>to</w:t>
      </w:r>
      <w:r>
        <w:rPr>
          <w:spacing w:val="-5"/>
        </w:rPr>
        <w:t xml:space="preserve"> </w:t>
      </w:r>
      <w:r>
        <w:t>the</w:t>
      </w:r>
      <w:r>
        <w:rPr>
          <w:spacing w:val="-3"/>
        </w:rPr>
        <w:t xml:space="preserve"> </w:t>
      </w:r>
      <w:r>
        <w:t>servicer.</w:t>
      </w:r>
      <w:r>
        <w:rPr>
          <w:spacing w:val="-3"/>
        </w:rPr>
        <w:t xml:space="preserve"> </w:t>
      </w:r>
      <w:r>
        <w:t>These</w:t>
      </w:r>
      <w:r>
        <w:rPr>
          <w:spacing w:val="-3"/>
        </w:rPr>
        <w:t xml:space="preserve"> </w:t>
      </w:r>
      <w:r>
        <w:t>activities</w:t>
      </w:r>
      <w:r>
        <w:rPr>
          <w:spacing w:val="-4"/>
        </w:rPr>
        <w:t xml:space="preserve"> </w:t>
      </w:r>
      <w:r>
        <w:t>are information collections.</w:t>
      </w:r>
    </w:p>
    <w:p w:rsidR="00196736" w:rsidP="00196736" w14:paraId="5129D248" w14:textId="77777777">
      <w:pPr>
        <w:pStyle w:val="BodyText"/>
        <w:ind w:left="220"/>
      </w:pPr>
    </w:p>
    <w:p w:rsidR="00196736" w:rsidP="00196736" w14:paraId="4C750380" w14:textId="77777777">
      <w:pPr>
        <w:ind w:left="220"/>
        <w:jc w:val="both"/>
        <w:rPr>
          <w:i/>
          <w:sz w:val="24"/>
        </w:rPr>
      </w:pPr>
      <w:r>
        <w:rPr>
          <w:i/>
          <w:sz w:val="24"/>
        </w:rPr>
        <w:t>Force-placed</w:t>
      </w:r>
      <w:r>
        <w:rPr>
          <w:i/>
          <w:spacing w:val="-3"/>
          <w:sz w:val="24"/>
        </w:rPr>
        <w:t xml:space="preserve"> </w:t>
      </w:r>
      <w:r>
        <w:rPr>
          <w:i/>
          <w:sz w:val="24"/>
        </w:rPr>
        <w:t>insurance</w:t>
      </w:r>
      <w:r>
        <w:rPr>
          <w:i/>
          <w:spacing w:val="-2"/>
          <w:sz w:val="24"/>
        </w:rPr>
        <w:t xml:space="preserve"> notice</w:t>
      </w:r>
    </w:p>
    <w:p w:rsidR="00196736" w:rsidP="00196736" w14:paraId="40141C31" w14:textId="77777777">
      <w:pPr>
        <w:pStyle w:val="BodyText"/>
        <w:spacing w:before="10"/>
        <w:rPr>
          <w:i/>
          <w:sz w:val="23"/>
        </w:rPr>
      </w:pPr>
    </w:p>
    <w:p w:rsidR="00196736" w:rsidP="00196736" w14:paraId="5E8A63B5" w14:textId="77777777">
      <w:pPr>
        <w:pStyle w:val="BodyText"/>
        <w:spacing w:before="1"/>
        <w:ind w:left="220" w:right="228"/>
      </w:pPr>
      <w:r>
        <w:t>Servicers are generally required to deliver to the borrower or place in the mail two related notices: one at least 45 days and the other at least 15 days before charging the borrower for force-placed insurance. In addition to the two notices, the CFPB requires servicers to provide borrowers</w:t>
      </w:r>
      <w:r>
        <w:rPr>
          <w:spacing w:val="-3"/>
        </w:rPr>
        <w:t xml:space="preserve"> </w:t>
      </w:r>
      <w:r>
        <w:t>a</w:t>
      </w:r>
      <w:r>
        <w:rPr>
          <w:spacing w:val="-4"/>
        </w:rPr>
        <w:t xml:space="preserve"> </w:t>
      </w:r>
      <w:r>
        <w:t>written</w:t>
      </w:r>
      <w:r>
        <w:rPr>
          <w:spacing w:val="-3"/>
        </w:rPr>
        <w:t xml:space="preserve"> </w:t>
      </w:r>
      <w:r>
        <w:t>notice</w:t>
      </w:r>
      <w:r>
        <w:rPr>
          <w:spacing w:val="-3"/>
        </w:rPr>
        <w:t xml:space="preserve"> </w:t>
      </w:r>
      <w:r>
        <w:t>before</w:t>
      </w:r>
      <w:r>
        <w:rPr>
          <w:spacing w:val="-3"/>
        </w:rPr>
        <w:t xml:space="preserve"> </w:t>
      </w:r>
      <w:r>
        <w:t>charging</w:t>
      </w:r>
      <w:r>
        <w:rPr>
          <w:spacing w:val="-3"/>
        </w:rPr>
        <w:t xml:space="preserve"> </w:t>
      </w:r>
      <w:r>
        <w:t>a</w:t>
      </w:r>
      <w:r>
        <w:rPr>
          <w:spacing w:val="-3"/>
        </w:rPr>
        <w:t xml:space="preserve"> </w:t>
      </w:r>
      <w:r>
        <w:t>borrower</w:t>
      </w:r>
      <w:r>
        <w:rPr>
          <w:spacing w:val="-3"/>
        </w:rPr>
        <w:t xml:space="preserve"> </w:t>
      </w:r>
      <w:r>
        <w:t>for</w:t>
      </w:r>
      <w:r>
        <w:rPr>
          <w:spacing w:val="-3"/>
        </w:rPr>
        <w:t xml:space="preserve"> </w:t>
      </w:r>
      <w:r>
        <w:t>renewing</w:t>
      </w:r>
      <w:r>
        <w:rPr>
          <w:spacing w:val="-3"/>
        </w:rPr>
        <w:t xml:space="preserve"> </w:t>
      </w:r>
      <w:r>
        <w:t>or</w:t>
      </w:r>
      <w:r>
        <w:rPr>
          <w:spacing w:val="-3"/>
        </w:rPr>
        <w:t xml:space="preserve"> </w:t>
      </w:r>
      <w:r>
        <w:t>replacing</w:t>
      </w:r>
      <w:r>
        <w:rPr>
          <w:spacing w:val="-5"/>
        </w:rPr>
        <w:t xml:space="preserve"> </w:t>
      </w:r>
      <w:r>
        <w:t>existing</w:t>
      </w:r>
      <w:r>
        <w:rPr>
          <w:spacing w:val="-3"/>
        </w:rPr>
        <w:t xml:space="preserve"> </w:t>
      </w:r>
      <w:r>
        <w:t>force-placed insurance on an annual basis.</w:t>
      </w:r>
    </w:p>
    <w:p w:rsidR="00196736" w:rsidP="00196736" w14:paraId="7E2003C5" w14:textId="77777777">
      <w:pPr>
        <w:pStyle w:val="BodyText"/>
        <w:spacing w:before="1"/>
      </w:pPr>
    </w:p>
    <w:p w:rsidR="00196736" w:rsidP="00196736" w14:paraId="2D3DA7C9" w14:textId="77777777">
      <w:pPr>
        <w:ind w:left="220"/>
        <w:rPr>
          <w:i/>
          <w:sz w:val="24"/>
        </w:rPr>
      </w:pPr>
      <w:r>
        <w:rPr>
          <w:i/>
          <w:sz w:val="24"/>
        </w:rPr>
        <w:t>Loss</w:t>
      </w:r>
      <w:r>
        <w:rPr>
          <w:i/>
          <w:spacing w:val="-2"/>
          <w:sz w:val="24"/>
        </w:rPr>
        <w:t xml:space="preserve"> </w:t>
      </w:r>
      <w:r>
        <w:rPr>
          <w:i/>
          <w:sz w:val="24"/>
        </w:rPr>
        <w:t>mitigation</w:t>
      </w:r>
      <w:r>
        <w:rPr>
          <w:i/>
          <w:spacing w:val="-1"/>
          <w:sz w:val="24"/>
        </w:rPr>
        <w:t xml:space="preserve"> </w:t>
      </w:r>
      <w:r>
        <w:rPr>
          <w:i/>
          <w:sz w:val="24"/>
        </w:rPr>
        <w:t>evaluation</w:t>
      </w:r>
      <w:r>
        <w:rPr>
          <w:i/>
          <w:spacing w:val="-2"/>
          <w:sz w:val="24"/>
        </w:rPr>
        <w:t xml:space="preserve"> </w:t>
      </w:r>
      <w:r>
        <w:rPr>
          <w:i/>
          <w:sz w:val="24"/>
        </w:rPr>
        <w:t>and</w:t>
      </w:r>
      <w:r>
        <w:rPr>
          <w:i/>
          <w:spacing w:val="-1"/>
          <w:sz w:val="24"/>
        </w:rPr>
        <w:t xml:space="preserve"> </w:t>
      </w:r>
      <w:r>
        <w:rPr>
          <w:i/>
          <w:spacing w:val="-2"/>
          <w:sz w:val="24"/>
        </w:rPr>
        <w:t>notices</w:t>
      </w:r>
    </w:p>
    <w:p w:rsidR="00196736" w:rsidP="00196736" w14:paraId="315A9061" w14:textId="77777777">
      <w:pPr>
        <w:pStyle w:val="BodyText"/>
        <w:spacing w:before="10"/>
        <w:rPr>
          <w:i/>
          <w:sz w:val="23"/>
        </w:rPr>
      </w:pPr>
    </w:p>
    <w:p w:rsidR="002B293C" w:rsidP="00196736" w14:paraId="0A80BFC0" w14:textId="434C2E70">
      <w:pPr>
        <w:pStyle w:val="BodyText"/>
        <w:spacing w:before="1"/>
        <w:ind w:left="220" w:right="297"/>
      </w:pPr>
      <w:r>
        <w:t>Servicers</w:t>
      </w:r>
      <w:r>
        <w:rPr>
          <w:spacing w:val="-4"/>
        </w:rPr>
        <w:t xml:space="preserve"> </w:t>
      </w:r>
      <w:r>
        <w:t>that</w:t>
      </w:r>
      <w:r>
        <w:rPr>
          <w:spacing w:val="-3"/>
        </w:rPr>
        <w:t xml:space="preserve"> </w:t>
      </w:r>
      <w:r>
        <w:t>offer</w:t>
      </w:r>
      <w:r>
        <w:rPr>
          <w:spacing w:val="-3"/>
        </w:rPr>
        <w:t xml:space="preserve"> </w:t>
      </w:r>
      <w:r>
        <w:t>loss</w:t>
      </w:r>
      <w:r>
        <w:rPr>
          <w:spacing w:val="-3"/>
        </w:rPr>
        <w:t xml:space="preserve"> </w:t>
      </w:r>
      <w:r>
        <w:t>mitigation</w:t>
      </w:r>
      <w:r>
        <w:rPr>
          <w:spacing w:val="-3"/>
        </w:rPr>
        <w:t xml:space="preserve"> </w:t>
      </w:r>
      <w:r>
        <w:t>options</w:t>
      </w:r>
      <w:r>
        <w:rPr>
          <w:spacing w:val="-3"/>
        </w:rPr>
        <w:t xml:space="preserve"> </w:t>
      </w:r>
      <w:r>
        <w:t>in</w:t>
      </w:r>
      <w:r>
        <w:rPr>
          <w:spacing w:val="-3"/>
        </w:rPr>
        <w:t xml:space="preserve"> </w:t>
      </w:r>
      <w:r>
        <w:t>the</w:t>
      </w:r>
      <w:r>
        <w:rPr>
          <w:spacing w:val="-3"/>
        </w:rPr>
        <w:t xml:space="preserve"> </w:t>
      </w:r>
      <w:r>
        <w:t>ordinary</w:t>
      </w:r>
      <w:r>
        <w:rPr>
          <w:spacing w:val="-3"/>
        </w:rPr>
        <w:t xml:space="preserve"> </w:t>
      </w:r>
      <w:r>
        <w:t>course</w:t>
      </w:r>
      <w:r>
        <w:rPr>
          <w:spacing w:val="-4"/>
        </w:rPr>
        <w:t xml:space="preserve"> </w:t>
      </w:r>
      <w:r>
        <w:t>of</w:t>
      </w:r>
      <w:r>
        <w:rPr>
          <w:spacing w:val="-4"/>
        </w:rPr>
        <w:t xml:space="preserve"> </w:t>
      </w:r>
      <w:r>
        <w:t>business</w:t>
      </w:r>
      <w:r>
        <w:rPr>
          <w:spacing w:val="-4"/>
        </w:rPr>
        <w:t xml:space="preserve"> </w:t>
      </w:r>
      <w:r>
        <w:t>are required to follow certain procedures when evaluating loss mitigation applications including:</w:t>
      </w:r>
    </w:p>
    <w:p w:rsidR="002B293C" w:rsidP="002B293C" w14:paraId="319CE7DF" w14:textId="77777777">
      <w:pPr>
        <w:pStyle w:val="BodyText"/>
        <w:numPr>
          <w:ilvl w:val="0"/>
          <w:numId w:val="26"/>
        </w:numPr>
        <w:spacing w:before="1"/>
        <w:ind w:right="297"/>
      </w:pPr>
      <w:r>
        <w:t>providing a notice telling the borrower if the loss mitigation is incomplete (including the documents and information that the borrower should submit to make the application complete), approved, or denied (and, for denials, a more detailed notice of the specific reason for the denial and appeal rights</w:t>
      </w:r>
      <w:r>
        <w:t>);</w:t>
      </w:r>
    </w:p>
    <w:p w:rsidR="002B293C" w:rsidP="002B293C" w14:paraId="175A885E" w14:textId="77777777">
      <w:pPr>
        <w:pStyle w:val="BodyText"/>
        <w:numPr>
          <w:ilvl w:val="0"/>
          <w:numId w:val="26"/>
        </w:numPr>
        <w:spacing w:before="1"/>
        <w:ind w:right="297"/>
      </w:pPr>
      <w:r>
        <w:t>a notice of the appeal determination;</w:t>
      </w:r>
      <w:r>
        <w:t xml:space="preserve"> and </w:t>
      </w:r>
    </w:p>
    <w:p w:rsidR="00196736" w:rsidP="002B293C" w14:paraId="3169BD3D" w14:textId="5B6A480A">
      <w:pPr>
        <w:pStyle w:val="BodyText"/>
        <w:numPr>
          <w:ilvl w:val="0"/>
          <w:numId w:val="26"/>
        </w:numPr>
        <w:spacing w:before="1"/>
        <w:ind w:right="297"/>
      </w:pPr>
      <w:r>
        <w:t>a copy of the loss mitigation application to owners of senior or subordinate liens on the property</w:t>
      </w:r>
      <w:r w:rsidR="00157BA6">
        <w:t xml:space="preserve">.  See Section 1 above </w:t>
      </w:r>
      <w:r w:rsidR="00843287">
        <w:t xml:space="preserve">and the NPRM published on the Bureau’s website on July 10, </w:t>
      </w:r>
      <w:r w:rsidR="00843287">
        <w:t>2024</w:t>
      </w:r>
      <w:r w:rsidR="00843287">
        <w:t xml:space="preserve"> </w:t>
      </w:r>
      <w:r w:rsidR="00157BA6">
        <w:t xml:space="preserve">for a description of how the proposed rule would change these requirements. </w:t>
      </w:r>
      <w:r>
        <w:t xml:space="preserve"> </w:t>
      </w:r>
    </w:p>
    <w:p w:rsidR="00196736" w:rsidP="00196736" w14:paraId="408DADE5" w14:textId="77777777">
      <w:pPr>
        <w:pStyle w:val="BodyText"/>
        <w:rPr>
          <w:sz w:val="22"/>
        </w:rPr>
      </w:pPr>
    </w:p>
    <w:p w:rsidR="00196736" w:rsidP="00196736" w14:paraId="1654F0C7" w14:textId="77777777">
      <w:pPr>
        <w:ind w:left="220"/>
        <w:rPr>
          <w:i/>
          <w:sz w:val="24"/>
        </w:rPr>
      </w:pPr>
      <w:r>
        <w:rPr>
          <w:i/>
          <w:sz w:val="24"/>
        </w:rPr>
        <w:t>Outstanding</w:t>
      </w:r>
      <w:r>
        <w:rPr>
          <w:i/>
          <w:spacing w:val="-4"/>
          <w:sz w:val="24"/>
        </w:rPr>
        <w:t xml:space="preserve"> </w:t>
      </w:r>
      <w:r>
        <w:rPr>
          <w:i/>
          <w:sz w:val="24"/>
        </w:rPr>
        <w:t>third-party</w:t>
      </w:r>
      <w:r>
        <w:rPr>
          <w:i/>
          <w:spacing w:val="-3"/>
          <w:sz w:val="24"/>
        </w:rPr>
        <w:t xml:space="preserve"> </w:t>
      </w:r>
      <w:r>
        <w:rPr>
          <w:i/>
          <w:sz w:val="24"/>
        </w:rPr>
        <w:t>information</w:t>
      </w:r>
      <w:r>
        <w:rPr>
          <w:i/>
          <w:spacing w:val="-3"/>
          <w:sz w:val="24"/>
        </w:rPr>
        <w:t xml:space="preserve"> </w:t>
      </w:r>
      <w:r>
        <w:rPr>
          <w:i/>
          <w:spacing w:val="-2"/>
          <w:sz w:val="24"/>
        </w:rPr>
        <w:t>notice</w:t>
      </w:r>
    </w:p>
    <w:p w:rsidR="00196736" w:rsidP="00196736" w14:paraId="53A5B9D0" w14:textId="77777777">
      <w:pPr>
        <w:pStyle w:val="BodyText"/>
        <w:spacing w:before="76"/>
        <w:ind w:left="220" w:right="251"/>
      </w:pPr>
      <w:r>
        <w:t>Servicers must promptly provide a written notice to the borrower if the servicer lacks</w:t>
      </w:r>
      <w:r>
        <w:rPr>
          <w:spacing w:val="-3"/>
        </w:rPr>
        <w:t xml:space="preserve"> </w:t>
      </w:r>
      <w:r>
        <w:t>required</w:t>
      </w:r>
      <w:r>
        <w:rPr>
          <w:spacing w:val="-3"/>
        </w:rPr>
        <w:t xml:space="preserve"> </w:t>
      </w:r>
      <w:r>
        <w:t>third</w:t>
      </w:r>
      <w:r>
        <w:rPr>
          <w:spacing w:val="-3"/>
        </w:rPr>
        <w:t xml:space="preserve"> </w:t>
      </w:r>
      <w:r>
        <w:t>party</w:t>
      </w:r>
      <w:r>
        <w:rPr>
          <w:spacing w:val="-3"/>
        </w:rPr>
        <w:t xml:space="preserve"> </w:t>
      </w:r>
      <w:r>
        <w:t>information</w:t>
      </w:r>
      <w:r>
        <w:rPr>
          <w:spacing w:val="-3"/>
        </w:rPr>
        <w:t xml:space="preserve"> </w:t>
      </w:r>
      <w:r>
        <w:t>30</w:t>
      </w:r>
      <w:r>
        <w:rPr>
          <w:spacing w:val="-3"/>
        </w:rPr>
        <w:t xml:space="preserve"> </w:t>
      </w:r>
      <w:r>
        <w:t>days</w:t>
      </w:r>
      <w:r>
        <w:rPr>
          <w:spacing w:val="-3"/>
        </w:rPr>
        <w:t xml:space="preserve"> </w:t>
      </w:r>
      <w:r>
        <w:t>after</w:t>
      </w:r>
      <w:r>
        <w:rPr>
          <w:spacing w:val="-3"/>
        </w:rPr>
        <w:t xml:space="preserve"> </w:t>
      </w:r>
      <w:r>
        <w:t>receiving</w:t>
      </w:r>
      <w:r>
        <w:rPr>
          <w:spacing w:val="-5"/>
        </w:rPr>
        <w:t xml:space="preserve"> </w:t>
      </w:r>
      <w:r>
        <w:t>the</w:t>
      </w:r>
      <w:r>
        <w:rPr>
          <w:spacing w:val="-3"/>
        </w:rPr>
        <w:t xml:space="preserve"> </w:t>
      </w:r>
      <w:r>
        <w:t>borrower’s</w:t>
      </w:r>
      <w:r>
        <w:rPr>
          <w:spacing w:val="-3"/>
        </w:rPr>
        <w:t xml:space="preserve"> </w:t>
      </w:r>
      <w:r>
        <w:t>complete</w:t>
      </w:r>
      <w:r>
        <w:rPr>
          <w:spacing w:val="-4"/>
        </w:rPr>
        <w:t xml:space="preserve"> </w:t>
      </w:r>
      <w:r>
        <w:t>loss</w:t>
      </w:r>
      <w:r>
        <w:rPr>
          <w:spacing w:val="-3"/>
        </w:rPr>
        <w:t xml:space="preserve"> </w:t>
      </w:r>
      <w:r>
        <w:t>mitigation application and cannot evaluate the application in accordance with applicable requirements established by the owner or assignee or the mortgage loan.</w:t>
      </w:r>
      <w:r w:rsidR="000D5934">
        <w:t xml:space="preserve"> See Section 1 above </w:t>
      </w:r>
      <w:r w:rsidR="00843287">
        <w:t xml:space="preserve">and the NPRM published on the Bureau’s website on July 10, </w:t>
      </w:r>
      <w:r w:rsidR="00843287">
        <w:t>2024</w:t>
      </w:r>
      <w:r w:rsidR="00843287">
        <w:t xml:space="preserve"> for a description of how the proposed rule would change these requirements. </w:t>
      </w:r>
    </w:p>
    <w:p w:rsidR="00196736" w:rsidP="00196736" w14:paraId="17D65142" w14:textId="77777777"/>
    <w:p w:rsidR="00FD2D3B" w:rsidP="00FD2D3B" w14:paraId="13F80BA6" w14:textId="77777777">
      <w:pPr>
        <w:pStyle w:val="BodyText"/>
        <w:spacing w:before="90"/>
        <w:ind w:left="220" w:right="251"/>
      </w:pPr>
      <w:r>
        <w:t xml:space="preserve"> The disclosures contained in 12 CFR 1024 (Regulation X) are required by statute, as implemented by the regulation. Consumers use the disclosures required by RESPA and Regulation X to inform their choice of settlement service providers, review the final terms of a settlement, understand whom to contact about questions concerning their mortgage loan, and identify and protect themselves against inaccurate or questionable loan servicing practices.</w:t>
      </w:r>
    </w:p>
    <w:p w:rsidR="00FD2D3B" w:rsidP="00FD2D3B" w14:paraId="2DE39B66" w14:textId="77777777">
      <w:pPr>
        <w:pStyle w:val="BodyText"/>
      </w:pPr>
    </w:p>
    <w:p w:rsidR="00FD2D3B" w:rsidP="00FD2D3B" w14:paraId="0FCD6575" w14:textId="77777777">
      <w:pPr>
        <w:pStyle w:val="BodyText"/>
        <w:ind w:left="220" w:right="251"/>
      </w:pPr>
      <w:r>
        <w:t>Disclosures are not submitted to the federal government. However, Regulation X does require retention</w:t>
      </w:r>
      <w:r>
        <w:rPr>
          <w:spacing w:val="-3"/>
        </w:rPr>
        <w:t xml:space="preserve"> </w:t>
      </w:r>
      <w:r>
        <w:t>of</w:t>
      </w:r>
      <w:r>
        <w:rPr>
          <w:spacing w:val="-4"/>
        </w:rPr>
        <w:t xml:space="preserve"> </w:t>
      </w:r>
      <w:r>
        <w:t>disclosures</w:t>
      </w:r>
      <w:r>
        <w:rPr>
          <w:spacing w:val="-4"/>
        </w:rPr>
        <w:t xml:space="preserve"> </w:t>
      </w:r>
      <w:r>
        <w:t>provided</w:t>
      </w:r>
      <w:r>
        <w:rPr>
          <w:spacing w:val="-4"/>
        </w:rPr>
        <w:t xml:space="preserve"> </w:t>
      </w:r>
      <w:r>
        <w:t>to</w:t>
      </w:r>
      <w:r>
        <w:rPr>
          <w:spacing w:val="-4"/>
        </w:rPr>
        <w:t xml:space="preserve"> </w:t>
      </w:r>
      <w:r>
        <w:t>consumers</w:t>
      </w:r>
      <w:r>
        <w:rPr>
          <w:spacing w:val="-3"/>
        </w:rPr>
        <w:t xml:space="preserve"> </w:t>
      </w:r>
      <w:r>
        <w:t>in</w:t>
      </w:r>
      <w:r>
        <w:rPr>
          <w:spacing w:val="-3"/>
        </w:rPr>
        <w:t xml:space="preserve"> </w:t>
      </w:r>
      <w:r>
        <w:t>two</w:t>
      </w:r>
      <w:r>
        <w:rPr>
          <w:spacing w:val="-3"/>
        </w:rPr>
        <w:t xml:space="preserve"> </w:t>
      </w:r>
      <w:r>
        <w:t>instances.</w:t>
      </w:r>
      <w:r>
        <w:rPr>
          <w:spacing w:val="-3"/>
        </w:rPr>
        <w:t xml:space="preserve"> </w:t>
      </w:r>
      <w:r>
        <w:t>First,</w:t>
      </w:r>
      <w:r>
        <w:rPr>
          <w:spacing w:val="-3"/>
        </w:rPr>
        <w:t xml:space="preserve"> </w:t>
      </w:r>
      <w:r>
        <w:t>most</w:t>
      </w:r>
      <w:r>
        <w:rPr>
          <w:spacing w:val="-3"/>
        </w:rPr>
        <w:t xml:space="preserve"> </w:t>
      </w:r>
      <w:r>
        <w:t>disclosures</w:t>
      </w:r>
      <w:r>
        <w:rPr>
          <w:spacing w:val="-3"/>
        </w:rPr>
        <w:t xml:space="preserve"> </w:t>
      </w:r>
      <w:r>
        <w:t>provided</w:t>
      </w:r>
      <w:r>
        <w:rPr>
          <w:spacing w:val="-4"/>
        </w:rPr>
        <w:t xml:space="preserve"> </w:t>
      </w:r>
      <w:r>
        <w:t xml:space="preserve">to consumers must be retained for five years to aid the </w:t>
      </w:r>
      <w:r w:rsidR="003D42E5">
        <w:t>CFPB</w:t>
      </w:r>
      <w:r>
        <w:t xml:space="preserve"> and other regulators in ensuring compliance with Regulation X. Additionally, servicers are generally required to retain records of actions taken with response to a borrower’s mortgage loan account until one year after the date the loan is </w:t>
      </w:r>
      <w:r>
        <w:t>discharged</w:t>
      </w:r>
      <w:r>
        <w:t xml:space="preserve"> or servicing of the loan is transferred by the servicer to another servicer.</w:t>
      </w:r>
    </w:p>
    <w:p w:rsidR="00FD2D3B" w:rsidP="00FD2D3B" w14:paraId="55BA0555" w14:textId="77777777">
      <w:pPr>
        <w:pStyle w:val="BodyText"/>
        <w:spacing w:before="3"/>
      </w:pPr>
    </w:p>
    <w:p w:rsidR="005F1FFC" w:rsidP="00FD2D3B" w14:paraId="5C6B60D3" w14:textId="77777777">
      <w:pPr>
        <w:pStyle w:val="BodyText"/>
        <w:ind w:left="220" w:right="251"/>
        <w:rPr>
          <w:spacing w:val="-2"/>
        </w:rPr>
      </w:pPr>
      <w:r>
        <w:t>Consumers use the disclosures required by RESPA and Regulation X to inform their choice of settlement service providers, review the</w:t>
      </w:r>
      <w:r>
        <w:rPr>
          <w:spacing w:val="-3"/>
        </w:rPr>
        <w:t xml:space="preserve"> </w:t>
      </w:r>
      <w:r>
        <w:t>final</w:t>
      </w:r>
      <w:r>
        <w:rPr>
          <w:spacing w:val="-4"/>
        </w:rPr>
        <w:t xml:space="preserve"> </w:t>
      </w:r>
      <w:r>
        <w:t>terms</w:t>
      </w:r>
      <w:r>
        <w:rPr>
          <w:spacing w:val="-3"/>
        </w:rPr>
        <w:t xml:space="preserve"> </w:t>
      </w:r>
      <w:r>
        <w:t>of</w:t>
      </w:r>
      <w:r>
        <w:rPr>
          <w:spacing w:val="-4"/>
        </w:rPr>
        <w:t xml:space="preserve"> </w:t>
      </w:r>
      <w:r>
        <w:t>a</w:t>
      </w:r>
      <w:r>
        <w:rPr>
          <w:spacing w:val="-3"/>
        </w:rPr>
        <w:t xml:space="preserve"> </w:t>
      </w:r>
      <w:r>
        <w:t>settlement,</w:t>
      </w:r>
      <w:r>
        <w:rPr>
          <w:spacing w:val="-3"/>
        </w:rPr>
        <w:t xml:space="preserve"> </w:t>
      </w:r>
      <w:r>
        <w:t>understand</w:t>
      </w:r>
      <w:r>
        <w:rPr>
          <w:spacing w:val="-3"/>
        </w:rPr>
        <w:t xml:space="preserve"> </w:t>
      </w:r>
      <w:r>
        <w:t>who</w:t>
      </w:r>
      <w:r>
        <w:rPr>
          <w:spacing w:val="-3"/>
        </w:rPr>
        <w:t xml:space="preserve"> </w:t>
      </w:r>
      <w:r>
        <w:t>to</w:t>
      </w:r>
      <w:r>
        <w:rPr>
          <w:spacing w:val="-3"/>
        </w:rPr>
        <w:t xml:space="preserve"> </w:t>
      </w:r>
      <w:r>
        <w:t>contact</w:t>
      </w:r>
      <w:r>
        <w:rPr>
          <w:spacing w:val="-3"/>
        </w:rPr>
        <w:t xml:space="preserve"> </w:t>
      </w:r>
      <w:r>
        <w:t>about</w:t>
      </w:r>
      <w:r>
        <w:rPr>
          <w:spacing w:val="-3"/>
        </w:rPr>
        <w:t xml:space="preserve"> </w:t>
      </w:r>
      <w:r>
        <w:t>questions</w:t>
      </w:r>
      <w:r>
        <w:rPr>
          <w:spacing w:val="-3"/>
        </w:rPr>
        <w:t xml:space="preserve"> </w:t>
      </w:r>
      <w:r>
        <w:t>concerning</w:t>
      </w:r>
      <w:r>
        <w:rPr>
          <w:spacing w:val="-5"/>
        </w:rPr>
        <w:t xml:space="preserve"> </w:t>
      </w:r>
      <w:r>
        <w:t>their</w:t>
      </w:r>
      <w:r>
        <w:rPr>
          <w:spacing w:val="-3"/>
        </w:rPr>
        <w:t xml:space="preserve"> </w:t>
      </w:r>
      <w:r>
        <w:t>mortgage loan,</w:t>
      </w:r>
      <w:r>
        <w:rPr>
          <w:spacing w:val="-4"/>
        </w:rPr>
        <w:t xml:space="preserve"> </w:t>
      </w:r>
      <w:r>
        <w:t>and</w:t>
      </w:r>
      <w:r>
        <w:rPr>
          <w:spacing w:val="-1"/>
        </w:rPr>
        <w:t xml:space="preserve"> </w:t>
      </w:r>
      <w:r>
        <w:t>identify</w:t>
      </w:r>
      <w:r>
        <w:rPr>
          <w:spacing w:val="-2"/>
        </w:rPr>
        <w:t xml:space="preserve"> </w:t>
      </w:r>
      <w:r>
        <w:t>and</w:t>
      </w:r>
      <w:r>
        <w:rPr>
          <w:spacing w:val="-1"/>
        </w:rPr>
        <w:t xml:space="preserve"> </w:t>
      </w:r>
      <w:r>
        <w:t>protect</w:t>
      </w:r>
      <w:r>
        <w:rPr>
          <w:spacing w:val="-3"/>
        </w:rPr>
        <w:t xml:space="preserve"> </w:t>
      </w:r>
      <w:r>
        <w:t>themselves</w:t>
      </w:r>
      <w:r>
        <w:rPr>
          <w:spacing w:val="-1"/>
        </w:rPr>
        <w:t xml:space="preserve"> </w:t>
      </w:r>
      <w:r>
        <w:t>against</w:t>
      </w:r>
      <w:r>
        <w:rPr>
          <w:spacing w:val="-2"/>
        </w:rPr>
        <w:t xml:space="preserve"> </w:t>
      </w:r>
      <w:r>
        <w:t>inaccurate</w:t>
      </w:r>
      <w:r>
        <w:rPr>
          <w:spacing w:val="-2"/>
        </w:rPr>
        <w:t xml:space="preserve"> </w:t>
      </w:r>
      <w:r>
        <w:t>or</w:t>
      </w:r>
      <w:r>
        <w:rPr>
          <w:spacing w:val="-1"/>
        </w:rPr>
        <w:t xml:space="preserve"> </w:t>
      </w:r>
      <w:r>
        <w:t>questionable</w:t>
      </w:r>
      <w:r>
        <w:rPr>
          <w:spacing w:val="-2"/>
        </w:rPr>
        <w:t xml:space="preserve"> </w:t>
      </w:r>
      <w:r>
        <w:t>loan</w:t>
      </w:r>
      <w:r>
        <w:rPr>
          <w:spacing w:val="-3"/>
        </w:rPr>
        <w:t xml:space="preserve"> </w:t>
      </w:r>
      <w:r>
        <w:t>servicing</w:t>
      </w:r>
      <w:r>
        <w:rPr>
          <w:spacing w:val="-1"/>
        </w:rPr>
        <w:t xml:space="preserve"> </w:t>
      </w:r>
      <w:r>
        <w:rPr>
          <w:spacing w:val="-2"/>
        </w:rPr>
        <w:t>practices.</w:t>
      </w:r>
    </w:p>
    <w:p w:rsidR="00E939D3" w:rsidRPr="00BF6D43" w:rsidP="005F1FFC" w14:paraId="7A892F89" w14:textId="77777777"/>
    <w:p w:rsidR="00092D91" w:rsidP="00092D91" w14:paraId="7BF19DF7"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6736" w:rsidP="00092D91" w14:paraId="7F460F07" w14:textId="77777777">
      <w:pPr>
        <w:rPr>
          <w:b/>
          <w:bCs/>
          <w:sz w:val="24"/>
          <w:szCs w:val="24"/>
        </w:rPr>
      </w:pPr>
    </w:p>
    <w:p w:rsidR="00FD2D3B" w:rsidP="00FD2D3B" w14:paraId="3DBB7AF3" w14:textId="77777777">
      <w:pPr>
        <w:pStyle w:val="BodyText"/>
        <w:spacing w:before="90"/>
        <w:ind w:left="220"/>
      </w:pPr>
      <w:r>
        <w:t>12</w:t>
      </w:r>
      <w:r>
        <w:rPr>
          <w:spacing w:val="-2"/>
        </w:rPr>
        <w:t xml:space="preserve"> </w:t>
      </w:r>
      <w:r>
        <w:t>CFR</w:t>
      </w:r>
      <w:r>
        <w:rPr>
          <w:spacing w:val="-3"/>
        </w:rPr>
        <w:t xml:space="preserve"> </w:t>
      </w:r>
      <w:r>
        <w:t>1024.3</w:t>
      </w:r>
      <w:r>
        <w:rPr>
          <w:spacing w:val="-2"/>
        </w:rPr>
        <w:t xml:space="preserve"> </w:t>
      </w:r>
      <w:r>
        <w:t>allows</w:t>
      </w:r>
      <w:r>
        <w:rPr>
          <w:spacing w:val="-2"/>
        </w:rPr>
        <w:t xml:space="preserve"> </w:t>
      </w:r>
      <w:r>
        <w:t>that</w:t>
      </w:r>
      <w:r>
        <w:rPr>
          <w:spacing w:val="-2"/>
        </w:rPr>
        <w:t xml:space="preserve"> </w:t>
      </w:r>
      <w:r>
        <w:t>“The</w:t>
      </w:r>
      <w:r>
        <w:rPr>
          <w:spacing w:val="-2"/>
        </w:rPr>
        <w:t xml:space="preserve"> </w:t>
      </w:r>
      <w:r>
        <w:t>disclosures</w:t>
      </w:r>
      <w:r>
        <w:rPr>
          <w:spacing w:val="-2"/>
        </w:rPr>
        <w:t xml:space="preserve"> </w:t>
      </w:r>
      <w:r>
        <w:t>required</w:t>
      </w:r>
      <w:r>
        <w:rPr>
          <w:spacing w:val="-2"/>
        </w:rPr>
        <w:t xml:space="preserve"> </w:t>
      </w:r>
      <w:r>
        <w:t>by</w:t>
      </w:r>
      <w:r>
        <w:rPr>
          <w:spacing w:val="-4"/>
        </w:rPr>
        <w:t xml:space="preserve"> </w:t>
      </w:r>
      <w:r>
        <w:t>this</w:t>
      </w:r>
      <w:r>
        <w:rPr>
          <w:spacing w:val="-3"/>
        </w:rPr>
        <w:t xml:space="preserve"> </w:t>
      </w:r>
      <w:r>
        <w:t>part</w:t>
      </w:r>
      <w:r>
        <w:rPr>
          <w:spacing w:val="-2"/>
        </w:rPr>
        <w:t xml:space="preserve"> </w:t>
      </w:r>
      <w:r>
        <w:t>may</w:t>
      </w:r>
      <w:r>
        <w:rPr>
          <w:spacing w:val="-2"/>
        </w:rPr>
        <w:t xml:space="preserve"> </w:t>
      </w:r>
      <w:r>
        <w:t>be</w:t>
      </w:r>
      <w:r>
        <w:rPr>
          <w:spacing w:val="-2"/>
        </w:rPr>
        <w:t xml:space="preserve"> </w:t>
      </w:r>
      <w:r>
        <w:t>provided</w:t>
      </w:r>
      <w:r>
        <w:rPr>
          <w:spacing w:val="-4"/>
        </w:rPr>
        <w:t xml:space="preserve"> </w:t>
      </w:r>
      <w:r>
        <w:t>in</w:t>
      </w:r>
      <w:r>
        <w:rPr>
          <w:spacing w:val="-4"/>
        </w:rPr>
        <w:t xml:space="preserve"> </w:t>
      </w:r>
      <w:r>
        <w:t>electronic</w:t>
      </w:r>
      <w:r>
        <w:rPr>
          <w:spacing w:val="-2"/>
        </w:rPr>
        <w:t xml:space="preserve"> </w:t>
      </w:r>
      <w:r>
        <w:t xml:space="preserve">form, subject to compliance with the consumer consent and other applicable provisions of the Electronic Signatures in Global and National Commerce Act (E-Sign Act) (15 U.S.C. 7001 </w:t>
      </w:r>
      <w:r>
        <w:rPr>
          <w:i/>
        </w:rPr>
        <w:t>et seq.</w:t>
      </w:r>
      <w:r>
        <w:t>)”</w:t>
      </w:r>
    </w:p>
    <w:p w:rsidR="00E939D3" w:rsidRPr="00BF6D43" w:rsidP="00E81562" w14:paraId="5C689C69" w14:textId="77777777">
      <w:pPr>
        <w:rPr>
          <w:b/>
          <w:sz w:val="24"/>
        </w:rPr>
      </w:pPr>
    </w:p>
    <w:p w:rsidR="00092D91" w:rsidP="00092D91" w14:paraId="344543B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196736" w:rsidP="00092D91" w14:paraId="60434F3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D2D3B" w:rsidP="00FD2D3B" w14:paraId="1143EB39" w14:textId="77777777">
      <w:pPr>
        <w:pStyle w:val="BodyText"/>
        <w:spacing w:before="90"/>
        <w:ind w:left="220" w:right="297"/>
      </w:pPr>
      <w:r>
        <w:t>The early intervention and loss mitigation procedures may overlap with existing Federal law, as described in</w:t>
      </w:r>
      <w:r>
        <w:rPr>
          <w:spacing w:val="-2"/>
        </w:rPr>
        <w:t xml:space="preserve"> </w:t>
      </w:r>
      <w:r>
        <w:t>this section.</w:t>
      </w:r>
      <w:r>
        <w:rPr>
          <w:spacing w:val="-2"/>
        </w:rPr>
        <w:t xml:space="preserve"> </w:t>
      </w:r>
      <w:r>
        <w:t>In general, the minimum mortgage servicing rules</w:t>
      </w:r>
      <w:r>
        <w:rPr>
          <w:spacing w:val="-1"/>
        </w:rPr>
        <w:t xml:space="preserve"> </w:t>
      </w:r>
      <w:r>
        <w:t>in Regulation X</w:t>
      </w:r>
      <w:r>
        <w:rPr>
          <w:spacing w:val="-1"/>
        </w:rPr>
        <w:t xml:space="preserve"> </w:t>
      </w:r>
      <w:r>
        <w:t>preempt State</w:t>
      </w:r>
      <w:r>
        <w:rPr>
          <w:spacing w:val="-4"/>
        </w:rPr>
        <w:t xml:space="preserve"> </w:t>
      </w:r>
      <w:r>
        <w:t>laws</w:t>
      </w:r>
      <w:r>
        <w:rPr>
          <w:spacing w:val="-3"/>
        </w:rPr>
        <w:t xml:space="preserve"> </w:t>
      </w:r>
      <w:r>
        <w:t>(§1204.33(d));</w:t>
      </w:r>
      <w:r>
        <w:rPr>
          <w:spacing w:val="-3"/>
        </w:rPr>
        <w:t xml:space="preserve"> </w:t>
      </w:r>
      <w:r>
        <w:t>however,</w:t>
      </w:r>
      <w:r>
        <w:rPr>
          <w:spacing w:val="-5"/>
        </w:rPr>
        <w:t xml:space="preserve"> </w:t>
      </w:r>
      <w:r>
        <w:t>some</w:t>
      </w:r>
      <w:r>
        <w:rPr>
          <w:spacing w:val="-3"/>
        </w:rPr>
        <w:t xml:space="preserve"> </w:t>
      </w:r>
      <w:r>
        <w:t>States</w:t>
      </w:r>
      <w:r>
        <w:rPr>
          <w:spacing w:val="-3"/>
        </w:rPr>
        <w:t xml:space="preserve"> </w:t>
      </w:r>
      <w:r>
        <w:t>may</w:t>
      </w:r>
      <w:r>
        <w:rPr>
          <w:spacing w:val="-3"/>
        </w:rPr>
        <w:t xml:space="preserve"> </w:t>
      </w:r>
      <w:r>
        <w:t>have</w:t>
      </w:r>
      <w:r>
        <w:rPr>
          <w:spacing w:val="-3"/>
        </w:rPr>
        <w:t xml:space="preserve"> </w:t>
      </w:r>
      <w:r>
        <w:t>rules</w:t>
      </w:r>
      <w:r>
        <w:rPr>
          <w:spacing w:val="-3"/>
        </w:rPr>
        <w:t xml:space="preserve"> </w:t>
      </w:r>
      <w:r>
        <w:t>applicable</w:t>
      </w:r>
      <w:r>
        <w:rPr>
          <w:spacing w:val="-3"/>
        </w:rPr>
        <w:t xml:space="preserve"> </w:t>
      </w:r>
      <w:r>
        <w:t>to</w:t>
      </w:r>
      <w:r>
        <w:rPr>
          <w:spacing w:val="-3"/>
        </w:rPr>
        <w:t xml:space="preserve"> </w:t>
      </w:r>
      <w:r>
        <w:t>mortgage</w:t>
      </w:r>
      <w:r>
        <w:rPr>
          <w:spacing w:val="-3"/>
        </w:rPr>
        <w:t xml:space="preserve"> </w:t>
      </w:r>
      <w:r>
        <w:t>servicing</w:t>
      </w:r>
      <w:r>
        <w:rPr>
          <w:spacing w:val="-5"/>
        </w:rPr>
        <w:t xml:space="preserve"> </w:t>
      </w:r>
      <w:r>
        <w:t xml:space="preserve">that set standards beyond the </w:t>
      </w:r>
      <w:r w:rsidR="003D42E5">
        <w:t>CFPB</w:t>
      </w:r>
      <w:r>
        <w:t xml:space="preserve">’s Rule to which servicers in those States must adhere. Additionally, the </w:t>
      </w:r>
      <w:r w:rsidR="003D42E5">
        <w:t>CFPB</w:t>
      </w:r>
      <w:r>
        <w:t xml:space="preserve"> issued minimum standards so that, to the extent the </w:t>
      </w:r>
      <w:r w:rsidR="003D42E5">
        <w:t>CFPB</w:t>
      </w:r>
      <w:r>
        <w:t xml:space="preserve">’s requirements overlap with existing Federal law, the </w:t>
      </w:r>
      <w:r w:rsidR="003D42E5">
        <w:t>CFPB</w:t>
      </w:r>
      <w:r>
        <w:t xml:space="preserve"> expects servicers would abide by the stricter standard </w:t>
      </w:r>
      <w:r>
        <w:t>in order to</w:t>
      </w:r>
      <w:r>
        <w:t xml:space="preserve"> comply with all requirements.</w:t>
      </w:r>
    </w:p>
    <w:p w:rsidR="00FD2D3B" w:rsidP="00FD2D3B" w14:paraId="75A39A2F" w14:textId="77777777">
      <w:pPr>
        <w:pStyle w:val="BodyText"/>
      </w:pPr>
    </w:p>
    <w:p w:rsidR="00FD2D3B" w:rsidP="00FD2D3B" w14:paraId="205EEAEC" w14:textId="77777777">
      <w:pPr>
        <w:pStyle w:val="BodyText"/>
        <w:ind w:left="220" w:right="297"/>
      </w:pPr>
      <w:r>
        <w:t>For</w:t>
      </w:r>
      <w:r>
        <w:rPr>
          <w:spacing w:val="-3"/>
        </w:rPr>
        <w:t xml:space="preserve"> </w:t>
      </w:r>
      <w:r>
        <w:t>borrowers</w:t>
      </w:r>
      <w:r>
        <w:rPr>
          <w:spacing w:val="-3"/>
        </w:rPr>
        <w:t xml:space="preserve"> </w:t>
      </w:r>
      <w:r>
        <w:t>in</w:t>
      </w:r>
      <w:r>
        <w:rPr>
          <w:spacing w:val="-3"/>
        </w:rPr>
        <w:t xml:space="preserve"> </w:t>
      </w:r>
      <w:r>
        <w:t>bankruptcy,</w:t>
      </w:r>
      <w:r>
        <w:rPr>
          <w:spacing w:val="-3"/>
        </w:rPr>
        <w:t xml:space="preserve"> </w:t>
      </w:r>
      <w:r>
        <w:t>the</w:t>
      </w:r>
      <w:r>
        <w:rPr>
          <w:spacing w:val="-3"/>
        </w:rPr>
        <w:t xml:space="preserve"> </w:t>
      </w:r>
      <w:r w:rsidR="003D42E5">
        <w:t>CFPB</w:t>
      </w:r>
      <w:r>
        <w:rPr>
          <w:spacing w:val="-3"/>
        </w:rPr>
        <w:t xml:space="preserve"> </w:t>
      </w:r>
      <w:r>
        <w:t>does</w:t>
      </w:r>
      <w:r>
        <w:rPr>
          <w:spacing w:val="-3"/>
        </w:rPr>
        <w:t xml:space="preserve"> </w:t>
      </w:r>
      <w:r>
        <w:t>not</w:t>
      </w:r>
      <w:r>
        <w:rPr>
          <w:spacing w:val="-3"/>
        </w:rPr>
        <w:t xml:space="preserve"> </w:t>
      </w:r>
      <w:r>
        <w:t>require</w:t>
      </w:r>
      <w:r>
        <w:rPr>
          <w:spacing w:val="-3"/>
        </w:rPr>
        <w:t xml:space="preserve"> </w:t>
      </w:r>
      <w:r>
        <w:t>a</w:t>
      </w:r>
      <w:r>
        <w:rPr>
          <w:spacing w:val="-4"/>
        </w:rPr>
        <w:t xml:space="preserve"> </w:t>
      </w:r>
      <w:r>
        <w:t>servicer</w:t>
      </w:r>
      <w:r>
        <w:rPr>
          <w:spacing w:val="-3"/>
        </w:rPr>
        <w:t xml:space="preserve"> </w:t>
      </w:r>
      <w:r>
        <w:t>to</w:t>
      </w:r>
      <w:r>
        <w:rPr>
          <w:spacing w:val="-5"/>
        </w:rPr>
        <w:t xml:space="preserve"> </w:t>
      </w:r>
      <w:r>
        <w:t>communicate</w:t>
      </w:r>
      <w:r>
        <w:rPr>
          <w:spacing w:val="-3"/>
        </w:rPr>
        <w:t xml:space="preserve"> </w:t>
      </w:r>
      <w:r>
        <w:t>with</w:t>
      </w:r>
      <w:r>
        <w:rPr>
          <w:spacing w:val="-3"/>
        </w:rPr>
        <w:t xml:space="preserve"> </w:t>
      </w:r>
      <w:r>
        <w:t>a</w:t>
      </w:r>
      <w:r>
        <w:rPr>
          <w:spacing w:val="-3"/>
        </w:rPr>
        <w:t xml:space="preserve"> </w:t>
      </w:r>
      <w:r>
        <w:t>borrower in a manner that would be inconsistent with applicable bankruptcy law or a court order in a bankruptcy</w:t>
      </w:r>
      <w:r>
        <w:rPr>
          <w:spacing w:val="-2"/>
        </w:rPr>
        <w:t xml:space="preserve"> </w:t>
      </w:r>
      <w:r>
        <w:t>case and,</w:t>
      </w:r>
      <w:r>
        <w:rPr>
          <w:spacing w:val="-2"/>
        </w:rPr>
        <w:t xml:space="preserve"> </w:t>
      </w:r>
      <w:r>
        <w:t>if</w:t>
      </w:r>
      <w:r>
        <w:rPr>
          <w:spacing w:val="-1"/>
        </w:rPr>
        <w:t xml:space="preserve"> </w:t>
      </w:r>
      <w:r>
        <w:t>necessary to</w:t>
      </w:r>
      <w:r>
        <w:rPr>
          <w:spacing w:val="-2"/>
        </w:rPr>
        <w:t xml:space="preserve"> </w:t>
      </w:r>
      <w:r>
        <w:t>comply with such law</w:t>
      </w:r>
      <w:r>
        <w:rPr>
          <w:spacing w:val="-1"/>
        </w:rPr>
        <w:t xml:space="preserve"> </w:t>
      </w:r>
      <w:r>
        <w:t>or court order, permits a servicer to</w:t>
      </w:r>
      <w:r>
        <w:rPr>
          <w:spacing w:val="-2"/>
        </w:rPr>
        <w:t xml:space="preserve"> </w:t>
      </w:r>
      <w:r>
        <w:t>adapt the early intervention requirements as appropriate (12 CFR 1024.39 comment 39(c)-1).</w:t>
      </w:r>
    </w:p>
    <w:p w:rsidR="00FD2D3B" w:rsidP="00FD2D3B" w14:paraId="74671E4C" w14:textId="77777777">
      <w:pPr>
        <w:sectPr>
          <w:headerReference w:type="default" r:id="rId10"/>
          <w:footerReference w:type="default" r:id="rId11"/>
          <w:pgSz w:w="12240" w:h="15840"/>
          <w:pgMar w:top="1280" w:right="1000" w:bottom="1320" w:left="1000" w:header="0" w:footer="1130" w:gutter="0"/>
          <w:cols w:space="720"/>
        </w:sectPr>
      </w:pPr>
    </w:p>
    <w:p w:rsidR="00FD2D3B" w:rsidP="00FD2D3B" w14:paraId="33023D26" w14:textId="77777777">
      <w:pPr>
        <w:pStyle w:val="BodyText"/>
        <w:spacing w:before="76"/>
        <w:ind w:left="220" w:right="205"/>
      </w:pPr>
      <w:r>
        <w:t>For borrowers that have specifically invoked the Fair Debt Collection Practices Act’s (FDCPA’s) cease communication protections,</w:t>
      </w:r>
      <w:r>
        <w:rPr>
          <w:spacing w:val="-1"/>
        </w:rPr>
        <w:t xml:space="preserve"> </w:t>
      </w:r>
      <w:r>
        <w:t xml:space="preserve">the </w:t>
      </w:r>
      <w:r w:rsidR="003D42E5">
        <w:t>CFPB</w:t>
      </w:r>
      <w:r>
        <w:t xml:space="preserve"> provides servicers a safe harbor from</w:t>
      </w:r>
      <w:r>
        <w:rPr>
          <w:spacing w:val="-2"/>
        </w:rPr>
        <w:t xml:space="preserve"> </w:t>
      </w:r>
      <w:r>
        <w:t>liability under</w:t>
      </w:r>
      <w:r>
        <w:rPr>
          <w:spacing w:val="-1"/>
        </w:rPr>
        <w:t xml:space="preserve"> </w:t>
      </w:r>
      <w:r>
        <w:t xml:space="preserve">the FDCPA for compliance with the requirement to provide the written early intervention notice and for responding to borrower-initiated communications concerning loss mitigation. Similarly, the </w:t>
      </w:r>
      <w:r w:rsidR="003D42E5">
        <w:t>CFPB</w:t>
      </w:r>
      <w:r>
        <w:t xml:space="preserve"> provides</w:t>
      </w:r>
      <w:r>
        <w:rPr>
          <w:spacing w:val="-3"/>
        </w:rPr>
        <w:t xml:space="preserve"> </w:t>
      </w:r>
      <w:r>
        <w:t>a</w:t>
      </w:r>
      <w:r>
        <w:rPr>
          <w:spacing w:val="-4"/>
        </w:rPr>
        <w:t xml:space="preserve"> </w:t>
      </w:r>
      <w:r>
        <w:t>safe</w:t>
      </w:r>
      <w:r>
        <w:rPr>
          <w:spacing w:val="-3"/>
        </w:rPr>
        <w:t xml:space="preserve"> </w:t>
      </w:r>
      <w:r>
        <w:t>harbor</w:t>
      </w:r>
      <w:r>
        <w:rPr>
          <w:spacing w:val="-3"/>
        </w:rPr>
        <w:t xml:space="preserve"> </w:t>
      </w:r>
      <w:r>
        <w:t>from</w:t>
      </w:r>
      <w:r>
        <w:rPr>
          <w:spacing w:val="-5"/>
        </w:rPr>
        <w:t xml:space="preserve"> </w:t>
      </w:r>
      <w:r>
        <w:t>liability</w:t>
      </w:r>
      <w:r>
        <w:rPr>
          <w:spacing w:val="-5"/>
        </w:rPr>
        <w:t xml:space="preserve"> </w:t>
      </w:r>
      <w:r>
        <w:t>under</w:t>
      </w:r>
      <w:r>
        <w:rPr>
          <w:spacing w:val="-3"/>
        </w:rPr>
        <w:t xml:space="preserve"> </w:t>
      </w:r>
      <w:r>
        <w:t>FDCPA</w:t>
      </w:r>
      <w:r>
        <w:rPr>
          <w:spacing w:val="-4"/>
        </w:rPr>
        <w:t xml:space="preserve"> </w:t>
      </w:r>
      <w:r>
        <w:t>section</w:t>
      </w:r>
      <w:r>
        <w:rPr>
          <w:spacing w:val="-3"/>
        </w:rPr>
        <w:t xml:space="preserve"> </w:t>
      </w:r>
      <w:r>
        <w:t>805(b)</w:t>
      </w:r>
      <w:r>
        <w:rPr>
          <w:spacing w:val="-3"/>
        </w:rPr>
        <w:t xml:space="preserve"> </w:t>
      </w:r>
      <w:r>
        <w:t>for</w:t>
      </w:r>
      <w:r>
        <w:rPr>
          <w:spacing w:val="-3"/>
        </w:rPr>
        <w:t xml:space="preserve"> </w:t>
      </w:r>
      <w:r>
        <w:t>servicers</w:t>
      </w:r>
      <w:r>
        <w:rPr>
          <w:spacing w:val="-4"/>
        </w:rPr>
        <w:t xml:space="preserve"> </w:t>
      </w:r>
      <w:r>
        <w:t>communicating</w:t>
      </w:r>
      <w:r>
        <w:rPr>
          <w:spacing w:val="-3"/>
        </w:rPr>
        <w:t xml:space="preserve"> </w:t>
      </w:r>
      <w:r>
        <w:t>with</w:t>
      </w:r>
      <w:r>
        <w:rPr>
          <w:spacing w:val="-3"/>
        </w:rPr>
        <w:t xml:space="preserve"> </w:t>
      </w:r>
      <w:r>
        <w:t>a confirmed successor in interest about a mortgage loan secured by property in which the confirmed successor in interest has an ownership interest, in compliance with Regulation X.</w:t>
      </w:r>
      <w:r>
        <w:rPr>
          <w:rStyle w:val="FootnoteReference"/>
        </w:rPr>
        <w:footnoteReference w:id="6"/>
      </w:r>
      <w:r>
        <w:t xml:space="preserve"> </w:t>
      </w:r>
    </w:p>
    <w:p w:rsidR="00FD2D3B" w:rsidP="00FD2D3B" w14:paraId="77F0B83D" w14:textId="77777777">
      <w:pPr>
        <w:pStyle w:val="BodyText"/>
      </w:pPr>
    </w:p>
    <w:p w:rsidR="005F1FFC" w:rsidRPr="00BF6D43" w:rsidP="00FD2D3B" w14:paraId="68D8E967" w14:textId="77777777">
      <w:pPr>
        <w:pStyle w:val="BodyText"/>
        <w:ind w:left="220" w:right="297"/>
      </w:pPr>
      <w:r>
        <w:t>Apart</w:t>
      </w:r>
      <w:r>
        <w:rPr>
          <w:spacing w:val="-3"/>
        </w:rPr>
        <w:t xml:space="preserve"> </w:t>
      </w:r>
      <w:r>
        <w:t>from</w:t>
      </w:r>
      <w:r>
        <w:rPr>
          <w:spacing w:val="-4"/>
        </w:rPr>
        <w:t xml:space="preserve"> </w:t>
      </w:r>
      <w:r>
        <w:t>these</w:t>
      </w:r>
      <w:r>
        <w:rPr>
          <w:spacing w:val="-3"/>
        </w:rPr>
        <w:t xml:space="preserve"> </w:t>
      </w:r>
      <w:r>
        <w:t>overlaps,</w:t>
      </w:r>
      <w:r>
        <w:rPr>
          <w:spacing w:val="-3"/>
        </w:rPr>
        <w:t xml:space="preserve"> </w:t>
      </w:r>
      <w:r>
        <w:t>the</w:t>
      </w:r>
      <w:r>
        <w:rPr>
          <w:spacing w:val="-3"/>
        </w:rPr>
        <w:t xml:space="preserve"> </w:t>
      </w:r>
      <w:r w:rsidR="003D42E5">
        <w:t>CFPB</w:t>
      </w:r>
      <w:r>
        <w:rPr>
          <w:spacing w:val="-3"/>
        </w:rPr>
        <w:t xml:space="preserve"> </w:t>
      </w:r>
      <w:r>
        <w:t>is</w:t>
      </w:r>
      <w:r>
        <w:rPr>
          <w:spacing w:val="-3"/>
        </w:rPr>
        <w:t xml:space="preserve"> </w:t>
      </w:r>
      <w:r>
        <w:t>not</w:t>
      </w:r>
      <w:r>
        <w:rPr>
          <w:spacing w:val="-3"/>
        </w:rPr>
        <w:t xml:space="preserve"> </w:t>
      </w:r>
      <w:r>
        <w:t>aware</w:t>
      </w:r>
      <w:r>
        <w:rPr>
          <w:spacing w:val="-3"/>
        </w:rPr>
        <w:t xml:space="preserve"> </w:t>
      </w:r>
      <w:r>
        <w:t>of</w:t>
      </w:r>
      <w:r>
        <w:rPr>
          <w:spacing w:val="-3"/>
        </w:rPr>
        <w:t xml:space="preserve"> </w:t>
      </w:r>
      <w:r>
        <w:t>any</w:t>
      </w:r>
      <w:r>
        <w:rPr>
          <w:spacing w:val="-3"/>
        </w:rPr>
        <w:t xml:space="preserve"> </w:t>
      </w:r>
      <w:r>
        <w:t>other</w:t>
      </w:r>
      <w:r>
        <w:rPr>
          <w:spacing w:val="-3"/>
        </w:rPr>
        <w:t xml:space="preserve"> </w:t>
      </w:r>
      <w:r>
        <w:t>Federal</w:t>
      </w:r>
      <w:r>
        <w:rPr>
          <w:spacing w:val="-3"/>
        </w:rPr>
        <w:t xml:space="preserve"> </w:t>
      </w:r>
      <w:r>
        <w:t>law</w:t>
      </w:r>
      <w:r>
        <w:rPr>
          <w:spacing w:val="-3"/>
        </w:rPr>
        <w:t xml:space="preserve"> </w:t>
      </w:r>
      <w:r>
        <w:t>or</w:t>
      </w:r>
      <w:r>
        <w:rPr>
          <w:spacing w:val="-3"/>
        </w:rPr>
        <w:t xml:space="preserve"> </w:t>
      </w:r>
      <w:r>
        <w:t>regulations</w:t>
      </w:r>
      <w:r>
        <w:rPr>
          <w:spacing w:val="-3"/>
        </w:rPr>
        <w:t xml:space="preserve"> </w:t>
      </w:r>
      <w:r>
        <w:t>that currently duplicate, overlap, or conflict with the requirements of Regulation X.</w:t>
      </w:r>
    </w:p>
    <w:p w:rsidR="00BE61FE" w:rsidRPr="00BF6D43" w:rsidP="005F1FFC" w14:paraId="647F0E53" w14:textId="77777777">
      <w:pPr>
        <w:rPr>
          <w:sz w:val="24"/>
        </w:rPr>
      </w:pPr>
    </w:p>
    <w:p w:rsidR="00092D91" w:rsidP="00092D91" w14:paraId="7955744B" w14:textId="77777777">
      <w:pPr>
        <w:pStyle w:val="BodyText"/>
        <w:rPr>
          <w:b/>
          <w:bCs/>
        </w:rPr>
      </w:pPr>
      <w:r w:rsidRPr="00BF6D43">
        <w:rPr>
          <w:b/>
        </w:rPr>
        <w:t xml:space="preserve">5.  </w:t>
      </w:r>
      <w:r w:rsidRPr="00BF6D43">
        <w:rPr>
          <w:b/>
          <w:bCs/>
        </w:rPr>
        <w:t>If the collection of information impacts small businesses or other small entities, describe any methods used to minimize burden.</w:t>
      </w:r>
    </w:p>
    <w:p w:rsidR="00F308ED" w:rsidRPr="00BF6D43" w:rsidP="00092D91" w14:paraId="5E5B61E5" w14:textId="77777777">
      <w:pPr>
        <w:pStyle w:val="BodyText"/>
        <w:rPr>
          <w:b/>
        </w:rPr>
      </w:pPr>
    </w:p>
    <w:p w:rsidR="00FD2D3B" w:rsidP="00FD2D3B" w14:paraId="72C789BF" w14:textId="77777777">
      <w:pPr>
        <w:pStyle w:val="BodyText"/>
        <w:spacing w:before="90"/>
        <w:ind w:left="220" w:right="310"/>
      </w:pPr>
      <w:r>
        <w:t xml:space="preserve">The </w:t>
      </w:r>
      <w:r w:rsidR="003D42E5">
        <w:t>CFPB</w:t>
      </w:r>
      <w:r>
        <w:t xml:space="preserve"> estimates that approximately 90 percent of respondents are small entities. In general, servicers</w:t>
      </w:r>
      <w:r>
        <w:rPr>
          <w:spacing w:val="-4"/>
        </w:rPr>
        <w:t xml:space="preserve"> </w:t>
      </w:r>
      <w:r>
        <w:t>that</w:t>
      </w:r>
      <w:r>
        <w:rPr>
          <w:spacing w:val="-3"/>
        </w:rPr>
        <w:t xml:space="preserve"> </w:t>
      </w:r>
      <w:r>
        <w:t>service</w:t>
      </w:r>
      <w:r>
        <w:rPr>
          <w:spacing w:val="-3"/>
        </w:rPr>
        <w:t xml:space="preserve"> </w:t>
      </w:r>
      <w:r>
        <w:t>5,000</w:t>
      </w:r>
      <w:r>
        <w:rPr>
          <w:spacing w:val="-2"/>
        </w:rPr>
        <w:t xml:space="preserve"> </w:t>
      </w:r>
      <w:r>
        <w:t>mortgage</w:t>
      </w:r>
      <w:r>
        <w:rPr>
          <w:spacing w:val="-4"/>
        </w:rPr>
        <w:t xml:space="preserve"> </w:t>
      </w:r>
      <w:r>
        <w:t>loans</w:t>
      </w:r>
      <w:r>
        <w:rPr>
          <w:spacing w:val="-3"/>
        </w:rPr>
        <w:t xml:space="preserve"> </w:t>
      </w:r>
      <w:r>
        <w:t>or</w:t>
      </w:r>
      <w:r>
        <w:rPr>
          <w:spacing w:val="-3"/>
        </w:rPr>
        <w:t xml:space="preserve"> </w:t>
      </w:r>
      <w:r>
        <w:t>fewer,</w:t>
      </w:r>
      <w:r>
        <w:rPr>
          <w:spacing w:val="-3"/>
        </w:rPr>
        <w:t xml:space="preserve"> </w:t>
      </w:r>
      <w:r>
        <w:t>all</w:t>
      </w:r>
      <w:r>
        <w:rPr>
          <w:spacing w:val="-3"/>
        </w:rPr>
        <w:t xml:space="preserve"> </w:t>
      </w:r>
      <w:r>
        <w:t>of</w:t>
      </w:r>
      <w:r>
        <w:rPr>
          <w:spacing w:val="-4"/>
        </w:rPr>
        <w:t xml:space="preserve"> </w:t>
      </w:r>
      <w:r>
        <w:t>which</w:t>
      </w:r>
      <w:r>
        <w:rPr>
          <w:spacing w:val="-3"/>
        </w:rPr>
        <w:t xml:space="preserve"> </w:t>
      </w:r>
      <w:r>
        <w:t>the</w:t>
      </w:r>
      <w:r>
        <w:rPr>
          <w:spacing w:val="-4"/>
        </w:rPr>
        <w:t xml:space="preserve"> </w:t>
      </w:r>
      <w:r>
        <w:t>servicer</w:t>
      </w:r>
      <w:r>
        <w:rPr>
          <w:spacing w:val="-3"/>
        </w:rPr>
        <w:t xml:space="preserve"> </w:t>
      </w:r>
      <w:r>
        <w:t>or</w:t>
      </w:r>
      <w:r>
        <w:rPr>
          <w:spacing w:val="-3"/>
        </w:rPr>
        <w:t xml:space="preserve"> </w:t>
      </w:r>
      <w:r>
        <w:t>an</w:t>
      </w:r>
      <w:r>
        <w:rPr>
          <w:spacing w:val="-3"/>
        </w:rPr>
        <w:t xml:space="preserve"> </w:t>
      </w:r>
      <w:r>
        <w:t>affiliate</w:t>
      </w:r>
      <w:r>
        <w:rPr>
          <w:spacing w:val="-3"/>
        </w:rPr>
        <w:t xml:space="preserve"> </w:t>
      </w:r>
      <w:r>
        <w:t>owns</w:t>
      </w:r>
      <w:r>
        <w:rPr>
          <w:spacing w:val="-3"/>
        </w:rPr>
        <w:t xml:space="preserve"> </w:t>
      </w:r>
      <w:r>
        <w:t>or originates; are housing finance agencies, are nonprofit entities that service 5,000 or fewer loans, or are a qualified lender as defined in 12 CFR 617.7000 are exempt from the disclosures required by</w:t>
      </w:r>
    </w:p>
    <w:p w:rsidR="00FD2D3B" w:rsidP="00FD2D3B" w14:paraId="6BFC5261" w14:textId="77777777">
      <w:pPr>
        <w:pStyle w:val="BodyText"/>
        <w:ind w:left="220" w:right="387"/>
        <w:jc w:val="both"/>
      </w:pPr>
      <w:r>
        <w:t>§§1024.38</w:t>
      </w:r>
      <w:r>
        <w:rPr>
          <w:spacing w:val="-2"/>
        </w:rPr>
        <w:t xml:space="preserve"> </w:t>
      </w:r>
      <w:r>
        <w:t>through</w:t>
      </w:r>
      <w:r>
        <w:rPr>
          <w:spacing w:val="-2"/>
        </w:rPr>
        <w:t xml:space="preserve"> </w:t>
      </w:r>
      <w:r>
        <w:t>1024.41,</w:t>
      </w:r>
      <w:r>
        <w:rPr>
          <w:spacing w:val="-2"/>
        </w:rPr>
        <w:t xml:space="preserve"> </w:t>
      </w:r>
      <w:r>
        <w:t>which</w:t>
      </w:r>
      <w:r>
        <w:rPr>
          <w:spacing w:val="-2"/>
        </w:rPr>
        <w:t xml:space="preserve"> </w:t>
      </w:r>
      <w:r>
        <w:t>include</w:t>
      </w:r>
      <w:r>
        <w:rPr>
          <w:spacing w:val="-2"/>
        </w:rPr>
        <w:t xml:space="preserve"> </w:t>
      </w:r>
      <w:r>
        <w:t>the</w:t>
      </w:r>
      <w:r>
        <w:rPr>
          <w:spacing w:val="-2"/>
        </w:rPr>
        <w:t xml:space="preserve"> </w:t>
      </w:r>
      <w:r>
        <w:t>early</w:t>
      </w:r>
      <w:r>
        <w:rPr>
          <w:spacing w:val="-4"/>
        </w:rPr>
        <w:t xml:space="preserve"> </w:t>
      </w:r>
      <w:r>
        <w:t>intervention</w:t>
      </w:r>
      <w:r>
        <w:rPr>
          <w:spacing w:val="-2"/>
        </w:rPr>
        <w:t xml:space="preserve"> </w:t>
      </w:r>
      <w:r>
        <w:t>notices</w:t>
      </w:r>
      <w:r>
        <w:rPr>
          <w:spacing w:val="-3"/>
        </w:rPr>
        <w:t xml:space="preserve"> </w:t>
      </w:r>
      <w:r>
        <w:t>and</w:t>
      </w:r>
      <w:r>
        <w:rPr>
          <w:spacing w:val="-2"/>
        </w:rPr>
        <w:t xml:space="preserve"> </w:t>
      </w:r>
      <w:r>
        <w:t>loss</w:t>
      </w:r>
      <w:r>
        <w:rPr>
          <w:spacing w:val="-2"/>
        </w:rPr>
        <w:t xml:space="preserve"> </w:t>
      </w:r>
      <w:r>
        <w:t>mitigation</w:t>
      </w:r>
      <w:r>
        <w:rPr>
          <w:spacing w:val="-2"/>
        </w:rPr>
        <w:t xml:space="preserve"> </w:t>
      </w:r>
      <w:r>
        <w:t>notices (§1024.30(b)).</w:t>
      </w:r>
      <w:r>
        <w:rPr>
          <w:spacing w:val="-3"/>
        </w:rPr>
        <w:t xml:space="preserve"> </w:t>
      </w:r>
      <w:r>
        <w:t>As</w:t>
      </w:r>
      <w:r>
        <w:rPr>
          <w:spacing w:val="-3"/>
        </w:rPr>
        <w:t xml:space="preserve"> </w:t>
      </w:r>
      <w:r>
        <w:t>such,</w:t>
      </w:r>
      <w:r>
        <w:rPr>
          <w:spacing w:val="-5"/>
        </w:rPr>
        <w:t xml:space="preserve"> </w:t>
      </w:r>
      <w:r>
        <w:t>small</w:t>
      </w:r>
      <w:r>
        <w:rPr>
          <w:spacing w:val="-3"/>
        </w:rPr>
        <w:t xml:space="preserve"> </w:t>
      </w:r>
      <w:r>
        <w:t>servicers</w:t>
      </w:r>
      <w:r>
        <w:rPr>
          <w:spacing w:val="-3"/>
        </w:rPr>
        <w:t xml:space="preserve"> </w:t>
      </w:r>
      <w:r>
        <w:t>are</w:t>
      </w:r>
      <w:r>
        <w:rPr>
          <w:spacing w:val="-3"/>
        </w:rPr>
        <w:t xml:space="preserve"> </w:t>
      </w:r>
      <w:r>
        <w:t>generally</w:t>
      </w:r>
      <w:r>
        <w:rPr>
          <w:spacing w:val="-3"/>
        </w:rPr>
        <w:t xml:space="preserve"> </w:t>
      </w:r>
      <w:r>
        <w:t>exempt</w:t>
      </w:r>
      <w:r>
        <w:rPr>
          <w:spacing w:val="-2"/>
        </w:rPr>
        <w:t xml:space="preserve"> </w:t>
      </w:r>
      <w:r>
        <w:t>from</w:t>
      </w:r>
      <w:r>
        <w:rPr>
          <w:spacing w:val="-5"/>
        </w:rPr>
        <w:t xml:space="preserve"> </w:t>
      </w:r>
      <w:r>
        <w:t>some</w:t>
      </w:r>
      <w:r>
        <w:rPr>
          <w:spacing w:val="-3"/>
        </w:rPr>
        <w:t xml:space="preserve"> </w:t>
      </w:r>
      <w:r>
        <w:t>requirements</w:t>
      </w:r>
      <w:r>
        <w:rPr>
          <w:spacing w:val="-4"/>
        </w:rPr>
        <w:t xml:space="preserve"> </w:t>
      </w:r>
      <w:r>
        <w:t>of</w:t>
      </w:r>
      <w:r>
        <w:rPr>
          <w:spacing w:val="-4"/>
        </w:rPr>
        <w:t xml:space="preserve"> </w:t>
      </w:r>
      <w:r>
        <w:t>Regulation X, but they must comply with certain disclosure requirements.</w:t>
      </w:r>
      <w:r w:rsidR="000E1EB3">
        <w:t xml:space="preserve">  The NPRM would not impose any new requirements on small servicers. </w:t>
      </w:r>
    </w:p>
    <w:p w:rsidR="00E939D3" w:rsidRPr="00BF6D43" w:rsidP="005F1FFC" w14:paraId="48157F13" w14:textId="77777777">
      <w:pPr>
        <w:pStyle w:val="BodyText"/>
      </w:pPr>
    </w:p>
    <w:p w:rsidR="00F660E8" w:rsidP="00F660E8" w14:paraId="7BB8E925" w14:textId="77777777">
      <w:pPr>
        <w:rPr>
          <w:b/>
          <w:bCs/>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F308ED" w:rsidRPr="00BF6D43" w:rsidP="00F660E8" w14:paraId="7FD52A32" w14:textId="77777777">
      <w:pPr>
        <w:rPr>
          <w:b/>
          <w:sz w:val="24"/>
          <w:szCs w:val="24"/>
        </w:rPr>
      </w:pPr>
    </w:p>
    <w:p w:rsidR="00FD2D3B" w:rsidP="00FD2D3B" w14:paraId="2FC0C6D0" w14:textId="77777777">
      <w:pPr>
        <w:pStyle w:val="BodyText"/>
        <w:spacing w:before="90"/>
        <w:ind w:left="220" w:right="205"/>
      </w:pPr>
      <w:r>
        <w:t xml:space="preserve">This information is not submitted to or collected by the Federal government. These disclosures are required by statute, 12 U.S.C. 2601 </w:t>
      </w:r>
      <w:r>
        <w:rPr>
          <w:i/>
        </w:rPr>
        <w:t>et seq</w:t>
      </w:r>
      <w:r>
        <w:t xml:space="preserve">., and regulations and are necessary to inform consumers about important information about each covered </w:t>
      </w:r>
      <w:r>
        <w:t>transactions</w:t>
      </w:r>
      <w:r>
        <w:t>.</w:t>
      </w:r>
      <w:r>
        <w:rPr>
          <w:spacing w:val="40"/>
        </w:rPr>
        <w:t xml:space="preserve"> </w:t>
      </w:r>
      <w:r>
        <w:t>For other required post consummation notices the burdens on respondents are the minimum necessary to ensure that: (</w:t>
      </w:r>
      <w:r>
        <w:t>i</w:t>
      </w:r>
      <w:r>
        <w:t>) borrowers receive information they need to protect their interest in their property, including information that may help prevent unnecessary foreclosure; (ii) borrowers receive accurate information about any force-placed insurance policies servicers may obtain on their property; (iii) borrowers who are</w:t>
      </w:r>
      <w:r>
        <w:rPr>
          <w:spacing w:val="-16"/>
        </w:rPr>
        <w:t xml:space="preserve"> </w:t>
      </w:r>
      <w:r>
        <w:t>in bankruptcy or who</w:t>
      </w:r>
      <w:r>
        <w:rPr>
          <w:spacing w:val="-3"/>
        </w:rPr>
        <w:t xml:space="preserve"> </w:t>
      </w:r>
      <w:r>
        <w:t>have</w:t>
      </w:r>
      <w:r>
        <w:rPr>
          <w:spacing w:val="-3"/>
        </w:rPr>
        <w:t xml:space="preserve"> </w:t>
      </w:r>
      <w:r>
        <w:t>invoked</w:t>
      </w:r>
      <w:r>
        <w:rPr>
          <w:spacing w:val="-3"/>
        </w:rPr>
        <w:t xml:space="preserve"> </w:t>
      </w:r>
      <w:r>
        <w:t>their</w:t>
      </w:r>
      <w:r>
        <w:rPr>
          <w:spacing w:val="-4"/>
        </w:rPr>
        <w:t xml:space="preserve"> </w:t>
      </w:r>
      <w:r>
        <w:t>cease</w:t>
      </w:r>
      <w:r>
        <w:rPr>
          <w:spacing w:val="-3"/>
        </w:rPr>
        <w:t xml:space="preserve"> </w:t>
      </w:r>
      <w:r>
        <w:t>communication</w:t>
      </w:r>
      <w:r>
        <w:rPr>
          <w:spacing w:val="-3"/>
        </w:rPr>
        <w:t xml:space="preserve"> </w:t>
      </w:r>
      <w:r>
        <w:t>rights</w:t>
      </w:r>
      <w:r>
        <w:rPr>
          <w:spacing w:val="-3"/>
        </w:rPr>
        <w:t xml:space="preserve"> </w:t>
      </w:r>
      <w:r>
        <w:t>under</w:t>
      </w:r>
      <w:r>
        <w:rPr>
          <w:spacing w:val="-4"/>
        </w:rPr>
        <w:t xml:space="preserve"> </w:t>
      </w:r>
      <w:r>
        <w:t>the</w:t>
      </w:r>
      <w:r>
        <w:rPr>
          <w:spacing w:val="-3"/>
        </w:rPr>
        <w:t xml:space="preserve"> </w:t>
      </w:r>
      <w:r>
        <w:t>FDCPA</w:t>
      </w:r>
      <w:r>
        <w:rPr>
          <w:spacing w:val="-4"/>
        </w:rPr>
        <w:t xml:space="preserve"> </w:t>
      </w:r>
      <w:r>
        <w:t>receive</w:t>
      </w:r>
      <w:r>
        <w:rPr>
          <w:spacing w:val="-3"/>
        </w:rPr>
        <w:t xml:space="preserve"> </w:t>
      </w:r>
      <w:r>
        <w:t>necessary</w:t>
      </w:r>
      <w:r>
        <w:rPr>
          <w:spacing w:val="-3"/>
        </w:rPr>
        <w:t xml:space="preserve"> </w:t>
      </w:r>
      <w:r>
        <w:t>information; and (iv) borrowers know the status of their loss mitigation applications.</w:t>
      </w:r>
    </w:p>
    <w:p w:rsidR="00FD2D3B" w:rsidP="00FD2D3B" w14:paraId="1197DCC7" w14:textId="77777777">
      <w:pPr>
        <w:pStyle w:val="BodyText"/>
      </w:pPr>
    </w:p>
    <w:p w:rsidR="00FD2D3B" w:rsidP="00FD2D3B" w14:paraId="09FD6F26" w14:textId="77777777">
      <w:pPr>
        <w:pStyle w:val="BodyText"/>
        <w:ind w:left="220"/>
      </w:pPr>
      <w:r>
        <w:t>The burdens on respondents are also necessary to ensure that servicers have a reasonable basis for undertaking</w:t>
      </w:r>
      <w:r>
        <w:rPr>
          <w:spacing w:val="-5"/>
        </w:rPr>
        <w:t xml:space="preserve"> </w:t>
      </w:r>
      <w:r>
        <w:t>actions</w:t>
      </w:r>
      <w:r>
        <w:rPr>
          <w:spacing w:val="-3"/>
        </w:rPr>
        <w:t xml:space="preserve"> </w:t>
      </w:r>
      <w:r>
        <w:t>that</w:t>
      </w:r>
      <w:r>
        <w:rPr>
          <w:spacing w:val="-4"/>
        </w:rPr>
        <w:t xml:space="preserve"> </w:t>
      </w:r>
      <w:r>
        <w:t>may</w:t>
      </w:r>
      <w:r>
        <w:rPr>
          <w:spacing w:val="-3"/>
        </w:rPr>
        <w:t xml:space="preserve"> </w:t>
      </w:r>
      <w:r>
        <w:t>harm</w:t>
      </w:r>
      <w:r>
        <w:rPr>
          <w:spacing w:val="-5"/>
        </w:rPr>
        <w:t xml:space="preserve"> </w:t>
      </w:r>
      <w:r>
        <w:t>borrowers</w:t>
      </w:r>
      <w:r>
        <w:rPr>
          <w:spacing w:val="-3"/>
        </w:rPr>
        <w:t xml:space="preserve"> </w:t>
      </w:r>
      <w:r>
        <w:t>and</w:t>
      </w:r>
      <w:r>
        <w:rPr>
          <w:spacing w:val="-3"/>
        </w:rPr>
        <w:t xml:space="preserve"> </w:t>
      </w:r>
      <w:r>
        <w:t>that</w:t>
      </w:r>
      <w:r>
        <w:rPr>
          <w:spacing w:val="-3"/>
        </w:rPr>
        <w:t xml:space="preserve"> </w:t>
      </w:r>
      <w:r>
        <w:t>servicers</w:t>
      </w:r>
      <w:r>
        <w:rPr>
          <w:spacing w:val="-3"/>
        </w:rPr>
        <w:t xml:space="preserve"> </w:t>
      </w:r>
      <w:r>
        <w:t>satisfy</w:t>
      </w:r>
      <w:r>
        <w:rPr>
          <w:spacing w:val="-3"/>
        </w:rPr>
        <w:t xml:space="preserve"> </w:t>
      </w:r>
      <w:r>
        <w:t>their</w:t>
      </w:r>
      <w:r>
        <w:rPr>
          <w:spacing w:val="-3"/>
        </w:rPr>
        <w:t xml:space="preserve"> </w:t>
      </w:r>
      <w:r>
        <w:t>duties</w:t>
      </w:r>
      <w:r>
        <w:rPr>
          <w:spacing w:val="-4"/>
        </w:rPr>
        <w:t xml:space="preserve"> </w:t>
      </w:r>
      <w:r>
        <w:t>to</w:t>
      </w:r>
      <w:r>
        <w:rPr>
          <w:spacing w:val="-5"/>
        </w:rPr>
        <w:t xml:space="preserve"> </w:t>
      </w:r>
      <w:r>
        <w:t>borrowers</w:t>
      </w:r>
      <w:r>
        <w:rPr>
          <w:spacing w:val="-3"/>
        </w:rPr>
        <w:t xml:space="preserve"> </w:t>
      </w:r>
      <w:r>
        <w:t>with respect to servicing federally related mortgage loans.</w:t>
      </w:r>
    </w:p>
    <w:p w:rsidR="005F1FFC" w:rsidRPr="00BF6D43" w:rsidP="005F1FFC" w14:paraId="5A9DC8C3" w14:textId="77777777">
      <w:pPr>
        <w:rPr>
          <w:sz w:val="24"/>
        </w:rPr>
      </w:pPr>
    </w:p>
    <w:p w:rsidR="00E939D3" w:rsidRPr="00BF6D43" w:rsidP="00BE61FE" w14:paraId="722BD760" w14:textId="77777777">
      <w:pPr>
        <w:rPr>
          <w:sz w:val="24"/>
        </w:rPr>
      </w:pPr>
    </w:p>
    <w:p w:rsidR="00F660E8" w:rsidRPr="00BF6D43" w:rsidP="00F660E8" w14:paraId="16F26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6C2701B0"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2F78AE88"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43CC58F8"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17DF977"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28D7F5C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7FFC2821"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079C889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1B3062B8"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2A47F53A" w14:textId="77777777">
      <w:pPr>
        <w:ind w:left="720"/>
        <w:rPr>
          <w:sz w:val="24"/>
        </w:rPr>
      </w:pPr>
    </w:p>
    <w:p w:rsidR="00FD2D3B" w:rsidP="00FD2D3B" w14:paraId="25977762" w14:textId="77777777">
      <w:pPr>
        <w:pStyle w:val="BodyText"/>
        <w:spacing w:before="90"/>
        <w:ind w:left="220" w:right="215"/>
      </w:pPr>
      <w:r>
        <w:t>Sections</w:t>
      </w:r>
      <w:r>
        <w:rPr>
          <w:spacing w:val="-3"/>
        </w:rPr>
        <w:t xml:space="preserve"> </w:t>
      </w:r>
      <w:r>
        <w:t>1024.10,</w:t>
      </w:r>
      <w:r>
        <w:rPr>
          <w:spacing w:val="-3"/>
        </w:rPr>
        <w:t xml:space="preserve"> </w:t>
      </w:r>
      <w:r>
        <w:t>1024.14</w:t>
      </w:r>
      <w:r>
        <w:rPr>
          <w:spacing w:val="-3"/>
        </w:rPr>
        <w:t xml:space="preserve"> </w:t>
      </w:r>
      <w:r>
        <w:t>and</w:t>
      </w:r>
      <w:r>
        <w:rPr>
          <w:spacing w:val="-3"/>
        </w:rPr>
        <w:t xml:space="preserve"> </w:t>
      </w:r>
      <w:r>
        <w:t>1024.15</w:t>
      </w:r>
      <w:r>
        <w:rPr>
          <w:spacing w:val="-3"/>
        </w:rPr>
        <w:t xml:space="preserve"> </w:t>
      </w:r>
      <w:r>
        <w:t>all</w:t>
      </w:r>
      <w:r>
        <w:rPr>
          <w:spacing w:val="-4"/>
        </w:rPr>
        <w:t xml:space="preserve"> </w:t>
      </w:r>
      <w:r>
        <w:t>require</w:t>
      </w:r>
      <w:r>
        <w:rPr>
          <w:spacing w:val="-3"/>
        </w:rPr>
        <w:t xml:space="preserve"> </w:t>
      </w:r>
      <w:r>
        <w:t>that</w:t>
      </w:r>
      <w:r>
        <w:rPr>
          <w:spacing w:val="-3"/>
        </w:rPr>
        <w:t xml:space="preserve"> </w:t>
      </w:r>
      <w:r>
        <w:t>covered</w:t>
      </w:r>
      <w:r>
        <w:rPr>
          <w:spacing w:val="-3"/>
        </w:rPr>
        <w:t xml:space="preserve"> </w:t>
      </w:r>
      <w:r>
        <w:t>persons</w:t>
      </w:r>
      <w:r>
        <w:rPr>
          <w:spacing w:val="-4"/>
        </w:rPr>
        <w:t xml:space="preserve"> </w:t>
      </w:r>
      <w:r>
        <w:t>retain</w:t>
      </w:r>
      <w:r>
        <w:rPr>
          <w:spacing w:val="-3"/>
        </w:rPr>
        <w:t xml:space="preserve"> </w:t>
      </w:r>
      <w:r>
        <w:t>documents</w:t>
      </w:r>
      <w:r>
        <w:rPr>
          <w:spacing w:val="-3"/>
        </w:rPr>
        <w:t xml:space="preserve"> </w:t>
      </w:r>
      <w:r>
        <w:t>provided</w:t>
      </w:r>
      <w:r>
        <w:rPr>
          <w:spacing w:val="-3"/>
        </w:rPr>
        <w:t xml:space="preserve"> </w:t>
      </w:r>
      <w:r>
        <w:t xml:space="preserve">to borrowers at settlement, and certain other required disclosures for five years after the transaction is completed. The </w:t>
      </w:r>
      <w:r w:rsidR="003D42E5">
        <w:t>CFPB</w:t>
      </w:r>
      <w:r>
        <w:t xml:space="preserve"> and other agencies inspect such documents to ensure compliance with this regulation, and the extended recordkeeping period is therefore necessary to ensure compliance.</w:t>
      </w:r>
    </w:p>
    <w:p w:rsidR="00FD2D3B" w:rsidP="00FD2D3B" w14:paraId="3ECB9EC1" w14:textId="77777777">
      <w:pPr>
        <w:pStyle w:val="BodyText"/>
        <w:spacing w:before="76"/>
        <w:ind w:left="220" w:right="297"/>
      </w:pPr>
      <w:r>
        <w:t>Additionally, Regulation</w:t>
      </w:r>
      <w:r>
        <w:rPr>
          <w:spacing w:val="-2"/>
        </w:rPr>
        <w:t xml:space="preserve"> </w:t>
      </w:r>
      <w:r>
        <w:t>X</w:t>
      </w:r>
      <w:r>
        <w:rPr>
          <w:spacing w:val="-1"/>
        </w:rPr>
        <w:t xml:space="preserve"> </w:t>
      </w:r>
      <w:r>
        <w:t>requires</w:t>
      </w:r>
      <w:r>
        <w:rPr>
          <w:spacing w:val="-1"/>
        </w:rPr>
        <w:t xml:space="preserve"> </w:t>
      </w:r>
      <w:r>
        <w:t>that certain information be retained for one year following the discharge of the loan or the transfer of the loan. This ensures that borrowers and sellers have information</w:t>
      </w:r>
      <w:r>
        <w:rPr>
          <w:spacing w:val="-3"/>
        </w:rPr>
        <w:t xml:space="preserve"> </w:t>
      </w:r>
      <w:r>
        <w:t>relevant</w:t>
      </w:r>
      <w:r>
        <w:rPr>
          <w:spacing w:val="-3"/>
        </w:rPr>
        <w:t xml:space="preserve"> </w:t>
      </w:r>
      <w:r>
        <w:t>to</w:t>
      </w:r>
      <w:r>
        <w:rPr>
          <w:spacing w:val="-5"/>
        </w:rPr>
        <w:t xml:space="preserve"> </w:t>
      </w:r>
      <w:r>
        <w:t>tracking</w:t>
      </w:r>
      <w:r>
        <w:rPr>
          <w:spacing w:val="-3"/>
        </w:rPr>
        <w:t xml:space="preserve"> </w:t>
      </w:r>
      <w:r>
        <w:t>the</w:t>
      </w:r>
      <w:r>
        <w:rPr>
          <w:spacing w:val="-3"/>
        </w:rPr>
        <w:t xml:space="preserve"> </w:t>
      </w:r>
      <w:r>
        <w:t>servicing</w:t>
      </w:r>
      <w:r>
        <w:rPr>
          <w:spacing w:val="-3"/>
        </w:rPr>
        <w:t xml:space="preserve"> </w:t>
      </w:r>
      <w:r>
        <w:t>of</w:t>
      </w:r>
      <w:r>
        <w:rPr>
          <w:spacing w:val="-4"/>
        </w:rPr>
        <w:t xml:space="preserve"> </w:t>
      </w:r>
      <w:r>
        <w:t>mortgage</w:t>
      </w:r>
      <w:r>
        <w:rPr>
          <w:spacing w:val="-3"/>
        </w:rPr>
        <w:t xml:space="preserve"> </w:t>
      </w:r>
      <w:r>
        <w:t>loans.</w:t>
      </w:r>
      <w:r>
        <w:rPr>
          <w:spacing w:val="-3"/>
        </w:rPr>
        <w:t xml:space="preserve"> </w:t>
      </w:r>
      <w:r>
        <w:t>Other</w:t>
      </w:r>
      <w:r>
        <w:rPr>
          <w:spacing w:val="-3"/>
        </w:rPr>
        <w:t xml:space="preserve"> </w:t>
      </w:r>
      <w:r>
        <w:t>than</w:t>
      </w:r>
      <w:r>
        <w:rPr>
          <w:spacing w:val="-3"/>
        </w:rPr>
        <w:t xml:space="preserve"> </w:t>
      </w:r>
      <w:r>
        <w:t>these</w:t>
      </w:r>
      <w:r>
        <w:rPr>
          <w:spacing w:val="-3"/>
        </w:rPr>
        <w:t xml:space="preserve"> </w:t>
      </w:r>
      <w:r>
        <w:t>provisions,</w:t>
      </w:r>
      <w:r>
        <w:rPr>
          <w:spacing w:val="-5"/>
        </w:rPr>
        <w:t xml:space="preserve"> </w:t>
      </w:r>
      <w:r>
        <w:t>there are no circumstances requiring special information collection. The collection of information is conducted in a manner consistent with the guidelines in 5 CFR §1320.5(d)(2).</w:t>
      </w:r>
    </w:p>
    <w:p w:rsidR="00E939D3" w:rsidRPr="00BF6D43" w:rsidP="005F1FFC" w14:paraId="249615C7" w14:textId="77777777">
      <w:pPr>
        <w:ind w:left="720"/>
        <w:rPr>
          <w:sz w:val="24"/>
        </w:rPr>
      </w:pPr>
    </w:p>
    <w:p w:rsidR="00F660E8" w:rsidRPr="00BF6D43" w:rsidP="00F660E8" w14:paraId="2CCE27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7BD1C3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951FB5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192457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224479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7F9655B" w14:textId="77777777">
      <w:pPr>
        <w:rPr>
          <w:sz w:val="24"/>
        </w:rPr>
      </w:pPr>
    </w:p>
    <w:p w:rsidR="00935094" w:rsidP="00BC56A2" w14:paraId="089A8760" w14:textId="77777777">
      <w:pPr>
        <w:rPr>
          <w:bCs/>
          <w:sz w:val="24"/>
        </w:rPr>
      </w:pPr>
    </w:p>
    <w:p w:rsidR="00935094" w:rsidP="00BC56A2" w14:paraId="0BF48BB0" w14:textId="3671F34C">
      <w:pPr>
        <w:rPr>
          <w:bCs/>
          <w:sz w:val="24"/>
        </w:rPr>
      </w:pPr>
      <w:r>
        <w:rPr>
          <w:bCs/>
          <w:sz w:val="24"/>
        </w:rPr>
        <w:t>The Bureau published a notice of proposed rulemaking</w:t>
      </w:r>
      <w:r>
        <w:rPr>
          <w:rStyle w:val="FootnoteReference"/>
          <w:bCs/>
          <w:sz w:val="24"/>
        </w:rPr>
        <w:footnoteReference w:id="7"/>
      </w:r>
      <w:r>
        <w:rPr>
          <w:bCs/>
          <w:sz w:val="24"/>
        </w:rPr>
        <w:t xml:space="preserve"> that provides the public an opportunity to comment for 60 days.  The comment period ends on 9/9/2024.</w:t>
      </w:r>
    </w:p>
    <w:p w:rsidR="00E939D3" w:rsidRPr="00BF6D43" w:rsidP="005F1FFC" w14:paraId="6DE23E2B" w14:textId="77777777">
      <w:pPr>
        <w:rPr>
          <w:sz w:val="24"/>
        </w:rPr>
      </w:pPr>
    </w:p>
    <w:p w:rsidR="00F660E8" w:rsidP="00F660E8" w14:paraId="1B77E3F8" w14:textId="77777777">
      <w:pPr>
        <w:autoSpaceDE w:val="0"/>
        <w:autoSpaceDN w:val="0"/>
        <w:adjustRightInd w:val="0"/>
        <w:rPr>
          <w:b/>
          <w:bCs/>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F308ED" w:rsidRPr="00BF6D43" w:rsidP="00F660E8" w14:paraId="61716DBE" w14:textId="77777777">
      <w:pPr>
        <w:autoSpaceDE w:val="0"/>
        <w:autoSpaceDN w:val="0"/>
        <w:adjustRightInd w:val="0"/>
        <w:rPr>
          <w:b/>
          <w:sz w:val="24"/>
          <w:szCs w:val="24"/>
        </w:rPr>
      </w:pPr>
    </w:p>
    <w:p w:rsidR="005F1FFC" w:rsidRPr="00BF6D43" w:rsidP="005F1FFC" w14:paraId="578C0B42" w14:textId="366B4C48">
      <w:pPr>
        <w:rPr>
          <w:sz w:val="24"/>
        </w:rPr>
      </w:pPr>
      <w:r>
        <w:rPr>
          <w:sz w:val="24"/>
        </w:rPr>
        <w:t>The Bureau will not provide payments or gifts to any respondents.</w:t>
      </w:r>
    </w:p>
    <w:p w:rsidR="00A93967" w:rsidRPr="00BF6D43" w:rsidP="009E1042" w14:paraId="3298B8C5" w14:textId="77777777">
      <w:pPr>
        <w:rPr>
          <w:sz w:val="24"/>
          <w:szCs w:val="24"/>
        </w:rPr>
      </w:pPr>
    </w:p>
    <w:p w:rsidR="00F660E8" w:rsidP="00F660E8" w14:paraId="27F53695" w14:textId="77777777">
      <w:pPr>
        <w:rPr>
          <w:b/>
          <w:bCs/>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F308ED" w:rsidRPr="00BF6D43" w:rsidP="00F660E8" w14:paraId="053BC3E1" w14:textId="77777777">
      <w:pPr>
        <w:rPr>
          <w:b/>
          <w:sz w:val="24"/>
          <w:szCs w:val="24"/>
        </w:rPr>
      </w:pPr>
    </w:p>
    <w:p w:rsidR="00FD2D3B" w:rsidRPr="00D40792" w:rsidP="00D40792" w14:paraId="60D648BB" w14:textId="618254F3">
      <w:pPr>
        <w:pStyle w:val="BodyText"/>
        <w:spacing w:before="90"/>
        <w:ind w:left="220" w:right="251"/>
      </w:pPr>
      <w:r>
        <w:t xml:space="preserve">The </w:t>
      </w:r>
      <w:r w:rsidR="003D42E5">
        <w:t>CFPB</w:t>
      </w:r>
      <w:r>
        <w:t xml:space="preserve"> does not collect any personally identifiable information under this collection and thus a Privacy</w:t>
      </w:r>
      <w:r>
        <w:rPr>
          <w:spacing w:val="-3"/>
        </w:rPr>
        <w:t xml:space="preserve"> </w:t>
      </w:r>
      <w:r>
        <w:t>Impact</w:t>
      </w:r>
      <w:r>
        <w:rPr>
          <w:spacing w:val="-3"/>
        </w:rPr>
        <w:t xml:space="preserve"> </w:t>
      </w:r>
      <w:r>
        <w:t>Assessment</w:t>
      </w:r>
      <w:r>
        <w:rPr>
          <w:spacing w:val="-3"/>
        </w:rPr>
        <w:t xml:space="preserve"> </w:t>
      </w:r>
      <w:r>
        <w:t>(PIA)</w:t>
      </w:r>
      <w:r>
        <w:rPr>
          <w:spacing w:val="-3"/>
        </w:rPr>
        <w:t xml:space="preserve"> </w:t>
      </w:r>
      <w:r>
        <w:t>and</w:t>
      </w:r>
      <w:r>
        <w:rPr>
          <w:spacing w:val="-3"/>
        </w:rPr>
        <w:t xml:space="preserve"> </w:t>
      </w:r>
      <w:r>
        <w:t>System</w:t>
      </w:r>
      <w:r>
        <w:rPr>
          <w:spacing w:val="-5"/>
        </w:rPr>
        <w:t xml:space="preserve"> </w:t>
      </w:r>
      <w:r>
        <w:t>of</w:t>
      </w:r>
      <w:r>
        <w:rPr>
          <w:spacing w:val="-3"/>
        </w:rPr>
        <w:t xml:space="preserve"> </w:t>
      </w:r>
      <w:r>
        <w:t>Records</w:t>
      </w:r>
      <w:r>
        <w:rPr>
          <w:spacing w:val="-3"/>
        </w:rPr>
        <w:t xml:space="preserve"> </w:t>
      </w:r>
      <w:r>
        <w:t>Notice</w:t>
      </w:r>
      <w:r>
        <w:rPr>
          <w:spacing w:val="-3"/>
        </w:rPr>
        <w:t xml:space="preserve"> </w:t>
      </w:r>
      <w:r>
        <w:t>(SORN)</w:t>
      </w:r>
      <w:r>
        <w:rPr>
          <w:spacing w:val="-3"/>
        </w:rPr>
        <w:t xml:space="preserve"> </w:t>
      </w:r>
      <w:r>
        <w:t>are</w:t>
      </w:r>
      <w:r>
        <w:rPr>
          <w:spacing w:val="-3"/>
        </w:rPr>
        <w:t xml:space="preserve"> </w:t>
      </w:r>
      <w:r>
        <w:t>not</w:t>
      </w:r>
      <w:r>
        <w:rPr>
          <w:spacing w:val="-4"/>
        </w:rPr>
        <w:t xml:space="preserve"> </w:t>
      </w:r>
      <w:r>
        <w:t>required.</w:t>
      </w:r>
      <w:r>
        <w:rPr>
          <w:spacing w:val="-3"/>
        </w:rPr>
        <w:t xml:space="preserve"> </w:t>
      </w:r>
      <w:r>
        <w:t>There</w:t>
      </w:r>
      <w:r>
        <w:rPr>
          <w:spacing w:val="-4"/>
        </w:rPr>
        <w:t xml:space="preserve"> </w:t>
      </w:r>
      <w:r>
        <w:t>are no assurances of confidentiality provided to respondents</w:t>
      </w:r>
      <w:bookmarkStart w:id="0" w:name="11._Justification_for_Sensitive_Question"/>
      <w:bookmarkEnd w:id="0"/>
      <w:r w:rsidR="00935094">
        <w:t>.</w:t>
      </w:r>
    </w:p>
    <w:p w:rsidR="00FD2D3B" w:rsidP="00F660E8" w14:paraId="17B11E67" w14:textId="77777777">
      <w:pPr>
        <w:rPr>
          <w:b/>
          <w:sz w:val="24"/>
          <w:szCs w:val="24"/>
        </w:rPr>
      </w:pPr>
    </w:p>
    <w:p w:rsidR="00F660E8" w:rsidP="00F660E8" w14:paraId="00E8218D" w14:textId="77777777">
      <w:pPr>
        <w:rPr>
          <w:b/>
          <w:bCs/>
          <w:sz w:val="24"/>
          <w:szCs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2D3B" w:rsidP="00F660E8" w14:paraId="645BC050" w14:textId="77777777">
      <w:pPr>
        <w:rPr>
          <w:b/>
          <w:bCs/>
          <w:sz w:val="24"/>
          <w:szCs w:val="24"/>
        </w:rPr>
      </w:pPr>
    </w:p>
    <w:p w:rsidR="00FD2D3B" w:rsidRPr="00BF6D43" w:rsidP="00F660E8" w14:paraId="2EEDAFB5" w14:textId="10F4048B">
      <w:pPr>
        <w:rPr>
          <w:sz w:val="24"/>
        </w:rPr>
      </w:pPr>
      <w:r>
        <w:rPr>
          <w:sz w:val="24"/>
        </w:rPr>
        <w:t xml:space="preserve">The Bureau is not proposing to collect questions of a sensitive nature. </w:t>
      </w:r>
    </w:p>
    <w:p w:rsidR="005F1FFC" w:rsidRPr="00BF6D43" w:rsidP="005F1FFC" w14:paraId="6F7A6E3F" w14:textId="77777777">
      <w:pPr>
        <w:ind w:left="720"/>
        <w:rPr>
          <w:sz w:val="24"/>
        </w:rPr>
      </w:pPr>
    </w:p>
    <w:p w:rsidR="00A93967" w:rsidRPr="00BF6D43" w:rsidP="005F1FFC" w14:paraId="46E44944" w14:textId="77777777">
      <w:pPr>
        <w:pStyle w:val="BodyText"/>
      </w:pPr>
    </w:p>
    <w:p w:rsidR="00F660E8" w:rsidRPr="00BF6D43" w:rsidP="00F660E8" w14:paraId="3EDBA293"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0AF8B85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02C3F03E"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31E434D2"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ACB1BE8" w14:textId="77777777">
      <w:pPr>
        <w:rPr>
          <w:bCs/>
          <w:sz w:val="24"/>
        </w:rPr>
      </w:pPr>
    </w:p>
    <w:p w:rsidR="001650D5" w:rsidRPr="00BF6D43" w:rsidP="005F1FFC" w14:paraId="7CFA65EC" w14:textId="77777777">
      <w:pPr>
        <w:rPr>
          <w:bCs/>
          <w:sz w:val="24"/>
        </w:rPr>
      </w:pPr>
    </w:p>
    <w:p w:rsidR="005F1FFC" w:rsidRPr="00BF6D43" w:rsidP="00B730DB" w14:paraId="2D251C5A" w14:textId="77777777">
      <w:pPr>
        <w:ind w:firstLine="220"/>
        <w:rPr>
          <w:bCs/>
          <w:sz w:val="24"/>
        </w:rPr>
      </w:pPr>
      <w:r w:rsidRPr="00BF6D43">
        <w:rPr>
          <w:bCs/>
          <w:sz w:val="24"/>
        </w:rPr>
        <w:t xml:space="preserve">The </w:t>
      </w:r>
      <w:r w:rsidR="003D42E5">
        <w:rPr>
          <w:bCs/>
          <w:sz w:val="24"/>
        </w:rPr>
        <w:t>CFPB</w:t>
      </w:r>
      <w:r w:rsidRPr="00BF6D43">
        <w:rPr>
          <w:bCs/>
          <w:sz w:val="24"/>
        </w:rPr>
        <w:t xml:space="preserve"> estimates the burden of this information collection as follows:</w:t>
      </w:r>
    </w:p>
    <w:p w:rsidR="00FD2D3B" w:rsidP="00FD2D3B" w14:paraId="03BD67DD" w14:textId="77777777">
      <w:pPr>
        <w:pStyle w:val="BodyText"/>
        <w:rPr>
          <w:b/>
          <w:sz w:val="16"/>
        </w:rPr>
      </w:pPr>
    </w:p>
    <w:p w:rsidR="00FD2D3B" w:rsidP="00FD2D3B" w14:paraId="1446417C" w14:textId="77777777">
      <w:pPr>
        <w:pStyle w:val="BodyText"/>
        <w:spacing w:before="90"/>
        <w:ind w:left="220" w:right="288"/>
      </w:pPr>
      <w:r>
        <w:t xml:space="preserve">The </w:t>
      </w:r>
      <w:r w:rsidR="003D42E5">
        <w:t>CFPB</w:t>
      </w:r>
      <w:r>
        <w:t xml:space="preserve"> accounts for the paperwork burden for all respondents under Regulation X. Respondents, depending on the disclosure, may be the lender, mortgage broker, mortgage servicer, or other </w:t>
      </w:r>
      <w:r>
        <w:t xml:space="preserve">settlement service provider. For purposes of this burden analysis, the </w:t>
      </w:r>
      <w:r w:rsidR="003D42E5">
        <w:t>CFPB</w:t>
      </w:r>
      <w:r>
        <w:t xml:space="preserve"> estimates that there are</w:t>
      </w:r>
      <w:r w:rsidR="00663FB6">
        <w:t xml:space="preserve"> 7,990</w:t>
      </w:r>
      <w:r>
        <w:t xml:space="preserve"> depository institutions and credit unions subject to Regulation X, and an additional </w:t>
      </w:r>
      <w:r w:rsidR="00663FB6">
        <w:t>1,637</w:t>
      </w:r>
      <w:r>
        <w:t xml:space="preserve"> non-depository institutions. Therefore, the total number of respondents for all</w:t>
      </w:r>
      <w:r>
        <w:rPr>
          <w:spacing w:val="-1"/>
        </w:rPr>
        <w:t xml:space="preserve"> </w:t>
      </w:r>
      <w:r>
        <w:t>provisions</w:t>
      </w:r>
      <w:r>
        <w:rPr>
          <w:spacing w:val="-1"/>
        </w:rPr>
        <w:t xml:space="preserve"> </w:t>
      </w:r>
      <w:r>
        <w:t>is</w:t>
      </w:r>
      <w:r>
        <w:rPr>
          <w:spacing w:val="-1"/>
        </w:rPr>
        <w:t xml:space="preserve"> </w:t>
      </w:r>
      <w:r w:rsidR="00963904">
        <w:t>9,627</w:t>
      </w:r>
      <w:r>
        <w:t>.</w:t>
      </w:r>
      <w:r>
        <w:rPr>
          <w:spacing w:val="-3"/>
        </w:rPr>
        <w:t xml:space="preserve"> </w:t>
      </w:r>
      <w:r>
        <w:t>Certain</w:t>
      </w:r>
      <w:r>
        <w:rPr>
          <w:spacing w:val="-1"/>
        </w:rPr>
        <w:t xml:space="preserve"> </w:t>
      </w:r>
      <w:r>
        <w:t>disclosures</w:t>
      </w:r>
      <w:r>
        <w:rPr>
          <w:spacing w:val="-1"/>
        </w:rPr>
        <w:t xml:space="preserve"> </w:t>
      </w:r>
      <w:r>
        <w:t>are</w:t>
      </w:r>
      <w:r>
        <w:rPr>
          <w:spacing w:val="-1"/>
        </w:rPr>
        <w:t xml:space="preserve"> </w:t>
      </w:r>
      <w:r>
        <w:t>required</w:t>
      </w:r>
      <w:r>
        <w:rPr>
          <w:spacing w:val="-1"/>
        </w:rPr>
        <w:t xml:space="preserve"> </w:t>
      </w:r>
      <w:r>
        <w:t>only</w:t>
      </w:r>
      <w:r>
        <w:rPr>
          <w:spacing w:val="-1"/>
        </w:rPr>
        <w:t xml:space="preserve"> </w:t>
      </w:r>
      <w:r>
        <w:t>if</w:t>
      </w:r>
      <w:r>
        <w:rPr>
          <w:spacing w:val="-2"/>
        </w:rPr>
        <w:t xml:space="preserve"> </w:t>
      </w:r>
      <w:r>
        <w:t>specified</w:t>
      </w:r>
      <w:r>
        <w:rPr>
          <w:spacing w:val="-1"/>
        </w:rPr>
        <w:t xml:space="preserve"> </w:t>
      </w:r>
      <w:r>
        <w:t>events</w:t>
      </w:r>
      <w:r>
        <w:rPr>
          <w:spacing w:val="-1"/>
        </w:rPr>
        <w:t xml:space="preserve"> </w:t>
      </w:r>
      <w:r>
        <w:t>occur</w:t>
      </w:r>
      <w:r>
        <w:rPr>
          <w:spacing w:val="-2"/>
        </w:rPr>
        <w:t xml:space="preserve"> </w:t>
      </w:r>
      <w:r>
        <w:t>during</w:t>
      </w:r>
      <w:r>
        <w:rPr>
          <w:spacing w:val="-1"/>
        </w:rPr>
        <w:t xml:space="preserve"> </w:t>
      </w:r>
      <w:r>
        <w:t>the</w:t>
      </w:r>
      <w:r>
        <w:rPr>
          <w:spacing w:val="-1"/>
        </w:rPr>
        <w:t xml:space="preserve"> </w:t>
      </w:r>
      <w:r>
        <w:t xml:space="preserve">life of the loan. The </w:t>
      </w:r>
      <w:r w:rsidR="003D42E5">
        <w:t>CFPB</w:t>
      </w:r>
      <w:r>
        <w:t xml:space="preserve"> estimates those events occur in loans made by only a fraction of the total respondents for these information collections. </w:t>
      </w:r>
      <w:r w:rsidR="006620F8">
        <w:t>T</w:t>
      </w:r>
      <w:r>
        <w:t xml:space="preserve">he </w:t>
      </w:r>
      <w:r w:rsidR="003D42E5">
        <w:t>CFPB</w:t>
      </w:r>
      <w:r>
        <w:rPr>
          <w:spacing w:val="-3"/>
        </w:rPr>
        <w:t xml:space="preserve"> </w:t>
      </w:r>
      <w:r>
        <w:t>estimates</w:t>
      </w:r>
      <w:r>
        <w:rPr>
          <w:spacing w:val="-3"/>
        </w:rPr>
        <w:t xml:space="preserve"> </w:t>
      </w:r>
      <w:r>
        <w:t>that</w:t>
      </w:r>
      <w:r>
        <w:rPr>
          <w:spacing w:val="-3"/>
        </w:rPr>
        <w:t xml:space="preserve"> </w:t>
      </w:r>
      <w:r>
        <w:t>each</w:t>
      </w:r>
      <w:r>
        <w:rPr>
          <w:spacing w:val="-3"/>
        </w:rPr>
        <w:t xml:space="preserve"> </w:t>
      </w:r>
      <w:r>
        <w:t>of</w:t>
      </w:r>
      <w:r>
        <w:rPr>
          <w:spacing w:val="-4"/>
        </w:rPr>
        <w:t xml:space="preserve"> </w:t>
      </w:r>
      <w:r>
        <w:t>these</w:t>
      </w:r>
      <w:r>
        <w:rPr>
          <w:spacing w:val="-4"/>
        </w:rPr>
        <w:t xml:space="preserve"> </w:t>
      </w:r>
      <w:r>
        <w:t>information</w:t>
      </w:r>
      <w:r>
        <w:rPr>
          <w:spacing w:val="-3"/>
        </w:rPr>
        <w:t xml:space="preserve"> </w:t>
      </w:r>
      <w:r>
        <w:t>collections</w:t>
      </w:r>
      <w:r>
        <w:rPr>
          <w:spacing w:val="-3"/>
        </w:rPr>
        <w:t xml:space="preserve"> </w:t>
      </w:r>
      <w:r>
        <w:t>has</w:t>
      </w:r>
      <w:r>
        <w:rPr>
          <w:spacing w:val="-3"/>
        </w:rPr>
        <w:t xml:space="preserve"> </w:t>
      </w:r>
      <w:r w:rsidR="00CD4D17">
        <w:t>1,130</w:t>
      </w:r>
      <w:r>
        <w:rPr>
          <w:spacing w:val="-3"/>
        </w:rPr>
        <w:t xml:space="preserve"> </w:t>
      </w:r>
      <w:r>
        <w:t>respondents.</w:t>
      </w:r>
      <w:r>
        <w:rPr>
          <w:spacing w:val="-3"/>
        </w:rPr>
        <w:t xml:space="preserve"> </w:t>
      </w:r>
    </w:p>
    <w:p w:rsidR="00FD2D3B" w:rsidP="00FD2D3B" w14:paraId="664AEE5D" w14:textId="77777777">
      <w:pPr>
        <w:pStyle w:val="BodyText"/>
        <w:spacing w:before="10"/>
        <w:rPr>
          <w:sz w:val="23"/>
        </w:rPr>
      </w:pPr>
    </w:p>
    <w:p w:rsidR="00FD2D3B" w:rsidP="00BF3D3A" w14:paraId="63A74817" w14:textId="7D5C54C6">
      <w:pPr>
        <w:pStyle w:val="BodyText"/>
        <w:ind w:left="220" w:right="251"/>
      </w:pPr>
      <w:r>
        <w:t xml:space="preserve">The </w:t>
      </w:r>
      <w:r w:rsidR="003D42E5">
        <w:t>CFPB</w:t>
      </w:r>
      <w:r>
        <w:rPr>
          <w:spacing w:val="-2"/>
        </w:rPr>
        <w:t xml:space="preserve"> </w:t>
      </w:r>
      <w:r>
        <w:t>estimates</w:t>
      </w:r>
      <w:r>
        <w:rPr>
          <w:spacing w:val="-2"/>
        </w:rPr>
        <w:t xml:space="preserve"> </w:t>
      </w:r>
      <w:r>
        <w:t>that</w:t>
      </w:r>
      <w:r>
        <w:rPr>
          <w:spacing w:val="-2"/>
        </w:rPr>
        <w:t xml:space="preserve"> </w:t>
      </w:r>
      <w:r>
        <w:t>it</w:t>
      </w:r>
      <w:r>
        <w:rPr>
          <w:spacing w:val="-3"/>
        </w:rPr>
        <w:t xml:space="preserve"> </w:t>
      </w:r>
      <w:r>
        <w:t>takes</w:t>
      </w:r>
      <w:r>
        <w:rPr>
          <w:spacing w:val="-2"/>
        </w:rPr>
        <w:t xml:space="preserve"> </w:t>
      </w:r>
      <w:r>
        <w:t>0.003</w:t>
      </w:r>
      <w:r>
        <w:rPr>
          <w:spacing w:val="-4"/>
        </w:rPr>
        <w:t xml:space="preserve"> </w:t>
      </w:r>
      <w:r>
        <w:t>hours</w:t>
      </w:r>
      <w:r>
        <w:rPr>
          <w:spacing w:val="-2"/>
        </w:rPr>
        <w:t xml:space="preserve"> </w:t>
      </w:r>
      <w:r>
        <w:t>of</w:t>
      </w:r>
      <w:r>
        <w:rPr>
          <w:spacing w:val="-3"/>
        </w:rPr>
        <w:t xml:space="preserve"> </w:t>
      </w:r>
      <w:r>
        <w:t>internal</w:t>
      </w:r>
      <w:r>
        <w:rPr>
          <w:spacing w:val="-3"/>
        </w:rPr>
        <w:t xml:space="preserve"> </w:t>
      </w:r>
      <w:r>
        <w:t>labor</w:t>
      </w:r>
      <w:r>
        <w:rPr>
          <w:spacing w:val="-3"/>
        </w:rPr>
        <w:t xml:space="preserve"> </w:t>
      </w:r>
      <w:r>
        <w:t>to</w:t>
      </w:r>
      <w:r>
        <w:rPr>
          <w:spacing w:val="-4"/>
        </w:rPr>
        <w:t xml:space="preserve"> </w:t>
      </w:r>
      <w:r>
        <w:t>produce</w:t>
      </w:r>
      <w:r>
        <w:rPr>
          <w:spacing w:val="-2"/>
        </w:rPr>
        <w:t xml:space="preserve"> </w:t>
      </w:r>
      <w:r>
        <w:t>one</w:t>
      </w:r>
      <w:r>
        <w:rPr>
          <w:spacing w:val="-2"/>
        </w:rPr>
        <w:t xml:space="preserve"> </w:t>
      </w:r>
      <w:r>
        <w:t>disclosure.</w:t>
      </w:r>
      <w:r>
        <w:rPr>
          <w:spacing w:val="-4"/>
        </w:rPr>
        <w:t xml:space="preserve"> </w:t>
      </w:r>
      <w:r>
        <w:t>Any deviation</w:t>
      </w:r>
      <w:r w:rsidR="00EE6725">
        <w:t>s</w:t>
      </w:r>
      <w:r>
        <w:t xml:space="preserve"> from the </w:t>
      </w:r>
      <w:r w:rsidR="00EE6725">
        <w:t>0</w:t>
      </w:r>
      <w:r>
        <w:t>.003 hour</w:t>
      </w:r>
      <w:r>
        <w:t xml:space="preserve"> burden assumption are described as footnotes to the burden table.</w:t>
      </w:r>
    </w:p>
    <w:p w:rsidR="00FD2D3B" w:rsidP="00FD2D3B" w14:paraId="2385802F" w14:textId="77777777">
      <w:pPr>
        <w:pStyle w:val="BodyText"/>
      </w:pPr>
    </w:p>
    <w:p w:rsidR="00FD2D3B" w:rsidP="00FD2D3B" w14:paraId="53935F25" w14:textId="77777777">
      <w:pPr>
        <w:pStyle w:val="BodyText"/>
        <w:ind w:left="220" w:right="245"/>
      </w:pPr>
      <w:r>
        <w:t>The special information booklet (§ 1024.6) is superseded by requirements in Regulation Z, and therefore accounted for in 3170-0015. This is the case for the Good Faith Estimate (§ 1024.7) and HUD-1 or HUD-1A forms (§§ 1024.8 and 1024.10(e)) as well, except for in the case of reverse mortgages. The burden for reverse mortgages associated with these provisions are accounted for in this Control Number, but all other burden for these collections is accounted for in 3170-0015. The Homeownership</w:t>
      </w:r>
      <w:r>
        <w:rPr>
          <w:spacing w:val="-3"/>
        </w:rPr>
        <w:t xml:space="preserve"> </w:t>
      </w:r>
      <w:r>
        <w:t>Counseling</w:t>
      </w:r>
      <w:r>
        <w:rPr>
          <w:spacing w:val="-3"/>
        </w:rPr>
        <w:t xml:space="preserve"> </w:t>
      </w:r>
      <w:r>
        <w:t>list</w:t>
      </w:r>
      <w:r>
        <w:rPr>
          <w:spacing w:val="-4"/>
        </w:rPr>
        <w:t xml:space="preserve"> </w:t>
      </w:r>
      <w:r>
        <w:t>required</w:t>
      </w:r>
      <w:r>
        <w:rPr>
          <w:spacing w:val="-3"/>
        </w:rPr>
        <w:t xml:space="preserve"> </w:t>
      </w:r>
      <w:r>
        <w:t>by</w:t>
      </w:r>
      <w:r>
        <w:rPr>
          <w:spacing w:val="-3"/>
        </w:rPr>
        <w:t xml:space="preserve"> </w:t>
      </w:r>
      <w:r>
        <w:t>§1024.20</w:t>
      </w:r>
      <w:r>
        <w:rPr>
          <w:spacing w:val="-3"/>
        </w:rPr>
        <w:t xml:space="preserve"> </w:t>
      </w:r>
      <w:r>
        <w:t>is</w:t>
      </w:r>
      <w:r>
        <w:rPr>
          <w:spacing w:val="-3"/>
        </w:rPr>
        <w:t xml:space="preserve"> </w:t>
      </w:r>
      <w:r>
        <w:t>also</w:t>
      </w:r>
      <w:r>
        <w:rPr>
          <w:spacing w:val="-5"/>
        </w:rPr>
        <w:t xml:space="preserve"> </w:t>
      </w:r>
      <w:r>
        <w:t>required</w:t>
      </w:r>
      <w:r>
        <w:rPr>
          <w:spacing w:val="-3"/>
        </w:rPr>
        <w:t xml:space="preserve"> </w:t>
      </w:r>
      <w:r>
        <w:t>by</w:t>
      </w:r>
      <w:r>
        <w:rPr>
          <w:spacing w:val="-5"/>
        </w:rPr>
        <w:t xml:space="preserve"> </w:t>
      </w:r>
      <w:r>
        <w:t>Regulation</w:t>
      </w:r>
      <w:r>
        <w:rPr>
          <w:spacing w:val="-5"/>
        </w:rPr>
        <w:t xml:space="preserve"> </w:t>
      </w:r>
      <w:r>
        <w:t>Z,</w:t>
      </w:r>
      <w:r>
        <w:rPr>
          <w:spacing w:val="-3"/>
        </w:rPr>
        <w:t xml:space="preserve"> </w:t>
      </w:r>
      <w:r>
        <w:t>and</w:t>
      </w:r>
      <w:r>
        <w:rPr>
          <w:spacing w:val="-3"/>
        </w:rPr>
        <w:t xml:space="preserve"> </w:t>
      </w:r>
      <w:r>
        <w:t>burden</w:t>
      </w:r>
      <w:r>
        <w:rPr>
          <w:spacing w:val="-3"/>
        </w:rPr>
        <w:t xml:space="preserve"> </w:t>
      </w:r>
      <w:r>
        <w:t>is calculated in 3170-0015.</w:t>
      </w:r>
    </w:p>
    <w:p w:rsidR="00FD2D3B" w:rsidP="00FD2D3B" w14:paraId="57B5E0A3" w14:textId="77777777">
      <w:pPr>
        <w:pStyle w:val="BodyText"/>
      </w:pPr>
    </w:p>
    <w:p w:rsidR="00FD2D3B" w:rsidP="00FD2D3B" w14:paraId="7777B104" w14:textId="77777777">
      <w:pPr>
        <w:pStyle w:val="BodyText"/>
        <w:ind w:left="220"/>
      </w:pPr>
      <w:r>
        <w:t xml:space="preserve">The </w:t>
      </w:r>
      <w:r w:rsidR="003D42E5">
        <w:t>CFPB</w:t>
      </w:r>
      <w:r>
        <w:t xml:space="preserve"> also requires that certain records be kept for five years after the consummation of transactions </w:t>
      </w:r>
      <w:r>
        <w:t>in order to</w:t>
      </w:r>
      <w:r>
        <w:t xml:space="preserve"> facilitate the </w:t>
      </w:r>
      <w:r w:rsidR="003D42E5">
        <w:t>CFPB</w:t>
      </w:r>
      <w:r>
        <w:t xml:space="preserve">’s inspection and enforcement of these requirements. The </w:t>
      </w:r>
      <w:r w:rsidR="003D42E5">
        <w:t>CFPB</w:t>
      </w:r>
      <w:r>
        <w:t xml:space="preserve"> believes that most, if not all, of these records are now kept electronically, and therefore the respondents</w:t>
      </w:r>
      <w:r>
        <w:rPr>
          <w:spacing w:val="-4"/>
        </w:rPr>
        <w:t xml:space="preserve"> </w:t>
      </w:r>
      <w:r>
        <w:t>incur</w:t>
      </w:r>
      <w:r>
        <w:rPr>
          <w:spacing w:val="-3"/>
        </w:rPr>
        <w:t xml:space="preserve"> </w:t>
      </w:r>
      <w:r>
        <w:t>only</w:t>
      </w:r>
      <w:r>
        <w:rPr>
          <w:spacing w:val="-3"/>
        </w:rPr>
        <w:t xml:space="preserve"> </w:t>
      </w:r>
      <w:r>
        <w:t>a</w:t>
      </w:r>
      <w:r>
        <w:rPr>
          <w:spacing w:val="-4"/>
        </w:rPr>
        <w:t xml:space="preserve"> </w:t>
      </w:r>
      <w:r>
        <w:rPr>
          <w:i/>
        </w:rPr>
        <w:t>de</w:t>
      </w:r>
      <w:r>
        <w:rPr>
          <w:i/>
          <w:spacing w:val="-3"/>
        </w:rPr>
        <w:t xml:space="preserve"> </w:t>
      </w:r>
      <w:r>
        <w:rPr>
          <w:i/>
        </w:rPr>
        <w:t>minimis</w:t>
      </w:r>
      <w:r>
        <w:rPr>
          <w:i/>
          <w:spacing w:val="-3"/>
        </w:rPr>
        <w:t xml:space="preserve"> </w:t>
      </w:r>
      <w:r>
        <w:t>burden</w:t>
      </w:r>
      <w:r>
        <w:rPr>
          <w:spacing w:val="-3"/>
        </w:rPr>
        <w:t xml:space="preserve"> </w:t>
      </w:r>
      <w:r>
        <w:t>in</w:t>
      </w:r>
      <w:r>
        <w:rPr>
          <w:spacing w:val="-3"/>
        </w:rPr>
        <w:t xml:space="preserve"> </w:t>
      </w:r>
      <w:r>
        <w:t>retaining</w:t>
      </w:r>
      <w:r>
        <w:rPr>
          <w:spacing w:val="-3"/>
        </w:rPr>
        <w:t xml:space="preserve"> </w:t>
      </w:r>
      <w:r>
        <w:t>these</w:t>
      </w:r>
      <w:r>
        <w:rPr>
          <w:spacing w:val="-3"/>
        </w:rPr>
        <w:t xml:space="preserve"> </w:t>
      </w:r>
      <w:r>
        <w:t>records</w:t>
      </w:r>
      <w:r>
        <w:rPr>
          <w:spacing w:val="-3"/>
        </w:rPr>
        <w:t xml:space="preserve"> </w:t>
      </w:r>
      <w:r>
        <w:t>for</w:t>
      </w:r>
      <w:r>
        <w:rPr>
          <w:spacing w:val="-3"/>
        </w:rPr>
        <w:t xml:space="preserve"> </w:t>
      </w:r>
      <w:r>
        <w:t>an</w:t>
      </w:r>
      <w:r>
        <w:rPr>
          <w:spacing w:val="-3"/>
        </w:rPr>
        <w:t xml:space="preserve"> </w:t>
      </w:r>
      <w:r>
        <w:t>additional</w:t>
      </w:r>
      <w:r>
        <w:rPr>
          <w:spacing w:val="-4"/>
        </w:rPr>
        <w:t xml:space="preserve"> </w:t>
      </w:r>
      <w:r>
        <w:t>period</w:t>
      </w:r>
      <w:r>
        <w:rPr>
          <w:spacing w:val="-3"/>
        </w:rPr>
        <w:t xml:space="preserve"> </w:t>
      </w:r>
      <w:r>
        <w:t>of</w:t>
      </w:r>
      <w:r>
        <w:rPr>
          <w:spacing w:val="-4"/>
        </w:rPr>
        <w:t xml:space="preserve"> </w:t>
      </w:r>
      <w:r>
        <w:t>time</w:t>
      </w:r>
      <w:r>
        <w:t>.</w:t>
      </w:r>
    </w:p>
    <w:p w:rsidR="00FD2D3B" w:rsidP="00FD2D3B" w14:paraId="45CEE48F" w14:textId="77777777">
      <w:pPr>
        <w:pStyle w:val="BodyText"/>
      </w:pPr>
    </w:p>
    <w:p w:rsidR="00E10A99" w:rsidRPr="005E79FF" w:rsidP="005E79FF" w14:paraId="2D231067" w14:textId="77777777">
      <w:pPr>
        <w:pStyle w:val="BodyText"/>
        <w:ind w:left="220"/>
        <w:rPr>
          <w:spacing w:val="-2"/>
        </w:rPr>
      </w:pPr>
      <w:r>
        <w:t>The</w:t>
      </w:r>
      <w:r>
        <w:rPr>
          <w:spacing w:val="-2"/>
        </w:rPr>
        <w:t xml:space="preserve"> </w:t>
      </w:r>
      <w:r>
        <w:t>burden</w:t>
      </w:r>
      <w:r>
        <w:rPr>
          <w:spacing w:val="-1"/>
        </w:rPr>
        <w:t xml:space="preserve"> </w:t>
      </w:r>
      <w:r>
        <w:t>for</w:t>
      </w:r>
      <w:r>
        <w:rPr>
          <w:spacing w:val="-1"/>
        </w:rPr>
        <w:t xml:space="preserve"> </w:t>
      </w:r>
      <w:r>
        <w:t>the</w:t>
      </w:r>
      <w:r>
        <w:rPr>
          <w:spacing w:val="-1"/>
        </w:rPr>
        <w:t xml:space="preserve"> </w:t>
      </w:r>
      <w:r>
        <w:t>information</w:t>
      </w:r>
      <w:r>
        <w:rPr>
          <w:spacing w:val="-1"/>
        </w:rPr>
        <w:t xml:space="preserve"> </w:t>
      </w:r>
      <w:r>
        <w:t>collection</w:t>
      </w:r>
      <w:r>
        <w:rPr>
          <w:spacing w:val="-1"/>
        </w:rPr>
        <w:t xml:space="preserve"> </w:t>
      </w:r>
      <w:r>
        <w:t>is</w:t>
      </w:r>
      <w:r>
        <w:rPr>
          <w:spacing w:val="-1"/>
        </w:rPr>
        <w:t xml:space="preserve"> </w:t>
      </w:r>
      <w:r>
        <w:t>as</w:t>
      </w:r>
      <w:r>
        <w:rPr>
          <w:spacing w:val="-1"/>
        </w:rPr>
        <w:t xml:space="preserve"> </w:t>
      </w:r>
      <w:r>
        <w:rPr>
          <w:spacing w:val="-2"/>
        </w:rPr>
        <w:t>follow</w:t>
      </w:r>
      <w:r w:rsidR="005E79FF">
        <w:rPr>
          <w:spacing w:val="-2"/>
        </w:rPr>
        <w:t>s:</w:t>
      </w:r>
    </w:p>
    <w:p w:rsidR="00E10A99" w:rsidP="00FD2D3B" w14:paraId="3538F9B7" w14:textId="77777777">
      <w:pPr>
        <w:pStyle w:val="BodyText"/>
        <w:spacing w:before="4"/>
        <w:rPr>
          <w:sz w:val="16"/>
        </w:rPr>
      </w:pPr>
    </w:p>
    <w:p w:rsidR="005E79FF" w:rsidP="00FD2D3B" w14:paraId="65D0A118" w14:textId="77777777">
      <w:pPr>
        <w:pStyle w:val="BodyText"/>
        <w:spacing w:before="4"/>
        <w:rPr>
          <w:sz w:val="16"/>
        </w:rPr>
      </w:pPr>
    </w:p>
    <w:p w:rsidR="005E79FF" w:rsidP="00FD2D3B" w14:paraId="0FC0F7BA" w14:textId="77777777">
      <w:pPr>
        <w:pStyle w:val="BodyText"/>
        <w:spacing w:before="4"/>
        <w:rPr>
          <w:sz w:val="16"/>
        </w:rPr>
      </w:pPr>
    </w:p>
    <w:p w:rsidR="005E79FF" w:rsidP="00FD2D3B" w14:paraId="78EC6485" w14:textId="77777777">
      <w:pPr>
        <w:pStyle w:val="BodyText"/>
        <w:spacing w:before="4"/>
        <w:rPr>
          <w:sz w:val="16"/>
        </w:rPr>
      </w:pPr>
    </w:p>
    <w:p w:rsidR="005E79FF" w:rsidP="00FD2D3B" w14:paraId="1FD94D3C" w14:textId="77777777">
      <w:pPr>
        <w:pStyle w:val="BodyText"/>
        <w:spacing w:before="4"/>
        <w:rPr>
          <w:sz w:val="16"/>
        </w:rPr>
      </w:pPr>
    </w:p>
    <w:p w:rsidR="005E79FF" w:rsidP="00FD2D3B" w14:paraId="6E74C7A4" w14:textId="77777777">
      <w:pPr>
        <w:pStyle w:val="BodyText"/>
        <w:spacing w:before="4"/>
        <w:rPr>
          <w:sz w:val="16"/>
        </w:rPr>
      </w:pPr>
    </w:p>
    <w:p w:rsidR="005E79FF" w:rsidP="00FD2D3B" w14:paraId="111BDE69" w14:textId="77777777">
      <w:pPr>
        <w:pStyle w:val="BodyText"/>
        <w:spacing w:before="4"/>
        <w:rPr>
          <w:sz w:val="16"/>
        </w:rPr>
      </w:pPr>
    </w:p>
    <w:p w:rsidR="005E79FF" w:rsidP="00FD2D3B" w14:paraId="7530111F" w14:textId="77777777">
      <w:pPr>
        <w:pStyle w:val="BodyText"/>
        <w:spacing w:before="4"/>
        <w:rPr>
          <w:sz w:val="16"/>
        </w:rPr>
      </w:pPr>
    </w:p>
    <w:p w:rsidR="005E79FF" w:rsidP="00FD2D3B" w14:paraId="500DCE31" w14:textId="77777777">
      <w:pPr>
        <w:pStyle w:val="BodyText"/>
        <w:spacing w:before="4"/>
        <w:rPr>
          <w:sz w:val="16"/>
        </w:rPr>
      </w:pPr>
    </w:p>
    <w:p w:rsidR="005E79FF" w:rsidP="00FD2D3B" w14:paraId="3CAC186D" w14:textId="77777777">
      <w:pPr>
        <w:pStyle w:val="BodyText"/>
        <w:spacing w:before="4"/>
        <w:rPr>
          <w:sz w:val="16"/>
        </w:rPr>
      </w:pPr>
    </w:p>
    <w:p w:rsidR="005E79FF" w:rsidP="00FD2D3B" w14:paraId="3131D348" w14:textId="77777777">
      <w:pPr>
        <w:pStyle w:val="BodyText"/>
        <w:spacing w:before="4"/>
        <w:rPr>
          <w:sz w:val="16"/>
        </w:rPr>
      </w:pPr>
    </w:p>
    <w:p w:rsidR="005E79FF" w:rsidP="00FD2D3B" w14:paraId="5F834825" w14:textId="77777777">
      <w:pPr>
        <w:pStyle w:val="BodyText"/>
        <w:spacing w:before="4"/>
        <w:rPr>
          <w:sz w:val="16"/>
        </w:rPr>
      </w:pPr>
    </w:p>
    <w:p w:rsidR="005E79FF" w:rsidP="00FD2D3B" w14:paraId="4A73AF39" w14:textId="77777777">
      <w:pPr>
        <w:pStyle w:val="BodyText"/>
        <w:spacing w:before="4"/>
        <w:rPr>
          <w:sz w:val="16"/>
        </w:rPr>
      </w:pPr>
    </w:p>
    <w:p w:rsidR="005E79FF" w:rsidP="00FD2D3B" w14:paraId="5315FA3E" w14:textId="77777777">
      <w:pPr>
        <w:pStyle w:val="BodyText"/>
        <w:spacing w:before="4"/>
        <w:rPr>
          <w:sz w:val="16"/>
        </w:rPr>
      </w:pPr>
    </w:p>
    <w:p w:rsidR="005E79FF" w:rsidP="00FD2D3B" w14:paraId="0D2E02E1" w14:textId="77777777">
      <w:pPr>
        <w:pStyle w:val="BodyText"/>
        <w:spacing w:before="4"/>
        <w:rPr>
          <w:sz w:val="16"/>
        </w:rPr>
      </w:pPr>
    </w:p>
    <w:p w:rsidR="005E79FF" w:rsidP="00FD2D3B" w14:paraId="393129DC" w14:textId="77777777">
      <w:pPr>
        <w:pStyle w:val="BodyText"/>
        <w:spacing w:before="4"/>
        <w:rPr>
          <w:sz w:val="16"/>
        </w:rPr>
      </w:pPr>
    </w:p>
    <w:p w:rsidR="005E79FF" w:rsidP="00FD2D3B" w14:paraId="2E1FB8A3" w14:textId="77777777">
      <w:pPr>
        <w:pStyle w:val="BodyText"/>
        <w:spacing w:before="4"/>
        <w:rPr>
          <w:sz w:val="16"/>
        </w:rPr>
      </w:pPr>
    </w:p>
    <w:p w:rsidR="005E79FF" w:rsidP="00FD2D3B" w14:paraId="11FB0548" w14:textId="77777777">
      <w:pPr>
        <w:pStyle w:val="BodyText"/>
        <w:spacing w:before="4"/>
        <w:rPr>
          <w:sz w:val="16"/>
        </w:rPr>
      </w:pPr>
    </w:p>
    <w:p w:rsidR="005E79FF" w:rsidP="00FD2D3B" w14:paraId="66065A3E" w14:textId="77777777">
      <w:pPr>
        <w:pStyle w:val="BodyText"/>
        <w:spacing w:before="4"/>
        <w:rPr>
          <w:sz w:val="16"/>
        </w:rPr>
      </w:pPr>
    </w:p>
    <w:p w:rsidR="005E79FF" w:rsidP="00FD2D3B" w14:paraId="1CC0FA7B" w14:textId="77777777">
      <w:pPr>
        <w:pStyle w:val="BodyText"/>
        <w:spacing w:before="4"/>
        <w:rPr>
          <w:sz w:val="16"/>
        </w:rPr>
      </w:pPr>
    </w:p>
    <w:p w:rsidR="005E79FF" w:rsidP="00FD2D3B" w14:paraId="32560120" w14:textId="77777777">
      <w:pPr>
        <w:pStyle w:val="BodyText"/>
        <w:spacing w:before="4"/>
        <w:rPr>
          <w:sz w:val="16"/>
        </w:rPr>
      </w:pPr>
    </w:p>
    <w:p w:rsidR="005E79FF" w:rsidP="00FD2D3B" w14:paraId="2875E432" w14:textId="77777777">
      <w:pPr>
        <w:pStyle w:val="BodyText"/>
        <w:spacing w:before="4"/>
        <w:rPr>
          <w:sz w:val="16"/>
        </w:rPr>
      </w:pPr>
    </w:p>
    <w:p w:rsidR="00FD2D3B" w:rsidP="00FD2D3B" w14:paraId="4DC01526" w14:textId="77777777">
      <w:pPr>
        <w:pStyle w:val="BodyText"/>
        <w:rPr>
          <w:sz w:val="20"/>
        </w:rPr>
      </w:pPr>
    </w:p>
    <w:tbl>
      <w:tblPr>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9"/>
        <w:gridCol w:w="1749"/>
        <w:gridCol w:w="1550"/>
        <w:gridCol w:w="1851"/>
        <w:gridCol w:w="1679"/>
        <w:gridCol w:w="1850"/>
      </w:tblGrid>
      <w:tr w14:paraId="441B12F1" w14:textId="77777777" w:rsidTr="00FD6880">
        <w:tblPrEx>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rPr>
        <w:tc>
          <w:tcPr>
            <w:tcW w:w="10408" w:type="dxa"/>
            <w:gridSpan w:val="6"/>
            <w:vAlign w:val="center"/>
          </w:tcPr>
          <w:p w:rsidR="00222CBC" w:rsidRPr="00E10A99" w:rsidP="00FD6880" w14:paraId="6C24353B" w14:textId="67378650">
            <w:pPr>
              <w:pStyle w:val="TableParagraph"/>
              <w:spacing w:line="273" w:lineRule="exact"/>
              <w:ind w:right="95"/>
              <w:jc w:val="center"/>
              <w:rPr>
                <w:bCs/>
                <w:spacing w:val="-2"/>
                <w:sz w:val="24"/>
              </w:rPr>
            </w:pPr>
            <w:r>
              <w:rPr>
                <w:b/>
                <w:spacing w:val="-2"/>
                <w:sz w:val="24"/>
              </w:rPr>
              <w:t>Subpart B</w:t>
            </w:r>
          </w:p>
        </w:tc>
      </w:tr>
      <w:tr w14:paraId="6BB0E9EC" w14:textId="77777777" w:rsidTr="006332B3">
        <w:tblPrEx>
          <w:tblW w:w="10408" w:type="dxa"/>
          <w:tblInd w:w="117" w:type="dxa"/>
          <w:tblLayout w:type="fixed"/>
          <w:tblCellMar>
            <w:left w:w="0" w:type="dxa"/>
            <w:right w:w="0" w:type="dxa"/>
          </w:tblCellMar>
          <w:tblLook w:val="01E0"/>
        </w:tblPrEx>
        <w:trPr>
          <w:trHeight w:val="882"/>
        </w:trPr>
        <w:tc>
          <w:tcPr>
            <w:tcW w:w="1729" w:type="dxa"/>
            <w:shd w:val="clear" w:color="auto" w:fill="E7E6E6" w:themeFill="background2"/>
          </w:tcPr>
          <w:p w:rsidR="00E10A99" w:rsidRPr="00FD6880" w:rsidP="00FD6880" w14:paraId="5DB280CA" w14:textId="77777777">
            <w:pPr>
              <w:pStyle w:val="TableParagraph"/>
              <w:spacing w:line="274" w:lineRule="exact"/>
              <w:ind w:left="107"/>
              <w:jc w:val="center"/>
              <w:rPr>
                <w:b/>
                <w:sz w:val="24"/>
              </w:rPr>
            </w:pPr>
            <w:r w:rsidRPr="00FD6880">
              <w:rPr>
                <w:b/>
                <w:spacing w:val="-2"/>
                <w:sz w:val="24"/>
              </w:rPr>
              <w:t>Information Collection</w:t>
            </w:r>
          </w:p>
        </w:tc>
        <w:tc>
          <w:tcPr>
            <w:tcW w:w="1749" w:type="dxa"/>
            <w:shd w:val="clear" w:color="auto" w:fill="E7E6E6" w:themeFill="background2"/>
          </w:tcPr>
          <w:p w:rsidR="00E10A99" w:rsidRPr="00FD6880" w:rsidP="00FD6880" w14:paraId="2403AC09" w14:textId="77777777">
            <w:pPr>
              <w:pStyle w:val="TableParagraph"/>
              <w:spacing w:line="273" w:lineRule="exact"/>
              <w:ind w:right="96"/>
              <w:jc w:val="center"/>
              <w:rPr>
                <w:b/>
                <w:sz w:val="24"/>
              </w:rPr>
            </w:pPr>
            <w:r w:rsidRPr="00FD6880">
              <w:rPr>
                <w:b/>
                <w:spacing w:val="-2"/>
                <w:sz w:val="24"/>
              </w:rPr>
              <w:t>Respondents</w:t>
            </w:r>
          </w:p>
        </w:tc>
        <w:tc>
          <w:tcPr>
            <w:tcW w:w="1550" w:type="dxa"/>
            <w:shd w:val="clear" w:color="auto" w:fill="E7E6E6" w:themeFill="background2"/>
          </w:tcPr>
          <w:p w:rsidR="00E10A99" w:rsidRPr="00FD6880" w:rsidP="00FD6880" w14:paraId="3BEBA944" w14:textId="77777777">
            <w:pPr>
              <w:pStyle w:val="TableParagraph"/>
              <w:spacing w:line="273" w:lineRule="exact"/>
              <w:ind w:right="96"/>
              <w:jc w:val="center"/>
              <w:rPr>
                <w:b/>
                <w:sz w:val="24"/>
              </w:rPr>
            </w:pPr>
            <w:r w:rsidRPr="00FD6880">
              <w:rPr>
                <w:b/>
                <w:spacing w:val="-2"/>
                <w:sz w:val="24"/>
              </w:rPr>
              <w:t>Frequency</w:t>
            </w:r>
          </w:p>
        </w:tc>
        <w:tc>
          <w:tcPr>
            <w:tcW w:w="1851" w:type="dxa"/>
            <w:shd w:val="clear" w:color="auto" w:fill="E7E6E6" w:themeFill="background2"/>
          </w:tcPr>
          <w:p w:rsidR="00E10A99" w:rsidRPr="00FD6880" w:rsidP="00FD6880" w14:paraId="5AC960EE" w14:textId="77777777">
            <w:pPr>
              <w:pStyle w:val="TableParagraph"/>
              <w:spacing w:line="273" w:lineRule="exact"/>
              <w:ind w:right="95"/>
              <w:jc w:val="center"/>
              <w:rPr>
                <w:b/>
                <w:sz w:val="24"/>
              </w:rPr>
            </w:pPr>
            <w:r w:rsidRPr="00FD6880">
              <w:rPr>
                <w:b/>
                <w:spacing w:val="-2"/>
                <w:sz w:val="24"/>
              </w:rPr>
              <w:t xml:space="preserve">Annual </w:t>
            </w:r>
            <w:r w:rsidRPr="00FD6880">
              <w:rPr>
                <w:b/>
                <w:sz w:val="24"/>
              </w:rPr>
              <w:t>Number</w:t>
            </w:r>
            <w:r w:rsidRPr="00FD6880">
              <w:rPr>
                <w:b/>
                <w:spacing w:val="-15"/>
                <w:sz w:val="24"/>
              </w:rPr>
              <w:t xml:space="preserve"> </w:t>
            </w:r>
            <w:r w:rsidRPr="00FD6880">
              <w:rPr>
                <w:b/>
                <w:sz w:val="24"/>
              </w:rPr>
              <w:t xml:space="preserve">of </w:t>
            </w:r>
            <w:r w:rsidRPr="00FD6880">
              <w:rPr>
                <w:b/>
                <w:spacing w:val="-2"/>
                <w:sz w:val="24"/>
              </w:rPr>
              <w:t>Responses</w:t>
            </w:r>
          </w:p>
        </w:tc>
        <w:tc>
          <w:tcPr>
            <w:tcW w:w="1679" w:type="dxa"/>
            <w:shd w:val="clear" w:color="auto" w:fill="E7E6E6" w:themeFill="background2"/>
          </w:tcPr>
          <w:p w:rsidR="00E10A99" w:rsidRPr="00FD6880" w:rsidP="00FD6880" w14:paraId="7A987262" w14:textId="77777777">
            <w:pPr>
              <w:pStyle w:val="TableParagraph"/>
              <w:spacing w:line="273" w:lineRule="exact"/>
              <w:ind w:right="93"/>
              <w:jc w:val="center"/>
              <w:rPr>
                <w:b/>
                <w:sz w:val="24"/>
              </w:rPr>
            </w:pPr>
            <w:r w:rsidRPr="00FD6880">
              <w:rPr>
                <w:b/>
                <w:sz w:val="24"/>
              </w:rPr>
              <w:t>Burden</w:t>
            </w:r>
            <w:r w:rsidRPr="00FD6880">
              <w:rPr>
                <w:b/>
                <w:spacing w:val="-15"/>
                <w:sz w:val="24"/>
              </w:rPr>
              <w:t xml:space="preserve"> </w:t>
            </w:r>
            <w:r w:rsidRPr="00FD6880">
              <w:rPr>
                <w:b/>
                <w:sz w:val="24"/>
              </w:rPr>
              <w:t xml:space="preserve">per </w:t>
            </w:r>
            <w:r w:rsidRPr="00FD6880" w:rsidR="00661E0F">
              <w:rPr>
                <w:b/>
                <w:spacing w:val="-2"/>
                <w:sz w:val="24"/>
              </w:rPr>
              <w:t xml:space="preserve">response </w:t>
            </w:r>
            <w:r w:rsidRPr="00FD6880">
              <w:rPr>
                <w:b/>
                <w:spacing w:val="-2"/>
                <w:sz w:val="24"/>
              </w:rPr>
              <w:t>(hours)</w:t>
            </w:r>
          </w:p>
        </w:tc>
        <w:tc>
          <w:tcPr>
            <w:tcW w:w="1850" w:type="dxa"/>
            <w:shd w:val="clear" w:color="auto" w:fill="E7E6E6" w:themeFill="background2"/>
          </w:tcPr>
          <w:p w:rsidR="00E10A99" w:rsidRPr="00FD6880" w:rsidP="00FD6880" w14:paraId="45691755" w14:textId="77777777">
            <w:pPr>
              <w:pStyle w:val="TableParagraph"/>
              <w:spacing w:line="273" w:lineRule="exact"/>
              <w:ind w:right="95"/>
              <w:jc w:val="center"/>
              <w:rPr>
                <w:b/>
                <w:sz w:val="24"/>
              </w:rPr>
            </w:pPr>
            <w:r w:rsidRPr="00FD6880">
              <w:rPr>
                <w:b/>
                <w:spacing w:val="-2"/>
                <w:sz w:val="24"/>
              </w:rPr>
              <w:t xml:space="preserve">Total Annual Burden </w:t>
            </w:r>
            <w:r w:rsidRPr="00FD6880">
              <w:rPr>
                <w:b/>
                <w:spacing w:val="-4"/>
                <w:sz w:val="24"/>
              </w:rPr>
              <w:t>Hours</w:t>
            </w:r>
          </w:p>
        </w:tc>
      </w:tr>
      <w:tr w14:paraId="1E107163" w14:textId="77777777" w:rsidTr="00FD6880">
        <w:tblPrEx>
          <w:tblW w:w="10408" w:type="dxa"/>
          <w:tblInd w:w="117" w:type="dxa"/>
          <w:tblLayout w:type="fixed"/>
          <w:tblCellMar>
            <w:left w:w="0" w:type="dxa"/>
            <w:right w:w="0" w:type="dxa"/>
          </w:tblCellMar>
          <w:tblLook w:val="01E0"/>
        </w:tblPrEx>
        <w:trPr>
          <w:trHeight w:val="1931"/>
        </w:trPr>
        <w:tc>
          <w:tcPr>
            <w:tcW w:w="1729" w:type="dxa"/>
          </w:tcPr>
          <w:p w:rsidR="00E10A99" w:rsidP="00E10A99" w14:paraId="7D0AFEF6" w14:textId="77777777">
            <w:pPr>
              <w:pStyle w:val="TableParagraph"/>
              <w:spacing w:line="274" w:lineRule="exact"/>
              <w:ind w:left="107"/>
              <w:rPr>
                <w:sz w:val="24"/>
              </w:rPr>
            </w:pPr>
            <w:r>
              <w:rPr>
                <w:sz w:val="24"/>
              </w:rPr>
              <w:t>§1024.14(h)</w:t>
            </w:r>
            <w:r>
              <w:rPr>
                <w:spacing w:val="-1"/>
                <w:sz w:val="24"/>
              </w:rPr>
              <w:t xml:space="preserve"> </w:t>
            </w:r>
            <w:r>
              <w:rPr>
                <w:spacing w:val="-5"/>
                <w:sz w:val="24"/>
              </w:rPr>
              <w:t>5-</w:t>
            </w:r>
          </w:p>
          <w:p w:rsidR="00E10A99" w:rsidP="00E10A99" w14:paraId="29E429DD" w14:textId="77777777">
            <w:pPr>
              <w:pStyle w:val="TableParagraph"/>
              <w:spacing w:line="273" w:lineRule="exact"/>
              <w:ind w:left="107"/>
              <w:rPr>
                <w:spacing w:val="-2"/>
                <w:sz w:val="24"/>
                <w:szCs w:val="24"/>
                <w:vertAlign w:val="superscript"/>
              </w:rPr>
            </w:pPr>
            <w:r w:rsidRPr="11049C8B">
              <w:rPr>
                <w:spacing w:val="-4"/>
                <w:sz w:val="24"/>
                <w:szCs w:val="24"/>
              </w:rPr>
              <w:t xml:space="preserve">year </w:t>
            </w:r>
            <w:r w:rsidRPr="11049C8B">
              <w:rPr>
                <w:spacing w:val="-2"/>
                <w:sz w:val="24"/>
                <w:szCs w:val="24"/>
              </w:rPr>
              <w:t xml:space="preserve">recordkeeping requirements </w:t>
            </w:r>
            <w:r w:rsidRPr="11049C8B">
              <w:rPr>
                <w:spacing w:val="-4"/>
                <w:sz w:val="24"/>
                <w:szCs w:val="24"/>
              </w:rPr>
              <w:t xml:space="preserve">for </w:t>
            </w:r>
            <w:r w:rsidRPr="11049C8B">
              <w:rPr>
                <w:spacing w:val="-2"/>
                <w:sz w:val="24"/>
                <w:szCs w:val="24"/>
              </w:rPr>
              <w:t xml:space="preserve">documentation </w:t>
            </w:r>
            <w:r w:rsidRPr="11049C8B">
              <w:rPr>
                <w:sz w:val="24"/>
                <w:szCs w:val="24"/>
              </w:rPr>
              <w:t>related to fees and referrals</w:t>
            </w:r>
            <w:r>
              <w:rPr>
                <w:sz w:val="24"/>
                <w:szCs w:val="24"/>
                <w:vertAlign w:val="superscript"/>
              </w:rPr>
              <w:footnoteReference w:id="8"/>
            </w:r>
          </w:p>
        </w:tc>
        <w:tc>
          <w:tcPr>
            <w:tcW w:w="1749" w:type="dxa"/>
            <w:vAlign w:val="bottom"/>
          </w:tcPr>
          <w:p w:rsidR="00E10A99" w:rsidP="00222CBC" w14:paraId="3126DEEC" w14:textId="288C266C">
            <w:pPr>
              <w:pStyle w:val="TableParagraph"/>
              <w:spacing w:line="273" w:lineRule="exact"/>
              <w:ind w:right="96"/>
              <w:jc w:val="right"/>
              <w:rPr>
                <w:sz w:val="24"/>
              </w:rPr>
            </w:pPr>
            <w:r>
              <w:rPr>
                <w:sz w:val="24"/>
              </w:rPr>
              <w:t>9</w:t>
            </w:r>
            <w:r w:rsidR="00222CBC">
              <w:rPr>
                <w:sz w:val="24"/>
              </w:rPr>
              <w:t>,</w:t>
            </w:r>
            <w:r w:rsidR="00FD6880">
              <w:rPr>
                <w:sz w:val="24"/>
              </w:rPr>
              <w:t>627</w:t>
            </w:r>
          </w:p>
        </w:tc>
        <w:tc>
          <w:tcPr>
            <w:tcW w:w="1550" w:type="dxa"/>
            <w:vAlign w:val="bottom"/>
          </w:tcPr>
          <w:p w:rsidR="00E10A99" w:rsidP="00222CBC" w14:paraId="3B42E332" w14:textId="77777777">
            <w:pPr>
              <w:pStyle w:val="TableParagraph"/>
              <w:spacing w:line="273" w:lineRule="exact"/>
              <w:ind w:right="96"/>
              <w:jc w:val="right"/>
              <w:rPr>
                <w:sz w:val="24"/>
              </w:rPr>
            </w:pPr>
            <w:r>
              <w:rPr>
                <w:sz w:val="24"/>
              </w:rPr>
              <w:t>1</w:t>
            </w:r>
          </w:p>
        </w:tc>
        <w:tc>
          <w:tcPr>
            <w:tcW w:w="1851" w:type="dxa"/>
            <w:vAlign w:val="bottom"/>
          </w:tcPr>
          <w:p w:rsidR="00E10A99" w:rsidP="00222CBC" w14:paraId="1012B861" w14:textId="7ECE372D">
            <w:pPr>
              <w:pStyle w:val="TableParagraph"/>
              <w:spacing w:line="273" w:lineRule="exact"/>
              <w:ind w:right="95"/>
              <w:jc w:val="right"/>
              <w:rPr>
                <w:sz w:val="24"/>
              </w:rPr>
            </w:pPr>
            <w:r>
              <w:rPr>
                <w:sz w:val="24"/>
              </w:rPr>
              <w:t>9,627</w:t>
            </w:r>
          </w:p>
        </w:tc>
        <w:tc>
          <w:tcPr>
            <w:tcW w:w="1679" w:type="dxa"/>
            <w:vAlign w:val="bottom"/>
          </w:tcPr>
          <w:p w:rsidR="00E10A99" w:rsidP="00222CBC" w14:paraId="39381218" w14:textId="77777777">
            <w:pPr>
              <w:pStyle w:val="TableParagraph"/>
              <w:spacing w:line="273" w:lineRule="exact"/>
              <w:ind w:right="93"/>
              <w:jc w:val="right"/>
              <w:rPr>
                <w:sz w:val="24"/>
              </w:rPr>
            </w:pPr>
            <w:r>
              <w:rPr>
                <w:sz w:val="24"/>
              </w:rPr>
              <w:t>0</w:t>
            </w:r>
          </w:p>
        </w:tc>
        <w:tc>
          <w:tcPr>
            <w:tcW w:w="1850" w:type="dxa"/>
            <w:vAlign w:val="bottom"/>
          </w:tcPr>
          <w:p w:rsidR="00E10A99" w:rsidP="00222CBC" w14:paraId="371AE6AE" w14:textId="77777777">
            <w:pPr>
              <w:pStyle w:val="TableParagraph"/>
              <w:spacing w:line="273" w:lineRule="exact"/>
              <w:ind w:right="95"/>
              <w:jc w:val="right"/>
              <w:rPr>
                <w:sz w:val="24"/>
              </w:rPr>
            </w:pPr>
            <w:r>
              <w:rPr>
                <w:sz w:val="24"/>
              </w:rPr>
              <w:t>0</w:t>
            </w:r>
          </w:p>
        </w:tc>
      </w:tr>
      <w:tr w14:paraId="51F053AE" w14:textId="77777777" w:rsidTr="00FD6880">
        <w:tblPrEx>
          <w:tblW w:w="10408" w:type="dxa"/>
          <w:tblInd w:w="117" w:type="dxa"/>
          <w:tblLayout w:type="fixed"/>
          <w:tblCellMar>
            <w:left w:w="0" w:type="dxa"/>
            <w:right w:w="0" w:type="dxa"/>
          </w:tblCellMar>
          <w:tblLook w:val="01E0"/>
        </w:tblPrEx>
        <w:trPr>
          <w:trHeight w:val="1931"/>
        </w:trPr>
        <w:tc>
          <w:tcPr>
            <w:tcW w:w="1729" w:type="dxa"/>
          </w:tcPr>
          <w:p w:rsidR="00E10A99" w:rsidP="00E10A99" w14:paraId="77DAA413" w14:textId="77777777">
            <w:pPr>
              <w:pStyle w:val="TableParagraph"/>
              <w:spacing w:line="273" w:lineRule="exact"/>
              <w:ind w:left="107"/>
              <w:rPr>
                <w:sz w:val="24"/>
              </w:rPr>
            </w:pPr>
            <w:r>
              <w:rPr>
                <w:spacing w:val="-2"/>
                <w:sz w:val="24"/>
              </w:rPr>
              <w:t>§1024.15(b)(1)</w:t>
            </w:r>
          </w:p>
          <w:p w:rsidR="00E10A99" w:rsidP="00E10A99" w14:paraId="19D56730" w14:textId="77777777">
            <w:pPr>
              <w:pStyle w:val="TableParagraph"/>
              <w:spacing w:line="270" w:lineRule="atLeast"/>
              <w:ind w:left="107"/>
              <w:rPr>
                <w:sz w:val="24"/>
              </w:rPr>
            </w:pPr>
            <w:r>
              <w:rPr>
                <w:spacing w:val="-2"/>
                <w:sz w:val="24"/>
              </w:rPr>
              <w:t>Providing Affiliated Business Arrangement Disclosure Statement</w:t>
            </w:r>
            <w:hyperlink w:anchor="_bookmark2" w:history="1">
              <w:r>
                <w:rPr>
                  <w:spacing w:val="-2"/>
                  <w:sz w:val="24"/>
                  <w:vertAlign w:val="superscript"/>
                </w:rPr>
                <w:t>3</w:t>
              </w:r>
            </w:hyperlink>
          </w:p>
        </w:tc>
        <w:tc>
          <w:tcPr>
            <w:tcW w:w="1749" w:type="dxa"/>
            <w:vAlign w:val="bottom"/>
          </w:tcPr>
          <w:p w:rsidR="00E10A99" w:rsidP="00222CBC" w14:paraId="2AE460B3" w14:textId="77777777">
            <w:pPr>
              <w:pStyle w:val="TableParagraph"/>
              <w:spacing w:line="273" w:lineRule="exact"/>
              <w:ind w:right="96"/>
              <w:jc w:val="right"/>
              <w:rPr>
                <w:sz w:val="24"/>
              </w:rPr>
            </w:pPr>
            <w:r>
              <w:rPr>
                <w:sz w:val="24"/>
              </w:rPr>
              <w:t>9,627</w:t>
            </w:r>
          </w:p>
        </w:tc>
        <w:tc>
          <w:tcPr>
            <w:tcW w:w="1550" w:type="dxa"/>
            <w:vAlign w:val="bottom"/>
          </w:tcPr>
          <w:p w:rsidR="00E10A99" w:rsidP="00222CBC" w14:paraId="165E78B7" w14:textId="77777777">
            <w:pPr>
              <w:pStyle w:val="TableParagraph"/>
              <w:spacing w:line="273" w:lineRule="exact"/>
              <w:ind w:right="96"/>
              <w:jc w:val="right"/>
              <w:rPr>
                <w:sz w:val="24"/>
              </w:rPr>
            </w:pPr>
            <w:r>
              <w:rPr>
                <w:sz w:val="24"/>
              </w:rPr>
              <w:t>59</w:t>
            </w:r>
          </w:p>
        </w:tc>
        <w:tc>
          <w:tcPr>
            <w:tcW w:w="1851" w:type="dxa"/>
            <w:vAlign w:val="bottom"/>
          </w:tcPr>
          <w:p w:rsidR="00E10A99" w:rsidP="00222CBC" w14:paraId="4149B51C" w14:textId="77777777">
            <w:pPr>
              <w:pStyle w:val="TableParagraph"/>
              <w:spacing w:line="273" w:lineRule="exact"/>
              <w:ind w:right="95"/>
              <w:jc w:val="right"/>
              <w:rPr>
                <w:sz w:val="24"/>
              </w:rPr>
            </w:pPr>
            <w:r>
              <w:rPr>
                <w:sz w:val="24"/>
              </w:rPr>
              <w:t>567,</w:t>
            </w:r>
            <w:r w:rsidR="00521035">
              <w:rPr>
                <w:sz w:val="24"/>
              </w:rPr>
              <w:t>993</w:t>
            </w:r>
          </w:p>
        </w:tc>
        <w:tc>
          <w:tcPr>
            <w:tcW w:w="1679" w:type="dxa"/>
            <w:vAlign w:val="bottom"/>
          </w:tcPr>
          <w:p w:rsidR="00E10A99" w:rsidP="00222CBC" w14:paraId="43B5C897" w14:textId="77777777">
            <w:pPr>
              <w:pStyle w:val="TableParagraph"/>
              <w:spacing w:line="273" w:lineRule="exact"/>
              <w:ind w:right="93"/>
              <w:jc w:val="right"/>
              <w:rPr>
                <w:sz w:val="24"/>
              </w:rPr>
            </w:pPr>
            <w:r>
              <w:rPr>
                <w:sz w:val="24"/>
              </w:rPr>
              <w:t>0</w:t>
            </w:r>
            <w:r w:rsidR="00963904">
              <w:rPr>
                <w:sz w:val="24"/>
              </w:rPr>
              <w:t>.003</w:t>
            </w:r>
          </w:p>
        </w:tc>
        <w:tc>
          <w:tcPr>
            <w:tcW w:w="1850" w:type="dxa"/>
            <w:vAlign w:val="bottom"/>
          </w:tcPr>
          <w:p w:rsidR="00E10A99" w:rsidP="00222CBC" w14:paraId="2FDD2565" w14:textId="77777777">
            <w:pPr>
              <w:pStyle w:val="TableParagraph"/>
              <w:spacing w:line="273" w:lineRule="exact"/>
              <w:ind w:right="95"/>
              <w:jc w:val="right"/>
              <w:rPr>
                <w:sz w:val="24"/>
              </w:rPr>
            </w:pPr>
            <w:r>
              <w:rPr>
                <w:sz w:val="24"/>
              </w:rPr>
              <w:t>1,70</w:t>
            </w:r>
            <w:r w:rsidR="00521035">
              <w:rPr>
                <w:sz w:val="24"/>
              </w:rPr>
              <w:t>4</w:t>
            </w:r>
          </w:p>
        </w:tc>
      </w:tr>
      <w:tr w14:paraId="13ADDE48" w14:textId="77777777" w:rsidTr="00FD6880">
        <w:tblPrEx>
          <w:tblW w:w="10408" w:type="dxa"/>
          <w:tblInd w:w="117" w:type="dxa"/>
          <w:tblLayout w:type="fixed"/>
          <w:tblCellMar>
            <w:left w:w="0" w:type="dxa"/>
            <w:right w:w="0" w:type="dxa"/>
          </w:tblCellMar>
          <w:tblLook w:val="01E0"/>
        </w:tblPrEx>
        <w:trPr>
          <w:trHeight w:val="2679"/>
        </w:trPr>
        <w:tc>
          <w:tcPr>
            <w:tcW w:w="1729" w:type="dxa"/>
          </w:tcPr>
          <w:p w:rsidR="00E10A99" w:rsidP="00E10A99" w14:paraId="0BC718B3" w14:textId="77777777">
            <w:pPr>
              <w:pStyle w:val="TableParagraph"/>
              <w:spacing w:line="273" w:lineRule="exact"/>
              <w:ind w:left="107"/>
              <w:rPr>
                <w:sz w:val="24"/>
              </w:rPr>
            </w:pPr>
            <w:r>
              <w:rPr>
                <w:sz w:val="24"/>
              </w:rPr>
              <w:t>§1024.15(d)</w:t>
            </w:r>
            <w:r>
              <w:rPr>
                <w:spacing w:val="-1"/>
                <w:sz w:val="24"/>
              </w:rPr>
              <w:t xml:space="preserve"> </w:t>
            </w:r>
            <w:r>
              <w:rPr>
                <w:spacing w:val="-5"/>
                <w:sz w:val="24"/>
              </w:rPr>
              <w:t>5-</w:t>
            </w:r>
          </w:p>
          <w:p w:rsidR="00E10A99" w:rsidP="00E10A99" w14:paraId="700B4060" w14:textId="77777777">
            <w:pPr>
              <w:pStyle w:val="TableParagraph"/>
              <w:ind w:left="107" w:right="107"/>
              <w:rPr>
                <w:sz w:val="24"/>
              </w:rPr>
            </w:pPr>
            <w:r>
              <w:rPr>
                <w:spacing w:val="-4"/>
                <w:sz w:val="24"/>
              </w:rPr>
              <w:t xml:space="preserve">Year </w:t>
            </w:r>
            <w:r>
              <w:rPr>
                <w:spacing w:val="-2"/>
                <w:sz w:val="24"/>
              </w:rPr>
              <w:t xml:space="preserve">recordkeeping </w:t>
            </w:r>
            <w:r>
              <w:rPr>
                <w:sz w:val="24"/>
              </w:rPr>
              <w:t>requirement</w:t>
            </w:r>
            <w:r>
              <w:rPr>
                <w:spacing w:val="-15"/>
                <w:sz w:val="24"/>
              </w:rPr>
              <w:t xml:space="preserve"> </w:t>
            </w:r>
            <w:r>
              <w:rPr>
                <w:sz w:val="24"/>
              </w:rPr>
              <w:t xml:space="preserve">for </w:t>
            </w:r>
            <w:r>
              <w:rPr>
                <w:spacing w:val="-2"/>
                <w:sz w:val="24"/>
              </w:rPr>
              <w:t>Affiliated Business Arrangement Disclosure Statement</w:t>
            </w:r>
          </w:p>
        </w:tc>
        <w:tc>
          <w:tcPr>
            <w:tcW w:w="1749" w:type="dxa"/>
            <w:vAlign w:val="bottom"/>
          </w:tcPr>
          <w:p w:rsidR="00E10A99" w:rsidP="00222CBC" w14:paraId="7AB1894C" w14:textId="77777777">
            <w:pPr>
              <w:pStyle w:val="TableParagraph"/>
              <w:spacing w:line="273" w:lineRule="exact"/>
              <w:ind w:right="96"/>
              <w:jc w:val="right"/>
              <w:rPr>
                <w:sz w:val="24"/>
              </w:rPr>
            </w:pPr>
            <w:r>
              <w:rPr>
                <w:sz w:val="24"/>
              </w:rPr>
              <w:t>9,627</w:t>
            </w:r>
          </w:p>
        </w:tc>
        <w:tc>
          <w:tcPr>
            <w:tcW w:w="1550" w:type="dxa"/>
            <w:vAlign w:val="bottom"/>
          </w:tcPr>
          <w:p w:rsidR="00E10A99" w:rsidP="00222CBC" w14:paraId="07ED3481" w14:textId="77777777">
            <w:pPr>
              <w:pStyle w:val="TableParagraph"/>
              <w:spacing w:line="273" w:lineRule="exact"/>
              <w:ind w:right="96"/>
              <w:jc w:val="right"/>
              <w:rPr>
                <w:sz w:val="24"/>
              </w:rPr>
            </w:pPr>
            <w:r>
              <w:rPr>
                <w:sz w:val="24"/>
              </w:rPr>
              <w:t>59</w:t>
            </w:r>
          </w:p>
        </w:tc>
        <w:tc>
          <w:tcPr>
            <w:tcW w:w="1851" w:type="dxa"/>
            <w:vAlign w:val="bottom"/>
          </w:tcPr>
          <w:p w:rsidR="00E10A99" w:rsidP="00222CBC" w14:paraId="3203F123" w14:textId="77777777">
            <w:pPr>
              <w:pStyle w:val="TableParagraph"/>
              <w:spacing w:line="273" w:lineRule="exact"/>
              <w:ind w:right="95"/>
              <w:jc w:val="right"/>
              <w:rPr>
                <w:sz w:val="24"/>
              </w:rPr>
            </w:pPr>
            <w:r>
              <w:rPr>
                <w:sz w:val="24"/>
              </w:rPr>
              <w:t>567,</w:t>
            </w:r>
            <w:r w:rsidR="00521035">
              <w:rPr>
                <w:sz w:val="24"/>
              </w:rPr>
              <w:t>993</w:t>
            </w:r>
          </w:p>
        </w:tc>
        <w:tc>
          <w:tcPr>
            <w:tcW w:w="1679" w:type="dxa"/>
            <w:vAlign w:val="bottom"/>
          </w:tcPr>
          <w:p w:rsidR="00E10A99" w:rsidP="00222CBC" w14:paraId="5C468F00" w14:textId="77777777">
            <w:pPr>
              <w:pStyle w:val="TableParagraph"/>
              <w:spacing w:line="273" w:lineRule="exact"/>
              <w:ind w:right="93"/>
              <w:jc w:val="right"/>
              <w:rPr>
                <w:sz w:val="24"/>
              </w:rPr>
            </w:pPr>
            <w:r>
              <w:rPr>
                <w:sz w:val="24"/>
              </w:rPr>
              <w:t>0</w:t>
            </w:r>
          </w:p>
        </w:tc>
        <w:tc>
          <w:tcPr>
            <w:tcW w:w="1850" w:type="dxa"/>
            <w:vAlign w:val="bottom"/>
          </w:tcPr>
          <w:p w:rsidR="00E10A99" w:rsidP="00222CBC" w14:paraId="19E8D130" w14:textId="77777777">
            <w:pPr>
              <w:pStyle w:val="TableParagraph"/>
              <w:spacing w:line="273" w:lineRule="exact"/>
              <w:ind w:right="95"/>
              <w:jc w:val="right"/>
              <w:rPr>
                <w:sz w:val="24"/>
              </w:rPr>
            </w:pPr>
            <w:r>
              <w:rPr>
                <w:sz w:val="24"/>
              </w:rPr>
              <w:t>0</w:t>
            </w:r>
          </w:p>
        </w:tc>
      </w:tr>
      <w:tr w14:paraId="7BB914F8" w14:textId="77777777" w:rsidTr="00FD6880">
        <w:tblPrEx>
          <w:tblW w:w="10408" w:type="dxa"/>
          <w:tblInd w:w="117" w:type="dxa"/>
          <w:tblLayout w:type="fixed"/>
          <w:tblCellMar>
            <w:left w:w="0" w:type="dxa"/>
            <w:right w:w="0" w:type="dxa"/>
          </w:tblCellMar>
          <w:tblLook w:val="01E0"/>
        </w:tblPrEx>
        <w:trPr>
          <w:trHeight w:val="1338"/>
        </w:trPr>
        <w:tc>
          <w:tcPr>
            <w:tcW w:w="1729" w:type="dxa"/>
          </w:tcPr>
          <w:p w:rsidR="00E10A99" w:rsidP="00E10A99" w14:paraId="10351A58" w14:textId="77777777">
            <w:pPr>
              <w:pStyle w:val="TableParagraph"/>
              <w:spacing w:line="273" w:lineRule="exact"/>
              <w:ind w:left="107"/>
              <w:rPr>
                <w:sz w:val="24"/>
              </w:rPr>
            </w:pPr>
            <w:r>
              <w:rPr>
                <w:spacing w:val="-2"/>
                <w:sz w:val="24"/>
              </w:rPr>
              <w:t>§1024.17(g)</w:t>
            </w:r>
          </w:p>
          <w:p w:rsidR="00E10A99" w:rsidP="00E10A99" w14:paraId="60405F8F" w14:textId="77777777">
            <w:pPr>
              <w:pStyle w:val="TableParagraph"/>
              <w:ind w:left="107" w:right="294"/>
              <w:rPr>
                <w:sz w:val="24"/>
              </w:rPr>
            </w:pPr>
            <w:r>
              <w:rPr>
                <w:sz w:val="24"/>
              </w:rPr>
              <w:t>Initial</w:t>
            </w:r>
            <w:r>
              <w:rPr>
                <w:spacing w:val="-15"/>
                <w:sz w:val="24"/>
              </w:rPr>
              <w:t xml:space="preserve"> </w:t>
            </w:r>
            <w:r>
              <w:rPr>
                <w:sz w:val="24"/>
              </w:rPr>
              <w:t xml:space="preserve">escrow </w:t>
            </w:r>
            <w:r>
              <w:rPr>
                <w:spacing w:val="-2"/>
                <w:sz w:val="24"/>
              </w:rPr>
              <w:t>account statement</w:t>
            </w:r>
          </w:p>
        </w:tc>
        <w:tc>
          <w:tcPr>
            <w:tcW w:w="1749" w:type="dxa"/>
            <w:vAlign w:val="bottom"/>
          </w:tcPr>
          <w:p w:rsidR="00E10A99" w:rsidP="00222CBC" w14:paraId="209ED6A1" w14:textId="77777777">
            <w:pPr>
              <w:pStyle w:val="TableParagraph"/>
              <w:spacing w:line="273" w:lineRule="exact"/>
              <w:ind w:right="96"/>
              <w:jc w:val="right"/>
              <w:rPr>
                <w:sz w:val="24"/>
              </w:rPr>
            </w:pPr>
            <w:r>
              <w:rPr>
                <w:spacing w:val="-2"/>
                <w:sz w:val="24"/>
              </w:rPr>
              <w:t>9,627</w:t>
            </w:r>
          </w:p>
        </w:tc>
        <w:tc>
          <w:tcPr>
            <w:tcW w:w="1550" w:type="dxa"/>
            <w:vAlign w:val="bottom"/>
          </w:tcPr>
          <w:p w:rsidR="00E10A99" w:rsidP="00222CBC" w14:paraId="089CA4A0" w14:textId="77777777">
            <w:pPr>
              <w:pStyle w:val="TableParagraph"/>
              <w:spacing w:line="273" w:lineRule="exact"/>
              <w:ind w:right="96"/>
              <w:jc w:val="right"/>
              <w:rPr>
                <w:sz w:val="24"/>
              </w:rPr>
            </w:pPr>
            <w:r>
              <w:rPr>
                <w:spacing w:val="-5"/>
                <w:sz w:val="24"/>
              </w:rPr>
              <w:t>465</w:t>
            </w:r>
          </w:p>
        </w:tc>
        <w:tc>
          <w:tcPr>
            <w:tcW w:w="1851" w:type="dxa"/>
            <w:vAlign w:val="bottom"/>
          </w:tcPr>
          <w:p w:rsidR="00E10A99" w:rsidP="00222CBC" w14:paraId="7C644232" w14:textId="77777777">
            <w:pPr>
              <w:pStyle w:val="TableParagraph"/>
              <w:spacing w:line="273" w:lineRule="exact"/>
              <w:ind w:right="95"/>
              <w:jc w:val="right"/>
              <w:rPr>
                <w:sz w:val="24"/>
              </w:rPr>
            </w:pPr>
            <w:r w:rsidRPr="00521035">
              <w:rPr>
                <w:spacing w:val="-2"/>
                <w:sz w:val="24"/>
              </w:rPr>
              <w:t>4,476,555</w:t>
            </w:r>
          </w:p>
        </w:tc>
        <w:tc>
          <w:tcPr>
            <w:tcW w:w="1679" w:type="dxa"/>
            <w:vAlign w:val="bottom"/>
          </w:tcPr>
          <w:p w:rsidR="00E10A99" w:rsidP="00222CBC" w14:paraId="2D4C8196" w14:textId="77777777">
            <w:pPr>
              <w:pStyle w:val="TableParagraph"/>
              <w:spacing w:line="273" w:lineRule="exact"/>
              <w:ind w:right="93"/>
              <w:jc w:val="right"/>
              <w:rPr>
                <w:sz w:val="24"/>
              </w:rPr>
            </w:pPr>
            <w:r>
              <w:rPr>
                <w:spacing w:val="-4"/>
                <w:sz w:val="24"/>
              </w:rPr>
              <w:t>0</w:t>
            </w:r>
            <w:r w:rsidR="00122156">
              <w:rPr>
                <w:spacing w:val="-4"/>
                <w:sz w:val="24"/>
              </w:rPr>
              <w:t>.003</w:t>
            </w:r>
          </w:p>
        </w:tc>
        <w:tc>
          <w:tcPr>
            <w:tcW w:w="1850" w:type="dxa"/>
            <w:vAlign w:val="bottom"/>
          </w:tcPr>
          <w:p w:rsidR="00E10A99" w:rsidP="00222CBC" w14:paraId="6B141010" w14:textId="77777777">
            <w:pPr>
              <w:pStyle w:val="TableParagraph"/>
              <w:spacing w:line="273" w:lineRule="exact"/>
              <w:ind w:right="95"/>
              <w:jc w:val="right"/>
              <w:rPr>
                <w:sz w:val="24"/>
              </w:rPr>
            </w:pPr>
            <w:r>
              <w:rPr>
                <w:spacing w:val="-2"/>
                <w:sz w:val="24"/>
              </w:rPr>
              <w:t>13,43</w:t>
            </w:r>
            <w:r w:rsidR="00521035">
              <w:rPr>
                <w:spacing w:val="-2"/>
                <w:sz w:val="24"/>
              </w:rPr>
              <w:t>0</w:t>
            </w:r>
          </w:p>
        </w:tc>
      </w:tr>
      <w:tr w14:paraId="5FAC39F8" w14:textId="77777777" w:rsidTr="00FD6880">
        <w:tblPrEx>
          <w:tblW w:w="10408" w:type="dxa"/>
          <w:tblInd w:w="117" w:type="dxa"/>
          <w:tblLayout w:type="fixed"/>
          <w:tblCellMar>
            <w:left w:w="0" w:type="dxa"/>
            <w:right w:w="0" w:type="dxa"/>
          </w:tblCellMar>
          <w:tblLook w:val="01E0"/>
        </w:tblPrEx>
        <w:trPr>
          <w:trHeight w:val="2340"/>
        </w:trPr>
        <w:tc>
          <w:tcPr>
            <w:tcW w:w="1729" w:type="dxa"/>
          </w:tcPr>
          <w:p w:rsidR="006332B3" w:rsidP="006332B3" w14:paraId="06666250" w14:textId="77777777">
            <w:pPr>
              <w:pStyle w:val="TableParagraph"/>
              <w:spacing w:line="274" w:lineRule="exact"/>
              <w:ind w:left="107"/>
              <w:rPr>
                <w:sz w:val="24"/>
              </w:rPr>
            </w:pPr>
            <w:r>
              <w:rPr>
                <w:spacing w:val="-2"/>
                <w:sz w:val="24"/>
              </w:rPr>
              <w:t>§1024.17(</w:t>
            </w:r>
            <w:r>
              <w:rPr>
                <w:spacing w:val="-2"/>
                <w:sz w:val="24"/>
              </w:rPr>
              <w:t>i</w:t>
            </w:r>
            <w:r>
              <w:rPr>
                <w:spacing w:val="-2"/>
                <w:sz w:val="24"/>
              </w:rPr>
              <w:t>)</w:t>
            </w:r>
          </w:p>
          <w:p w:rsidR="006332B3" w:rsidP="006332B3" w14:paraId="20D6400D" w14:textId="77777777">
            <w:pPr>
              <w:pStyle w:val="TableParagraph"/>
              <w:spacing w:line="273" w:lineRule="exact"/>
              <w:ind w:left="107"/>
              <w:rPr>
                <w:spacing w:val="-2"/>
                <w:sz w:val="24"/>
              </w:rPr>
            </w:pPr>
            <w:r>
              <w:rPr>
                <w:sz w:val="24"/>
              </w:rPr>
              <w:t>Annual</w:t>
            </w:r>
            <w:r>
              <w:rPr>
                <w:spacing w:val="-15"/>
                <w:sz w:val="24"/>
              </w:rPr>
              <w:t xml:space="preserve"> </w:t>
            </w:r>
            <w:r>
              <w:rPr>
                <w:sz w:val="24"/>
              </w:rPr>
              <w:t xml:space="preserve">escrow </w:t>
            </w:r>
            <w:r>
              <w:rPr>
                <w:spacing w:val="-2"/>
                <w:sz w:val="24"/>
              </w:rPr>
              <w:t>account statement</w:t>
            </w:r>
          </w:p>
        </w:tc>
        <w:tc>
          <w:tcPr>
            <w:tcW w:w="1749" w:type="dxa"/>
            <w:vAlign w:val="bottom"/>
          </w:tcPr>
          <w:p w:rsidR="006332B3" w:rsidP="00222CBC" w14:paraId="5663F3E9" w14:textId="77777777">
            <w:pPr>
              <w:pStyle w:val="TableParagraph"/>
              <w:spacing w:line="273" w:lineRule="exact"/>
              <w:ind w:right="96"/>
              <w:jc w:val="right"/>
              <w:rPr>
                <w:spacing w:val="-2"/>
                <w:sz w:val="24"/>
              </w:rPr>
            </w:pPr>
            <w:r>
              <w:rPr>
                <w:spacing w:val="-2"/>
                <w:sz w:val="24"/>
              </w:rPr>
              <w:t>9,627</w:t>
            </w:r>
          </w:p>
        </w:tc>
        <w:tc>
          <w:tcPr>
            <w:tcW w:w="1550" w:type="dxa"/>
            <w:vAlign w:val="bottom"/>
          </w:tcPr>
          <w:p w:rsidR="006332B3" w:rsidP="00222CBC" w14:paraId="53910C88" w14:textId="77777777">
            <w:pPr>
              <w:pStyle w:val="TableParagraph"/>
              <w:spacing w:line="273" w:lineRule="exact"/>
              <w:ind w:right="96"/>
              <w:jc w:val="right"/>
              <w:rPr>
                <w:spacing w:val="-5"/>
                <w:sz w:val="24"/>
              </w:rPr>
            </w:pPr>
            <w:r>
              <w:rPr>
                <w:spacing w:val="-2"/>
                <w:sz w:val="24"/>
              </w:rPr>
              <w:t>4,217</w:t>
            </w:r>
          </w:p>
        </w:tc>
        <w:tc>
          <w:tcPr>
            <w:tcW w:w="1851" w:type="dxa"/>
            <w:vAlign w:val="bottom"/>
          </w:tcPr>
          <w:p w:rsidR="006332B3" w:rsidP="00222CBC" w14:paraId="7E9AA3E8" w14:textId="77777777">
            <w:pPr>
              <w:pStyle w:val="TableParagraph"/>
              <w:spacing w:line="273" w:lineRule="exact"/>
              <w:ind w:right="95"/>
              <w:jc w:val="right"/>
              <w:rPr>
                <w:spacing w:val="-2"/>
                <w:sz w:val="24"/>
              </w:rPr>
            </w:pPr>
            <w:r w:rsidRPr="00521035">
              <w:rPr>
                <w:spacing w:val="-2"/>
                <w:sz w:val="24"/>
              </w:rPr>
              <w:t>40,597,059</w:t>
            </w:r>
          </w:p>
        </w:tc>
        <w:tc>
          <w:tcPr>
            <w:tcW w:w="1679" w:type="dxa"/>
            <w:vAlign w:val="bottom"/>
          </w:tcPr>
          <w:p w:rsidR="006332B3" w:rsidP="00222CBC" w14:paraId="0D8EE7B5" w14:textId="77777777">
            <w:pPr>
              <w:pStyle w:val="TableParagraph"/>
              <w:spacing w:line="273" w:lineRule="exact"/>
              <w:ind w:right="93"/>
              <w:jc w:val="right"/>
              <w:rPr>
                <w:spacing w:val="-4"/>
                <w:sz w:val="24"/>
              </w:rPr>
            </w:pPr>
            <w:r>
              <w:rPr>
                <w:spacing w:val="-4"/>
                <w:sz w:val="24"/>
              </w:rPr>
              <w:t>0.003</w:t>
            </w:r>
          </w:p>
        </w:tc>
        <w:tc>
          <w:tcPr>
            <w:tcW w:w="1850" w:type="dxa"/>
            <w:vAlign w:val="bottom"/>
          </w:tcPr>
          <w:p w:rsidR="006332B3" w:rsidP="00222CBC" w14:paraId="3E5BB7F0" w14:textId="77777777">
            <w:pPr>
              <w:pStyle w:val="TableParagraph"/>
              <w:spacing w:line="273" w:lineRule="exact"/>
              <w:ind w:right="95"/>
              <w:jc w:val="right"/>
              <w:rPr>
                <w:spacing w:val="-2"/>
                <w:sz w:val="24"/>
              </w:rPr>
            </w:pPr>
            <w:r>
              <w:rPr>
                <w:spacing w:val="-2"/>
                <w:sz w:val="24"/>
              </w:rPr>
              <w:t>121,</w:t>
            </w:r>
            <w:r w:rsidR="00521035">
              <w:rPr>
                <w:spacing w:val="-2"/>
                <w:sz w:val="24"/>
              </w:rPr>
              <w:t>792</w:t>
            </w:r>
          </w:p>
        </w:tc>
      </w:tr>
      <w:tr w14:paraId="6AEB2B98" w14:textId="77777777" w:rsidTr="11049C8B">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6D38B961" w14:textId="77777777">
            <w:pPr>
              <w:pStyle w:val="TableParagraph"/>
              <w:ind w:left="107" w:right="213"/>
              <w:jc w:val="center"/>
              <w:rPr>
                <w:b/>
                <w:bCs/>
                <w:sz w:val="24"/>
                <w:szCs w:val="24"/>
              </w:rPr>
            </w:pPr>
          </w:p>
          <w:p w:rsidR="00E10A99" w:rsidRPr="00FD6880" w:rsidP="00FD6880" w14:paraId="342CB9B9" w14:textId="77777777">
            <w:pPr>
              <w:pStyle w:val="TableParagraph"/>
              <w:ind w:left="107" w:right="213"/>
              <w:jc w:val="center"/>
              <w:rPr>
                <w:b/>
                <w:bCs/>
                <w:sz w:val="24"/>
                <w:szCs w:val="24"/>
              </w:rPr>
            </w:pPr>
            <w:r w:rsidRPr="00FD6880">
              <w:rPr>
                <w:b/>
                <w:bCs/>
                <w:sz w:val="24"/>
                <w:szCs w:val="24"/>
              </w:rPr>
              <w:t>Information Collection</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32DDAEDF" w14:textId="77777777">
            <w:pPr>
              <w:pStyle w:val="TableParagraph"/>
              <w:jc w:val="center"/>
              <w:rPr>
                <w:b/>
                <w:bCs/>
                <w:sz w:val="24"/>
                <w:szCs w:val="24"/>
              </w:rPr>
            </w:pPr>
          </w:p>
          <w:p w:rsidR="00E10A99" w:rsidRPr="00FD6880" w:rsidP="00FD6880" w14:paraId="7D8A717B" w14:textId="77777777">
            <w:pPr>
              <w:pStyle w:val="TableParagraph"/>
              <w:jc w:val="center"/>
              <w:rPr>
                <w:b/>
                <w:bCs/>
                <w:sz w:val="24"/>
                <w:szCs w:val="24"/>
              </w:rPr>
            </w:pPr>
            <w:r w:rsidRPr="00FD6880">
              <w:rPr>
                <w:b/>
                <w:bCs/>
                <w:sz w:val="24"/>
                <w:szCs w:val="24"/>
              </w:rPr>
              <w:t>Respondents</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43307F08" w14:textId="77777777">
            <w:pPr>
              <w:pStyle w:val="TableParagraph"/>
              <w:jc w:val="center"/>
              <w:rPr>
                <w:b/>
                <w:bCs/>
                <w:sz w:val="24"/>
                <w:szCs w:val="24"/>
              </w:rPr>
            </w:pPr>
          </w:p>
          <w:p w:rsidR="00E10A99" w:rsidRPr="00FD6880" w:rsidP="00FD6880" w14:paraId="36863FC8" w14:textId="77777777">
            <w:pPr>
              <w:pStyle w:val="TableParagraph"/>
              <w:jc w:val="center"/>
              <w:rPr>
                <w:b/>
                <w:bCs/>
                <w:sz w:val="24"/>
                <w:szCs w:val="24"/>
              </w:rPr>
            </w:pPr>
            <w:r w:rsidRPr="00FD6880">
              <w:rPr>
                <w:b/>
                <w:bCs/>
                <w:sz w:val="24"/>
                <w:szCs w:val="24"/>
              </w:rPr>
              <w:t>Frequency</w:t>
            </w:r>
          </w:p>
        </w:tc>
        <w:tc>
          <w:tcPr>
            <w:tcW w:w="1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5749A862" w14:textId="77777777">
            <w:pPr>
              <w:pStyle w:val="TableParagraph"/>
              <w:jc w:val="center"/>
              <w:rPr>
                <w:b/>
                <w:bCs/>
                <w:sz w:val="24"/>
                <w:szCs w:val="24"/>
              </w:rPr>
            </w:pPr>
            <w:r w:rsidRPr="00FD6880">
              <w:rPr>
                <w:b/>
                <w:bCs/>
                <w:sz w:val="24"/>
                <w:szCs w:val="24"/>
              </w:rPr>
              <w:t>Annual Number of Responses</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3FCD9171" w14:textId="77777777">
            <w:pPr>
              <w:pStyle w:val="TableParagraph"/>
              <w:jc w:val="center"/>
              <w:rPr>
                <w:b/>
                <w:bCs/>
                <w:sz w:val="24"/>
                <w:szCs w:val="24"/>
              </w:rPr>
            </w:pPr>
            <w:r w:rsidRPr="00FD6880">
              <w:rPr>
                <w:b/>
                <w:bCs/>
                <w:sz w:val="24"/>
                <w:szCs w:val="24"/>
              </w:rPr>
              <w:t>Burden per disclosure (hours)</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10A99" w:rsidRPr="00FD6880" w:rsidP="00FD6880" w14:paraId="4C516DB9" w14:textId="77777777">
            <w:pPr>
              <w:pStyle w:val="TableParagraph"/>
              <w:jc w:val="center"/>
              <w:rPr>
                <w:b/>
                <w:bCs/>
                <w:sz w:val="24"/>
                <w:szCs w:val="24"/>
              </w:rPr>
            </w:pPr>
            <w:r w:rsidRPr="00FD6880">
              <w:rPr>
                <w:b/>
                <w:bCs/>
                <w:sz w:val="24"/>
                <w:szCs w:val="24"/>
              </w:rPr>
              <w:t>Total Annual Burden Hours</w:t>
            </w:r>
          </w:p>
        </w:tc>
      </w:tr>
      <w:tr w14:paraId="14EEB24B" w14:textId="77777777" w:rsidTr="00FD6880">
        <w:tblPrEx>
          <w:tblW w:w="10408" w:type="dxa"/>
          <w:tblInd w:w="117" w:type="dxa"/>
          <w:tblLayout w:type="fixed"/>
          <w:tblCellMar>
            <w:left w:w="0" w:type="dxa"/>
            <w:right w:w="0" w:type="dxa"/>
          </w:tblCellMar>
          <w:tblLook w:val="01E0"/>
        </w:tblPrEx>
        <w:trPr>
          <w:trHeight w:val="1325"/>
        </w:trPr>
        <w:tc>
          <w:tcPr>
            <w:tcW w:w="1729" w:type="dxa"/>
          </w:tcPr>
          <w:p w:rsidR="00E10A99" w:rsidP="00FD6880" w14:paraId="5AF45ACE" w14:textId="77777777">
            <w:pPr>
              <w:pStyle w:val="TableParagraph"/>
              <w:ind w:right="213"/>
              <w:rPr>
                <w:sz w:val="24"/>
              </w:rPr>
            </w:pPr>
            <w:r>
              <w:rPr>
                <w:sz w:val="24"/>
              </w:rPr>
              <w:t>§1024.7</w:t>
            </w:r>
            <w:r>
              <w:rPr>
                <w:spacing w:val="-15"/>
                <w:sz w:val="24"/>
              </w:rPr>
              <w:t xml:space="preserve"> </w:t>
            </w:r>
            <w:r>
              <w:rPr>
                <w:sz w:val="24"/>
              </w:rPr>
              <w:t>Good Faith</w:t>
            </w:r>
            <w:r>
              <w:rPr>
                <w:spacing w:val="-15"/>
                <w:sz w:val="24"/>
              </w:rPr>
              <w:t xml:space="preserve"> </w:t>
            </w:r>
            <w:r>
              <w:rPr>
                <w:sz w:val="24"/>
              </w:rPr>
              <w:t xml:space="preserve">Estimate for reverse </w:t>
            </w:r>
            <w:r>
              <w:rPr>
                <w:spacing w:val="-2"/>
                <w:sz w:val="24"/>
              </w:rPr>
              <w:t>mortgages</w:t>
            </w:r>
          </w:p>
        </w:tc>
        <w:tc>
          <w:tcPr>
            <w:tcW w:w="1749" w:type="dxa"/>
            <w:vAlign w:val="bottom"/>
          </w:tcPr>
          <w:p w:rsidR="00E10A99" w:rsidP="00FD6880" w14:paraId="6B4C82F3" w14:textId="77777777">
            <w:pPr>
              <w:pStyle w:val="TableParagraph"/>
              <w:jc w:val="right"/>
              <w:rPr>
                <w:sz w:val="26"/>
              </w:rPr>
            </w:pPr>
          </w:p>
          <w:p w:rsidR="00E10A99" w:rsidP="00FD6880" w14:paraId="7148969E" w14:textId="77777777">
            <w:pPr>
              <w:pStyle w:val="TableParagraph"/>
              <w:jc w:val="right"/>
              <w:rPr>
                <w:sz w:val="26"/>
              </w:rPr>
            </w:pPr>
          </w:p>
          <w:p w:rsidR="00E10A99" w:rsidP="00FD6880" w14:paraId="08C70C6F" w14:textId="77777777">
            <w:pPr>
              <w:pStyle w:val="TableParagraph"/>
              <w:jc w:val="right"/>
              <w:rPr>
                <w:sz w:val="26"/>
              </w:rPr>
            </w:pPr>
          </w:p>
          <w:p w:rsidR="00E10A99" w:rsidP="00222CBC" w14:paraId="5734BA7E" w14:textId="77777777">
            <w:pPr>
              <w:pStyle w:val="TableParagraph"/>
              <w:spacing w:before="149" w:line="259" w:lineRule="exact"/>
              <w:ind w:right="96"/>
              <w:jc w:val="right"/>
              <w:rPr>
                <w:sz w:val="24"/>
              </w:rPr>
            </w:pPr>
            <w:r>
              <w:rPr>
                <w:spacing w:val="-2"/>
                <w:sz w:val="24"/>
              </w:rPr>
              <w:t>9,627</w:t>
            </w:r>
          </w:p>
        </w:tc>
        <w:tc>
          <w:tcPr>
            <w:tcW w:w="1550" w:type="dxa"/>
            <w:vAlign w:val="bottom"/>
          </w:tcPr>
          <w:p w:rsidR="00E10A99" w:rsidP="00FD6880" w14:paraId="1CE34825" w14:textId="77777777">
            <w:pPr>
              <w:pStyle w:val="TableParagraph"/>
              <w:jc w:val="right"/>
              <w:rPr>
                <w:sz w:val="26"/>
              </w:rPr>
            </w:pPr>
          </w:p>
          <w:p w:rsidR="00E10A99" w:rsidP="00FD6880" w14:paraId="56537B26" w14:textId="77777777">
            <w:pPr>
              <w:pStyle w:val="TableParagraph"/>
              <w:jc w:val="right"/>
              <w:rPr>
                <w:sz w:val="26"/>
              </w:rPr>
            </w:pPr>
          </w:p>
          <w:p w:rsidR="00E10A99" w:rsidP="00FD6880" w14:paraId="5BA83420" w14:textId="77777777">
            <w:pPr>
              <w:pStyle w:val="TableParagraph"/>
              <w:jc w:val="right"/>
              <w:rPr>
                <w:sz w:val="26"/>
              </w:rPr>
            </w:pPr>
          </w:p>
          <w:p w:rsidR="00E10A99" w:rsidP="00222CBC" w14:paraId="5EE488DD" w14:textId="77777777">
            <w:pPr>
              <w:pStyle w:val="TableParagraph"/>
              <w:spacing w:before="149" w:line="259" w:lineRule="exact"/>
              <w:ind w:right="96"/>
              <w:jc w:val="right"/>
              <w:rPr>
                <w:sz w:val="24"/>
              </w:rPr>
            </w:pPr>
            <w:r>
              <w:rPr>
                <w:sz w:val="24"/>
              </w:rPr>
              <w:t>5</w:t>
            </w:r>
          </w:p>
        </w:tc>
        <w:tc>
          <w:tcPr>
            <w:tcW w:w="1851" w:type="dxa"/>
            <w:vAlign w:val="bottom"/>
          </w:tcPr>
          <w:p w:rsidR="00E10A99" w:rsidP="00FD6880" w14:paraId="00636CF1" w14:textId="77777777">
            <w:pPr>
              <w:pStyle w:val="TableParagraph"/>
              <w:jc w:val="right"/>
              <w:rPr>
                <w:sz w:val="26"/>
              </w:rPr>
            </w:pPr>
          </w:p>
          <w:p w:rsidR="00E10A99" w:rsidP="00FD6880" w14:paraId="01570730" w14:textId="77777777">
            <w:pPr>
              <w:pStyle w:val="TableParagraph"/>
              <w:jc w:val="right"/>
              <w:rPr>
                <w:sz w:val="26"/>
              </w:rPr>
            </w:pPr>
          </w:p>
          <w:p w:rsidR="00E10A99" w:rsidP="00FD6880" w14:paraId="02BB614F" w14:textId="77777777">
            <w:pPr>
              <w:pStyle w:val="TableParagraph"/>
              <w:jc w:val="right"/>
              <w:rPr>
                <w:sz w:val="26"/>
              </w:rPr>
            </w:pPr>
          </w:p>
          <w:p w:rsidR="00E10A99" w:rsidP="00222CBC" w14:paraId="6990BD45" w14:textId="77777777">
            <w:pPr>
              <w:pStyle w:val="TableParagraph"/>
              <w:spacing w:before="149" w:line="259" w:lineRule="exact"/>
              <w:ind w:right="95"/>
              <w:jc w:val="right"/>
              <w:rPr>
                <w:sz w:val="24"/>
              </w:rPr>
            </w:pPr>
            <w:r>
              <w:rPr>
                <w:spacing w:val="-2"/>
                <w:sz w:val="24"/>
              </w:rPr>
              <w:t>48,135</w:t>
            </w:r>
          </w:p>
        </w:tc>
        <w:tc>
          <w:tcPr>
            <w:tcW w:w="1679" w:type="dxa"/>
            <w:vAlign w:val="bottom"/>
          </w:tcPr>
          <w:p w:rsidR="00E10A99" w:rsidP="00FD6880" w14:paraId="70B9ED9C" w14:textId="77777777">
            <w:pPr>
              <w:pStyle w:val="TableParagraph"/>
              <w:jc w:val="right"/>
              <w:rPr>
                <w:sz w:val="26"/>
              </w:rPr>
            </w:pPr>
          </w:p>
          <w:p w:rsidR="00E10A99" w:rsidP="00FD6880" w14:paraId="27DD7FF2" w14:textId="77777777">
            <w:pPr>
              <w:pStyle w:val="TableParagraph"/>
              <w:jc w:val="right"/>
              <w:rPr>
                <w:sz w:val="26"/>
              </w:rPr>
            </w:pPr>
          </w:p>
          <w:p w:rsidR="00E10A99" w:rsidP="00FD6880" w14:paraId="77822D92" w14:textId="77777777">
            <w:pPr>
              <w:pStyle w:val="TableParagraph"/>
              <w:jc w:val="right"/>
              <w:rPr>
                <w:sz w:val="26"/>
              </w:rPr>
            </w:pPr>
          </w:p>
          <w:p w:rsidR="00E10A99" w:rsidP="00222CBC" w14:paraId="581B1EE4" w14:textId="77777777">
            <w:pPr>
              <w:pStyle w:val="TableParagraph"/>
              <w:spacing w:before="149" w:line="259" w:lineRule="exact"/>
              <w:ind w:right="93"/>
              <w:jc w:val="right"/>
              <w:rPr>
                <w:sz w:val="24"/>
              </w:rPr>
            </w:pPr>
            <w:r>
              <w:rPr>
                <w:spacing w:val="-4"/>
                <w:sz w:val="24"/>
              </w:rPr>
              <w:t>0</w:t>
            </w:r>
            <w:r w:rsidR="00122156">
              <w:rPr>
                <w:spacing w:val="-4"/>
                <w:sz w:val="24"/>
              </w:rPr>
              <w:t>.003</w:t>
            </w:r>
          </w:p>
        </w:tc>
        <w:tc>
          <w:tcPr>
            <w:tcW w:w="1850" w:type="dxa"/>
            <w:vAlign w:val="bottom"/>
          </w:tcPr>
          <w:p w:rsidR="00E10A99" w:rsidP="00FD6880" w14:paraId="237CFD8D" w14:textId="77777777">
            <w:pPr>
              <w:pStyle w:val="TableParagraph"/>
              <w:jc w:val="right"/>
              <w:rPr>
                <w:sz w:val="26"/>
              </w:rPr>
            </w:pPr>
          </w:p>
          <w:p w:rsidR="00E10A99" w:rsidP="00FD6880" w14:paraId="0D17D335" w14:textId="77777777">
            <w:pPr>
              <w:pStyle w:val="TableParagraph"/>
              <w:jc w:val="right"/>
              <w:rPr>
                <w:sz w:val="26"/>
              </w:rPr>
            </w:pPr>
          </w:p>
          <w:p w:rsidR="00E10A99" w:rsidP="00FD6880" w14:paraId="660E4895" w14:textId="77777777">
            <w:pPr>
              <w:pStyle w:val="TableParagraph"/>
              <w:jc w:val="right"/>
              <w:rPr>
                <w:sz w:val="26"/>
              </w:rPr>
            </w:pPr>
          </w:p>
          <w:p w:rsidR="00E10A99" w:rsidP="00222CBC" w14:paraId="4D035C09" w14:textId="77777777">
            <w:pPr>
              <w:pStyle w:val="TableParagraph"/>
              <w:spacing w:before="149" w:line="259" w:lineRule="exact"/>
              <w:ind w:right="95"/>
              <w:jc w:val="right"/>
              <w:rPr>
                <w:sz w:val="24"/>
              </w:rPr>
            </w:pPr>
            <w:r>
              <w:rPr>
                <w:spacing w:val="-5"/>
                <w:sz w:val="24"/>
              </w:rPr>
              <w:t>1</w:t>
            </w:r>
            <w:r w:rsidR="006332B3">
              <w:rPr>
                <w:spacing w:val="-5"/>
                <w:sz w:val="24"/>
              </w:rPr>
              <w:t>4</w:t>
            </w:r>
            <w:r w:rsidR="00521035">
              <w:rPr>
                <w:spacing w:val="-5"/>
                <w:sz w:val="24"/>
              </w:rPr>
              <w:t>4</w:t>
            </w:r>
          </w:p>
        </w:tc>
      </w:tr>
      <w:tr w14:paraId="2DC47DA8" w14:textId="77777777" w:rsidTr="00FD6880">
        <w:tblPrEx>
          <w:tblW w:w="10408" w:type="dxa"/>
          <w:tblInd w:w="117" w:type="dxa"/>
          <w:tblLayout w:type="fixed"/>
          <w:tblCellMar>
            <w:left w:w="0" w:type="dxa"/>
            <w:right w:w="0" w:type="dxa"/>
          </w:tblCellMar>
          <w:tblLook w:val="01E0"/>
        </w:tblPrEx>
        <w:trPr>
          <w:trHeight w:val="1325"/>
        </w:trPr>
        <w:tc>
          <w:tcPr>
            <w:tcW w:w="1729" w:type="dxa"/>
          </w:tcPr>
          <w:p w:rsidR="00D027DF" w:rsidP="00FD6880" w14:paraId="243AA5BD" w14:textId="77777777">
            <w:pPr>
              <w:pStyle w:val="TableParagraph"/>
              <w:ind w:right="136"/>
              <w:rPr>
                <w:sz w:val="24"/>
              </w:rPr>
            </w:pPr>
            <w:r>
              <w:rPr>
                <w:sz w:val="24"/>
              </w:rPr>
              <w:t>§1024.8</w:t>
            </w:r>
            <w:r>
              <w:rPr>
                <w:spacing w:val="-15"/>
                <w:sz w:val="24"/>
              </w:rPr>
              <w:t xml:space="preserve"> </w:t>
            </w:r>
            <w:r>
              <w:rPr>
                <w:sz w:val="24"/>
              </w:rPr>
              <w:t>Use</w:t>
            </w:r>
            <w:r>
              <w:rPr>
                <w:spacing w:val="-15"/>
                <w:sz w:val="24"/>
              </w:rPr>
              <w:t xml:space="preserve"> </w:t>
            </w:r>
            <w:r>
              <w:rPr>
                <w:sz w:val="24"/>
              </w:rPr>
              <w:t>of HUD-1 or</w:t>
            </w:r>
          </w:p>
          <w:p w:rsidR="00D027DF" w:rsidP="00FD6880" w14:paraId="78F509DD" w14:textId="77777777">
            <w:pPr>
              <w:pStyle w:val="TableParagraph"/>
              <w:ind w:right="213"/>
              <w:rPr>
                <w:sz w:val="24"/>
              </w:rPr>
            </w:pPr>
            <w:r>
              <w:rPr>
                <w:sz w:val="24"/>
              </w:rPr>
              <w:t>HUD-1A</w:t>
            </w:r>
            <w:r>
              <w:rPr>
                <w:spacing w:val="-15"/>
                <w:sz w:val="24"/>
              </w:rPr>
              <w:t xml:space="preserve"> </w:t>
            </w:r>
            <w:r>
              <w:rPr>
                <w:sz w:val="24"/>
              </w:rPr>
              <w:t xml:space="preserve">for </w:t>
            </w:r>
            <w:r>
              <w:rPr>
                <w:spacing w:val="-2"/>
                <w:sz w:val="24"/>
              </w:rPr>
              <w:t>reverse mortgages</w:t>
            </w:r>
          </w:p>
        </w:tc>
        <w:tc>
          <w:tcPr>
            <w:tcW w:w="1749" w:type="dxa"/>
            <w:vAlign w:val="bottom"/>
          </w:tcPr>
          <w:p w:rsidR="00D027DF" w:rsidP="00222CBC" w14:paraId="6B886B0E" w14:textId="77777777">
            <w:pPr>
              <w:pStyle w:val="TableParagraph"/>
              <w:jc w:val="right"/>
              <w:rPr>
                <w:sz w:val="26"/>
              </w:rPr>
            </w:pPr>
          </w:p>
          <w:p w:rsidR="00D027DF" w:rsidP="00222CBC" w14:paraId="6B7FD705" w14:textId="77777777">
            <w:pPr>
              <w:pStyle w:val="TableParagraph"/>
              <w:jc w:val="right"/>
              <w:rPr>
                <w:sz w:val="26"/>
              </w:rPr>
            </w:pPr>
          </w:p>
          <w:p w:rsidR="00D027DF" w:rsidP="00222CBC" w14:paraId="2268BA0D" w14:textId="77777777">
            <w:pPr>
              <w:pStyle w:val="TableParagraph"/>
              <w:jc w:val="right"/>
              <w:rPr>
                <w:sz w:val="26"/>
              </w:rPr>
            </w:pPr>
          </w:p>
          <w:p w:rsidR="00D027DF" w:rsidRPr="00C53C0C" w:rsidP="00222CBC" w14:paraId="26B65978" w14:textId="77777777">
            <w:pPr>
              <w:pStyle w:val="TableParagraph"/>
              <w:jc w:val="right"/>
              <w:rPr>
                <w:sz w:val="26"/>
              </w:rPr>
            </w:pPr>
            <w:r>
              <w:rPr>
                <w:spacing w:val="-2"/>
                <w:sz w:val="24"/>
              </w:rPr>
              <w:t>9,627</w:t>
            </w:r>
          </w:p>
        </w:tc>
        <w:tc>
          <w:tcPr>
            <w:tcW w:w="1550" w:type="dxa"/>
            <w:vAlign w:val="bottom"/>
          </w:tcPr>
          <w:p w:rsidR="00D027DF" w:rsidP="00222CBC" w14:paraId="3C9314C7" w14:textId="77777777">
            <w:pPr>
              <w:pStyle w:val="TableParagraph"/>
              <w:jc w:val="right"/>
              <w:rPr>
                <w:sz w:val="26"/>
              </w:rPr>
            </w:pPr>
          </w:p>
          <w:p w:rsidR="00D027DF" w:rsidP="00222CBC" w14:paraId="7190FB5E" w14:textId="77777777">
            <w:pPr>
              <w:pStyle w:val="TableParagraph"/>
              <w:jc w:val="right"/>
              <w:rPr>
                <w:sz w:val="26"/>
              </w:rPr>
            </w:pPr>
          </w:p>
          <w:p w:rsidR="00D027DF" w:rsidP="00222CBC" w14:paraId="6208469F" w14:textId="77777777">
            <w:pPr>
              <w:pStyle w:val="TableParagraph"/>
              <w:jc w:val="right"/>
              <w:rPr>
                <w:sz w:val="26"/>
              </w:rPr>
            </w:pPr>
          </w:p>
          <w:p w:rsidR="00D027DF" w:rsidRPr="00C53C0C" w:rsidP="00222CBC" w14:paraId="728A3D2A" w14:textId="77777777">
            <w:pPr>
              <w:pStyle w:val="TableParagraph"/>
              <w:jc w:val="right"/>
              <w:rPr>
                <w:sz w:val="26"/>
              </w:rPr>
            </w:pPr>
            <w:r>
              <w:rPr>
                <w:spacing w:val="-5"/>
                <w:sz w:val="24"/>
              </w:rPr>
              <w:t>18</w:t>
            </w:r>
          </w:p>
        </w:tc>
        <w:tc>
          <w:tcPr>
            <w:tcW w:w="1851" w:type="dxa"/>
            <w:vAlign w:val="bottom"/>
          </w:tcPr>
          <w:p w:rsidR="00D027DF" w:rsidP="00222CBC" w14:paraId="3C597AAE" w14:textId="77777777">
            <w:pPr>
              <w:pStyle w:val="TableParagraph"/>
              <w:jc w:val="right"/>
              <w:rPr>
                <w:sz w:val="26"/>
              </w:rPr>
            </w:pPr>
          </w:p>
          <w:p w:rsidR="00D027DF" w:rsidP="00222CBC" w14:paraId="4FC439F4" w14:textId="77777777">
            <w:pPr>
              <w:pStyle w:val="TableParagraph"/>
              <w:jc w:val="right"/>
              <w:rPr>
                <w:sz w:val="26"/>
              </w:rPr>
            </w:pPr>
          </w:p>
          <w:p w:rsidR="00D027DF" w:rsidP="00222CBC" w14:paraId="35F03031" w14:textId="77777777">
            <w:pPr>
              <w:pStyle w:val="TableParagraph"/>
              <w:jc w:val="right"/>
              <w:rPr>
                <w:sz w:val="26"/>
              </w:rPr>
            </w:pPr>
          </w:p>
          <w:p w:rsidR="006332B3" w:rsidRPr="00C53C0C" w:rsidP="00222CBC" w14:paraId="5A758684" w14:textId="77777777">
            <w:pPr>
              <w:pStyle w:val="TableParagraph"/>
              <w:jc w:val="right"/>
              <w:rPr>
                <w:sz w:val="26"/>
              </w:rPr>
            </w:pPr>
            <w:r w:rsidRPr="00840E4A">
              <w:rPr>
                <w:spacing w:val="-2"/>
                <w:sz w:val="24"/>
              </w:rPr>
              <w:t xml:space="preserve">173,286 </w:t>
            </w:r>
          </w:p>
        </w:tc>
        <w:tc>
          <w:tcPr>
            <w:tcW w:w="1679" w:type="dxa"/>
            <w:vAlign w:val="bottom"/>
          </w:tcPr>
          <w:p w:rsidR="00D027DF" w:rsidP="00222CBC" w14:paraId="69B65110" w14:textId="77777777">
            <w:pPr>
              <w:pStyle w:val="TableParagraph"/>
              <w:jc w:val="right"/>
              <w:rPr>
                <w:sz w:val="26"/>
              </w:rPr>
            </w:pPr>
          </w:p>
          <w:p w:rsidR="00D027DF" w:rsidP="00222CBC" w14:paraId="1250CE39" w14:textId="77777777">
            <w:pPr>
              <w:pStyle w:val="TableParagraph"/>
              <w:jc w:val="right"/>
              <w:rPr>
                <w:sz w:val="26"/>
              </w:rPr>
            </w:pPr>
          </w:p>
          <w:p w:rsidR="00D027DF" w:rsidP="00222CBC" w14:paraId="41041A67" w14:textId="77777777">
            <w:pPr>
              <w:pStyle w:val="TableParagraph"/>
              <w:jc w:val="right"/>
              <w:rPr>
                <w:sz w:val="26"/>
              </w:rPr>
            </w:pPr>
          </w:p>
          <w:p w:rsidR="00D027DF" w:rsidRPr="00C53C0C" w:rsidP="00222CBC" w14:paraId="5575B603" w14:textId="77777777">
            <w:pPr>
              <w:pStyle w:val="TableParagraph"/>
              <w:jc w:val="right"/>
              <w:rPr>
                <w:sz w:val="26"/>
              </w:rPr>
            </w:pPr>
            <w:r>
              <w:rPr>
                <w:spacing w:val="-4"/>
                <w:sz w:val="24"/>
              </w:rPr>
              <w:t>0.003</w:t>
            </w:r>
          </w:p>
        </w:tc>
        <w:tc>
          <w:tcPr>
            <w:tcW w:w="1850" w:type="dxa"/>
            <w:vAlign w:val="bottom"/>
          </w:tcPr>
          <w:p w:rsidR="00D027DF" w:rsidP="00222CBC" w14:paraId="1FD46DB4" w14:textId="77777777">
            <w:pPr>
              <w:pStyle w:val="TableParagraph"/>
              <w:jc w:val="right"/>
              <w:rPr>
                <w:sz w:val="26"/>
              </w:rPr>
            </w:pPr>
          </w:p>
          <w:p w:rsidR="00D027DF" w:rsidP="00222CBC" w14:paraId="33815959" w14:textId="77777777">
            <w:pPr>
              <w:pStyle w:val="TableParagraph"/>
              <w:jc w:val="right"/>
              <w:rPr>
                <w:sz w:val="26"/>
              </w:rPr>
            </w:pPr>
          </w:p>
          <w:p w:rsidR="00D027DF" w:rsidP="00222CBC" w14:paraId="044D85B3" w14:textId="77777777">
            <w:pPr>
              <w:pStyle w:val="TableParagraph"/>
              <w:jc w:val="right"/>
              <w:rPr>
                <w:sz w:val="26"/>
              </w:rPr>
            </w:pPr>
          </w:p>
          <w:p w:rsidR="00D027DF" w:rsidRPr="00C53C0C" w:rsidP="00222CBC" w14:paraId="2D0ED9C1" w14:textId="77777777">
            <w:pPr>
              <w:pStyle w:val="TableParagraph"/>
              <w:jc w:val="right"/>
              <w:rPr>
                <w:sz w:val="26"/>
              </w:rPr>
            </w:pPr>
            <w:r>
              <w:rPr>
                <w:spacing w:val="-5"/>
                <w:sz w:val="24"/>
              </w:rPr>
              <w:t>520</w:t>
            </w:r>
          </w:p>
        </w:tc>
      </w:tr>
      <w:tr w14:paraId="2D49D265" w14:textId="77777777" w:rsidTr="00FD6880">
        <w:tblPrEx>
          <w:tblW w:w="10408" w:type="dxa"/>
          <w:tblInd w:w="117" w:type="dxa"/>
          <w:tblLayout w:type="fixed"/>
          <w:tblCellMar>
            <w:left w:w="0" w:type="dxa"/>
            <w:right w:w="0" w:type="dxa"/>
          </w:tblCellMar>
          <w:tblLook w:val="01E0"/>
        </w:tblPrEx>
        <w:trPr>
          <w:trHeight w:val="1379"/>
        </w:trPr>
        <w:tc>
          <w:tcPr>
            <w:tcW w:w="1729" w:type="dxa"/>
          </w:tcPr>
          <w:p w:rsidR="00D027DF" w:rsidP="00FD6880" w14:paraId="661566E0" w14:textId="77777777">
            <w:pPr>
              <w:pStyle w:val="TableParagraph"/>
              <w:ind w:right="442"/>
              <w:rPr>
                <w:sz w:val="24"/>
              </w:rPr>
            </w:pPr>
            <w:r>
              <w:rPr>
                <w:spacing w:val="-2"/>
                <w:sz w:val="24"/>
              </w:rPr>
              <w:t xml:space="preserve">§1024.10(e) </w:t>
            </w:r>
            <w:r>
              <w:rPr>
                <w:sz w:val="24"/>
              </w:rPr>
              <w:t xml:space="preserve">HUD-1 or </w:t>
            </w:r>
            <w:r>
              <w:rPr>
                <w:spacing w:val="-2"/>
                <w:sz w:val="24"/>
              </w:rPr>
              <w:t>HUD-1A</w:t>
            </w:r>
          </w:p>
          <w:p w:rsidR="00D027DF" w:rsidP="00FD6880" w14:paraId="5E189F33" w14:textId="77777777">
            <w:pPr>
              <w:pStyle w:val="TableParagraph"/>
              <w:spacing w:line="270" w:lineRule="atLeast"/>
              <w:ind w:right="373"/>
              <w:rPr>
                <w:sz w:val="24"/>
              </w:rPr>
            </w:pPr>
            <w:r>
              <w:rPr>
                <w:sz w:val="24"/>
              </w:rPr>
              <w:t>waiver</w:t>
            </w:r>
            <w:r>
              <w:rPr>
                <w:spacing w:val="-15"/>
                <w:sz w:val="24"/>
              </w:rPr>
              <w:t xml:space="preserve"> </w:t>
            </w:r>
            <w:r>
              <w:rPr>
                <w:sz w:val="24"/>
              </w:rPr>
              <w:t xml:space="preserve">for </w:t>
            </w:r>
            <w:r>
              <w:rPr>
                <w:spacing w:val="-2"/>
                <w:sz w:val="24"/>
              </w:rPr>
              <w:t>reverse mortgages</w:t>
            </w:r>
          </w:p>
        </w:tc>
        <w:tc>
          <w:tcPr>
            <w:tcW w:w="1749" w:type="dxa"/>
            <w:vAlign w:val="bottom"/>
          </w:tcPr>
          <w:p w:rsidR="00D027DF" w:rsidP="00FD6880" w14:paraId="71A06315" w14:textId="77777777">
            <w:pPr>
              <w:pStyle w:val="TableParagraph"/>
              <w:jc w:val="right"/>
              <w:rPr>
                <w:sz w:val="26"/>
              </w:rPr>
            </w:pPr>
          </w:p>
          <w:p w:rsidR="00D027DF" w:rsidP="00FD6880" w14:paraId="31060AA0" w14:textId="77777777">
            <w:pPr>
              <w:pStyle w:val="TableParagraph"/>
              <w:jc w:val="right"/>
              <w:rPr>
                <w:sz w:val="26"/>
              </w:rPr>
            </w:pPr>
          </w:p>
          <w:p w:rsidR="00D027DF" w:rsidP="00FD6880" w14:paraId="4FD2687A" w14:textId="77777777">
            <w:pPr>
              <w:pStyle w:val="TableParagraph"/>
              <w:jc w:val="right"/>
              <w:rPr>
                <w:sz w:val="26"/>
              </w:rPr>
            </w:pPr>
          </w:p>
          <w:p w:rsidR="00D027DF" w:rsidP="00FD6880" w14:paraId="55FEEDAE" w14:textId="77777777">
            <w:pPr>
              <w:pStyle w:val="TableParagraph"/>
              <w:jc w:val="right"/>
              <w:rPr>
                <w:sz w:val="26"/>
              </w:rPr>
            </w:pPr>
          </w:p>
          <w:p w:rsidR="00D027DF" w:rsidP="00222CBC" w14:paraId="2FF1127D" w14:textId="77777777">
            <w:pPr>
              <w:pStyle w:val="TableParagraph"/>
              <w:spacing w:before="203" w:line="259" w:lineRule="exact"/>
              <w:ind w:right="96"/>
              <w:jc w:val="right"/>
              <w:rPr>
                <w:sz w:val="24"/>
              </w:rPr>
            </w:pPr>
            <w:r>
              <w:rPr>
                <w:spacing w:val="-2"/>
                <w:sz w:val="24"/>
              </w:rPr>
              <w:t>9,627</w:t>
            </w:r>
          </w:p>
        </w:tc>
        <w:tc>
          <w:tcPr>
            <w:tcW w:w="1550" w:type="dxa"/>
            <w:vAlign w:val="bottom"/>
          </w:tcPr>
          <w:p w:rsidR="00D027DF" w:rsidP="00FD6880" w14:paraId="4E5F1CED" w14:textId="77777777">
            <w:pPr>
              <w:pStyle w:val="TableParagraph"/>
              <w:jc w:val="right"/>
              <w:rPr>
                <w:sz w:val="26"/>
              </w:rPr>
            </w:pPr>
          </w:p>
          <w:p w:rsidR="00D027DF" w:rsidP="00FD6880" w14:paraId="31E58FEF" w14:textId="77777777">
            <w:pPr>
              <w:pStyle w:val="TableParagraph"/>
              <w:jc w:val="right"/>
              <w:rPr>
                <w:sz w:val="26"/>
              </w:rPr>
            </w:pPr>
          </w:p>
          <w:p w:rsidR="00D027DF" w:rsidP="00FD6880" w14:paraId="4ECF8383" w14:textId="77777777">
            <w:pPr>
              <w:pStyle w:val="TableParagraph"/>
              <w:jc w:val="right"/>
              <w:rPr>
                <w:sz w:val="26"/>
              </w:rPr>
            </w:pPr>
          </w:p>
          <w:p w:rsidR="00D027DF" w:rsidP="00FD6880" w14:paraId="09F52191" w14:textId="77777777">
            <w:pPr>
              <w:pStyle w:val="TableParagraph"/>
              <w:jc w:val="right"/>
              <w:rPr>
                <w:sz w:val="26"/>
              </w:rPr>
            </w:pPr>
          </w:p>
          <w:p w:rsidR="00D027DF" w:rsidP="00222CBC" w14:paraId="1C157D83" w14:textId="77777777">
            <w:pPr>
              <w:pStyle w:val="TableParagraph"/>
              <w:spacing w:before="203" w:line="259" w:lineRule="exact"/>
              <w:ind w:right="96"/>
              <w:jc w:val="right"/>
              <w:rPr>
                <w:sz w:val="24"/>
              </w:rPr>
            </w:pPr>
            <w:r>
              <w:rPr>
                <w:sz w:val="24"/>
              </w:rPr>
              <w:t>*</w:t>
            </w:r>
          </w:p>
        </w:tc>
        <w:tc>
          <w:tcPr>
            <w:tcW w:w="1851" w:type="dxa"/>
            <w:vAlign w:val="bottom"/>
          </w:tcPr>
          <w:p w:rsidR="00D027DF" w:rsidP="00FD6880" w14:paraId="7F7CC927" w14:textId="77777777">
            <w:pPr>
              <w:pStyle w:val="TableParagraph"/>
              <w:jc w:val="right"/>
              <w:rPr>
                <w:sz w:val="26"/>
              </w:rPr>
            </w:pPr>
          </w:p>
          <w:p w:rsidR="00D027DF" w:rsidP="00FD6880" w14:paraId="713DD0B4" w14:textId="77777777">
            <w:pPr>
              <w:pStyle w:val="TableParagraph"/>
              <w:jc w:val="right"/>
              <w:rPr>
                <w:sz w:val="26"/>
              </w:rPr>
            </w:pPr>
          </w:p>
          <w:p w:rsidR="00D027DF" w:rsidP="00FD6880" w14:paraId="6B7C8D30" w14:textId="77777777">
            <w:pPr>
              <w:pStyle w:val="TableParagraph"/>
              <w:jc w:val="right"/>
              <w:rPr>
                <w:sz w:val="26"/>
              </w:rPr>
            </w:pPr>
          </w:p>
          <w:p w:rsidR="00D027DF" w:rsidP="00FD6880" w14:paraId="244157C3" w14:textId="77777777">
            <w:pPr>
              <w:pStyle w:val="TableParagraph"/>
              <w:jc w:val="right"/>
              <w:rPr>
                <w:sz w:val="26"/>
              </w:rPr>
            </w:pPr>
          </w:p>
          <w:p w:rsidR="00D027DF" w:rsidP="00222CBC" w14:paraId="79D087E9" w14:textId="77777777">
            <w:pPr>
              <w:pStyle w:val="TableParagraph"/>
              <w:spacing w:before="203" w:line="259" w:lineRule="exact"/>
              <w:ind w:right="95"/>
              <w:jc w:val="right"/>
              <w:rPr>
                <w:sz w:val="24"/>
              </w:rPr>
            </w:pPr>
            <w:r>
              <w:rPr>
                <w:sz w:val="24"/>
              </w:rPr>
              <w:t>*</w:t>
            </w:r>
          </w:p>
        </w:tc>
        <w:tc>
          <w:tcPr>
            <w:tcW w:w="1679" w:type="dxa"/>
            <w:vAlign w:val="bottom"/>
          </w:tcPr>
          <w:p w:rsidR="00D027DF" w:rsidP="00FD6880" w14:paraId="4FFAFF10" w14:textId="77777777">
            <w:pPr>
              <w:pStyle w:val="TableParagraph"/>
              <w:jc w:val="right"/>
              <w:rPr>
                <w:sz w:val="26"/>
              </w:rPr>
            </w:pPr>
          </w:p>
          <w:p w:rsidR="00D027DF" w:rsidP="00FD6880" w14:paraId="6B17E7BF" w14:textId="77777777">
            <w:pPr>
              <w:pStyle w:val="TableParagraph"/>
              <w:jc w:val="right"/>
              <w:rPr>
                <w:sz w:val="26"/>
              </w:rPr>
            </w:pPr>
          </w:p>
          <w:p w:rsidR="00D027DF" w:rsidP="00FD6880" w14:paraId="0F22698D" w14:textId="77777777">
            <w:pPr>
              <w:pStyle w:val="TableParagraph"/>
              <w:jc w:val="right"/>
              <w:rPr>
                <w:sz w:val="26"/>
              </w:rPr>
            </w:pPr>
          </w:p>
          <w:p w:rsidR="00D027DF" w:rsidP="00FD6880" w14:paraId="3637EDB6" w14:textId="77777777">
            <w:pPr>
              <w:pStyle w:val="TableParagraph"/>
              <w:jc w:val="right"/>
              <w:rPr>
                <w:sz w:val="26"/>
              </w:rPr>
            </w:pPr>
          </w:p>
          <w:p w:rsidR="00D027DF" w:rsidP="00222CBC" w14:paraId="1AA72E65" w14:textId="77777777">
            <w:pPr>
              <w:pStyle w:val="TableParagraph"/>
              <w:spacing w:before="203" w:line="259" w:lineRule="exact"/>
              <w:ind w:right="93"/>
              <w:jc w:val="right"/>
              <w:rPr>
                <w:sz w:val="24"/>
              </w:rPr>
            </w:pPr>
            <w:r>
              <w:rPr>
                <w:sz w:val="24"/>
              </w:rPr>
              <w:t>*</w:t>
            </w:r>
          </w:p>
        </w:tc>
        <w:tc>
          <w:tcPr>
            <w:tcW w:w="1850" w:type="dxa"/>
            <w:vAlign w:val="bottom"/>
          </w:tcPr>
          <w:p w:rsidR="00D027DF" w:rsidP="00FD6880" w14:paraId="1AAB92EA" w14:textId="77777777">
            <w:pPr>
              <w:pStyle w:val="TableParagraph"/>
              <w:jc w:val="right"/>
              <w:rPr>
                <w:sz w:val="26"/>
              </w:rPr>
            </w:pPr>
          </w:p>
          <w:p w:rsidR="00D027DF" w:rsidP="00FD6880" w14:paraId="432FD3A7" w14:textId="77777777">
            <w:pPr>
              <w:pStyle w:val="TableParagraph"/>
              <w:jc w:val="right"/>
              <w:rPr>
                <w:sz w:val="26"/>
              </w:rPr>
            </w:pPr>
          </w:p>
          <w:p w:rsidR="00D027DF" w:rsidP="00FD6880" w14:paraId="1CD793CC" w14:textId="77777777">
            <w:pPr>
              <w:pStyle w:val="TableParagraph"/>
              <w:jc w:val="right"/>
              <w:rPr>
                <w:sz w:val="26"/>
              </w:rPr>
            </w:pPr>
          </w:p>
          <w:p w:rsidR="00D027DF" w:rsidP="00FD6880" w14:paraId="154DC2B1" w14:textId="77777777">
            <w:pPr>
              <w:pStyle w:val="TableParagraph"/>
              <w:jc w:val="right"/>
              <w:rPr>
                <w:sz w:val="26"/>
              </w:rPr>
            </w:pPr>
          </w:p>
          <w:p w:rsidR="00D027DF" w:rsidP="00222CBC" w14:paraId="6332C203" w14:textId="77777777">
            <w:pPr>
              <w:pStyle w:val="TableParagraph"/>
              <w:spacing w:before="203" w:line="259" w:lineRule="exact"/>
              <w:ind w:right="95"/>
              <w:jc w:val="right"/>
              <w:rPr>
                <w:sz w:val="24"/>
              </w:rPr>
            </w:pPr>
            <w:r>
              <w:rPr>
                <w:sz w:val="24"/>
              </w:rPr>
              <w:t>*</w:t>
            </w:r>
          </w:p>
        </w:tc>
      </w:tr>
      <w:tr w14:paraId="1C86260F" w14:textId="77777777" w:rsidTr="00FD6880">
        <w:tblPrEx>
          <w:tblW w:w="10408" w:type="dxa"/>
          <w:tblInd w:w="117" w:type="dxa"/>
          <w:tblLayout w:type="fixed"/>
          <w:tblCellMar>
            <w:left w:w="0" w:type="dxa"/>
            <w:right w:w="0" w:type="dxa"/>
          </w:tblCellMar>
          <w:tblLook w:val="01E0"/>
        </w:tblPrEx>
        <w:trPr>
          <w:trHeight w:val="387"/>
        </w:trPr>
        <w:tc>
          <w:tcPr>
            <w:tcW w:w="1729" w:type="dxa"/>
            <w:vAlign w:val="bottom"/>
          </w:tcPr>
          <w:p w:rsidR="00D027DF" w:rsidRPr="00D150DA" w:rsidP="00222CBC" w14:paraId="0419365A" w14:textId="77777777">
            <w:pPr>
              <w:pStyle w:val="TableParagraph"/>
              <w:spacing w:before="8"/>
              <w:rPr>
                <w:b/>
                <w:bCs/>
                <w:sz w:val="23"/>
              </w:rPr>
            </w:pPr>
          </w:p>
          <w:p w:rsidR="00D027DF" w:rsidP="00222CBC" w14:paraId="5646BD03" w14:textId="77777777">
            <w:pPr>
              <w:pStyle w:val="TableParagraph"/>
              <w:spacing w:line="270" w:lineRule="atLeast"/>
              <w:ind w:left="107"/>
              <w:rPr>
                <w:sz w:val="24"/>
              </w:rPr>
            </w:pPr>
            <w:r w:rsidRPr="00D150DA">
              <w:rPr>
                <w:b/>
                <w:bCs/>
                <w:i/>
                <w:sz w:val="24"/>
              </w:rPr>
              <w:t>Subtotal</w:t>
            </w:r>
            <w:r w:rsidRPr="00D150DA">
              <w:rPr>
                <w:b/>
                <w:bCs/>
                <w:i/>
                <w:spacing w:val="-1"/>
                <w:sz w:val="24"/>
              </w:rPr>
              <w:t xml:space="preserve"> </w:t>
            </w:r>
            <w:r w:rsidRPr="00D150DA">
              <w:rPr>
                <w:b/>
                <w:bCs/>
                <w:i/>
                <w:sz w:val="24"/>
              </w:rPr>
              <w:t>Part</w:t>
            </w:r>
            <w:r w:rsidRPr="00D150DA">
              <w:rPr>
                <w:b/>
                <w:bCs/>
                <w:i/>
                <w:spacing w:val="-1"/>
                <w:sz w:val="24"/>
              </w:rPr>
              <w:t xml:space="preserve"> </w:t>
            </w:r>
            <w:r w:rsidRPr="00D150DA">
              <w:rPr>
                <w:b/>
                <w:bCs/>
                <w:i/>
                <w:spacing w:val="-10"/>
                <w:sz w:val="24"/>
              </w:rPr>
              <w:t>B</w:t>
            </w:r>
          </w:p>
        </w:tc>
        <w:tc>
          <w:tcPr>
            <w:tcW w:w="1749" w:type="dxa"/>
          </w:tcPr>
          <w:p w:rsidR="00D027DF" w:rsidRPr="00D150DA" w:rsidP="00E10A99" w14:paraId="72CDFD45" w14:textId="77777777">
            <w:pPr>
              <w:pStyle w:val="TableParagraph"/>
              <w:rPr>
                <w:b/>
                <w:bCs/>
                <w:sz w:val="26"/>
              </w:rPr>
            </w:pPr>
          </w:p>
          <w:p w:rsidR="00D027DF" w:rsidP="00E10A99" w14:paraId="637A3075" w14:textId="77777777">
            <w:pPr>
              <w:pStyle w:val="TableParagraph"/>
              <w:spacing w:before="180" w:line="259" w:lineRule="exact"/>
              <w:ind w:right="96"/>
              <w:jc w:val="right"/>
              <w:rPr>
                <w:sz w:val="24"/>
              </w:rPr>
            </w:pPr>
            <w:r>
              <w:rPr>
                <w:b/>
                <w:bCs/>
                <w:i/>
                <w:spacing w:val="-2"/>
                <w:sz w:val="24"/>
              </w:rPr>
              <w:t>9,627</w:t>
            </w:r>
          </w:p>
        </w:tc>
        <w:tc>
          <w:tcPr>
            <w:tcW w:w="1550" w:type="dxa"/>
            <w:shd w:val="clear" w:color="auto" w:fill="D0CECE" w:themeFill="background2" w:themeFillShade="E6"/>
          </w:tcPr>
          <w:p w:rsidR="00D027DF" w:rsidRPr="00D150DA" w:rsidP="00E10A99" w14:paraId="61A1E406" w14:textId="77777777">
            <w:pPr>
              <w:pStyle w:val="TableParagraph"/>
              <w:rPr>
                <w:b/>
                <w:bCs/>
                <w:sz w:val="26"/>
              </w:rPr>
            </w:pPr>
          </w:p>
          <w:p w:rsidR="00D027DF" w:rsidP="00E10A99" w14:paraId="1AB5AD1F" w14:textId="77777777">
            <w:pPr>
              <w:pStyle w:val="TableParagraph"/>
              <w:spacing w:before="180" w:line="259" w:lineRule="exact"/>
              <w:ind w:right="96"/>
              <w:jc w:val="right"/>
              <w:rPr>
                <w:sz w:val="24"/>
              </w:rPr>
            </w:pPr>
          </w:p>
        </w:tc>
        <w:tc>
          <w:tcPr>
            <w:tcW w:w="1851" w:type="dxa"/>
          </w:tcPr>
          <w:p w:rsidR="00D027DF" w:rsidRPr="00D150DA" w:rsidP="00E10A99" w14:paraId="46BF4A2A" w14:textId="77777777">
            <w:pPr>
              <w:pStyle w:val="TableParagraph"/>
              <w:rPr>
                <w:b/>
                <w:bCs/>
                <w:sz w:val="26"/>
              </w:rPr>
            </w:pPr>
          </w:p>
          <w:p w:rsidR="00D027DF" w:rsidP="00E10A99" w14:paraId="338D072C" w14:textId="77777777">
            <w:pPr>
              <w:pStyle w:val="TableParagraph"/>
              <w:spacing w:before="180" w:line="259" w:lineRule="exact"/>
              <w:ind w:right="95"/>
              <w:jc w:val="right"/>
              <w:rPr>
                <w:sz w:val="24"/>
              </w:rPr>
            </w:pPr>
            <w:r w:rsidRPr="00661E0F">
              <w:rPr>
                <w:b/>
                <w:bCs/>
                <w:i/>
                <w:spacing w:val="-2"/>
                <w:sz w:val="24"/>
              </w:rPr>
              <w:t>46,440,288</w:t>
            </w:r>
          </w:p>
        </w:tc>
        <w:tc>
          <w:tcPr>
            <w:tcW w:w="1679" w:type="dxa"/>
            <w:shd w:val="clear" w:color="auto" w:fill="D0CECE" w:themeFill="background2" w:themeFillShade="E6"/>
          </w:tcPr>
          <w:p w:rsidR="00D027DF" w:rsidRPr="00D150DA" w:rsidP="00E10A99" w14:paraId="4458FBA0" w14:textId="77777777">
            <w:pPr>
              <w:pStyle w:val="TableParagraph"/>
              <w:rPr>
                <w:b/>
                <w:bCs/>
                <w:sz w:val="26"/>
              </w:rPr>
            </w:pPr>
          </w:p>
          <w:p w:rsidR="00D027DF" w:rsidP="00E10A99" w14:paraId="24B9FE65" w14:textId="77777777">
            <w:pPr>
              <w:pStyle w:val="TableParagraph"/>
              <w:spacing w:before="180" w:line="259" w:lineRule="exact"/>
              <w:ind w:right="93"/>
              <w:jc w:val="right"/>
              <w:rPr>
                <w:sz w:val="24"/>
              </w:rPr>
            </w:pPr>
          </w:p>
        </w:tc>
        <w:tc>
          <w:tcPr>
            <w:tcW w:w="1850" w:type="dxa"/>
          </w:tcPr>
          <w:p w:rsidR="00D027DF" w:rsidRPr="00D150DA" w:rsidP="00E10A99" w14:paraId="0E61374B" w14:textId="77777777">
            <w:pPr>
              <w:pStyle w:val="TableParagraph"/>
              <w:rPr>
                <w:b/>
                <w:bCs/>
                <w:sz w:val="26"/>
              </w:rPr>
            </w:pPr>
          </w:p>
          <w:p w:rsidR="00D027DF" w:rsidP="00E10A99" w14:paraId="4293007A" w14:textId="77777777">
            <w:pPr>
              <w:pStyle w:val="TableParagraph"/>
              <w:spacing w:before="180" w:line="259" w:lineRule="exact"/>
              <w:ind w:right="95"/>
              <w:jc w:val="right"/>
              <w:rPr>
                <w:sz w:val="24"/>
              </w:rPr>
            </w:pPr>
            <w:r w:rsidRPr="00840E4A">
              <w:rPr>
                <w:b/>
                <w:bCs/>
                <w:i/>
                <w:spacing w:val="-2"/>
                <w:sz w:val="24"/>
              </w:rPr>
              <w:t>137,590</w:t>
            </w:r>
          </w:p>
        </w:tc>
      </w:tr>
    </w:tbl>
    <w:p w:rsidR="00891DD8" w14:paraId="616EC9D7" w14:textId="77777777">
      <w:r>
        <w:br w:type="page"/>
      </w:r>
    </w:p>
    <w:tbl>
      <w:tblPr>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8"/>
        <w:gridCol w:w="1710"/>
        <w:gridCol w:w="1620"/>
        <w:gridCol w:w="1800"/>
        <w:gridCol w:w="1620"/>
        <w:gridCol w:w="1890"/>
      </w:tblGrid>
      <w:tr w14:paraId="49FB0AFD" w14:textId="77777777" w:rsidTr="00FD6880">
        <w:tblPrEx>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10408" w:type="dxa"/>
            <w:gridSpan w:val="6"/>
            <w:vAlign w:val="center"/>
          </w:tcPr>
          <w:p w:rsidR="00222CBC" w:rsidRPr="00D150DA" w:rsidP="00FD6880" w14:paraId="46EB3FCA" w14:textId="26017590">
            <w:pPr>
              <w:pStyle w:val="TableParagraph"/>
              <w:jc w:val="center"/>
              <w:rPr>
                <w:b/>
                <w:bCs/>
                <w:i/>
                <w:sz w:val="24"/>
              </w:rPr>
            </w:pPr>
            <w:r>
              <w:rPr>
                <w:b/>
                <w:sz w:val="24"/>
              </w:rPr>
              <w:t>Subpart</w:t>
            </w:r>
            <w:r>
              <w:rPr>
                <w:b/>
                <w:spacing w:val="-5"/>
                <w:sz w:val="24"/>
              </w:rPr>
              <w:t xml:space="preserve"> C</w:t>
            </w:r>
          </w:p>
        </w:tc>
      </w:tr>
      <w:tr w14:paraId="0E0D489F"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E7E6E6" w:themeFill="background2"/>
            <w:vAlign w:val="center"/>
          </w:tcPr>
          <w:p w:rsidR="00891DD8" w:rsidRPr="00FD6880" w:rsidP="00FD6880" w14:paraId="3EE16740" w14:textId="77777777">
            <w:pPr>
              <w:pStyle w:val="TableParagraph"/>
              <w:jc w:val="center"/>
              <w:rPr>
                <w:b/>
                <w:sz w:val="24"/>
                <w:szCs w:val="24"/>
              </w:rPr>
            </w:pPr>
          </w:p>
          <w:p w:rsidR="00891DD8" w:rsidRPr="00FD6880" w:rsidP="00FD6880" w14:paraId="6842C5D5" w14:textId="77777777">
            <w:pPr>
              <w:pStyle w:val="TableParagraph"/>
              <w:spacing w:before="10"/>
              <w:jc w:val="center"/>
              <w:rPr>
                <w:b/>
                <w:sz w:val="24"/>
                <w:szCs w:val="24"/>
              </w:rPr>
            </w:pPr>
            <w:r w:rsidRPr="00FD6880">
              <w:rPr>
                <w:b/>
                <w:spacing w:val="-2"/>
                <w:sz w:val="24"/>
                <w:szCs w:val="24"/>
              </w:rPr>
              <w:t>Information Collection</w:t>
            </w:r>
          </w:p>
        </w:tc>
        <w:tc>
          <w:tcPr>
            <w:tcW w:w="1710" w:type="dxa"/>
            <w:shd w:val="clear" w:color="auto" w:fill="E7E6E6" w:themeFill="background2"/>
            <w:vAlign w:val="center"/>
          </w:tcPr>
          <w:p w:rsidR="00891DD8" w:rsidRPr="00FD6880" w:rsidP="00FD6880" w14:paraId="64AC766F" w14:textId="77777777">
            <w:pPr>
              <w:pStyle w:val="TableParagraph"/>
              <w:spacing w:before="224"/>
              <w:ind w:right="96"/>
              <w:jc w:val="center"/>
              <w:rPr>
                <w:b/>
                <w:i/>
                <w:sz w:val="24"/>
                <w:szCs w:val="24"/>
              </w:rPr>
            </w:pPr>
            <w:r w:rsidRPr="00FD6880">
              <w:rPr>
                <w:b/>
                <w:spacing w:val="-2"/>
                <w:sz w:val="24"/>
                <w:szCs w:val="24"/>
              </w:rPr>
              <w:t>Respondents</w:t>
            </w:r>
          </w:p>
        </w:tc>
        <w:tc>
          <w:tcPr>
            <w:tcW w:w="1620" w:type="dxa"/>
            <w:shd w:val="clear" w:color="auto" w:fill="E7E6E6" w:themeFill="background2"/>
            <w:vAlign w:val="center"/>
          </w:tcPr>
          <w:p w:rsidR="00891DD8" w:rsidRPr="00FD6880" w:rsidP="00FD6880" w14:paraId="47487C68" w14:textId="77777777">
            <w:pPr>
              <w:pStyle w:val="TableParagraph"/>
              <w:spacing w:before="224"/>
              <w:ind w:right="95"/>
              <w:jc w:val="center"/>
              <w:rPr>
                <w:b/>
                <w:i/>
                <w:sz w:val="24"/>
                <w:szCs w:val="24"/>
              </w:rPr>
            </w:pPr>
            <w:r w:rsidRPr="00FD6880">
              <w:rPr>
                <w:b/>
                <w:spacing w:val="-2"/>
                <w:sz w:val="24"/>
                <w:szCs w:val="24"/>
              </w:rPr>
              <w:t>Frequency</w:t>
            </w:r>
          </w:p>
        </w:tc>
        <w:tc>
          <w:tcPr>
            <w:tcW w:w="1800" w:type="dxa"/>
            <w:shd w:val="clear" w:color="auto" w:fill="E7E6E6" w:themeFill="background2"/>
            <w:vAlign w:val="center"/>
          </w:tcPr>
          <w:p w:rsidR="00891DD8" w:rsidRPr="00FD6880" w:rsidP="00FD6880" w14:paraId="42D973D4" w14:textId="77777777">
            <w:pPr>
              <w:pStyle w:val="TableParagraph"/>
              <w:spacing w:before="224"/>
              <w:ind w:right="95"/>
              <w:jc w:val="center"/>
              <w:rPr>
                <w:b/>
                <w:i/>
                <w:sz w:val="24"/>
                <w:szCs w:val="24"/>
              </w:rPr>
            </w:pPr>
            <w:r w:rsidRPr="00FD6880">
              <w:rPr>
                <w:b/>
                <w:spacing w:val="-2"/>
                <w:sz w:val="24"/>
                <w:szCs w:val="24"/>
              </w:rPr>
              <w:t xml:space="preserve">Annual </w:t>
            </w:r>
            <w:r w:rsidRPr="00FD6880">
              <w:rPr>
                <w:b/>
                <w:sz w:val="24"/>
                <w:szCs w:val="24"/>
              </w:rPr>
              <w:t>Number</w:t>
            </w:r>
            <w:r w:rsidRPr="00FD6880">
              <w:rPr>
                <w:b/>
                <w:spacing w:val="-15"/>
                <w:sz w:val="24"/>
                <w:szCs w:val="24"/>
              </w:rPr>
              <w:t xml:space="preserve"> </w:t>
            </w:r>
            <w:r w:rsidRPr="00FD6880">
              <w:rPr>
                <w:b/>
                <w:sz w:val="24"/>
                <w:szCs w:val="24"/>
              </w:rPr>
              <w:t xml:space="preserve">of </w:t>
            </w:r>
            <w:r w:rsidRPr="00FD6880">
              <w:rPr>
                <w:b/>
                <w:spacing w:val="-2"/>
                <w:sz w:val="24"/>
                <w:szCs w:val="24"/>
              </w:rPr>
              <w:t>Responses</w:t>
            </w:r>
          </w:p>
        </w:tc>
        <w:tc>
          <w:tcPr>
            <w:tcW w:w="1620" w:type="dxa"/>
            <w:shd w:val="clear" w:color="auto" w:fill="E7E6E6" w:themeFill="background2"/>
            <w:vAlign w:val="center"/>
          </w:tcPr>
          <w:p w:rsidR="00891DD8" w:rsidRPr="00FD6880" w:rsidP="00FD6880" w14:paraId="2B3D61E3" w14:textId="77777777">
            <w:pPr>
              <w:pStyle w:val="TableParagraph"/>
              <w:spacing w:before="224"/>
              <w:ind w:right="92"/>
              <w:jc w:val="center"/>
              <w:rPr>
                <w:b/>
                <w:i/>
                <w:sz w:val="24"/>
                <w:szCs w:val="24"/>
              </w:rPr>
            </w:pPr>
            <w:r w:rsidRPr="00FD6880">
              <w:rPr>
                <w:b/>
                <w:sz w:val="24"/>
                <w:szCs w:val="24"/>
              </w:rPr>
              <w:t>Burden</w:t>
            </w:r>
            <w:r w:rsidRPr="00FD6880">
              <w:rPr>
                <w:b/>
                <w:spacing w:val="-15"/>
                <w:sz w:val="24"/>
                <w:szCs w:val="24"/>
              </w:rPr>
              <w:t xml:space="preserve"> </w:t>
            </w:r>
            <w:r w:rsidRPr="00FD6880">
              <w:rPr>
                <w:b/>
                <w:sz w:val="24"/>
                <w:szCs w:val="24"/>
              </w:rPr>
              <w:t xml:space="preserve">per </w:t>
            </w:r>
            <w:r w:rsidRPr="00FD6880">
              <w:rPr>
                <w:b/>
                <w:spacing w:val="-2"/>
                <w:sz w:val="24"/>
                <w:szCs w:val="24"/>
              </w:rPr>
              <w:t>disclosure (hours)</w:t>
            </w:r>
          </w:p>
        </w:tc>
        <w:tc>
          <w:tcPr>
            <w:tcW w:w="1890" w:type="dxa"/>
            <w:shd w:val="clear" w:color="auto" w:fill="E7E6E6" w:themeFill="background2"/>
            <w:vAlign w:val="center"/>
          </w:tcPr>
          <w:p w:rsidR="00891DD8" w:rsidRPr="00FD6880" w:rsidP="00FD6880" w14:paraId="6CE0FB15" w14:textId="77777777">
            <w:pPr>
              <w:pStyle w:val="TableParagraph"/>
              <w:spacing w:before="224"/>
              <w:ind w:right="95"/>
              <w:jc w:val="center"/>
              <w:rPr>
                <w:b/>
                <w:i/>
                <w:sz w:val="24"/>
                <w:szCs w:val="24"/>
              </w:rPr>
            </w:pPr>
            <w:r w:rsidRPr="00FD6880">
              <w:rPr>
                <w:b/>
                <w:spacing w:val="-2"/>
                <w:sz w:val="24"/>
                <w:szCs w:val="24"/>
              </w:rPr>
              <w:t xml:space="preserve">Total Annual Burden </w:t>
            </w:r>
            <w:r w:rsidRPr="00FD6880">
              <w:rPr>
                <w:b/>
                <w:spacing w:val="-4"/>
                <w:sz w:val="24"/>
                <w:szCs w:val="24"/>
              </w:rPr>
              <w:t>Hours</w:t>
            </w:r>
          </w:p>
        </w:tc>
      </w:tr>
      <w:tr w14:paraId="50885CB4"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4F7750" w:rsidP="00FD6880" w14:paraId="2EA7B622" w14:textId="77777777">
            <w:pPr>
              <w:pStyle w:val="TableParagraph"/>
              <w:spacing w:line="273" w:lineRule="exact"/>
              <w:rPr>
                <w:sz w:val="24"/>
              </w:rPr>
            </w:pPr>
            <w:r>
              <w:rPr>
                <w:spacing w:val="-2"/>
                <w:sz w:val="24"/>
              </w:rPr>
              <w:t>§1024.32</w:t>
            </w:r>
          </w:p>
          <w:p w:rsidR="00571C9A" w:rsidRPr="00571C9A" w:rsidP="004F7750" w14:paraId="7302FCEE" w14:textId="77777777">
            <w:pPr>
              <w:pStyle w:val="TableParagraph"/>
              <w:rPr>
                <w:bCs/>
                <w:sz w:val="24"/>
                <w:szCs w:val="24"/>
              </w:rPr>
            </w:pPr>
            <w:r>
              <w:rPr>
                <w:spacing w:val="-2"/>
                <w:sz w:val="24"/>
              </w:rPr>
              <w:t xml:space="preserve">Servicer Successor-in- Interest </w:t>
            </w:r>
            <w:r>
              <w:rPr>
                <w:sz w:val="24"/>
              </w:rPr>
              <w:t>recognition</w:t>
            </w:r>
            <w:r>
              <w:rPr>
                <w:spacing w:val="-15"/>
                <w:sz w:val="24"/>
              </w:rPr>
              <w:t xml:space="preserve"> </w:t>
            </w:r>
            <w:r>
              <w:rPr>
                <w:sz w:val="24"/>
              </w:rPr>
              <w:t xml:space="preserve">to </w:t>
            </w:r>
            <w:r>
              <w:rPr>
                <w:spacing w:val="-2"/>
                <w:sz w:val="24"/>
              </w:rPr>
              <w:t>consumer</w:t>
            </w:r>
          </w:p>
        </w:tc>
        <w:tc>
          <w:tcPr>
            <w:tcW w:w="1710" w:type="dxa"/>
            <w:shd w:val="clear" w:color="auto" w:fill="FFFFFF" w:themeFill="background1"/>
            <w:vAlign w:val="bottom"/>
          </w:tcPr>
          <w:p w:rsidR="00571C9A" w:rsidRPr="00571C9A" w:rsidP="00FD6880" w14:paraId="54AE3AB5" w14:textId="77777777">
            <w:pPr>
              <w:pStyle w:val="TableParagraph"/>
              <w:spacing w:before="224"/>
              <w:ind w:right="96"/>
              <w:jc w:val="right"/>
              <w:rPr>
                <w:bCs/>
                <w:spacing w:val="-2"/>
                <w:sz w:val="24"/>
                <w:szCs w:val="24"/>
              </w:rPr>
            </w:pPr>
            <w:r>
              <w:rPr>
                <w:spacing w:val="-2"/>
                <w:sz w:val="24"/>
              </w:rPr>
              <w:t>9,627</w:t>
            </w:r>
          </w:p>
        </w:tc>
        <w:tc>
          <w:tcPr>
            <w:tcW w:w="1620" w:type="dxa"/>
            <w:shd w:val="clear" w:color="auto" w:fill="FFFFFF" w:themeFill="background1"/>
            <w:vAlign w:val="bottom"/>
          </w:tcPr>
          <w:p w:rsidR="00571C9A" w:rsidRPr="00891DD8" w:rsidP="00FD6880" w14:paraId="3B0F2286" w14:textId="77777777">
            <w:pPr>
              <w:pStyle w:val="TableParagraph"/>
              <w:spacing w:before="224"/>
              <w:ind w:right="95"/>
              <w:jc w:val="right"/>
              <w:rPr>
                <w:bCs/>
                <w:spacing w:val="-2"/>
                <w:sz w:val="24"/>
                <w:szCs w:val="24"/>
              </w:rPr>
            </w:pPr>
            <w:r>
              <w:rPr>
                <w:sz w:val="24"/>
              </w:rPr>
              <w:t>6</w:t>
            </w:r>
          </w:p>
        </w:tc>
        <w:tc>
          <w:tcPr>
            <w:tcW w:w="1800" w:type="dxa"/>
            <w:shd w:val="clear" w:color="auto" w:fill="FFFFFF" w:themeFill="background1"/>
            <w:vAlign w:val="bottom"/>
          </w:tcPr>
          <w:p w:rsidR="00571C9A" w:rsidRPr="00891DD8" w:rsidP="00FD6880" w14:paraId="4EAC3051" w14:textId="77777777">
            <w:pPr>
              <w:pStyle w:val="TableParagraph"/>
              <w:spacing w:before="224"/>
              <w:ind w:right="95"/>
              <w:jc w:val="right"/>
              <w:rPr>
                <w:bCs/>
                <w:spacing w:val="-2"/>
                <w:sz w:val="24"/>
                <w:szCs w:val="24"/>
              </w:rPr>
            </w:pPr>
            <w:r>
              <w:rPr>
                <w:spacing w:val="-2"/>
                <w:sz w:val="24"/>
              </w:rPr>
              <w:t>5</w:t>
            </w:r>
            <w:r w:rsidR="00E227CA">
              <w:rPr>
                <w:spacing w:val="-2"/>
                <w:sz w:val="24"/>
              </w:rPr>
              <w:t>7</w:t>
            </w:r>
            <w:r>
              <w:rPr>
                <w:spacing w:val="-2"/>
                <w:sz w:val="24"/>
              </w:rPr>
              <w:t>,7</w:t>
            </w:r>
            <w:r w:rsidR="00E227CA">
              <w:rPr>
                <w:spacing w:val="-2"/>
                <w:sz w:val="24"/>
              </w:rPr>
              <w:t>62</w:t>
            </w:r>
          </w:p>
        </w:tc>
        <w:tc>
          <w:tcPr>
            <w:tcW w:w="1620" w:type="dxa"/>
            <w:shd w:val="clear" w:color="auto" w:fill="FFFFFF" w:themeFill="background1"/>
            <w:vAlign w:val="bottom"/>
          </w:tcPr>
          <w:p w:rsidR="00571C9A" w:rsidRPr="00891DD8" w:rsidP="00FD6880" w14:paraId="3EC671C3" w14:textId="22C28815">
            <w:pPr>
              <w:pStyle w:val="TableParagraph"/>
              <w:spacing w:before="224"/>
              <w:ind w:right="92"/>
              <w:jc w:val="right"/>
              <w:rPr>
                <w:bCs/>
                <w:sz w:val="24"/>
                <w:szCs w:val="24"/>
              </w:rPr>
            </w:pPr>
            <w:r>
              <w:rPr>
                <w:spacing w:val="-4"/>
                <w:sz w:val="24"/>
              </w:rPr>
              <w:t>0.017</w:t>
            </w:r>
          </w:p>
        </w:tc>
        <w:tc>
          <w:tcPr>
            <w:tcW w:w="1890" w:type="dxa"/>
            <w:shd w:val="clear" w:color="auto" w:fill="FFFFFF" w:themeFill="background1"/>
            <w:vAlign w:val="bottom"/>
          </w:tcPr>
          <w:p w:rsidR="00571C9A" w:rsidRPr="00891DD8" w:rsidP="00FD6880" w14:paraId="5E07139D" w14:textId="77777777">
            <w:pPr>
              <w:pStyle w:val="TableParagraph"/>
              <w:spacing w:before="224"/>
              <w:ind w:right="95"/>
              <w:jc w:val="right"/>
              <w:rPr>
                <w:bCs/>
                <w:spacing w:val="-2"/>
                <w:sz w:val="24"/>
                <w:szCs w:val="24"/>
              </w:rPr>
            </w:pPr>
            <w:r>
              <w:rPr>
                <w:spacing w:val="-2"/>
                <w:sz w:val="24"/>
              </w:rPr>
              <w:t>9</w:t>
            </w:r>
            <w:r w:rsidR="00E227CA">
              <w:rPr>
                <w:spacing w:val="-2"/>
                <w:sz w:val="24"/>
              </w:rPr>
              <w:t>82</w:t>
            </w:r>
          </w:p>
        </w:tc>
      </w:tr>
      <w:tr w14:paraId="2F6832D6"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DD6AAE" w:rsidP="00FD6880" w14:paraId="1A594A19" w14:textId="77777777">
            <w:pPr>
              <w:pStyle w:val="TableParagraph"/>
              <w:spacing w:line="273" w:lineRule="exact"/>
              <w:rPr>
                <w:sz w:val="24"/>
              </w:rPr>
            </w:pPr>
            <w:r>
              <w:rPr>
                <w:spacing w:val="-2"/>
                <w:sz w:val="24"/>
              </w:rPr>
              <w:t>§1024.33</w:t>
            </w:r>
          </w:p>
          <w:p w:rsidR="00DD6AAE" w:rsidP="00FD6880" w14:paraId="6E7C595A" w14:textId="77777777">
            <w:pPr>
              <w:pStyle w:val="TableParagraph"/>
              <w:spacing w:line="273" w:lineRule="exact"/>
              <w:rPr>
                <w:spacing w:val="-2"/>
                <w:sz w:val="24"/>
              </w:rPr>
            </w:pPr>
            <w:r>
              <w:rPr>
                <w:spacing w:val="-2"/>
                <w:sz w:val="24"/>
              </w:rPr>
              <w:t xml:space="preserve">Mortgage servicing </w:t>
            </w:r>
            <w:r>
              <w:rPr>
                <w:sz w:val="24"/>
              </w:rPr>
              <w:t>transfer</w:t>
            </w:r>
            <w:r>
              <w:rPr>
                <w:spacing w:val="-15"/>
                <w:sz w:val="24"/>
              </w:rPr>
              <w:t xml:space="preserve"> </w:t>
            </w:r>
            <w:r>
              <w:rPr>
                <w:sz w:val="24"/>
              </w:rPr>
              <w:t>notice</w:t>
            </w:r>
          </w:p>
        </w:tc>
        <w:tc>
          <w:tcPr>
            <w:tcW w:w="1710" w:type="dxa"/>
            <w:shd w:val="clear" w:color="auto" w:fill="FFFFFF" w:themeFill="background1"/>
            <w:vAlign w:val="bottom"/>
          </w:tcPr>
          <w:p w:rsidR="00DD6AAE" w:rsidP="00FD6880" w14:paraId="337CBB58" w14:textId="77777777">
            <w:pPr>
              <w:pStyle w:val="TableParagraph"/>
              <w:spacing w:before="224"/>
              <w:ind w:right="96"/>
              <w:jc w:val="right"/>
              <w:rPr>
                <w:spacing w:val="-2"/>
                <w:sz w:val="24"/>
              </w:rPr>
            </w:pPr>
            <w:r>
              <w:rPr>
                <w:spacing w:val="-2"/>
                <w:sz w:val="24"/>
              </w:rPr>
              <w:t>9,627</w:t>
            </w:r>
          </w:p>
        </w:tc>
        <w:tc>
          <w:tcPr>
            <w:tcW w:w="1620" w:type="dxa"/>
            <w:shd w:val="clear" w:color="auto" w:fill="FFFFFF" w:themeFill="background1"/>
            <w:vAlign w:val="bottom"/>
          </w:tcPr>
          <w:p w:rsidR="00DD6AAE" w:rsidP="00FD6880" w14:paraId="532BFD4D" w14:textId="77777777">
            <w:pPr>
              <w:pStyle w:val="TableParagraph"/>
              <w:spacing w:before="224"/>
              <w:ind w:right="95"/>
              <w:jc w:val="right"/>
              <w:rPr>
                <w:sz w:val="24"/>
              </w:rPr>
            </w:pPr>
            <w:r>
              <w:rPr>
                <w:spacing w:val="-5"/>
                <w:sz w:val="24"/>
              </w:rPr>
              <w:t>726</w:t>
            </w:r>
          </w:p>
        </w:tc>
        <w:tc>
          <w:tcPr>
            <w:tcW w:w="1800" w:type="dxa"/>
            <w:shd w:val="clear" w:color="auto" w:fill="FFFFFF" w:themeFill="background1"/>
            <w:vAlign w:val="bottom"/>
          </w:tcPr>
          <w:p w:rsidR="00DD6AAE" w:rsidP="00FD6880" w14:paraId="59A1671C" w14:textId="77777777">
            <w:pPr>
              <w:pStyle w:val="TableParagraph"/>
              <w:spacing w:before="224"/>
              <w:ind w:right="95"/>
              <w:jc w:val="right"/>
              <w:rPr>
                <w:spacing w:val="-2"/>
                <w:sz w:val="24"/>
              </w:rPr>
            </w:pPr>
            <w:r>
              <w:rPr>
                <w:spacing w:val="-2"/>
                <w:sz w:val="24"/>
              </w:rPr>
              <w:t>6,989,</w:t>
            </w:r>
            <w:r w:rsidR="00E227CA">
              <w:rPr>
                <w:spacing w:val="-2"/>
                <w:sz w:val="24"/>
              </w:rPr>
              <w:t>20</w:t>
            </w:r>
            <w:r>
              <w:rPr>
                <w:spacing w:val="-2"/>
                <w:sz w:val="24"/>
              </w:rPr>
              <w:t>2</w:t>
            </w:r>
          </w:p>
        </w:tc>
        <w:tc>
          <w:tcPr>
            <w:tcW w:w="1620" w:type="dxa"/>
            <w:shd w:val="clear" w:color="auto" w:fill="FFFFFF" w:themeFill="background1"/>
            <w:vAlign w:val="bottom"/>
          </w:tcPr>
          <w:p w:rsidR="00DD6AAE" w:rsidP="00FD6880" w14:paraId="1FFD8BD8" w14:textId="37DFE0DE">
            <w:pPr>
              <w:pStyle w:val="TableParagraph"/>
              <w:spacing w:before="224"/>
              <w:ind w:right="92"/>
              <w:jc w:val="right"/>
              <w:rPr>
                <w:spacing w:val="-4"/>
                <w:sz w:val="24"/>
              </w:rPr>
            </w:pPr>
            <w:r>
              <w:rPr>
                <w:spacing w:val="-4"/>
                <w:sz w:val="24"/>
              </w:rPr>
              <w:t>0.003</w:t>
            </w:r>
          </w:p>
        </w:tc>
        <w:tc>
          <w:tcPr>
            <w:tcW w:w="1890" w:type="dxa"/>
            <w:shd w:val="clear" w:color="auto" w:fill="FFFFFF" w:themeFill="background1"/>
            <w:vAlign w:val="bottom"/>
          </w:tcPr>
          <w:p w:rsidR="00DD6AAE" w:rsidP="00FD6880" w14:paraId="5CEA9BCF" w14:textId="77777777">
            <w:pPr>
              <w:pStyle w:val="TableParagraph"/>
              <w:spacing w:before="224"/>
              <w:ind w:right="95"/>
              <w:jc w:val="right"/>
              <w:rPr>
                <w:spacing w:val="-2"/>
                <w:sz w:val="24"/>
              </w:rPr>
            </w:pPr>
            <w:r>
              <w:rPr>
                <w:spacing w:val="-2"/>
                <w:sz w:val="24"/>
              </w:rPr>
              <w:t>20,969</w:t>
            </w:r>
          </w:p>
        </w:tc>
      </w:tr>
      <w:tr w14:paraId="469C454E"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3D1783" w:rsidP="00FD6880" w14:paraId="4B72FF07" w14:textId="77777777">
            <w:pPr>
              <w:pStyle w:val="TableParagraph"/>
              <w:spacing w:line="273" w:lineRule="exact"/>
              <w:rPr>
                <w:spacing w:val="-2"/>
                <w:sz w:val="24"/>
              </w:rPr>
            </w:pPr>
            <w:r w:rsidRPr="4A45850E">
              <w:rPr>
                <w:spacing w:val="-2"/>
                <w:sz w:val="24"/>
                <w:szCs w:val="24"/>
              </w:rPr>
              <w:t>§ 1024.39 Maintain webpage providing information about investor-specific loss mitigation options</w:t>
            </w:r>
            <w:r>
              <w:rPr>
                <w:rStyle w:val="FootnoteReference"/>
                <w:spacing w:val="-2"/>
                <w:sz w:val="24"/>
                <w:szCs w:val="24"/>
              </w:rPr>
              <w:footnoteReference w:id="9"/>
            </w:r>
          </w:p>
        </w:tc>
        <w:tc>
          <w:tcPr>
            <w:tcW w:w="1710" w:type="dxa"/>
            <w:shd w:val="clear" w:color="auto" w:fill="FFFFFF" w:themeFill="background1"/>
            <w:vAlign w:val="bottom"/>
          </w:tcPr>
          <w:p w:rsidR="003D1783" w:rsidP="00FD6880" w14:paraId="15AE8DBB" w14:textId="77777777">
            <w:pPr>
              <w:pStyle w:val="TableParagraph"/>
              <w:spacing w:before="224"/>
              <w:ind w:right="96"/>
              <w:jc w:val="right"/>
              <w:rPr>
                <w:spacing w:val="-2"/>
                <w:sz w:val="24"/>
              </w:rPr>
            </w:pPr>
            <w:r>
              <w:rPr>
                <w:spacing w:val="-2"/>
                <w:sz w:val="24"/>
              </w:rPr>
              <w:t>9,627</w:t>
            </w:r>
          </w:p>
        </w:tc>
        <w:tc>
          <w:tcPr>
            <w:tcW w:w="1620" w:type="dxa"/>
            <w:shd w:val="clear" w:color="auto" w:fill="FFFFFF" w:themeFill="background1"/>
            <w:vAlign w:val="bottom"/>
          </w:tcPr>
          <w:p w:rsidR="003D1783" w:rsidP="00FD6880" w14:paraId="647FFEC5" w14:textId="77777777">
            <w:pPr>
              <w:pStyle w:val="TableParagraph"/>
              <w:spacing w:before="224"/>
              <w:ind w:right="95"/>
              <w:jc w:val="right"/>
              <w:rPr>
                <w:spacing w:val="-5"/>
                <w:sz w:val="24"/>
              </w:rPr>
            </w:pPr>
            <w:r>
              <w:rPr>
                <w:spacing w:val="-5"/>
                <w:sz w:val="24"/>
              </w:rPr>
              <w:t>551</w:t>
            </w:r>
          </w:p>
        </w:tc>
        <w:tc>
          <w:tcPr>
            <w:tcW w:w="1800" w:type="dxa"/>
            <w:shd w:val="clear" w:color="auto" w:fill="FFFFFF" w:themeFill="background1"/>
            <w:vAlign w:val="bottom"/>
          </w:tcPr>
          <w:p w:rsidR="003D1783" w:rsidP="00FD6880" w14:paraId="1D5DC27B" w14:textId="77777777">
            <w:pPr>
              <w:pStyle w:val="TableParagraph"/>
              <w:spacing w:before="224"/>
              <w:ind w:right="95"/>
              <w:jc w:val="right"/>
              <w:rPr>
                <w:spacing w:val="-2"/>
                <w:sz w:val="24"/>
              </w:rPr>
            </w:pPr>
            <w:r w:rsidRPr="00E227CA">
              <w:rPr>
                <w:spacing w:val="-2"/>
                <w:sz w:val="24"/>
              </w:rPr>
              <w:t>5,304,477</w:t>
            </w:r>
          </w:p>
        </w:tc>
        <w:tc>
          <w:tcPr>
            <w:tcW w:w="1620" w:type="dxa"/>
            <w:shd w:val="clear" w:color="auto" w:fill="FFFFFF" w:themeFill="background1"/>
            <w:vAlign w:val="bottom"/>
          </w:tcPr>
          <w:p w:rsidR="003D1783" w:rsidP="00FD6880" w14:paraId="30FAA647" w14:textId="77777777">
            <w:pPr>
              <w:pStyle w:val="TableParagraph"/>
              <w:spacing w:before="224"/>
              <w:ind w:right="92"/>
              <w:jc w:val="right"/>
              <w:rPr>
                <w:spacing w:val="-4"/>
                <w:sz w:val="24"/>
              </w:rPr>
            </w:pPr>
            <w:r>
              <w:rPr>
                <w:spacing w:val="-4"/>
                <w:sz w:val="24"/>
              </w:rPr>
              <w:t>0</w:t>
            </w:r>
          </w:p>
        </w:tc>
        <w:tc>
          <w:tcPr>
            <w:tcW w:w="1890" w:type="dxa"/>
            <w:shd w:val="clear" w:color="auto" w:fill="FFFFFF" w:themeFill="background1"/>
            <w:vAlign w:val="bottom"/>
          </w:tcPr>
          <w:p w:rsidR="003D1783" w:rsidP="00FD6880" w14:paraId="1AC9B11C" w14:textId="77777777">
            <w:pPr>
              <w:pStyle w:val="TableParagraph"/>
              <w:spacing w:before="224"/>
              <w:ind w:right="95"/>
              <w:jc w:val="right"/>
              <w:rPr>
                <w:spacing w:val="-2"/>
                <w:sz w:val="24"/>
              </w:rPr>
            </w:pPr>
            <w:r>
              <w:rPr>
                <w:spacing w:val="-2"/>
                <w:sz w:val="24"/>
              </w:rPr>
              <w:t>0</w:t>
            </w:r>
          </w:p>
        </w:tc>
      </w:tr>
      <w:tr w14:paraId="207958B4"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DD6AAE" w:rsidP="00FD6880" w14:paraId="741B9BC6" w14:textId="77777777">
            <w:pPr>
              <w:pStyle w:val="TableParagraph"/>
              <w:spacing w:line="273" w:lineRule="exact"/>
              <w:rPr>
                <w:sz w:val="24"/>
              </w:rPr>
            </w:pPr>
            <w:r>
              <w:rPr>
                <w:spacing w:val="-2"/>
                <w:sz w:val="24"/>
              </w:rPr>
              <w:t>§1024.39(b)(1)</w:t>
            </w:r>
          </w:p>
          <w:p w:rsidR="00DD6AAE" w:rsidP="00FD6880" w14:paraId="6233DDFC" w14:textId="76FFE15C">
            <w:pPr>
              <w:pStyle w:val="TableParagraph"/>
              <w:spacing w:line="273" w:lineRule="exact"/>
              <w:rPr>
                <w:spacing w:val="-2"/>
                <w:sz w:val="24"/>
              </w:rPr>
            </w:pPr>
            <w:r>
              <w:rPr>
                <w:sz w:val="24"/>
              </w:rPr>
              <w:t xml:space="preserve">Early and </w:t>
            </w:r>
            <w:r>
              <w:rPr>
                <w:spacing w:val="-2"/>
                <w:sz w:val="24"/>
              </w:rPr>
              <w:t xml:space="preserve">Written </w:t>
            </w:r>
            <w:r>
              <w:rPr>
                <w:sz w:val="24"/>
              </w:rPr>
              <w:t>intervention</w:t>
            </w:r>
            <w:r>
              <w:rPr>
                <w:spacing w:val="-15"/>
                <w:sz w:val="24"/>
              </w:rPr>
              <w:t xml:space="preserve"> </w:t>
            </w:r>
            <w:r>
              <w:rPr>
                <w:sz w:val="24"/>
              </w:rPr>
              <w:t xml:space="preserve">for </w:t>
            </w:r>
            <w:r>
              <w:rPr>
                <w:spacing w:val="-2"/>
                <w:sz w:val="24"/>
              </w:rPr>
              <w:t>delinquent</w:t>
            </w:r>
            <w:r w:rsidR="00FD6880">
              <w:rPr>
                <w:spacing w:val="-2"/>
                <w:sz w:val="24"/>
              </w:rPr>
              <w:t xml:space="preserve"> </w:t>
            </w:r>
            <w:r>
              <w:rPr>
                <w:spacing w:val="-2"/>
                <w:sz w:val="24"/>
              </w:rPr>
              <w:t>borrowers</w:t>
            </w:r>
            <w:r>
              <w:rPr>
                <w:spacing w:val="-2"/>
                <w:sz w:val="24"/>
              </w:rPr>
              <w:t xml:space="preserve"> notices</w:t>
            </w:r>
          </w:p>
        </w:tc>
        <w:tc>
          <w:tcPr>
            <w:tcW w:w="1710" w:type="dxa"/>
            <w:shd w:val="clear" w:color="auto" w:fill="FFFFFF" w:themeFill="background1"/>
            <w:vAlign w:val="bottom"/>
          </w:tcPr>
          <w:p w:rsidR="00DD6AAE" w:rsidP="00FD6880" w14:paraId="7AD7EB7A" w14:textId="77777777">
            <w:pPr>
              <w:pStyle w:val="TableParagraph"/>
              <w:spacing w:before="224"/>
              <w:ind w:right="96"/>
              <w:jc w:val="right"/>
              <w:rPr>
                <w:spacing w:val="-2"/>
                <w:sz w:val="24"/>
              </w:rPr>
            </w:pPr>
            <w:r>
              <w:rPr>
                <w:spacing w:val="-2"/>
                <w:sz w:val="24"/>
              </w:rPr>
              <w:t>1,130</w:t>
            </w:r>
          </w:p>
        </w:tc>
        <w:tc>
          <w:tcPr>
            <w:tcW w:w="1620" w:type="dxa"/>
            <w:shd w:val="clear" w:color="auto" w:fill="FFFFFF" w:themeFill="background1"/>
            <w:vAlign w:val="bottom"/>
          </w:tcPr>
          <w:p w:rsidR="00DD6AAE" w:rsidP="00FD6880" w14:paraId="4871ACD8" w14:textId="77777777">
            <w:pPr>
              <w:pStyle w:val="TableParagraph"/>
              <w:spacing w:before="224"/>
              <w:ind w:right="95"/>
              <w:jc w:val="right"/>
              <w:rPr>
                <w:spacing w:val="-5"/>
                <w:sz w:val="24"/>
              </w:rPr>
            </w:pPr>
            <w:r>
              <w:rPr>
                <w:spacing w:val="-2"/>
                <w:sz w:val="24"/>
              </w:rPr>
              <w:t>1,002</w:t>
            </w:r>
          </w:p>
        </w:tc>
        <w:tc>
          <w:tcPr>
            <w:tcW w:w="1800" w:type="dxa"/>
            <w:shd w:val="clear" w:color="auto" w:fill="FFFFFF" w:themeFill="background1"/>
            <w:vAlign w:val="bottom"/>
          </w:tcPr>
          <w:p w:rsidR="00DD6AAE" w:rsidP="00FD6880" w14:paraId="4C00A852" w14:textId="77777777">
            <w:pPr>
              <w:pStyle w:val="TableParagraph"/>
              <w:spacing w:before="224"/>
              <w:ind w:right="95"/>
              <w:jc w:val="right"/>
              <w:rPr>
                <w:spacing w:val="-2"/>
                <w:sz w:val="24"/>
              </w:rPr>
            </w:pPr>
            <w:r>
              <w:rPr>
                <w:spacing w:val="-2"/>
                <w:sz w:val="24"/>
              </w:rPr>
              <w:t>1,132</w:t>
            </w:r>
            <w:r w:rsidR="00473352">
              <w:rPr>
                <w:spacing w:val="-2"/>
                <w:sz w:val="24"/>
              </w:rPr>
              <w:t>,</w:t>
            </w:r>
            <w:r w:rsidR="00E227CA">
              <w:rPr>
                <w:spacing w:val="-2"/>
                <w:sz w:val="24"/>
              </w:rPr>
              <w:t>26</w:t>
            </w:r>
            <w:r>
              <w:rPr>
                <w:spacing w:val="-2"/>
                <w:sz w:val="24"/>
              </w:rPr>
              <w:t>0</w:t>
            </w:r>
          </w:p>
        </w:tc>
        <w:tc>
          <w:tcPr>
            <w:tcW w:w="1620" w:type="dxa"/>
            <w:shd w:val="clear" w:color="auto" w:fill="FFFFFF" w:themeFill="background1"/>
            <w:vAlign w:val="bottom"/>
          </w:tcPr>
          <w:p w:rsidR="00DD6AAE" w:rsidP="00FD6880" w14:paraId="50462110" w14:textId="7CADF012">
            <w:pPr>
              <w:pStyle w:val="TableParagraph"/>
              <w:spacing w:before="224"/>
              <w:ind w:right="92"/>
              <w:jc w:val="right"/>
              <w:rPr>
                <w:spacing w:val="-4"/>
                <w:sz w:val="24"/>
              </w:rPr>
            </w:pPr>
            <w:r>
              <w:rPr>
                <w:spacing w:val="-4"/>
                <w:sz w:val="24"/>
              </w:rPr>
              <w:t>0.003</w:t>
            </w:r>
          </w:p>
        </w:tc>
        <w:tc>
          <w:tcPr>
            <w:tcW w:w="1890" w:type="dxa"/>
            <w:shd w:val="clear" w:color="auto" w:fill="FFFFFF" w:themeFill="background1"/>
            <w:vAlign w:val="bottom"/>
          </w:tcPr>
          <w:p w:rsidR="00DD6AAE" w:rsidP="00FD6880" w14:paraId="2D6F4366" w14:textId="77777777">
            <w:pPr>
              <w:pStyle w:val="TableParagraph"/>
              <w:spacing w:before="224"/>
              <w:ind w:right="95"/>
              <w:jc w:val="right"/>
              <w:rPr>
                <w:spacing w:val="-2"/>
                <w:sz w:val="24"/>
              </w:rPr>
            </w:pPr>
            <w:r>
              <w:rPr>
                <w:spacing w:val="-2"/>
                <w:sz w:val="24"/>
              </w:rPr>
              <w:t>3,39</w:t>
            </w:r>
            <w:r w:rsidR="00E227CA">
              <w:rPr>
                <w:spacing w:val="-2"/>
                <w:sz w:val="24"/>
              </w:rPr>
              <w:t>7</w:t>
            </w:r>
          </w:p>
        </w:tc>
      </w:tr>
      <w:tr w14:paraId="4C24FD01"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DD6AAE" w:rsidP="00FD6880" w14:paraId="6A4CB127" w14:textId="77777777">
            <w:pPr>
              <w:pStyle w:val="TableParagraph"/>
              <w:spacing w:line="274" w:lineRule="exact"/>
              <w:rPr>
                <w:sz w:val="24"/>
              </w:rPr>
            </w:pPr>
            <w:r>
              <w:rPr>
                <w:sz w:val="24"/>
              </w:rPr>
              <w:t>§1024.35-</w:t>
            </w:r>
            <w:r>
              <w:rPr>
                <w:spacing w:val="-5"/>
                <w:sz w:val="24"/>
              </w:rPr>
              <w:t>36</w:t>
            </w:r>
          </w:p>
          <w:p w:rsidR="00DD6AAE" w:rsidP="00FD6880" w14:paraId="1B35151D" w14:textId="77777777">
            <w:pPr>
              <w:pStyle w:val="TableParagraph"/>
              <w:spacing w:line="273" w:lineRule="exact"/>
              <w:rPr>
                <w:spacing w:val="-2"/>
                <w:sz w:val="24"/>
              </w:rPr>
            </w:pPr>
            <w:r>
              <w:rPr>
                <w:spacing w:val="-2"/>
                <w:sz w:val="24"/>
              </w:rPr>
              <w:t xml:space="preserve">Error- </w:t>
            </w:r>
            <w:r>
              <w:rPr>
                <w:sz w:val="24"/>
              </w:rPr>
              <w:t>resolution</w:t>
            </w:r>
            <w:r>
              <w:rPr>
                <w:spacing w:val="-15"/>
                <w:sz w:val="24"/>
              </w:rPr>
              <w:t xml:space="preserve"> </w:t>
            </w:r>
            <w:r>
              <w:rPr>
                <w:sz w:val="24"/>
              </w:rPr>
              <w:t xml:space="preserve">and requests for </w:t>
            </w:r>
            <w:r>
              <w:rPr>
                <w:spacing w:val="-2"/>
                <w:sz w:val="24"/>
              </w:rPr>
              <w:t>information</w:t>
            </w:r>
          </w:p>
        </w:tc>
        <w:tc>
          <w:tcPr>
            <w:tcW w:w="1710" w:type="dxa"/>
            <w:shd w:val="clear" w:color="auto" w:fill="FFFFFF" w:themeFill="background1"/>
            <w:vAlign w:val="bottom"/>
          </w:tcPr>
          <w:p w:rsidR="00DD6AAE" w:rsidP="00FD6880" w14:paraId="5E77BB3F" w14:textId="77777777">
            <w:pPr>
              <w:pStyle w:val="TableParagraph"/>
              <w:spacing w:before="224"/>
              <w:ind w:right="96"/>
              <w:jc w:val="right"/>
              <w:rPr>
                <w:spacing w:val="-5"/>
                <w:sz w:val="24"/>
              </w:rPr>
            </w:pPr>
            <w:r>
              <w:rPr>
                <w:spacing w:val="-2"/>
                <w:sz w:val="24"/>
              </w:rPr>
              <w:t>9,627</w:t>
            </w:r>
          </w:p>
        </w:tc>
        <w:tc>
          <w:tcPr>
            <w:tcW w:w="1620" w:type="dxa"/>
            <w:shd w:val="clear" w:color="auto" w:fill="FFFFFF" w:themeFill="background1"/>
            <w:vAlign w:val="bottom"/>
          </w:tcPr>
          <w:p w:rsidR="00DD6AAE" w:rsidP="00FD6880" w14:paraId="32574531" w14:textId="77777777">
            <w:pPr>
              <w:pStyle w:val="TableParagraph"/>
              <w:spacing w:before="224"/>
              <w:ind w:right="95"/>
              <w:jc w:val="right"/>
              <w:rPr>
                <w:spacing w:val="-2"/>
                <w:sz w:val="24"/>
              </w:rPr>
            </w:pPr>
            <w:r>
              <w:rPr>
                <w:spacing w:val="-5"/>
                <w:sz w:val="24"/>
              </w:rPr>
              <w:t>53</w:t>
            </w:r>
          </w:p>
        </w:tc>
        <w:tc>
          <w:tcPr>
            <w:tcW w:w="1800" w:type="dxa"/>
            <w:shd w:val="clear" w:color="auto" w:fill="FFFFFF" w:themeFill="background1"/>
            <w:vAlign w:val="bottom"/>
          </w:tcPr>
          <w:p w:rsidR="00DD6AAE" w:rsidP="00FD6880" w14:paraId="59063274" w14:textId="77777777">
            <w:pPr>
              <w:pStyle w:val="TableParagraph"/>
              <w:spacing w:before="224"/>
              <w:ind w:right="95"/>
              <w:jc w:val="right"/>
              <w:rPr>
                <w:spacing w:val="-2"/>
                <w:sz w:val="24"/>
              </w:rPr>
            </w:pPr>
            <w:r>
              <w:rPr>
                <w:spacing w:val="-2"/>
                <w:sz w:val="24"/>
              </w:rPr>
              <w:t>51</w:t>
            </w:r>
            <w:r w:rsidR="00E227CA">
              <w:rPr>
                <w:spacing w:val="-2"/>
                <w:sz w:val="24"/>
              </w:rPr>
              <w:t>0</w:t>
            </w:r>
            <w:r w:rsidR="0092113B">
              <w:rPr>
                <w:spacing w:val="-2"/>
                <w:sz w:val="24"/>
              </w:rPr>
              <w:t>,231</w:t>
            </w:r>
          </w:p>
        </w:tc>
        <w:tc>
          <w:tcPr>
            <w:tcW w:w="1620" w:type="dxa"/>
            <w:shd w:val="clear" w:color="auto" w:fill="FFFFFF" w:themeFill="background1"/>
            <w:vAlign w:val="bottom"/>
          </w:tcPr>
          <w:p w:rsidR="00DD6AAE" w:rsidP="00FD6880" w14:paraId="5DCA7B2F" w14:textId="1BEB4288">
            <w:pPr>
              <w:pStyle w:val="TableParagraph"/>
              <w:spacing w:before="224"/>
              <w:ind w:right="92"/>
              <w:jc w:val="right"/>
              <w:rPr>
                <w:spacing w:val="-4"/>
                <w:sz w:val="24"/>
              </w:rPr>
            </w:pPr>
            <w:r>
              <w:rPr>
                <w:spacing w:val="-2"/>
                <w:sz w:val="24"/>
              </w:rPr>
              <w:t>0.170</w:t>
            </w:r>
            <w:hyperlink w:anchor="_bookmark8" w:history="1">
              <w:r>
                <w:rPr>
                  <w:spacing w:val="-2"/>
                  <w:sz w:val="24"/>
                  <w:vertAlign w:val="superscript"/>
                </w:rPr>
                <w:t>9</w:t>
              </w:r>
            </w:hyperlink>
          </w:p>
        </w:tc>
        <w:tc>
          <w:tcPr>
            <w:tcW w:w="1890" w:type="dxa"/>
            <w:shd w:val="clear" w:color="auto" w:fill="FFFFFF" w:themeFill="background1"/>
            <w:vAlign w:val="bottom"/>
          </w:tcPr>
          <w:p w:rsidR="00DD6AAE" w:rsidP="00FD6880" w14:paraId="3BE49B42" w14:textId="77777777">
            <w:pPr>
              <w:pStyle w:val="TableParagraph"/>
              <w:spacing w:before="224"/>
              <w:ind w:right="95"/>
              <w:jc w:val="right"/>
              <w:rPr>
                <w:spacing w:val="-2"/>
                <w:sz w:val="24"/>
              </w:rPr>
            </w:pPr>
            <w:r>
              <w:rPr>
                <w:spacing w:val="-2"/>
                <w:sz w:val="24"/>
              </w:rPr>
              <w:t>8</w:t>
            </w:r>
            <w:r w:rsidR="005E0F90">
              <w:rPr>
                <w:spacing w:val="-2"/>
                <w:sz w:val="24"/>
              </w:rPr>
              <w:t>6,740</w:t>
            </w:r>
          </w:p>
        </w:tc>
      </w:tr>
      <w:tr w14:paraId="433FC499" w14:textId="77777777" w:rsidTr="00FD6880">
        <w:tblPrEx>
          <w:tblW w:w="10408" w:type="dxa"/>
          <w:tblInd w:w="117" w:type="dxa"/>
          <w:tblLayout w:type="fixed"/>
          <w:tblCellMar>
            <w:left w:w="0" w:type="dxa"/>
            <w:right w:w="0" w:type="dxa"/>
          </w:tblCellMar>
          <w:tblLook w:val="01E0"/>
        </w:tblPrEx>
        <w:trPr>
          <w:trHeight w:val="817"/>
        </w:trPr>
        <w:tc>
          <w:tcPr>
            <w:tcW w:w="1768" w:type="dxa"/>
            <w:shd w:val="clear" w:color="auto" w:fill="FFFFFF" w:themeFill="background1"/>
          </w:tcPr>
          <w:p w:rsidR="00DD6AAE" w:rsidP="00FD6880" w14:paraId="420AFAE3" w14:textId="77777777">
            <w:pPr>
              <w:pStyle w:val="TableParagraph"/>
              <w:spacing w:line="273" w:lineRule="exact"/>
              <w:rPr>
                <w:sz w:val="24"/>
              </w:rPr>
            </w:pPr>
            <w:r>
              <w:rPr>
                <w:spacing w:val="-2"/>
                <w:sz w:val="24"/>
              </w:rPr>
              <w:t>§1024.37</w:t>
            </w:r>
          </w:p>
          <w:p w:rsidR="00DD6AAE" w:rsidP="00FD6880" w14:paraId="3A47A30B" w14:textId="77777777">
            <w:pPr>
              <w:pStyle w:val="TableParagraph"/>
              <w:spacing w:line="274" w:lineRule="exact"/>
              <w:rPr>
                <w:sz w:val="24"/>
              </w:rPr>
            </w:pPr>
            <w:r>
              <w:rPr>
                <w:spacing w:val="-2"/>
                <w:sz w:val="24"/>
              </w:rPr>
              <w:t>Force-placed insurance notice</w:t>
            </w:r>
          </w:p>
        </w:tc>
        <w:tc>
          <w:tcPr>
            <w:tcW w:w="1710" w:type="dxa"/>
            <w:shd w:val="clear" w:color="auto" w:fill="FFFFFF" w:themeFill="background1"/>
            <w:vAlign w:val="bottom"/>
          </w:tcPr>
          <w:p w:rsidR="00DD6AAE" w:rsidP="00FD6880" w14:paraId="6946A8E5" w14:textId="77777777">
            <w:pPr>
              <w:pStyle w:val="TableParagraph"/>
              <w:spacing w:before="224"/>
              <w:ind w:right="96"/>
              <w:jc w:val="right"/>
              <w:rPr>
                <w:spacing w:val="-2"/>
                <w:sz w:val="24"/>
              </w:rPr>
            </w:pPr>
            <w:r>
              <w:rPr>
                <w:spacing w:val="-2"/>
                <w:sz w:val="24"/>
              </w:rPr>
              <w:t>9,627</w:t>
            </w:r>
          </w:p>
        </w:tc>
        <w:tc>
          <w:tcPr>
            <w:tcW w:w="1620" w:type="dxa"/>
            <w:shd w:val="clear" w:color="auto" w:fill="FFFFFF" w:themeFill="background1"/>
            <w:vAlign w:val="bottom"/>
          </w:tcPr>
          <w:p w:rsidR="00DD6AAE" w:rsidP="00FD6880" w14:paraId="56CA5978" w14:textId="77777777">
            <w:pPr>
              <w:pStyle w:val="TableParagraph"/>
              <w:spacing w:before="224"/>
              <w:ind w:right="95"/>
              <w:jc w:val="right"/>
              <w:rPr>
                <w:spacing w:val="-5"/>
                <w:sz w:val="24"/>
              </w:rPr>
            </w:pPr>
            <w:r>
              <w:rPr>
                <w:spacing w:val="-5"/>
                <w:sz w:val="24"/>
              </w:rPr>
              <w:t>107</w:t>
            </w:r>
          </w:p>
        </w:tc>
        <w:tc>
          <w:tcPr>
            <w:tcW w:w="1800" w:type="dxa"/>
            <w:shd w:val="clear" w:color="auto" w:fill="FFFFFF" w:themeFill="background1"/>
            <w:vAlign w:val="bottom"/>
          </w:tcPr>
          <w:p w:rsidR="00DD6AAE" w:rsidP="00FD6880" w14:paraId="2BD7293C" w14:textId="77777777">
            <w:pPr>
              <w:pStyle w:val="TableParagraph"/>
              <w:spacing w:before="224"/>
              <w:ind w:right="95"/>
              <w:jc w:val="right"/>
              <w:rPr>
                <w:spacing w:val="-2"/>
                <w:sz w:val="24"/>
              </w:rPr>
            </w:pPr>
            <w:r>
              <w:rPr>
                <w:spacing w:val="-2"/>
                <w:sz w:val="24"/>
              </w:rPr>
              <w:t>1,0</w:t>
            </w:r>
            <w:r w:rsidR="005E0F90">
              <w:rPr>
                <w:spacing w:val="-2"/>
                <w:sz w:val="24"/>
              </w:rPr>
              <w:t>30</w:t>
            </w:r>
            <w:r>
              <w:rPr>
                <w:spacing w:val="-2"/>
                <w:sz w:val="24"/>
              </w:rPr>
              <w:t>,</w:t>
            </w:r>
            <w:r w:rsidR="005E0F90">
              <w:rPr>
                <w:spacing w:val="-2"/>
                <w:sz w:val="24"/>
              </w:rPr>
              <w:t>089</w:t>
            </w:r>
          </w:p>
        </w:tc>
        <w:tc>
          <w:tcPr>
            <w:tcW w:w="1620" w:type="dxa"/>
            <w:shd w:val="clear" w:color="auto" w:fill="FFFFFF" w:themeFill="background1"/>
            <w:vAlign w:val="bottom"/>
          </w:tcPr>
          <w:p w:rsidR="00DD6AAE" w:rsidP="00FD6880" w14:paraId="7855B810" w14:textId="2B641806">
            <w:pPr>
              <w:pStyle w:val="TableParagraph"/>
              <w:spacing w:before="224"/>
              <w:ind w:right="92"/>
              <w:jc w:val="right"/>
              <w:rPr>
                <w:spacing w:val="-2"/>
                <w:sz w:val="24"/>
              </w:rPr>
            </w:pPr>
            <w:r>
              <w:rPr>
                <w:spacing w:val="-4"/>
                <w:sz w:val="24"/>
              </w:rPr>
              <w:t>0.003</w:t>
            </w:r>
          </w:p>
        </w:tc>
        <w:tc>
          <w:tcPr>
            <w:tcW w:w="1890" w:type="dxa"/>
            <w:shd w:val="clear" w:color="auto" w:fill="FFFFFF" w:themeFill="background1"/>
            <w:vAlign w:val="bottom"/>
          </w:tcPr>
          <w:p w:rsidR="00DD6AAE" w:rsidP="00FD6880" w14:paraId="0B8332C7" w14:textId="77777777">
            <w:pPr>
              <w:pStyle w:val="TableParagraph"/>
              <w:spacing w:before="224"/>
              <w:ind w:right="95"/>
              <w:jc w:val="right"/>
              <w:rPr>
                <w:spacing w:val="-2"/>
                <w:sz w:val="24"/>
              </w:rPr>
            </w:pPr>
            <w:r>
              <w:rPr>
                <w:spacing w:val="-2"/>
                <w:sz w:val="24"/>
              </w:rPr>
              <w:t>3,0</w:t>
            </w:r>
            <w:r w:rsidR="005E0F90">
              <w:rPr>
                <w:spacing w:val="-2"/>
                <w:sz w:val="24"/>
              </w:rPr>
              <w:t>90</w:t>
            </w:r>
          </w:p>
        </w:tc>
      </w:tr>
    </w:tbl>
    <w:p w:rsidR="00613FD3" w:rsidP="00613FD3" w14:paraId="0066064A" w14:textId="77777777">
      <w:pPr>
        <w:sectPr>
          <w:pgSz w:w="12240" w:h="15840"/>
          <w:pgMar w:top="1340" w:right="1000" w:bottom="1320" w:left="1000" w:header="0" w:footer="113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9"/>
        <w:gridCol w:w="1718"/>
        <w:gridCol w:w="1581"/>
        <w:gridCol w:w="1851"/>
        <w:gridCol w:w="1679"/>
        <w:gridCol w:w="1455"/>
      </w:tblGrid>
      <w:tr w14:paraId="5966B0F7" w14:textId="77777777" w:rsidTr="00D23939">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2"/>
        </w:trPr>
        <w:tc>
          <w:tcPr>
            <w:tcW w:w="1729" w:type="dxa"/>
            <w:shd w:val="clear" w:color="auto" w:fill="E7E6E6" w:themeFill="background2"/>
            <w:vAlign w:val="center"/>
          </w:tcPr>
          <w:p w:rsidR="00613FD3" w:rsidRPr="00FD6880" w:rsidP="00FD6880" w14:paraId="650BFD27" w14:textId="77777777">
            <w:pPr>
              <w:pStyle w:val="TableParagraph"/>
              <w:ind w:left="107" w:right="240"/>
              <w:jc w:val="center"/>
              <w:rPr>
                <w:b/>
                <w:sz w:val="24"/>
              </w:rPr>
            </w:pPr>
            <w:r w:rsidRPr="00FD6880">
              <w:rPr>
                <w:b/>
                <w:spacing w:val="-2"/>
                <w:sz w:val="24"/>
                <w:szCs w:val="24"/>
              </w:rPr>
              <w:t>Information Collection</w:t>
            </w:r>
          </w:p>
        </w:tc>
        <w:tc>
          <w:tcPr>
            <w:tcW w:w="1718" w:type="dxa"/>
            <w:shd w:val="clear" w:color="auto" w:fill="E7E6E6" w:themeFill="background2"/>
            <w:vAlign w:val="center"/>
          </w:tcPr>
          <w:p w:rsidR="00613FD3" w:rsidRPr="00FD6880" w:rsidP="00FD6880" w14:paraId="17FBAAD2" w14:textId="77777777">
            <w:pPr>
              <w:pStyle w:val="TableParagraph"/>
              <w:spacing w:line="274" w:lineRule="exact"/>
              <w:ind w:right="96"/>
              <w:jc w:val="center"/>
              <w:rPr>
                <w:b/>
                <w:sz w:val="24"/>
              </w:rPr>
            </w:pPr>
            <w:r w:rsidRPr="00FD6880">
              <w:rPr>
                <w:b/>
                <w:spacing w:val="-2"/>
                <w:sz w:val="24"/>
                <w:szCs w:val="24"/>
              </w:rPr>
              <w:t>Respondents</w:t>
            </w:r>
          </w:p>
        </w:tc>
        <w:tc>
          <w:tcPr>
            <w:tcW w:w="1581" w:type="dxa"/>
            <w:shd w:val="clear" w:color="auto" w:fill="E7E6E6" w:themeFill="background2"/>
            <w:vAlign w:val="center"/>
          </w:tcPr>
          <w:p w:rsidR="00613FD3" w:rsidRPr="00FD6880" w:rsidP="00FD6880" w14:paraId="2CD50080" w14:textId="77777777">
            <w:pPr>
              <w:pStyle w:val="TableParagraph"/>
              <w:spacing w:line="274" w:lineRule="exact"/>
              <w:ind w:right="96"/>
              <w:jc w:val="center"/>
              <w:rPr>
                <w:b/>
                <w:sz w:val="24"/>
              </w:rPr>
            </w:pPr>
            <w:r w:rsidRPr="00FD6880">
              <w:rPr>
                <w:b/>
                <w:spacing w:val="-2"/>
                <w:sz w:val="24"/>
                <w:szCs w:val="24"/>
              </w:rPr>
              <w:t>Frequency</w:t>
            </w:r>
          </w:p>
        </w:tc>
        <w:tc>
          <w:tcPr>
            <w:tcW w:w="1851" w:type="dxa"/>
            <w:shd w:val="clear" w:color="auto" w:fill="E7E6E6" w:themeFill="background2"/>
            <w:vAlign w:val="center"/>
          </w:tcPr>
          <w:p w:rsidR="00613FD3" w:rsidRPr="00FD6880" w:rsidP="00FD6880" w14:paraId="0280E98C" w14:textId="77777777">
            <w:pPr>
              <w:pStyle w:val="TableParagraph"/>
              <w:spacing w:line="274" w:lineRule="exact"/>
              <w:ind w:right="95"/>
              <w:jc w:val="center"/>
              <w:rPr>
                <w:b/>
                <w:sz w:val="24"/>
              </w:rPr>
            </w:pPr>
            <w:r w:rsidRPr="00FD6880">
              <w:rPr>
                <w:b/>
                <w:spacing w:val="-2"/>
                <w:sz w:val="24"/>
                <w:szCs w:val="24"/>
              </w:rPr>
              <w:t xml:space="preserve">Annual </w:t>
            </w:r>
            <w:r w:rsidRPr="00FD6880">
              <w:rPr>
                <w:b/>
                <w:sz w:val="24"/>
                <w:szCs w:val="24"/>
              </w:rPr>
              <w:t>Number</w:t>
            </w:r>
            <w:r w:rsidRPr="00FD6880">
              <w:rPr>
                <w:b/>
                <w:spacing w:val="-15"/>
                <w:sz w:val="24"/>
                <w:szCs w:val="24"/>
              </w:rPr>
              <w:t xml:space="preserve"> </w:t>
            </w:r>
            <w:r w:rsidRPr="00FD6880">
              <w:rPr>
                <w:b/>
                <w:sz w:val="24"/>
                <w:szCs w:val="24"/>
              </w:rPr>
              <w:t xml:space="preserve">of </w:t>
            </w:r>
            <w:r w:rsidRPr="00FD6880">
              <w:rPr>
                <w:b/>
                <w:spacing w:val="-2"/>
                <w:sz w:val="24"/>
                <w:szCs w:val="24"/>
              </w:rPr>
              <w:t>Responses</w:t>
            </w:r>
          </w:p>
        </w:tc>
        <w:tc>
          <w:tcPr>
            <w:tcW w:w="1679" w:type="dxa"/>
            <w:shd w:val="clear" w:color="auto" w:fill="E7E6E6" w:themeFill="background2"/>
            <w:vAlign w:val="center"/>
          </w:tcPr>
          <w:p w:rsidR="00613FD3" w:rsidRPr="00FD6880" w:rsidP="00FD6880" w14:paraId="268C586F" w14:textId="77777777">
            <w:pPr>
              <w:pStyle w:val="TableParagraph"/>
              <w:spacing w:line="274" w:lineRule="exact"/>
              <w:ind w:right="95"/>
              <w:jc w:val="center"/>
              <w:rPr>
                <w:b/>
                <w:sz w:val="24"/>
              </w:rPr>
            </w:pPr>
            <w:r w:rsidRPr="00FD6880">
              <w:rPr>
                <w:b/>
                <w:sz w:val="24"/>
                <w:szCs w:val="24"/>
              </w:rPr>
              <w:t>Burden</w:t>
            </w:r>
            <w:r w:rsidRPr="00FD6880">
              <w:rPr>
                <w:b/>
                <w:spacing w:val="-15"/>
                <w:sz w:val="24"/>
                <w:szCs w:val="24"/>
              </w:rPr>
              <w:t xml:space="preserve"> </w:t>
            </w:r>
            <w:r w:rsidRPr="00FD6880">
              <w:rPr>
                <w:b/>
                <w:sz w:val="24"/>
                <w:szCs w:val="24"/>
              </w:rPr>
              <w:t xml:space="preserve">per </w:t>
            </w:r>
            <w:r w:rsidRPr="00FD6880">
              <w:rPr>
                <w:b/>
                <w:spacing w:val="-2"/>
                <w:sz w:val="24"/>
                <w:szCs w:val="24"/>
              </w:rPr>
              <w:t>disclosure (hours)</w:t>
            </w:r>
          </w:p>
        </w:tc>
        <w:tc>
          <w:tcPr>
            <w:tcW w:w="1455" w:type="dxa"/>
            <w:shd w:val="clear" w:color="auto" w:fill="E7E6E6" w:themeFill="background2"/>
            <w:vAlign w:val="center"/>
          </w:tcPr>
          <w:p w:rsidR="00613FD3" w:rsidRPr="00FD6880" w:rsidP="00FD6880" w14:paraId="7129531F" w14:textId="77777777">
            <w:pPr>
              <w:pStyle w:val="TableParagraph"/>
              <w:spacing w:line="274" w:lineRule="exact"/>
              <w:ind w:right="95"/>
              <w:jc w:val="center"/>
              <w:rPr>
                <w:b/>
                <w:sz w:val="24"/>
              </w:rPr>
            </w:pPr>
            <w:r w:rsidRPr="00FD6880">
              <w:rPr>
                <w:b/>
                <w:spacing w:val="-2"/>
                <w:sz w:val="24"/>
                <w:szCs w:val="24"/>
              </w:rPr>
              <w:t xml:space="preserve">Total Annual Burden </w:t>
            </w:r>
            <w:r w:rsidRPr="00FD6880">
              <w:rPr>
                <w:b/>
                <w:spacing w:val="-4"/>
                <w:sz w:val="24"/>
                <w:szCs w:val="24"/>
              </w:rPr>
              <w:t>Hours</w:t>
            </w:r>
          </w:p>
        </w:tc>
      </w:tr>
      <w:tr w14:paraId="1781A543" w14:textId="77777777" w:rsidTr="00D23939">
        <w:tblPrEx>
          <w:tblW w:w="0" w:type="auto"/>
          <w:tblInd w:w="117" w:type="dxa"/>
          <w:tblLayout w:type="fixed"/>
          <w:tblCellMar>
            <w:left w:w="0" w:type="dxa"/>
            <w:right w:w="0" w:type="dxa"/>
          </w:tblCellMar>
          <w:tblLook w:val="01E0"/>
        </w:tblPrEx>
        <w:trPr>
          <w:trHeight w:val="1062"/>
        </w:trPr>
        <w:tc>
          <w:tcPr>
            <w:tcW w:w="1729" w:type="dxa"/>
          </w:tcPr>
          <w:p w:rsidR="00613FD3" w:rsidP="00FD6880" w14:paraId="539FD25D" w14:textId="77777777">
            <w:pPr>
              <w:pStyle w:val="TableParagraph"/>
              <w:ind w:right="193"/>
              <w:rPr>
                <w:sz w:val="24"/>
              </w:rPr>
            </w:pPr>
            <w:r>
              <w:rPr>
                <w:sz w:val="24"/>
              </w:rPr>
              <w:t>§1024.41</w:t>
            </w:r>
            <w:r>
              <w:rPr>
                <w:spacing w:val="-15"/>
                <w:sz w:val="24"/>
              </w:rPr>
              <w:t xml:space="preserve"> </w:t>
            </w:r>
            <w:r>
              <w:rPr>
                <w:sz w:val="24"/>
              </w:rPr>
              <w:t xml:space="preserve">Loss </w:t>
            </w:r>
            <w:r>
              <w:rPr>
                <w:spacing w:val="-2"/>
                <w:sz w:val="24"/>
              </w:rPr>
              <w:t>mitigation notices</w:t>
            </w:r>
          </w:p>
        </w:tc>
        <w:tc>
          <w:tcPr>
            <w:tcW w:w="1718" w:type="dxa"/>
            <w:vAlign w:val="bottom"/>
          </w:tcPr>
          <w:p w:rsidR="00613FD3" w:rsidP="00222CBC" w14:paraId="3556236F" w14:textId="77777777">
            <w:pPr>
              <w:pStyle w:val="TableParagraph"/>
              <w:spacing w:line="273" w:lineRule="exact"/>
              <w:ind w:right="96"/>
              <w:jc w:val="right"/>
              <w:rPr>
                <w:sz w:val="24"/>
              </w:rPr>
            </w:pPr>
            <w:r>
              <w:rPr>
                <w:spacing w:val="-5"/>
                <w:sz w:val="24"/>
              </w:rPr>
              <w:t>1,130</w:t>
            </w:r>
          </w:p>
        </w:tc>
        <w:tc>
          <w:tcPr>
            <w:tcW w:w="1581" w:type="dxa"/>
            <w:vAlign w:val="bottom"/>
          </w:tcPr>
          <w:p w:rsidR="00613FD3" w:rsidP="00222CBC" w14:paraId="449A3782" w14:textId="77777777">
            <w:pPr>
              <w:pStyle w:val="TableParagraph"/>
              <w:spacing w:line="273" w:lineRule="exact"/>
              <w:ind w:right="96"/>
              <w:jc w:val="right"/>
              <w:rPr>
                <w:sz w:val="24"/>
              </w:rPr>
            </w:pPr>
            <w:r>
              <w:rPr>
                <w:spacing w:val="-2"/>
                <w:sz w:val="24"/>
              </w:rPr>
              <w:t>4,695</w:t>
            </w:r>
          </w:p>
        </w:tc>
        <w:tc>
          <w:tcPr>
            <w:tcW w:w="1851" w:type="dxa"/>
            <w:vAlign w:val="bottom"/>
          </w:tcPr>
          <w:p w:rsidR="00613FD3" w:rsidP="00222CBC" w14:paraId="6B505C6D" w14:textId="77777777">
            <w:pPr>
              <w:pStyle w:val="TableParagraph"/>
              <w:spacing w:line="273" w:lineRule="exact"/>
              <w:ind w:right="95"/>
              <w:jc w:val="right"/>
              <w:rPr>
                <w:sz w:val="24"/>
              </w:rPr>
            </w:pPr>
            <w:r>
              <w:rPr>
                <w:spacing w:val="-2"/>
                <w:sz w:val="24"/>
              </w:rPr>
              <w:t>5,305,</w:t>
            </w:r>
            <w:r w:rsidR="005E0F90">
              <w:rPr>
                <w:spacing w:val="-2"/>
                <w:sz w:val="24"/>
              </w:rPr>
              <w:t>350</w:t>
            </w:r>
          </w:p>
        </w:tc>
        <w:tc>
          <w:tcPr>
            <w:tcW w:w="1679" w:type="dxa"/>
            <w:vAlign w:val="bottom"/>
          </w:tcPr>
          <w:p w:rsidR="00613FD3" w:rsidP="00222CBC" w14:paraId="04F6B883" w14:textId="5EEEBD25">
            <w:pPr>
              <w:pStyle w:val="TableParagraph"/>
              <w:spacing w:line="250" w:lineRule="exact"/>
              <w:ind w:right="93"/>
              <w:jc w:val="right"/>
            </w:pPr>
            <w:r>
              <w:rPr>
                <w:spacing w:val="-2"/>
              </w:rPr>
              <w:t>0.170</w:t>
            </w:r>
          </w:p>
        </w:tc>
        <w:tc>
          <w:tcPr>
            <w:tcW w:w="1455" w:type="dxa"/>
            <w:vAlign w:val="bottom"/>
          </w:tcPr>
          <w:p w:rsidR="00613FD3" w:rsidP="00222CBC" w14:paraId="08113742" w14:textId="77777777">
            <w:pPr>
              <w:pStyle w:val="TableParagraph"/>
              <w:spacing w:line="273" w:lineRule="exact"/>
              <w:ind w:right="95"/>
              <w:jc w:val="right"/>
              <w:rPr>
                <w:sz w:val="24"/>
              </w:rPr>
            </w:pPr>
            <w:r>
              <w:rPr>
                <w:spacing w:val="-2"/>
                <w:sz w:val="24"/>
              </w:rPr>
              <w:t>901,9</w:t>
            </w:r>
            <w:r w:rsidR="005E0F90">
              <w:rPr>
                <w:spacing w:val="-2"/>
                <w:sz w:val="24"/>
              </w:rPr>
              <w:t>09</w:t>
            </w:r>
          </w:p>
        </w:tc>
      </w:tr>
      <w:tr w14:paraId="63830EB5" w14:textId="77777777" w:rsidTr="00D23939">
        <w:tblPrEx>
          <w:tblW w:w="0" w:type="auto"/>
          <w:tblInd w:w="117" w:type="dxa"/>
          <w:tblLayout w:type="fixed"/>
          <w:tblCellMar>
            <w:left w:w="0" w:type="dxa"/>
            <w:right w:w="0" w:type="dxa"/>
          </w:tblCellMar>
          <w:tblLook w:val="01E0"/>
        </w:tblPrEx>
        <w:trPr>
          <w:trHeight w:val="1379"/>
        </w:trPr>
        <w:tc>
          <w:tcPr>
            <w:tcW w:w="1729" w:type="dxa"/>
          </w:tcPr>
          <w:p w:rsidR="00613FD3" w:rsidP="00FD6880" w14:paraId="63ADBD5A" w14:textId="77777777">
            <w:pPr>
              <w:pStyle w:val="TableParagraph"/>
              <w:spacing w:line="273" w:lineRule="exact"/>
              <w:rPr>
                <w:sz w:val="24"/>
              </w:rPr>
            </w:pPr>
            <w:r>
              <w:rPr>
                <w:spacing w:val="-2"/>
                <w:sz w:val="24"/>
              </w:rPr>
              <w:t>§1024.41</w:t>
            </w:r>
          </w:p>
          <w:p w:rsidR="00613FD3" w:rsidP="00FD6880" w14:paraId="1B460083" w14:textId="77777777">
            <w:pPr>
              <w:pStyle w:val="TableParagraph"/>
              <w:spacing w:line="276" w:lineRule="exact"/>
              <w:ind w:right="434"/>
              <w:rPr>
                <w:sz w:val="24"/>
              </w:rPr>
            </w:pPr>
            <w:r>
              <w:rPr>
                <w:spacing w:val="-2"/>
                <w:sz w:val="24"/>
              </w:rPr>
              <w:t>Outstanding third-party information notice</w:t>
            </w:r>
          </w:p>
        </w:tc>
        <w:tc>
          <w:tcPr>
            <w:tcW w:w="1718" w:type="dxa"/>
            <w:vAlign w:val="bottom"/>
          </w:tcPr>
          <w:p w:rsidR="00613FD3" w:rsidP="00222CBC" w14:paraId="678E5AC2" w14:textId="77777777">
            <w:pPr>
              <w:pStyle w:val="TableParagraph"/>
              <w:spacing w:line="274" w:lineRule="exact"/>
              <w:ind w:right="96"/>
              <w:jc w:val="right"/>
              <w:rPr>
                <w:sz w:val="24"/>
              </w:rPr>
            </w:pPr>
            <w:r>
              <w:rPr>
                <w:spacing w:val="-5"/>
                <w:sz w:val="24"/>
              </w:rPr>
              <w:t>1,130</w:t>
            </w:r>
          </w:p>
        </w:tc>
        <w:tc>
          <w:tcPr>
            <w:tcW w:w="1581" w:type="dxa"/>
            <w:vAlign w:val="bottom"/>
          </w:tcPr>
          <w:p w:rsidR="00613FD3" w:rsidP="00222CBC" w14:paraId="5B3CB504" w14:textId="77777777">
            <w:pPr>
              <w:pStyle w:val="TableParagraph"/>
              <w:spacing w:line="274" w:lineRule="exact"/>
              <w:ind w:right="96"/>
              <w:jc w:val="right"/>
              <w:rPr>
                <w:sz w:val="24"/>
              </w:rPr>
            </w:pPr>
            <w:r>
              <w:rPr>
                <w:spacing w:val="-5"/>
                <w:sz w:val="24"/>
              </w:rPr>
              <w:t>25</w:t>
            </w:r>
          </w:p>
        </w:tc>
        <w:tc>
          <w:tcPr>
            <w:tcW w:w="1851" w:type="dxa"/>
            <w:vAlign w:val="bottom"/>
          </w:tcPr>
          <w:p w:rsidR="00613FD3" w:rsidP="00222CBC" w14:paraId="42F953E9" w14:textId="5C95190C">
            <w:pPr>
              <w:pStyle w:val="TableParagraph"/>
              <w:spacing w:line="274" w:lineRule="exact"/>
              <w:ind w:right="95"/>
              <w:jc w:val="right"/>
              <w:rPr>
                <w:sz w:val="24"/>
              </w:rPr>
            </w:pPr>
            <w:r>
              <w:rPr>
                <w:spacing w:val="-2"/>
                <w:sz w:val="24"/>
              </w:rPr>
              <w:t>28,250</w:t>
            </w:r>
          </w:p>
        </w:tc>
        <w:tc>
          <w:tcPr>
            <w:tcW w:w="1679" w:type="dxa"/>
            <w:vAlign w:val="bottom"/>
          </w:tcPr>
          <w:p w:rsidR="00613FD3" w:rsidP="00222CBC" w14:paraId="7214FC57" w14:textId="07DB21D7">
            <w:pPr>
              <w:pStyle w:val="TableParagraph"/>
              <w:spacing w:line="274" w:lineRule="exact"/>
              <w:ind w:right="93"/>
              <w:jc w:val="right"/>
              <w:rPr>
                <w:sz w:val="24"/>
              </w:rPr>
            </w:pPr>
            <w:r>
              <w:rPr>
                <w:spacing w:val="-4"/>
                <w:sz w:val="24"/>
              </w:rPr>
              <w:t>0.003</w:t>
            </w:r>
          </w:p>
        </w:tc>
        <w:tc>
          <w:tcPr>
            <w:tcW w:w="1455" w:type="dxa"/>
            <w:vAlign w:val="bottom"/>
          </w:tcPr>
          <w:p w:rsidR="00613FD3" w:rsidP="00222CBC" w14:paraId="2A21889F" w14:textId="77777777">
            <w:pPr>
              <w:pStyle w:val="TableParagraph"/>
              <w:spacing w:line="274" w:lineRule="exact"/>
              <w:ind w:right="95"/>
              <w:jc w:val="right"/>
              <w:rPr>
                <w:sz w:val="24"/>
              </w:rPr>
            </w:pPr>
            <w:r>
              <w:rPr>
                <w:spacing w:val="-5"/>
                <w:sz w:val="24"/>
              </w:rPr>
              <w:t>8</w:t>
            </w:r>
            <w:r w:rsidR="005E0F90">
              <w:rPr>
                <w:spacing w:val="-5"/>
                <w:sz w:val="24"/>
              </w:rPr>
              <w:t>5</w:t>
            </w:r>
          </w:p>
        </w:tc>
      </w:tr>
      <w:tr w14:paraId="2785C8FE" w14:textId="77777777" w:rsidTr="00D23939">
        <w:tblPrEx>
          <w:tblW w:w="0" w:type="auto"/>
          <w:tblInd w:w="117" w:type="dxa"/>
          <w:tblLayout w:type="fixed"/>
          <w:tblCellMar>
            <w:left w:w="0" w:type="dxa"/>
            <w:right w:w="0" w:type="dxa"/>
          </w:tblCellMar>
          <w:tblLook w:val="01E0"/>
        </w:tblPrEx>
        <w:trPr>
          <w:trHeight w:val="801"/>
        </w:trPr>
        <w:tc>
          <w:tcPr>
            <w:tcW w:w="1729" w:type="dxa"/>
            <w:vAlign w:val="bottom"/>
          </w:tcPr>
          <w:p w:rsidR="00613FD3" w:rsidRPr="003D42E5" w:rsidP="00222CBC" w14:paraId="35D81284" w14:textId="77777777">
            <w:pPr>
              <w:pStyle w:val="TableParagraph"/>
              <w:spacing w:before="10"/>
              <w:rPr>
                <w:b/>
                <w:bCs/>
                <w:sz w:val="23"/>
              </w:rPr>
            </w:pPr>
          </w:p>
          <w:p w:rsidR="00613FD3" w:rsidRPr="003D42E5" w:rsidP="00FD6880" w14:paraId="3D4B26D9" w14:textId="77777777">
            <w:pPr>
              <w:pStyle w:val="TableParagraph"/>
              <w:ind w:right="95"/>
              <w:rPr>
                <w:b/>
                <w:bCs/>
                <w:i/>
                <w:sz w:val="24"/>
              </w:rPr>
            </w:pPr>
            <w:r w:rsidRPr="003D42E5">
              <w:rPr>
                <w:b/>
                <w:bCs/>
                <w:i/>
                <w:sz w:val="24"/>
              </w:rPr>
              <w:t>Subtotal</w:t>
            </w:r>
            <w:r w:rsidRPr="003D42E5">
              <w:rPr>
                <w:b/>
                <w:bCs/>
                <w:i/>
                <w:spacing w:val="-1"/>
                <w:sz w:val="24"/>
              </w:rPr>
              <w:t xml:space="preserve"> </w:t>
            </w:r>
            <w:r w:rsidRPr="003D42E5">
              <w:rPr>
                <w:b/>
                <w:bCs/>
                <w:i/>
                <w:sz w:val="24"/>
              </w:rPr>
              <w:t>Part</w:t>
            </w:r>
            <w:r w:rsidRPr="003D42E5">
              <w:rPr>
                <w:b/>
                <w:bCs/>
                <w:i/>
                <w:spacing w:val="-1"/>
                <w:sz w:val="24"/>
              </w:rPr>
              <w:t xml:space="preserve"> </w:t>
            </w:r>
            <w:r w:rsidRPr="003D42E5">
              <w:rPr>
                <w:b/>
                <w:bCs/>
                <w:i/>
                <w:spacing w:val="-10"/>
                <w:sz w:val="24"/>
              </w:rPr>
              <w:t>C</w:t>
            </w:r>
          </w:p>
        </w:tc>
        <w:tc>
          <w:tcPr>
            <w:tcW w:w="1718" w:type="dxa"/>
          </w:tcPr>
          <w:p w:rsidR="00613FD3" w:rsidRPr="003D42E5" w:rsidP="00DF2A22" w14:paraId="071E24F5" w14:textId="77777777">
            <w:pPr>
              <w:pStyle w:val="TableParagraph"/>
              <w:rPr>
                <w:b/>
                <w:bCs/>
                <w:sz w:val="26"/>
              </w:rPr>
            </w:pPr>
          </w:p>
          <w:p w:rsidR="00613FD3" w:rsidRPr="003D42E5" w:rsidP="00DF2A22" w14:paraId="2A7C817A" w14:textId="77777777">
            <w:pPr>
              <w:pStyle w:val="TableParagraph"/>
              <w:spacing w:before="223" w:line="259" w:lineRule="exact"/>
              <w:ind w:right="96"/>
              <w:jc w:val="right"/>
              <w:rPr>
                <w:b/>
                <w:bCs/>
                <w:sz w:val="24"/>
              </w:rPr>
            </w:pPr>
            <w:r>
              <w:rPr>
                <w:b/>
                <w:bCs/>
                <w:spacing w:val="-5"/>
                <w:sz w:val="24"/>
              </w:rPr>
              <w:t>9,627</w:t>
            </w:r>
          </w:p>
        </w:tc>
        <w:tc>
          <w:tcPr>
            <w:tcW w:w="1581" w:type="dxa"/>
            <w:shd w:val="clear" w:color="auto" w:fill="D0CECE" w:themeFill="background2" w:themeFillShade="E6"/>
          </w:tcPr>
          <w:p w:rsidR="00613FD3" w:rsidRPr="00E14079" w:rsidP="00DF2A22" w14:paraId="05800130" w14:textId="77777777">
            <w:pPr>
              <w:pStyle w:val="TableParagraph"/>
              <w:rPr>
                <w:b/>
                <w:bCs/>
                <w:strike/>
                <w:sz w:val="26"/>
              </w:rPr>
            </w:pPr>
          </w:p>
          <w:p w:rsidR="00613FD3" w:rsidRPr="00E14079" w:rsidP="00DF2A22" w14:paraId="1ABA3614" w14:textId="77777777">
            <w:pPr>
              <w:pStyle w:val="TableParagraph"/>
              <w:spacing w:before="223" w:line="259" w:lineRule="exact"/>
              <w:ind w:right="96"/>
              <w:jc w:val="right"/>
              <w:rPr>
                <w:b/>
                <w:bCs/>
                <w:strike/>
                <w:sz w:val="24"/>
              </w:rPr>
            </w:pPr>
          </w:p>
        </w:tc>
        <w:tc>
          <w:tcPr>
            <w:tcW w:w="1851" w:type="dxa"/>
          </w:tcPr>
          <w:p w:rsidR="00613FD3" w:rsidRPr="003D42E5" w:rsidP="00DF2A22" w14:paraId="74B9541C" w14:textId="77777777">
            <w:pPr>
              <w:pStyle w:val="TableParagraph"/>
              <w:rPr>
                <w:b/>
                <w:bCs/>
                <w:sz w:val="26"/>
              </w:rPr>
            </w:pPr>
          </w:p>
          <w:p w:rsidR="00613FD3" w:rsidRPr="003D42E5" w:rsidP="00BC1056" w14:paraId="04DCB4E1" w14:textId="77777777">
            <w:pPr>
              <w:pStyle w:val="TableParagraph"/>
              <w:spacing w:before="224" w:line="258" w:lineRule="exact"/>
              <w:ind w:right="95"/>
              <w:jc w:val="center"/>
              <w:rPr>
                <w:b/>
                <w:bCs/>
                <w:i/>
                <w:sz w:val="24"/>
              </w:rPr>
            </w:pPr>
            <w:r>
              <w:rPr>
                <w:b/>
                <w:bCs/>
                <w:i/>
                <w:sz w:val="24"/>
              </w:rPr>
              <w:t xml:space="preserve">           20,357,621</w:t>
            </w:r>
          </w:p>
        </w:tc>
        <w:tc>
          <w:tcPr>
            <w:tcW w:w="1679" w:type="dxa"/>
            <w:shd w:val="clear" w:color="auto" w:fill="D0CECE" w:themeFill="background2" w:themeFillShade="E6"/>
          </w:tcPr>
          <w:p w:rsidR="00613FD3" w:rsidRPr="003D42E5" w:rsidP="00DF2A22" w14:paraId="2213D536" w14:textId="77777777">
            <w:pPr>
              <w:pStyle w:val="TableParagraph"/>
              <w:rPr>
                <w:b/>
                <w:bCs/>
                <w:sz w:val="26"/>
              </w:rPr>
            </w:pPr>
          </w:p>
          <w:p w:rsidR="00613FD3" w:rsidRPr="003D42E5" w:rsidP="00DF2A22" w14:paraId="6DE7384E" w14:textId="77777777">
            <w:pPr>
              <w:pStyle w:val="TableParagraph"/>
              <w:spacing w:before="223" w:line="259" w:lineRule="exact"/>
              <w:ind w:right="93"/>
              <w:jc w:val="right"/>
              <w:rPr>
                <w:b/>
                <w:bCs/>
                <w:sz w:val="24"/>
              </w:rPr>
            </w:pPr>
          </w:p>
        </w:tc>
        <w:tc>
          <w:tcPr>
            <w:tcW w:w="1455" w:type="dxa"/>
          </w:tcPr>
          <w:p w:rsidR="00613FD3" w:rsidRPr="003D42E5" w:rsidP="00DF2A22" w14:paraId="5A67F14F" w14:textId="77777777">
            <w:pPr>
              <w:pStyle w:val="TableParagraph"/>
              <w:rPr>
                <w:b/>
                <w:bCs/>
                <w:sz w:val="26"/>
              </w:rPr>
            </w:pPr>
          </w:p>
          <w:p w:rsidR="00613FD3" w:rsidRPr="003D42E5" w:rsidP="00DF2A22" w14:paraId="60A14FF8" w14:textId="01B18C18">
            <w:pPr>
              <w:pStyle w:val="TableParagraph"/>
              <w:spacing w:before="224" w:line="258" w:lineRule="exact"/>
              <w:ind w:right="95"/>
              <w:jc w:val="right"/>
              <w:rPr>
                <w:b/>
                <w:bCs/>
                <w:i/>
                <w:sz w:val="24"/>
              </w:rPr>
            </w:pPr>
            <w:r>
              <w:rPr>
                <w:b/>
                <w:bCs/>
                <w:i/>
                <w:spacing w:val="-2"/>
                <w:sz w:val="24"/>
              </w:rPr>
              <w:t>1,017,</w:t>
            </w:r>
            <w:r w:rsidR="00233BE2">
              <w:rPr>
                <w:b/>
                <w:bCs/>
                <w:i/>
                <w:spacing w:val="-2"/>
                <w:sz w:val="24"/>
              </w:rPr>
              <w:t>172</w:t>
            </w:r>
          </w:p>
        </w:tc>
      </w:tr>
      <w:tr w14:paraId="439DBA7B" w14:textId="77777777" w:rsidTr="0018593E">
        <w:tblPrEx>
          <w:tblW w:w="0" w:type="auto"/>
          <w:tblInd w:w="117" w:type="dxa"/>
          <w:tblLayout w:type="fixed"/>
          <w:tblCellMar>
            <w:left w:w="0" w:type="dxa"/>
            <w:right w:w="0" w:type="dxa"/>
          </w:tblCellMar>
          <w:tblLook w:val="01E0"/>
        </w:tblPrEx>
        <w:trPr>
          <w:trHeight w:val="276"/>
        </w:trPr>
        <w:tc>
          <w:tcPr>
            <w:tcW w:w="1729" w:type="dxa"/>
          </w:tcPr>
          <w:p w:rsidR="00613FD3" w:rsidP="00D23939" w14:paraId="527C8154" w14:textId="5647205E">
            <w:pPr>
              <w:pStyle w:val="TableParagraph"/>
              <w:spacing w:line="257" w:lineRule="exact"/>
              <w:ind w:right="96"/>
              <w:rPr>
                <w:b/>
                <w:sz w:val="24"/>
              </w:rPr>
            </w:pPr>
            <w:r>
              <w:rPr>
                <w:b/>
                <w:spacing w:val="-2"/>
                <w:sz w:val="24"/>
              </w:rPr>
              <w:t>TOTAL</w:t>
            </w:r>
          </w:p>
        </w:tc>
        <w:tc>
          <w:tcPr>
            <w:tcW w:w="1718" w:type="dxa"/>
          </w:tcPr>
          <w:p w:rsidR="00613FD3" w:rsidP="00DF2A22" w14:paraId="0D7A512E" w14:textId="77777777">
            <w:pPr>
              <w:pStyle w:val="TableParagraph"/>
              <w:spacing w:line="257" w:lineRule="exact"/>
              <w:ind w:right="96"/>
              <w:jc w:val="right"/>
              <w:rPr>
                <w:b/>
                <w:sz w:val="24"/>
              </w:rPr>
            </w:pPr>
            <w:r>
              <w:rPr>
                <w:b/>
                <w:spacing w:val="-2"/>
                <w:sz w:val="24"/>
              </w:rPr>
              <w:t>9,627</w:t>
            </w:r>
          </w:p>
        </w:tc>
        <w:tc>
          <w:tcPr>
            <w:tcW w:w="1581" w:type="dxa"/>
            <w:shd w:val="clear" w:color="auto" w:fill="D0CECE" w:themeFill="background2" w:themeFillShade="E6"/>
          </w:tcPr>
          <w:p w:rsidR="00613FD3" w:rsidRPr="00E14079" w:rsidP="00DF2A22" w14:paraId="28890723" w14:textId="77777777">
            <w:pPr>
              <w:pStyle w:val="TableParagraph"/>
              <w:spacing w:line="257" w:lineRule="exact"/>
              <w:ind w:right="96"/>
              <w:jc w:val="right"/>
              <w:rPr>
                <w:b/>
                <w:strike/>
                <w:sz w:val="24"/>
              </w:rPr>
            </w:pPr>
          </w:p>
        </w:tc>
        <w:tc>
          <w:tcPr>
            <w:tcW w:w="1851" w:type="dxa"/>
          </w:tcPr>
          <w:p w:rsidR="00613FD3" w:rsidP="00DF2A22" w14:paraId="2BE390C0" w14:textId="081BB4BE">
            <w:pPr>
              <w:pStyle w:val="TableParagraph"/>
              <w:spacing w:line="257" w:lineRule="exact"/>
              <w:ind w:right="95"/>
              <w:jc w:val="right"/>
              <w:rPr>
                <w:b/>
                <w:sz w:val="24"/>
              </w:rPr>
            </w:pPr>
            <w:r w:rsidRPr="00661E0F">
              <w:rPr>
                <w:b/>
                <w:spacing w:val="-2"/>
                <w:sz w:val="24"/>
              </w:rPr>
              <w:t>66,</w:t>
            </w:r>
            <w:r w:rsidR="00FD6880">
              <w:rPr>
                <w:b/>
                <w:spacing w:val="-2"/>
                <w:sz w:val="24"/>
              </w:rPr>
              <w:t>798,269</w:t>
            </w:r>
          </w:p>
        </w:tc>
        <w:tc>
          <w:tcPr>
            <w:tcW w:w="1679" w:type="dxa"/>
            <w:shd w:val="clear" w:color="auto" w:fill="D0CECE" w:themeFill="background2" w:themeFillShade="E6"/>
          </w:tcPr>
          <w:p w:rsidR="00613FD3" w:rsidP="0018593E" w14:paraId="5434D0B8" w14:textId="77777777">
            <w:pPr>
              <w:pStyle w:val="TableParagraph"/>
              <w:spacing w:line="257" w:lineRule="exact"/>
              <w:ind w:right="92"/>
              <w:rPr>
                <w:b/>
                <w:sz w:val="24"/>
              </w:rPr>
            </w:pPr>
          </w:p>
        </w:tc>
        <w:tc>
          <w:tcPr>
            <w:tcW w:w="1455" w:type="dxa"/>
          </w:tcPr>
          <w:p w:rsidR="00613FD3" w:rsidP="00DF2A22" w14:paraId="0937FAD0" w14:textId="34CB3BA8">
            <w:pPr>
              <w:pStyle w:val="TableParagraph"/>
              <w:spacing w:line="257" w:lineRule="exact"/>
              <w:ind w:right="95"/>
              <w:jc w:val="right"/>
              <w:rPr>
                <w:b/>
                <w:sz w:val="24"/>
              </w:rPr>
            </w:pPr>
            <w:r>
              <w:rPr>
                <w:b/>
                <w:spacing w:val="-2"/>
                <w:sz w:val="24"/>
              </w:rPr>
              <w:t>1,</w:t>
            </w:r>
            <w:r w:rsidR="00F27241">
              <w:rPr>
                <w:b/>
                <w:spacing w:val="-2"/>
                <w:sz w:val="24"/>
              </w:rPr>
              <w:t>154</w:t>
            </w:r>
            <w:r w:rsidR="005554A7">
              <w:rPr>
                <w:b/>
                <w:spacing w:val="-2"/>
                <w:sz w:val="24"/>
              </w:rPr>
              <w:t>,</w:t>
            </w:r>
            <w:r w:rsidR="00F27241">
              <w:rPr>
                <w:b/>
                <w:spacing w:val="-2"/>
                <w:sz w:val="24"/>
              </w:rPr>
              <w:t>76</w:t>
            </w:r>
            <w:r w:rsidR="005554A7">
              <w:rPr>
                <w:b/>
                <w:spacing w:val="-2"/>
                <w:sz w:val="24"/>
              </w:rPr>
              <w:t>2</w:t>
            </w:r>
          </w:p>
        </w:tc>
      </w:tr>
    </w:tbl>
    <w:p w:rsidR="00613FD3" w:rsidP="00613FD3" w14:paraId="1507CE03" w14:textId="77777777">
      <w:pPr>
        <w:pStyle w:val="BodyText"/>
        <w:rPr>
          <w:sz w:val="20"/>
        </w:rPr>
      </w:pPr>
    </w:p>
    <w:p w:rsidR="00613FD3" w:rsidP="00613FD3" w14:paraId="1FB6DE5C" w14:textId="77777777">
      <w:pPr>
        <w:pStyle w:val="BodyText"/>
        <w:rPr>
          <w:sz w:val="20"/>
        </w:rPr>
      </w:pPr>
    </w:p>
    <w:p w:rsidR="00613FD3" w:rsidRPr="00FD2D3B" w:rsidP="00613FD3" w14:paraId="457D2179" w14:textId="77777777">
      <w:pPr>
        <w:pStyle w:val="BodyText"/>
        <w:spacing w:before="16"/>
        <w:ind w:left="220"/>
      </w:pPr>
      <w:r>
        <w:t xml:space="preserve">An asterisk (*) indicates that the </w:t>
      </w:r>
      <w:r w:rsidR="003D42E5">
        <w:t>CFPB</w:t>
      </w:r>
      <w:r>
        <w:t xml:space="preserve"> does not have data necessary to estimate the information collection’s</w:t>
      </w:r>
      <w:r>
        <w:rPr>
          <w:spacing w:val="-4"/>
        </w:rPr>
        <w:t xml:space="preserve"> </w:t>
      </w:r>
      <w:r>
        <w:t>burden</w:t>
      </w:r>
      <w:r>
        <w:rPr>
          <w:spacing w:val="-3"/>
        </w:rPr>
        <w:t xml:space="preserve"> </w:t>
      </w:r>
      <w:r>
        <w:t>and</w:t>
      </w:r>
      <w:r>
        <w:rPr>
          <w:spacing w:val="-5"/>
        </w:rPr>
        <w:t xml:space="preserve"> </w:t>
      </w:r>
      <w:r>
        <w:t>requested</w:t>
      </w:r>
      <w:r>
        <w:rPr>
          <w:spacing w:val="-3"/>
        </w:rPr>
        <w:t xml:space="preserve"> </w:t>
      </w:r>
      <w:r>
        <w:t>comment</w:t>
      </w:r>
      <w:r>
        <w:rPr>
          <w:spacing w:val="-3"/>
        </w:rPr>
        <w:t xml:space="preserve"> </w:t>
      </w:r>
      <w:r>
        <w:t>on</w:t>
      </w:r>
      <w:r>
        <w:rPr>
          <w:spacing w:val="-3"/>
        </w:rPr>
        <w:t xml:space="preserve"> </w:t>
      </w:r>
      <w:r>
        <w:t>this</w:t>
      </w:r>
      <w:r>
        <w:rPr>
          <w:spacing w:val="-3"/>
        </w:rPr>
        <w:t xml:space="preserve"> </w:t>
      </w:r>
      <w:r>
        <w:t>estimate</w:t>
      </w:r>
      <w:r>
        <w:rPr>
          <w:spacing w:val="-3"/>
        </w:rPr>
        <w:t xml:space="preserve"> </w:t>
      </w:r>
      <w:r>
        <w:t>during</w:t>
      </w:r>
      <w:r>
        <w:rPr>
          <w:spacing w:val="-3"/>
        </w:rPr>
        <w:t xml:space="preserve"> </w:t>
      </w:r>
      <w:r>
        <w:t>the</w:t>
      </w:r>
      <w:r>
        <w:rPr>
          <w:spacing w:val="-3"/>
        </w:rPr>
        <w:t xml:space="preserve"> </w:t>
      </w:r>
      <w:r>
        <w:t>60-day</w:t>
      </w:r>
      <w:r>
        <w:rPr>
          <w:spacing w:val="-3"/>
        </w:rPr>
        <w:t xml:space="preserve"> </w:t>
      </w:r>
      <w:r>
        <w:t>comment</w:t>
      </w:r>
      <w:r>
        <w:rPr>
          <w:spacing w:val="-3"/>
        </w:rPr>
        <w:t xml:space="preserve"> </w:t>
      </w:r>
      <w:r>
        <w:t>period.</w:t>
      </w:r>
      <w:r>
        <w:rPr>
          <w:spacing w:val="-3"/>
        </w:rPr>
        <w:t xml:space="preserve"> </w:t>
      </w:r>
      <w:r>
        <w:t xml:space="preserve">The </w:t>
      </w:r>
      <w:r w:rsidR="003D42E5">
        <w:t>CFPB</w:t>
      </w:r>
      <w:r>
        <w:t xml:space="preserve"> did not receive additional information to update these burden estimates. Thus, the </w:t>
      </w:r>
      <w:r w:rsidR="003D42E5">
        <w:t>CFPB</w:t>
      </w:r>
      <w:r>
        <w:t xml:space="preserve"> is unable to estimate the burden of these information collections.</w:t>
      </w:r>
    </w:p>
    <w:p w:rsidR="00C53C0C" w:rsidP="00C53C0C" w14:paraId="6C7A05AE" w14:textId="77777777">
      <w:pPr>
        <w:pStyle w:val="BodyText"/>
        <w:rPr>
          <w:sz w:val="20"/>
        </w:rPr>
      </w:pPr>
    </w:p>
    <w:p w:rsidR="007E2C51" w:rsidP="00C53C0C" w14:paraId="2038E58A" w14:textId="77777777">
      <w:pPr>
        <w:pStyle w:val="BodyText"/>
        <w:rPr>
          <w:sz w:val="20"/>
        </w:rPr>
      </w:pPr>
    </w:p>
    <w:p w:rsidR="007E2C51" w:rsidP="007E2C51" w14:paraId="41CAA664" w14:textId="77777777">
      <w:pPr>
        <w:spacing w:before="90"/>
        <w:ind w:left="220"/>
        <w:rPr>
          <w:i/>
          <w:sz w:val="24"/>
        </w:rPr>
      </w:pPr>
      <w:r>
        <w:rPr>
          <w:i/>
          <w:sz w:val="24"/>
        </w:rPr>
        <w:t>Five-year</w:t>
      </w:r>
      <w:r>
        <w:rPr>
          <w:i/>
          <w:spacing w:val="-4"/>
          <w:sz w:val="24"/>
        </w:rPr>
        <w:t xml:space="preserve"> </w:t>
      </w:r>
      <w:r>
        <w:rPr>
          <w:i/>
          <w:sz w:val="24"/>
        </w:rPr>
        <w:t>recordkeeping</w:t>
      </w:r>
      <w:r>
        <w:rPr>
          <w:i/>
          <w:spacing w:val="-4"/>
          <w:sz w:val="24"/>
        </w:rPr>
        <w:t xml:space="preserve"> </w:t>
      </w:r>
      <w:r>
        <w:rPr>
          <w:i/>
          <w:sz w:val="24"/>
        </w:rPr>
        <w:t>requirements</w:t>
      </w:r>
      <w:r>
        <w:rPr>
          <w:i/>
          <w:spacing w:val="-1"/>
          <w:sz w:val="24"/>
        </w:rPr>
        <w:t xml:space="preserve"> </w:t>
      </w:r>
      <w:r>
        <w:rPr>
          <w:i/>
          <w:sz w:val="24"/>
        </w:rPr>
        <w:t>for</w:t>
      </w:r>
      <w:r>
        <w:rPr>
          <w:i/>
          <w:spacing w:val="-2"/>
          <w:sz w:val="24"/>
        </w:rPr>
        <w:t xml:space="preserve"> </w:t>
      </w:r>
      <w:r>
        <w:rPr>
          <w:i/>
          <w:sz w:val="24"/>
        </w:rPr>
        <w:t>documentation</w:t>
      </w:r>
      <w:r>
        <w:rPr>
          <w:i/>
          <w:spacing w:val="-2"/>
          <w:sz w:val="24"/>
        </w:rPr>
        <w:t xml:space="preserve"> </w:t>
      </w:r>
      <w:r>
        <w:rPr>
          <w:i/>
          <w:sz w:val="24"/>
        </w:rPr>
        <w:t>related</w:t>
      </w:r>
      <w:r>
        <w:rPr>
          <w:i/>
          <w:spacing w:val="-2"/>
          <w:sz w:val="24"/>
        </w:rPr>
        <w:t xml:space="preserve"> </w:t>
      </w:r>
      <w:r>
        <w:rPr>
          <w:i/>
          <w:sz w:val="24"/>
        </w:rPr>
        <w:t>to</w:t>
      </w:r>
      <w:r>
        <w:rPr>
          <w:i/>
          <w:spacing w:val="-3"/>
          <w:sz w:val="24"/>
        </w:rPr>
        <w:t xml:space="preserve"> </w:t>
      </w:r>
      <w:r>
        <w:rPr>
          <w:i/>
          <w:sz w:val="24"/>
        </w:rPr>
        <w:t>fees</w:t>
      </w:r>
      <w:r>
        <w:rPr>
          <w:i/>
          <w:spacing w:val="-3"/>
          <w:sz w:val="24"/>
        </w:rPr>
        <w:t xml:space="preserve"> </w:t>
      </w:r>
      <w:r>
        <w:rPr>
          <w:i/>
          <w:sz w:val="24"/>
        </w:rPr>
        <w:t>and</w:t>
      </w:r>
      <w:r>
        <w:rPr>
          <w:i/>
          <w:spacing w:val="-1"/>
          <w:sz w:val="24"/>
        </w:rPr>
        <w:t xml:space="preserve"> </w:t>
      </w:r>
      <w:r>
        <w:rPr>
          <w:i/>
          <w:spacing w:val="-2"/>
          <w:sz w:val="24"/>
        </w:rPr>
        <w:t>referrals</w:t>
      </w:r>
    </w:p>
    <w:p w:rsidR="007E2C51" w:rsidP="007E2C51" w14:paraId="165E1A34" w14:textId="77777777">
      <w:pPr>
        <w:pStyle w:val="BodyText"/>
        <w:spacing w:before="10"/>
        <w:rPr>
          <w:i/>
          <w:sz w:val="23"/>
        </w:rPr>
      </w:pPr>
    </w:p>
    <w:p w:rsidR="007E2C51" w:rsidP="007E2C51" w14:paraId="3320087F" w14:textId="77777777">
      <w:pPr>
        <w:pStyle w:val="BodyText"/>
        <w:ind w:left="220" w:right="251"/>
      </w:pPr>
      <w:r>
        <w:t>The</w:t>
      </w:r>
      <w:r>
        <w:rPr>
          <w:spacing w:val="-3"/>
        </w:rPr>
        <w:t xml:space="preserve"> </w:t>
      </w:r>
      <w:r>
        <w:t>CFPB</w:t>
      </w:r>
      <w:r>
        <w:rPr>
          <w:spacing w:val="-5"/>
        </w:rPr>
        <w:t xml:space="preserve"> </w:t>
      </w:r>
      <w:r>
        <w:t>believes</w:t>
      </w:r>
      <w:r>
        <w:rPr>
          <w:spacing w:val="-3"/>
        </w:rPr>
        <w:t xml:space="preserve"> </w:t>
      </w:r>
      <w:r>
        <w:t>that</w:t>
      </w:r>
      <w:r>
        <w:rPr>
          <w:spacing w:val="-4"/>
        </w:rPr>
        <w:t xml:space="preserve"> </w:t>
      </w:r>
      <w:r>
        <w:t>records</w:t>
      </w:r>
      <w:r>
        <w:rPr>
          <w:spacing w:val="-3"/>
        </w:rPr>
        <w:t xml:space="preserve"> </w:t>
      </w:r>
      <w:r>
        <w:t>kept</w:t>
      </w:r>
      <w:r>
        <w:rPr>
          <w:spacing w:val="-3"/>
        </w:rPr>
        <w:t xml:space="preserve"> </w:t>
      </w:r>
      <w:r>
        <w:t>pursuant</w:t>
      </w:r>
      <w:r>
        <w:rPr>
          <w:spacing w:val="-3"/>
        </w:rPr>
        <w:t xml:space="preserve"> </w:t>
      </w:r>
      <w:r>
        <w:t>to</w:t>
      </w:r>
      <w:r>
        <w:rPr>
          <w:spacing w:val="-5"/>
        </w:rPr>
        <w:t xml:space="preserve"> </w:t>
      </w:r>
      <w:r>
        <w:t>1024.14(h)</w:t>
      </w:r>
      <w:r>
        <w:rPr>
          <w:spacing w:val="-4"/>
        </w:rPr>
        <w:t xml:space="preserve"> </w:t>
      </w:r>
      <w:r>
        <w:t>are</w:t>
      </w:r>
      <w:r>
        <w:rPr>
          <w:spacing w:val="-3"/>
        </w:rPr>
        <w:t xml:space="preserve"> </w:t>
      </w:r>
      <w:r>
        <w:t>electronic,</w:t>
      </w:r>
      <w:r>
        <w:rPr>
          <w:spacing w:val="-3"/>
        </w:rPr>
        <w:t xml:space="preserve"> </w:t>
      </w:r>
      <w:r>
        <w:t>and</w:t>
      </w:r>
      <w:r>
        <w:rPr>
          <w:spacing w:val="-3"/>
        </w:rPr>
        <w:t xml:space="preserve"> </w:t>
      </w:r>
      <w:r>
        <w:t>therefore</w:t>
      </w:r>
      <w:r>
        <w:rPr>
          <w:spacing w:val="-3"/>
        </w:rPr>
        <w:t xml:space="preserve"> </w:t>
      </w:r>
      <w:r>
        <w:t>the</w:t>
      </w:r>
      <w:r>
        <w:rPr>
          <w:spacing w:val="-3"/>
        </w:rPr>
        <w:t xml:space="preserve"> </w:t>
      </w:r>
      <w:r>
        <w:t xml:space="preserve">burden is </w:t>
      </w:r>
      <w:r>
        <w:rPr>
          <w:i/>
        </w:rPr>
        <w:t>de minimis</w:t>
      </w:r>
      <w:r>
        <w:t>.</w:t>
      </w:r>
    </w:p>
    <w:p w:rsidR="007E2C51" w:rsidP="007E2C51" w14:paraId="6EF2AE2D" w14:textId="77777777">
      <w:pPr>
        <w:pStyle w:val="BodyText"/>
        <w:spacing w:before="1"/>
      </w:pPr>
    </w:p>
    <w:p w:rsidR="007E2C51" w:rsidP="007E2C51" w14:paraId="6F10DD78" w14:textId="77777777">
      <w:pPr>
        <w:ind w:left="220"/>
        <w:rPr>
          <w:i/>
          <w:sz w:val="24"/>
        </w:rPr>
      </w:pPr>
      <w:r>
        <w:rPr>
          <w:i/>
          <w:sz w:val="24"/>
        </w:rPr>
        <w:t>Affiliated</w:t>
      </w:r>
      <w:r>
        <w:rPr>
          <w:i/>
          <w:spacing w:val="-6"/>
          <w:sz w:val="24"/>
        </w:rPr>
        <w:t xml:space="preserve"> </w:t>
      </w:r>
      <w:r>
        <w:rPr>
          <w:i/>
          <w:sz w:val="24"/>
        </w:rPr>
        <w:t>Business</w:t>
      </w:r>
      <w:r>
        <w:rPr>
          <w:i/>
          <w:spacing w:val="-3"/>
          <w:sz w:val="24"/>
        </w:rPr>
        <w:t xml:space="preserve"> </w:t>
      </w:r>
      <w:r>
        <w:rPr>
          <w:i/>
          <w:sz w:val="24"/>
        </w:rPr>
        <w:t>Arrangement</w:t>
      </w:r>
      <w:r>
        <w:rPr>
          <w:i/>
          <w:spacing w:val="-3"/>
          <w:sz w:val="24"/>
        </w:rPr>
        <w:t xml:space="preserve"> </w:t>
      </w:r>
      <w:r>
        <w:rPr>
          <w:i/>
          <w:sz w:val="24"/>
        </w:rPr>
        <w:t>Disclosure</w:t>
      </w:r>
      <w:r>
        <w:rPr>
          <w:i/>
          <w:spacing w:val="-4"/>
          <w:sz w:val="24"/>
        </w:rPr>
        <w:t xml:space="preserve"> </w:t>
      </w:r>
      <w:r>
        <w:rPr>
          <w:i/>
          <w:sz w:val="24"/>
        </w:rPr>
        <w:t>Statement</w:t>
      </w:r>
      <w:r>
        <w:rPr>
          <w:i/>
          <w:spacing w:val="-3"/>
          <w:sz w:val="24"/>
        </w:rPr>
        <w:t xml:space="preserve"> </w:t>
      </w:r>
      <w:r>
        <w:rPr>
          <w:i/>
          <w:sz w:val="24"/>
        </w:rPr>
        <w:t>&amp;</w:t>
      </w:r>
      <w:r>
        <w:rPr>
          <w:i/>
          <w:spacing w:val="-3"/>
          <w:sz w:val="24"/>
        </w:rPr>
        <w:t xml:space="preserve"> </w:t>
      </w:r>
      <w:r>
        <w:rPr>
          <w:i/>
          <w:sz w:val="24"/>
        </w:rPr>
        <w:t>recordkeeping</w:t>
      </w:r>
      <w:r>
        <w:rPr>
          <w:i/>
          <w:spacing w:val="-3"/>
          <w:sz w:val="24"/>
        </w:rPr>
        <w:t xml:space="preserve"> </w:t>
      </w:r>
      <w:r>
        <w:rPr>
          <w:i/>
          <w:spacing w:val="-2"/>
          <w:sz w:val="24"/>
        </w:rPr>
        <w:t>requirement</w:t>
      </w:r>
    </w:p>
    <w:p w:rsidR="007E2C51" w:rsidP="007E2C51" w14:paraId="750D3ECD" w14:textId="77777777">
      <w:pPr>
        <w:pStyle w:val="BodyText"/>
        <w:spacing w:before="11"/>
        <w:rPr>
          <w:i/>
          <w:sz w:val="23"/>
        </w:rPr>
      </w:pPr>
    </w:p>
    <w:p w:rsidR="007E2C51" w:rsidP="007E2C51" w14:paraId="182F2234" w14:textId="77777777">
      <w:pPr>
        <w:pStyle w:val="BodyText"/>
        <w:ind w:left="220" w:right="251"/>
      </w:pPr>
      <w:r>
        <w:t>The</w:t>
      </w:r>
      <w:r>
        <w:rPr>
          <w:spacing w:val="-3"/>
        </w:rPr>
        <w:t xml:space="preserve"> </w:t>
      </w:r>
      <w:r>
        <w:t>CFPB</w:t>
      </w:r>
      <w:r>
        <w:rPr>
          <w:spacing w:val="-5"/>
        </w:rPr>
        <w:t xml:space="preserve"> </w:t>
      </w:r>
      <w:r>
        <w:t>understands</w:t>
      </w:r>
      <w:r>
        <w:rPr>
          <w:spacing w:val="-5"/>
        </w:rPr>
        <w:t xml:space="preserve"> </w:t>
      </w:r>
      <w:r>
        <w:t>that</w:t>
      </w:r>
      <w:r>
        <w:rPr>
          <w:spacing w:val="-3"/>
        </w:rPr>
        <w:t xml:space="preserve"> </w:t>
      </w:r>
      <w:r>
        <w:t>many</w:t>
      </w:r>
      <w:r>
        <w:rPr>
          <w:spacing w:val="-3"/>
        </w:rPr>
        <w:t xml:space="preserve"> </w:t>
      </w:r>
      <w:r>
        <w:t>firms</w:t>
      </w:r>
      <w:r>
        <w:rPr>
          <w:spacing w:val="-3"/>
        </w:rPr>
        <w:t xml:space="preserve"> </w:t>
      </w:r>
      <w:r>
        <w:t>use</w:t>
      </w:r>
      <w:r>
        <w:rPr>
          <w:spacing w:val="-3"/>
        </w:rPr>
        <w:t xml:space="preserve"> </w:t>
      </w:r>
      <w:r>
        <w:t>affiliated</w:t>
      </w:r>
      <w:r>
        <w:rPr>
          <w:spacing w:val="-3"/>
        </w:rPr>
        <w:t xml:space="preserve"> </w:t>
      </w:r>
      <w:r>
        <w:t>business</w:t>
      </w:r>
      <w:r>
        <w:rPr>
          <w:spacing w:val="-3"/>
        </w:rPr>
        <w:t xml:space="preserve"> </w:t>
      </w:r>
      <w:r>
        <w:t>arrangements,</w:t>
      </w:r>
      <w:r>
        <w:rPr>
          <w:spacing w:val="-4"/>
        </w:rPr>
        <w:t xml:space="preserve"> </w:t>
      </w:r>
      <w:r>
        <w:t>but</w:t>
      </w:r>
      <w:r>
        <w:rPr>
          <w:spacing w:val="-4"/>
        </w:rPr>
        <w:t xml:space="preserve"> </w:t>
      </w:r>
      <w:r>
        <w:t>it</w:t>
      </w:r>
      <w:r>
        <w:rPr>
          <w:spacing w:val="-3"/>
        </w:rPr>
        <w:t xml:space="preserve"> </w:t>
      </w:r>
      <w:r>
        <w:t>does</w:t>
      </w:r>
      <w:r>
        <w:rPr>
          <w:spacing w:val="-3"/>
        </w:rPr>
        <w:t xml:space="preserve"> </w:t>
      </w:r>
      <w:r>
        <w:t>not</w:t>
      </w:r>
      <w:r>
        <w:rPr>
          <w:spacing w:val="-3"/>
        </w:rPr>
        <w:t xml:space="preserve"> </w:t>
      </w:r>
      <w:r>
        <w:t>have data needed to accurately estimate the burden associated with §1024.15(b) and (b)(1) and</w:t>
      </w:r>
    </w:p>
    <w:p w:rsidR="007E2C51" w:rsidP="007E2C51" w14:paraId="633FF5BD" w14:textId="77777777">
      <w:pPr>
        <w:pStyle w:val="BodyText"/>
        <w:ind w:left="220" w:right="251"/>
      </w:pPr>
      <w:r>
        <w:t>§1024.15(d).</w:t>
      </w:r>
      <w:r>
        <w:rPr>
          <w:spacing w:val="-3"/>
        </w:rPr>
        <w:t xml:space="preserve"> </w:t>
      </w:r>
      <w:r>
        <w:t>The</w:t>
      </w:r>
      <w:r>
        <w:rPr>
          <w:spacing w:val="-3"/>
        </w:rPr>
        <w:t xml:space="preserve"> </w:t>
      </w:r>
      <w:r>
        <w:t>CFPB</w:t>
      </w:r>
      <w:r>
        <w:rPr>
          <w:spacing w:val="-3"/>
        </w:rPr>
        <w:t xml:space="preserve"> </w:t>
      </w:r>
      <w:r>
        <w:t>invited</w:t>
      </w:r>
      <w:r>
        <w:rPr>
          <w:spacing w:val="-3"/>
        </w:rPr>
        <w:t xml:space="preserve"> </w:t>
      </w:r>
      <w:r>
        <w:t>comment</w:t>
      </w:r>
      <w:r>
        <w:rPr>
          <w:spacing w:val="-3"/>
        </w:rPr>
        <w:t xml:space="preserve"> </w:t>
      </w:r>
      <w:r>
        <w:t>from</w:t>
      </w:r>
      <w:r>
        <w:rPr>
          <w:spacing w:val="-4"/>
        </w:rPr>
        <w:t xml:space="preserve"> </w:t>
      </w:r>
      <w:r>
        <w:t>covered</w:t>
      </w:r>
      <w:r>
        <w:rPr>
          <w:spacing w:val="-3"/>
        </w:rPr>
        <w:t xml:space="preserve"> </w:t>
      </w:r>
      <w:r>
        <w:t>persons</w:t>
      </w:r>
      <w:r>
        <w:rPr>
          <w:spacing w:val="-3"/>
        </w:rPr>
        <w:t xml:space="preserve"> </w:t>
      </w:r>
      <w:r>
        <w:t>in</w:t>
      </w:r>
      <w:r>
        <w:rPr>
          <w:spacing w:val="-3"/>
        </w:rPr>
        <w:t xml:space="preserve"> </w:t>
      </w:r>
      <w:r>
        <w:t>its</w:t>
      </w:r>
      <w:r>
        <w:rPr>
          <w:spacing w:val="-3"/>
        </w:rPr>
        <w:t xml:space="preserve"> </w:t>
      </w:r>
      <w:r>
        <w:rPr>
          <w:i/>
        </w:rPr>
        <w:t>Federal</w:t>
      </w:r>
      <w:r>
        <w:rPr>
          <w:i/>
          <w:spacing w:val="-3"/>
        </w:rPr>
        <w:t xml:space="preserve"> </w:t>
      </w:r>
      <w:r>
        <w:rPr>
          <w:i/>
        </w:rPr>
        <w:t>Register</w:t>
      </w:r>
      <w:r>
        <w:rPr>
          <w:i/>
          <w:spacing w:val="-3"/>
        </w:rPr>
        <w:t xml:space="preserve"> </w:t>
      </w:r>
      <w:r>
        <w:t>notice.</w:t>
      </w:r>
      <w:r>
        <w:rPr>
          <w:spacing w:val="-3"/>
        </w:rPr>
        <w:t xml:space="preserve"> </w:t>
      </w:r>
      <w:r>
        <w:t>The CFPB did not receive any comment on the burden associated with this information collection is unable to estimate its burden.</w:t>
      </w:r>
    </w:p>
    <w:p w:rsidR="00613FD3" w:rsidRPr="00B14B37" w:rsidP="00B14B37" w14:paraId="27C32D20" w14:textId="77777777">
      <w:pPr>
        <w:pStyle w:val="BodyText"/>
        <w:spacing w:before="1"/>
        <w:rPr>
          <w:sz w:val="15"/>
        </w:rPr>
      </w:pPr>
      <w:r>
        <w:rPr>
          <w:noProof/>
        </w:rPr>
        <mc:AlternateContent>
          <mc:Choice Requires="wps">
            <w:drawing>
              <wp:anchor distT="0" distB="0" distL="0" distR="0" simplePos="0" relativeHeight="251658240" behindDoc="1" locked="0" layoutInCell="1" allowOverlap="1">
                <wp:simplePos x="0" y="0"/>
                <wp:positionH relativeFrom="page">
                  <wp:posOffset>774700</wp:posOffset>
                </wp:positionH>
                <wp:positionV relativeFrom="paragraph">
                  <wp:posOffset>125730</wp:posOffset>
                </wp:positionV>
                <wp:extent cx="1828800" cy="6985"/>
                <wp:effectExtent l="3175" t="0" r="0" b="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9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2in;height:0.55pt;margin-top:9.9pt;margin-left:61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bookmarkStart w:id="1" w:name="_bookmark5"/>
      <w:bookmarkEnd w:id="1"/>
    </w:p>
    <w:p w:rsidR="00FD2D3B" w:rsidP="00FD2D3B" w14:paraId="05A6F9D3" w14:textId="77777777">
      <w:pPr>
        <w:pStyle w:val="BodyText"/>
        <w:spacing w:before="1"/>
      </w:pPr>
      <w:bookmarkStart w:id="2" w:name="_bookmark2"/>
      <w:bookmarkEnd w:id="2"/>
    </w:p>
    <w:p w:rsidR="00A93967" w:rsidRPr="00BF6D43" w:rsidP="005F1FFC" w14:paraId="71CAB4EB" w14:textId="77777777">
      <w:pPr>
        <w:rPr>
          <w:b/>
          <w:sz w:val="24"/>
          <w:szCs w:val="24"/>
        </w:rPr>
      </w:pPr>
    </w:p>
    <w:p w:rsidR="00F660E8" w:rsidRPr="00BF6D43" w:rsidP="00F660E8" w14:paraId="088B8E17"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FD2D3B" w:rsidP="00FD2D3B" w14:paraId="6CD6BF6D" w14:textId="77777777">
      <w:pPr>
        <w:pStyle w:val="BodyText"/>
        <w:spacing w:after="1"/>
        <w:rPr>
          <w:b/>
        </w:rPr>
      </w:pPr>
    </w:p>
    <w:tbl>
      <w:tblPr>
        <w:tblW w:w="10013"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88"/>
        <w:gridCol w:w="2165"/>
        <w:gridCol w:w="2030"/>
        <w:gridCol w:w="1930"/>
      </w:tblGrid>
      <w:tr w14:paraId="2BA3711D" w14:textId="77777777" w:rsidTr="00D23939">
        <w:tblPrEx>
          <w:tblW w:w="10013"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888" w:type="dxa"/>
            <w:shd w:val="clear" w:color="auto" w:fill="D9D9D9" w:themeFill="background1" w:themeFillShade="D9"/>
          </w:tcPr>
          <w:p w:rsidR="00FD2D3B" w:rsidRPr="005E053B" w:rsidP="005E053B" w14:paraId="057AA5D9" w14:textId="77777777">
            <w:pPr>
              <w:pStyle w:val="TableParagraph"/>
              <w:ind w:left="767"/>
              <w:rPr>
                <w:b/>
                <w:sz w:val="20"/>
                <w:szCs w:val="20"/>
              </w:rPr>
            </w:pPr>
            <w:r w:rsidRPr="005E053B">
              <w:rPr>
                <w:b/>
                <w:sz w:val="20"/>
                <w:szCs w:val="20"/>
              </w:rPr>
              <w:t>Information</w:t>
            </w:r>
            <w:r w:rsidRPr="005E053B">
              <w:rPr>
                <w:b/>
                <w:spacing w:val="-5"/>
                <w:sz w:val="20"/>
                <w:szCs w:val="20"/>
              </w:rPr>
              <w:t xml:space="preserve"> </w:t>
            </w:r>
            <w:r w:rsidRPr="005E053B">
              <w:rPr>
                <w:b/>
                <w:spacing w:val="-2"/>
                <w:sz w:val="20"/>
                <w:szCs w:val="20"/>
              </w:rPr>
              <w:t>Collection</w:t>
            </w:r>
          </w:p>
        </w:tc>
        <w:tc>
          <w:tcPr>
            <w:tcW w:w="2165" w:type="dxa"/>
            <w:shd w:val="clear" w:color="auto" w:fill="D9D9D9" w:themeFill="background1" w:themeFillShade="D9"/>
          </w:tcPr>
          <w:p w:rsidR="00FD2D3B" w:rsidRPr="005E053B" w:rsidP="005E053B" w14:paraId="4D392303" w14:textId="77777777">
            <w:pPr>
              <w:pStyle w:val="TableParagraph"/>
              <w:ind w:left="145"/>
              <w:rPr>
                <w:b/>
                <w:sz w:val="20"/>
                <w:szCs w:val="20"/>
              </w:rPr>
            </w:pPr>
            <w:r w:rsidRPr="005E053B">
              <w:rPr>
                <w:b/>
                <w:sz w:val="20"/>
                <w:szCs w:val="20"/>
              </w:rPr>
              <w:t>Per</w:t>
            </w:r>
            <w:r w:rsidRPr="005E053B">
              <w:rPr>
                <w:b/>
                <w:spacing w:val="-2"/>
                <w:sz w:val="20"/>
                <w:szCs w:val="20"/>
              </w:rPr>
              <w:t xml:space="preserve"> </w:t>
            </w:r>
            <w:r w:rsidRPr="005E053B">
              <w:rPr>
                <w:b/>
                <w:sz w:val="20"/>
                <w:szCs w:val="20"/>
              </w:rPr>
              <w:t>Unit</w:t>
            </w:r>
            <w:r w:rsidRPr="005E053B">
              <w:rPr>
                <w:b/>
                <w:spacing w:val="-1"/>
                <w:sz w:val="20"/>
                <w:szCs w:val="20"/>
              </w:rPr>
              <w:t xml:space="preserve"> </w:t>
            </w:r>
            <w:r w:rsidRPr="005E053B">
              <w:rPr>
                <w:b/>
                <w:sz w:val="20"/>
                <w:szCs w:val="20"/>
              </w:rPr>
              <w:t>Costs</w:t>
            </w:r>
            <w:r w:rsidRPr="005E053B">
              <w:rPr>
                <w:b/>
                <w:spacing w:val="-1"/>
                <w:sz w:val="20"/>
                <w:szCs w:val="20"/>
              </w:rPr>
              <w:t xml:space="preserve"> </w:t>
            </w:r>
            <w:r w:rsidRPr="005E053B">
              <w:rPr>
                <w:b/>
                <w:spacing w:val="-2"/>
                <w:sz w:val="20"/>
                <w:szCs w:val="20"/>
              </w:rPr>
              <w:t>(USD)</w:t>
            </w:r>
          </w:p>
        </w:tc>
        <w:tc>
          <w:tcPr>
            <w:tcW w:w="2030" w:type="dxa"/>
            <w:shd w:val="clear" w:color="auto" w:fill="D9D9D9" w:themeFill="background1" w:themeFillShade="D9"/>
          </w:tcPr>
          <w:p w:rsidR="00FD2D3B" w:rsidRPr="005E053B" w:rsidP="005E053B" w14:paraId="2401183D" w14:textId="77777777">
            <w:pPr>
              <w:pStyle w:val="TableParagraph"/>
              <w:ind w:left="394"/>
              <w:rPr>
                <w:b/>
                <w:sz w:val="20"/>
                <w:szCs w:val="20"/>
              </w:rPr>
            </w:pPr>
            <w:r w:rsidRPr="005E053B">
              <w:rPr>
                <w:b/>
                <w:spacing w:val="-2"/>
                <w:sz w:val="20"/>
                <w:szCs w:val="20"/>
              </w:rPr>
              <w:t>Quantity</w:t>
            </w:r>
          </w:p>
        </w:tc>
        <w:tc>
          <w:tcPr>
            <w:tcW w:w="1930" w:type="dxa"/>
            <w:shd w:val="clear" w:color="auto" w:fill="D9D9D9" w:themeFill="background1" w:themeFillShade="D9"/>
          </w:tcPr>
          <w:p w:rsidR="00FD2D3B" w:rsidRPr="005E053B" w:rsidP="005E053B" w14:paraId="590B9016" w14:textId="77777777">
            <w:pPr>
              <w:pStyle w:val="TableParagraph"/>
              <w:ind w:left="427" w:right="196" w:hanging="218"/>
              <w:rPr>
                <w:b/>
                <w:sz w:val="20"/>
                <w:szCs w:val="20"/>
              </w:rPr>
            </w:pPr>
            <w:r w:rsidRPr="005E053B">
              <w:rPr>
                <w:b/>
                <w:sz w:val="20"/>
                <w:szCs w:val="20"/>
              </w:rPr>
              <w:t>Total</w:t>
            </w:r>
            <w:r w:rsidRPr="005E053B">
              <w:rPr>
                <w:b/>
                <w:spacing w:val="-15"/>
                <w:sz w:val="20"/>
                <w:szCs w:val="20"/>
              </w:rPr>
              <w:t xml:space="preserve"> </w:t>
            </w:r>
            <w:r w:rsidRPr="005E053B">
              <w:rPr>
                <w:b/>
                <w:sz w:val="20"/>
                <w:szCs w:val="20"/>
              </w:rPr>
              <w:t xml:space="preserve">Cost </w:t>
            </w:r>
            <w:r w:rsidRPr="005E053B">
              <w:rPr>
                <w:b/>
                <w:spacing w:val="-4"/>
                <w:sz w:val="20"/>
                <w:szCs w:val="20"/>
              </w:rPr>
              <w:t>(USD)</w:t>
            </w:r>
          </w:p>
        </w:tc>
      </w:tr>
      <w:tr w14:paraId="28D40018" w14:textId="77777777" w:rsidTr="00D23939">
        <w:tblPrEx>
          <w:tblW w:w="10013" w:type="dxa"/>
          <w:tblInd w:w="332" w:type="dxa"/>
          <w:tblLayout w:type="fixed"/>
          <w:tblCellMar>
            <w:left w:w="0" w:type="dxa"/>
            <w:right w:w="0" w:type="dxa"/>
          </w:tblCellMar>
          <w:tblLook w:val="01E0"/>
        </w:tblPrEx>
        <w:trPr>
          <w:trHeight w:val="552"/>
        </w:trPr>
        <w:tc>
          <w:tcPr>
            <w:tcW w:w="3888" w:type="dxa"/>
          </w:tcPr>
          <w:p w:rsidR="00FD2D3B" w:rsidRPr="005E053B" w:rsidP="005E053B" w14:paraId="38372633" w14:textId="77777777">
            <w:pPr>
              <w:pStyle w:val="TableParagraph"/>
              <w:ind w:left="4"/>
              <w:rPr>
                <w:sz w:val="20"/>
                <w:szCs w:val="20"/>
              </w:rPr>
            </w:pPr>
            <w:r w:rsidRPr="005E053B">
              <w:rPr>
                <w:sz w:val="20"/>
                <w:szCs w:val="20"/>
              </w:rPr>
              <w:t>1024.17(g)</w:t>
            </w:r>
            <w:r w:rsidRPr="005E053B">
              <w:rPr>
                <w:spacing w:val="-13"/>
                <w:sz w:val="20"/>
                <w:szCs w:val="20"/>
              </w:rPr>
              <w:t xml:space="preserve"> </w:t>
            </w:r>
            <w:r w:rsidRPr="005E053B">
              <w:rPr>
                <w:sz w:val="20"/>
                <w:szCs w:val="20"/>
              </w:rPr>
              <w:t>Reproducing</w:t>
            </w:r>
            <w:r w:rsidRPr="005E053B">
              <w:rPr>
                <w:spacing w:val="-13"/>
                <w:sz w:val="20"/>
                <w:szCs w:val="20"/>
              </w:rPr>
              <w:t xml:space="preserve"> </w:t>
            </w:r>
            <w:r w:rsidRPr="005E053B">
              <w:rPr>
                <w:sz w:val="20"/>
                <w:szCs w:val="20"/>
              </w:rPr>
              <w:t>and</w:t>
            </w:r>
            <w:r w:rsidRPr="005E053B">
              <w:rPr>
                <w:spacing w:val="-13"/>
                <w:sz w:val="20"/>
                <w:szCs w:val="20"/>
              </w:rPr>
              <w:t xml:space="preserve"> </w:t>
            </w:r>
            <w:r w:rsidRPr="005E053B">
              <w:rPr>
                <w:sz w:val="20"/>
                <w:szCs w:val="20"/>
              </w:rPr>
              <w:t>Mailing initial escrow account statements</w:t>
            </w:r>
          </w:p>
        </w:tc>
        <w:tc>
          <w:tcPr>
            <w:tcW w:w="2165" w:type="dxa"/>
          </w:tcPr>
          <w:p w:rsidR="00FD2D3B" w:rsidRPr="005E053B" w:rsidP="005E053B" w14:paraId="36C14300" w14:textId="77777777">
            <w:pPr>
              <w:pStyle w:val="TableParagraph"/>
              <w:jc w:val="right"/>
              <w:rPr>
                <w:sz w:val="20"/>
                <w:szCs w:val="20"/>
              </w:rPr>
            </w:pPr>
            <w:r w:rsidRPr="005E053B">
              <w:rPr>
                <w:spacing w:val="-5"/>
                <w:sz w:val="20"/>
                <w:szCs w:val="20"/>
              </w:rPr>
              <w:t>0</w:t>
            </w:r>
            <w:r w:rsidRPr="005E053B" w:rsidR="00122156">
              <w:rPr>
                <w:spacing w:val="-5"/>
                <w:sz w:val="20"/>
                <w:szCs w:val="20"/>
              </w:rPr>
              <w:t>.30</w:t>
            </w:r>
            <w:r w:rsidRPr="005E053B">
              <w:rPr>
                <w:spacing w:val="-5"/>
                <w:sz w:val="20"/>
                <w:szCs w:val="20"/>
              </w:rPr>
              <w:t xml:space="preserve">    </w:t>
            </w:r>
          </w:p>
        </w:tc>
        <w:tc>
          <w:tcPr>
            <w:tcW w:w="2030" w:type="dxa"/>
          </w:tcPr>
          <w:p w:rsidR="00FD2D3B" w:rsidRPr="005E053B" w:rsidP="005E053B" w14:paraId="2F3433FD" w14:textId="77777777">
            <w:pPr>
              <w:pStyle w:val="TableParagraph"/>
              <w:jc w:val="right"/>
              <w:rPr>
                <w:sz w:val="20"/>
                <w:szCs w:val="20"/>
              </w:rPr>
            </w:pPr>
            <w:r w:rsidRPr="005E053B">
              <w:rPr>
                <w:sz w:val="20"/>
                <w:szCs w:val="20"/>
              </w:rPr>
              <w:t>4,479,827</w:t>
            </w:r>
          </w:p>
        </w:tc>
        <w:tc>
          <w:tcPr>
            <w:tcW w:w="1930" w:type="dxa"/>
          </w:tcPr>
          <w:p w:rsidR="00FD2D3B" w:rsidRPr="005E053B" w:rsidP="005E053B" w14:paraId="00BB345A" w14:textId="77777777">
            <w:pPr>
              <w:pStyle w:val="TableParagraph"/>
              <w:jc w:val="right"/>
              <w:rPr>
                <w:sz w:val="20"/>
                <w:szCs w:val="20"/>
              </w:rPr>
            </w:pPr>
            <w:r w:rsidRPr="005E053B">
              <w:rPr>
                <w:sz w:val="20"/>
                <w:szCs w:val="20"/>
              </w:rPr>
              <w:t>1,343,948</w:t>
            </w:r>
          </w:p>
        </w:tc>
      </w:tr>
      <w:tr w14:paraId="70C232E1"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68145051" w14:textId="77777777">
            <w:pPr>
              <w:pStyle w:val="TableParagraph"/>
              <w:ind w:left="4"/>
              <w:rPr>
                <w:sz w:val="20"/>
                <w:szCs w:val="20"/>
              </w:rPr>
            </w:pPr>
            <w:r w:rsidRPr="005E053B">
              <w:rPr>
                <w:sz w:val="20"/>
                <w:szCs w:val="20"/>
              </w:rPr>
              <w:t>1024.17(h) Reproducing and Mailing Short</w:t>
            </w:r>
            <w:r w:rsidRPr="005E053B">
              <w:rPr>
                <w:spacing w:val="-7"/>
                <w:sz w:val="20"/>
                <w:szCs w:val="20"/>
              </w:rPr>
              <w:t xml:space="preserve"> </w:t>
            </w:r>
            <w:r w:rsidRPr="005E053B">
              <w:rPr>
                <w:sz w:val="20"/>
                <w:szCs w:val="20"/>
              </w:rPr>
              <w:t>year</w:t>
            </w:r>
            <w:r w:rsidRPr="005E053B">
              <w:rPr>
                <w:spacing w:val="-8"/>
                <w:sz w:val="20"/>
                <w:szCs w:val="20"/>
              </w:rPr>
              <w:t xml:space="preserve"> </w:t>
            </w:r>
            <w:r w:rsidRPr="005E053B">
              <w:rPr>
                <w:sz w:val="20"/>
                <w:szCs w:val="20"/>
              </w:rPr>
              <w:t>escrow</w:t>
            </w:r>
            <w:r w:rsidRPr="005E053B">
              <w:rPr>
                <w:spacing w:val="-8"/>
                <w:sz w:val="20"/>
                <w:szCs w:val="20"/>
              </w:rPr>
              <w:t xml:space="preserve"> </w:t>
            </w:r>
            <w:r w:rsidRPr="005E053B">
              <w:rPr>
                <w:sz w:val="20"/>
                <w:szCs w:val="20"/>
              </w:rPr>
              <w:t>account</w:t>
            </w:r>
            <w:r w:rsidRPr="005E053B">
              <w:rPr>
                <w:spacing w:val="-7"/>
                <w:sz w:val="20"/>
                <w:szCs w:val="20"/>
              </w:rPr>
              <w:t xml:space="preserve"> </w:t>
            </w:r>
            <w:r w:rsidRPr="005E053B">
              <w:rPr>
                <w:sz w:val="20"/>
                <w:szCs w:val="20"/>
              </w:rPr>
              <w:t>statements</w:t>
            </w:r>
            <w:r>
              <w:rPr>
                <w:rStyle w:val="FootnoteReference"/>
                <w:sz w:val="20"/>
                <w:szCs w:val="20"/>
              </w:rPr>
              <w:footnoteReference w:id="10"/>
            </w:r>
          </w:p>
        </w:tc>
        <w:tc>
          <w:tcPr>
            <w:tcW w:w="2165" w:type="dxa"/>
          </w:tcPr>
          <w:p w:rsidR="00F06588" w:rsidRPr="005E053B" w:rsidP="005E053B" w14:paraId="6E5A1039" w14:textId="77777777">
            <w:pPr>
              <w:pStyle w:val="TableParagraph"/>
              <w:jc w:val="right"/>
              <w:rPr>
                <w:sz w:val="20"/>
                <w:szCs w:val="20"/>
              </w:rPr>
            </w:pPr>
            <w:r w:rsidRPr="005E053B">
              <w:rPr>
                <w:sz w:val="20"/>
                <w:szCs w:val="20"/>
              </w:rPr>
              <w:t>0</w:t>
            </w:r>
          </w:p>
        </w:tc>
        <w:tc>
          <w:tcPr>
            <w:tcW w:w="2030" w:type="dxa"/>
          </w:tcPr>
          <w:p w:rsidR="00FD2D3B" w:rsidRPr="005E053B" w:rsidP="005E053B" w14:paraId="102D464F" w14:textId="77777777">
            <w:pPr>
              <w:pStyle w:val="TableParagraph"/>
              <w:jc w:val="right"/>
              <w:rPr>
                <w:sz w:val="20"/>
                <w:szCs w:val="20"/>
              </w:rPr>
            </w:pPr>
            <w:r w:rsidRPr="005E053B">
              <w:rPr>
                <w:sz w:val="20"/>
                <w:szCs w:val="20"/>
              </w:rPr>
              <w:t>0</w:t>
            </w:r>
          </w:p>
        </w:tc>
        <w:tc>
          <w:tcPr>
            <w:tcW w:w="1930" w:type="dxa"/>
          </w:tcPr>
          <w:p w:rsidR="00F06588" w:rsidRPr="005E053B" w:rsidP="005E053B" w14:paraId="33EEF1E2" w14:textId="77777777">
            <w:pPr>
              <w:pStyle w:val="TableParagraph"/>
              <w:jc w:val="right"/>
              <w:rPr>
                <w:sz w:val="20"/>
                <w:szCs w:val="20"/>
              </w:rPr>
            </w:pPr>
            <w:r w:rsidRPr="005E053B">
              <w:rPr>
                <w:sz w:val="20"/>
                <w:szCs w:val="20"/>
              </w:rPr>
              <w:t>0</w:t>
            </w:r>
          </w:p>
        </w:tc>
      </w:tr>
      <w:tr w14:paraId="0C1C85EE"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6526E263" w14:textId="77777777">
            <w:pPr>
              <w:pStyle w:val="TableParagraph"/>
              <w:ind w:left="4"/>
              <w:rPr>
                <w:sz w:val="20"/>
                <w:szCs w:val="20"/>
              </w:rPr>
            </w:pPr>
            <w:r w:rsidRPr="005E053B">
              <w:rPr>
                <w:sz w:val="20"/>
                <w:szCs w:val="20"/>
              </w:rPr>
              <w:t>1024.17(</w:t>
            </w:r>
            <w:r w:rsidRPr="005E053B">
              <w:rPr>
                <w:sz w:val="20"/>
                <w:szCs w:val="20"/>
              </w:rPr>
              <w:t>i</w:t>
            </w:r>
            <w:r w:rsidRPr="005E053B">
              <w:rPr>
                <w:sz w:val="20"/>
                <w:szCs w:val="20"/>
              </w:rPr>
              <w:t>)</w:t>
            </w:r>
            <w:r w:rsidRPr="005E053B">
              <w:rPr>
                <w:spacing w:val="-1"/>
                <w:sz w:val="20"/>
                <w:szCs w:val="20"/>
              </w:rPr>
              <w:t xml:space="preserve"> </w:t>
            </w:r>
            <w:r w:rsidRPr="005E053B">
              <w:rPr>
                <w:sz w:val="20"/>
                <w:szCs w:val="20"/>
              </w:rPr>
              <w:t>Reproducing</w:t>
            </w:r>
            <w:r w:rsidRPr="005E053B">
              <w:rPr>
                <w:spacing w:val="-3"/>
                <w:sz w:val="20"/>
                <w:szCs w:val="20"/>
              </w:rPr>
              <w:t xml:space="preserve"> </w:t>
            </w:r>
            <w:r w:rsidRPr="005E053B">
              <w:rPr>
                <w:sz w:val="20"/>
                <w:szCs w:val="20"/>
              </w:rPr>
              <w:t xml:space="preserve">and </w:t>
            </w:r>
            <w:r w:rsidRPr="005E053B">
              <w:rPr>
                <w:spacing w:val="-2"/>
                <w:sz w:val="20"/>
                <w:szCs w:val="20"/>
              </w:rPr>
              <w:t>Mailing</w:t>
            </w:r>
          </w:p>
          <w:p w:rsidR="00FD2D3B" w:rsidRPr="005E053B" w:rsidP="005E053B" w14:paraId="1FC7EB86" w14:textId="77777777">
            <w:pPr>
              <w:pStyle w:val="TableParagraph"/>
              <w:ind w:left="4"/>
              <w:rPr>
                <w:sz w:val="20"/>
                <w:szCs w:val="20"/>
              </w:rPr>
            </w:pPr>
            <w:r w:rsidRPr="005E053B">
              <w:rPr>
                <w:sz w:val="20"/>
                <w:szCs w:val="20"/>
              </w:rPr>
              <w:t>annual</w:t>
            </w:r>
            <w:r w:rsidRPr="005E053B">
              <w:rPr>
                <w:spacing w:val="-1"/>
                <w:sz w:val="20"/>
                <w:szCs w:val="20"/>
              </w:rPr>
              <w:t xml:space="preserve"> </w:t>
            </w:r>
            <w:r w:rsidRPr="005E053B">
              <w:rPr>
                <w:sz w:val="20"/>
                <w:szCs w:val="20"/>
              </w:rPr>
              <w:t>escrow</w:t>
            </w:r>
            <w:r w:rsidRPr="005E053B">
              <w:rPr>
                <w:spacing w:val="-2"/>
                <w:sz w:val="20"/>
                <w:szCs w:val="20"/>
              </w:rPr>
              <w:t xml:space="preserve"> </w:t>
            </w:r>
            <w:r w:rsidRPr="005E053B">
              <w:rPr>
                <w:sz w:val="20"/>
                <w:szCs w:val="20"/>
              </w:rPr>
              <w:t>account</w:t>
            </w:r>
            <w:r w:rsidRPr="005E053B">
              <w:rPr>
                <w:spacing w:val="-1"/>
                <w:sz w:val="20"/>
                <w:szCs w:val="20"/>
              </w:rPr>
              <w:t xml:space="preserve"> </w:t>
            </w:r>
            <w:r w:rsidRPr="005E053B">
              <w:rPr>
                <w:spacing w:val="-2"/>
                <w:sz w:val="20"/>
                <w:szCs w:val="20"/>
              </w:rPr>
              <w:t>statements</w:t>
            </w:r>
          </w:p>
        </w:tc>
        <w:tc>
          <w:tcPr>
            <w:tcW w:w="2165" w:type="dxa"/>
          </w:tcPr>
          <w:p w:rsidR="00FD2D3B" w:rsidRPr="005E053B" w:rsidP="005E053B" w14:paraId="53A33B4F" w14:textId="77777777">
            <w:pPr>
              <w:pStyle w:val="TableParagraph"/>
              <w:jc w:val="right"/>
              <w:rPr>
                <w:sz w:val="20"/>
                <w:szCs w:val="20"/>
              </w:rPr>
            </w:pPr>
            <w:r w:rsidRPr="005E053B">
              <w:rPr>
                <w:spacing w:val="-5"/>
                <w:sz w:val="20"/>
                <w:szCs w:val="20"/>
              </w:rPr>
              <w:t>0</w:t>
            </w:r>
            <w:r w:rsidRPr="005E053B" w:rsidR="00122156">
              <w:rPr>
                <w:spacing w:val="-5"/>
                <w:sz w:val="20"/>
                <w:szCs w:val="20"/>
              </w:rPr>
              <w:t>.30</w:t>
            </w:r>
          </w:p>
        </w:tc>
        <w:tc>
          <w:tcPr>
            <w:tcW w:w="2030" w:type="dxa"/>
          </w:tcPr>
          <w:p w:rsidR="00FD2D3B" w:rsidRPr="005E053B" w:rsidP="005E053B" w14:paraId="3827386A" w14:textId="77777777">
            <w:pPr>
              <w:pStyle w:val="TableParagraph"/>
              <w:jc w:val="right"/>
              <w:rPr>
                <w:sz w:val="20"/>
                <w:szCs w:val="20"/>
              </w:rPr>
            </w:pPr>
            <w:r w:rsidRPr="005E053B">
              <w:rPr>
                <w:spacing w:val="-2"/>
                <w:sz w:val="20"/>
                <w:szCs w:val="20"/>
              </w:rPr>
              <w:t>40,597,059</w:t>
            </w:r>
          </w:p>
        </w:tc>
        <w:tc>
          <w:tcPr>
            <w:tcW w:w="1930" w:type="dxa"/>
          </w:tcPr>
          <w:p w:rsidR="00FD2D3B" w:rsidRPr="005E053B" w:rsidP="005E053B" w14:paraId="53AC17DE" w14:textId="77777777">
            <w:pPr>
              <w:pStyle w:val="TableParagraph"/>
              <w:jc w:val="right"/>
              <w:rPr>
                <w:sz w:val="20"/>
                <w:szCs w:val="20"/>
              </w:rPr>
            </w:pPr>
            <w:r w:rsidRPr="005E053B">
              <w:rPr>
                <w:sz w:val="20"/>
                <w:szCs w:val="20"/>
              </w:rPr>
              <w:t>12,179,118</w:t>
            </w:r>
          </w:p>
        </w:tc>
      </w:tr>
      <w:tr w14:paraId="3F3B5C03" w14:textId="77777777" w:rsidTr="00D23939">
        <w:tblPrEx>
          <w:tblW w:w="10013" w:type="dxa"/>
          <w:tblInd w:w="332" w:type="dxa"/>
          <w:tblLayout w:type="fixed"/>
          <w:tblCellMar>
            <w:left w:w="0" w:type="dxa"/>
            <w:right w:w="0" w:type="dxa"/>
          </w:tblCellMar>
          <w:tblLook w:val="01E0"/>
        </w:tblPrEx>
        <w:trPr>
          <w:trHeight w:val="552"/>
        </w:trPr>
        <w:tc>
          <w:tcPr>
            <w:tcW w:w="3888" w:type="dxa"/>
          </w:tcPr>
          <w:p w:rsidR="00FD2D3B" w:rsidRPr="005E053B" w:rsidP="005E053B" w14:paraId="3D4AAC9D" w14:textId="77777777">
            <w:pPr>
              <w:pStyle w:val="TableParagraph"/>
              <w:ind w:left="4"/>
              <w:rPr>
                <w:sz w:val="20"/>
                <w:szCs w:val="20"/>
              </w:rPr>
            </w:pPr>
            <w:r w:rsidRPr="005E053B">
              <w:rPr>
                <w:sz w:val="20"/>
                <w:szCs w:val="20"/>
              </w:rPr>
              <w:t>1024.7</w:t>
            </w:r>
            <w:r w:rsidRPr="005E053B">
              <w:rPr>
                <w:spacing w:val="-8"/>
                <w:sz w:val="20"/>
                <w:szCs w:val="20"/>
              </w:rPr>
              <w:t xml:space="preserve"> </w:t>
            </w:r>
            <w:r w:rsidRPr="005E053B">
              <w:rPr>
                <w:sz w:val="20"/>
                <w:szCs w:val="20"/>
              </w:rPr>
              <w:t>Good</w:t>
            </w:r>
            <w:r w:rsidRPr="005E053B">
              <w:rPr>
                <w:spacing w:val="-8"/>
                <w:sz w:val="20"/>
                <w:szCs w:val="20"/>
              </w:rPr>
              <w:t xml:space="preserve"> </w:t>
            </w:r>
            <w:r w:rsidRPr="005E053B">
              <w:rPr>
                <w:sz w:val="20"/>
                <w:szCs w:val="20"/>
              </w:rPr>
              <w:t>Faith</w:t>
            </w:r>
            <w:r w:rsidRPr="005E053B">
              <w:rPr>
                <w:spacing w:val="-8"/>
                <w:sz w:val="20"/>
                <w:szCs w:val="20"/>
              </w:rPr>
              <w:t xml:space="preserve"> </w:t>
            </w:r>
            <w:r w:rsidRPr="005E053B">
              <w:rPr>
                <w:sz w:val="20"/>
                <w:szCs w:val="20"/>
              </w:rPr>
              <w:t>Estimate</w:t>
            </w:r>
            <w:r w:rsidRPr="005E053B">
              <w:rPr>
                <w:spacing w:val="-8"/>
                <w:sz w:val="20"/>
                <w:szCs w:val="20"/>
              </w:rPr>
              <w:t xml:space="preserve"> </w:t>
            </w:r>
            <w:r w:rsidRPr="005E053B">
              <w:rPr>
                <w:sz w:val="20"/>
                <w:szCs w:val="20"/>
              </w:rPr>
              <w:t>for</w:t>
            </w:r>
            <w:r w:rsidRPr="005E053B">
              <w:rPr>
                <w:spacing w:val="-8"/>
                <w:sz w:val="20"/>
                <w:szCs w:val="20"/>
              </w:rPr>
              <w:t xml:space="preserve"> </w:t>
            </w:r>
            <w:r w:rsidRPr="005E053B">
              <w:rPr>
                <w:sz w:val="20"/>
                <w:szCs w:val="20"/>
              </w:rPr>
              <w:t xml:space="preserve">reverse </w:t>
            </w:r>
            <w:r w:rsidRPr="005E053B">
              <w:rPr>
                <w:spacing w:val="-2"/>
                <w:sz w:val="20"/>
                <w:szCs w:val="20"/>
              </w:rPr>
              <w:t>mortgages</w:t>
            </w:r>
          </w:p>
        </w:tc>
        <w:tc>
          <w:tcPr>
            <w:tcW w:w="2165" w:type="dxa"/>
          </w:tcPr>
          <w:p w:rsidR="00FD2D3B" w:rsidRPr="005E053B" w:rsidP="005E053B" w14:paraId="74CCE2DE" w14:textId="77777777">
            <w:pPr>
              <w:pStyle w:val="TableParagraph"/>
              <w:jc w:val="right"/>
              <w:rPr>
                <w:sz w:val="20"/>
                <w:szCs w:val="20"/>
              </w:rPr>
            </w:pPr>
            <w:r w:rsidRPr="005E053B">
              <w:rPr>
                <w:spacing w:val="-5"/>
                <w:sz w:val="20"/>
                <w:szCs w:val="20"/>
              </w:rPr>
              <w:t>0</w:t>
            </w:r>
            <w:r w:rsidRPr="005E053B" w:rsidR="00122156">
              <w:rPr>
                <w:spacing w:val="-5"/>
                <w:sz w:val="20"/>
                <w:szCs w:val="20"/>
              </w:rPr>
              <w:t>.30</w:t>
            </w:r>
          </w:p>
        </w:tc>
        <w:tc>
          <w:tcPr>
            <w:tcW w:w="2030" w:type="dxa"/>
          </w:tcPr>
          <w:p w:rsidR="00FD2D3B" w:rsidRPr="005E053B" w:rsidP="005E053B" w14:paraId="732844B3" w14:textId="77777777">
            <w:pPr>
              <w:pStyle w:val="TableParagraph"/>
              <w:jc w:val="right"/>
              <w:rPr>
                <w:sz w:val="20"/>
                <w:szCs w:val="20"/>
              </w:rPr>
            </w:pPr>
            <w:r w:rsidRPr="005E053B">
              <w:rPr>
                <w:spacing w:val="-2"/>
                <w:sz w:val="20"/>
                <w:szCs w:val="20"/>
              </w:rPr>
              <w:t>46,815</w:t>
            </w:r>
          </w:p>
        </w:tc>
        <w:tc>
          <w:tcPr>
            <w:tcW w:w="1930" w:type="dxa"/>
          </w:tcPr>
          <w:p w:rsidR="00FD2D3B" w:rsidRPr="005E053B" w:rsidP="005E053B" w14:paraId="6AE07026" w14:textId="77777777">
            <w:pPr>
              <w:pStyle w:val="TableParagraph"/>
              <w:jc w:val="right"/>
              <w:rPr>
                <w:sz w:val="20"/>
                <w:szCs w:val="20"/>
              </w:rPr>
            </w:pPr>
            <w:r w:rsidRPr="005E053B">
              <w:rPr>
                <w:sz w:val="20"/>
                <w:szCs w:val="20"/>
              </w:rPr>
              <w:t>14,04</w:t>
            </w:r>
            <w:r w:rsidRPr="005E053B" w:rsidR="00E04EA0">
              <w:rPr>
                <w:sz w:val="20"/>
                <w:szCs w:val="20"/>
              </w:rPr>
              <w:t>5</w:t>
            </w:r>
          </w:p>
        </w:tc>
      </w:tr>
      <w:tr w14:paraId="6D3570FD"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6345C2D1" w14:textId="77777777">
            <w:pPr>
              <w:pStyle w:val="TableParagraph"/>
              <w:ind w:left="4"/>
              <w:rPr>
                <w:sz w:val="20"/>
                <w:szCs w:val="20"/>
              </w:rPr>
            </w:pPr>
            <w:r w:rsidRPr="005E053B">
              <w:rPr>
                <w:sz w:val="20"/>
                <w:szCs w:val="20"/>
              </w:rPr>
              <w:t>1024.8</w:t>
            </w:r>
            <w:r w:rsidRPr="005E053B">
              <w:rPr>
                <w:spacing w:val="-1"/>
                <w:sz w:val="20"/>
                <w:szCs w:val="20"/>
              </w:rPr>
              <w:t xml:space="preserve"> </w:t>
            </w:r>
            <w:r w:rsidRPr="005E053B">
              <w:rPr>
                <w:sz w:val="20"/>
                <w:szCs w:val="20"/>
              </w:rPr>
              <w:t>Use</w:t>
            </w:r>
            <w:r w:rsidRPr="005E053B">
              <w:rPr>
                <w:spacing w:val="-1"/>
                <w:sz w:val="20"/>
                <w:szCs w:val="20"/>
              </w:rPr>
              <w:t xml:space="preserve"> </w:t>
            </w:r>
            <w:r w:rsidRPr="005E053B">
              <w:rPr>
                <w:sz w:val="20"/>
                <w:szCs w:val="20"/>
              </w:rPr>
              <w:t>of</w:t>
            </w:r>
            <w:r w:rsidRPr="005E053B">
              <w:rPr>
                <w:spacing w:val="-2"/>
                <w:sz w:val="20"/>
                <w:szCs w:val="20"/>
              </w:rPr>
              <w:t xml:space="preserve"> </w:t>
            </w:r>
            <w:r w:rsidRPr="005E053B">
              <w:rPr>
                <w:sz w:val="20"/>
                <w:szCs w:val="20"/>
              </w:rPr>
              <w:t>HUD-1</w:t>
            </w:r>
            <w:r w:rsidRPr="005E053B">
              <w:rPr>
                <w:spacing w:val="-1"/>
                <w:sz w:val="20"/>
                <w:szCs w:val="20"/>
              </w:rPr>
              <w:t xml:space="preserve"> </w:t>
            </w:r>
            <w:r w:rsidRPr="005E053B">
              <w:rPr>
                <w:sz w:val="20"/>
                <w:szCs w:val="20"/>
              </w:rPr>
              <w:t>or</w:t>
            </w:r>
            <w:r w:rsidRPr="005E053B">
              <w:rPr>
                <w:spacing w:val="-1"/>
                <w:sz w:val="20"/>
                <w:szCs w:val="20"/>
              </w:rPr>
              <w:t xml:space="preserve"> </w:t>
            </w:r>
            <w:r w:rsidRPr="005E053B">
              <w:rPr>
                <w:sz w:val="20"/>
                <w:szCs w:val="20"/>
              </w:rPr>
              <w:t>HUD-1A</w:t>
            </w:r>
            <w:r w:rsidRPr="005E053B">
              <w:rPr>
                <w:spacing w:val="-1"/>
                <w:sz w:val="20"/>
                <w:szCs w:val="20"/>
              </w:rPr>
              <w:t xml:space="preserve"> </w:t>
            </w:r>
            <w:r w:rsidRPr="005E053B">
              <w:rPr>
                <w:spacing w:val="-5"/>
                <w:sz w:val="20"/>
                <w:szCs w:val="20"/>
              </w:rPr>
              <w:t>for</w:t>
            </w:r>
          </w:p>
          <w:p w:rsidR="00FD2D3B" w:rsidRPr="005E053B" w:rsidP="005E053B" w14:paraId="064FC311" w14:textId="77777777">
            <w:pPr>
              <w:pStyle w:val="TableParagraph"/>
              <w:ind w:left="4"/>
              <w:rPr>
                <w:sz w:val="20"/>
                <w:szCs w:val="20"/>
              </w:rPr>
            </w:pPr>
            <w:r w:rsidRPr="005E053B">
              <w:rPr>
                <w:sz w:val="20"/>
                <w:szCs w:val="20"/>
              </w:rPr>
              <w:t>reverse</w:t>
            </w:r>
            <w:r w:rsidRPr="005E053B">
              <w:rPr>
                <w:spacing w:val="-1"/>
                <w:sz w:val="20"/>
                <w:szCs w:val="20"/>
              </w:rPr>
              <w:t xml:space="preserve"> </w:t>
            </w:r>
            <w:r w:rsidRPr="005E053B">
              <w:rPr>
                <w:spacing w:val="-2"/>
                <w:sz w:val="20"/>
                <w:szCs w:val="20"/>
              </w:rPr>
              <w:t>mortgages</w:t>
            </w:r>
          </w:p>
        </w:tc>
        <w:tc>
          <w:tcPr>
            <w:tcW w:w="2165" w:type="dxa"/>
          </w:tcPr>
          <w:p w:rsidR="00FD2D3B" w:rsidRPr="005E053B" w:rsidP="005E053B" w14:paraId="3CFB0F4F" w14:textId="77777777">
            <w:pPr>
              <w:pStyle w:val="TableParagraph"/>
              <w:jc w:val="right"/>
              <w:rPr>
                <w:sz w:val="20"/>
                <w:szCs w:val="20"/>
              </w:rPr>
            </w:pPr>
            <w:r w:rsidRPr="005E053B">
              <w:rPr>
                <w:spacing w:val="-5"/>
                <w:sz w:val="20"/>
                <w:szCs w:val="20"/>
              </w:rPr>
              <w:t>0</w:t>
            </w:r>
            <w:r w:rsidRPr="005E053B" w:rsidR="00122156">
              <w:rPr>
                <w:spacing w:val="-5"/>
                <w:sz w:val="20"/>
                <w:szCs w:val="20"/>
              </w:rPr>
              <w:t>.30</w:t>
            </w:r>
          </w:p>
        </w:tc>
        <w:tc>
          <w:tcPr>
            <w:tcW w:w="2030" w:type="dxa"/>
          </w:tcPr>
          <w:p w:rsidR="00FD2D3B" w:rsidRPr="005E053B" w:rsidP="005E053B" w14:paraId="06872304" w14:textId="77777777">
            <w:pPr>
              <w:pStyle w:val="TableParagraph"/>
              <w:jc w:val="right"/>
              <w:rPr>
                <w:sz w:val="20"/>
                <w:szCs w:val="20"/>
              </w:rPr>
            </w:pPr>
            <w:r w:rsidRPr="005E053B">
              <w:rPr>
                <w:spacing w:val="-2"/>
                <w:sz w:val="20"/>
                <w:szCs w:val="20"/>
              </w:rPr>
              <w:t>173,286</w:t>
            </w:r>
          </w:p>
        </w:tc>
        <w:tc>
          <w:tcPr>
            <w:tcW w:w="1930" w:type="dxa"/>
          </w:tcPr>
          <w:p w:rsidR="00FD2D3B" w:rsidRPr="005E053B" w:rsidP="005E053B" w14:paraId="095717B7" w14:textId="77777777">
            <w:pPr>
              <w:pStyle w:val="TableParagraph"/>
              <w:jc w:val="right"/>
              <w:rPr>
                <w:sz w:val="20"/>
                <w:szCs w:val="20"/>
              </w:rPr>
            </w:pPr>
            <w:r w:rsidRPr="005E053B">
              <w:rPr>
                <w:sz w:val="20"/>
                <w:szCs w:val="20"/>
              </w:rPr>
              <w:t>51,986</w:t>
            </w:r>
          </w:p>
        </w:tc>
      </w:tr>
      <w:tr w14:paraId="6BDC4377"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363C8BE1" w14:textId="77777777">
            <w:pPr>
              <w:pStyle w:val="TableParagraph"/>
              <w:ind w:left="4"/>
              <w:rPr>
                <w:sz w:val="20"/>
                <w:szCs w:val="20"/>
              </w:rPr>
            </w:pPr>
            <w:r w:rsidRPr="005E053B">
              <w:rPr>
                <w:sz w:val="20"/>
                <w:szCs w:val="20"/>
              </w:rPr>
              <w:t>1024.32</w:t>
            </w:r>
            <w:r w:rsidRPr="005E053B">
              <w:rPr>
                <w:spacing w:val="-12"/>
                <w:sz w:val="20"/>
                <w:szCs w:val="20"/>
              </w:rPr>
              <w:t xml:space="preserve"> </w:t>
            </w:r>
            <w:r w:rsidRPr="005E053B">
              <w:rPr>
                <w:sz w:val="20"/>
                <w:szCs w:val="20"/>
              </w:rPr>
              <w:t>Successors</w:t>
            </w:r>
            <w:r w:rsidRPr="005E053B">
              <w:rPr>
                <w:spacing w:val="-13"/>
                <w:sz w:val="20"/>
                <w:szCs w:val="20"/>
              </w:rPr>
              <w:t xml:space="preserve"> </w:t>
            </w:r>
            <w:r w:rsidRPr="005E053B">
              <w:rPr>
                <w:sz w:val="20"/>
                <w:szCs w:val="20"/>
              </w:rPr>
              <w:t>in</w:t>
            </w:r>
            <w:r w:rsidRPr="005E053B">
              <w:rPr>
                <w:spacing w:val="-12"/>
                <w:sz w:val="20"/>
                <w:szCs w:val="20"/>
              </w:rPr>
              <w:t xml:space="preserve"> </w:t>
            </w:r>
            <w:r w:rsidRPr="005E053B">
              <w:rPr>
                <w:sz w:val="20"/>
                <w:szCs w:val="20"/>
              </w:rPr>
              <w:t>Interest— Regulation X</w:t>
            </w:r>
          </w:p>
        </w:tc>
        <w:tc>
          <w:tcPr>
            <w:tcW w:w="2165" w:type="dxa"/>
          </w:tcPr>
          <w:p w:rsidR="00FD2D3B" w:rsidRPr="005E053B" w:rsidP="005E053B" w14:paraId="4BCEF4DA" w14:textId="77777777">
            <w:pPr>
              <w:pStyle w:val="TableParagraph"/>
              <w:jc w:val="right"/>
              <w:rPr>
                <w:sz w:val="20"/>
                <w:szCs w:val="20"/>
              </w:rPr>
            </w:pPr>
            <w:r w:rsidRPr="005E053B">
              <w:rPr>
                <w:spacing w:val="-4"/>
                <w:sz w:val="20"/>
                <w:szCs w:val="20"/>
              </w:rPr>
              <w:t>0.30</w:t>
            </w:r>
          </w:p>
        </w:tc>
        <w:tc>
          <w:tcPr>
            <w:tcW w:w="2030" w:type="dxa"/>
          </w:tcPr>
          <w:p w:rsidR="00FD2D3B" w:rsidRPr="005E053B" w:rsidP="005E053B" w14:paraId="5D943F49" w14:textId="77777777">
            <w:pPr>
              <w:pStyle w:val="TableParagraph"/>
              <w:jc w:val="right"/>
              <w:rPr>
                <w:sz w:val="20"/>
                <w:szCs w:val="20"/>
              </w:rPr>
            </w:pPr>
            <w:r w:rsidRPr="005E053B">
              <w:rPr>
                <w:spacing w:val="-2"/>
                <w:sz w:val="20"/>
                <w:szCs w:val="20"/>
              </w:rPr>
              <w:t>57</w:t>
            </w:r>
            <w:r w:rsidRPr="005E053B" w:rsidR="00D81D4B">
              <w:rPr>
                <w:spacing w:val="-2"/>
                <w:sz w:val="20"/>
                <w:szCs w:val="20"/>
              </w:rPr>
              <w:t>,</w:t>
            </w:r>
            <w:r w:rsidRPr="005E053B">
              <w:rPr>
                <w:spacing w:val="-2"/>
                <w:sz w:val="20"/>
                <w:szCs w:val="20"/>
              </w:rPr>
              <w:t>762</w:t>
            </w:r>
          </w:p>
        </w:tc>
        <w:tc>
          <w:tcPr>
            <w:tcW w:w="1930" w:type="dxa"/>
          </w:tcPr>
          <w:p w:rsidR="00FD2D3B" w:rsidRPr="005E053B" w:rsidP="005E053B" w14:paraId="1B4CC989" w14:textId="77777777">
            <w:pPr>
              <w:pStyle w:val="TableParagraph"/>
              <w:jc w:val="right"/>
              <w:rPr>
                <w:sz w:val="20"/>
                <w:szCs w:val="20"/>
              </w:rPr>
            </w:pPr>
            <w:r w:rsidRPr="005E053B">
              <w:rPr>
                <w:sz w:val="20"/>
                <w:szCs w:val="20"/>
              </w:rPr>
              <w:t>17,329</w:t>
            </w:r>
          </w:p>
        </w:tc>
      </w:tr>
      <w:tr w14:paraId="73ACEC9C"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7C151CFF" w14:textId="77777777">
            <w:pPr>
              <w:pStyle w:val="TableParagraph"/>
              <w:ind w:left="4"/>
              <w:rPr>
                <w:sz w:val="20"/>
                <w:szCs w:val="20"/>
              </w:rPr>
            </w:pPr>
            <w:r w:rsidRPr="005E053B">
              <w:rPr>
                <w:sz w:val="20"/>
                <w:szCs w:val="20"/>
              </w:rPr>
              <w:t>1024.33</w:t>
            </w:r>
            <w:r w:rsidRPr="005E053B">
              <w:rPr>
                <w:spacing w:val="-2"/>
                <w:sz w:val="20"/>
                <w:szCs w:val="20"/>
              </w:rPr>
              <w:t xml:space="preserve"> </w:t>
            </w:r>
            <w:r w:rsidRPr="005E053B">
              <w:rPr>
                <w:sz w:val="20"/>
                <w:szCs w:val="20"/>
              </w:rPr>
              <w:t>Mortgage</w:t>
            </w:r>
            <w:r w:rsidRPr="005E053B">
              <w:rPr>
                <w:spacing w:val="-2"/>
                <w:sz w:val="20"/>
                <w:szCs w:val="20"/>
              </w:rPr>
              <w:t xml:space="preserve"> </w:t>
            </w:r>
            <w:r w:rsidRPr="005E053B">
              <w:rPr>
                <w:sz w:val="20"/>
                <w:szCs w:val="20"/>
              </w:rPr>
              <w:t>servicing</w:t>
            </w:r>
            <w:r w:rsidRPr="005E053B">
              <w:rPr>
                <w:spacing w:val="-1"/>
                <w:sz w:val="20"/>
                <w:szCs w:val="20"/>
              </w:rPr>
              <w:t xml:space="preserve"> </w:t>
            </w:r>
            <w:r w:rsidRPr="005E053B">
              <w:rPr>
                <w:spacing w:val="-2"/>
                <w:sz w:val="20"/>
                <w:szCs w:val="20"/>
              </w:rPr>
              <w:t>transfer</w:t>
            </w:r>
          </w:p>
          <w:p w:rsidR="00FD2D3B" w:rsidRPr="005E053B" w:rsidP="005E053B" w14:paraId="51064AB6" w14:textId="77777777">
            <w:pPr>
              <w:pStyle w:val="TableParagraph"/>
              <w:ind w:left="4"/>
              <w:rPr>
                <w:sz w:val="20"/>
                <w:szCs w:val="20"/>
              </w:rPr>
            </w:pPr>
            <w:r w:rsidRPr="005E053B">
              <w:rPr>
                <w:spacing w:val="-2"/>
                <w:sz w:val="20"/>
                <w:szCs w:val="20"/>
              </w:rPr>
              <w:t>notice</w:t>
            </w:r>
          </w:p>
        </w:tc>
        <w:tc>
          <w:tcPr>
            <w:tcW w:w="2165" w:type="dxa"/>
          </w:tcPr>
          <w:p w:rsidR="00FD2D3B" w:rsidRPr="005E053B" w:rsidP="005E053B" w14:paraId="796D0D7E" w14:textId="77777777">
            <w:pPr>
              <w:pStyle w:val="TableParagraph"/>
              <w:jc w:val="right"/>
              <w:rPr>
                <w:sz w:val="20"/>
                <w:szCs w:val="20"/>
              </w:rPr>
            </w:pPr>
            <w:r w:rsidRPr="005E053B">
              <w:rPr>
                <w:spacing w:val="-4"/>
                <w:sz w:val="20"/>
                <w:szCs w:val="20"/>
              </w:rPr>
              <w:t>0.30</w:t>
            </w:r>
          </w:p>
        </w:tc>
        <w:tc>
          <w:tcPr>
            <w:tcW w:w="2030" w:type="dxa"/>
          </w:tcPr>
          <w:p w:rsidR="00FD2D3B" w:rsidRPr="005E053B" w:rsidP="005E053B" w14:paraId="67AB91C2" w14:textId="77777777">
            <w:pPr>
              <w:pStyle w:val="TableParagraph"/>
              <w:jc w:val="right"/>
              <w:rPr>
                <w:sz w:val="20"/>
                <w:szCs w:val="20"/>
              </w:rPr>
            </w:pPr>
            <w:r w:rsidRPr="005E053B">
              <w:rPr>
                <w:spacing w:val="-2"/>
                <w:sz w:val="20"/>
                <w:szCs w:val="20"/>
              </w:rPr>
              <w:t>6,989,652</w:t>
            </w:r>
          </w:p>
        </w:tc>
        <w:tc>
          <w:tcPr>
            <w:tcW w:w="1930" w:type="dxa"/>
          </w:tcPr>
          <w:p w:rsidR="00FD2D3B" w:rsidRPr="005E053B" w:rsidP="005E053B" w14:paraId="3C03AA66" w14:textId="77777777">
            <w:pPr>
              <w:pStyle w:val="TableParagraph"/>
              <w:jc w:val="right"/>
              <w:rPr>
                <w:sz w:val="20"/>
                <w:szCs w:val="20"/>
              </w:rPr>
            </w:pPr>
            <w:r w:rsidRPr="005E053B">
              <w:rPr>
                <w:sz w:val="20"/>
                <w:szCs w:val="20"/>
              </w:rPr>
              <w:t>2,096,89</w:t>
            </w:r>
            <w:r w:rsidRPr="005E053B" w:rsidR="00E04EA0">
              <w:rPr>
                <w:sz w:val="20"/>
                <w:szCs w:val="20"/>
              </w:rPr>
              <w:t>6</w:t>
            </w:r>
          </w:p>
        </w:tc>
      </w:tr>
      <w:tr w14:paraId="499B4493" w14:textId="77777777" w:rsidTr="00D23939">
        <w:tblPrEx>
          <w:tblW w:w="10013" w:type="dxa"/>
          <w:tblInd w:w="332" w:type="dxa"/>
          <w:tblLayout w:type="fixed"/>
          <w:tblCellMar>
            <w:left w:w="0" w:type="dxa"/>
            <w:right w:w="0" w:type="dxa"/>
          </w:tblCellMar>
          <w:tblLook w:val="01E0"/>
        </w:tblPrEx>
        <w:trPr>
          <w:trHeight w:val="552"/>
        </w:trPr>
        <w:tc>
          <w:tcPr>
            <w:tcW w:w="3888" w:type="dxa"/>
          </w:tcPr>
          <w:p w:rsidR="00FD2D3B" w:rsidRPr="005E053B" w:rsidP="005E053B" w14:paraId="4BFE098B" w14:textId="77777777">
            <w:pPr>
              <w:pStyle w:val="TableParagraph"/>
              <w:ind w:left="4"/>
              <w:rPr>
                <w:sz w:val="20"/>
                <w:szCs w:val="20"/>
              </w:rPr>
            </w:pPr>
            <w:r w:rsidRPr="005E053B">
              <w:rPr>
                <w:sz w:val="20"/>
                <w:szCs w:val="20"/>
              </w:rPr>
              <w:t>1024.33</w:t>
            </w:r>
            <w:r w:rsidRPr="005E053B">
              <w:rPr>
                <w:spacing w:val="-10"/>
                <w:sz w:val="20"/>
                <w:szCs w:val="20"/>
              </w:rPr>
              <w:t xml:space="preserve"> </w:t>
            </w:r>
            <w:r w:rsidRPr="005E053B">
              <w:rPr>
                <w:sz w:val="20"/>
                <w:szCs w:val="20"/>
              </w:rPr>
              <w:t>and</w:t>
            </w:r>
            <w:r w:rsidRPr="005E053B">
              <w:rPr>
                <w:spacing w:val="-10"/>
                <w:sz w:val="20"/>
                <w:szCs w:val="20"/>
              </w:rPr>
              <w:t xml:space="preserve"> </w:t>
            </w:r>
            <w:r w:rsidRPr="005E053B">
              <w:rPr>
                <w:sz w:val="20"/>
                <w:szCs w:val="20"/>
              </w:rPr>
              <w:t>1024.39</w:t>
            </w:r>
            <w:r w:rsidRPr="005E053B">
              <w:rPr>
                <w:spacing w:val="-10"/>
                <w:sz w:val="20"/>
                <w:szCs w:val="20"/>
              </w:rPr>
              <w:t xml:space="preserve"> </w:t>
            </w:r>
            <w:r w:rsidRPr="005E053B">
              <w:rPr>
                <w:sz w:val="20"/>
                <w:szCs w:val="20"/>
              </w:rPr>
              <w:t>Early</w:t>
            </w:r>
            <w:r w:rsidRPr="005E053B">
              <w:rPr>
                <w:spacing w:val="-10"/>
                <w:sz w:val="20"/>
                <w:szCs w:val="20"/>
              </w:rPr>
              <w:t xml:space="preserve"> </w:t>
            </w:r>
            <w:r w:rsidRPr="005E053B">
              <w:rPr>
                <w:sz w:val="20"/>
                <w:szCs w:val="20"/>
              </w:rPr>
              <w:t>intervention written notices</w:t>
            </w:r>
          </w:p>
        </w:tc>
        <w:tc>
          <w:tcPr>
            <w:tcW w:w="2165" w:type="dxa"/>
          </w:tcPr>
          <w:p w:rsidR="00FD2D3B" w:rsidRPr="005E053B" w:rsidP="005E053B" w14:paraId="6BC0F07C" w14:textId="77777777">
            <w:pPr>
              <w:pStyle w:val="TableParagraph"/>
              <w:jc w:val="right"/>
              <w:rPr>
                <w:sz w:val="20"/>
                <w:szCs w:val="20"/>
              </w:rPr>
            </w:pPr>
            <w:r w:rsidRPr="005E053B">
              <w:rPr>
                <w:spacing w:val="-4"/>
                <w:sz w:val="20"/>
                <w:szCs w:val="20"/>
              </w:rPr>
              <w:t>0.30</w:t>
            </w:r>
          </w:p>
        </w:tc>
        <w:tc>
          <w:tcPr>
            <w:tcW w:w="2030" w:type="dxa"/>
          </w:tcPr>
          <w:p w:rsidR="00FD2D3B" w:rsidRPr="005E053B" w:rsidP="005E053B" w14:paraId="63D6C0D4" w14:textId="77777777">
            <w:pPr>
              <w:pStyle w:val="TableParagraph"/>
              <w:jc w:val="right"/>
              <w:rPr>
                <w:sz w:val="20"/>
                <w:szCs w:val="20"/>
              </w:rPr>
            </w:pPr>
            <w:r w:rsidRPr="005E053B">
              <w:rPr>
                <w:spacing w:val="-2"/>
                <w:sz w:val="20"/>
                <w:szCs w:val="20"/>
              </w:rPr>
              <w:t>1,132,820</w:t>
            </w:r>
          </w:p>
        </w:tc>
        <w:tc>
          <w:tcPr>
            <w:tcW w:w="1930" w:type="dxa"/>
          </w:tcPr>
          <w:p w:rsidR="00FD2D3B" w:rsidRPr="005E053B" w:rsidP="005E053B" w14:paraId="40B0618D" w14:textId="19BFE124">
            <w:pPr>
              <w:pStyle w:val="TableParagraph"/>
              <w:jc w:val="right"/>
              <w:rPr>
                <w:sz w:val="20"/>
                <w:szCs w:val="20"/>
              </w:rPr>
            </w:pPr>
            <w:r w:rsidRPr="004A354C">
              <w:rPr>
                <w:sz w:val="20"/>
                <w:szCs w:val="20"/>
              </w:rPr>
              <w:t>339,846</w:t>
            </w:r>
          </w:p>
        </w:tc>
      </w:tr>
      <w:tr w14:paraId="64D04131" w14:textId="77777777" w:rsidTr="00D23939">
        <w:tblPrEx>
          <w:tblW w:w="10013" w:type="dxa"/>
          <w:tblInd w:w="332" w:type="dxa"/>
          <w:tblLayout w:type="fixed"/>
          <w:tblCellMar>
            <w:left w:w="0" w:type="dxa"/>
            <w:right w:w="0" w:type="dxa"/>
          </w:tblCellMar>
          <w:tblLook w:val="01E0"/>
        </w:tblPrEx>
        <w:trPr>
          <w:trHeight w:val="551"/>
        </w:trPr>
        <w:tc>
          <w:tcPr>
            <w:tcW w:w="3888" w:type="dxa"/>
          </w:tcPr>
          <w:p w:rsidR="00FD2D3B" w:rsidRPr="005E053B" w:rsidP="005E053B" w14:paraId="64A299E3" w14:textId="77777777">
            <w:pPr>
              <w:pStyle w:val="TableParagraph"/>
              <w:ind w:left="4" w:right="92"/>
              <w:rPr>
                <w:sz w:val="20"/>
                <w:szCs w:val="20"/>
              </w:rPr>
            </w:pPr>
            <w:r w:rsidRPr="005E053B">
              <w:rPr>
                <w:sz w:val="20"/>
                <w:szCs w:val="20"/>
              </w:rPr>
              <w:t>1024.35-36</w:t>
            </w:r>
            <w:r w:rsidRPr="005E053B">
              <w:rPr>
                <w:spacing w:val="-15"/>
                <w:sz w:val="20"/>
                <w:szCs w:val="20"/>
              </w:rPr>
              <w:t xml:space="preserve"> </w:t>
            </w:r>
            <w:r w:rsidRPr="005E053B">
              <w:rPr>
                <w:sz w:val="20"/>
                <w:szCs w:val="20"/>
              </w:rPr>
              <w:t>Error-resolution</w:t>
            </w:r>
            <w:r w:rsidRPr="005E053B">
              <w:rPr>
                <w:spacing w:val="-15"/>
                <w:sz w:val="20"/>
                <w:szCs w:val="20"/>
              </w:rPr>
              <w:t xml:space="preserve"> </w:t>
            </w:r>
            <w:r w:rsidRPr="005E053B">
              <w:rPr>
                <w:sz w:val="20"/>
                <w:szCs w:val="20"/>
              </w:rPr>
              <w:t>and requests for information</w:t>
            </w:r>
          </w:p>
        </w:tc>
        <w:tc>
          <w:tcPr>
            <w:tcW w:w="2165" w:type="dxa"/>
          </w:tcPr>
          <w:p w:rsidR="00FD2D3B" w:rsidRPr="005E053B" w:rsidP="005E053B" w14:paraId="4CF6752D" w14:textId="77777777">
            <w:pPr>
              <w:pStyle w:val="TableParagraph"/>
              <w:jc w:val="right"/>
              <w:rPr>
                <w:sz w:val="20"/>
                <w:szCs w:val="20"/>
              </w:rPr>
            </w:pPr>
            <w:r w:rsidRPr="005E053B">
              <w:rPr>
                <w:spacing w:val="-4"/>
                <w:sz w:val="20"/>
                <w:szCs w:val="20"/>
              </w:rPr>
              <w:t>0.30</w:t>
            </w:r>
          </w:p>
        </w:tc>
        <w:tc>
          <w:tcPr>
            <w:tcW w:w="2030" w:type="dxa"/>
          </w:tcPr>
          <w:p w:rsidR="00FD2D3B" w:rsidRPr="005E053B" w:rsidP="005E053B" w14:paraId="25FA25C7" w14:textId="77777777">
            <w:pPr>
              <w:pStyle w:val="TableParagraph"/>
              <w:jc w:val="right"/>
              <w:rPr>
                <w:sz w:val="20"/>
                <w:szCs w:val="20"/>
              </w:rPr>
            </w:pPr>
            <w:r w:rsidRPr="005E053B">
              <w:rPr>
                <w:spacing w:val="-2"/>
                <w:sz w:val="20"/>
                <w:szCs w:val="20"/>
              </w:rPr>
              <w:t>510,231</w:t>
            </w:r>
          </w:p>
        </w:tc>
        <w:tc>
          <w:tcPr>
            <w:tcW w:w="1930" w:type="dxa"/>
          </w:tcPr>
          <w:p w:rsidR="00FD2D3B" w:rsidRPr="005E053B" w:rsidP="005E053B" w14:paraId="08880263" w14:textId="77777777">
            <w:pPr>
              <w:pStyle w:val="TableParagraph"/>
              <w:jc w:val="right"/>
              <w:rPr>
                <w:sz w:val="20"/>
                <w:szCs w:val="20"/>
              </w:rPr>
            </w:pPr>
            <w:r w:rsidRPr="005E053B">
              <w:rPr>
                <w:sz w:val="20"/>
                <w:szCs w:val="20"/>
              </w:rPr>
              <w:t>153,069</w:t>
            </w:r>
          </w:p>
        </w:tc>
      </w:tr>
      <w:tr w14:paraId="2F83896E" w14:textId="77777777" w:rsidTr="00D23939">
        <w:tblPrEx>
          <w:tblW w:w="10013" w:type="dxa"/>
          <w:tblInd w:w="332" w:type="dxa"/>
          <w:tblLayout w:type="fixed"/>
          <w:tblCellMar>
            <w:left w:w="0" w:type="dxa"/>
            <w:right w:w="0" w:type="dxa"/>
          </w:tblCellMar>
          <w:tblLook w:val="01E0"/>
        </w:tblPrEx>
        <w:trPr>
          <w:trHeight w:val="293"/>
        </w:trPr>
        <w:tc>
          <w:tcPr>
            <w:tcW w:w="3888" w:type="dxa"/>
          </w:tcPr>
          <w:p w:rsidR="00D22D39" w:rsidRPr="005E053B" w:rsidP="005E053B" w14:paraId="2461DB9B" w14:textId="77777777">
            <w:pPr>
              <w:pStyle w:val="TableParagraph"/>
              <w:ind w:left="4"/>
              <w:rPr>
                <w:sz w:val="20"/>
                <w:szCs w:val="20"/>
              </w:rPr>
            </w:pPr>
            <w:r w:rsidRPr="005E053B">
              <w:rPr>
                <w:sz w:val="20"/>
                <w:szCs w:val="20"/>
              </w:rPr>
              <w:t>1024.37</w:t>
            </w:r>
            <w:r w:rsidRPr="005E053B">
              <w:rPr>
                <w:spacing w:val="-2"/>
                <w:sz w:val="20"/>
                <w:szCs w:val="20"/>
              </w:rPr>
              <w:t xml:space="preserve"> </w:t>
            </w:r>
            <w:r w:rsidRPr="005E053B">
              <w:rPr>
                <w:sz w:val="20"/>
                <w:szCs w:val="20"/>
              </w:rPr>
              <w:t>Force-placed</w:t>
            </w:r>
            <w:r w:rsidRPr="005E053B">
              <w:rPr>
                <w:spacing w:val="-2"/>
                <w:sz w:val="20"/>
                <w:szCs w:val="20"/>
              </w:rPr>
              <w:t xml:space="preserve"> </w:t>
            </w:r>
            <w:r w:rsidRPr="005E053B">
              <w:rPr>
                <w:sz w:val="20"/>
                <w:szCs w:val="20"/>
              </w:rPr>
              <w:t>insurance</w:t>
            </w:r>
            <w:r w:rsidRPr="005E053B">
              <w:rPr>
                <w:spacing w:val="-2"/>
                <w:sz w:val="20"/>
                <w:szCs w:val="20"/>
              </w:rPr>
              <w:t xml:space="preserve"> notice</w:t>
            </w:r>
          </w:p>
        </w:tc>
        <w:tc>
          <w:tcPr>
            <w:tcW w:w="2165" w:type="dxa"/>
          </w:tcPr>
          <w:p w:rsidR="00D22D39" w:rsidRPr="005E053B" w:rsidP="005E053B" w14:paraId="593284E0" w14:textId="77777777">
            <w:pPr>
              <w:pStyle w:val="TableParagraph"/>
              <w:jc w:val="right"/>
              <w:rPr>
                <w:sz w:val="20"/>
                <w:szCs w:val="20"/>
              </w:rPr>
            </w:pPr>
            <w:r w:rsidRPr="005E053B">
              <w:rPr>
                <w:spacing w:val="-4"/>
                <w:sz w:val="20"/>
                <w:szCs w:val="20"/>
              </w:rPr>
              <w:t>0.30</w:t>
            </w:r>
          </w:p>
        </w:tc>
        <w:tc>
          <w:tcPr>
            <w:tcW w:w="2030" w:type="dxa"/>
          </w:tcPr>
          <w:p w:rsidR="00D22D39" w:rsidRPr="005E053B" w:rsidP="005E053B" w14:paraId="02206EBA" w14:textId="77777777">
            <w:pPr>
              <w:pStyle w:val="TableParagraph"/>
              <w:jc w:val="right"/>
              <w:rPr>
                <w:sz w:val="20"/>
                <w:szCs w:val="20"/>
              </w:rPr>
            </w:pPr>
            <w:r w:rsidRPr="005E053B">
              <w:rPr>
                <w:spacing w:val="-2"/>
                <w:sz w:val="20"/>
                <w:szCs w:val="20"/>
              </w:rPr>
              <w:t>1,030,089</w:t>
            </w:r>
          </w:p>
        </w:tc>
        <w:tc>
          <w:tcPr>
            <w:tcW w:w="1930" w:type="dxa"/>
          </w:tcPr>
          <w:p w:rsidR="00D22D39" w:rsidRPr="005E053B" w:rsidP="005E053B" w14:paraId="314497E2" w14:textId="77777777">
            <w:pPr>
              <w:pStyle w:val="TableParagraph"/>
              <w:jc w:val="right"/>
              <w:rPr>
                <w:sz w:val="20"/>
                <w:szCs w:val="20"/>
              </w:rPr>
            </w:pPr>
            <w:r w:rsidRPr="005E053B">
              <w:rPr>
                <w:spacing w:val="-2"/>
                <w:sz w:val="20"/>
                <w:szCs w:val="20"/>
              </w:rPr>
              <w:t>309,027</w:t>
            </w:r>
          </w:p>
        </w:tc>
      </w:tr>
      <w:tr w14:paraId="13090F49" w14:textId="77777777" w:rsidTr="00D23939">
        <w:tblPrEx>
          <w:tblW w:w="10013" w:type="dxa"/>
          <w:tblInd w:w="332" w:type="dxa"/>
          <w:tblLayout w:type="fixed"/>
          <w:tblCellMar>
            <w:left w:w="0" w:type="dxa"/>
            <w:right w:w="0" w:type="dxa"/>
          </w:tblCellMar>
          <w:tblLook w:val="01E0"/>
        </w:tblPrEx>
        <w:trPr>
          <w:trHeight w:val="552"/>
        </w:trPr>
        <w:tc>
          <w:tcPr>
            <w:tcW w:w="3888" w:type="dxa"/>
          </w:tcPr>
          <w:p w:rsidR="004A5B5D" w:rsidRPr="005E053B" w:rsidP="005E053B" w14:paraId="643C00A6" w14:textId="77777777">
            <w:pPr>
              <w:pStyle w:val="TableParagraph"/>
              <w:ind w:left="4" w:right="92"/>
              <w:rPr>
                <w:sz w:val="20"/>
                <w:szCs w:val="20"/>
              </w:rPr>
            </w:pPr>
            <w:r w:rsidRPr="005E053B">
              <w:rPr>
                <w:sz w:val="20"/>
                <w:szCs w:val="20"/>
              </w:rPr>
              <w:t>1024.41</w:t>
            </w:r>
            <w:r w:rsidRPr="005E053B">
              <w:rPr>
                <w:spacing w:val="-12"/>
                <w:sz w:val="20"/>
                <w:szCs w:val="20"/>
              </w:rPr>
              <w:t xml:space="preserve"> </w:t>
            </w:r>
            <w:r w:rsidRPr="005E053B">
              <w:rPr>
                <w:sz w:val="20"/>
                <w:szCs w:val="20"/>
              </w:rPr>
              <w:t>Loss</w:t>
            </w:r>
            <w:r w:rsidRPr="005E053B">
              <w:rPr>
                <w:spacing w:val="-12"/>
                <w:sz w:val="20"/>
                <w:szCs w:val="20"/>
              </w:rPr>
              <w:t xml:space="preserve"> </w:t>
            </w:r>
            <w:r w:rsidRPr="005E053B">
              <w:rPr>
                <w:sz w:val="20"/>
                <w:szCs w:val="20"/>
              </w:rPr>
              <w:t>mitigation</w:t>
            </w:r>
            <w:r w:rsidRPr="005E053B">
              <w:rPr>
                <w:spacing w:val="-14"/>
                <w:sz w:val="20"/>
                <w:szCs w:val="20"/>
              </w:rPr>
              <w:t xml:space="preserve"> </w:t>
            </w:r>
            <w:r w:rsidRPr="005E053B">
              <w:rPr>
                <w:sz w:val="20"/>
                <w:szCs w:val="20"/>
              </w:rPr>
              <w:t>evaluations and notices</w:t>
            </w:r>
          </w:p>
        </w:tc>
        <w:tc>
          <w:tcPr>
            <w:tcW w:w="2165" w:type="dxa"/>
          </w:tcPr>
          <w:p w:rsidR="004A5B5D" w:rsidRPr="005E053B" w:rsidP="005E053B" w14:paraId="6CF1C947" w14:textId="77777777">
            <w:pPr>
              <w:pStyle w:val="TableParagraph"/>
              <w:jc w:val="right"/>
              <w:rPr>
                <w:sz w:val="20"/>
                <w:szCs w:val="20"/>
              </w:rPr>
            </w:pPr>
            <w:r w:rsidRPr="005E053B">
              <w:rPr>
                <w:spacing w:val="-4"/>
                <w:sz w:val="20"/>
                <w:szCs w:val="20"/>
              </w:rPr>
              <w:t>0.30</w:t>
            </w:r>
          </w:p>
        </w:tc>
        <w:tc>
          <w:tcPr>
            <w:tcW w:w="2030" w:type="dxa"/>
          </w:tcPr>
          <w:p w:rsidR="004A5B5D" w:rsidRPr="005E053B" w:rsidP="005E053B" w14:paraId="12C394FE" w14:textId="77777777">
            <w:pPr>
              <w:pStyle w:val="TableParagraph"/>
              <w:jc w:val="right"/>
              <w:rPr>
                <w:sz w:val="20"/>
                <w:szCs w:val="20"/>
              </w:rPr>
            </w:pPr>
            <w:r w:rsidRPr="005E053B">
              <w:rPr>
                <w:spacing w:val="-2"/>
                <w:sz w:val="20"/>
                <w:szCs w:val="20"/>
              </w:rPr>
              <w:t>5,305,</w:t>
            </w:r>
            <w:r w:rsidRPr="005E053B" w:rsidR="006B06CC">
              <w:rPr>
                <w:spacing w:val="-2"/>
                <w:sz w:val="20"/>
                <w:szCs w:val="20"/>
              </w:rPr>
              <w:t>350</w:t>
            </w:r>
          </w:p>
        </w:tc>
        <w:tc>
          <w:tcPr>
            <w:tcW w:w="1930" w:type="dxa"/>
          </w:tcPr>
          <w:p w:rsidR="004A5B5D" w:rsidRPr="005E053B" w:rsidP="005E053B" w14:paraId="743792D6" w14:textId="77777777">
            <w:pPr>
              <w:pStyle w:val="TableParagraph"/>
              <w:jc w:val="right"/>
              <w:rPr>
                <w:sz w:val="20"/>
                <w:szCs w:val="20"/>
              </w:rPr>
            </w:pPr>
            <w:r w:rsidRPr="005E053B">
              <w:rPr>
                <w:sz w:val="20"/>
                <w:szCs w:val="20"/>
              </w:rPr>
              <w:t>1,591,605</w:t>
            </w:r>
          </w:p>
        </w:tc>
      </w:tr>
      <w:tr w14:paraId="5F8C0F97" w14:textId="77777777" w:rsidTr="00D23939">
        <w:tblPrEx>
          <w:tblW w:w="10013" w:type="dxa"/>
          <w:tblInd w:w="332" w:type="dxa"/>
          <w:tblLayout w:type="fixed"/>
          <w:tblCellMar>
            <w:left w:w="0" w:type="dxa"/>
            <w:right w:w="0" w:type="dxa"/>
          </w:tblCellMar>
          <w:tblLook w:val="01E0"/>
        </w:tblPrEx>
        <w:trPr>
          <w:trHeight w:val="293"/>
        </w:trPr>
        <w:tc>
          <w:tcPr>
            <w:tcW w:w="3888" w:type="dxa"/>
          </w:tcPr>
          <w:p w:rsidR="004A5B5D" w:rsidRPr="005E053B" w:rsidP="005E053B" w14:paraId="5D9C1A97" w14:textId="77777777">
            <w:pPr>
              <w:pStyle w:val="TableParagraph"/>
              <w:ind w:left="4"/>
              <w:rPr>
                <w:sz w:val="20"/>
                <w:szCs w:val="20"/>
              </w:rPr>
            </w:pPr>
            <w:r w:rsidRPr="005E053B">
              <w:rPr>
                <w:sz w:val="20"/>
                <w:szCs w:val="20"/>
              </w:rPr>
              <w:t>1024.41</w:t>
            </w:r>
            <w:r w:rsidRPr="005E053B">
              <w:rPr>
                <w:spacing w:val="-2"/>
                <w:sz w:val="20"/>
                <w:szCs w:val="20"/>
              </w:rPr>
              <w:t xml:space="preserve"> </w:t>
            </w:r>
            <w:r w:rsidRPr="005E053B">
              <w:rPr>
                <w:sz w:val="20"/>
                <w:szCs w:val="20"/>
              </w:rPr>
              <w:t>Third-Party</w:t>
            </w:r>
            <w:r w:rsidRPr="005E053B">
              <w:rPr>
                <w:spacing w:val="-2"/>
                <w:sz w:val="20"/>
                <w:szCs w:val="20"/>
              </w:rPr>
              <w:t xml:space="preserve"> Information</w:t>
            </w:r>
          </w:p>
        </w:tc>
        <w:tc>
          <w:tcPr>
            <w:tcW w:w="2165" w:type="dxa"/>
          </w:tcPr>
          <w:p w:rsidR="004A5B5D" w:rsidRPr="005E053B" w:rsidP="005E053B" w14:paraId="48B5001A" w14:textId="77777777">
            <w:pPr>
              <w:pStyle w:val="TableParagraph"/>
              <w:jc w:val="right"/>
              <w:rPr>
                <w:sz w:val="20"/>
                <w:szCs w:val="20"/>
              </w:rPr>
            </w:pPr>
            <w:r w:rsidRPr="005E053B">
              <w:rPr>
                <w:spacing w:val="-4"/>
                <w:sz w:val="20"/>
                <w:szCs w:val="20"/>
              </w:rPr>
              <w:t>0.30</w:t>
            </w:r>
          </w:p>
        </w:tc>
        <w:tc>
          <w:tcPr>
            <w:tcW w:w="2030" w:type="dxa"/>
          </w:tcPr>
          <w:p w:rsidR="004A5B5D" w:rsidRPr="005E053B" w:rsidP="005E053B" w14:paraId="62D1B8D7" w14:textId="77777777">
            <w:pPr>
              <w:pStyle w:val="TableParagraph"/>
              <w:jc w:val="right"/>
              <w:rPr>
                <w:sz w:val="20"/>
                <w:szCs w:val="20"/>
              </w:rPr>
            </w:pPr>
            <w:r w:rsidRPr="005E053B">
              <w:rPr>
                <w:spacing w:val="-2"/>
                <w:sz w:val="20"/>
                <w:szCs w:val="20"/>
              </w:rPr>
              <w:t>28,250</w:t>
            </w:r>
          </w:p>
        </w:tc>
        <w:tc>
          <w:tcPr>
            <w:tcW w:w="1930" w:type="dxa"/>
          </w:tcPr>
          <w:p w:rsidR="004A5B5D" w:rsidRPr="005E053B" w:rsidP="005E053B" w14:paraId="22ACF051" w14:textId="77777777">
            <w:pPr>
              <w:pStyle w:val="TableParagraph"/>
              <w:jc w:val="right"/>
              <w:rPr>
                <w:sz w:val="20"/>
                <w:szCs w:val="20"/>
              </w:rPr>
            </w:pPr>
            <w:r w:rsidRPr="005E053B">
              <w:rPr>
                <w:sz w:val="20"/>
                <w:szCs w:val="20"/>
              </w:rPr>
              <w:t>8,</w:t>
            </w:r>
            <w:r w:rsidRPr="005E053B" w:rsidR="00FC730C">
              <w:rPr>
                <w:sz w:val="20"/>
                <w:szCs w:val="20"/>
              </w:rPr>
              <w:t>475</w:t>
            </w:r>
          </w:p>
        </w:tc>
      </w:tr>
      <w:tr w14:paraId="4D684E02" w14:textId="77777777" w:rsidTr="00D23939">
        <w:tblPrEx>
          <w:tblW w:w="10013" w:type="dxa"/>
          <w:tblInd w:w="332" w:type="dxa"/>
          <w:tblLayout w:type="fixed"/>
          <w:tblCellMar>
            <w:left w:w="0" w:type="dxa"/>
            <w:right w:w="0" w:type="dxa"/>
          </w:tblCellMar>
          <w:tblLook w:val="01E0"/>
        </w:tblPrEx>
        <w:trPr>
          <w:trHeight w:val="293"/>
        </w:trPr>
        <w:tc>
          <w:tcPr>
            <w:tcW w:w="3888" w:type="dxa"/>
          </w:tcPr>
          <w:p w:rsidR="005E053B" w:rsidRPr="005E053B" w:rsidP="005E053B" w14:paraId="1B3F0E97" w14:textId="2E804182">
            <w:pPr>
              <w:pStyle w:val="TableParagraph"/>
              <w:rPr>
                <w:sz w:val="20"/>
                <w:szCs w:val="20"/>
              </w:rPr>
            </w:pPr>
            <w:r>
              <w:rPr>
                <w:b/>
                <w:sz w:val="20"/>
                <w:szCs w:val="20"/>
              </w:rPr>
              <w:t>TOTAL BURDEN COSTS</w:t>
            </w:r>
          </w:p>
        </w:tc>
        <w:tc>
          <w:tcPr>
            <w:tcW w:w="2165" w:type="dxa"/>
            <w:shd w:val="clear" w:color="auto" w:fill="D0CECE" w:themeFill="background2" w:themeFillShade="E6"/>
          </w:tcPr>
          <w:p w:rsidR="005E053B" w:rsidRPr="005E053B" w:rsidP="005E053B" w14:paraId="5D1F7E8F" w14:textId="77777777">
            <w:pPr>
              <w:pStyle w:val="TableParagraph"/>
              <w:jc w:val="right"/>
              <w:rPr>
                <w:sz w:val="20"/>
                <w:szCs w:val="20"/>
              </w:rPr>
            </w:pPr>
          </w:p>
        </w:tc>
        <w:tc>
          <w:tcPr>
            <w:tcW w:w="2030" w:type="dxa"/>
            <w:shd w:val="clear" w:color="auto" w:fill="D0CECE" w:themeFill="background2" w:themeFillShade="E6"/>
          </w:tcPr>
          <w:p w:rsidR="005E053B" w:rsidRPr="005E053B" w:rsidP="005E053B" w14:paraId="1C472DA3" w14:textId="77777777">
            <w:pPr>
              <w:pStyle w:val="TableParagraph"/>
              <w:jc w:val="right"/>
              <w:rPr>
                <w:sz w:val="20"/>
                <w:szCs w:val="20"/>
              </w:rPr>
            </w:pPr>
          </w:p>
        </w:tc>
        <w:tc>
          <w:tcPr>
            <w:tcW w:w="1930" w:type="dxa"/>
          </w:tcPr>
          <w:p w:rsidR="005E053B" w:rsidRPr="005E053B" w:rsidP="005E053B" w14:paraId="71AE7917" w14:textId="2ED25B69">
            <w:pPr>
              <w:pStyle w:val="TableParagraph"/>
              <w:jc w:val="right"/>
              <w:rPr>
                <w:sz w:val="20"/>
                <w:szCs w:val="20"/>
              </w:rPr>
            </w:pPr>
            <w:r>
              <w:rPr>
                <w:b/>
                <w:sz w:val="20"/>
                <w:szCs w:val="20"/>
              </w:rPr>
              <w:t>18,105,</w:t>
            </w:r>
            <w:r w:rsidR="00ED472E">
              <w:rPr>
                <w:b/>
                <w:sz w:val="20"/>
                <w:szCs w:val="20"/>
              </w:rPr>
              <w:t>344</w:t>
            </w:r>
          </w:p>
        </w:tc>
      </w:tr>
    </w:tbl>
    <w:p w:rsidR="00BF3D3A" w:rsidP="00F660E8" w14:paraId="143DF6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bookmarkStart w:id="3" w:name="_bookmark17"/>
      <w:bookmarkEnd w:id="3"/>
    </w:p>
    <w:p w:rsidR="00F660E8" w:rsidP="00F660E8" w14:paraId="282CE52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F308ED" w:rsidRPr="00BF6D43" w:rsidP="00F660E8" w14:paraId="5D5FB3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FD2D3B" w:rsidP="00FD2D3B" w14:paraId="3B6D87C8" w14:textId="77777777">
      <w:pPr>
        <w:pStyle w:val="BodyText"/>
        <w:spacing w:before="90"/>
        <w:ind w:left="220"/>
      </w:pPr>
      <w:r>
        <w:t>Because</w:t>
      </w:r>
      <w:r>
        <w:rPr>
          <w:spacing w:val="-1"/>
        </w:rPr>
        <w:t xml:space="preserve"> </w:t>
      </w:r>
      <w:r>
        <w:t>the</w:t>
      </w:r>
      <w:r>
        <w:rPr>
          <w:spacing w:val="-2"/>
        </w:rPr>
        <w:t xml:space="preserve"> </w:t>
      </w:r>
      <w:r w:rsidR="003D42E5">
        <w:t>CFPB</w:t>
      </w:r>
      <w:r>
        <w:rPr>
          <w:spacing w:val="-1"/>
        </w:rPr>
        <w:t xml:space="preserve"> </w:t>
      </w:r>
      <w:r>
        <w:t>does</w:t>
      </w:r>
      <w:r>
        <w:rPr>
          <w:spacing w:val="-2"/>
        </w:rPr>
        <w:t xml:space="preserve"> </w:t>
      </w:r>
      <w:r>
        <w:t>not</w:t>
      </w:r>
      <w:r>
        <w:rPr>
          <w:spacing w:val="-1"/>
        </w:rPr>
        <w:t xml:space="preserve"> </w:t>
      </w:r>
      <w:r>
        <w:t>collect</w:t>
      </w:r>
      <w:r>
        <w:rPr>
          <w:spacing w:val="-2"/>
        </w:rPr>
        <w:t xml:space="preserve"> </w:t>
      </w:r>
      <w:r>
        <w:t>any information,</w:t>
      </w:r>
      <w:r>
        <w:rPr>
          <w:spacing w:val="-1"/>
        </w:rPr>
        <w:t xml:space="preserve"> </w:t>
      </w:r>
      <w:r>
        <w:t>the</w:t>
      </w:r>
      <w:r>
        <w:rPr>
          <w:spacing w:val="-1"/>
        </w:rPr>
        <w:t xml:space="preserve"> </w:t>
      </w:r>
      <w:r>
        <w:t>cost</w:t>
      </w:r>
      <w:r>
        <w:rPr>
          <w:spacing w:val="-1"/>
        </w:rPr>
        <w:t xml:space="preserve"> </w:t>
      </w:r>
      <w:r>
        <w:t>to</w:t>
      </w:r>
      <w:r>
        <w:rPr>
          <w:spacing w:val="-1"/>
        </w:rPr>
        <w:t xml:space="preserve"> </w:t>
      </w:r>
      <w:r>
        <w:t>the</w:t>
      </w:r>
      <w:r>
        <w:rPr>
          <w:spacing w:val="-1"/>
        </w:rPr>
        <w:t xml:space="preserve"> </w:t>
      </w:r>
      <w:r w:rsidR="003D42E5">
        <w:t>CFPB</w:t>
      </w:r>
      <w:r>
        <w:rPr>
          <w:spacing w:val="-1"/>
        </w:rPr>
        <w:t xml:space="preserve"> </w:t>
      </w:r>
      <w:r>
        <w:t xml:space="preserve">is </w:t>
      </w:r>
      <w:r>
        <w:rPr>
          <w:spacing w:val="-2"/>
        </w:rPr>
        <w:t>negligible.</w:t>
      </w:r>
    </w:p>
    <w:p w:rsidR="00A93967" w:rsidRPr="00BF6D43" w:rsidP="00ED472E" w14:paraId="1028A97B" w14:textId="77777777">
      <w:pPr>
        <w:rPr>
          <w:sz w:val="24"/>
        </w:rPr>
      </w:pPr>
    </w:p>
    <w:p w:rsidR="00F660E8" w:rsidRPr="00BF6D43" w:rsidP="00F660E8" w14:paraId="02FA8B5C"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FD2D3B" w:rsidP="00FD2D3B" w14:paraId="613302D7" w14:textId="77777777">
      <w:pPr>
        <w:pStyle w:val="BodyText"/>
        <w:spacing w:before="11"/>
        <w:rPr>
          <w:b/>
          <w:sz w:val="23"/>
        </w:rPr>
      </w:pPr>
    </w:p>
    <w:p w:rsidR="00FD2D3B" w:rsidP="00CC38BE" w14:paraId="7D00D3BC" w14:textId="0D40A299">
      <w:pPr>
        <w:pStyle w:val="BodyText"/>
        <w:ind w:right="509"/>
      </w:pPr>
      <w:r w:rsidRPr="00CC38BE">
        <w:t>The burden is increasing due to changes in this regulation that are contained in the proposed rule regarding the notices required to be sent under this information collection</w:t>
      </w:r>
      <w:r>
        <w:t>.</w:t>
      </w:r>
    </w:p>
    <w:p w:rsidR="00A93967" w:rsidRPr="00BF6D43" w:rsidP="00253FF0" w14:paraId="2E029C28" w14:textId="77777777">
      <w:pPr>
        <w:rPr>
          <w:sz w:val="24"/>
        </w:rPr>
      </w:pPr>
    </w:p>
    <w:p w:rsidR="00F660E8" w:rsidP="00F660E8" w14:paraId="352D7F6D" w14:textId="77777777">
      <w:pPr>
        <w:rPr>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F308ED" w:rsidP="00F660E8" w14:paraId="2D7E4AB8" w14:textId="77777777">
      <w:pPr>
        <w:rPr>
          <w:sz w:val="24"/>
          <w:szCs w:val="24"/>
        </w:rPr>
      </w:pPr>
    </w:p>
    <w:p w:rsidR="00FD2D3B" w:rsidRPr="00FD2D3B" w:rsidP="00F660E8" w14:paraId="610551AE" w14:textId="77777777">
      <w:pPr>
        <w:rPr>
          <w:b/>
          <w:sz w:val="24"/>
          <w:szCs w:val="24"/>
        </w:rPr>
      </w:pPr>
      <w:r w:rsidRPr="00FD2D3B">
        <w:rPr>
          <w:sz w:val="24"/>
          <w:szCs w:val="24"/>
        </w:rPr>
        <w:t>The</w:t>
      </w:r>
      <w:r w:rsidRPr="00FD2D3B">
        <w:rPr>
          <w:spacing w:val="-4"/>
          <w:sz w:val="24"/>
          <w:szCs w:val="24"/>
        </w:rPr>
        <w:t xml:space="preserve"> </w:t>
      </w:r>
      <w:r w:rsidRPr="00FD2D3B">
        <w:rPr>
          <w:sz w:val="24"/>
          <w:szCs w:val="24"/>
        </w:rPr>
        <w:t>information</w:t>
      </w:r>
      <w:r w:rsidRPr="00FD2D3B">
        <w:rPr>
          <w:spacing w:val="-2"/>
          <w:sz w:val="24"/>
          <w:szCs w:val="24"/>
        </w:rPr>
        <w:t xml:space="preserve"> </w:t>
      </w:r>
      <w:r w:rsidRPr="00FD2D3B">
        <w:rPr>
          <w:sz w:val="24"/>
          <w:szCs w:val="24"/>
        </w:rPr>
        <w:t>collections</w:t>
      </w:r>
      <w:r w:rsidRPr="00FD2D3B">
        <w:rPr>
          <w:spacing w:val="-2"/>
          <w:sz w:val="24"/>
          <w:szCs w:val="24"/>
        </w:rPr>
        <w:t xml:space="preserve"> </w:t>
      </w:r>
      <w:r w:rsidRPr="00FD2D3B">
        <w:rPr>
          <w:sz w:val="24"/>
          <w:szCs w:val="24"/>
        </w:rPr>
        <w:t>are</w:t>
      </w:r>
      <w:r w:rsidRPr="00FD2D3B">
        <w:rPr>
          <w:spacing w:val="-1"/>
          <w:sz w:val="24"/>
          <w:szCs w:val="24"/>
        </w:rPr>
        <w:t xml:space="preserve"> </w:t>
      </w:r>
      <w:r w:rsidRPr="00FD2D3B">
        <w:rPr>
          <w:sz w:val="24"/>
          <w:szCs w:val="24"/>
        </w:rPr>
        <w:t>third-party</w:t>
      </w:r>
      <w:r w:rsidRPr="00FD2D3B">
        <w:rPr>
          <w:spacing w:val="-2"/>
          <w:sz w:val="24"/>
          <w:szCs w:val="24"/>
        </w:rPr>
        <w:t xml:space="preserve"> </w:t>
      </w:r>
      <w:r w:rsidRPr="00FD2D3B">
        <w:rPr>
          <w:sz w:val="24"/>
          <w:szCs w:val="24"/>
        </w:rPr>
        <w:t>disclosures.</w:t>
      </w:r>
      <w:r w:rsidRPr="00FD2D3B">
        <w:rPr>
          <w:spacing w:val="-2"/>
          <w:sz w:val="24"/>
          <w:szCs w:val="24"/>
        </w:rPr>
        <w:t xml:space="preserve"> </w:t>
      </w:r>
      <w:r w:rsidRPr="00FD2D3B">
        <w:rPr>
          <w:sz w:val="24"/>
          <w:szCs w:val="24"/>
        </w:rPr>
        <w:t>There</w:t>
      </w:r>
      <w:r w:rsidRPr="00FD2D3B">
        <w:rPr>
          <w:spacing w:val="-2"/>
          <w:sz w:val="24"/>
          <w:szCs w:val="24"/>
        </w:rPr>
        <w:t xml:space="preserve"> </w:t>
      </w:r>
      <w:r w:rsidRPr="00FD2D3B">
        <w:rPr>
          <w:sz w:val="24"/>
          <w:szCs w:val="24"/>
        </w:rPr>
        <w:t>is</w:t>
      </w:r>
      <w:r w:rsidRPr="00FD2D3B">
        <w:rPr>
          <w:spacing w:val="-2"/>
          <w:sz w:val="24"/>
          <w:szCs w:val="24"/>
        </w:rPr>
        <w:t xml:space="preserve"> </w:t>
      </w:r>
      <w:r w:rsidRPr="00FD2D3B">
        <w:rPr>
          <w:sz w:val="24"/>
          <w:szCs w:val="24"/>
        </w:rPr>
        <w:t>no</w:t>
      </w:r>
      <w:r w:rsidRPr="00FD2D3B">
        <w:rPr>
          <w:spacing w:val="-2"/>
          <w:sz w:val="24"/>
          <w:szCs w:val="24"/>
        </w:rPr>
        <w:t xml:space="preserve"> </w:t>
      </w:r>
      <w:r w:rsidRPr="00FD2D3B">
        <w:rPr>
          <w:sz w:val="24"/>
          <w:szCs w:val="24"/>
        </w:rPr>
        <w:t>publication</w:t>
      </w:r>
      <w:r w:rsidRPr="00FD2D3B">
        <w:rPr>
          <w:spacing w:val="-1"/>
          <w:sz w:val="24"/>
          <w:szCs w:val="24"/>
        </w:rPr>
        <w:t xml:space="preserve"> </w:t>
      </w:r>
      <w:r w:rsidRPr="00FD2D3B">
        <w:rPr>
          <w:sz w:val="24"/>
          <w:szCs w:val="24"/>
        </w:rPr>
        <w:t>of</w:t>
      </w:r>
      <w:r w:rsidRPr="00FD2D3B">
        <w:rPr>
          <w:spacing w:val="-3"/>
          <w:sz w:val="24"/>
          <w:szCs w:val="24"/>
        </w:rPr>
        <w:t xml:space="preserve"> </w:t>
      </w:r>
      <w:r w:rsidRPr="00FD2D3B">
        <w:rPr>
          <w:sz w:val="24"/>
          <w:szCs w:val="24"/>
        </w:rPr>
        <w:t>the</w:t>
      </w:r>
      <w:r w:rsidRPr="00FD2D3B">
        <w:rPr>
          <w:spacing w:val="-2"/>
          <w:sz w:val="24"/>
          <w:szCs w:val="24"/>
        </w:rPr>
        <w:t xml:space="preserve"> information.</w:t>
      </w:r>
    </w:p>
    <w:p w:rsidR="005F1FFC" w:rsidRPr="00BF6D43" w:rsidP="005F1FFC" w14:paraId="48A812E7" w14:textId="5709A5A8">
      <w:pPr>
        <w:rPr>
          <w:sz w:val="24"/>
        </w:rPr>
      </w:pPr>
      <w:r w:rsidRPr="00BF6D43">
        <w:rPr>
          <w:sz w:val="24"/>
        </w:rPr>
        <w:t xml:space="preserve">  </w:t>
      </w:r>
    </w:p>
    <w:p w:rsidR="00F660E8" w:rsidRPr="00BF6D43" w:rsidP="00F660E8" w14:paraId="72EA0520"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6D39B55" w14:textId="77777777">
      <w:pPr>
        <w:rPr>
          <w:sz w:val="24"/>
        </w:rPr>
      </w:pPr>
    </w:p>
    <w:p w:rsidR="00FD2D3B" w:rsidP="00FD2D3B" w14:paraId="4EFAC559" w14:textId="77777777">
      <w:pPr>
        <w:pStyle w:val="BodyText"/>
        <w:spacing w:before="90"/>
        <w:ind w:left="220" w:right="297"/>
      </w:pPr>
      <w:r>
        <w:t>The</w:t>
      </w:r>
      <w:r>
        <w:rPr>
          <w:spacing w:val="-2"/>
        </w:rPr>
        <w:t xml:space="preserve"> </w:t>
      </w:r>
      <w:r>
        <w:t>OMB</w:t>
      </w:r>
      <w:r>
        <w:rPr>
          <w:spacing w:val="-3"/>
        </w:rPr>
        <w:t xml:space="preserve"> </w:t>
      </w:r>
      <w:r>
        <w:t>number</w:t>
      </w:r>
      <w:r>
        <w:rPr>
          <w:spacing w:val="-2"/>
        </w:rPr>
        <w:t xml:space="preserve"> </w:t>
      </w:r>
      <w:r>
        <w:t>will</w:t>
      </w:r>
      <w:r>
        <w:rPr>
          <w:spacing w:val="-2"/>
        </w:rPr>
        <w:t xml:space="preserve"> </w:t>
      </w:r>
      <w:r>
        <w:t>be</w:t>
      </w:r>
      <w:r>
        <w:rPr>
          <w:spacing w:val="-2"/>
        </w:rPr>
        <w:t xml:space="preserve"> </w:t>
      </w:r>
      <w:r>
        <w:t>displayed</w:t>
      </w:r>
      <w:r>
        <w:rPr>
          <w:spacing w:val="-2"/>
        </w:rPr>
        <w:t xml:space="preserve"> </w:t>
      </w:r>
      <w:r>
        <w:t>in</w:t>
      </w:r>
      <w:r>
        <w:rPr>
          <w:spacing w:val="-2"/>
        </w:rPr>
        <w:t xml:space="preserve"> </w:t>
      </w:r>
      <w:r>
        <w:t>the</w:t>
      </w:r>
      <w:r>
        <w:rPr>
          <w:spacing w:val="-2"/>
        </w:rPr>
        <w:t xml:space="preserve"> </w:t>
      </w:r>
      <w:r>
        <w:t>PRA</w:t>
      </w:r>
      <w:r>
        <w:rPr>
          <w:spacing w:val="-3"/>
        </w:rPr>
        <w:t xml:space="preserve"> </w:t>
      </w:r>
      <w:r>
        <w:t>section</w:t>
      </w:r>
      <w:r>
        <w:rPr>
          <w:spacing w:val="-2"/>
        </w:rPr>
        <w:t xml:space="preserve"> </w:t>
      </w:r>
      <w:r>
        <w:t>of</w:t>
      </w:r>
      <w:r>
        <w:rPr>
          <w:spacing w:val="-3"/>
        </w:rPr>
        <w:t xml:space="preserve"> </w:t>
      </w:r>
      <w:r>
        <w:t>the</w:t>
      </w:r>
      <w:r>
        <w:rPr>
          <w:spacing w:val="-3"/>
        </w:rPr>
        <w:t xml:space="preserve"> </w:t>
      </w:r>
      <w:r>
        <w:t>notice</w:t>
      </w:r>
      <w:r>
        <w:rPr>
          <w:spacing w:val="-2"/>
        </w:rPr>
        <w:t xml:space="preserve"> </w:t>
      </w:r>
      <w:r>
        <w:t>of</w:t>
      </w:r>
      <w:r>
        <w:rPr>
          <w:spacing w:val="-3"/>
        </w:rPr>
        <w:t xml:space="preserve"> </w:t>
      </w:r>
      <w:r>
        <w:t>final</w:t>
      </w:r>
      <w:r>
        <w:rPr>
          <w:spacing w:val="-2"/>
        </w:rPr>
        <w:t xml:space="preserve"> </w:t>
      </w:r>
      <w:r>
        <w:t>rulemaking</w:t>
      </w:r>
      <w:r>
        <w:rPr>
          <w:spacing w:val="-2"/>
        </w:rPr>
        <w:t xml:space="preserve"> </w:t>
      </w:r>
      <w:r>
        <w:t>and</w:t>
      </w:r>
      <w:r>
        <w:rPr>
          <w:spacing w:val="-2"/>
        </w:rPr>
        <w:t xml:space="preserve"> </w:t>
      </w:r>
      <w:r>
        <w:t>in</w:t>
      </w:r>
      <w:r>
        <w:rPr>
          <w:spacing w:val="-2"/>
        </w:rPr>
        <w:t xml:space="preserve"> </w:t>
      </w:r>
      <w:r>
        <w:t>the codified version of the Code of Federal Regulations. Further, the OMB Control Number and expiration date will be displayed on OMB’s public PRA docket at</w:t>
      </w:r>
      <w:r>
        <w:rPr>
          <w:spacing w:val="-17"/>
        </w:rPr>
        <w:t xml:space="preserve"> </w:t>
      </w:r>
      <w:hyperlink r:id="rId12">
        <w:r>
          <w:rPr>
            <w:color w:val="0000FF"/>
            <w:u w:val="single" w:color="0000FF"/>
          </w:rPr>
          <w:t>www.reginfo.gov</w:t>
        </w:r>
      </w:hyperlink>
      <w:r>
        <w:rPr>
          <w:color w:val="0000FF"/>
        </w:rPr>
        <w:t xml:space="preserve"> </w:t>
      </w:r>
      <w:r>
        <w:t>and on any official guidance or compliance guides issued with this rule.</w:t>
      </w:r>
    </w:p>
    <w:p w:rsidR="00FD2D3B" w:rsidP="00FD2D3B" w14:paraId="0571CD63" w14:textId="77777777">
      <w:pPr>
        <w:pStyle w:val="BodyText"/>
        <w:spacing w:before="2"/>
      </w:pPr>
    </w:p>
    <w:p w:rsidR="00F660E8" w:rsidP="00F660E8" w14:paraId="79E11193" w14:textId="77777777">
      <w:pPr>
        <w:rPr>
          <w:b/>
          <w:sz w:val="24"/>
        </w:rPr>
      </w:pPr>
      <w:r w:rsidRPr="00BF6D43">
        <w:rPr>
          <w:b/>
          <w:sz w:val="24"/>
        </w:rPr>
        <w:t>18.  Explain each exception to the certification statement.</w:t>
      </w:r>
    </w:p>
    <w:p w:rsidR="00FD2D3B" w:rsidP="00FD2D3B" w14:paraId="4A6C2099" w14:textId="77777777">
      <w:pPr>
        <w:pStyle w:val="BodyText"/>
        <w:spacing w:before="90"/>
        <w:ind w:left="220"/>
      </w:pPr>
      <w:r>
        <w:t>The</w:t>
      </w:r>
      <w:r>
        <w:rPr>
          <w:spacing w:val="-4"/>
        </w:rPr>
        <w:t xml:space="preserve"> </w:t>
      </w:r>
      <w:r w:rsidR="003D42E5">
        <w:t>CFPB</w:t>
      </w:r>
      <w:r>
        <w:rPr>
          <w:spacing w:val="-3"/>
        </w:rPr>
        <w:t xml:space="preserve"> </w:t>
      </w:r>
      <w:r>
        <w:t>certifies</w:t>
      </w:r>
      <w:r>
        <w:rPr>
          <w:spacing w:val="-1"/>
        </w:rPr>
        <w:t xml:space="preserve"> </w:t>
      </w:r>
      <w:r>
        <w:t>that</w:t>
      </w:r>
      <w:r>
        <w:rPr>
          <w:spacing w:val="-3"/>
        </w:rPr>
        <w:t xml:space="preserve"> </w:t>
      </w:r>
      <w:r>
        <w:t>this</w:t>
      </w:r>
      <w:r>
        <w:rPr>
          <w:spacing w:val="-1"/>
        </w:rPr>
        <w:t xml:space="preserve"> </w:t>
      </w:r>
      <w:r>
        <w:t>collection</w:t>
      </w:r>
      <w:r>
        <w:rPr>
          <w:spacing w:val="-1"/>
        </w:rPr>
        <w:t xml:space="preserve"> </w:t>
      </w:r>
      <w:r>
        <w:t>of</w:t>
      </w:r>
      <w:r>
        <w:rPr>
          <w:spacing w:val="-2"/>
        </w:rPr>
        <w:t xml:space="preserve"> </w:t>
      </w:r>
      <w:r>
        <w:t>information</w:t>
      </w:r>
      <w:r>
        <w:rPr>
          <w:spacing w:val="-4"/>
        </w:rPr>
        <w:t xml:space="preserve"> </w:t>
      </w:r>
      <w:r>
        <w:t>is</w:t>
      </w:r>
      <w:r>
        <w:rPr>
          <w:spacing w:val="-1"/>
        </w:rPr>
        <w:t xml:space="preserve"> </w:t>
      </w:r>
      <w:r>
        <w:t>consistent</w:t>
      </w:r>
      <w:r>
        <w:rPr>
          <w:spacing w:val="-1"/>
        </w:rPr>
        <w:t xml:space="preserve"> </w:t>
      </w:r>
      <w:r>
        <w:t>with</w:t>
      </w:r>
      <w:r>
        <w:rPr>
          <w:spacing w:val="-3"/>
        </w:rPr>
        <w:t xml:space="preserve"> </w:t>
      </w:r>
      <w:r>
        <w:t>the</w:t>
      </w:r>
      <w:r>
        <w:rPr>
          <w:spacing w:val="-2"/>
        </w:rPr>
        <w:t xml:space="preserve"> </w:t>
      </w:r>
      <w:r>
        <w:t>requirements</w:t>
      </w:r>
      <w:r>
        <w:rPr>
          <w:spacing w:val="-1"/>
        </w:rPr>
        <w:t xml:space="preserve"> </w:t>
      </w:r>
      <w:r>
        <w:t>of</w:t>
      </w:r>
      <w:r>
        <w:rPr>
          <w:spacing w:val="-2"/>
        </w:rPr>
        <w:t xml:space="preserve"> </w:t>
      </w:r>
      <w:r>
        <w:t>5</w:t>
      </w:r>
      <w:r>
        <w:rPr>
          <w:spacing w:val="-1"/>
        </w:rPr>
        <w:t xml:space="preserve"> </w:t>
      </w:r>
      <w:r>
        <w:rPr>
          <w:spacing w:val="-5"/>
        </w:rPr>
        <w:t>CFR</w:t>
      </w:r>
      <w:r>
        <w:t xml:space="preserve"> §1320.9,</w:t>
      </w:r>
      <w:r>
        <w:rPr>
          <w:spacing w:val="-2"/>
        </w:rPr>
        <w:t xml:space="preserve"> </w:t>
      </w:r>
      <w:r>
        <w:t>and</w:t>
      </w:r>
      <w:r>
        <w:rPr>
          <w:spacing w:val="-3"/>
        </w:rPr>
        <w:t xml:space="preserve"> </w:t>
      </w:r>
      <w:r>
        <w:t>the</w:t>
      </w:r>
      <w:r>
        <w:rPr>
          <w:spacing w:val="-2"/>
        </w:rPr>
        <w:t xml:space="preserve"> </w:t>
      </w:r>
      <w:r>
        <w:t>related</w:t>
      </w:r>
      <w:r>
        <w:rPr>
          <w:spacing w:val="-4"/>
        </w:rPr>
        <w:t xml:space="preserve"> </w:t>
      </w:r>
      <w:r>
        <w:t>provisions</w:t>
      </w:r>
      <w:r>
        <w:rPr>
          <w:spacing w:val="-3"/>
        </w:rPr>
        <w:t xml:space="preserve"> </w:t>
      </w:r>
      <w:r>
        <w:t>of</w:t>
      </w:r>
      <w:r>
        <w:rPr>
          <w:spacing w:val="-3"/>
        </w:rPr>
        <w:t xml:space="preserve"> </w:t>
      </w:r>
      <w:r>
        <w:t>5</w:t>
      </w:r>
      <w:r>
        <w:rPr>
          <w:spacing w:val="-2"/>
        </w:rPr>
        <w:t xml:space="preserve"> </w:t>
      </w:r>
      <w:r>
        <w:t>CFR</w:t>
      </w:r>
      <w:r>
        <w:rPr>
          <w:spacing w:val="-3"/>
        </w:rPr>
        <w:t xml:space="preserve"> </w:t>
      </w:r>
      <w:r>
        <w:t>§1320.8(b)(3)</w:t>
      </w:r>
      <w:r>
        <w:rPr>
          <w:spacing w:val="-3"/>
        </w:rPr>
        <w:t xml:space="preserve"> </w:t>
      </w:r>
      <w:r>
        <w:t>and</w:t>
      </w:r>
      <w:r>
        <w:rPr>
          <w:spacing w:val="-2"/>
        </w:rPr>
        <w:t xml:space="preserve"> </w:t>
      </w:r>
      <w:r>
        <w:t>is</w:t>
      </w:r>
      <w:r>
        <w:rPr>
          <w:spacing w:val="-3"/>
        </w:rPr>
        <w:t xml:space="preserve"> </w:t>
      </w:r>
      <w:r>
        <w:t>not</w:t>
      </w:r>
      <w:r>
        <w:rPr>
          <w:spacing w:val="-2"/>
        </w:rPr>
        <w:t xml:space="preserve"> </w:t>
      </w:r>
      <w:r>
        <w:t>seeking</w:t>
      </w:r>
      <w:r>
        <w:rPr>
          <w:spacing w:val="-3"/>
        </w:rPr>
        <w:t xml:space="preserve"> </w:t>
      </w:r>
      <w:r>
        <w:t>an</w:t>
      </w:r>
      <w:r>
        <w:rPr>
          <w:spacing w:val="-2"/>
        </w:rPr>
        <w:t xml:space="preserve"> </w:t>
      </w:r>
      <w:r>
        <w:t>exemption</w:t>
      </w:r>
      <w:r>
        <w:rPr>
          <w:spacing w:val="-3"/>
        </w:rPr>
        <w:t xml:space="preserve"> </w:t>
      </w:r>
      <w:r>
        <w:t>to</w:t>
      </w:r>
      <w:r>
        <w:rPr>
          <w:spacing w:val="-2"/>
        </w:rPr>
        <w:t xml:space="preserve"> </w:t>
      </w:r>
      <w:r>
        <w:t>these certification requirements.</w:t>
      </w:r>
    </w:p>
    <w:p w:rsidR="00FD2D3B" w:rsidRPr="00BF6D43" w:rsidP="00F660E8" w14:paraId="312B7283" w14:textId="77777777">
      <w:pPr>
        <w:rPr>
          <w:b/>
          <w:sz w:val="24"/>
        </w:rPr>
      </w:pPr>
    </w:p>
    <w:p w:rsidR="005F1FFC" w:rsidRPr="00BF6D43" w:rsidP="005F1FFC" w14:paraId="6AD4D8C4" w14:textId="77777777">
      <w:pPr>
        <w:pStyle w:val="BodyText"/>
      </w:pPr>
    </w:p>
    <w:p w:rsidR="00CA6DAB" w:rsidRPr="00A637BE" w:rsidP="00A0364C" w14:paraId="028CB47E" w14:textId="77777777">
      <w:pPr>
        <w:rPr>
          <w:sz w:val="24"/>
        </w:rPr>
      </w:pPr>
    </w:p>
    <w:sectPr w:rsidSect="00F919E7">
      <w:headerReference w:type="default"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158115"/>
      <w:docPartObj>
        <w:docPartGallery w:val="Page Numbers (Bottom of Page)"/>
        <w:docPartUnique/>
      </w:docPartObj>
    </w:sdtPr>
    <w:sdtEndPr>
      <w:rPr>
        <w:noProof/>
      </w:rPr>
    </w:sdtEndPr>
    <w:sdtContent>
      <w:p w:rsidR="00F919E7" w14:paraId="0BA46A96" w14:textId="202D0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2D3B" w14:paraId="2AC621EA" w14:textId="75E3239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4750504"/>
      <w:docPartObj>
        <w:docPartGallery w:val="Page Numbers (Bottom of Page)"/>
        <w:docPartUnique/>
      </w:docPartObj>
    </w:sdtPr>
    <w:sdtEndPr>
      <w:rPr>
        <w:noProof/>
      </w:rPr>
    </w:sdtEndPr>
    <w:sdtContent>
      <w:p w:rsidR="00F919E7" w14:paraId="75B175CB" w14:textId="447D04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5205" w14:paraId="79545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194F" w:rsidP="0079547E" w14:paraId="30CD6BD2" w14:textId="77777777">
      <w:r>
        <w:separator/>
      </w:r>
    </w:p>
  </w:footnote>
  <w:footnote w:type="continuationSeparator" w:id="1">
    <w:p w:rsidR="00C9194F" w:rsidP="0079547E" w14:paraId="5BD659B6" w14:textId="77777777">
      <w:r>
        <w:continuationSeparator/>
      </w:r>
    </w:p>
  </w:footnote>
  <w:footnote w:type="continuationNotice" w:id="2">
    <w:p w:rsidR="00C9194F" w14:paraId="324B0B0D" w14:textId="77777777"/>
  </w:footnote>
  <w:footnote w:id="3">
    <w:p w:rsidR="00B565D4" w14:paraId="6B39AC9A" w14:textId="37DF3D23">
      <w:pPr>
        <w:pStyle w:val="FootnoteText"/>
      </w:pPr>
      <w:r>
        <w:rPr>
          <w:rStyle w:val="FootnoteReference"/>
        </w:rPr>
        <w:footnoteRef/>
      </w:r>
      <w:r>
        <w:t xml:space="preserve"> 12</w:t>
      </w:r>
      <w:r>
        <w:rPr>
          <w:spacing w:val="-1"/>
        </w:rPr>
        <w:t xml:space="preserve"> </w:t>
      </w:r>
      <w:r>
        <w:t>U.S.C.</w:t>
      </w:r>
      <w:r>
        <w:rPr>
          <w:spacing w:val="-1"/>
        </w:rPr>
        <w:t xml:space="preserve"> </w:t>
      </w:r>
      <w:r>
        <w:t>2601</w:t>
      </w:r>
      <w:r>
        <w:rPr>
          <w:spacing w:val="-1"/>
        </w:rPr>
        <w:t xml:space="preserve"> </w:t>
      </w:r>
      <w:r>
        <w:t>et</w:t>
      </w:r>
      <w:r>
        <w:rPr>
          <w:spacing w:val="-2"/>
        </w:rPr>
        <w:t xml:space="preserve"> </w:t>
      </w:r>
      <w:r>
        <w:t>seq.</w:t>
      </w:r>
    </w:p>
  </w:footnote>
  <w:footnote w:id="4">
    <w:p w:rsidR="00B565D4" w14:paraId="7809D83F" w14:textId="6DD0D852">
      <w:pPr>
        <w:pStyle w:val="FootnoteText"/>
      </w:pPr>
      <w:r>
        <w:rPr>
          <w:rStyle w:val="FootnoteReference"/>
        </w:rPr>
        <w:footnoteRef/>
      </w:r>
      <w:r>
        <w:t xml:space="preserve"> 12 CFR 1024.1-.41.</w:t>
      </w:r>
    </w:p>
  </w:footnote>
  <w:footnote w:id="5">
    <w:p w:rsidR="00B565D4" w14:paraId="782F730E" w14:textId="79944ED3">
      <w:pPr>
        <w:pStyle w:val="FootnoteText"/>
      </w:pPr>
      <w:r>
        <w:rPr>
          <w:rStyle w:val="FootnoteReference"/>
        </w:rPr>
        <w:footnoteRef/>
      </w:r>
      <w:r>
        <w:t xml:space="preserve"> 12 CFR 1026.</w:t>
      </w:r>
    </w:p>
  </w:footnote>
  <w:footnote w:id="6">
    <w:p w:rsidR="00FD2D3B" w:rsidP="00FD2D3B" w14:paraId="1D0AC09F" w14:textId="77777777">
      <w:pPr>
        <w:spacing w:before="93"/>
        <w:ind w:left="220" w:right="215" w:hanging="1"/>
      </w:pPr>
      <w:r>
        <w:rPr>
          <w:rStyle w:val="FootnoteReference"/>
        </w:rPr>
        <w:footnoteRef/>
      </w:r>
      <w:r>
        <w:t xml:space="preserve"> </w:t>
      </w:r>
      <w:r>
        <w:rPr>
          <w:spacing w:val="-2"/>
        </w:rPr>
        <w:t xml:space="preserve"> </w:t>
      </w:r>
      <w:r>
        <w:rPr>
          <w:i/>
        </w:rPr>
        <w:t>See</w:t>
      </w:r>
      <w:r>
        <w:t>,</w:t>
      </w:r>
      <w:r>
        <w:rPr>
          <w:spacing w:val="-3"/>
        </w:rPr>
        <w:t xml:space="preserve"> </w:t>
      </w:r>
      <w:r>
        <w:t>Safe</w:t>
      </w:r>
      <w:r>
        <w:rPr>
          <w:spacing w:val="-3"/>
        </w:rPr>
        <w:t xml:space="preserve"> </w:t>
      </w:r>
      <w:r>
        <w:t>Harbors</w:t>
      </w:r>
      <w:r>
        <w:rPr>
          <w:spacing w:val="-3"/>
        </w:rPr>
        <w:t xml:space="preserve"> </w:t>
      </w:r>
      <w:r>
        <w:t>From</w:t>
      </w:r>
      <w:r>
        <w:rPr>
          <w:spacing w:val="-4"/>
        </w:rPr>
        <w:t xml:space="preserve"> </w:t>
      </w:r>
      <w:r>
        <w:t>Liability</w:t>
      </w:r>
      <w:r>
        <w:rPr>
          <w:spacing w:val="-3"/>
        </w:rPr>
        <w:t xml:space="preserve"> </w:t>
      </w:r>
      <w:r>
        <w:t>Under</w:t>
      </w:r>
      <w:r>
        <w:rPr>
          <w:spacing w:val="-2"/>
        </w:rPr>
        <w:t xml:space="preserve"> </w:t>
      </w:r>
      <w:r>
        <w:t>the</w:t>
      </w:r>
      <w:r>
        <w:rPr>
          <w:spacing w:val="-2"/>
        </w:rPr>
        <w:t xml:space="preserve"> </w:t>
      </w:r>
      <w:r>
        <w:t>Fair</w:t>
      </w:r>
      <w:r>
        <w:rPr>
          <w:spacing w:val="-3"/>
        </w:rPr>
        <w:t xml:space="preserve"> </w:t>
      </w:r>
      <w:r>
        <w:t>Debt</w:t>
      </w:r>
      <w:r>
        <w:rPr>
          <w:spacing w:val="-3"/>
        </w:rPr>
        <w:t xml:space="preserve"> </w:t>
      </w:r>
      <w:r>
        <w:t>Collection</w:t>
      </w:r>
      <w:r>
        <w:rPr>
          <w:spacing w:val="-1"/>
        </w:rPr>
        <w:t xml:space="preserve"> </w:t>
      </w:r>
      <w:r>
        <w:t>Practices</w:t>
      </w:r>
      <w:r>
        <w:rPr>
          <w:spacing w:val="-2"/>
        </w:rPr>
        <w:t xml:space="preserve"> </w:t>
      </w:r>
      <w:r>
        <w:t>Act</w:t>
      </w:r>
      <w:r>
        <w:rPr>
          <w:spacing w:val="-4"/>
        </w:rPr>
        <w:t xml:space="preserve"> </w:t>
      </w:r>
      <w:r>
        <w:t>for</w:t>
      </w:r>
      <w:r>
        <w:rPr>
          <w:spacing w:val="-2"/>
        </w:rPr>
        <w:t xml:space="preserve"> </w:t>
      </w:r>
      <w:r>
        <w:t>Certain</w:t>
      </w:r>
      <w:r>
        <w:rPr>
          <w:spacing w:val="-1"/>
        </w:rPr>
        <w:t xml:space="preserve"> </w:t>
      </w:r>
      <w:r>
        <w:t>Actions</w:t>
      </w:r>
      <w:r>
        <w:rPr>
          <w:spacing w:val="-3"/>
        </w:rPr>
        <w:t xml:space="preserve"> </w:t>
      </w:r>
      <w:r>
        <w:t>Taken</w:t>
      </w:r>
      <w:r>
        <w:rPr>
          <w:spacing w:val="-3"/>
        </w:rPr>
        <w:t xml:space="preserve"> </w:t>
      </w:r>
      <w:r>
        <w:t>in</w:t>
      </w:r>
      <w:r>
        <w:rPr>
          <w:spacing w:val="-1"/>
        </w:rPr>
        <w:t xml:space="preserve"> </w:t>
      </w:r>
      <w:r>
        <w:t>Compliance With Mortgage Servicing Rules Under the Real Estate Settlement Procedures Act (Regulation X) and Truth in Lending Act (Regulation Z), 81 Fed. Reg. 71977 (Oct. 19, 2016)</w:t>
      </w:r>
    </w:p>
    <w:p w:rsidR="00FD2D3B" w14:paraId="408C5CE4" w14:textId="77777777">
      <w:pPr>
        <w:pStyle w:val="FootnoteText"/>
      </w:pPr>
    </w:p>
  </w:footnote>
  <w:footnote w:id="7">
    <w:p w:rsidR="00935094" w:rsidP="00935094" w14:paraId="31462154" w14:textId="77777777">
      <w:pPr>
        <w:pStyle w:val="FootnoteText"/>
      </w:pPr>
      <w:r>
        <w:rPr>
          <w:rStyle w:val="FootnoteReference"/>
        </w:rPr>
        <w:footnoteRef/>
      </w:r>
      <w:r>
        <w:t xml:space="preserve"> 89 FR 60204 (published on 7/24/2024).</w:t>
      </w:r>
    </w:p>
  </w:footnote>
  <w:footnote w:id="8">
    <w:p w:rsidR="4A45850E" w:rsidP="00B14B37" w14:paraId="69910F2B" w14:textId="1F78C3E5">
      <w:pPr>
        <w:pStyle w:val="FootnoteText"/>
      </w:pPr>
      <w:r>
        <w:footnoteRef/>
      </w:r>
      <w:r w:rsidR="7682D1FF">
        <w:t xml:space="preserve"> The CFPB believes that records kept pursuant to 1024.14(h) are electronic, and therefore the burden is </w:t>
      </w:r>
      <w:r w:rsidRPr="7682D1FF" w:rsidR="7682D1FF">
        <w:rPr>
          <w:i/>
          <w:iCs/>
        </w:rPr>
        <w:t>de minimis</w:t>
      </w:r>
      <w:r w:rsidR="7682D1FF">
        <w:t>. The CFPB invited comment during the 60-day comment period and did not receive any responses on this estimate</w:t>
      </w:r>
      <w:r w:rsidR="00222CBC">
        <w:t>.</w:t>
      </w:r>
    </w:p>
  </w:footnote>
  <w:footnote w:id="9">
    <w:p w:rsidR="00244C43" w:rsidRPr="0093151E" w14:paraId="7CFFD263" w14:textId="77777777">
      <w:pPr>
        <w:pStyle w:val="FootnoteText"/>
      </w:pPr>
      <w:r>
        <w:rPr>
          <w:rStyle w:val="FootnoteReference"/>
        </w:rPr>
        <w:footnoteRef/>
      </w:r>
      <w:r>
        <w:t xml:space="preserve"> </w:t>
      </w:r>
      <w:r w:rsidR="00614D6B">
        <w:t xml:space="preserve">The maintenance of electronic records is considered </w:t>
      </w:r>
      <w:r w:rsidR="00614D6B">
        <w:rPr>
          <w:i/>
          <w:iCs/>
        </w:rPr>
        <w:t>de minimis.</w:t>
      </w:r>
      <w:r w:rsidR="00614D6B">
        <w:t xml:space="preserve"> However, some initial burden </w:t>
      </w:r>
      <w:r w:rsidR="002359E9">
        <w:t xml:space="preserve">is </w:t>
      </w:r>
      <w:r w:rsidR="00614D6B">
        <w:t>tied to the development of webpages that would provide consumers information on their investor-specific loss mitigation options.  The CFPB lacks data to determine on the number of respondents who already maintain such webpages</w:t>
      </w:r>
      <w:r w:rsidR="0093151E">
        <w:t xml:space="preserve">. The CFPB considers the potential initial burden to be within normal course of business and therefore </w:t>
      </w:r>
      <w:r w:rsidR="0093151E">
        <w:rPr>
          <w:i/>
          <w:iCs/>
        </w:rPr>
        <w:t xml:space="preserve">de minimis </w:t>
      </w:r>
      <w:r w:rsidRPr="0093151E" w:rsidR="0093151E">
        <w:t xml:space="preserve">but </w:t>
      </w:r>
      <w:r w:rsidR="0093151E">
        <w:t xml:space="preserve">invites comment on the number of respondents and labor hour burden initial development of such informational webpages might cost to respondents. </w:t>
      </w:r>
    </w:p>
  </w:footnote>
  <w:footnote w:id="10">
    <w:p w:rsidR="00BF3D3A" w:rsidP="00BF3D3A" w14:paraId="7D372423" w14:textId="77777777">
      <w:pPr>
        <w:ind w:left="220"/>
      </w:pPr>
      <w:r>
        <w:rPr>
          <w:rStyle w:val="FootnoteReference"/>
        </w:rPr>
        <w:footnoteRef/>
      </w:r>
      <w:r>
        <w:t xml:space="preserve"> See</w:t>
      </w:r>
      <w:r>
        <w:rPr>
          <w:spacing w:val="-5"/>
        </w:rPr>
        <w:t xml:space="preserve"> </w:t>
      </w:r>
      <w:r>
        <w:t>discussion</w:t>
      </w:r>
      <w:r>
        <w:rPr>
          <w:spacing w:val="-5"/>
        </w:rPr>
        <w:t xml:space="preserve"> </w:t>
      </w:r>
      <w:r>
        <w:t>regarding</w:t>
      </w:r>
      <w:r>
        <w:rPr>
          <w:spacing w:val="-5"/>
        </w:rPr>
        <w:t xml:space="preserve"> </w:t>
      </w:r>
      <w:r>
        <w:t>1024.17(h)</w:t>
      </w:r>
      <w:r>
        <w:rPr>
          <w:spacing w:val="-4"/>
        </w:rPr>
        <w:t xml:space="preserve"> </w:t>
      </w:r>
      <w:r>
        <w:rPr>
          <w:spacing w:val="-2"/>
        </w:rPr>
        <w:t>above.</w:t>
      </w:r>
    </w:p>
    <w:p w:rsidR="00BF3D3A" w14:paraId="47723C7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F76" w:rsidP="00B20F76" w14:paraId="504692F9" w14:textId="1C4244FB">
    <w:pPr>
      <w:pStyle w:val="Header"/>
    </w:pPr>
    <w:r>
      <w:t>Real Estate Settlement Procedures Act (Regulation X)</w:t>
    </w:r>
  </w:p>
  <w:p w:rsidR="00B20F76" w:rsidP="00B20F76" w14:paraId="3E8140BC" w14:textId="77777777">
    <w:pPr>
      <w:pStyle w:val="Header"/>
    </w:pPr>
    <w:r>
      <w:t>OMB Control Number: 3170-0016</w:t>
    </w:r>
  </w:p>
  <w:p w:rsidR="00B20F76" w:rsidP="00B20F76" w14:paraId="7F9D43CF" w14:textId="755EEF89">
    <w:pPr>
      <w:pStyle w:val="Header"/>
    </w:pPr>
    <w:r>
      <w:t>OMB Expiration Date: 12/31/2026</w:t>
    </w:r>
  </w:p>
  <w:p w:rsidR="00B20F76" w14:paraId="4BD88DC4" w14:textId="6DB491D9">
    <w:pPr>
      <w:pStyle w:val="Header"/>
    </w:pPr>
    <w:r>
      <w:t>RIN 3170-AB04</w:t>
    </w:r>
  </w:p>
  <w:p w:rsidR="002B293C" w14:paraId="2354B58B" w14:textId="5D5CC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D3B" w14:paraId="11C89252" w14:textId="0FD4BA39">
    <w:pPr>
      <w:pStyle w:val="Header"/>
    </w:pPr>
    <w:r>
      <w:t>Real Estate Settlement Procedures Act (Regulation X)</w:t>
    </w:r>
  </w:p>
  <w:p w:rsidR="00B35205" w14:paraId="56A20577" w14:textId="77777777">
    <w:pPr>
      <w:pStyle w:val="Header"/>
    </w:pPr>
    <w:r>
      <w:t>OMB Control Number</w:t>
    </w:r>
    <w:r w:rsidR="004D6F7D">
      <w:t>:</w:t>
    </w:r>
    <w:r>
      <w:t xml:space="preserve"> </w:t>
    </w:r>
    <w:r w:rsidR="00E81562">
      <w:t>3170-</w:t>
    </w:r>
    <w:r w:rsidR="00FD2D3B">
      <w:t>0016</w:t>
    </w:r>
  </w:p>
  <w:p w:rsidR="00B35205" w14:paraId="20B8907B" w14:textId="77777777">
    <w:pPr>
      <w:pStyle w:val="Header"/>
    </w:pPr>
    <w:r>
      <w:t xml:space="preserve">OMB Expiration Date: </w:t>
    </w:r>
    <w:r w:rsidR="00FD2D3B">
      <w:t>03/31/2022</w:t>
    </w:r>
  </w:p>
  <w:p w:rsidR="00B35205" w:rsidP="00F52D42" w14:paraId="638B87E3"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3CB13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15136"/>
    <w:multiLevelType w:val="hybridMultilevel"/>
    <w:tmpl w:val="7B025A62"/>
    <w:lvl w:ilvl="0">
      <w:start w:val="1"/>
      <w:numFmt w:val="decimal"/>
      <w:lvlText w:val="%1."/>
      <w:lvlJc w:val="left"/>
      <w:pPr>
        <w:ind w:left="800" w:hanging="580"/>
      </w:pPr>
      <w:rPr>
        <w:rFonts w:ascii="Times New Roman" w:eastAsia="Times New Roman" w:hAnsi="Times New Roman" w:cs="Times New Roman" w:hint="default"/>
        <w:b/>
        <w:bCs/>
        <w:i w:val="0"/>
        <w:iCs w:val="0"/>
        <w:spacing w:val="-6"/>
        <w:w w:val="99"/>
        <w:sz w:val="24"/>
        <w:szCs w:val="24"/>
        <w:lang w:val="en-US" w:eastAsia="en-US" w:bidi="ar-SA"/>
      </w:rPr>
    </w:lvl>
    <w:lvl w:ilvl="1">
      <w:start w:val="0"/>
      <w:numFmt w:val="bullet"/>
      <w:lvlText w:val="•"/>
      <w:lvlJc w:val="left"/>
      <w:pPr>
        <w:ind w:left="1744" w:hanging="580"/>
      </w:pPr>
      <w:rPr>
        <w:rFonts w:hint="default"/>
        <w:lang w:val="en-US" w:eastAsia="en-US" w:bidi="ar-SA"/>
      </w:rPr>
    </w:lvl>
    <w:lvl w:ilvl="2">
      <w:start w:val="0"/>
      <w:numFmt w:val="bullet"/>
      <w:lvlText w:val="•"/>
      <w:lvlJc w:val="left"/>
      <w:pPr>
        <w:ind w:left="2688" w:hanging="580"/>
      </w:pPr>
      <w:rPr>
        <w:rFonts w:hint="default"/>
        <w:lang w:val="en-US" w:eastAsia="en-US" w:bidi="ar-SA"/>
      </w:rPr>
    </w:lvl>
    <w:lvl w:ilvl="3">
      <w:start w:val="0"/>
      <w:numFmt w:val="bullet"/>
      <w:lvlText w:val="•"/>
      <w:lvlJc w:val="left"/>
      <w:pPr>
        <w:ind w:left="3632" w:hanging="580"/>
      </w:pPr>
      <w:rPr>
        <w:rFonts w:hint="default"/>
        <w:lang w:val="en-US" w:eastAsia="en-US" w:bidi="ar-SA"/>
      </w:rPr>
    </w:lvl>
    <w:lvl w:ilvl="4">
      <w:start w:val="0"/>
      <w:numFmt w:val="bullet"/>
      <w:lvlText w:val="•"/>
      <w:lvlJc w:val="left"/>
      <w:pPr>
        <w:ind w:left="4576" w:hanging="580"/>
      </w:pPr>
      <w:rPr>
        <w:rFonts w:hint="default"/>
        <w:lang w:val="en-US" w:eastAsia="en-US" w:bidi="ar-SA"/>
      </w:rPr>
    </w:lvl>
    <w:lvl w:ilvl="5">
      <w:start w:val="0"/>
      <w:numFmt w:val="bullet"/>
      <w:lvlText w:val="•"/>
      <w:lvlJc w:val="left"/>
      <w:pPr>
        <w:ind w:left="5520" w:hanging="580"/>
      </w:pPr>
      <w:rPr>
        <w:rFonts w:hint="default"/>
        <w:lang w:val="en-US" w:eastAsia="en-US" w:bidi="ar-SA"/>
      </w:rPr>
    </w:lvl>
    <w:lvl w:ilvl="6">
      <w:start w:val="0"/>
      <w:numFmt w:val="bullet"/>
      <w:lvlText w:val="•"/>
      <w:lvlJc w:val="left"/>
      <w:pPr>
        <w:ind w:left="6464" w:hanging="580"/>
      </w:pPr>
      <w:rPr>
        <w:rFonts w:hint="default"/>
        <w:lang w:val="en-US" w:eastAsia="en-US" w:bidi="ar-SA"/>
      </w:rPr>
    </w:lvl>
    <w:lvl w:ilvl="7">
      <w:start w:val="0"/>
      <w:numFmt w:val="bullet"/>
      <w:lvlText w:val="•"/>
      <w:lvlJc w:val="left"/>
      <w:pPr>
        <w:ind w:left="7408" w:hanging="580"/>
      </w:pPr>
      <w:rPr>
        <w:rFonts w:hint="default"/>
        <w:lang w:val="en-US" w:eastAsia="en-US" w:bidi="ar-SA"/>
      </w:rPr>
    </w:lvl>
    <w:lvl w:ilvl="8">
      <w:start w:val="0"/>
      <w:numFmt w:val="bullet"/>
      <w:lvlText w:val="•"/>
      <w:lvlJc w:val="left"/>
      <w:pPr>
        <w:ind w:left="8352" w:hanging="580"/>
      </w:pPr>
      <w:rPr>
        <w:rFonts w:hint="default"/>
        <w:lang w:val="en-US" w:eastAsia="en-US" w:bidi="ar-SA"/>
      </w:rPr>
    </w:lvl>
  </w:abstractNum>
  <w:abstractNum w:abstractNumId="3">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EE7B02"/>
    <w:multiLevelType w:val="hybridMultilevel"/>
    <w:tmpl w:val="3094FE06"/>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5">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1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nsid w:val="44873902"/>
    <w:multiLevelType w:val="hybridMultilevel"/>
    <w:tmpl w:val="841EE122"/>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2">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3">
    <w:nsid w:val="4AFBC16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6">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8">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9">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2">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8040123">
    <w:abstractNumId w:val="15"/>
  </w:num>
  <w:num w:numId="2" w16cid:durableId="100036171">
    <w:abstractNumId w:val="12"/>
  </w:num>
  <w:num w:numId="3" w16cid:durableId="2052461722">
    <w:abstractNumId w:val="21"/>
  </w:num>
  <w:num w:numId="4" w16cid:durableId="587274715">
    <w:abstractNumId w:val="10"/>
  </w:num>
  <w:num w:numId="5" w16cid:durableId="479537422">
    <w:abstractNumId w:val="18"/>
  </w:num>
  <w:num w:numId="6" w16cid:durableId="1676377797">
    <w:abstractNumId w:val="17"/>
  </w:num>
  <w:num w:numId="7" w16cid:durableId="148678139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985314">
    <w:abstractNumId w:val="20"/>
  </w:num>
  <w:num w:numId="9" w16cid:durableId="566383689">
    <w:abstractNumId w:val="19"/>
  </w:num>
  <w:num w:numId="10" w16cid:durableId="872380057">
    <w:abstractNumId w:val="7"/>
  </w:num>
  <w:num w:numId="11" w16cid:durableId="705716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3791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6473816">
    <w:abstractNumId w:val="8"/>
  </w:num>
  <w:num w:numId="15" w16cid:durableId="516651443">
    <w:abstractNumId w:val="3"/>
  </w:num>
  <w:num w:numId="16" w16cid:durableId="1715230599">
    <w:abstractNumId w:val="22"/>
  </w:num>
  <w:num w:numId="17" w16cid:durableId="1022971874">
    <w:abstractNumId w:val="5"/>
  </w:num>
  <w:num w:numId="18" w16cid:durableId="849180375">
    <w:abstractNumId w:val="9"/>
  </w:num>
  <w:num w:numId="19" w16cid:durableId="1675952959">
    <w:abstractNumId w:val="6"/>
  </w:num>
  <w:num w:numId="20" w16cid:durableId="427966212">
    <w:abstractNumId w:val="14"/>
  </w:num>
  <w:num w:numId="21" w16cid:durableId="2050176697">
    <w:abstractNumId w:val="1"/>
  </w:num>
  <w:num w:numId="22" w16cid:durableId="847908363">
    <w:abstractNumId w:val="2"/>
  </w:num>
  <w:num w:numId="23" w16cid:durableId="29689137">
    <w:abstractNumId w:val="13"/>
  </w:num>
  <w:num w:numId="24" w16cid:durableId="815797759">
    <w:abstractNumId w:val="0"/>
  </w:num>
  <w:num w:numId="25" w16cid:durableId="473332665">
    <w:abstractNumId w:val="11"/>
  </w:num>
  <w:num w:numId="26" w16cid:durableId="807474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012F"/>
    <w:rsid w:val="000267DB"/>
    <w:rsid w:val="00031F1B"/>
    <w:rsid w:val="00032848"/>
    <w:rsid w:val="00032C14"/>
    <w:rsid w:val="00034C49"/>
    <w:rsid w:val="00035E5E"/>
    <w:rsid w:val="0003785C"/>
    <w:rsid w:val="0004229D"/>
    <w:rsid w:val="0005070D"/>
    <w:rsid w:val="000533A4"/>
    <w:rsid w:val="0005687E"/>
    <w:rsid w:val="00057B87"/>
    <w:rsid w:val="0007006A"/>
    <w:rsid w:val="00070742"/>
    <w:rsid w:val="00071C66"/>
    <w:rsid w:val="00075479"/>
    <w:rsid w:val="000763B3"/>
    <w:rsid w:val="00080781"/>
    <w:rsid w:val="00081109"/>
    <w:rsid w:val="00091AE1"/>
    <w:rsid w:val="00092D91"/>
    <w:rsid w:val="0009401F"/>
    <w:rsid w:val="000A09A7"/>
    <w:rsid w:val="000A1194"/>
    <w:rsid w:val="000A44E3"/>
    <w:rsid w:val="000C1729"/>
    <w:rsid w:val="000C2F7B"/>
    <w:rsid w:val="000C39BD"/>
    <w:rsid w:val="000D0B4D"/>
    <w:rsid w:val="000D3E1A"/>
    <w:rsid w:val="000D5934"/>
    <w:rsid w:val="000D74D0"/>
    <w:rsid w:val="000E1EB3"/>
    <w:rsid w:val="000F0DD6"/>
    <w:rsid w:val="000F5117"/>
    <w:rsid w:val="00100120"/>
    <w:rsid w:val="00110F8E"/>
    <w:rsid w:val="00122156"/>
    <w:rsid w:val="00127A30"/>
    <w:rsid w:val="001345AE"/>
    <w:rsid w:val="001346E6"/>
    <w:rsid w:val="00135A84"/>
    <w:rsid w:val="00141E34"/>
    <w:rsid w:val="00143C38"/>
    <w:rsid w:val="00143D87"/>
    <w:rsid w:val="00157BA6"/>
    <w:rsid w:val="00162371"/>
    <w:rsid w:val="001639C2"/>
    <w:rsid w:val="001650D5"/>
    <w:rsid w:val="00166D3B"/>
    <w:rsid w:val="00166FBE"/>
    <w:rsid w:val="00177293"/>
    <w:rsid w:val="00180976"/>
    <w:rsid w:val="0018593E"/>
    <w:rsid w:val="00187617"/>
    <w:rsid w:val="001912C5"/>
    <w:rsid w:val="00194264"/>
    <w:rsid w:val="00196736"/>
    <w:rsid w:val="001A65CE"/>
    <w:rsid w:val="001B12AF"/>
    <w:rsid w:val="001B50EB"/>
    <w:rsid w:val="001C1DAC"/>
    <w:rsid w:val="001C4457"/>
    <w:rsid w:val="001C59A8"/>
    <w:rsid w:val="001D5558"/>
    <w:rsid w:val="001E1601"/>
    <w:rsid w:val="001E418A"/>
    <w:rsid w:val="001F0989"/>
    <w:rsid w:val="00200F80"/>
    <w:rsid w:val="0020183E"/>
    <w:rsid w:val="002029FA"/>
    <w:rsid w:val="002063CD"/>
    <w:rsid w:val="00211F72"/>
    <w:rsid w:val="002153B7"/>
    <w:rsid w:val="0022105C"/>
    <w:rsid w:val="002215EA"/>
    <w:rsid w:val="00222CBC"/>
    <w:rsid w:val="00226237"/>
    <w:rsid w:val="00233BE2"/>
    <w:rsid w:val="002341FB"/>
    <w:rsid w:val="002359E9"/>
    <w:rsid w:val="00235BD3"/>
    <w:rsid w:val="00243BB0"/>
    <w:rsid w:val="00244C43"/>
    <w:rsid w:val="0025091D"/>
    <w:rsid w:val="00253922"/>
    <w:rsid w:val="00253FF0"/>
    <w:rsid w:val="00255107"/>
    <w:rsid w:val="00256325"/>
    <w:rsid w:val="00256474"/>
    <w:rsid w:val="002678C2"/>
    <w:rsid w:val="002716FB"/>
    <w:rsid w:val="00274CC0"/>
    <w:rsid w:val="002861E8"/>
    <w:rsid w:val="00294DF4"/>
    <w:rsid w:val="0029506E"/>
    <w:rsid w:val="002B0AB2"/>
    <w:rsid w:val="002B293C"/>
    <w:rsid w:val="002B341A"/>
    <w:rsid w:val="002B7700"/>
    <w:rsid w:val="002C126F"/>
    <w:rsid w:val="002C5F25"/>
    <w:rsid w:val="002C6BC6"/>
    <w:rsid w:val="002D1431"/>
    <w:rsid w:val="002D19AD"/>
    <w:rsid w:val="002D2C81"/>
    <w:rsid w:val="002D5173"/>
    <w:rsid w:val="002D789D"/>
    <w:rsid w:val="002E0E6B"/>
    <w:rsid w:val="002E21F9"/>
    <w:rsid w:val="002E65EF"/>
    <w:rsid w:val="002E7B73"/>
    <w:rsid w:val="002F17DC"/>
    <w:rsid w:val="002F4F70"/>
    <w:rsid w:val="00302B1C"/>
    <w:rsid w:val="003105AC"/>
    <w:rsid w:val="00312C7C"/>
    <w:rsid w:val="003161D3"/>
    <w:rsid w:val="00316F7F"/>
    <w:rsid w:val="00316FE0"/>
    <w:rsid w:val="003208CE"/>
    <w:rsid w:val="003225D2"/>
    <w:rsid w:val="003252C5"/>
    <w:rsid w:val="00327A0B"/>
    <w:rsid w:val="0033632B"/>
    <w:rsid w:val="003372E9"/>
    <w:rsid w:val="00340510"/>
    <w:rsid w:val="003427C8"/>
    <w:rsid w:val="00345720"/>
    <w:rsid w:val="00354452"/>
    <w:rsid w:val="003560DF"/>
    <w:rsid w:val="003611DF"/>
    <w:rsid w:val="0036198E"/>
    <w:rsid w:val="00366EAF"/>
    <w:rsid w:val="003774EC"/>
    <w:rsid w:val="0038607F"/>
    <w:rsid w:val="0038749E"/>
    <w:rsid w:val="003A1CBC"/>
    <w:rsid w:val="003A66A4"/>
    <w:rsid w:val="003A7A87"/>
    <w:rsid w:val="003B4917"/>
    <w:rsid w:val="003C30A7"/>
    <w:rsid w:val="003C4F2E"/>
    <w:rsid w:val="003C740D"/>
    <w:rsid w:val="003D1783"/>
    <w:rsid w:val="003D1A46"/>
    <w:rsid w:val="003D3ED3"/>
    <w:rsid w:val="003D42E5"/>
    <w:rsid w:val="003D6C6B"/>
    <w:rsid w:val="003D6EA7"/>
    <w:rsid w:val="003E083F"/>
    <w:rsid w:val="003E34FA"/>
    <w:rsid w:val="00426D4F"/>
    <w:rsid w:val="00427149"/>
    <w:rsid w:val="004318BF"/>
    <w:rsid w:val="004336D6"/>
    <w:rsid w:val="00433D35"/>
    <w:rsid w:val="004342CA"/>
    <w:rsid w:val="00441BED"/>
    <w:rsid w:val="004460F3"/>
    <w:rsid w:val="004470C9"/>
    <w:rsid w:val="004551E6"/>
    <w:rsid w:val="00473352"/>
    <w:rsid w:val="00473ADB"/>
    <w:rsid w:val="0047444F"/>
    <w:rsid w:val="0047520B"/>
    <w:rsid w:val="00475305"/>
    <w:rsid w:val="00477376"/>
    <w:rsid w:val="00481A62"/>
    <w:rsid w:val="00486C34"/>
    <w:rsid w:val="00487A05"/>
    <w:rsid w:val="0049767C"/>
    <w:rsid w:val="004A0C5F"/>
    <w:rsid w:val="004A354C"/>
    <w:rsid w:val="004A5B5D"/>
    <w:rsid w:val="004A5D8F"/>
    <w:rsid w:val="004A7DC4"/>
    <w:rsid w:val="004B45A2"/>
    <w:rsid w:val="004B7532"/>
    <w:rsid w:val="004C0E57"/>
    <w:rsid w:val="004C30E1"/>
    <w:rsid w:val="004C77CB"/>
    <w:rsid w:val="004D665B"/>
    <w:rsid w:val="004D6F7D"/>
    <w:rsid w:val="004E1F5B"/>
    <w:rsid w:val="004F7750"/>
    <w:rsid w:val="00502833"/>
    <w:rsid w:val="00504AFB"/>
    <w:rsid w:val="00504E9A"/>
    <w:rsid w:val="00511C92"/>
    <w:rsid w:val="00513ACA"/>
    <w:rsid w:val="005148FE"/>
    <w:rsid w:val="0051614E"/>
    <w:rsid w:val="005168DD"/>
    <w:rsid w:val="00516CC6"/>
    <w:rsid w:val="00521035"/>
    <w:rsid w:val="005270DF"/>
    <w:rsid w:val="00532872"/>
    <w:rsid w:val="00533076"/>
    <w:rsid w:val="005339D5"/>
    <w:rsid w:val="00536912"/>
    <w:rsid w:val="0054251A"/>
    <w:rsid w:val="00544D09"/>
    <w:rsid w:val="00553771"/>
    <w:rsid w:val="005554A7"/>
    <w:rsid w:val="00561897"/>
    <w:rsid w:val="005636C3"/>
    <w:rsid w:val="00571C9A"/>
    <w:rsid w:val="0057278C"/>
    <w:rsid w:val="00573509"/>
    <w:rsid w:val="0057551F"/>
    <w:rsid w:val="00590C47"/>
    <w:rsid w:val="00594C60"/>
    <w:rsid w:val="00594CDF"/>
    <w:rsid w:val="00595988"/>
    <w:rsid w:val="005A1AE0"/>
    <w:rsid w:val="005B3933"/>
    <w:rsid w:val="005B466F"/>
    <w:rsid w:val="005B6341"/>
    <w:rsid w:val="005D2B19"/>
    <w:rsid w:val="005D5E3F"/>
    <w:rsid w:val="005D6DBE"/>
    <w:rsid w:val="005E053B"/>
    <w:rsid w:val="005E0F90"/>
    <w:rsid w:val="005E5175"/>
    <w:rsid w:val="005E79FF"/>
    <w:rsid w:val="005F1FFC"/>
    <w:rsid w:val="005F249F"/>
    <w:rsid w:val="005F4192"/>
    <w:rsid w:val="005F52A7"/>
    <w:rsid w:val="00600A9A"/>
    <w:rsid w:val="00604771"/>
    <w:rsid w:val="00613FD3"/>
    <w:rsid w:val="00614D6B"/>
    <w:rsid w:val="006213DD"/>
    <w:rsid w:val="00625395"/>
    <w:rsid w:val="00626F36"/>
    <w:rsid w:val="00632442"/>
    <w:rsid w:val="006332B3"/>
    <w:rsid w:val="00634112"/>
    <w:rsid w:val="00635204"/>
    <w:rsid w:val="00637913"/>
    <w:rsid w:val="00641707"/>
    <w:rsid w:val="00643848"/>
    <w:rsid w:val="00650767"/>
    <w:rsid w:val="0065680E"/>
    <w:rsid w:val="0065718D"/>
    <w:rsid w:val="00661E0F"/>
    <w:rsid w:val="006620F8"/>
    <w:rsid w:val="00663FB6"/>
    <w:rsid w:val="00664D05"/>
    <w:rsid w:val="00665C34"/>
    <w:rsid w:val="0068349A"/>
    <w:rsid w:val="00683C25"/>
    <w:rsid w:val="00690B79"/>
    <w:rsid w:val="00690DC3"/>
    <w:rsid w:val="006A394B"/>
    <w:rsid w:val="006A5577"/>
    <w:rsid w:val="006B06CC"/>
    <w:rsid w:val="006B7AD2"/>
    <w:rsid w:val="006C0ABC"/>
    <w:rsid w:val="006C511F"/>
    <w:rsid w:val="006C7C21"/>
    <w:rsid w:val="006D1E8C"/>
    <w:rsid w:val="006D37FD"/>
    <w:rsid w:val="006D4E10"/>
    <w:rsid w:val="006D52EC"/>
    <w:rsid w:val="006D6ED0"/>
    <w:rsid w:val="006D7039"/>
    <w:rsid w:val="006E1763"/>
    <w:rsid w:val="006E2197"/>
    <w:rsid w:val="006E42D5"/>
    <w:rsid w:val="006E6951"/>
    <w:rsid w:val="006F0A01"/>
    <w:rsid w:val="006F0C7B"/>
    <w:rsid w:val="006F13DD"/>
    <w:rsid w:val="006F2252"/>
    <w:rsid w:val="007011FA"/>
    <w:rsid w:val="00702ADE"/>
    <w:rsid w:val="007059EE"/>
    <w:rsid w:val="00706218"/>
    <w:rsid w:val="00710CC5"/>
    <w:rsid w:val="00715C7F"/>
    <w:rsid w:val="007319B7"/>
    <w:rsid w:val="00732F4F"/>
    <w:rsid w:val="00733C46"/>
    <w:rsid w:val="007355AA"/>
    <w:rsid w:val="00744359"/>
    <w:rsid w:val="00744ECB"/>
    <w:rsid w:val="0074629B"/>
    <w:rsid w:val="00751358"/>
    <w:rsid w:val="00763D5B"/>
    <w:rsid w:val="00765C7B"/>
    <w:rsid w:val="00791188"/>
    <w:rsid w:val="00791AC9"/>
    <w:rsid w:val="0079339F"/>
    <w:rsid w:val="00793479"/>
    <w:rsid w:val="0079547E"/>
    <w:rsid w:val="007A1F27"/>
    <w:rsid w:val="007A30EB"/>
    <w:rsid w:val="007A6EE8"/>
    <w:rsid w:val="007A7FAE"/>
    <w:rsid w:val="007B3C5E"/>
    <w:rsid w:val="007C0923"/>
    <w:rsid w:val="007C1C9A"/>
    <w:rsid w:val="007C3C35"/>
    <w:rsid w:val="007C7E60"/>
    <w:rsid w:val="007D1B4A"/>
    <w:rsid w:val="007D3D93"/>
    <w:rsid w:val="007E2C51"/>
    <w:rsid w:val="007E7E37"/>
    <w:rsid w:val="007F3057"/>
    <w:rsid w:val="007F35B6"/>
    <w:rsid w:val="007F4556"/>
    <w:rsid w:val="00804436"/>
    <w:rsid w:val="00810FF4"/>
    <w:rsid w:val="0081330B"/>
    <w:rsid w:val="00814193"/>
    <w:rsid w:val="00816792"/>
    <w:rsid w:val="00816AA8"/>
    <w:rsid w:val="00823FDC"/>
    <w:rsid w:val="00840E4A"/>
    <w:rsid w:val="00843287"/>
    <w:rsid w:val="00855E15"/>
    <w:rsid w:val="008571B2"/>
    <w:rsid w:val="008573A2"/>
    <w:rsid w:val="008576C7"/>
    <w:rsid w:val="008671F9"/>
    <w:rsid w:val="00875B65"/>
    <w:rsid w:val="0088222A"/>
    <w:rsid w:val="00882935"/>
    <w:rsid w:val="00891DD8"/>
    <w:rsid w:val="008964E9"/>
    <w:rsid w:val="008970DC"/>
    <w:rsid w:val="008A6525"/>
    <w:rsid w:val="008B001F"/>
    <w:rsid w:val="008B2CB9"/>
    <w:rsid w:val="008B40CD"/>
    <w:rsid w:val="008B54DF"/>
    <w:rsid w:val="008C44A7"/>
    <w:rsid w:val="008C7818"/>
    <w:rsid w:val="008D2F0F"/>
    <w:rsid w:val="008D3161"/>
    <w:rsid w:val="008D38AE"/>
    <w:rsid w:val="008D3940"/>
    <w:rsid w:val="008D5BE5"/>
    <w:rsid w:val="008E164F"/>
    <w:rsid w:val="008E19DC"/>
    <w:rsid w:val="008E3E92"/>
    <w:rsid w:val="008E5D30"/>
    <w:rsid w:val="008E777F"/>
    <w:rsid w:val="0090025B"/>
    <w:rsid w:val="00903EDB"/>
    <w:rsid w:val="00904477"/>
    <w:rsid w:val="00917336"/>
    <w:rsid w:val="0092092B"/>
    <w:rsid w:val="0092113B"/>
    <w:rsid w:val="00923029"/>
    <w:rsid w:val="0093151E"/>
    <w:rsid w:val="009336CF"/>
    <w:rsid w:val="00935094"/>
    <w:rsid w:val="00951669"/>
    <w:rsid w:val="00954684"/>
    <w:rsid w:val="009552F7"/>
    <w:rsid w:val="00955CDF"/>
    <w:rsid w:val="00963904"/>
    <w:rsid w:val="0096415E"/>
    <w:rsid w:val="009664D0"/>
    <w:rsid w:val="00967432"/>
    <w:rsid w:val="0097154F"/>
    <w:rsid w:val="00973293"/>
    <w:rsid w:val="00977470"/>
    <w:rsid w:val="00990CFC"/>
    <w:rsid w:val="009936CA"/>
    <w:rsid w:val="00994943"/>
    <w:rsid w:val="00996A0D"/>
    <w:rsid w:val="00997BF9"/>
    <w:rsid w:val="009A13BD"/>
    <w:rsid w:val="009A245F"/>
    <w:rsid w:val="009A641F"/>
    <w:rsid w:val="009B00F8"/>
    <w:rsid w:val="009B30FA"/>
    <w:rsid w:val="009B3CA2"/>
    <w:rsid w:val="009C10E1"/>
    <w:rsid w:val="009C5ABF"/>
    <w:rsid w:val="009C7539"/>
    <w:rsid w:val="009D195A"/>
    <w:rsid w:val="009D33D2"/>
    <w:rsid w:val="009D412E"/>
    <w:rsid w:val="009D47FC"/>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452C"/>
    <w:rsid w:val="00A47C21"/>
    <w:rsid w:val="00A55878"/>
    <w:rsid w:val="00A60847"/>
    <w:rsid w:val="00A622E9"/>
    <w:rsid w:val="00A637BE"/>
    <w:rsid w:val="00A67A6C"/>
    <w:rsid w:val="00A71151"/>
    <w:rsid w:val="00A76994"/>
    <w:rsid w:val="00A818AE"/>
    <w:rsid w:val="00A83ED2"/>
    <w:rsid w:val="00A84128"/>
    <w:rsid w:val="00A866B0"/>
    <w:rsid w:val="00A90DA3"/>
    <w:rsid w:val="00A929B0"/>
    <w:rsid w:val="00A92A19"/>
    <w:rsid w:val="00A93967"/>
    <w:rsid w:val="00AA4515"/>
    <w:rsid w:val="00AA633C"/>
    <w:rsid w:val="00AA66A0"/>
    <w:rsid w:val="00AA6EC1"/>
    <w:rsid w:val="00AC2DFF"/>
    <w:rsid w:val="00AC347B"/>
    <w:rsid w:val="00AD0BCB"/>
    <w:rsid w:val="00AD2890"/>
    <w:rsid w:val="00AD7C75"/>
    <w:rsid w:val="00AE2593"/>
    <w:rsid w:val="00AF1678"/>
    <w:rsid w:val="00AF51D0"/>
    <w:rsid w:val="00B0041E"/>
    <w:rsid w:val="00B00DA7"/>
    <w:rsid w:val="00B02F1E"/>
    <w:rsid w:val="00B03988"/>
    <w:rsid w:val="00B07D28"/>
    <w:rsid w:val="00B10271"/>
    <w:rsid w:val="00B11E43"/>
    <w:rsid w:val="00B14B37"/>
    <w:rsid w:val="00B16815"/>
    <w:rsid w:val="00B17D32"/>
    <w:rsid w:val="00B20F76"/>
    <w:rsid w:val="00B2144F"/>
    <w:rsid w:val="00B258FB"/>
    <w:rsid w:val="00B30BA4"/>
    <w:rsid w:val="00B35205"/>
    <w:rsid w:val="00B371B9"/>
    <w:rsid w:val="00B4236D"/>
    <w:rsid w:val="00B43E7B"/>
    <w:rsid w:val="00B43F57"/>
    <w:rsid w:val="00B5559D"/>
    <w:rsid w:val="00B565D4"/>
    <w:rsid w:val="00B7194A"/>
    <w:rsid w:val="00B730DB"/>
    <w:rsid w:val="00B76BED"/>
    <w:rsid w:val="00B804F3"/>
    <w:rsid w:val="00B85F31"/>
    <w:rsid w:val="00B860C7"/>
    <w:rsid w:val="00B92BDE"/>
    <w:rsid w:val="00B96DD6"/>
    <w:rsid w:val="00B974E3"/>
    <w:rsid w:val="00BA1433"/>
    <w:rsid w:val="00BA16FC"/>
    <w:rsid w:val="00BA4383"/>
    <w:rsid w:val="00BC1056"/>
    <w:rsid w:val="00BC10FD"/>
    <w:rsid w:val="00BC16BB"/>
    <w:rsid w:val="00BC56A2"/>
    <w:rsid w:val="00BC5B56"/>
    <w:rsid w:val="00BD42E6"/>
    <w:rsid w:val="00BD440C"/>
    <w:rsid w:val="00BD596F"/>
    <w:rsid w:val="00BD634B"/>
    <w:rsid w:val="00BD789B"/>
    <w:rsid w:val="00BD7D0B"/>
    <w:rsid w:val="00BE4034"/>
    <w:rsid w:val="00BE414D"/>
    <w:rsid w:val="00BE61FE"/>
    <w:rsid w:val="00BF04E9"/>
    <w:rsid w:val="00BF3B8E"/>
    <w:rsid w:val="00BF3D3A"/>
    <w:rsid w:val="00BF6D43"/>
    <w:rsid w:val="00C01BBE"/>
    <w:rsid w:val="00C05B3E"/>
    <w:rsid w:val="00C13B57"/>
    <w:rsid w:val="00C26D14"/>
    <w:rsid w:val="00C3225C"/>
    <w:rsid w:val="00C34282"/>
    <w:rsid w:val="00C34CD3"/>
    <w:rsid w:val="00C37D4E"/>
    <w:rsid w:val="00C40CD8"/>
    <w:rsid w:val="00C41186"/>
    <w:rsid w:val="00C4132E"/>
    <w:rsid w:val="00C41820"/>
    <w:rsid w:val="00C44DA9"/>
    <w:rsid w:val="00C47CE4"/>
    <w:rsid w:val="00C51760"/>
    <w:rsid w:val="00C53C0C"/>
    <w:rsid w:val="00C602F5"/>
    <w:rsid w:val="00C60D41"/>
    <w:rsid w:val="00C61AFD"/>
    <w:rsid w:val="00C62364"/>
    <w:rsid w:val="00C6633F"/>
    <w:rsid w:val="00C701D2"/>
    <w:rsid w:val="00C70859"/>
    <w:rsid w:val="00C7631A"/>
    <w:rsid w:val="00C801D4"/>
    <w:rsid w:val="00C812E5"/>
    <w:rsid w:val="00C86DD8"/>
    <w:rsid w:val="00C8745F"/>
    <w:rsid w:val="00C9194F"/>
    <w:rsid w:val="00CA6DAB"/>
    <w:rsid w:val="00CB3153"/>
    <w:rsid w:val="00CB33D0"/>
    <w:rsid w:val="00CB5026"/>
    <w:rsid w:val="00CB6B31"/>
    <w:rsid w:val="00CB6D80"/>
    <w:rsid w:val="00CC2D48"/>
    <w:rsid w:val="00CC384D"/>
    <w:rsid w:val="00CC38BE"/>
    <w:rsid w:val="00CC45DE"/>
    <w:rsid w:val="00CC5231"/>
    <w:rsid w:val="00CC7299"/>
    <w:rsid w:val="00CC7831"/>
    <w:rsid w:val="00CD0D35"/>
    <w:rsid w:val="00CD4D17"/>
    <w:rsid w:val="00CD5F33"/>
    <w:rsid w:val="00CE13C5"/>
    <w:rsid w:val="00CE2CA6"/>
    <w:rsid w:val="00CE36FF"/>
    <w:rsid w:val="00CE65D6"/>
    <w:rsid w:val="00CE6EF6"/>
    <w:rsid w:val="00CE781E"/>
    <w:rsid w:val="00CF1807"/>
    <w:rsid w:val="00CF37F8"/>
    <w:rsid w:val="00CF54AB"/>
    <w:rsid w:val="00CF6E73"/>
    <w:rsid w:val="00D027DF"/>
    <w:rsid w:val="00D13CC0"/>
    <w:rsid w:val="00D150DA"/>
    <w:rsid w:val="00D152D6"/>
    <w:rsid w:val="00D1640B"/>
    <w:rsid w:val="00D1702D"/>
    <w:rsid w:val="00D21CAF"/>
    <w:rsid w:val="00D22D39"/>
    <w:rsid w:val="00D23939"/>
    <w:rsid w:val="00D27EE7"/>
    <w:rsid w:val="00D31420"/>
    <w:rsid w:val="00D35E81"/>
    <w:rsid w:val="00D40792"/>
    <w:rsid w:val="00D41323"/>
    <w:rsid w:val="00D51A8E"/>
    <w:rsid w:val="00D5266A"/>
    <w:rsid w:val="00D54E06"/>
    <w:rsid w:val="00D561AD"/>
    <w:rsid w:val="00D81D4B"/>
    <w:rsid w:val="00D823F3"/>
    <w:rsid w:val="00D84541"/>
    <w:rsid w:val="00D86091"/>
    <w:rsid w:val="00D879E9"/>
    <w:rsid w:val="00DA0CF0"/>
    <w:rsid w:val="00DA62F9"/>
    <w:rsid w:val="00DC157E"/>
    <w:rsid w:val="00DD1FDE"/>
    <w:rsid w:val="00DD20FC"/>
    <w:rsid w:val="00DD3EB0"/>
    <w:rsid w:val="00DD40BE"/>
    <w:rsid w:val="00DD6AAE"/>
    <w:rsid w:val="00DD6F06"/>
    <w:rsid w:val="00DE2E05"/>
    <w:rsid w:val="00DE3025"/>
    <w:rsid w:val="00DE6849"/>
    <w:rsid w:val="00DE70D6"/>
    <w:rsid w:val="00DF2A22"/>
    <w:rsid w:val="00DF2DAA"/>
    <w:rsid w:val="00E0047E"/>
    <w:rsid w:val="00E0099A"/>
    <w:rsid w:val="00E0306E"/>
    <w:rsid w:val="00E04EA0"/>
    <w:rsid w:val="00E10A99"/>
    <w:rsid w:val="00E14079"/>
    <w:rsid w:val="00E227CA"/>
    <w:rsid w:val="00E22A8C"/>
    <w:rsid w:val="00E2598F"/>
    <w:rsid w:val="00E30F77"/>
    <w:rsid w:val="00E31770"/>
    <w:rsid w:val="00E34C47"/>
    <w:rsid w:val="00E35C99"/>
    <w:rsid w:val="00E365FF"/>
    <w:rsid w:val="00E44531"/>
    <w:rsid w:val="00E509E8"/>
    <w:rsid w:val="00E577E0"/>
    <w:rsid w:val="00E6073A"/>
    <w:rsid w:val="00E60E1C"/>
    <w:rsid w:val="00E621CC"/>
    <w:rsid w:val="00E63DE1"/>
    <w:rsid w:val="00E66CDA"/>
    <w:rsid w:val="00E809BD"/>
    <w:rsid w:val="00E81562"/>
    <w:rsid w:val="00E81DA1"/>
    <w:rsid w:val="00E85B4C"/>
    <w:rsid w:val="00E8674D"/>
    <w:rsid w:val="00E939D3"/>
    <w:rsid w:val="00E94287"/>
    <w:rsid w:val="00EA1984"/>
    <w:rsid w:val="00EA669E"/>
    <w:rsid w:val="00EA794A"/>
    <w:rsid w:val="00EB0A8A"/>
    <w:rsid w:val="00EB4DF0"/>
    <w:rsid w:val="00EB554A"/>
    <w:rsid w:val="00EC2267"/>
    <w:rsid w:val="00EC2804"/>
    <w:rsid w:val="00ED26B5"/>
    <w:rsid w:val="00ED472E"/>
    <w:rsid w:val="00EE31E1"/>
    <w:rsid w:val="00EE6725"/>
    <w:rsid w:val="00EE6C88"/>
    <w:rsid w:val="00F04735"/>
    <w:rsid w:val="00F06588"/>
    <w:rsid w:val="00F07733"/>
    <w:rsid w:val="00F07C26"/>
    <w:rsid w:val="00F10718"/>
    <w:rsid w:val="00F10F75"/>
    <w:rsid w:val="00F13A08"/>
    <w:rsid w:val="00F1588B"/>
    <w:rsid w:val="00F17366"/>
    <w:rsid w:val="00F213B5"/>
    <w:rsid w:val="00F2419A"/>
    <w:rsid w:val="00F254A8"/>
    <w:rsid w:val="00F26141"/>
    <w:rsid w:val="00F27241"/>
    <w:rsid w:val="00F307E5"/>
    <w:rsid w:val="00F308ED"/>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7390A"/>
    <w:rsid w:val="00F804DD"/>
    <w:rsid w:val="00F85F5D"/>
    <w:rsid w:val="00F86D7F"/>
    <w:rsid w:val="00F919E7"/>
    <w:rsid w:val="00F9485D"/>
    <w:rsid w:val="00F977C7"/>
    <w:rsid w:val="00F97A0C"/>
    <w:rsid w:val="00FA2755"/>
    <w:rsid w:val="00FA3120"/>
    <w:rsid w:val="00FB4384"/>
    <w:rsid w:val="00FB4B0E"/>
    <w:rsid w:val="00FB531D"/>
    <w:rsid w:val="00FC730C"/>
    <w:rsid w:val="00FD2D3B"/>
    <w:rsid w:val="00FD39F0"/>
    <w:rsid w:val="00FD45EB"/>
    <w:rsid w:val="00FD666D"/>
    <w:rsid w:val="00FD6880"/>
    <w:rsid w:val="00FE206E"/>
    <w:rsid w:val="00FF6C53"/>
    <w:rsid w:val="0B2A87FB"/>
    <w:rsid w:val="0CD96668"/>
    <w:rsid w:val="11049C8B"/>
    <w:rsid w:val="1615C660"/>
    <w:rsid w:val="2A98FCBE"/>
    <w:rsid w:val="334924CE"/>
    <w:rsid w:val="4A45850E"/>
    <w:rsid w:val="550586E9"/>
    <w:rsid w:val="67A7DC0B"/>
    <w:rsid w:val="69447896"/>
    <w:rsid w:val="7682D1FF"/>
    <w:rsid w:val="7DA512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8825C3"/>
  <w15:docId w15:val="{656FF54E-576F-439A-99E6-D578D602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uiPriority w:val="9"/>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1"/>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TableParagraph">
    <w:name w:val="Table Paragraph"/>
    <w:basedOn w:val="Normal"/>
    <w:uiPriority w:val="1"/>
    <w:qFormat/>
    <w:rsid w:val="00FD2D3B"/>
    <w:pPr>
      <w:widowControl w:val="0"/>
      <w:autoSpaceDE w:val="0"/>
      <w:autoSpaceDN w:val="0"/>
    </w:pPr>
    <w:rPr>
      <w:sz w:val="22"/>
      <w:szCs w:val="22"/>
    </w:rPr>
  </w:style>
  <w:style w:type="character" w:customStyle="1" w:styleId="BodyTextChar">
    <w:name w:val="Body Text Char"/>
    <w:basedOn w:val="DefaultParagraphFont"/>
    <w:link w:val="BodyText"/>
    <w:uiPriority w:val="1"/>
    <w:rsid w:val="001967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www.reginfo.gov/"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OPSOCDOPRA-2116056712-2136835</_dlc_DocId>
    <_dlc_DocIdUrl xmlns="8097749c-35e3-4292-9c41-d352b303d2cf">
      <Url>https://bcfp365.sharepoint.com/sites/ops-ocdo-pra/_layouts/15/DocIdRedir.aspx?ID=OPSOCDOPRA-2116056712-2136835</Url>
      <Description>OPSOCDOPRA-2116056712-2136835</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customXml/itemProps4.xml><?xml version="1.0" encoding="utf-8"?>
<ds:datastoreItem xmlns:ds="http://schemas.openxmlformats.org/officeDocument/2006/customXml" ds:itemID="{B44A7519-441D-4809-974D-0E700815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796461-1B8F-4323-AC0C-83F1C107DE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4</cp:revision>
  <cp:lastPrinted>2017-07-25T13:39:00Z</cp:lastPrinted>
  <dcterms:created xsi:type="dcterms:W3CDTF">2024-08-21T20:30:00Z</dcterms:created>
  <dcterms:modified xsi:type="dcterms:W3CDTF">2024-08-21T20:56:00Z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6daba4af-8d3c-4235-8f54-b53f18535b92</vt:lpwstr>
  </property>
  <property fmtid="{D5CDD505-2E9C-101B-9397-08002B2CF9AE}" pid="6" name="_NewReviewCycle">
    <vt:lpwstr/>
  </property>
</Properties>
</file>