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60227" w:rsidR="00242397" w:rsidP="00242397" w:rsidRDefault="00242397" w14:paraId="0A0E2E94" w14:textId="77777777">
      <w:pPr>
        <w:jc w:val="center"/>
        <w:rPr>
          <w:b/>
          <w:sz w:val="22"/>
        </w:rPr>
      </w:pPr>
      <w:bookmarkStart w:name="_GoBack" w:id="0"/>
      <w:bookmarkEnd w:id="0"/>
      <w:r w:rsidRPr="00E60227">
        <w:rPr>
          <w:b/>
          <w:sz w:val="22"/>
        </w:rPr>
        <w:t>APPLICATION FOR</w:t>
      </w:r>
      <w:r w:rsidRPr="00E60227" w:rsidR="001B29E5">
        <w:rPr>
          <w:b/>
          <w:sz w:val="22"/>
        </w:rPr>
        <w:t xml:space="preserve"> </w:t>
      </w:r>
      <w:r w:rsidRPr="00E60227">
        <w:rPr>
          <w:b/>
          <w:sz w:val="22"/>
        </w:rPr>
        <w:t>PERMISSION</w:t>
      </w:r>
      <w:r w:rsidR="003A6D6A">
        <w:rPr>
          <w:b/>
          <w:sz w:val="22"/>
        </w:rPr>
        <w:t xml:space="preserve"> </w:t>
      </w:r>
      <w:r w:rsidRPr="00E60227">
        <w:rPr>
          <w:b/>
          <w:sz w:val="22"/>
        </w:rPr>
        <w:t>TO DISPOSE OF SUBSTANDARD PRUNES</w:t>
      </w:r>
    </w:p>
    <w:p w:rsidRPr="00E60227" w:rsidR="00242397" w:rsidP="00242397" w:rsidRDefault="00242397" w14:paraId="5D1DA507" w14:textId="77777777">
      <w:pPr>
        <w:rPr>
          <w:sz w:val="22"/>
        </w:rPr>
      </w:pPr>
    </w:p>
    <w:p w:rsidRPr="00E60227" w:rsidR="00242397" w:rsidP="00242397" w:rsidRDefault="000B68C4" w14:paraId="5550DF66" w14:textId="77777777">
      <w:pPr>
        <w:rPr>
          <w:sz w:val="22"/>
        </w:rPr>
      </w:pPr>
      <w:r w:rsidRPr="00E60227">
        <w:rPr>
          <w:sz w:val="22"/>
        </w:rPr>
        <w:t>TO:</w:t>
      </w:r>
      <w:r w:rsidRPr="00E60227">
        <w:rPr>
          <w:sz w:val="22"/>
        </w:rPr>
        <w:tab/>
        <w:t>Prune Marketing Committee</w:t>
      </w:r>
      <w:r w:rsidRPr="00E60227">
        <w:rPr>
          <w:sz w:val="22"/>
        </w:rPr>
        <w:tab/>
      </w:r>
      <w:r w:rsidRPr="00E60227">
        <w:rPr>
          <w:sz w:val="22"/>
        </w:rPr>
        <w:tab/>
      </w:r>
      <w:r w:rsidRPr="00E60227">
        <w:rPr>
          <w:sz w:val="22"/>
        </w:rPr>
        <w:tab/>
      </w:r>
      <w:r w:rsidRPr="00E60227">
        <w:rPr>
          <w:sz w:val="22"/>
        </w:rPr>
        <w:tab/>
      </w:r>
      <w:r w:rsidRPr="00E60227">
        <w:rPr>
          <w:sz w:val="22"/>
        </w:rPr>
        <w:tab/>
        <w:t>Date:</w:t>
      </w:r>
      <w:r w:rsidRPr="00E60227" w:rsidR="00E60227">
        <w:rPr>
          <w:sz w:val="22"/>
        </w:rPr>
        <w:t xml:space="preserve"> _____________________</w:t>
      </w:r>
    </w:p>
    <w:p w:rsidRPr="00E60227" w:rsidR="000B68C4" w:rsidP="000B68C4" w:rsidRDefault="000B68C4" w14:paraId="1A972E70" w14:textId="77777777">
      <w:pPr>
        <w:rPr>
          <w:sz w:val="22"/>
        </w:rPr>
      </w:pPr>
      <w:r w:rsidRPr="00E60227">
        <w:rPr>
          <w:sz w:val="22"/>
        </w:rPr>
        <w:tab/>
        <w:t>3840 Rosin Court, Suite 170</w:t>
      </w:r>
    </w:p>
    <w:p w:rsidRPr="00E60227" w:rsidR="000B68C4" w:rsidP="000B68C4" w:rsidRDefault="000B68C4" w14:paraId="34DD451F" w14:textId="77777777">
      <w:pPr>
        <w:ind w:firstLine="720"/>
        <w:rPr>
          <w:sz w:val="22"/>
        </w:rPr>
      </w:pPr>
      <w:r w:rsidRPr="00E60227">
        <w:rPr>
          <w:sz w:val="22"/>
        </w:rPr>
        <w:t xml:space="preserve">Sacramento, CA </w:t>
      </w:r>
      <w:r w:rsidRPr="00E60227" w:rsidR="00217983">
        <w:rPr>
          <w:sz w:val="22"/>
        </w:rPr>
        <w:t xml:space="preserve"> </w:t>
      </w:r>
      <w:r w:rsidRPr="00E60227">
        <w:rPr>
          <w:sz w:val="22"/>
        </w:rPr>
        <w:t>95834</w:t>
      </w:r>
    </w:p>
    <w:p w:rsidRPr="00E60227" w:rsidR="000B68C4" w:rsidP="000B68C4" w:rsidRDefault="000B68C4" w14:paraId="27B18636" w14:textId="77777777">
      <w:pPr>
        <w:rPr>
          <w:sz w:val="22"/>
        </w:rPr>
      </w:pPr>
    </w:p>
    <w:p w:rsidRPr="00E60227" w:rsidR="000B68C4" w:rsidP="000B68C4" w:rsidRDefault="000B68C4" w14:paraId="60769830" w14:textId="77777777">
      <w:pPr>
        <w:rPr>
          <w:sz w:val="22"/>
        </w:rPr>
      </w:pPr>
      <w:r w:rsidRPr="00E60227">
        <w:rPr>
          <w:sz w:val="22"/>
        </w:rPr>
        <w:t>HANDLER</w:t>
      </w:r>
      <w:r w:rsidRPr="00E60227" w:rsidR="00E60227">
        <w:rPr>
          <w:sz w:val="22"/>
        </w:rPr>
        <w:t xml:space="preserve"> _______________________________________________________________________</w:t>
      </w:r>
    </w:p>
    <w:p w:rsidRPr="00E60227" w:rsidR="000B68C4" w:rsidP="000B68C4" w:rsidRDefault="000B68C4" w14:paraId="40B949B8" w14:textId="77777777">
      <w:pPr>
        <w:rPr>
          <w:sz w:val="22"/>
        </w:rPr>
      </w:pPr>
    </w:p>
    <w:p w:rsidRPr="00E60227" w:rsidR="000B68C4" w:rsidP="000B68C4" w:rsidRDefault="000B68C4" w14:paraId="1F4E0158" w14:textId="77777777">
      <w:pPr>
        <w:rPr>
          <w:sz w:val="22"/>
        </w:rPr>
      </w:pPr>
      <w:r w:rsidRPr="00E60227">
        <w:rPr>
          <w:sz w:val="22"/>
        </w:rPr>
        <w:t>ADDRESS</w:t>
      </w:r>
      <w:r w:rsidRPr="00E60227" w:rsidR="00E60227">
        <w:rPr>
          <w:sz w:val="22"/>
        </w:rPr>
        <w:t xml:space="preserve"> ________________________________________________________________________</w:t>
      </w:r>
    </w:p>
    <w:p w:rsidRPr="00E60227" w:rsidR="000B68C4" w:rsidP="000B68C4" w:rsidRDefault="000B68C4" w14:paraId="0E965D38" w14:textId="77777777">
      <w:pPr>
        <w:rPr>
          <w:sz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3264"/>
        <w:gridCol w:w="3594"/>
      </w:tblGrid>
      <w:tr w:rsidRPr="00E60227" w:rsidR="000B68C4" w:rsidTr="00E60227" w14:paraId="1F362EB1" w14:textId="77777777">
        <w:trPr>
          <w:trHeight w:val="270"/>
        </w:trPr>
        <w:tc>
          <w:tcPr>
            <w:tcW w:w="2610" w:type="dxa"/>
            <w:vMerge w:val="restart"/>
          </w:tcPr>
          <w:p w:rsidRPr="00E60227" w:rsidR="000B68C4" w:rsidP="000B68C4" w:rsidRDefault="000B68C4" w14:paraId="3982F56D" w14:textId="77777777">
            <w:pPr>
              <w:rPr>
                <w:sz w:val="22"/>
              </w:rPr>
            </w:pPr>
          </w:p>
          <w:p w:rsidRPr="00E60227" w:rsidR="000B68C4" w:rsidP="000B68C4" w:rsidRDefault="000B68C4" w14:paraId="700E2665" w14:textId="77777777">
            <w:pPr>
              <w:rPr>
                <w:sz w:val="22"/>
              </w:rPr>
            </w:pPr>
          </w:p>
          <w:p w:rsidRPr="00E60227" w:rsidR="000B68C4" w:rsidP="00E60227" w:rsidRDefault="00E60227" w14:paraId="69E3DBB0" w14:textId="77777777">
            <w:pPr>
              <w:numPr>
                <w:ilvl w:val="0"/>
                <w:numId w:val="1"/>
              </w:numPr>
              <w:jc w:val="left"/>
              <w:rPr>
                <w:sz w:val="22"/>
              </w:rPr>
            </w:pPr>
            <w:r>
              <w:rPr>
                <w:sz w:val="22"/>
              </w:rPr>
              <w:t xml:space="preserve"> Our Vendee (customer):</w:t>
            </w:r>
          </w:p>
        </w:tc>
        <w:tc>
          <w:tcPr>
            <w:tcW w:w="3264" w:type="dxa"/>
            <w:vAlign w:val="center"/>
          </w:tcPr>
          <w:p w:rsidRPr="00E60227" w:rsidR="000B68C4" w:rsidP="00E60227" w:rsidRDefault="000B68C4" w14:paraId="656FD776" w14:textId="77777777">
            <w:pPr>
              <w:tabs>
                <w:tab w:val="center" w:pos="1524"/>
                <w:tab w:val="right" w:pos="3048"/>
              </w:tabs>
              <w:jc w:val="center"/>
              <w:rPr>
                <w:sz w:val="22"/>
              </w:rPr>
            </w:pPr>
            <w:r w:rsidRPr="00E60227">
              <w:rPr>
                <w:sz w:val="22"/>
              </w:rPr>
              <w:t>NAME</w:t>
            </w:r>
          </w:p>
        </w:tc>
        <w:tc>
          <w:tcPr>
            <w:tcW w:w="3594" w:type="dxa"/>
            <w:vAlign w:val="center"/>
          </w:tcPr>
          <w:p w:rsidRPr="00E60227" w:rsidR="000B68C4" w:rsidP="00E60227" w:rsidRDefault="000B68C4" w14:paraId="0EA9B29F" w14:textId="77777777">
            <w:pPr>
              <w:jc w:val="center"/>
              <w:rPr>
                <w:sz w:val="22"/>
              </w:rPr>
            </w:pPr>
            <w:r w:rsidRPr="00E60227">
              <w:rPr>
                <w:sz w:val="22"/>
              </w:rPr>
              <w:t>ADDRESS</w:t>
            </w:r>
          </w:p>
        </w:tc>
      </w:tr>
      <w:tr w:rsidRPr="00E60227" w:rsidR="000B68C4" w:rsidTr="00217983" w14:paraId="062851D4" w14:textId="77777777">
        <w:trPr>
          <w:trHeight w:val="540"/>
        </w:trPr>
        <w:tc>
          <w:tcPr>
            <w:tcW w:w="2610" w:type="dxa"/>
            <w:vMerge/>
          </w:tcPr>
          <w:p w:rsidRPr="00E60227" w:rsidR="000B68C4" w:rsidP="000B68C4" w:rsidRDefault="000B68C4" w14:paraId="7CAA073A" w14:textId="77777777">
            <w:pPr>
              <w:rPr>
                <w:sz w:val="22"/>
              </w:rPr>
            </w:pPr>
          </w:p>
        </w:tc>
        <w:tc>
          <w:tcPr>
            <w:tcW w:w="3264" w:type="dxa"/>
          </w:tcPr>
          <w:p w:rsidRPr="00E60227" w:rsidR="000B68C4" w:rsidP="000B68C4" w:rsidRDefault="000B68C4" w14:paraId="21E42E7D" w14:textId="77777777">
            <w:pPr>
              <w:rPr>
                <w:sz w:val="22"/>
              </w:rPr>
            </w:pPr>
          </w:p>
        </w:tc>
        <w:tc>
          <w:tcPr>
            <w:tcW w:w="3594" w:type="dxa"/>
          </w:tcPr>
          <w:p w:rsidRPr="00E60227" w:rsidR="000B68C4" w:rsidP="000B68C4" w:rsidRDefault="000B68C4" w14:paraId="49D832F9" w14:textId="77777777">
            <w:pPr>
              <w:rPr>
                <w:sz w:val="22"/>
              </w:rPr>
            </w:pPr>
          </w:p>
        </w:tc>
      </w:tr>
      <w:tr w:rsidRPr="00E60227" w:rsidR="000B68C4" w:rsidTr="00217983" w14:paraId="55EFF191" w14:textId="77777777">
        <w:tc>
          <w:tcPr>
            <w:tcW w:w="2610" w:type="dxa"/>
          </w:tcPr>
          <w:p w:rsidRPr="00E60227" w:rsidR="000B68C4" w:rsidP="00E60227" w:rsidRDefault="00E60227" w14:paraId="53D7DD8C" w14:textId="77777777">
            <w:pPr>
              <w:numPr>
                <w:ilvl w:val="0"/>
                <w:numId w:val="1"/>
              </w:numPr>
              <w:jc w:val="left"/>
              <w:rPr>
                <w:sz w:val="22"/>
              </w:rPr>
            </w:pPr>
            <w:r>
              <w:rPr>
                <w:sz w:val="22"/>
              </w:rPr>
              <w:t xml:space="preserve"> </w:t>
            </w:r>
            <w:r w:rsidRPr="00E60227" w:rsidR="000B68C4">
              <w:rPr>
                <w:sz w:val="22"/>
              </w:rPr>
              <w:t>*Consignee (if other than Vendee or User)</w:t>
            </w:r>
            <w:r w:rsidRPr="00E60227" w:rsidR="00565027">
              <w:rPr>
                <w:sz w:val="22"/>
              </w:rPr>
              <w:t>:</w:t>
            </w:r>
          </w:p>
        </w:tc>
        <w:tc>
          <w:tcPr>
            <w:tcW w:w="3264" w:type="dxa"/>
          </w:tcPr>
          <w:p w:rsidRPr="00E60227" w:rsidR="000B68C4" w:rsidP="000B68C4" w:rsidRDefault="000B68C4" w14:paraId="1B5B3228" w14:textId="77777777">
            <w:pPr>
              <w:rPr>
                <w:sz w:val="22"/>
              </w:rPr>
            </w:pPr>
          </w:p>
        </w:tc>
        <w:tc>
          <w:tcPr>
            <w:tcW w:w="3594" w:type="dxa"/>
          </w:tcPr>
          <w:p w:rsidRPr="00E60227" w:rsidR="000B68C4" w:rsidP="000B68C4" w:rsidRDefault="000B68C4" w14:paraId="149FEA65" w14:textId="77777777">
            <w:pPr>
              <w:rPr>
                <w:sz w:val="22"/>
              </w:rPr>
            </w:pPr>
          </w:p>
        </w:tc>
      </w:tr>
      <w:tr w:rsidRPr="00E60227" w:rsidR="000B68C4" w:rsidTr="00217983" w14:paraId="46CB423F" w14:textId="77777777">
        <w:tc>
          <w:tcPr>
            <w:tcW w:w="2610" w:type="dxa"/>
            <w:tcBorders>
              <w:bottom w:val="single" w:color="auto" w:sz="4" w:space="0"/>
            </w:tcBorders>
          </w:tcPr>
          <w:p w:rsidRPr="00E60227" w:rsidR="000B68C4" w:rsidP="00177D8F" w:rsidRDefault="000B68C4" w14:paraId="71132F73" w14:textId="77777777">
            <w:pPr>
              <w:numPr>
                <w:ilvl w:val="0"/>
                <w:numId w:val="1"/>
              </w:numPr>
              <w:jc w:val="left"/>
              <w:rPr>
                <w:sz w:val="22"/>
              </w:rPr>
            </w:pPr>
            <w:r w:rsidRPr="00E60227">
              <w:rPr>
                <w:sz w:val="22"/>
              </w:rPr>
              <w:t>*User, Manufacturer,</w:t>
            </w:r>
          </w:p>
          <w:p w:rsidRPr="00E60227" w:rsidR="000B68C4" w:rsidP="00177D8F" w:rsidRDefault="000B68C4" w14:paraId="08103E93" w14:textId="77777777">
            <w:pPr>
              <w:jc w:val="left"/>
              <w:rPr>
                <w:sz w:val="22"/>
              </w:rPr>
            </w:pPr>
            <w:r w:rsidRPr="00E60227">
              <w:rPr>
                <w:sz w:val="22"/>
              </w:rPr>
              <w:t>or Converter (if other than above):</w:t>
            </w:r>
          </w:p>
        </w:tc>
        <w:tc>
          <w:tcPr>
            <w:tcW w:w="3264" w:type="dxa"/>
            <w:tcBorders>
              <w:bottom w:val="single" w:color="auto" w:sz="4" w:space="0"/>
            </w:tcBorders>
          </w:tcPr>
          <w:p w:rsidRPr="00E60227" w:rsidR="000B68C4" w:rsidP="000B68C4" w:rsidRDefault="000B68C4" w14:paraId="723D412D" w14:textId="77777777">
            <w:pPr>
              <w:rPr>
                <w:sz w:val="22"/>
              </w:rPr>
            </w:pPr>
          </w:p>
        </w:tc>
        <w:tc>
          <w:tcPr>
            <w:tcW w:w="3594" w:type="dxa"/>
            <w:tcBorders>
              <w:bottom w:val="single" w:color="auto" w:sz="4" w:space="0"/>
            </w:tcBorders>
          </w:tcPr>
          <w:p w:rsidRPr="00E60227" w:rsidR="000B68C4" w:rsidP="000B68C4" w:rsidRDefault="000B68C4" w14:paraId="32FA48E5" w14:textId="77777777">
            <w:pPr>
              <w:rPr>
                <w:sz w:val="22"/>
              </w:rPr>
            </w:pPr>
          </w:p>
        </w:tc>
      </w:tr>
      <w:tr w:rsidRPr="00E60227" w:rsidR="001B29E5" w:rsidTr="00217983" w14:paraId="44CD9242" w14:textId="77777777">
        <w:tc>
          <w:tcPr>
            <w:tcW w:w="2610" w:type="dxa"/>
            <w:tcBorders>
              <w:bottom w:val="single" w:color="auto" w:sz="4" w:space="0"/>
              <w:right w:val="nil"/>
            </w:tcBorders>
          </w:tcPr>
          <w:p w:rsidRPr="00E60227" w:rsidR="00565027" w:rsidP="00E60227" w:rsidRDefault="00E60227" w14:paraId="7EB9488B" w14:textId="77777777">
            <w:pPr>
              <w:numPr>
                <w:ilvl w:val="0"/>
                <w:numId w:val="1"/>
              </w:numPr>
              <w:jc w:val="left"/>
              <w:rPr>
                <w:sz w:val="22"/>
              </w:rPr>
            </w:pPr>
            <w:r>
              <w:rPr>
                <w:sz w:val="22"/>
              </w:rPr>
              <w:t xml:space="preserve"> </w:t>
            </w:r>
            <w:r w:rsidRPr="00E60227" w:rsidR="00565027">
              <w:rPr>
                <w:sz w:val="22"/>
              </w:rPr>
              <w:t>*Product</w:t>
            </w:r>
            <w:r w:rsidRPr="00E60227" w:rsidR="00217983">
              <w:rPr>
                <w:sz w:val="22"/>
              </w:rPr>
              <w:t xml:space="preserve"> </w:t>
            </w:r>
            <w:r w:rsidRPr="00E60227" w:rsidR="00565027">
              <w:rPr>
                <w:sz w:val="22"/>
              </w:rPr>
              <w:t>or Usage:</w:t>
            </w:r>
          </w:p>
        </w:tc>
        <w:tc>
          <w:tcPr>
            <w:tcW w:w="3264" w:type="dxa"/>
            <w:tcBorders>
              <w:left w:val="nil"/>
              <w:bottom w:val="single" w:color="auto" w:sz="4" w:space="0"/>
              <w:right w:val="nil"/>
            </w:tcBorders>
          </w:tcPr>
          <w:p w:rsidRPr="00E60227" w:rsidR="000B68C4" w:rsidP="000B68C4" w:rsidRDefault="000B68C4" w14:paraId="2520FEA6" w14:textId="77777777">
            <w:pPr>
              <w:rPr>
                <w:sz w:val="22"/>
              </w:rPr>
            </w:pPr>
          </w:p>
        </w:tc>
        <w:tc>
          <w:tcPr>
            <w:tcW w:w="3594" w:type="dxa"/>
            <w:tcBorders>
              <w:left w:val="nil"/>
              <w:bottom w:val="single" w:color="auto" w:sz="4" w:space="0"/>
            </w:tcBorders>
          </w:tcPr>
          <w:p w:rsidRPr="00E60227" w:rsidR="00565027" w:rsidP="00177D8F" w:rsidRDefault="00E60227" w14:paraId="7DD5ED68" w14:textId="77777777">
            <w:pPr>
              <w:numPr>
                <w:ilvl w:val="0"/>
                <w:numId w:val="1"/>
              </w:numPr>
              <w:jc w:val="left"/>
              <w:rPr>
                <w:sz w:val="22"/>
              </w:rPr>
            </w:pPr>
            <w:r>
              <w:rPr>
                <w:sz w:val="22"/>
              </w:rPr>
              <w:t xml:space="preserve"> </w:t>
            </w:r>
            <w:r w:rsidRPr="00E60227" w:rsidR="00565027">
              <w:rPr>
                <w:sz w:val="22"/>
              </w:rPr>
              <w:t>Period of</w:t>
            </w:r>
          </w:p>
          <w:p w:rsidRPr="00E60227" w:rsidR="00565027" w:rsidP="00177D8F" w:rsidRDefault="00565027" w14:paraId="1301BD73" w14:textId="77777777">
            <w:pPr>
              <w:jc w:val="left"/>
              <w:rPr>
                <w:sz w:val="22"/>
              </w:rPr>
            </w:pPr>
            <w:r w:rsidRPr="00E60227">
              <w:rPr>
                <w:sz w:val="22"/>
              </w:rPr>
              <w:t>Shipment:</w:t>
            </w:r>
          </w:p>
        </w:tc>
      </w:tr>
      <w:tr w:rsidRPr="00E60227" w:rsidR="00E60227" w:rsidTr="00F909C1" w14:paraId="32CC753F" w14:textId="77777777">
        <w:tc>
          <w:tcPr>
            <w:tcW w:w="5874" w:type="dxa"/>
            <w:gridSpan w:val="2"/>
            <w:tcBorders>
              <w:right w:val="nil"/>
            </w:tcBorders>
          </w:tcPr>
          <w:p w:rsidR="00E60227" w:rsidP="00E60227" w:rsidRDefault="00E60227" w14:paraId="1D70D1A2" w14:textId="77777777">
            <w:pPr>
              <w:numPr>
                <w:ilvl w:val="0"/>
                <w:numId w:val="1"/>
              </w:numPr>
              <w:rPr>
                <w:sz w:val="22"/>
              </w:rPr>
            </w:pPr>
            <w:r w:rsidRPr="00E60227">
              <w:rPr>
                <w:sz w:val="22"/>
              </w:rPr>
              <w:t>Weight to be shipped:</w:t>
            </w:r>
            <w:r>
              <w:rPr>
                <w:sz w:val="22"/>
              </w:rPr>
              <w:t xml:space="preserve"> </w:t>
            </w:r>
          </w:p>
          <w:p w:rsidRPr="00E60227" w:rsidR="00E60227" w:rsidP="00E60227" w:rsidRDefault="00E60227" w14:paraId="0C26FDA9" w14:textId="77777777">
            <w:pPr>
              <w:ind w:left="360"/>
              <w:rPr>
                <w:sz w:val="22"/>
              </w:rPr>
            </w:pPr>
          </w:p>
        </w:tc>
        <w:tc>
          <w:tcPr>
            <w:tcW w:w="3594" w:type="dxa"/>
            <w:tcBorders>
              <w:left w:val="nil"/>
            </w:tcBorders>
          </w:tcPr>
          <w:p w:rsidRPr="00E60227" w:rsidR="00E60227" w:rsidP="00177D8F" w:rsidRDefault="00E60227" w14:paraId="4EDDECA6" w14:textId="77777777">
            <w:pPr>
              <w:jc w:val="left"/>
              <w:rPr>
                <w:sz w:val="22"/>
              </w:rPr>
            </w:pPr>
          </w:p>
        </w:tc>
      </w:tr>
    </w:tbl>
    <w:p w:rsidRPr="00565027" w:rsidR="00E60227" w:rsidP="00ED3590" w:rsidRDefault="00E60227" w14:paraId="68BABCAA" w14:textId="77777777">
      <w:pPr>
        <w:jc w:val="left"/>
        <w:rPr>
          <w:sz w:val="20"/>
          <w:szCs w:val="20"/>
        </w:rPr>
      </w:pPr>
      <w:r w:rsidRPr="00565027">
        <w:rPr>
          <w:sz w:val="20"/>
          <w:szCs w:val="20"/>
        </w:rPr>
        <w:t>* If unknown the handler shal</w:t>
      </w:r>
      <w:r>
        <w:rPr>
          <w:sz w:val="20"/>
          <w:szCs w:val="20"/>
        </w:rPr>
        <w:t>l so indicate i</w:t>
      </w:r>
      <w:r w:rsidRPr="00565027">
        <w:rPr>
          <w:sz w:val="20"/>
          <w:szCs w:val="20"/>
        </w:rPr>
        <w:t>n the applicable spaces, in which case approval shall be withheld pending vendee or</w:t>
      </w:r>
      <w:r>
        <w:t xml:space="preserve"> </w:t>
      </w:r>
      <w:r w:rsidRPr="00565027">
        <w:rPr>
          <w:sz w:val="20"/>
          <w:szCs w:val="20"/>
        </w:rPr>
        <w:t xml:space="preserve">consignee furnishing the missing information to the Committee. </w:t>
      </w:r>
    </w:p>
    <w:p w:rsidRPr="00E60227" w:rsidR="000B68C4" w:rsidP="00ED3590" w:rsidRDefault="000B68C4" w14:paraId="5EE4AA3C" w14:textId="77777777">
      <w:pPr>
        <w:jc w:val="left"/>
        <w:rPr>
          <w:sz w:val="22"/>
          <w:u w:val="single"/>
        </w:rPr>
      </w:pPr>
    </w:p>
    <w:p w:rsidRPr="00E60227" w:rsidR="00242397" w:rsidP="00ED3590" w:rsidRDefault="00242397" w14:paraId="0563AFE5" w14:textId="77777777">
      <w:pPr>
        <w:jc w:val="left"/>
        <w:rPr>
          <w:sz w:val="22"/>
        </w:rPr>
      </w:pPr>
      <w:r w:rsidRPr="00E60227">
        <w:rPr>
          <w:sz w:val="22"/>
        </w:rPr>
        <w:t xml:space="preserve">The undersigned hereby applies for permission to dispose of substandard prunes, to the person, and for the usage shown below: </w:t>
      </w:r>
    </w:p>
    <w:p w:rsidRPr="00E60227" w:rsidR="00242397" w:rsidP="00ED3590" w:rsidRDefault="00242397" w14:paraId="5C5F8D7A" w14:textId="77777777">
      <w:pPr>
        <w:jc w:val="left"/>
        <w:rPr>
          <w:sz w:val="22"/>
        </w:rPr>
      </w:pPr>
    </w:p>
    <w:p w:rsidR="00565027" w:rsidP="00ED3590" w:rsidRDefault="00242397" w14:paraId="58C35E61" w14:textId="77777777">
      <w:pPr>
        <w:jc w:val="left"/>
        <w:rPr>
          <w:sz w:val="22"/>
        </w:rPr>
      </w:pPr>
      <w:r w:rsidRPr="00E60227">
        <w:rPr>
          <w:sz w:val="22"/>
        </w:rPr>
        <w:t xml:space="preserve">The undersigned agrees, in the event this application is for a nonhuman use, to supply the </w:t>
      </w:r>
      <w:r w:rsidR="00E60227">
        <w:rPr>
          <w:sz w:val="22"/>
        </w:rPr>
        <w:t>Prune Marketing Committee (</w:t>
      </w:r>
      <w:r w:rsidRPr="00E60227">
        <w:rPr>
          <w:sz w:val="22"/>
        </w:rPr>
        <w:t>Committee</w:t>
      </w:r>
      <w:r w:rsidR="00E60227">
        <w:rPr>
          <w:sz w:val="22"/>
        </w:rPr>
        <w:t>)</w:t>
      </w:r>
      <w:r w:rsidRPr="00E60227">
        <w:rPr>
          <w:sz w:val="22"/>
        </w:rPr>
        <w:t xml:space="preserve"> with a legible copy of the applicable bill of lading or truck receipt pertaining to each shipment of substandard prunes to be made under the Committee</w:t>
      </w:r>
      <w:r w:rsidR="00E60227">
        <w:rPr>
          <w:sz w:val="22"/>
        </w:rPr>
        <w:t>’</w:t>
      </w:r>
      <w:r w:rsidRPr="00E60227">
        <w:rPr>
          <w:sz w:val="22"/>
        </w:rPr>
        <w:t xml:space="preserve">s approval number granted upon this application, and to submit or cause to be submitted to the Committee a </w:t>
      </w:r>
      <w:r w:rsidRPr="00E60227" w:rsidR="00217983">
        <w:rPr>
          <w:sz w:val="22"/>
        </w:rPr>
        <w:t>“</w:t>
      </w:r>
      <w:r w:rsidRPr="00E60227">
        <w:rPr>
          <w:sz w:val="22"/>
        </w:rPr>
        <w:t>Converter</w:t>
      </w:r>
      <w:r w:rsidRPr="00E60227" w:rsidR="00217983">
        <w:rPr>
          <w:sz w:val="22"/>
        </w:rPr>
        <w:t>’</w:t>
      </w:r>
      <w:r w:rsidRPr="00E60227">
        <w:rPr>
          <w:sz w:val="22"/>
        </w:rPr>
        <w:t>s Certificate of Nonhuman Usage of Dried Prunes</w:t>
      </w:r>
      <w:r w:rsidRPr="00E60227" w:rsidR="00217983">
        <w:rPr>
          <w:sz w:val="22"/>
        </w:rPr>
        <w:t>,”</w:t>
      </w:r>
      <w:r w:rsidR="00E60227">
        <w:rPr>
          <w:sz w:val="22"/>
        </w:rPr>
        <w:t xml:space="preserve"> f</w:t>
      </w:r>
      <w:r w:rsidRPr="00E60227">
        <w:rPr>
          <w:sz w:val="22"/>
        </w:rPr>
        <w:t>orm PMC 2.7</w:t>
      </w:r>
      <w:r w:rsidR="00E60227">
        <w:rPr>
          <w:sz w:val="22"/>
        </w:rPr>
        <w:t>,</w:t>
      </w:r>
      <w:r w:rsidRPr="00E60227">
        <w:rPr>
          <w:sz w:val="22"/>
        </w:rPr>
        <w:t xml:space="preserve"> promptly upon completion of usage of the prunes. </w:t>
      </w:r>
    </w:p>
    <w:p w:rsidRPr="00E60227" w:rsidR="00E60227" w:rsidP="00E60227" w:rsidRDefault="00E60227" w14:paraId="5A08A001" w14:textId="77777777">
      <w:pPr>
        <w:rPr>
          <w:sz w:val="22"/>
        </w:rPr>
      </w:pPr>
    </w:p>
    <w:p w:rsidR="00565027" w:rsidP="00217983" w:rsidRDefault="00E60227" w14:paraId="17EF2E5E" w14:textId="77777777">
      <w:pPr>
        <w:jc w:val="left"/>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_______________________________________</w:t>
      </w:r>
    </w:p>
    <w:p w:rsidR="00E60227" w:rsidP="00217983" w:rsidRDefault="00E60227" w14:paraId="4DD2841F" w14:textId="77777777">
      <w:pPr>
        <w:jc w:val="left"/>
        <w:rPr>
          <w:sz w:val="22"/>
        </w:rPr>
      </w:pPr>
      <w:r>
        <w:rPr>
          <w:sz w:val="22"/>
        </w:rPr>
        <w:tab/>
      </w:r>
      <w:r>
        <w:rPr>
          <w:sz w:val="22"/>
        </w:rPr>
        <w:tab/>
      </w:r>
      <w:r>
        <w:rPr>
          <w:sz w:val="22"/>
        </w:rPr>
        <w:tab/>
      </w:r>
      <w:r>
        <w:rPr>
          <w:sz w:val="22"/>
        </w:rPr>
        <w:tab/>
      </w:r>
      <w:r>
        <w:rPr>
          <w:sz w:val="22"/>
        </w:rPr>
        <w:tab/>
      </w:r>
      <w:r>
        <w:rPr>
          <w:sz w:val="22"/>
        </w:rPr>
        <w:tab/>
      </w:r>
      <w:r>
        <w:rPr>
          <w:sz w:val="22"/>
        </w:rPr>
        <w:tab/>
        <w:t>Handler</w:t>
      </w:r>
    </w:p>
    <w:p w:rsidR="00E60227" w:rsidP="00217983" w:rsidRDefault="00E60227" w14:paraId="2023670A" w14:textId="77777777">
      <w:pPr>
        <w:jc w:val="left"/>
        <w:rPr>
          <w:sz w:val="22"/>
        </w:rPr>
      </w:pPr>
    </w:p>
    <w:p w:rsidR="00E60227" w:rsidP="00217983" w:rsidRDefault="00E60227" w14:paraId="0934B2F1" w14:textId="77777777">
      <w:pPr>
        <w:jc w:val="left"/>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_______________________________________</w:t>
      </w:r>
    </w:p>
    <w:p w:rsidR="00E60227" w:rsidP="00217983" w:rsidRDefault="00E60227" w14:paraId="45C185E4" w14:textId="77777777">
      <w:pPr>
        <w:jc w:val="left"/>
        <w:rPr>
          <w:sz w:val="22"/>
        </w:rPr>
      </w:pPr>
      <w:r>
        <w:rPr>
          <w:sz w:val="22"/>
        </w:rPr>
        <w:tab/>
      </w:r>
      <w:r>
        <w:rPr>
          <w:sz w:val="22"/>
        </w:rPr>
        <w:tab/>
      </w:r>
      <w:r>
        <w:rPr>
          <w:sz w:val="22"/>
        </w:rPr>
        <w:tab/>
      </w:r>
      <w:r>
        <w:rPr>
          <w:sz w:val="22"/>
        </w:rPr>
        <w:tab/>
      </w:r>
      <w:r>
        <w:rPr>
          <w:sz w:val="22"/>
        </w:rPr>
        <w:tab/>
      </w:r>
      <w:r>
        <w:rPr>
          <w:sz w:val="22"/>
        </w:rPr>
        <w:tab/>
      </w:r>
      <w:r>
        <w:rPr>
          <w:sz w:val="22"/>
        </w:rPr>
        <w:tab/>
        <w:t>Authorized Signature</w:t>
      </w:r>
    </w:p>
    <w:p w:rsidR="00E60227" w:rsidP="00217983" w:rsidRDefault="00E60227" w14:paraId="2C3A5A77" w14:textId="77777777">
      <w:pPr>
        <w:jc w:val="left"/>
        <w:rPr>
          <w:sz w:val="22"/>
        </w:rPr>
      </w:pPr>
    </w:p>
    <w:p w:rsidR="00E60227" w:rsidP="00217983" w:rsidRDefault="00E60227" w14:paraId="55AD4A84" w14:textId="77777777">
      <w:pPr>
        <w:jc w:val="left"/>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_______________________________________</w:t>
      </w:r>
    </w:p>
    <w:p w:rsidR="004569EB" w:rsidP="004569EB" w:rsidRDefault="00E60227" w14:paraId="74108823" w14:textId="77777777">
      <w:pPr>
        <w:jc w:val="left"/>
        <w:rPr>
          <w:sz w:val="16"/>
          <w:szCs w:val="16"/>
        </w:rPr>
      </w:pPr>
      <w:r>
        <w:rPr>
          <w:sz w:val="22"/>
        </w:rPr>
        <w:tab/>
      </w:r>
      <w:r>
        <w:rPr>
          <w:sz w:val="22"/>
        </w:rPr>
        <w:tab/>
      </w:r>
      <w:r>
        <w:rPr>
          <w:sz w:val="22"/>
        </w:rPr>
        <w:tab/>
      </w:r>
      <w:r>
        <w:rPr>
          <w:sz w:val="22"/>
        </w:rPr>
        <w:tab/>
      </w:r>
      <w:r>
        <w:rPr>
          <w:sz w:val="22"/>
        </w:rPr>
        <w:tab/>
      </w:r>
      <w:r>
        <w:rPr>
          <w:sz w:val="22"/>
        </w:rPr>
        <w:tab/>
      </w:r>
      <w:r>
        <w:rPr>
          <w:sz w:val="22"/>
        </w:rPr>
        <w:tab/>
        <w:t>Title</w:t>
      </w:r>
      <w:r w:rsidRPr="004569EB" w:rsidR="004569EB">
        <w:rPr>
          <w:sz w:val="16"/>
          <w:szCs w:val="16"/>
        </w:rPr>
        <w:t xml:space="preserve"> </w:t>
      </w:r>
    </w:p>
    <w:p w:rsidR="004569EB" w:rsidP="004569EB" w:rsidRDefault="004569EB" w14:paraId="39438CEB" w14:textId="77777777">
      <w:pPr>
        <w:jc w:val="left"/>
        <w:rPr>
          <w:sz w:val="16"/>
          <w:szCs w:val="16"/>
        </w:rPr>
      </w:pPr>
    </w:p>
    <w:p w:rsidR="004569EB" w:rsidP="004569EB" w:rsidRDefault="004569EB" w14:paraId="6F81E3EB" w14:textId="77777777">
      <w:pPr>
        <w:jc w:val="left"/>
        <w:rPr>
          <w:sz w:val="16"/>
          <w:szCs w:val="16"/>
        </w:rPr>
      </w:pPr>
    </w:p>
    <w:p w:rsidR="004569EB" w:rsidP="004569EB" w:rsidRDefault="004569EB" w14:paraId="65119253" w14:textId="77777777">
      <w:pPr>
        <w:jc w:val="left"/>
        <w:rPr>
          <w:sz w:val="16"/>
          <w:szCs w:val="16"/>
        </w:rPr>
      </w:pPr>
    </w:p>
    <w:p w:rsidR="004569EB" w:rsidP="004569EB" w:rsidRDefault="004569EB" w14:paraId="6E275FFA" w14:textId="77777777">
      <w:pPr>
        <w:jc w:val="left"/>
        <w:rPr>
          <w:sz w:val="16"/>
          <w:szCs w:val="16"/>
        </w:rPr>
      </w:pPr>
    </w:p>
    <w:p w:rsidR="004569EB" w:rsidP="004569EB" w:rsidRDefault="004569EB" w14:paraId="7799F440" w14:textId="77777777">
      <w:pPr>
        <w:jc w:val="left"/>
        <w:rPr>
          <w:sz w:val="16"/>
          <w:szCs w:val="16"/>
        </w:rPr>
      </w:pPr>
    </w:p>
    <w:p w:rsidR="004569EB" w:rsidP="004569EB" w:rsidRDefault="004569EB" w14:paraId="683C33F5" w14:textId="77777777">
      <w:pPr>
        <w:jc w:val="left"/>
        <w:rPr>
          <w:sz w:val="16"/>
          <w:szCs w:val="16"/>
        </w:rPr>
      </w:pPr>
    </w:p>
    <w:p w:rsidR="004569EB" w:rsidP="004569EB" w:rsidRDefault="004569EB" w14:paraId="68A22FD1" w14:textId="77777777">
      <w:pPr>
        <w:jc w:val="left"/>
        <w:rPr>
          <w:sz w:val="16"/>
          <w:szCs w:val="16"/>
        </w:rPr>
      </w:pPr>
    </w:p>
    <w:p w:rsidR="004569EB" w:rsidP="004569EB" w:rsidRDefault="004569EB" w14:paraId="311161C2" w14:textId="77777777">
      <w:pPr>
        <w:jc w:val="left"/>
        <w:rPr>
          <w:sz w:val="16"/>
          <w:szCs w:val="16"/>
        </w:rPr>
      </w:pPr>
    </w:p>
    <w:p w:rsidR="004569EB" w:rsidP="004569EB" w:rsidRDefault="004569EB" w14:paraId="02E01A7C" w14:textId="77777777">
      <w:pPr>
        <w:jc w:val="left"/>
        <w:rPr>
          <w:sz w:val="16"/>
          <w:szCs w:val="16"/>
        </w:rPr>
      </w:pPr>
    </w:p>
    <w:p w:rsidRPr="00E60227" w:rsidR="004569EB" w:rsidP="004569EB" w:rsidRDefault="004569EB" w14:paraId="6A64B3B4" w14:textId="77777777">
      <w:pPr>
        <w:jc w:val="left"/>
        <w:rPr>
          <w:sz w:val="16"/>
          <w:szCs w:val="16"/>
        </w:rPr>
      </w:pPr>
      <w:r w:rsidRPr="00E6022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E60227" w:rsidR="00242397" w:rsidP="00ED3590" w:rsidRDefault="004569EB" w14:paraId="344EE420" w14:textId="77777777">
      <w:pPr>
        <w:jc w:val="left"/>
        <w:rPr>
          <w:sz w:val="22"/>
        </w:rPr>
      </w:pPr>
      <w:r>
        <w:rPr>
          <w:b/>
          <w:sz w:val="22"/>
        </w:rPr>
        <w:lastRenderedPageBreak/>
        <w:t>I</w:t>
      </w:r>
      <w:r w:rsidRPr="00E60227" w:rsidR="00242397">
        <w:rPr>
          <w:b/>
          <w:sz w:val="22"/>
        </w:rPr>
        <w:t>NSTRUCTIONS:</w:t>
      </w:r>
      <w:r w:rsidRPr="00E60227" w:rsidR="00177D8F">
        <w:rPr>
          <w:sz w:val="22"/>
        </w:rPr>
        <w:t xml:space="preserve"> </w:t>
      </w:r>
      <w:r w:rsidR="00E60227">
        <w:rPr>
          <w:sz w:val="22"/>
        </w:rPr>
        <w:t xml:space="preserve"> </w:t>
      </w:r>
      <w:r w:rsidRPr="00E60227" w:rsidR="00242397">
        <w:rPr>
          <w:sz w:val="22"/>
        </w:rPr>
        <w:t xml:space="preserve">Prior to making any shipment of the following qualities of prunes, handlers are required to file a written application on </w:t>
      </w:r>
      <w:r w:rsidR="00E60227">
        <w:rPr>
          <w:sz w:val="22"/>
        </w:rPr>
        <w:t>f</w:t>
      </w:r>
      <w:r w:rsidRPr="00E60227" w:rsidR="00242397">
        <w:rPr>
          <w:sz w:val="22"/>
        </w:rPr>
        <w:t>orm PMC 2.2 with the Committee for permission to make such shipment and receive th</w:t>
      </w:r>
      <w:r w:rsidR="00E60227">
        <w:rPr>
          <w:sz w:val="22"/>
        </w:rPr>
        <w:t>e Committee's approval thereof f</w:t>
      </w:r>
      <w:r w:rsidRPr="00E60227" w:rsidR="00242397">
        <w:rPr>
          <w:sz w:val="22"/>
        </w:rPr>
        <w:t xml:space="preserve">orm 2.3: </w:t>
      </w:r>
    </w:p>
    <w:p w:rsidRPr="00E60227" w:rsidR="00242397" w:rsidP="00ED3590" w:rsidRDefault="00242397" w14:paraId="51926109" w14:textId="77777777">
      <w:pPr>
        <w:jc w:val="left"/>
        <w:rPr>
          <w:sz w:val="22"/>
        </w:rPr>
      </w:pPr>
    </w:p>
    <w:p w:rsidRPr="00E60227" w:rsidR="00242397" w:rsidP="00ED3590" w:rsidRDefault="00242397" w14:paraId="77A1860F" w14:textId="77777777">
      <w:pPr>
        <w:jc w:val="left"/>
        <w:rPr>
          <w:sz w:val="22"/>
        </w:rPr>
      </w:pPr>
      <w:r w:rsidRPr="00E60227">
        <w:rPr>
          <w:sz w:val="22"/>
          <w:u w:val="single"/>
        </w:rPr>
        <w:t>Quality of Prunes</w:t>
      </w:r>
      <w:r w:rsidRPr="00E60227">
        <w:rPr>
          <w:sz w:val="22"/>
        </w:rPr>
        <w:t xml:space="preserve"> </w:t>
      </w:r>
      <w:r w:rsidRPr="00E60227">
        <w:rPr>
          <w:sz w:val="22"/>
        </w:rPr>
        <w:tab/>
      </w:r>
      <w:r w:rsidRPr="00E60227">
        <w:rPr>
          <w:sz w:val="22"/>
        </w:rPr>
        <w:tab/>
      </w:r>
      <w:r w:rsidRPr="00E60227">
        <w:rPr>
          <w:sz w:val="22"/>
        </w:rPr>
        <w:tab/>
      </w:r>
      <w:r w:rsidRPr="00E60227">
        <w:rPr>
          <w:sz w:val="22"/>
        </w:rPr>
        <w:tab/>
      </w:r>
      <w:r w:rsidRPr="00E60227">
        <w:rPr>
          <w:sz w:val="22"/>
        </w:rPr>
        <w:tab/>
      </w:r>
      <w:r w:rsidRPr="00E60227">
        <w:rPr>
          <w:sz w:val="22"/>
          <w:u w:val="single"/>
        </w:rPr>
        <w:t>Permissible Uses</w:t>
      </w:r>
      <w:r w:rsidRPr="00E60227">
        <w:rPr>
          <w:sz w:val="22"/>
        </w:rPr>
        <w:t xml:space="preserve"> </w:t>
      </w:r>
    </w:p>
    <w:p w:rsidRPr="00E60227" w:rsidR="00242397" w:rsidP="00ED3590" w:rsidRDefault="00242397" w14:paraId="0AA0EDF4" w14:textId="77777777">
      <w:pPr>
        <w:jc w:val="left"/>
        <w:rPr>
          <w:sz w:val="22"/>
        </w:rPr>
      </w:pPr>
      <w:r w:rsidRPr="00E60227">
        <w:rPr>
          <w:sz w:val="22"/>
        </w:rPr>
        <w:t>NON-FRENCH prunes failing to</w:t>
      </w:r>
      <w:r w:rsidRPr="00E60227" w:rsidR="00177D8F">
        <w:rPr>
          <w:sz w:val="22"/>
        </w:rPr>
        <w:t xml:space="preserve"> meet size</w:t>
      </w:r>
      <w:r w:rsidRPr="00E60227">
        <w:rPr>
          <w:sz w:val="22"/>
        </w:rPr>
        <w:tab/>
      </w:r>
      <w:r w:rsidRPr="00E60227">
        <w:rPr>
          <w:sz w:val="22"/>
        </w:rPr>
        <w:tab/>
        <w:t>Any uses in which they lose form</w:t>
      </w:r>
      <w:r w:rsidRPr="00E60227" w:rsidR="00177D8F">
        <w:rPr>
          <w:sz w:val="22"/>
        </w:rPr>
        <w:t xml:space="preserve"> and character</w:t>
      </w:r>
      <w:r w:rsidRPr="00E60227">
        <w:rPr>
          <w:sz w:val="22"/>
        </w:rPr>
        <w:t xml:space="preserve"> </w:t>
      </w:r>
    </w:p>
    <w:p w:rsidRPr="00E60227" w:rsidR="00242397" w:rsidP="00ED3590" w:rsidRDefault="00242397" w14:paraId="5AD570E5" w14:textId="77777777">
      <w:pPr>
        <w:jc w:val="left"/>
        <w:rPr>
          <w:sz w:val="22"/>
        </w:rPr>
      </w:pPr>
      <w:r w:rsidRPr="00E60227">
        <w:rPr>
          <w:sz w:val="22"/>
        </w:rPr>
        <w:t>tolerances o</w:t>
      </w:r>
      <w:r w:rsidRPr="00E60227" w:rsidR="00177D8F">
        <w:rPr>
          <w:sz w:val="22"/>
        </w:rPr>
        <w:t xml:space="preserve">f </w:t>
      </w:r>
      <w:r w:rsidRPr="00E60227">
        <w:rPr>
          <w:sz w:val="22"/>
        </w:rPr>
        <w:t>§</w:t>
      </w:r>
      <w:r w:rsidR="00E60227">
        <w:rPr>
          <w:sz w:val="22"/>
        </w:rPr>
        <w:t xml:space="preserve"> </w:t>
      </w:r>
      <w:r w:rsidRPr="00E60227">
        <w:rPr>
          <w:sz w:val="22"/>
        </w:rPr>
        <w:t xml:space="preserve">993.150 </w:t>
      </w:r>
      <w:r w:rsidRPr="00E60227" w:rsidR="00177D8F">
        <w:rPr>
          <w:sz w:val="22"/>
        </w:rPr>
        <w:t>(d). See below.</w:t>
      </w:r>
      <w:r w:rsidRPr="00E60227">
        <w:rPr>
          <w:sz w:val="22"/>
        </w:rPr>
        <w:tab/>
      </w:r>
      <w:r w:rsidRPr="00E60227">
        <w:rPr>
          <w:sz w:val="22"/>
        </w:rPr>
        <w:tab/>
      </w:r>
      <w:r w:rsidRPr="00E60227">
        <w:rPr>
          <w:sz w:val="22"/>
        </w:rPr>
        <w:tab/>
        <w:t xml:space="preserve">as prunes by conversion prior to consumption. </w:t>
      </w:r>
    </w:p>
    <w:p w:rsidRPr="00E60227" w:rsidR="00242397" w:rsidP="00ED3590" w:rsidRDefault="00242397" w14:paraId="4958F76E" w14:textId="77777777">
      <w:pPr>
        <w:jc w:val="left"/>
        <w:rPr>
          <w:sz w:val="22"/>
        </w:rPr>
      </w:pPr>
    </w:p>
    <w:p w:rsidRPr="00E60227" w:rsidR="00242397" w:rsidP="00ED3590" w:rsidRDefault="00242397" w14:paraId="75190290" w14:textId="77777777">
      <w:pPr>
        <w:jc w:val="left"/>
        <w:rPr>
          <w:sz w:val="22"/>
        </w:rPr>
      </w:pPr>
      <w:r w:rsidRPr="00E60227">
        <w:rPr>
          <w:sz w:val="22"/>
        </w:rPr>
        <w:t>SUBSTANDARD prunes not within</w:t>
      </w:r>
      <w:r w:rsidRPr="00E60227" w:rsidR="00177D8F">
        <w:rPr>
          <w:sz w:val="22"/>
        </w:rPr>
        <w:t xml:space="preserve"> the</w:t>
      </w:r>
      <w:r w:rsidRPr="00E60227">
        <w:rPr>
          <w:sz w:val="22"/>
        </w:rPr>
        <w:t xml:space="preserve"> </w:t>
      </w:r>
      <w:r w:rsidRPr="00E60227">
        <w:rPr>
          <w:sz w:val="22"/>
        </w:rPr>
        <w:tab/>
      </w:r>
      <w:r w:rsidRPr="00E60227">
        <w:rPr>
          <w:sz w:val="22"/>
        </w:rPr>
        <w:tab/>
      </w:r>
      <w:r w:rsidRPr="00E60227">
        <w:rPr>
          <w:sz w:val="22"/>
        </w:rPr>
        <w:tab/>
        <w:t xml:space="preserve">Same as above. </w:t>
      </w:r>
    </w:p>
    <w:p w:rsidRPr="00E60227" w:rsidR="00242397" w:rsidP="00ED3590" w:rsidRDefault="00242397" w14:paraId="5B8432B7" w14:textId="77777777">
      <w:pPr>
        <w:jc w:val="left"/>
        <w:rPr>
          <w:sz w:val="22"/>
        </w:rPr>
      </w:pPr>
      <w:r w:rsidRPr="00E60227">
        <w:rPr>
          <w:sz w:val="22"/>
        </w:rPr>
        <w:t>maximum tolerances for the defects</w:t>
      </w:r>
      <w:r w:rsidRPr="00E60227" w:rsidR="00177D8F">
        <w:rPr>
          <w:sz w:val="22"/>
        </w:rPr>
        <w:t xml:space="preserve"> mold,</w:t>
      </w:r>
      <w:r w:rsidRPr="00E60227">
        <w:rPr>
          <w:sz w:val="22"/>
        </w:rPr>
        <w:t xml:space="preserve"> </w:t>
      </w:r>
    </w:p>
    <w:p w:rsidRPr="00E60227" w:rsidR="00242397" w:rsidP="00ED3590" w:rsidRDefault="00242397" w14:paraId="799A7F9A" w14:textId="77777777">
      <w:pPr>
        <w:jc w:val="left"/>
        <w:rPr>
          <w:sz w:val="22"/>
        </w:rPr>
      </w:pPr>
      <w:r w:rsidRPr="00E60227">
        <w:rPr>
          <w:sz w:val="22"/>
        </w:rPr>
        <w:t xml:space="preserve">imbedded dirt, insect infestation, and decay. </w:t>
      </w:r>
    </w:p>
    <w:p w:rsidRPr="00E60227" w:rsidR="00242397" w:rsidP="00ED3590" w:rsidRDefault="00242397" w14:paraId="371E3114" w14:textId="77777777">
      <w:pPr>
        <w:jc w:val="left"/>
        <w:rPr>
          <w:sz w:val="22"/>
        </w:rPr>
      </w:pPr>
    </w:p>
    <w:p w:rsidRPr="00E60227" w:rsidR="00242397" w:rsidP="00ED3590" w:rsidRDefault="00242397" w14:paraId="1C4DA91B" w14:textId="77777777">
      <w:pPr>
        <w:jc w:val="left"/>
        <w:rPr>
          <w:sz w:val="22"/>
        </w:rPr>
      </w:pPr>
      <w:r w:rsidRPr="00E60227">
        <w:rPr>
          <w:sz w:val="22"/>
        </w:rPr>
        <w:t>SUBSTANDARD prunes not within</w:t>
      </w:r>
      <w:r w:rsidRPr="00E60227" w:rsidR="00177D8F">
        <w:rPr>
          <w:sz w:val="22"/>
        </w:rPr>
        <w:t xml:space="preserve"> the</w:t>
      </w:r>
      <w:r w:rsidRPr="00E60227">
        <w:rPr>
          <w:sz w:val="22"/>
        </w:rPr>
        <w:t xml:space="preserve"> </w:t>
      </w:r>
      <w:r w:rsidRPr="00E60227">
        <w:rPr>
          <w:sz w:val="22"/>
        </w:rPr>
        <w:tab/>
      </w:r>
      <w:r w:rsidRPr="00E60227">
        <w:rPr>
          <w:sz w:val="22"/>
        </w:rPr>
        <w:tab/>
      </w:r>
      <w:r w:rsidRPr="00E60227">
        <w:rPr>
          <w:sz w:val="22"/>
        </w:rPr>
        <w:tab/>
        <w:t>Nonhuman usage only</w:t>
      </w:r>
      <w:r w:rsidR="00E60227">
        <w:rPr>
          <w:sz w:val="22"/>
        </w:rPr>
        <w:t>-</w:t>
      </w:r>
      <w:r w:rsidRPr="00E60227">
        <w:rPr>
          <w:sz w:val="22"/>
        </w:rPr>
        <w:t>-See §</w:t>
      </w:r>
      <w:r w:rsidR="00E60227">
        <w:rPr>
          <w:sz w:val="22"/>
        </w:rPr>
        <w:t xml:space="preserve"> </w:t>
      </w:r>
      <w:r w:rsidRPr="00E60227">
        <w:rPr>
          <w:sz w:val="22"/>
        </w:rPr>
        <w:t xml:space="preserve">993.108 </w:t>
      </w:r>
    </w:p>
    <w:p w:rsidRPr="00E60227" w:rsidR="00242397" w:rsidP="00ED3590" w:rsidRDefault="00242397" w14:paraId="6A5D264E" w14:textId="77777777">
      <w:pPr>
        <w:jc w:val="left"/>
        <w:rPr>
          <w:sz w:val="22"/>
        </w:rPr>
      </w:pPr>
      <w:r w:rsidRPr="00E60227">
        <w:rPr>
          <w:sz w:val="22"/>
        </w:rPr>
        <w:t xml:space="preserve">maximum tolerances for the defects </w:t>
      </w:r>
      <w:r w:rsidRPr="00E60227" w:rsidR="00177D8F">
        <w:rPr>
          <w:sz w:val="22"/>
        </w:rPr>
        <w:t>mold,</w:t>
      </w:r>
      <w:r w:rsidR="00E60227">
        <w:rPr>
          <w:sz w:val="22"/>
        </w:rPr>
        <w:tab/>
      </w:r>
      <w:r w:rsidR="00E60227">
        <w:rPr>
          <w:sz w:val="22"/>
        </w:rPr>
        <w:tab/>
        <w:t>for the definition of a “</w:t>
      </w:r>
      <w:r w:rsidRPr="00E60227">
        <w:rPr>
          <w:sz w:val="22"/>
        </w:rPr>
        <w:t xml:space="preserve">nonhuman </w:t>
      </w:r>
    </w:p>
    <w:p w:rsidRPr="00E60227" w:rsidR="00242397" w:rsidP="00ED3590" w:rsidRDefault="00E60227" w14:paraId="129372B4" w14:textId="77777777">
      <w:pPr>
        <w:jc w:val="left"/>
        <w:rPr>
          <w:sz w:val="22"/>
        </w:rPr>
      </w:pPr>
      <w:r>
        <w:rPr>
          <w:sz w:val="22"/>
        </w:rPr>
        <w:t>imbedded dirt,</w:t>
      </w:r>
      <w:r w:rsidRPr="00E60227" w:rsidR="00242397">
        <w:rPr>
          <w:sz w:val="22"/>
        </w:rPr>
        <w:t xml:space="preserve"> insect infestation, </w:t>
      </w:r>
      <w:r w:rsidRPr="00E60227" w:rsidR="00177D8F">
        <w:rPr>
          <w:sz w:val="22"/>
        </w:rPr>
        <w:t>and decay.</w:t>
      </w:r>
      <w:r w:rsidRPr="00E60227" w:rsidR="00242397">
        <w:rPr>
          <w:sz w:val="22"/>
        </w:rPr>
        <w:tab/>
      </w:r>
      <w:r w:rsidRPr="00E60227" w:rsidR="00242397">
        <w:rPr>
          <w:sz w:val="22"/>
        </w:rPr>
        <w:tab/>
        <w:t>consumption outlet</w:t>
      </w:r>
      <w:r>
        <w:rPr>
          <w:sz w:val="22"/>
        </w:rPr>
        <w:t>.”</w:t>
      </w:r>
    </w:p>
    <w:p w:rsidRPr="00E60227" w:rsidR="00242397" w:rsidP="00ED3590" w:rsidRDefault="00242397" w14:paraId="3DA41A3D" w14:textId="77777777">
      <w:pPr>
        <w:jc w:val="left"/>
        <w:rPr>
          <w:sz w:val="22"/>
        </w:rPr>
      </w:pPr>
    </w:p>
    <w:p w:rsidRPr="00E60227" w:rsidR="00242397" w:rsidP="00ED3590" w:rsidRDefault="00242397" w14:paraId="5B8F6E80" w14:textId="77777777">
      <w:pPr>
        <w:jc w:val="left"/>
        <w:rPr>
          <w:sz w:val="22"/>
        </w:rPr>
      </w:pPr>
      <w:r w:rsidRPr="00E60227">
        <w:rPr>
          <w:sz w:val="22"/>
        </w:rPr>
        <w:t>Approval will not be granted for the pitting of substandard prunes. Application for the maceration of substandard prunes into a product wherein they lose their form and character as prunes by pitting or a process subsequent to pitting will be approved if they specify that such conversion will take place on the handler</w:t>
      </w:r>
      <w:r w:rsidRPr="00E60227" w:rsidR="00177D8F">
        <w:rPr>
          <w:sz w:val="22"/>
        </w:rPr>
        <w:t>’</w:t>
      </w:r>
      <w:r w:rsidRPr="00E60227">
        <w:rPr>
          <w:sz w:val="22"/>
        </w:rPr>
        <w:t xml:space="preserve">s premises. Such approvals will be subject to the surveillance of the inspector. </w:t>
      </w:r>
    </w:p>
    <w:p w:rsidRPr="00E60227" w:rsidR="00242397" w:rsidP="00ED3590" w:rsidRDefault="00242397" w14:paraId="288F0443" w14:textId="77777777">
      <w:pPr>
        <w:jc w:val="left"/>
        <w:rPr>
          <w:sz w:val="22"/>
        </w:rPr>
      </w:pPr>
    </w:p>
    <w:p w:rsidRPr="00E60227" w:rsidR="00242397" w:rsidP="00ED3590" w:rsidRDefault="00242397" w14:paraId="11A33710" w14:textId="77777777">
      <w:pPr>
        <w:jc w:val="left"/>
        <w:rPr>
          <w:sz w:val="22"/>
        </w:rPr>
      </w:pPr>
      <w:r w:rsidRPr="00E60227">
        <w:rPr>
          <w:sz w:val="22"/>
        </w:rPr>
        <w:t>Non-French prunes failing to meet the size requirements of §</w:t>
      </w:r>
      <w:r w:rsidR="00E60227">
        <w:rPr>
          <w:sz w:val="22"/>
        </w:rPr>
        <w:t xml:space="preserve"> </w:t>
      </w:r>
      <w:r w:rsidRPr="00E60227">
        <w:rPr>
          <w:sz w:val="22"/>
        </w:rPr>
        <w:t>99</w:t>
      </w:r>
      <w:r w:rsidRPr="00E60227" w:rsidR="00442434">
        <w:rPr>
          <w:sz w:val="22"/>
        </w:rPr>
        <w:t>3.50</w:t>
      </w:r>
      <w:r w:rsidR="00E60227">
        <w:rPr>
          <w:sz w:val="22"/>
        </w:rPr>
        <w:t>(c) of the Marketing Order, as</w:t>
      </w:r>
      <w:r w:rsidRPr="00E60227" w:rsidR="00442434">
        <w:rPr>
          <w:sz w:val="22"/>
        </w:rPr>
        <w:t xml:space="preserve"> </w:t>
      </w:r>
      <w:r w:rsidR="00E60227">
        <w:rPr>
          <w:sz w:val="22"/>
        </w:rPr>
        <w:t>a</w:t>
      </w:r>
      <w:r w:rsidRPr="00E60227" w:rsidR="00442434">
        <w:rPr>
          <w:sz w:val="22"/>
        </w:rPr>
        <w:t xml:space="preserve">mended, </w:t>
      </w:r>
      <w:proofErr w:type="gramStart"/>
      <w:r w:rsidRPr="00E60227" w:rsidR="00442434">
        <w:rPr>
          <w:sz w:val="22"/>
        </w:rPr>
        <w:t xml:space="preserve">are </w:t>
      </w:r>
      <w:r w:rsidRPr="00E60227">
        <w:rPr>
          <w:sz w:val="22"/>
        </w:rPr>
        <w:t>by definition, substandard</w:t>
      </w:r>
      <w:proofErr w:type="gramEnd"/>
      <w:r w:rsidRPr="00E60227">
        <w:rPr>
          <w:sz w:val="22"/>
        </w:rPr>
        <w:t xml:space="preserve"> prunes. </w:t>
      </w:r>
    </w:p>
    <w:p w:rsidRPr="00E60227" w:rsidR="00242397" w:rsidP="00ED3590" w:rsidRDefault="00242397" w14:paraId="3D84278C" w14:textId="77777777">
      <w:pPr>
        <w:jc w:val="left"/>
        <w:rPr>
          <w:sz w:val="22"/>
        </w:rPr>
      </w:pPr>
    </w:p>
    <w:p w:rsidRPr="00E60227" w:rsidR="00242397" w:rsidP="00ED3590" w:rsidRDefault="00242397" w14:paraId="11EDEB52" w14:textId="77777777">
      <w:pPr>
        <w:jc w:val="left"/>
        <w:rPr>
          <w:sz w:val="22"/>
        </w:rPr>
      </w:pPr>
      <w:r w:rsidRPr="00E60227">
        <w:rPr>
          <w:sz w:val="22"/>
        </w:rPr>
        <w:t xml:space="preserve">AUTHORITY: </w:t>
      </w:r>
      <w:r w:rsidR="00E60227">
        <w:rPr>
          <w:sz w:val="22"/>
        </w:rPr>
        <w:t xml:space="preserve"> </w:t>
      </w:r>
      <w:r w:rsidRPr="00E60227">
        <w:rPr>
          <w:sz w:val="22"/>
        </w:rPr>
        <w:t xml:space="preserve">This report is required </w:t>
      </w:r>
      <w:r w:rsidR="00E60227">
        <w:rPr>
          <w:sz w:val="22"/>
        </w:rPr>
        <w:t xml:space="preserve">by law (7 U.S.C. 608 (d), 7CFR 993.49 (c), 7CFR </w:t>
      </w:r>
      <w:r w:rsidRPr="00E60227">
        <w:rPr>
          <w:sz w:val="22"/>
        </w:rPr>
        <w:t>993.50 (c)</w:t>
      </w:r>
      <w:r w:rsidR="00E60227">
        <w:rPr>
          <w:sz w:val="22"/>
        </w:rPr>
        <w:t xml:space="preserve">, </w:t>
      </w:r>
      <w:r w:rsidRPr="00E60227">
        <w:rPr>
          <w:sz w:val="22"/>
        </w:rPr>
        <w:t>(e)</w:t>
      </w:r>
      <w:r w:rsidR="00E60227">
        <w:rPr>
          <w:sz w:val="22"/>
        </w:rPr>
        <w:t xml:space="preserve">, 7CFR 993.108, 993.149 (d), </w:t>
      </w:r>
      <w:r w:rsidRPr="00E60227">
        <w:rPr>
          <w:sz w:val="22"/>
        </w:rPr>
        <w:t>993.150 (e)(l)(ii)</w:t>
      </w:r>
      <w:r w:rsidR="00E60227">
        <w:rPr>
          <w:sz w:val="22"/>
        </w:rPr>
        <w:t>)</w:t>
      </w:r>
      <w:r w:rsidRPr="00E60227">
        <w:rPr>
          <w:sz w:val="22"/>
        </w:rPr>
        <w:t xml:space="preserve">. </w:t>
      </w:r>
    </w:p>
    <w:p w:rsidRPr="00E60227" w:rsidR="00242397" w:rsidP="00ED3590" w:rsidRDefault="00242397" w14:paraId="6F696AE0" w14:textId="77777777">
      <w:pPr>
        <w:jc w:val="left"/>
        <w:rPr>
          <w:sz w:val="22"/>
        </w:rPr>
      </w:pPr>
    </w:p>
    <w:p w:rsidRPr="00E60227" w:rsidR="00242397" w:rsidP="00ED3590" w:rsidRDefault="00242397" w14:paraId="3A35F528" w14:textId="77777777">
      <w:pPr>
        <w:jc w:val="left"/>
        <w:rPr>
          <w:sz w:val="22"/>
        </w:rPr>
      </w:pPr>
      <w:r w:rsidRPr="00E60227">
        <w:rPr>
          <w:sz w:val="22"/>
        </w:rPr>
        <w:t xml:space="preserve">FAILURE TO REPORT can result in a fine of not less </w:t>
      </w:r>
      <w:r w:rsidRPr="00E60227" w:rsidR="00442434">
        <w:rPr>
          <w:sz w:val="22"/>
        </w:rPr>
        <w:t>than</w:t>
      </w:r>
      <w:r w:rsidRPr="00E60227">
        <w:rPr>
          <w:sz w:val="22"/>
        </w:rPr>
        <w:t xml:space="preserve"> $50.00 or more than $5,000 for each such violation and each day during which such violation continues shall be deemed a separate violation. </w:t>
      </w:r>
    </w:p>
    <w:p w:rsidRPr="00E60227" w:rsidR="00242397" w:rsidP="00ED3590" w:rsidRDefault="00242397" w14:paraId="430ADB05" w14:textId="77777777">
      <w:pPr>
        <w:jc w:val="left"/>
        <w:rPr>
          <w:sz w:val="22"/>
        </w:rPr>
      </w:pPr>
    </w:p>
    <w:p w:rsidRPr="00E60227" w:rsidR="00242397" w:rsidP="00ED3590" w:rsidRDefault="00242397" w14:paraId="12812057" w14:textId="77777777">
      <w:pPr>
        <w:jc w:val="left"/>
        <w:rPr>
          <w:sz w:val="22"/>
        </w:rPr>
      </w:pPr>
      <w:r w:rsidRPr="00E60227">
        <w:rPr>
          <w:sz w:val="22"/>
        </w:rPr>
        <w:t xml:space="preserve">This information is required to obtain authority from the Committee to dispose of substandard prunes and it will be used for that purpose. </w:t>
      </w:r>
    </w:p>
    <w:p w:rsidRPr="00E60227" w:rsidR="00242397" w:rsidP="00ED3590" w:rsidRDefault="00242397" w14:paraId="7EC2750E" w14:textId="77777777">
      <w:pPr>
        <w:jc w:val="left"/>
        <w:rPr>
          <w:sz w:val="22"/>
        </w:rPr>
      </w:pPr>
    </w:p>
    <w:p w:rsidRPr="00E60227" w:rsidR="00177D8F" w:rsidP="00ED3590" w:rsidRDefault="00177D8F" w14:paraId="051196EC" w14:textId="77777777">
      <w:pPr>
        <w:jc w:val="left"/>
        <w:rPr>
          <w:sz w:val="22"/>
        </w:rPr>
      </w:pPr>
    </w:p>
    <w:p w:rsidR="00E60227" w:rsidP="00ED3590" w:rsidRDefault="00177D8F" w14:paraId="0ED78087" w14:textId="77777777">
      <w:pPr>
        <w:jc w:val="left"/>
        <w:rPr>
          <w:sz w:val="16"/>
          <w:szCs w:val="16"/>
        </w:rPr>
      </w:pPr>
      <w:r w:rsidRPr="00E60227">
        <w:rPr>
          <w:sz w:val="22"/>
        </w:rPr>
        <w:br/>
      </w:r>
      <w:r w:rsidRPr="00E60227">
        <w:rPr>
          <w:sz w:val="22"/>
        </w:rPr>
        <w:br/>
      </w:r>
    </w:p>
    <w:p w:rsidR="004569EB" w:rsidP="00ED3590" w:rsidRDefault="004569EB" w14:paraId="7C6A75A2" w14:textId="77777777">
      <w:pPr>
        <w:jc w:val="left"/>
        <w:rPr>
          <w:sz w:val="16"/>
          <w:szCs w:val="16"/>
        </w:rPr>
      </w:pPr>
    </w:p>
    <w:p w:rsidR="004569EB" w:rsidP="00ED3590" w:rsidRDefault="004569EB" w14:paraId="1B2FC9B4" w14:textId="77777777">
      <w:pPr>
        <w:jc w:val="left"/>
        <w:rPr>
          <w:sz w:val="16"/>
          <w:szCs w:val="16"/>
        </w:rPr>
      </w:pPr>
    </w:p>
    <w:p w:rsidR="004569EB" w:rsidP="00ED3590" w:rsidRDefault="004569EB" w14:paraId="1359CFFE" w14:textId="77777777">
      <w:pPr>
        <w:jc w:val="left"/>
        <w:rPr>
          <w:sz w:val="16"/>
          <w:szCs w:val="16"/>
        </w:rPr>
      </w:pPr>
    </w:p>
    <w:p w:rsidR="004569EB" w:rsidP="00ED3590" w:rsidRDefault="004569EB" w14:paraId="778CEF54" w14:textId="77777777">
      <w:pPr>
        <w:jc w:val="left"/>
        <w:rPr>
          <w:sz w:val="16"/>
          <w:szCs w:val="16"/>
        </w:rPr>
      </w:pPr>
    </w:p>
    <w:p w:rsidR="004569EB" w:rsidP="00ED3590" w:rsidRDefault="004569EB" w14:paraId="74C66239" w14:textId="77777777">
      <w:pPr>
        <w:jc w:val="left"/>
        <w:rPr>
          <w:sz w:val="16"/>
          <w:szCs w:val="16"/>
        </w:rPr>
      </w:pPr>
    </w:p>
    <w:p w:rsidR="00E60227" w:rsidP="00ED3590" w:rsidRDefault="00E60227" w14:paraId="79B31685" w14:textId="77777777">
      <w:pPr>
        <w:jc w:val="left"/>
        <w:rPr>
          <w:sz w:val="16"/>
          <w:szCs w:val="16"/>
        </w:rPr>
      </w:pPr>
    </w:p>
    <w:p w:rsidR="00E60227" w:rsidP="00ED3590" w:rsidRDefault="00E60227" w14:paraId="6673E938" w14:textId="77777777">
      <w:pPr>
        <w:jc w:val="left"/>
        <w:rPr>
          <w:sz w:val="16"/>
          <w:szCs w:val="16"/>
        </w:rPr>
      </w:pPr>
    </w:p>
    <w:p w:rsidR="00E60227" w:rsidP="00ED3590" w:rsidRDefault="00E60227" w14:paraId="07C701C2" w14:textId="77777777">
      <w:pPr>
        <w:jc w:val="left"/>
        <w:rPr>
          <w:sz w:val="16"/>
          <w:szCs w:val="16"/>
        </w:rPr>
      </w:pPr>
    </w:p>
    <w:p w:rsidRPr="000B7615" w:rsidR="004569EB" w:rsidP="004569EB" w:rsidRDefault="004569EB" w14:paraId="789B1EFA"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4569EB" w:rsidP="004569EB" w:rsidRDefault="004569EB" w14:paraId="7200632A" w14:textId="77777777">
      <w:pPr>
        <w:pStyle w:val="NoSpacing"/>
        <w:rPr>
          <w:rFonts w:ascii="Times New Roman" w:hAnsi="Times New Roman" w:eastAsia="Times New Roman"/>
          <w:sz w:val="16"/>
          <w:szCs w:val="16"/>
        </w:rPr>
      </w:pPr>
    </w:p>
    <w:p w:rsidRPr="000B7615" w:rsidR="004569EB" w:rsidP="004569EB" w:rsidRDefault="004569EB" w14:paraId="13E93653"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569EB" w:rsidR="00F22D39" w:rsidP="004569EB" w:rsidRDefault="004569EB" w14:paraId="74D5CF90"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4569EB" w:rsidR="00F22D39" w:rsidSect="004569EB">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D0FA8" w14:textId="77777777" w:rsidR="00493FBD" w:rsidRDefault="00493FBD" w:rsidP="00242397">
      <w:r>
        <w:separator/>
      </w:r>
    </w:p>
  </w:endnote>
  <w:endnote w:type="continuationSeparator" w:id="0">
    <w:p w14:paraId="091D6250" w14:textId="77777777" w:rsidR="00493FBD" w:rsidRDefault="00493FBD" w:rsidP="0024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47A2" w14:textId="77777777" w:rsidR="00177D8F" w:rsidRPr="00E60227" w:rsidRDefault="006C4FE2" w:rsidP="00E60227">
    <w:pPr>
      <w:pStyle w:val="Header"/>
      <w:jc w:val="left"/>
      <w:rPr>
        <w:b/>
        <w:sz w:val="18"/>
        <w:szCs w:val="18"/>
      </w:rPr>
    </w:pPr>
    <w:r>
      <w:rPr>
        <w:b/>
        <w:sz w:val="18"/>
        <w:szCs w:val="18"/>
      </w:rPr>
      <w:t>PMC 2.2 (</w:t>
    </w:r>
    <w:r w:rsidR="00F61DC8">
      <w:rPr>
        <w:b/>
        <w:sz w:val="18"/>
        <w:szCs w:val="18"/>
      </w:rPr>
      <w:t xml:space="preserve">Exp. </w:t>
    </w:r>
    <w:r w:rsidR="0028370E">
      <w:rPr>
        <w:b/>
        <w:sz w:val="18"/>
        <w:szCs w:val="18"/>
      </w:rPr>
      <w:t>x/</w:t>
    </w:r>
    <w:proofErr w:type="spellStart"/>
    <w:r w:rsidR="0028370E">
      <w:rPr>
        <w:b/>
        <w:sz w:val="18"/>
        <w:szCs w:val="18"/>
      </w:rPr>
      <w:t>xxxx</w:t>
    </w:r>
    <w:proofErr w:type="spellEnd"/>
    <w:r w:rsidR="003A6D6A">
      <w:rPr>
        <w:b/>
        <w:sz w:val="18"/>
        <w:szCs w:val="18"/>
      </w:rPr>
      <w:t>)</w:t>
    </w:r>
    <w:r w:rsidR="00177D8F" w:rsidRPr="00E60227">
      <w:rPr>
        <w:b/>
        <w:sz w:val="18"/>
        <w:szCs w:val="18"/>
      </w:rPr>
      <w:t xml:space="preserve"> Destroy previous editions</w:t>
    </w:r>
    <w:r w:rsidR="00E60227">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8B71B" w14:textId="77777777" w:rsidR="00493FBD" w:rsidRDefault="00493FBD" w:rsidP="00242397">
      <w:r>
        <w:separator/>
      </w:r>
    </w:p>
  </w:footnote>
  <w:footnote w:type="continuationSeparator" w:id="0">
    <w:p w14:paraId="26C51176" w14:textId="77777777" w:rsidR="00493FBD" w:rsidRDefault="00493FBD" w:rsidP="0024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08B8" w14:textId="77777777" w:rsidR="00242397" w:rsidRPr="00E60227" w:rsidRDefault="00E60227" w:rsidP="00E60227">
    <w:pPr>
      <w:pStyle w:val="Header"/>
      <w:rPr>
        <w:b/>
        <w:sz w:val="18"/>
        <w:szCs w:val="18"/>
        <w:u w:val="single"/>
      </w:rPr>
    </w:pPr>
    <w:r w:rsidRPr="00E60227">
      <w:rPr>
        <w:b/>
        <w:sz w:val="18"/>
        <w:szCs w:val="18"/>
        <w:u w:val="single"/>
      </w:rPr>
      <w:tab/>
    </w:r>
    <w:r w:rsidRPr="00E60227">
      <w:rPr>
        <w:b/>
        <w:sz w:val="18"/>
        <w:szCs w:val="18"/>
        <w:u w:val="single"/>
      </w:rPr>
      <w:tab/>
    </w:r>
    <w:r w:rsidR="00242397" w:rsidRPr="00E60227">
      <w:rPr>
        <w:b/>
        <w:sz w:val="18"/>
        <w:szCs w:val="18"/>
        <w:u w:val="single"/>
      </w:rPr>
      <w:t xml:space="preserve">OMB </w:t>
    </w:r>
    <w:r w:rsidR="00177D8F" w:rsidRPr="00E60227">
      <w:rPr>
        <w:b/>
        <w:sz w:val="18"/>
        <w:szCs w:val="18"/>
        <w:u w:val="single"/>
      </w:rPr>
      <w:t xml:space="preserve">No. </w:t>
    </w:r>
    <w:r w:rsidR="00242397" w:rsidRPr="00E60227">
      <w:rPr>
        <w:b/>
        <w:sz w:val="18"/>
        <w:szCs w:val="18"/>
        <w:u w:val="single"/>
      </w:rPr>
      <w:t>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5796"/>
    <w:multiLevelType w:val="hybridMultilevel"/>
    <w:tmpl w:val="9DAA2054"/>
    <w:lvl w:ilvl="0" w:tplc="824062E0">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85966"/>
    <w:multiLevelType w:val="hybridMultilevel"/>
    <w:tmpl w:val="86584478"/>
    <w:lvl w:ilvl="0" w:tplc="A01010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641A1B"/>
    <w:multiLevelType w:val="hybridMultilevel"/>
    <w:tmpl w:val="5AAE1D60"/>
    <w:lvl w:ilvl="0" w:tplc="A01010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C57D6"/>
    <w:multiLevelType w:val="hybridMultilevel"/>
    <w:tmpl w:val="3BEE6646"/>
    <w:lvl w:ilvl="0" w:tplc="3DA8BA0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397"/>
    <w:rsid w:val="000969B4"/>
    <w:rsid w:val="000B68C4"/>
    <w:rsid w:val="00154D12"/>
    <w:rsid w:val="00171FC3"/>
    <w:rsid w:val="00177D8F"/>
    <w:rsid w:val="001B29E5"/>
    <w:rsid w:val="00217983"/>
    <w:rsid w:val="00242397"/>
    <w:rsid w:val="0028370E"/>
    <w:rsid w:val="003A6D6A"/>
    <w:rsid w:val="003D097A"/>
    <w:rsid w:val="00410DE7"/>
    <w:rsid w:val="00442434"/>
    <w:rsid w:val="004569EB"/>
    <w:rsid w:val="00493FBD"/>
    <w:rsid w:val="00545DC7"/>
    <w:rsid w:val="00552BB1"/>
    <w:rsid w:val="00565027"/>
    <w:rsid w:val="005E207B"/>
    <w:rsid w:val="006C4FE2"/>
    <w:rsid w:val="0073785A"/>
    <w:rsid w:val="00763B53"/>
    <w:rsid w:val="008A0BEB"/>
    <w:rsid w:val="009C31C7"/>
    <w:rsid w:val="00A32B9D"/>
    <w:rsid w:val="00A73F94"/>
    <w:rsid w:val="00D55A17"/>
    <w:rsid w:val="00E60227"/>
    <w:rsid w:val="00EC22FA"/>
    <w:rsid w:val="00ED3590"/>
    <w:rsid w:val="00EF00C2"/>
    <w:rsid w:val="00F22D39"/>
    <w:rsid w:val="00F61DC8"/>
    <w:rsid w:val="00F909C1"/>
    <w:rsid w:val="00FB48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7CEBD0"/>
  <w15:chartTrackingRefBased/>
  <w15:docId w15:val="{9DAD29DC-530E-424D-99F4-D27AA5A1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D39"/>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397"/>
    <w:pPr>
      <w:tabs>
        <w:tab w:val="center" w:pos="4680"/>
        <w:tab w:val="right" w:pos="9360"/>
      </w:tabs>
    </w:pPr>
  </w:style>
  <w:style w:type="character" w:customStyle="1" w:styleId="HeaderChar">
    <w:name w:val="Header Char"/>
    <w:basedOn w:val="DefaultParagraphFont"/>
    <w:link w:val="Header"/>
    <w:uiPriority w:val="99"/>
    <w:rsid w:val="00242397"/>
  </w:style>
  <w:style w:type="paragraph" w:styleId="Footer">
    <w:name w:val="footer"/>
    <w:basedOn w:val="Normal"/>
    <w:link w:val="FooterChar"/>
    <w:uiPriority w:val="99"/>
    <w:unhideWhenUsed/>
    <w:rsid w:val="00242397"/>
    <w:pPr>
      <w:tabs>
        <w:tab w:val="center" w:pos="4680"/>
        <w:tab w:val="right" w:pos="9360"/>
      </w:tabs>
    </w:pPr>
  </w:style>
  <w:style w:type="character" w:customStyle="1" w:styleId="FooterChar">
    <w:name w:val="Footer Char"/>
    <w:basedOn w:val="DefaultParagraphFont"/>
    <w:link w:val="Footer"/>
    <w:uiPriority w:val="99"/>
    <w:rsid w:val="00242397"/>
  </w:style>
  <w:style w:type="paragraph" w:styleId="BalloonText">
    <w:name w:val="Balloon Text"/>
    <w:basedOn w:val="Normal"/>
    <w:link w:val="BalloonTextChar"/>
    <w:uiPriority w:val="99"/>
    <w:semiHidden/>
    <w:unhideWhenUsed/>
    <w:rsid w:val="00242397"/>
    <w:rPr>
      <w:rFonts w:ascii="Tahoma" w:hAnsi="Tahoma" w:cs="Tahoma"/>
      <w:sz w:val="16"/>
      <w:szCs w:val="16"/>
    </w:rPr>
  </w:style>
  <w:style w:type="character" w:customStyle="1" w:styleId="BalloonTextChar">
    <w:name w:val="Balloon Text Char"/>
    <w:link w:val="BalloonText"/>
    <w:uiPriority w:val="99"/>
    <w:semiHidden/>
    <w:rsid w:val="00242397"/>
    <w:rPr>
      <w:rFonts w:ascii="Tahoma" w:hAnsi="Tahoma" w:cs="Tahoma"/>
      <w:sz w:val="16"/>
      <w:szCs w:val="16"/>
    </w:rPr>
  </w:style>
  <w:style w:type="table" w:styleId="TableGrid">
    <w:name w:val="Table Grid"/>
    <w:basedOn w:val="TableNormal"/>
    <w:uiPriority w:val="59"/>
    <w:rsid w:val="000B6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69E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5972</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Gilham, Norma - AMS</cp:lastModifiedBy>
  <cp:revision>2</cp:revision>
  <dcterms:created xsi:type="dcterms:W3CDTF">2020-05-05T17:34:00Z</dcterms:created>
  <dcterms:modified xsi:type="dcterms:W3CDTF">2020-05-05T17:34:00Z</dcterms:modified>
</cp:coreProperties>
</file>