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4948">
      <w:pPr>
        <w:pStyle w:val="Heading1"/>
        <w:ind w:left="0"/>
        <w:jc w:val="center"/>
        <w:rPr>
          <w:rFonts w:ascii="Times New Roman" w:eastAsia="Times New Roman" w:hAnsi="Times New Roman" w:cs="Times New Roman"/>
        </w:rPr>
      </w:pPr>
      <w:r>
        <w:rPr>
          <w:rFonts w:ascii="Times New Roman" w:eastAsia="Times New Roman" w:hAnsi="Times New Roman" w:cs="Times New Roman"/>
        </w:rPr>
        <w:t>SUPPORTING STATEMENT</w:t>
      </w:r>
    </w:p>
    <w:p w:rsidR="00624948">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624948">
      <w:pPr>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624948">
      <w:pPr>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Seafood Inspection and Certification Requirements</w:t>
      </w:r>
    </w:p>
    <w:p w:rsidR="00624948">
      <w:pPr>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0648-0266</w:t>
      </w:r>
    </w:p>
    <w:p w:rsidR="00624948">
      <w:pPr>
        <w:pBdr>
          <w:top w:val="nil"/>
          <w:left w:val="nil"/>
          <w:bottom w:val="nil"/>
          <w:right w:val="nil"/>
          <w:between w:val="nil"/>
        </w:pBdr>
        <w:spacing w:before="1"/>
        <w:jc w:val="center"/>
        <w:rPr>
          <w:rFonts w:ascii="Times New Roman" w:eastAsia="Times New Roman" w:hAnsi="Times New Roman" w:cs="Times New Roman"/>
          <w:b/>
          <w:color w:val="000000"/>
          <w:sz w:val="24"/>
          <w:szCs w:val="24"/>
        </w:rPr>
      </w:pPr>
    </w:p>
    <w:p w:rsidR="00624948">
      <w:pPr>
        <w:spacing w:before="1" w:line="398" w:lineRule="auto"/>
        <w:rPr>
          <w:rFonts w:ascii="Times New Roman" w:eastAsia="Times New Roman" w:hAnsi="Times New Roman" w:cs="Times New Roman"/>
        </w:rPr>
      </w:pPr>
      <w:r>
        <w:rPr>
          <w:rFonts w:ascii="Times New Roman" w:eastAsia="Times New Roman" w:hAnsi="Times New Roman" w:cs="Times New Roman"/>
          <w:b/>
          <w:sz w:val="24"/>
          <w:szCs w:val="24"/>
        </w:rPr>
        <w:t>SUPPORTING STATEMENT PART A</w:t>
      </w:r>
    </w:p>
    <w:p w:rsidR="00624948">
      <w:pPr>
        <w:pStyle w:val="Heading1"/>
        <w:spacing w:before="199"/>
        <w:ind w:left="0"/>
        <w:rPr>
          <w:rFonts w:ascii="Times New Roman" w:eastAsia="Times New Roman" w:hAnsi="Times New Roman" w:cs="Times New Roman"/>
        </w:rPr>
      </w:pPr>
      <w:r>
        <w:rPr>
          <w:rFonts w:ascii="Times New Roman" w:eastAsia="Times New Roman" w:hAnsi="Times New Roman" w:cs="Times New Roman"/>
        </w:rPr>
        <w:t>Abstract</w:t>
      </w:r>
    </w:p>
    <w:p w:rsidR="00624948">
      <w:pPr>
        <w:pStyle w:val="Heading1"/>
        <w:spacing w:before="199"/>
        <w:ind w:left="0"/>
        <w:rPr>
          <w:rFonts w:ascii="Times New Roman" w:eastAsia="Times New Roman" w:hAnsi="Times New Roman" w:cs="Times New Roman"/>
          <w:b w:val="0"/>
        </w:rPr>
      </w:pPr>
      <w:r>
        <w:rPr>
          <w:rFonts w:ascii="Times New Roman" w:eastAsia="Times New Roman" w:hAnsi="Times New Roman" w:cs="Times New Roman"/>
          <w:b w:val="0"/>
        </w:rPr>
        <w:t xml:space="preserve">This request is for the revision and extension of a current information collection. The National Marine Fisheries Service operates a fee-for-service Seafood Inspection Program (SIP), available to all segments of the seafood industry. Participants request services such as product inspection, export health and legal harvest certification, and facility approval. Information is collected from participants to confirm the identity of products being inspected and certified, as well as to show compliance with Program requirements. The implementing regulations for this Program at 50 CFR 260 </w:t>
      </w:r>
      <w:r>
        <w:rPr>
          <w:rFonts w:ascii="Times New Roman" w:eastAsia="Times New Roman" w:hAnsi="Times New Roman" w:cs="Times New Roman"/>
          <w:b w:val="0"/>
        </w:rPr>
        <w:t>are being updated</w:t>
      </w:r>
      <w:r>
        <w:rPr>
          <w:rFonts w:ascii="Times New Roman" w:eastAsia="Times New Roman" w:hAnsi="Times New Roman" w:cs="Times New Roman"/>
          <w:b w:val="0"/>
        </w:rPr>
        <w:t xml:space="preserve"> to bring the regulation more in line with current practices, remove outdated text, and streamline seafood inspection services. The last updated information collection (published January 19, 2022, with expiration date January 31, 2025) already included all of the changes proposed with this rulemaking, including the shift to online inspection and service requests and housing day-to-day procedures in the online SIP Manual versus in codified text. The information collection is being revised and extended to add a previously overlooked Surety form and adjust the burden figures. </w:t>
      </w:r>
    </w:p>
    <w:p w:rsidR="00624948">
      <w:pPr>
        <w:pStyle w:val="Heading1"/>
        <w:spacing w:before="124"/>
        <w:ind w:left="0"/>
        <w:rPr>
          <w:rFonts w:ascii="Times New Roman" w:eastAsia="Times New Roman" w:hAnsi="Times New Roman" w:cs="Times New Roman"/>
        </w:rPr>
      </w:pPr>
      <w:r>
        <w:rPr>
          <w:rFonts w:ascii="Times New Roman" w:eastAsia="Times New Roman" w:hAnsi="Times New Roman" w:cs="Times New Roman"/>
        </w:rPr>
        <w:t>Justification</w:t>
      </w:r>
    </w:p>
    <w:p w:rsidR="00624948">
      <w:pPr>
        <w:numPr>
          <w:ilvl w:val="0"/>
          <w:numId w:val="4"/>
        </w:numPr>
        <w:pBdr>
          <w:top w:val="nil"/>
          <w:left w:val="nil"/>
          <w:bottom w:val="nil"/>
          <w:right w:val="nil"/>
          <w:between w:val="nil"/>
        </w:pBdr>
        <w:tabs>
          <w:tab w:val="left" w:pos="360"/>
        </w:tabs>
        <w:spacing w:before="182" w:line="259"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4948">
      <w:pPr>
        <w:pBdr>
          <w:top w:val="nil"/>
          <w:left w:val="nil"/>
          <w:bottom w:val="nil"/>
          <w:right w:val="nil"/>
          <w:between w:val="nil"/>
        </w:pBdr>
        <w:tabs>
          <w:tab w:val="left" w:pos="360"/>
        </w:tabs>
        <w:spacing w:before="182"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National Marine Fisheries Service (NMFS) operates the fee-for-service Seafood Inspection Program (SIP) under the authorities of the </w:t>
      </w:r>
      <w:hyperlink r:id="rId5">
        <w:r>
          <w:rPr>
            <w:rFonts w:ascii="Times New Roman" w:eastAsia="Times New Roman" w:hAnsi="Times New Roman" w:cs="Times New Roman"/>
            <w:color w:val="0000FF"/>
            <w:sz w:val="24"/>
            <w:szCs w:val="24"/>
            <w:u w:val="single"/>
          </w:rPr>
          <w:t>Agricultural Marketing Act of 1946</w:t>
        </w:r>
      </w:hyperlink>
      <w:r>
        <w:rPr>
          <w:rFonts w:ascii="Times New Roman" w:eastAsia="Times New Roman" w:hAnsi="Times New Roman" w:cs="Times New Roman"/>
          <w:color w:val="000000"/>
          <w:sz w:val="24"/>
          <w:szCs w:val="24"/>
        </w:rPr>
        <w:t xml:space="preserve">, as amended, the </w:t>
      </w:r>
      <w:hyperlink r:id="rId6" w:anchor="page=1">
        <w:r>
          <w:rPr>
            <w:rFonts w:ascii="Times New Roman" w:eastAsia="Times New Roman" w:hAnsi="Times New Roman" w:cs="Times New Roman"/>
            <w:color w:val="0000FF"/>
            <w:sz w:val="24"/>
            <w:szCs w:val="24"/>
            <w:u w:val="single"/>
          </w:rPr>
          <w:t>Fish and Wildlife Act of 1956</w:t>
        </w:r>
      </w:hyperlink>
      <w:r>
        <w:rPr>
          <w:rFonts w:ascii="Times New Roman" w:eastAsia="Times New Roman" w:hAnsi="Times New Roman" w:cs="Times New Roman"/>
          <w:color w:val="000000"/>
          <w:sz w:val="24"/>
          <w:szCs w:val="24"/>
        </w:rPr>
        <w:t xml:space="preserve">, and the </w:t>
      </w:r>
      <w:hyperlink r:id="rId7">
        <w:r>
          <w:rPr>
            <w:rFonts w:ascii="Times New Roman" w:eastAsia="Times New Roman" w:hAnsi="Times New Roman" w:cs="Times New Roman"/>
            <w:color w:val="0000FF"/>
            <w:sz w:val="24"/>
            <w:szCs w:val="24"/>
            <w:u w:val="single"/>
          </w:rPr>
          <w:t>Reorganization Plan No. 4 of 1970</w:t>
        </w:r>
      </w:hyperlink>
      <w:r>
        <w:rPr>
          <w:rFonts w:ascii="Times New Roman" w:eastAsia="Times New Roman" w:hAnsi="Times New Roman" w:cs="Times New Roman"/>
          <w:color w:val="000000"/>
          <w:sz w:val="24"/>
          <w:szCs w:val="24"/>
        </w:rPr>
        <w:t xml:space="preserve">. The regulations for the SIP are contained in </w:t>
      </w:r>
      <w:hyperlink r:id="rId8">
        <w:r>
          <w:rPr>
            <w:rFonts w:ascii="Times New Roman" w:eastAsia="Times New Roman" w:hAnsi="Times New Roman" w:cs="Times New Roman"/>
            <w:color w:val="0000FF"/>
            <w:sz w:val="24"/>
            <w:szCs w:val="24"/>
            <w:u w:val="single"/>
          </w:rPr>
          <w:t>50 CFR Part 260</w:t>
        </w:r>
      </w:hyperlink>
      <w:r>
        <w:rPr>
          <w:rFonts w:ascii="Times New Roman" w:eastAsia="Times New Roman" w:hAnsi="Times New Roman" w:cs="Times New Roman"/>
          <w:color w:val="000000"/>
          <w:sz w:val="24"/>
          <w:szCs w:val="24"/>
        </w:rPr>
        <w:t xml:space="preserve">. The SIP offers inspection, grading and certification services, including the use of official grade marks and </w:t>
      </w:r>
      <w:r>
        <w:rPr>
          <w:rFonts w:ascii="Times New Roman" w:eastAsia="Times New Roman" w:hAnsi="Times New Roman" w:cs="Times New Roman"/>
          <w:color w:val="000000"/>
          <w:sz w:val="24"/>
          <w:szCs w:val="24"/>
        </w:rPr>
        <w:t>statements which</w:t>
      </w:r>
      <w:r>
        <w:rPr>
          <w:rFonts w:ascii="Times New Roman" w:eastAsia="Times New Roman" w:hAnsi="Times New Roman" w:cs="Times New Roman"/>
          <w:color w:val="000000"/>
          <w:sz w:val="24"/>
          <w:szCs w:val="24"/>
        </w:rPr>
        <w:t xml:space="preserve"> indicate that specific products have been federally inspected. The SIP is the only Federal entity that establishes quality grade standards for seafood marketed in the United States, and is the competent authority for the United States for issuing export health and catch certificates for seafood and certain other marine ingredients. Qualified participants </w:t>
      </w:r>
      <w:r>
        <w:rPr>
          <w:rFonts w:ascii="Times New Roman" w:eastAsia="Times New Roman" w:hAnsi="Times New Roman" w:cs="Times New Roman"/>
          <w:color w:val="000000"/>
          <w:sz w:val="24"/>
          <w:szCs w:val="24"/>
        </w:rPr>
        <w:t>are permitted</w:t>
      </w:r>
      <w:r>
        <w:rPr>
          <w:rFonts w:ascii="Times New Roman" w:eastAsia="Times New Roman" w:hAnsi="Times New Roman" w:cs="Times New Roman"/>
          <w:color w:val="000000"/>
          <w:sz w:val="24"/>
          <w:szCs w:val="24"/>
        </w:rPr>
        <w:t xml:space="preserve"> to use SIP’s official grade marks and statements on their products to facilitate the domestic and global trade of fishery products and other marine ingredients. The implementing regulations at 50 CFR 260 are being updated and modernized to reflect current practices, terms, and functions. The information collection </w:t>
      </w:r>
      <w:r>
        <w:rPr>
          <w:rFonts w:ascii="Times New Roman" w:eastAsia="Times New Roman" w:hAnsi="Times New Roman" w:cs="Times New Roman"/>
          <w:color w:val="000000"/>
          <w:sz w:val="24"/>
          <w:szCs w:val="24"/>
        </w:rPr>
        <w:t>is being revised</w:t>
      </w:r>
      <w:r>
        <w:rPr>
          <w:rFonts w:ascii="Times New Roman" w:eastAsia="Times New Roman" w:hAnsi="Times New Roman" w:cs="Times New Roman"/>
          <w:color w:val="000000"/>
          <w:sz w:val="24"/>
          <w:szCs w:val="24"/>
        </w:rPr>
        <w:t xml:space="preserve"> here merely to reflect the changes in this final rulemaking, RIN 0648-BH37, where section numbers have been changed. The final rule </w:t>
      </w:r>
      <w:r>
        <w:rPr>
          <w:rFonts w:ascii="Times New Roman" w:eastAsia="Times New Roman" w:hAnsi="Times New Roman" w:cs="Times New Roman"/>
          <w:color w:val="000000"/>
          <w:sz w:val="24"/>
          <w:szCs w:val="24"/>
        </w:rPr>
        <w:t>is expected to be published</w:t>
      </w:r>
      <w:r>
        <w:rPr>
          <w:rFonts w:ascii="Times New Roman" w:eastAsia="Times New Roman" w:hAnsi="Times New Roman" w:cs="Times New Roman"/>
          <w:color w:val="000000"/>
          <w:sz w:val="24"/>
          <w:szCs w:val="24"/>
        </w:rPr>
        <w:t xml:space="preserve"> by December 31, 2024. There are no reporting or recordkeeping requirements chang</w:t>
      </w:r>
      <w:r>
        <w:rPr>
          <w:rFonts w:ascii="Times New Roman" w:eastAsia="Times New Roman" w:hAnsi="Times New Roman" w:cs="Times New Roman"/>
          <w:sz w:val="24"/>
          <w:szCs w:val="24"/>
        </w:rPr>
        <w:t>ed</w:t>
      </w:r>
      <w:r>
        <w:rPr>
          <w:rFonts w:ascii="Times New Roman" w:eastAsia="Times New Roman" w:hAnsi="Times New Roman" w:cs="Times New Roman"/>
          <w:color w:val="000000"/>
          <w:sz w:val="24"/>
          <w:szCs w:val="24"/>
        </w:rPr>
        <w:t xml:space="preserve"> or affected by this </w:t>
      </w:r>
      <w:r>
        <w:rPr>
          <w:rFonts w:ascii="Times New Roman" w:eastAsia="Times New Roman" w:hAnsi="Times New Roman" w:cs="Times New Roman"/>
          <w:color w:val="000000"/>
          <w:sz w:val="24"/>
          <w:szCs w:val="24"/>
        </w:rPr>
        <w:t>rule-making</w:t>
      </w:r>
      <w:r>
        <w:rPr>
          <w:rFonts w:ascii="Times New Roman" w:eastAsia="Times New Roman" w:hAnsi="Times New Roman" w:cs="Times New Roman"/>
          <w:color w:val="000000"/>
          <w:sz w:val="24"/>
          <w:szCs w:val="24"/>
        </w:rPr>
        <w:t>.</w:t>
      </w:r>
    </w:p>
    <w:p w:rsidR="00624948">
      <w:pPr>
        <w:pStyle w:val="Heading1"/>
        <w:numPr>
          <w:ilvl w:val="0"/>
          <w:numId w:val="4"/>
        </w:numPr>
        <w:tabs>
          <w:tab w:val="left" w:pos="360"/>
        </w:tabs>
        <w:spacing w:before="197"/>
        <w:ind w:left="0" w:firstLine="0"/>
        <w:rPr>
          <w:rFonts w:ascii="Times New Roman" w:eastAsia="Times New Roman" w:hAnsi="Times New Roman" w:cs="Times New Roman"/>
        </w:rPr>
      </w:pPr>
      <w:r>
        <w:rPr>
          <w:rFonts w:ascii="Times New Roman" w:eastAsia="Times New Roman" w:hAnsi="Times New Roman" w:cs="Times New Roman"/>
        </w:rPr>
        <w:t xml:space="preserve">Indicate how, by whom, and for what purpose the information is to </w:t>
      </w:r>
      <w:r>
        <w:rPr>
          <w:rFonts w:ascii="Times New Roman" w:eastAsia="Times New Roman" w:hAnsi="Times New Roman" w:cs="Times New Roman"/>
        </w:rPr>
        <w:t>be used</w:t>
      </w:r>
      <w:r>
        <w:rPr>
          <w:rFonts w:ascii="Times New Roman" w:eastAsia="Times New Roman" w:hAnsi="Times New Roman" w:cs="Times New Roman"/>
        </w:rPr>
        <w:t>. Except for a new collection, indicate the actual use the agency has made of the information received from the current collection.</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 xml:space="preserve">Participation in the SIP is open to all segments of the seafood industry, from harvesters and growers to retailers. When inspection service is desired, participants are required to submit specific information pertaining to the type of service needed (current § 260.15; new § 260.6). This includes the type of product(s) to </w:t>
      </w:r>
      <w:r>
        <w:rPr>
          <w:rFonts w:ascii="Times New Roman" w:eastAsia="Times New Roman" w:hAnsi="Times New Roman" w:cs="Times New Roman"/>
          <w:b w:val="0"/>
        </w:rPr>
        <w:t>be inspected</w:t>
      </w:r>
      <w:r>
        <w:rPr>
          <w:rFonts w:ascii="Times New Roman" w:eastAsia="Times New Roman" w:hAnsi="Times New Roman" w:cs="Times New Roman"/>
          <w:b w:val="0"/>
        </w:rPr>
        <w:t xml:space="preserve">, the quantity, the location of the product, and the date when the inspection is needed. Customers used to complete the NOAA Form 89-814 </w:t>
      </w:r>
      <w:hyperlink r:id="rId9">
        <w:r>
          <w:rPr>
            <w:rFonts w:ascii="Times New Roman" w:eastAsia="Times New Roman" w:hAnsi="Times New Roman" w:cs="Times New Roman"/>
            <w:b w:val="0"/>
            <w:color w:val="0000FF"/>
            <w:u w:val="single"/>
          </w:rPr>
          <w:t>Request for Inspection Services</w:t>
        </w:r>
      </w:hyperlink>
      <w:r>
        <w:rPr>
          <w:rFonts w:ascii="Times New Roman" w:eastAsia="Times New Roman" w:hAnsi="Times New Roman" w:cs="Times New Roman"/>
          <w:b w:val="0"/>
        </w:rPr>
        <w:t xml:space="preserve"> and submit it to their local inspection office via e-mail or over the phone. Effective July 1, 2024, customers now submit the same information through the online portal instead of completing the physical paper form. There are also application requirements (i.e., a letter from the participant) if there is an appeal on previous service results (§ 260.36; new § 260.19). Participants requesting regular inspection services on a contractual basis submit a contract using the NOAA Form 89-800 (§ 260.96; new § 260.31) and a Surety Bond using the NOAA Form 89-801 (§ 260.69; new § 260.30). Any change to the contract or bond requires an amendment, using the same form. This information ensures that SIP has the necessary staff available to perform the services requested, and guarantees payment for services performed.</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Approved Establishments must meet NOAA SIP system policies and procedures and the regulatory and quality requirements outlined by U.S. Grade Standards or USDC Approved Specifications in order to use official grade marks and statements (§§ 260.86; new § 260.35). Current regulations state requirements for approval of drawings and specifications prior to approval of facilities (§260.97(c</w:t>
      </w:r>
      <w:r>
        <w:rPr>
          <w:rFonts w:ascii="Times New Roman" w:eastAsia="Times New Roman" w:hAnsi="Times New Roman" w:cs="Times New Roman"/>
          <w:b w:val="0"/>
        </w:rPr>
        <w:t>)(</w:t>
      </w:r>
      <w:r>
        <w:rPr>
          <w:rFonts w:ascii="Times New Roman" w:eastAsia="Times New Roman" w:hAnsi="Times New Roman" w:cs="Times New Roman"/>
          <w:b w:val="0"/>
        </w:rPr>
        <w:t xml:space="preserve">12), (13), (14) and (15)).  There are no longer any respondents under this section.  NMFS proposed to amend this part of the regulations with this rulemaking, and has already discontinued the use of the Specification and Label Submittal Action Request (NOAA Form 89-819). It is the responsibility of the processor to ensure their labels are in compliance with mandatory labeling regulations established by the U.S. Food and Drug Administration (FDA) (21 CFR 110). SIP will continue to approve labels and marks for the USDA Child Nutrition (USDA CN) and military purchase programs. The submission and approval process for those labels has moved to an online format, which </w:t>
      </w:r>
      <w:r>
        <w:rPr>
          <w:rFonts w:ascii="Times New Roman" w:eastAsia="Times New Roman" w:hAnsi="Times New Roman" w:cs="Times New Roman"/>
          <w:b w:val="0"/>
        </w:rPr>
        <w:t>will be completed</w:t>
      </w:r>
      <w:r>
        <w:rPr>
          <w:rFonts w:ascii="Times New Roman" w:eastAsia="Times New Roman" w:hAnsi="Times New Roman" w:cs="Times New Roman"/>
          <w:b w:val="0"/>
        </w:rPr>
        <w:t xml:space="preserve"> with the publication of this final rule. </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When export or certain other forms of certification is desired, applicants are required to submit specific information regarding the consignment and the type of documents required, including details about the product, the shipper and the destination of the consignment, through an online portal system.</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 xml:space="preserve">In July 1992, NMFS announced new inspection services, which </w:t>
      </w:r>
      <w:r>
        <w:rPr>
          <w:rFonts w:ascii="Times New Roman" w:eastAsia="Times New Roman" w:hAnsi="Times New Roman" w:cs="Times New Roman"/>
          <w:b w:val="0"/>
        </w:rPr>
        <w:t>were fully based</w:t>
      </w:r>
      <w:r>
        <w:rPr>
          <w:rFonts w:ascii="Times New Roman" w:eastAsia="Times New Roman" w:hAnsi="Times New Roman" w:cs="Times New Roman"/>
          <w:b w:val="0"/>
        </w:rPr>
        <w:t xml:space="preserve"> on guidelines recommended by the National Academy of Sciences, known as Hazard Analysis Critical Control Point (HACCP). The information collection requirements fall under § 260.</w:t>
      </w:r>
      <w:r>
        <w:rPr>
          <w:rFonts w:ascii="Times New Roman" w:eastAsia="Times New Roman" w:hAnsi="Times New Roman" w:cs="Times New Roman"/>
          <w:b w:val="0"/>
          <w:sz w:val="22"/>
          <w:szCs w:val="22"/>
        </w:rPr>
        <w:t xml:space="preserve"> </w:t>
      </w:r>
      <w:r>
        <w:rPr>
          <w:rFonts w:ascii="Times New Roman" w:eastAsia="Times New Roman" w:hAnsi="Times New Roman" w:cs="Times New Roman"/>
          <w:b w:val="0"/>
        </w:rPr>
        <w:t>96</w:t>
      </w:r>
      <w:r>
        <w:rPr>
          <w:rFonts w:ascii="Times New Roman" w:eastAsia="Times New Roman" w:hAnsi="Times New Roman" w:cs="Times New Roman"/>
          <w:b w:val="0"/>
        </w:rPr>
        <w:t xml:space="preserve"> (new § 260.31) of the regulations. These guidelines require that a facility’s quality control system have a written plan of the operation, identification of control points with acceptance criteria and a corrective action plan, as well as personnel identified with responsibility for oversight of the system. </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 xml:space="preserve">HACCP requires continuous monitoring and record keeping by the facility’s personnel. Although HACCP involves substantial self-monitoring by the industry, the HACCP-based program is not a self-certification program. It relies on unannounced system audits by NMFS, typically at quarterly intervals. The frequency of audits </w:t>
      </w:r>
      <w:r>
        <w:rPr>
          <w:rFonts w:ascii="Times New Roman" w:eastAsia="Times New Roman" w:hAnsi="Times New Roman" w:cs="Times New Roman"/>
          <w:b w:val="0"/>
        </w:rPr>
        <w:t>is determined</w:t>
      </w:r>
      <w:r>
        <w:rPr>
          <w:rFonts w:ascii="Times New Roman" w:eastAsia="Times New Roman" w:hAnsi="Times New Roman" w:cs="Times New Roman"/>
          <w:b w:val="0"/>
        </w:rPr>
        <w:t xml:space="preserve"> by the ability of the firm to monitor its operation. By means of these audits, NMFS reviews the records produced through the program participant’s self-monitoring. The audits determine whether the participant’s HACCP-based system is in compliance by checking for overall sanitation, accordance with good manufacturing practices, labeling, and other requirements. In addition, in-process reviews, end-product sampling, and laboratory analyses </w:t>
      </w:r>
      <w:r>
        <w:rPr>
          <w:rFonts w:ascii="Times New Roman" w:eastAsia="Times New Roman" w:hAnsi="Times New Roman" w:cs="Times New Roman"/>
          <w:b w:val="0"/>
        </w:rPr>
        <w:t>are performed</w:t>
      </w:r>
      <w:r>
        <w:rPr>
          <w:rFonts w:ascii="Times New Roman" w:eastAsia="Times New Roman" w:hAnsi="Times New Roman" w:cs="Times New Roman"/>
          <w:b w:val="0"/>
        </w:rPr>
        <w:t xml:space="preserve"> by NMFS at frequencies based on the potential consumer risk associated with the product and/or the firm’s history of compliance with the program’s criteria.</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 xml:space="preserve">The information collected </w:t>
      </w:r>
      <w:r>
        <w:rPr>
          <w:rFonts w:ascii="Times New Roman" w:eastAsia="Times New Roman" w:hAnsi="Times New Roman" w:cs="Times New Roman"/>
          <w:b w:val="0"/>
        </w:rPr>
        <w:t>is used</w:t>
      </w:r>
      <w:r>
        <w:rPr>
          <w:rFonts w:ascii="Times New Roman" w:eastAsia="Times New Roman" w:hAnsi="Times New Roman" w:cs="Times New Roman"/>
          <w:b w:val="0"/>
        </w:rPr>
        <w:t xml:space="preserve"> to determine a participant’s compliance with the program. The reported information, a HACCP plan, </w:t>
      </w:r>
      <w:r>
        <w:rPr>
          <w:rFonts w:ascii="Times New Roman" w:eastAsia="Times New Roman" w:hAnsi="Times New Roman" w:cs="Times New Roman"/>
          <w:b w:val="0"/>
        </w:rPr>
        <w:t>is needed</w:t>
      </w:r>
      <w:r>
        <w:rPr>
          <w:rFonts w:ascii="Times New Roman" w:eastAsia="Times New Roman" w:hAnsi="Times New Roman" w:cs="Times New Roman"/>
          <w:b w:val="0"/>
        </w:rPr>
        <w:t xml:space="preserve"> only once, but must be reviewed regularly and modified if needed. Other information </w:t>
      </w:r>
      <w:r>
        <w:rPr>
          <w:rFonts w:ascii="Times New Roman" w:eastAsia="Times New Roman" w:hAnsi="Times New Roman" w:cs="Times New Roman"/>
          <w:b w:val="0"/>
        </w:rPr>
        <w:t>is collected and kept by the participant as part of its routine monitoring activities</w:t>
      </w:r>
      <w:r>
        <w:rPr>
          <w:rFonts w:ascii="Times New Roman" w:eastAsia="Times New Roman" w:hAnsi="Times New Roman" w:cs="Times New Roman"/>
          <w:b w:val="0"/>
        </w:rPr>
        <w:t xml:space="preserve">. NMFS audits the participant’s records on unannounced frequencies </w:t>
      </w:r>
      <w:r>
        <w:rPr>
          <w:rFonts w:ascii="Times New Roman" w:eastAsia="Times New Roman" w:hAnsi="Times New Roman" w:cs="Times New Roman"/>
          <w:b w:val="0"/>
        </w:rPr>
        <w:t>to further determine</w:t>
      </w:r>
      <w:r>
        <w:rPr>
          <w:rFonts w:ascii="Times New Roman" w:eastAsia="Times New Roman" w:hAnsi="Times New Roman" w:cs="Times New Roman"/>
          <w:b w:val="0"/>
        </w:rPr>
        <w:t xml:space="preserve"> compliance.</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The FDA implemented mandatory HACCP seafood safety requirements in December 1997. The FDA regulations (21 CFR Part 123) include some of the same reporting elements as the NMFS HACCP program. However, one of the significant differences is that the FDA regulation is mandatory for all seafood processors and focuses on seafood safety only. The NMFS HACCP program is voluntary, is available to all segments of the seafood industry (from harvesters to retailers), and addresses not only food safety, but also wholesomeness (hygiene), economic integrity and food quality. There is a NMFS HACCP mark available to participants to assist them in marketing their products. FDA’s mandatory program has no mark. Further, the FDA regulations require a HACCP plan only if a hazard analysis reveals a seafood safety hazard. NMFS requires a HACCP plan for all participants in the HACCP Program. The NMFS HACCP program also assures participants’ compliance with international trade standards.</w:t>
      </w:r>
    </w:p>
    <w:p w:rsidR="00624948">
      <w:pPr>
        <w:pStyle w:val="Heading1"/>
        <w:tabs>
          <w:tab w:val="left" w:pos="360"/>
        </w:tabs>
        <w:spacing w:before="197"/>
        <w:ind w:firstLine="400"/>
        <w:rPr>
          <w:rFonts w:ascii="Times New Roman" w:eastAsia="Times New Roman" w:hAnsi="Times New Roman" w:cs="Times New Roman"/>
          <w:b w:val="0"/>
        </w:rPr>
      </w:pPr>
      <w:r>
        <w:rPr>
          <w:rFonts w:ascii="Times New Roman" w:eastAsia="Times New Roman" w:hAnsi="Times New Roman" w:cs="Times New Roman"/>
          <w:b w:val="0"/>
        </w:rPr>
        <w:t xml:space="preserve">The burden hours identified are those beyond the FDA’s mandatory HACCP requirements to ensure seafood safety.  HACCP-related burden hours are identified separately </w:t>
      </w:r>
      <w:r>
        <w:rPr>
          <w:rFonts w:ascii="Times New Roman" w:eastAsia="Times New Roman" w:hAnsi="Times New Roman" w:cs="Times New Roman"/>
          <w:b w:val="0"/>
        </w:rPr>
        <w:t>below and are based on an estimate of 15 new HACCP facilities per year</w:t>
      </w:r>
      <w:r>
        <w:rPr>
          <w:rFonts w:ascii="Times New Roman" w:eastAsia="Times New Roman" w:hAnsi="Times New Roman" w:cs="Times New Roman"/>
          <w:b w:val="0"/>
        </w:rPr>
        <w:t xml:space="preserve"> and include annual monitoring and record keeping estimates for the approximately 400 facilities currently in the Program.</w:t>
      </w:r>
    </w:p>
    <w:p w:rsidR="00624948">
      <w:pPr>
        <w:pStyle w:val="Heading1"/>
        <w:tabs>
          <w:tab w:val="left" w:pos="360"/>
        </w:tabs>
        <w:spacing w:before="197"/>
        <w:ind w:left="0"/>
        <w:rPr>
          <w:rFonts w:ascii="Times New Roman" w:eastAsia="Times New Roman" w:hAnsi="Times New Roman" w:cs="Times New Roman"/>
          <w:b w:val="0"/>
        </w:rPr>
      </w:pPr>
      <w:r>
        <w:rPr>
          <w:rFonts w:ascii="Times New Roman" w:eastAsia="Times New Roman" w:hAnsi="Times New Roman" w:cs="Times New Roman"/>
          <w:b w:val="0"/>
        </w:rPr>
        <w:t xml:space="preserve">National Oceanic and Atmospheric Administration, National Marine Fisheries Service (NOAA, NMFS)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w:t>
      </w:r>
      <w:r>
        <w:rPr>
          <w:rFonts w:ascii="Times New Roman" w:eastAsia="Times New Roman" w:hAnsi="Times New Roman" w:cs="Times New Roman"/>
          <w:b w:val="0"/>
        </w:rPr>
        <w:t>is designed</w:t>
      </w:r>
      <w:r>
        <w:rPr>
          <w:rFonts w:ascii="Times New Roman" w:eastAsia="Times New Roman" w:hAnsi="Times New Roman" w:cs="Times New Roman"/>
          <w:b w:val="0"/>
        </w:rPr>
        <w:t xml:space="preserve"> to yield data that meet all applicable information quality guidelines. Prior to dissemination, the information </w:t>
      </w:r>
      <w:r>
        <w:rPr>
          <w:rFonts w:ascii="Times New Roman" w:eastAsia="Times New Roman" w:hAnsi="Times New Roman" w:cs="Times New Roman"/>
          <w:b w:val="0"/>
        </w:rPr>
        <w:t>will be subjected</w:t>
      </w:r>
      <w:r>
        <w:rPr>
          <w:rFonts w:ascii="Times New Roman" w:eastAsia="Times New Roman" w:hAnsi="Times New Roman" w:cs="Times New Roman"/>
          <w:b w:val="0"/>
        </w:rPr>
        <w:t xml:space="preserve"> to quality control measures and a pre-dissemination review pursuant to </w:t>
      </w:r>
      <w:hyperlink r:id="rId10">
        <w:r>
          <w:rPr>
            <w:rFonts w:ascii="Times New Roman" w:eastAsia="Times New Roman" w:hAnsi="Times New Roman" w:cs="Times New Roman"/>
            <w:b w:val="0"/>
            <w:color w:val="0000FF"/>
            <w:u w:val="single"/>
          </w:rPr>
          <w:t>Section 515 of Public Law 106-554</w:t>
        </w:r>
      </w:hyperlink>
      <w:r>
        <w:rPr>
          <w:rFonts w:ascii="Times New Roman" w:eastAsia="Times New Roman" w:hAnsi="Times New Roman" w:cs="Times New Roman"/>
          <w:b w:val="0"/>
        </w:rPr>
        <w:t>.</w:t>
      </w:r>
    </w:p>
    <w:p w:rsidR="00624948">
      <w:pPr>
        <w:pStyle w:val="Heading1"/>
        <w:spacing w:before="161"/>
        <w:ind w:left="0"/>
        <w:rPr>
          <w:rFonts w:ascii="Times New Roman" w:eastAsia="Times New Roman" w:hAnsi="Times New Roman" w:cs="Times New Roman"/>
        </w:rPr>
      </w:pPr>
      <w:r>
        <w:rPr>
          <w:rFonts w:ascii="Times New Roman" w:eastAsia="Times New Roman" w:hAnsi="Times New Roman" w:cs="Times New Roman"/>
        </w:rPr>
        <w:t>Table 1: Information Requirements and Needs and Uses of Information Collected</w:t>
      </w:r>
    </w:p>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p>
    <w:tbl>
      <w:tblPr>
        <w:tblStyle w:val="a"/>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970"/>
        <w:gridCol w:w="1322"/>
        <w:gridCol w:w="2157"/>
        <w:gridCol w:w="1363"/>
        <w:gridCol w:w="3000"/>
      </w:tblGrid>
      <w:tr>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729"/>
        </w:trPr>
        <w:tc>
          <w:tcPr>
            <w:tcW w:w="990" w:type="dxa"/>
            <w:shd w:val="clear" w:color="auto" w:fill="DEEAF6"/>
          </w:tcPr>
          <w:p w:rsidR="00624948">
            <w:pPr>
              <w:pBdr>
                <w:top w:val="nil"/>
                <w:left w:val="nil"/>
                <w:bottom w:val="nil"/>
                <w:right w:val="nil"/>
                <w:between w:val="nil"/>
              </w:pBdr>
              <w:spacing w:before="11"/>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Item #</w:t>
            </w:r>
          </w:p>
        </w:tc>
        <w:tc>
          <w:tcPr>
            <w:tcW w:w="1970" w:type="dxa"/>
            <w:shd w:val="clear" w:color="auto" w:fill="DEEAF6"/>
          </w:tcPr>
          <w:p w:rsidR="00624948">
            <w:pPr>
              <w:pBdr>
                <w:top w:val="nil"/>
                <w:left w:val="nil"/>
                <w:bottom w:val="nil"/>
                <w:right w:val="nil"/>
                <w:between w:val="nil"/>
              </w:pBdr>
              <w:spacing w:before="11"/>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Requirement</w:t>
            </w:r>
          </w:p>
        </w:tc>
        <w:tc>
          <w:tcPr>
            <w:tcW w:w="1322" w:type="dxa"/>
            <w:shd w:val="clear" w:color="auto" w:fill="DEEAF6"/>
          </w:tcPr>
          <w:p w:rsidR="00624948">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Statute</w:t>
            </w:r>
          </w:p>
        </w:tc>
        <w:tc>
          <w:tcPr>
            <w:tcW w:w="2157" w:type="dxa"/>
            <w:shd w:val="clear" w:color="auto" w:fill="DEEAF6"/>
          </w:tcPr>
          <w:p w:rsidR="00624948">
            <w:pPr>
              <w:pBdr>
                <w:top w:val="nil"/>
                <w:left w:val="nil"/>
                <w:bottom w:val="nil"/>
                <w:right w:val="nil"/>
                <w:between w:val="nil"/>
              </w:pBdr>
              <w:spacing w:before="11"/>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Regulation</w:t>
            </w:r>
          </w:p>
        </w:tc>
        <w:tc>
          <w:tcPr>
            <w:tcW w:w="1363" w:type="dxa"/>
            <w:shd w:val="clear" w:color="auto" w:fill="DEEAF6"/>
          </w:tcPr>
          <w:p w:rsidR="00624948">
            <w:pPr>
              <w:pBdr>
                <w:top w:val="nil"/>
                <w:left w:val="nil"/>
                <w:bottom w:val="nil"/>
                <w:right w:val="nil"/>
                <w:between w:val="nil"/>
              </w:pBdr>
              <w:spacing w:before="11"/>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Form #</w:t>
            </w:r>
          </w:p>
        </w:tc>
        <w:tc>
          <w:tcPr>
            <w:tcW w:w="3000" w:type="dxa"/>
            <w:shd w:val="clear" w:color="auto" w:fill="DEEAF6"/>
          </w:tcPr>
          <w:p w:rsidR="00624948">
            <w:pPr>
              <w:pBdr>
                <w:top w:val="nil"/>
                <w:left w:val="nil"/>
                <w:bottom w:val="nil"/>
                <w:right w:val="nil"/>
                <w:between w:val="nil"/>
              </w:pBdr>
              <w:spacing w:before="11"/>
              <w:rPr>
                <w:rFonts w:ascii="Times New Roman" w:eastAsia="Times New Roman" w:hAnsi="Times New Roman" w:cs="Times New Roman"/>
                <w:b/>
                <w:color w:val="000000"/>
                <w:sz w:val="20"/>
                <w:szCs w:val="20"/>
              </w:rPr>
            </w:pPr>
          </w:p>
          <w:p w:rsidR="00624948">
            <w:pPr>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2F5496"/>
                <w:sz w:val="20"/>
                <w:szCs w:val="20"/>
              </w:rPr>
              <w:t>Needs and Uses</w:t>
            </w:r>
          </w:p>
        </w:tc>
      </w:tr>
      <w:tr>
        <w:tblPrEx>
          <w:tblW w:w="10802" w:type="dxa"/>
          <w:tblInd w:w="-5" w:type="dxa"/>
          <w:tblLayout w:type="fixed"/>
          <w:tblLook w:val="0000"/>
        </w:tblPrEx>
        <w:trPr>
          <w:trHeight w:val="726"/>
        </w:trPr>
        <w:tc>
          <w:tcPr>
            <w:tcW w:w="99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97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Service Requests</w:t>
            </w:r>
          </w:p>
        </w:tc>
        <w:tc>
          <w:tcPr>
            <w:tcW w:w="1322" w:type="dxa"/>
          </w:tcPr>
          <w:p w:rsidR="00624948">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624948">
            <w:pPr>
              <w:pBdr>
                <w:top w:val="nil"/>
                <w:left w:val="nil"/>
                <w:bottom w:val="nil"/>
                <w:right w:val="nil"/>
                <w:between w:val="nil"/>
              </w:pBdr>
              <w:ind w:hanging="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77 U.S.C. 1621 </w:t>
            </w:r>
            <w:r>
              <w:rPr>
                <w:rFonts w:ascii="Times New Roman" w:eastAsia="Times New Roman" w:hAnsi="Times New Roman" w:cs="Times New Roman"/>
                <w:i/>
                <w:color w:val="000000"/>
                <w:sz w:val="20"/>
                <w:szCs w:val="20"/>
                <w:highlight w:val="white"/>
              </w:rPr>
              <w:t>et seq.</w:t>
            </w:r>
          </w:p>
        </w:tc>
        <w:tc>
          <w:tcPr>
            <w:tcW w:w="2157"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50 CFR 260.15 (new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260.6)</w:t>
            </w:r>
          </w:p>
        </w:tc>
        <w:tc>
          <w:tcPr>
            <w:tcW w:w="1363"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89-814</w:t>
            </w:r>
          </w:p>
        </w:tc>
        <w:tc>
          <w:tcPr>
            <w:tcW w:w="3000" w:type="dxa"/>
          </w:tcPr>
          <w:p w:rsidR="00624948">
            <w:pPr>
              <w:pBdr>
                <w:top w:val="nil"/>
                <w:left w:val="nil"/>
                <w:bottom w:val="nil"/>
                <w:right w:val="nil"/>
                <w:between w:val="nil"/>
              </w:pBdr>
              <w:spacing w:before="7"/>
              <w:rPr>
                <w:rFonts w:ascii="Times New Roman" w:eastAsia="Times New Roman" w:hAnsi="Times New Roman" w:cs="Times New Roman"/>
                <w:b/>
                <w:color w:val="000000"/>
                <w:sz w:val="20"/>
                <w:szCs w:val="20"/>
              </w:rPr>
            </w:pPr>
          </w:p>
          <w:p w:rsidR="00624948">
            <w:pPr>
              <w:numPr>
                <w:ilvl w:val="0"/>
                <w:numId w:val="3"/>
              </w:numPr>
              <w:pBdr>
                <w:top w:val="nil"/>
                <w:left w:val="nil"/>
                <w:bottom w:val="nil"/>
                <w:right w:val="nil"/>
                <w:between w:val="nil"/>
              </w:pBdr>
              <w:tabs>
                <w:tab w:val="left" w:pos="469"/>
                <w:tab w:val="left" w:pos="470"/>
              </w:tabs>
              <w:spacing w:before="1"/>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Used by SIP to determine what service to provide to applicant and issue appropriate documentation</w:t>
            </w:r>
          </w:p>
        </w:tc>
      </w:tr>
      <w:tr>
        <w:tblPrEx>
          <w:tblW w:w="10802" w:type="dxa"/>
          <w:tblInd w:w="-5" w:type="dxa"/>
          <w:tblLayout w:type="fixed"/>
          <w:tblLook w:val="0000"/>
        </w:tblPrEx>
        <w:trPr>
          <w:trHeight w:val="700"/>
        </w:trPr>
        <w:tc>
          <w:tcPr>
            <w:tcW w:w="99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97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New and amended contracts</w:t>
            </w:r>
          </w:p>
        </w:tc>
        <w:tc>
          <w:tcPr>
            <w:tcW w:w="1322" w:type="dxa"/>
          </w:tcPr>
          <w:p w:rsidR="00624948">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624948">
            <w:pPr>
              <w:pBdr>
                <w:top w:val="nil"/>
                <w:left w:val="nil"/>
                <w:bottom w:val="nil"/>
                <w:right w:val="nil"/>
                <w:between w:val="nil"/>
              </w:pBdr>
              <w:ind w:hanging="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77 U.S.C. 1621 </w:t>
            </w:r>
            <w:r>
              <w:rPr>
                <w:rFonts w:ascii="Times New Roman" w:eastAsia="Times New Roman" w:hAnsi="Times New Roman" w:cs="Times New Roman"/>
                <w:i/>
                <w:color w:val="000000"/>
                <w:sz w:val="20"/>
                <w:szCs w:val="20"/>
                <w:highlight w:val="white"/>
              </w:rPr>
              <w:t>et seq.</w:t>
            </w:r>
          </w:p>
        </w:tc>
        <w:tc>
          <w:tcPr>
            <w:tcW w:w="2157"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50 CFR 260.96 (new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260.31)</w:t>
            </w:r>
          </w:p>
        </w:tc>
        <w:tc>
          <w:tcPr>
            <w:tcW w:w="1363"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89-800</w:t>
            </w:r>
          </w:p>
        </w:tc>
        <w:tc>
          <w:tcPr>
            <w:tcW w:w="3000" w:type="dxa"/>
          </w:tcPr>
          <w:p w:rsidR="00624948">
            <w:pPr>
              <w:pBdr>
                <w:top w:val="nil"/>
                <w:left w:val="nil"/>
                <w:bottom w:val="nil"/>
                <w:right w:val="nil"/>
                <w:between w:val="nil"/>
              </w:pBdr>
              <w:rPr>
                <w:rFonts w:ascii="Times New Roman" w:eastAsia="Times New Roman" w:hAnsi="Times New Roman" w:cs="Times New Roman"/>
                <w:b/>
                <w:color w:val="000000"/>
                <w:sz w:val="20"/>
                <w:szCs w:val="20"/>
              </w:rPr>
            </w:pPr>
          </w:p>
          <w:p w:rsidR="00624948">
            <w:pPr>
              <w:numPr>
                <w:ilvl w:val="0"/>
                <w:numId w:val="2"/>
              </w:numPr>
              <w:pBdr>
                <w:top w:val="nil"/>
                <w:left w:val="nil"/>
                <w:bottom w:val="nil"/>
                <w:right w:val="nil"/>
                <w:between w:val="nil"/>
              </w:pBdr>
              <w:tabs>
                <w:tab w:val="left" w:pos="469"/>
                <w:tab w:val="left" w:pos="470"/>
              </w:tabs>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Used by SIP to provide regular service to applicant and ensure available manpower to cover those services</w:t>
            </w:r>
          </w:p>
        </w:tc>
      </w:tr>
      <w:tr>
        <w:tblPrEx>
          <w:tblW w:w="10802" w:type="dxa"/>
          <w:tblInd w:w="-5" w:type="dxa"/>
          <w:tblLayout w:type="fixed"/>
          <w:tblLook w:val="0000"/>
        </w:tblPrEx>
        <w:trPr>
          <w:trHeight w:val="700"/>
        </w:trPr>
        <w:tc>
          <w:tcPr>
            <w:tcW w:w="990" w:type="dxa"/>
          </w:tcPr>
          <w:p w:rsidR="00624948">
            <w:pPr>
              <w:pBdr>
                <w:top w:val="nil"/>
                <w:left w:val="nil"/>
                <w:bottom w:val="nil"/>
                <w:right w:val="nil"/>
                <w:between w:val="nil"/>
              </w:pBdr>
              <w:spacing w:before="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970" w:type="dxa"/>
          </w:tcPr>
          <w:p w:rsidR="00624948">
            <w:pPr>
              <w:pBdr>
                <w:top w:val="nil"/>
                <w:left w:val="nil"/>
                <w:bottom w:val="nil"/>
                <w:right w:val="nil"/>
                <w:between w:val="nil"/>
              </w:pBdr>
              <w:spacing w:before="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Surety Bond</w:t>
            </w:r>
          </w:p>
        </w:tc>
        <w:tc>
          <w:tcPr>
            <w:tcW w:w="1322" w:type="dxa"/>
          </w:tcPr>
          <w:p w:rsidR="00624948">
            <w:pPr>
              <w:pBdr>
                <w:top w:val="nil"/>
                <w:left w:val="nil"/>
                <w:bottom w:val="nil"/>
                <w:right w:val="nil"/>
                <w:between w:val="nil"/>
              </w:pBdr>
              <w:spacing w:before="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 U.S.C. 1621 </w:t>
            </w:r>
            <w:r>
              <w:rPr>
                <w:rFonts w:ascii="Times New Roman" w:eastAsia="Times New Roman" w:hAnsi="Times New Roman" w:cs="Times New Roman"/>
                <w:i/>
                <w:color w:val="000000"/>
                <w:sz w:val="20"/>
                <w:szCs w:val="20"/>
              </w:rPr>
              <w:t>et seq.</w:t>
            </w:r>
          </w:p>
        </w:tc>
        <w:tc>
          <w:tcPr>
            <w:tcW w:w="2157" w:type="dxa"/>
          </w:tcPr>
          <w:p w:rsidR="00624948">
            <w:pPr>
              <w:pBdr>
                <w:top w:val="nil"/>
                <w:left w:val="nil"/>
                <w:bottom w:val="nil"/>
                <w:right w:val="nil"/>
                <w:between w:val="nil"/>
              </w:pBdr>
              <w:spacing w:before="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50 CFR 260.69 (new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260.30)</w:t>
            </w:r>
          </w:p>
        </w:tc>
        <w:tc>
          <w:tcPr>
            <w:tcW w:w="1363" w:type="dxa"/>
          </w:tcPr>
          <w:p w:rsidR="00624948">
            <w:pPr>
              <w:pBdr>
                <w:top w:val="nil"/>
                <w:left w:val="nil"/>
                <w:bottom w:val="nil"/>
                <w:right w:val="nil"/>
                <w:between w:val="nil"/>
              </w:pBdr>
              <w:spacing w:before="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89-801</w:t>
            </w:r>
          </w:p>
        </w:tc>
        <w:tc>
          <w:tcPr>
            <w:tcW w:w="3000" w:type="dxa"/>
          </w:tcPr>
          <w:p w:rsidR="00624948">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Used by SIP to guarantee payment of fees</w:t>
            </w:r>
          </w:p>
        </w:tc>
      </w:tr>
      <w:tr>
        <w:tblPrEx>
          <w:tblW w:w="10802" w:type="dxa"/>
          <w:tblInd w:w="-5" w:type="dxa"/>
          <w:tblLayout w:type="fixed"/>
          <w:tblLook w:val="0000"/>
        </w:tblPrEx>
        <w:trPr>
          <w:trHeight w:val="700"/>
        </w:trPr>
        <w:tc>
          <w:tcPr>
            <w:tcW w:w="99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97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Appeals</w:t>
            </w:r>
          </w:p>
        </w:tc>
        <w:tc>
          <w:tcPr>
            <w:tcW w:w="1322" w:type="dxa"/>
          </w:tcPr>
          <w:p w:rsidR="00624948">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624948">
            <w:pPr>
              <w:pBdr>
                <w:top w:val="nil"/>
                <w:left w:val="nil"/>
                <w:bottom w:val="nil"/>
                <w:right w:val="nil"/>
                <w:between w:val="nil"/>
              </w:pBdr>
              <w:ind w:hanging="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color w:val="000000"/>
                <w:sz w:val="20"/>
                <w:szCs w:val="20"/>
                <w:highlight w:val="white"/>
              </w:rPr>
              <w:t>7 U.S.C. 1621 </w:t>
            </w:r>
            <w:r>
              <w:rPr>
                <w:rFonts w:ascii="Times New Roman" w:eastAsia="Times New Roman" w:hAnsi="Times New Roman" w:cs="Times New Roman"/>
                <w:i/>
                <w:color w:val="000000"/>
                <w:sz w:val="20"/>
                <w:szCs w:val="20"/>
                <w:highlight w:val="white"/>
              </w:rPr>
              <w:t>et seq.</w:t>
            </w:r>
          </w:p>
        </w:tc>
        <w:tc>
          <w:tcPr>
            <w:tcW w:w="2157"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50 CFR 260.36 (new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260.19)</w:t>
            </w:r>
          </w:p>
        </w:tc>
        <w:tc>
          <w:tcPr>
            <w:tcW w:w="1363"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3000" w:type="dxa"/>
          </w:tcPr>
          <w:p w:rsidR="00624948">
            <w:pPr>
              <w:pBdr>
                <w:top w:val="nil"/>
                <w:left w:val="nil"/>
                <w:bottom w:val="nil"/>
                <w:right w:val="nil"/>
                <w:between w:val="nil"/>
              </w:pBdr>
              <w:rPr>
                <w:rFonts w:ascii="Times New Roman" w:eastAsia="Times New Roman" w:hAnsi="Times New Roman" w:cs="Times New Roman"/>
                <w:b/>
                <w:color w:val="000000"/>
                <w:sz w:val="20"/>
                <w:szCs w:val="20"/>
              </w:rPr>
            </w:pPr>
          </w:p>
          <w:p w:rsidR="00624948">
            <w:pPr>
              <w:numPr>
                <w:ilvl w:val="0"/>
                <w:numId w:val="2"/>
              </w:numPr>
              <w:pBdr>
                <w:top w:val="nil"/>
                <w:left w:val="nil"/>
                <w:bottom w:val="nil"/>
                <w:right w:val="nil"/>
                <w:between w:val="nil"/>
              </w:pBdr>
              <w:tabs>
                <w:tab w:val="left" w:pos="469"/>
                <w:tab w:val="left" w:pos="470"/>
              </w:tabs>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Used by SIP to re-evaluate results from a previous service</w:t>
            </w:r>
          </w:p>
        </w:tc>
      </w:tr>
      <w:tr>
        <w:tblPrEx>
          <w:tblW w:w="10802" w:type="dxa"/>
          <w:tblInd w:w="-5" w:type="dxa"/>
          <w:tblLayout w:type="fixed"/>
          <w:tblLook w:val="0000"/>
        </w:tblPrEx>
        <w:trPr>
          <w:trHeight w:val="700"/>
        </w:trPr>
        <w:tc>
          <w:tcPr>
            <w:tcW w:w="99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97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Approved Establishment Applications</w:t>
            </w:r>
          </w:p>
        </w:tc>
        <w:tc>
          <w:tcPr>
            <w:tcW w:w="1322" w:type="dxa"/>
          </w:tcPr>
          <w:p w:rsidR="00624948">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624948">
            <w:pPr>
              <w:pBdr>
                <w:top w:val="nil"/>
                <w:left w:val="nil"/>
                <w:bottom w:val="nil"/>
                <w:right w:val="nil"/>
                <w:between w:val="nil"/>
              </w:pBdr>
              <w:ind w:hanging="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color w:val="000000"/>
                <w:sz w:val="20"/>
                <w:szCs w:val="20"/>
                <w:highlight w:val="white"/>
              </w:rPr>
              <w:t>7 U.S.C. 1621 </w:t>
            </w:r>
            <w:r>
              <w:rPr>
                <w:rFonts w:ascii="Times New Roman" w:eastAsia="Times New Roman" w:hAnsi="Times New Roman" w:cs="Times New Roman"/>
                <w:i/>
                <w:color w:val="000000"/>
                <w:sz w:val="20"/>
                <w:szCs w:val="20"/>
                <w:highlight w:val="white"/>
              </w:rPr>
              <w:t>et seq.</w:t>
            </w:r>
          </w:p>
        </w:tc>
        <w:tc>
          <w:tcPr>
            <w:tcW w:w="2157"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50 CFR 260.96 (new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260.31)</w:t>
            </w:r>
          </w:p>
        </w:tc>
        <w:tc>
          <w:tcPr>
            <w:tcW w:w="1363"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3000" w:type="dxa"/>
          </w:tcPr>
          <w:p w:rsidR="00624948">
            <w:pPr>
              <w:pBdr>
                <w:top w:val="nil"/>
                <w:left w:val="nil"/>
                <w:bottom w:val="nil"/>
                <w:right w:val="nil"/>
                <w:between w:val="nil"/>
              </w:pBdr>
              <w:rPr>
                <w:rFonts w:ascii="Times New Roman" w:eastAsia="Times New Roman" w:hAnsi="Times New Roman" w:cs="Times New Roman"/>
                <w:b/>
                <w:color w:val="000000"/>
                <w:sz w:val="20"/>
                <w:szCs w:val="20"/>
              </w:rPr>
            </w:pPr>
          </w:p>
          <w:p w:rsidR="00624948">
            <w:pPr>
              <w:numPr>
                <w:ilvl w:val="0"/>
                <w:numId w:val="2"/>
              </w:numPr>
              <w:pBdr>
                <w:top w:val="nil"/>
                <w:left w:val="nil"/>
                <w:bottom w:val="nil"/>
                <w:right w:val="nil"/>
                <w:between w:val="nil"/>
              </w:pBdr>
              <w:tabs>
                <w:tab w:val="left" w:pos="469"/>
                <w:tab w:val="left" w:pos="470"/>
              </w:tabs>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Used by SIP to ensure compliance to Program requirements</w:t>
            </w:r>
          </w:p>
        </w:tc>
      </w:tr>
      <w:tr>
        <w:tblPrEx>
          <w:tblW w:w="10802" w:type="dxa"/>
          <w:tblInd w:w="-5" w:type="dxa"/>
          <w:tblLayout w:type="fixed"/>
          <w:tblLook w:val="0000"/>
        </w:tblPrEx>
        <w:trPr>
          <w:trHeight w:val="700"/>
        </w:trPr>
        <w:tc>
          <w:tcPr>
            <w:tcW w:w="99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970"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CN Label and Specification Submissions</w:t>
            </w:r>
          </w:p>
        </w:tc>
        <w:tc>
          <w:tcPr>
            <w:tcW w:w="1322" w:type="dxa"/>
          </w:tcPr>
          <w:p w:rsidR="00624948">
            <w:pPr>
              <w:pBdr>
                <w:top w:val="nil"/>
                <w:left w:val="nil"/>
                <w:bottom w:val="nil"/>
                <w:right w:val="nil"/>
                <w:between w:val="nil"/>
              </w:pBdr>
              <w:spacing w:before="9"/>
              <w:rPr>
                <w:rFonts w:ascii="Times New Roman" w:eastAsia="Times New Roman" w:hAnsi="Times New Roman" w:cs="Times New Roman"/>
                <w:b/>
                <w:color w:val="000000"/>
                <w:sz w:val="20"/>
                <w:szCs w:val="20"/>
              </w:rPr>
            </w:pPr>
          </w:p>
          <w:p w:rsidR="00624948">
            <w:pPr>
              <w:pBdr>
                <w:top w:val="nil"/>
                <w:left w:val="nil"/>
                <w:bottom w:val="nil"/>
                <w:right w:val="nil"/>
                <w:between w:val="nil"/>
              </w:pBdr>
              <w:ind w:hanging="8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r>
              <w:rPr>
                <w:rFonts w:ascii="Times New Roman" w:eastAsia="Times New Roman" w:hAnsi="Times New Roman" w:cs="Times New Roman"/>
                <w:color w:val="000000"/>
                <w:sz w:val="20"/>
                <w:szCs w:val="20"/>
                <w:highlight w:val="white"/>
              </w:rPr>
              <w:t>7 U.S.C. 1621 </w:t>
            </w:r>
            <w:r>
              <w:rPr>
                <w:rFonts w:ascii="Times New Roman" w:eastAsia="Times New Roman" w:hAnsi="Times New Roman" w:cs="Times New Roman"/>
                <w:i/>
                <w:color w:val="000000"/>
                <w:sz w:val="20"/>
                <w:szCs w:val="20"/>
                <w:highlight w:val="white"/>
              </w:rPr>
              <w:t>et seq.</w:t>
            </w:r>
          </w:p>
        </w:tc>
        <w:tc>
          <w:tcPr>
            <w:tcW w:w="2157"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50 CFR 260.97 (new </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260.35)</w:t>
            </w:r>
          </w:p>
        </w:tc>
        <w:tc>
          <w:tcPr>
            <w:tcW w:w="1363" w:type="dxa"/>
          </w:tcPr>
          <w:p w:rsidR="00624948">
            <w:pPr>
              <w:pBdr>
                <w:top w:val="nil"/>
                <w:left w:val="nil"/>
                <w:bottom w:val="nil"/>
                <w:right w:val="nil"/>
                <w:between w:val="nil"/>
              </w:pBdr>
              <w:spacing w:before="9"/>
              <w:jc w:val="center"/>
              <w:rPr>
                <w:rFonts w:ascii="Times New Roman" w:eastAsia="Times New Roman" w:hAnsi="Times New Roman" w:cs="Times New Roman"/>
                <w:b/>
                <w:color w:val="000000"/>
                <w:sz w:val="20"/>
                <w:szCs w:val="20"/>
              </w:rPr>
            </w:pPr>
          </w:p>
          <w:p w:rsidR="00624948">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c>
          <w:tcPr>
            <w:tcW w:w="3000" w:type="dxa"/>
          </w:tcPr>
          <w:p w:rsidR="00624948">
            <w:pPr>
              <w:pBdr>
                <w:top w:val="nil"/>
                <w:left w:val="nil"/>
                <w:bottom w:val="nil"/>
                <w:right w:val="nil"/>
                <w:between w:val="nil"/>
              </w:pBdr>
              <w:rPr>
                <w:rFonts w:ascii="Times New Roman" w:eastAsia="Times New Roman" w:hAnsi="Times New Roman" w:cs="Times New Roman"/>
                <w:b/>
                <w:color w:val="000000"/>
                <w:sz w:val="20"/>
                <w:szCs w:val="20"/>
              </w:rPr>
            </w:pPr>
          </w:p>
          <w:p w:rsidR="00624948">
            <w:pPr>
              <w:numPr>
                <w:ilvl w:val="0"/>
                <w:numId w:val="2"/>
              </w:numPr>
              <w:pBdr>
                <w:top w:val="nil"/>
                <w:left w:val="nil"/>
                <w:bottom w:val="nil"/>
                <w:right w:val="nil"/>
                <w:between w:val="nil"/>
              </w:pBdr>
              <w:tabs>
                <w:tab w:val="left" w:pos="469"/>
                <w:tab w:val="left" w:pos="470"/>
              </w:tabs>
              <w:ind w:left="0" w:hanging="36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Used by SIP to approve labels and specifications for the USDA Child Nutrition Program</w:t>
            </w:r>
          </w:p>
        </w:tc>
      </w:tr>
    </w:tbl>
    <w:p w:rsidR="00624948">
      <w:pPr>
        <w:numPr>
          <w:ilvl w:val="0"/>
          <w:numId w:val="4"/>
        </w:numPr>
        <w:pBdr>
          <w:top w:val="nil"/>
          <w:left w:val="nil"/>
          <w:bottom w:val="nil"/>
          <w:right w:val="nil"/>
          <w:between w:val="nil"/>
        </w:pBdr>
        <w:tabs>
          <w:tab w:val="left" w:pos="360"/>
        </w:tabs>
        <w:spacing w:before="199"/>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4948">
      <w:pPr>
        <w:spacing w:before="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involves the use of automated, electronic or other technological techniques, in addition to requests received over the phone and via the mail.  Over 90% of the examples of CN labels and specifications </w:t>
      </w:r>
      <w:r>
        <w:rPr>
          <w:rFonts w:ascii="Times New Roman" w:eastAsia="Times New Roman" w:hAnsi="Times New Roman" w:cs="Times New Roman"/>
          <w:sz w:val="24"/>
          <w:szCs w:val="24"/>
        </w:rPr>
        <w:t>are submitted</w:t>
      </w:r>
      <w:r>
        <w:rPr>
          <w:rFonts w:ascii="Times New Roman" w:eastAsia="Times New Roman" w:hAnsi="Times New Roman" w:cs="Times New Roman"/>
          <w:sz w:val="24"/>
          <w:szCs w:val="24"/>
        </w:rPr>
        <w:t xml:space="preserve"> via email to the Program’s review staff for approval. The fillable form for Request for Inspection Services (89-814) is available from the SIP web site at </w:t>
      </w:r>
      <w:hyperlink r:id="rId9">
        <w:r>
          <w:rPr>
            <w:rFonts w:ascii="Times New Roman" w:eastAsia="Times New Roman" w:hAnsi="Times New Roman" w:cs="Times New Roman"/>
            <w:color w:val="0000FF"/>
            <w:sz w:val="24"/>
            <w:szCs w:val="24"/>
            <w:u w:val="single"/>
          </w:rPr>
          <w:t>https://media.fisheries.noaa.gov/dam-migration/request-for-inspection-services.pdf</w:t>
        </w:r>
      </w:hyperlink>
      <w:r>
        <w:rPr>
          <w:rFonts w:ascii="Times New Roman" w:eastAsia="Times New Roman" w:hAnsi="Times New Roman" w:cs="Times New Roman"/>
          <w:sz w:val="24"/>
          <w:szCs w:val="24"/>
        </w:rPr>
        <w:t xml:space="preserve">. The program has developed and implemented an </w:t>
      </w:r>
      <w:hyperlink r:id="rId11">
        <w:r>
          <w:rPr>
            <w:rFonts w:ascii="Times New Roman" w:eastAsia="Times New Roman" w:hAnsi="Times New Roman" w:cs="Times New Roman"/>
            <w:color w:val="0000FF"/>
            <w:sz w:val="24"/>
            <w:szCs w:val="24"/>
            <w:u w:val="single"/>
          </w:rPr>
          <w:t>online portal system</w:t>
        </w:r>
      </w:hyperlink>
      <w:r>
        <w:rPr>
          <w:rFonts w:ascii="Times New Roman" w:eastAsia="Times New Roman" w:hAnsi="Times New Roman" w:cs="Times New Roman"/>
          <w:sz w:val="24"/>
          <w:szCs w:val="24"/>
        </w:rPr>
        <w:t xml:space="preserve">, which is our primary source for gathering information. Once an account is created in the online portal, users need not re-enter business information for each new request, and much of the product information </w:t>
      </w:r>
      <w:r>
        <w:rPr>
          <w:rFonts w:ascii="Times New Roman" w:eastAsia="Times New Roman" w:hAnsi="Times New Roman" w:cs="Times New Roman"/>
          <w:sz w:val="24"/>
          <w:szCs w:val="24"/>
        </w:rPr>
        <w:t>can also</w:t>
      </w:r>
      <w:r>
        <w:rPr>
          <w:rFonts w:ascii="Times New Roman" w:eastAsia="Times New Roman" w:hAnsi="Times New Roman" w:cs="Times New Roman"/>
          <w:sz w:val="24"/>
          <w:szCs w:val="24"/>
        </w:rPr>
        <w:t xml:space="preserve"> be stored for re-use. The online portal continues to </w:t>
      </w:r>
      <w:r>
        <w:rPr>
          <w:rFonts w:ascii="Times New Roman" w:eastAsia="Times New Roman" w:hAnsi="Times New Roman" w:cs="Times New Roman"/>
          <w:sz w:val="24"/>
          <w:szCs w:val="24"/>
        </w:rPr>
        <w:t>be updated</w:t>
      </w:r>
      <w:r>
        <w:rPr>
          <w:rFonts w:ascii="Times New Roman" w:eastAsia="Times New Roman" w:hAnsi="Times New Roman" w:cs="Times New Roman"/>
          <w:sz w:val="24"/>
          <w:szCs w:val="24"/>
        </w:rPr>
        <w:t xml:space="preserve"> with new functions, and the goal of SIP is to eventually have all requests for service come through the online portal. Currently, all product inspection and certificate requests come through the online portal, but a few new customers may request consultative audits and facility inspections via the paper form. </w:t>
      </w:r>
    </w:p>
    <w:p w:rsidR="00624948">
      <w:pPr>
        <w:spacing w:before="161"/>
        <w:rPr>
          <w:rFonts w:ascii="Times New Roman" w:eastAsia="Times New Roman" w:hAnsi="Times New Roman" w:cs="Times New Roman"/>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mentioned in Question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the FDA HACCP regulations require some of the same reporting elements as the NMFS HACCP program. This statement includes reporting burden beyond what is required under the FDA regulations </w:t>
      </w:r>
      <w:r>
        <w:rPr>
          <w:rFonts w:ascii="Times New Roman" w:eastAsia="Times New Roman" w:hAnsi="Times New Roman" w:cs="Times New Roman"/>
          <w:color w:val="000000"/>
          <w:sz w:val="24"/>
          <w:szCs w:val="24"/>
        </w:rPr>
        <w:t>to better ensure</w:t>
      </w:r>
      <w:r>
        <w:rPr>
          <w:rFonts w:ascii="Times New Roman" w:eastAsia="Times New Roman" w:hAnsi="Times New Roman" w:cs="Times New Roman"/>
          <w:color w:val="000000"/>
          <w:sz w:val="24"/>
          <w:szCs w:val="24"/>
        </w:rPr>
        <w:t xml:space="preserve"> seafood safety. In other words, an applicant’s NMFS HACCP plan is acceptable under the FDA regulations so that no additional plan </w:t>
      </w:r>
      <w:r>
        <w:rPr>
          <w:rFonts w:ascii="Times New Roman" w:eastAsia="Times New Roman" w:hAnsi="Times New Roman" w:cs="Times New Roman"/>
          <w:color w:val="000000"/>
          <w:sz w:val="24"/>
          <w:szCs w:val="24"/>
        </w:rPr>
        <w:t>is needed</w:t>
      </w:r>
      <w:r>
        <w:rPr>
          <w:rFonts w:ascii="Times New Roman" w:eastAsia="Times New Roman" w:hAnsi="Times New Roman" w:cs="Times New Roman"/>
          <w:color w:val="000000"/>
          <w:sz w:val="24"/>
          <w:szCs w:val="24"/>
        </w:rPr>
        <w:t xml:space="preserve"> for FDA. If, however, the applicant wishes to participate in the NMFS HACCP program and already has an FDA HACCP plan, the FDA HACCP plan </w:t>
      </w:r>
      <w:r>
        <w:rPr>
          <w:rFonts w:ascii="Times New Roman" w:eastAsia="Times New Roman" w:hAnsi="Times New Roman" w:cs="Times New Roman"/>
          <w:color w:val="000000"/>
          <w:sz w:val="24"/>
          <w:szCs w:val="24"/>
        </w:rPr>
        <w:t>would just be expanded</w:t>
      </w:r>
      <w:r>
        <w:rPr>
          <w:rFonts w:ascii="Times New Roman" w:eastAsia="Times New Roman" w:hAnsi="Times New Roman" w:cs="Times New Roman"/>
          <w:color w:val="000000"/>
          <w:sz w:val="24"/>
          <w:szCs w:val="24"/>
        </w:rPr>
        <w:t xml:space="preserve"> to include the NMFS requirements, which address not only seafood safety, but also wholesomeness (hygiene), economic fraud, and seafood quality.</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If the collection of information </w:t>
      </w:r>
      <w:r>
        <w:rPr>
          <w:rFonts w:ascii="Times New Roman" w:eastAsia="Times New Roman" w:hAnsi="Times New Roman" w:cs="Times New Roman"/>
          <w:b/>
          <w:color w:val="000000"/>
          <w:sz w:val="24"/>
          <w:szCs w:val="24"/>
        </w:rPr>
        <w:t>impacts</w:t>
      </w:r>
      <w:r>
        <w:rPr>
          <w:rFonts w:ascii="Times New Roman" w:eastAsia="Times New Roman" w:hAnsi="Times New Roman" w:cs="Times New Roman"/>
          <w:b/>
          <w:color w:val="000000"/>
          <w:sz w:val="24"/>
          <w:szCs w:val="24"/>
        </w:rPr>
        <w:t xml:space="preserve"> small businesses or other small entities, describe any methods used to minimize burden.</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Small businesses may voluntarily participate in the SIP and respond to the collection. Specific instructions </w:t>
      </w:r>
      <w:r>
        <w:rPr>
          <w:rFonts w:ascii="Times New Roman" w:eastAsia="Times New Roman" w:hAnsi="Times New Roman" w:cs="Times New Roman"/>
          <w:color w:val="000000"/>
          <w:sz w:val="24"/>
          <w:szCs w:val="24"/>
        </w:rPr>
        <w:t>are provided</w:t>
      </w:r>
      <w:r>
        <w:rPr>
          <w:rFonts w:ascii="Times New Roman" w:eastAsia="Times New Roman" w:hAnsi="Times New Roman" w:cs="Times New Roman"/>
          <w:color w:val="000000"/>
          <w:sz w:val="24"/>
          <w:szCs w:val="24"/>
        </w:rPr>
        <w:t>, where needed, to all businesses to prevent submission of unnecessary information and to minimize the burden.</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the consequence to Federal program or policy activities if the collection </w:t>
      </w:r>
      <w:r>
        <w:rPr>
          <w:rFonts w:ascii="Times New Roman" w:eastAsia="Times New Roman" w:hAnsi="Times New Roman" w:cs="Times New Roman"/>
          <w:b/>
          <w:color w:val="000000"/>
          <w:sz w:val="24"/>
          <w:szCs w:val="24"/>
        </w:rPr>
        <w:t>is not conducted</w:t>
      </w:r>
      <w:r>
        <w:rPr>
          <w:rFonts w:ascii="Times New Roman" w:eastAsia="Times New Roman" w:hAnsi="Times New Roman" w:cs="Times New Roman"/>
          <w:b/>
          <w:color w:val="000000"/>
          <w:sz w:val="24"/>
          <w:szCs w:val="24"/>
        </w:rPr>
        <w:t xml:space="preserve"> or is conducted less frequently, as well as any technical or legal obstacles to reducing burden.</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 collection </w:t>
      </w:r>
      <w:r>
        <w:rPr>
          <w:rFonts w:ascii="Times New Roman" w:eastAsia="Times New Roman" w:hAnsi="Times New Roman" w:cs="Times New Roman"/>
          <w:color w:val="000000"/>
          <w:sz w:val="24"/>
          <w:szCs w:val="24"/>
        </w:rPr>
        <w:t>were not conducted</w:t>
      </w:r>
      <w:r>
        <w:rPr>
          <w:rFonts w:ascii="Times New Roman" w:eastAsia="Times New Roman" w:hAnsi="Times New Roman" w:cs="Times New Roman"/>
          <w:color w:val="000000"/>
          <w:sz w:val="24"/>
          <w:szCs w:val="24"/>
        </w:rPr>
        <w:t>, efficient operation of the Program would be jeopardized and SIP would not be able to sufficiently serve the customers for whom it is intended.</w:t>
      </w:r>
    </w:p>
    <w:p w:rsidR="00624948">
      <w:pPr>
        <w:tabs>
          <w:tab w:val="left" w:pos="360"/>
        </w:tabs>
        <w:spacing w:before="80"/>
        <w:rPr>
          <w:rFonts w:ascii="Roboto" w:eastAsia="Roboto" w:hAnsi="Roboto" w:cs="Roboto"/>
          <w:color w:val="444746"/>
          <w:sz w:val="21"/>
          <w:szCs w:val="21"/>
        </w:rPr>
      </w:pPr>
    </w:p>
    <w:p w:rsidR="00624948">
      <w:pPr>
        <w:tabs>
          <w:tab w:val="left" w:pos="360"/>
        </w:tabs>
        <w:spacing w:before="80"/>
        <w:rPr>
          <w:rFonts w:ascii="Times New Roman" w:eastAsia="Times New Roman" w:hAnsi="Times New Roman" w:cs="Times New Roman"/>
          <w:sz w:val="24"/>
          <w:szCs w:val="24"/>
        </w:rPr>
      </w:pPr>
      <w:r>
        <w:rPr>
          <w:rFonts w:ascii="Times New Roman" w:eastAsia="Times New Roman" w:hAnsi="Times New Roman" w:cs="Times New Roman"/>
          <w:sz w:val="24"/>
          <w:szCs w:val="24"/>
        </w:rPr>
        <w:t>If SIP did not receive the information in each request form, we would not be able to conduct the inspection or issue the certificate(s) without spending additional time gathering that information from the customer.  Once per year to renew a contract helps to ensure all company contact information is current - any less than that, in this industry, and we run across outdated emails, phone numbers, and points of contact.</w:t>
      </w:r>
    </w:p>
    <w:p w:rsidR="00624948">
      <w:pPr>
        <w:tabs>
          <w:tab w:val="left" w:pos="360"/>
        </w:tabs>
        <w:spacing w:before="80"/>
        <w:rPr>
          <w:rFonts w:ascii="Times New Roman" w:eastAsia="Times New Roman" w:hAnsi="Times New Roman" w:cs="Times New Roman"/>
          <w:sz w:val="24"/>
          <w:szCs w:val="24"/>
        </w:rPr>
      </w:pPr>
    </w:p>
    <w:p w:rsidR="00624948">
      <w:pPr>
        <w:pBdr>
          <w:top w:val="nil"/>
          <w:left w:val="nil"/>
          <w:bottom w:val="nil"/>
          <w:right w:val="nil"/>
          <w:between w:val="nil"/>
        </w:pBdr>
        <w:tabs>
          <w:tab w:val="left" w:pos="360"/>
        </w:tabs>
        <w:spacing w:before="80"/>
        <w:rPr>
          <w:rFonts w:ascii="Times New Roman" w:eastAsia="Times New Roman" w:hAnsi="Times New Roman" w:cs="Times New Roman"/>
          <w:sz w:val="24"/>
          <w:szCs w:val="24"/>
        </w:rPr>
      </w:pPr>
      <w:r>
        <w:rPr>
          <w:rFonts w:ascii="Times New Roman" w:eastAsia="Times New Roman" w:hAnsi="Times New Roman" w:cs="Times New Roman"/>
          <w:sz w:val="24"/>
          <w:szCs w:val="24"/>
        </w:rPr>
        <w:t>The label review needs to be done for each new label, so the frequency is dependent on label changes.</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any special circumstances that would cause an information collection to be conducted in a manner:</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report information to the agency more often than quarterly;</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participants to continue to obtain the benefits of advertising the official Program marks and to ensure the Program’s marks </w:t>
      </w:r>
      <w:r>
        <w:rPr>
          <w:rFonts w:ascii="Times New Roman" w:eastAsia="Times New Roman" w:hAnsi="Times New Roman" w:cs="Times New Roman"/>
          <w:color w:val="000000"/>
          <w:sz w:val="24"/>
          <w:szCs w:val="24"/>
        </w:rPr>
        <w:t>are being used</w:t>
      </w:r>
      <w:r>
        <w:rPr>
          <w:rFonts w:ascii="Times New Roman" w:eastAsia="Times New Roman" w:hAnsi="Times New Roman" w:cs="Times New Roman"/>
          <w:color w:val="000000"/>
          <w:sz w:val="24"/>
          <w:szCs w:val="24"/>
        </w:rPr>
        <w:t xml:space="preserve"> with integrity, some of the collections are done at a frequency inconsistent with the Office of Management and Budget (OMB) guidelines. For example, HACCP participants submit their HACCP plan only once, but changes in the plan may occur whenever their processing operations dictate, which may be outside of the OMB guidelines. In addition, monitoring of the HACCP plan is an ongoing </w:t>
      </w:r>
      <w:r>
        <w:rPr>
          <w:rFonts w:ascii="Times New Roman" w:eastAsia="Times New Roman" w:hAnsi="Times New Roman" w:cs="Times New Roman"/>
          <w:color w:val="000000"/>
          <w:sz w:val="24"/>
          <w:szCs w:val="24"/>
        </w:rPr>
        <w:t>activity which</w:t>
      </w:r>
      <w:r>
        <w:rPr>
          <w:rFonts w:ascii="Times New Roman" w:eastAsia="Times New Roman" w:hAnsi="Times New Roman" w:cs="Times New Roman"/>
          <w:color w:val="000000"/>
          <w:sz w:val="24"/>
          <w:szCs w:val="24"/>
        </w:rPr>
        <w:t xml:space="preserve"> is then audited by SIP personnel at varying frequencies to determine the participant’s compliance with the Program requirements. Participants that are non-compliant may be audited more frequently than compliant </w:t>
      </w:r>
      <w:r>
        <w:rPr>
          <w:rFonts w:ascii="Times New Roman" w:eastAsia="Times New Roman" w:hAnsi="Times New Roman" w:cs="Times New Roman"/>
          <w:color w:val="000000"/>
          <w:sz w:val="24"/>
          <w:szCs w:val="24"/>
        </w:rPr>
        <w:t>participants</w:t>
      </w:r>
      <w:r>
        <w:rPr>
          <w:rFonts w:ascii="Times New Roman" w:eastAsia="Times New Roman" w:hAnsi="Times New Roman" w:cs="Times New Roman"/>
          <w:color w:val="000000"/>
          <w:sz w:val="24"/>
          <w:szCs w:val="24"/>
        </w:rPr>
        <w:t>.</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prepare a written response to a collection of information in fewer than 30 days after receipt of it;</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Respondents </w:t>
      </w:r>
      <w:r>
        <w:rPr>
          <w:rFonts w:ascii="Times New Roman" w:eastAsia="Times New Roman" w:hAnsi="Times New Roman" w:cs="Times New Roman"/>
          <w:color w:val="000000"/>
          <w:sz w:val="24"/>
          <w:szCs w:val="24"/>
        </w:rPr>
        <w:t>are not asked</w:t>
      </w:r>
      <w:r>
        <w:rPr>
          <w:rFonts w:ascii="Times New Roman" w:eastAsia="Times New Roman" w:hAnsi="Times New Roman" w:cs="Times New Roman"/>
          <w:color w:val="000000"/>
          <w:sz w:val="24"/>
          <w:szCs w:val="24"/>
        </w:rPr>
        <w:t xml:space="preserve"> to provide written </w:t>
      </w:r>
      <w:r>
        <w:rPr>
          <w:rFonts w:ascii="Times New Roman" w:eastAsia="Times New Roman" w:hAnsi="Times New Roman" w:cs="Times New Roman"/>
          <w:sz w:val="24"/>
          <w:szCs w:val="24"/>
        </w:rPr>
        <w:t>responses</w:t>
      </w:r>
      <w:r>
        <w:rPr>
          <w:rFonts w:ascii="Times New Roman" w:eastAsia="Times New Roman" w:hAnsi="Times New Roman" w:cs="Times New Roman"/>
          <w:color w:val="000000"/>
          <w:sz w:val="24"/>
          <w:szCs w:val="24"/>
        </w:rPr>
        <w:t xml:space="preserve"> to a collection of information in fewer than 30 days after receipt of it.</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submit more than one original and two copies of any document;</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more than one original and two copies of any document are required.</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respondents to retain records, other than health, medical, government contract, grant-in- aid, or tax records for more than three years;</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Respondents </w:t>
      </w:r>
      <w:r>
        <w:rPr>
          <w:rFonts w:ascii="Times New Roman" w:eastAsia="Times New Roman" w:hAnsi="Times New Roman" w:cs="Times New Roman"/>
          <w:color w:val="000000"/>
          <w:sz w:val="24"/>
          <w:szCs w:val="24"/>
        </w:rPr>
        <w:t>are not asked</w:t>
      </w:r>
      <w:r>
        <w:rPr>
          <w:rFonts w:ascii="Times New Roman" w:eastAsia="Times New Roman" w:hAnsi="Times New Roman" w:cs="Times New Roman"/>
          <w:color w:val="000000"/>
          <w:sz w:val="24"/>
          <w:szCs w:val="24"/>
        </w:rPr>
        <w:t xml:space="preserve"> to retain records for more than three years.</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connection with a statistical survey, that is not designed to produce valid and reliable results that can be generalized to the universe of study;</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records collected </w:t>
      </w:r>
      <w:r>
        <w:rPr>
          <w:rFonts w:ascii="Times New Roman" w:eastAsia="Times New Roman" w:hAnsi="Times New Roman" w:cs="Times New Roman"/>
          <w:color w:val="000000"/>
          <w:sz w:val="24"/>
          <w:szCs w:val="24"/>
        </w:rPr>
        <w:t>are used</w:t>
      </w:r>
      <w:r>
        <w:rPr>
          <w:rFonts w:ascii="Times New Roman" w:eastAsia="Times New Roman" w:hAnsi="Times New Roman" w:cs="Times New Roman"/>
          <w:color w:val="000000"/>
          <w:sz w:val="24"/>
          <w:szCs w:val="24"/>
        </w:rPr>
        <w:t xml:space="preserve"> in statistical surveys without being generalized.</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 the use of a statistical data classification that has not been reviewed and approved by OMB;</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statistical data classification is used.</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separate pledge of confidentiality is required.</w:t>
      </w:r>
    </w:p>
    <w:p w:rsidR="00624948">
      <w:pPr>
        <w:numPr>
          <w:ilvl w:val="0"/>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requiring</w:t>
      </w:r>
      <w:r>
        <w:rPr>
          <w:rFonts w:ascii="Times New Roman" w:eastAsia="Times New Roman" w:hAnsi="Times New Roman" w:cs="Times New Roman"/>
          <w:color w:val="000000"/>
          <w:sz w:val="24"/>
          <w:szCs w:val="24"/>
        </w:rPr>
        <w:t xml:space="preserve"> respondents to submit proprietary trade </w:t>
      </w:r>
      <w:r>
        <w:rPr>
          <w:rFonts w:ascii="Times New Roman" w:eastAsia="Times New Roman" w:hAnsi="Times New Roman" w:cs="Times New Roman"/>
          <w:sz w:val="24"/>
          <w:szCs w:val="24"/>
        </w:rPr>
        <w:t>secrets</w:t>
      </w:r>
      <w:r>
        <w:rPr>
          <w:rFonts w:ascii="Times New Roman" w:eastAsia="Times New Roman" w:hAnsi="Times New Roman" w:cs="Times New Roman"/>
          <w:color w:val="000000"/>
          <w:sz w:val="24"/>
          <w:szCs w:val="24"/>
        </w:rPr>
        <w:t>, or other confidential information unless the agency can demonstrate that it has instituted procedures to protect the information's confidentiality to the extent permitted by law.</w:t>
      </w:r>
    </w:p>
    <w:p w:rsidR="00624948">
      <w:pPr>
        <w:numPr>
          <w:ilvl w:val="1"/>
          <w:numId w:val="1"/>
        </w:numPr>
        <w:pBdr>
          <w:top w:val="nil"/>
          <w:left w:val="nil"/>
          <w:bottom w:val="nil"/>
          <w:right w:val="nil"/>
          <w:between w:val="nil"/>
        </w:pBdr>
        <w:spacing w:before="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Participants in the SIP </w:t>
      </w:r>
      <w:r>
        <w:rPr>
          <w:rFonts w:ascii="Times New Roman" w:eastAsia="Times New Roman" w:hAnsi="Times New Roman" w:cs="Times New Roman"/>
          <w:color w:val="000000"/>
          <w:sz w:val="24"/>
          <w:szCs w:val="24"/>
        </w:rPr>
        <w:t>are assured</w:t>
      </w:r>
      <w:r>
        <w:rPr>
          <w:rFonts w:ascii="Times New Roman" w:eastAsia="Times New Roman" w:hAnsi="Times New Roman" w:cs="Times New Roman"/>
          <w:color w:val="000000"/>
          <w:sz w:val="24"/>
          <w:szCs w:val="24"/>
        </w:rPr>
        <w:t xml:space="preserve"> of the confidentiality of certain information, such as records of sanitation, HACCP plans and supply chain relationships, which may contain privileged trade information. The Department of Commerce, with the concurrence of the U.S. Department of Justice, determined that this information is protected from disclosure pursuant to the Freedom of Information Act Exemption (b)(4), 5 U.S.C. § 552(b)(4), which applies to trade secrets and commercial or financial information obtained from a person that is privileged or confidential.</w:t>
      </w:r>
    </w:p>
    <w:p w:rsidR="00624948">
      <w:pPr>
        <w:spacing w:before="120"/>
        <w:rPr>
          <w:rFonts w:ascii="Times New Roman" w:eastAsia="Times New Roman" w:hAnsi="Times New Roman" w:cs="Times New Roman"/>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4948">
      <w:pPr>
        <w:spacing w:before="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60-day Federal Register notice was published (89 FR 73071 2024-0909) specifically requesting comment on this information collection, OMB Control Number: 0648-0266.  No comments </w:t>
      </w:r>
      <w:r>
        <w:rPr>
          <w:rFonts w:ascii="Times New Roman" w:eastAsia="Times New Roman" w:hAnsi="Times New Roman" w:cs="Times New Roman"/>
          <w:sz w:val="24"/>
          <w:szCs w:val="24"/>
        </w:rPr>
        <w:t>were received</w:t>
      </w:r>
      <w:r>
        <w:rPr>
          <w:rFonts w:ascii="Times New Roman" w:eastAsia="Times New Roman" w:hAnsi="Times New Roman" w:cs="Times New Roman"/>
          <w:sz w:val="24"/>
          <w:szCs w:val="24"/>
        </w:rPr>
        <w:t>.</w:t>
      </w:r>
    </w:p>
    <w:p w:rsidR="00624948">
      <w:pPr>
        <w:spacing w:before="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the 60-day notice described above, NMFS asked seven current Program participants, from NOW Foods, Nestle Health Science, 3D Solutions, Cal Marine Fish Company, Lund’s Fisheries, Aker </w:t>
      </w:r>
      <w:r>
        <w:rPr>
          <w:rFonts w:ascii="Times New Roman" w:eastAsia="Times New Roman" w:hAnsi="Times New Roman" w:cs="Times New Roman"/>
          <w:sz w:val="24"/>
          <w:szCs w:val="24"/>
        </w:rPr>
        <w:t>BioMarine</w:t>
      </w:r>
      <w:r>
        <w:rPr>
          <w:rFonts w:ascii="Times New Roman" w:eastAsia="Times New Roman" w:hAnsi="Times New Roman" w:cs="Times New Roman"/>
          <w:sz w:val="24"/>
          <w:szCs w:val="24"/>
        </w:rPr>
        <w:t>, and Captain Vincent Gann, for comments specifically on the usefulness and availability of the information we collect, the clarity of instructions we provide, and whether the burden and cost are accurate and reasonable.</w:t>
      </w:r>
      <w:r>
        <w:rPr>
          <w:rFonts w:ascii="Times New Roman" w:eastAsia="Times New Roman" w:hAnsi="Times New Roman" w:cs="Times New Roman"/>
          <w:sz w:val="24"/>
          <w:szCs w:val="24"/>
        </w:rPr>
        <w:t xml:space="preserve"> Only two respondents provided comments to the request. One replied simply with “No comment.” The other replied with “no comment” on the usefulness and availability of the information collected. They said our instructions are great and very clear and precise, though the website portal can be confusing and getting invoices can be tough, but the staff they deal with is amazing and great to work with. They also stated they think the cost is reasonable.</w:t>
      </w:r>
    </w:p>
    <w:p w:rsidR="00624948">
      <w:pPr>
        <w:pBdr>
          <w:top w:val="nil"/>
          <w:left w:val="nil"/>
          <w:bottom w:val="nil"/>
          <w:right w:val="nil"/>
          <w:between w:val="nil"/>
        </w:pBdr>
        <w:spacing w:before="159"/>
        <w:rPr>
          <w:rFonts w:ascii="Times New Roman" w:eastAsia="Times New Roman" w:hAnsi="Times New Roman" w:cs="Times New Roman"/>
          <w:color w:val="FF0000"/>
          <w:sz w:val="24"/>
          <w:szCs w:val="24"/>
        </w:rPr>
      </w:pPr>
    </w:p>
    <w:p w:rsidR="00624948">
      <w:pPr>
        <w:pBdr>
          <w:top w:val="nil"/>
          <w:left w:val="nil"/>
          <w:bottom w:val="nil"/>
          <w:right w:val="nil"/>
          <w:between w:val="nil"/>
        </w:pBdr>
        <w:spacing w:before="159"/>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any decision to provide any payment or gift to respondents, other than remuneration of contractors or grantees.</w:t>
      </w:r>
    </w:p>
    <w:p w:rsidR="00624948">
      <w:pPr>
        <w:pBdr>
          <w:top w:val="nil"/>
          <w:left w:val="nil"/>
          <w:bottom w:val="nil"/>
          <w:right w:val="nil"/>
          <w:between w:val="nil"/>
        </w:pBdr>
        <w:spacing w:before="161"/>
        <w:jc w:val="both"/>
        <w:rPr>
          <w:rFonts w:ascii="Times New Roman" w:eastAsia="Times New Roman" w:hAnsi="Times New Roman" w:cs="Times New Roman"/>
          <w:color w:val="000000"/>
          <w:sz w:val="24"/>
          <w:szCs w:val="24"/>
        </w:rPr>
      </w:pPr>
      <w:r w:rsidRPr="007C1DF6">
        <w:rPr>
          <w:rFonts w:ascii="Times New Roman" w:eastAsia="Times New Roman" w:hAnsi="Times New Roman" w:cs="Times New Roman"/>
          <w:color w:val="000000"/>
          <w:sz w:val="24"/>
          <w:szCs w:val="24"/>
        </w:rPr>
        <w:t xml:space="preserve">Neither payments nor gifts </w:t>
      </w:r>
      <w:r w:rsidRPr="007C1DF6">
        <w:rPr>
          <w:rFonts w:ascii="Times New Roman" w:eastAsia="Times New Roman" w:hAnsi="Times New Roman" w:cs="Times New Roman"/>
          <w:color w:val="000000"/>
          <w:sz w:val="24"/>
          <w:szCs w:val="24"/>
        </w:rPr>
        <w:t>will be provided</w:t>
      </w:r>
      <w:r w:rsidRPr="007C1DF6">
        <w:rPr>
          <w:rFonts w:ascii="Times New Roman" w:eastAsia="Times New Roman" w:hAnsi="Times New Roman" w:cs="Times New Roman"/>
          <w:color w:val="000000"/>
          <w:sz w:val="24"/>
          <w:szCs w:val="24"/>
        </w:rPr>
        <w:t xml:space="preserve"> to respondents.</w:t>
      </w:r>
    </w:p>
    <w:p w:rsidR="00624948">
      <w:pPr>
        <w:pBdr>
          <w:top w:val="nil"/>
          <w:left w:val="nil"/>
          <w:bottom w:val="nil"/>
          <w:right w:val="nil"/>
          <w:between w:val="nil"/>
        </w:pBdr>
        <w:spacing w:before="161"/>
        <w:jc w:val="both"/>
        <w:rPr>
          <w:rFonts w:ascii="Times New Roman" w:eastAsia="Times New Roman" w:hAnsi="Times New Roman" w:cs="Times New Roman"/>
          <w:color w:val="000000"/>
          <w:sz w:val="24"/>
          <w:szCs w:val="24"/>
        </w:rPr>
      </w:pPr>
    </w:p>
    <w:p w:rsidR="00825E41">
      <w:pPr>
        <w:pBdr>
          <w:top w:val="nil"/>
          <w:left w:val="nil"/>
          <w:bottom w:val="nil"/>
          <w:right w:val="nil"/>
          <w:between w:val="nil"/>
        </w:pBdr>
        <w:spacing w:before="161"/>
        <w:jc w:val="both"/>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Describe any assurance of confidentiality provided to respondents and the basis for the assurance in statute, regulation, or agency policy. If the collection requires a system of records notice (SORN) or privacy impact assessment (PIA), those </w:t>
      </w:r>
      <w:r>
        <w:rPr>
          <w:rFonts w:ascii="Times New Roman" w:eastAsia="Times New Roman" w:hAnsi="Times New Roman" w:cs="Times New Roman"/>
          <w:b/>
          <w:color w:val="000000"/>
          <w:sz w:val="24"/>
          <w:szCs w:val="24"/>
        </w:rPr>
        <w:t>should be cited and described here</w:t>
      </w:r>
      <w:r>
        <w:rPr>
          <w:rFonts w:ascii="Times New Roman" w:eastAsia="Times New Roman" w:hAnsi="Times New Roman" w:cs="Times New Roman"/>
          <w:b/>
          <w:color w:val="000000"/>
          <w:sz w:val="24"/>
          <w:szCs w:val="24"/>
        </w:rPr>
        <w:t>.</w:t>
      </w:r>
    </w:p>
    <w:p w:rsidR="00624948">
      <w:pPr>
        <w:pBdr>
          <w:top w:val="nil"/>
          <w:left w:val="nil"/>
          <w:bottom w:val="nil"/>
          <w:right w:val="nil"/>
          <w:between w:val="nil"/>
        </w:pBdr>
        <w:spacing w:before="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Participants in the SIP </w:t>
      </w:r>
      <w:r>
        <w:rPr>
          <w:rFonts w:ascii="Times New Roman" w:eastAsia="Times New Roman" w:hAnsi="Times New Roman" w:cs="Times New Roman"/>
          <w:color w:val="000000"/>
          <w:sz w:val="24"/>
          <w:szCs w:val="24"/>
        </w:rPr>
        <w:t>are assured</w:t>
      </w:r>
      <w:r>
        <w:rPr>
          <w:rFonts w:ascii="Times New Roman" w:eastAsia="Times New Roman" w:hAnsi="Times New Roman" w:cs="Times New Roman"/>
          <w:color w:val="000000"/>
          <w:sz w:val="24"/>
          <w:szCs w:val="24"/>
        </w:rPr>
        <w:t xml:space="preserve"> of the confidentiality of certain information, such as records of sanitation, HACCP plans and supply chain relationships, which may contain privileged trade information. The Department of Commerce, with the concurrence of the U.S. Department of Justice, determined  that this information is protected from disclosure pursuant to the </w:t>
      </w:r>
      <w:hyperlink r:id="rId12">
        <w:r>
          <w:rPr>
            <w:rFonts w:ascii="Times New Roman" w:eastAsia="Times New Roman" w:hAnsi="Times New Roman" w:cs="Times New Roman"/>
            <w:color w:val="0000FF"/>
            <w:sz w:val="24"/>
            <w:szCs w:val="24"/>
            <w:u w:val="single"/>
          </w:rPr>
          <w:t>Freedom of Information Act</w:t>
        </w:r>
      </w:hyperlink>
      <w:r>
        <w:rPr>
          <w:rFonts w:ascii="Times New Roman" w:eastAsia="Times New Roman" w:hAnsi="Times New Roman" w:cs="Times New Roman"/>
          <w:color w:val="000000"/>
          <w:sz w:val="24"/>
          <w:szCs w:val="24"/>
        </w:rPr>
        <w:t xml:space="preserve"> Exemption (b)(4), 5 U.S.C. § 552(b)(4), which applies to trade secrets and commercial or financial information obtained from a person that is privileged or confidential. The information </w:t>
      </w:r>
      <w:r>
        <w:rPr>
          <w:rFonts w:ascii="Times New Roman" w:eastAsia="Times New Roman" w:hAnsi="Times New Roman" w:cs="Times New Roman"/>
          <w:color w:val="000000"/>
          <w:sz w:val="24"/>
          <w:szCs w:val="24"/>
        </w:rPr>
        <w:t>is covered</w:t>
      </w:r>
      <w:r>
        <w:rPr>
          <w:rFonts w:ascii="Times New Roman" w:eastAsia="Times New Roman" w:hAnsi="Times New Roman" w:cs="Times New Roman"/>
          <w:color w:val="000000"/>
          <w:sz w:val="24"/>
          <w:szCs w:val="24"/>
        </w:rPr>
        <w:t xml:space="preserve"> by the Privacy Act Systems of Records Notice, NOAA-19.</w:t>
      </w:r>
    </w:p>
    <w:p w:rsidR="00624948">
      <w:pPr>
        <w:pBdr>
          <w:top w:val="nil"/>
          <w:left w:val="nil"/>
          <w:bottom w:val="nil"/>
          <w:right w:val="nil"/>
          <w:between w:val="nil"/>
        </w:pBdr>
        <w:spacing w:before="158"/>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Provide additional justification for any questions of a sensitive nature, such as sexual behavior or attitudes, religious beliefs, and other matters that </w:t>
      </w:r>
      <w:r>
        <w:rPr>
          <w:rFonts w:ascii="Times New Roman" w:eastAsia="Times New Roman" w:hAnsi="Times New Roman" w:cs="Times New Roman"/>
          <w:b/>
          <w:color w:val="000000"/>
          <w:sz w:val="24"/>
          <w:szCs w:val="24"/>
        </w:rPr>
        <w:t>are commonly considered</w:t>
      </w:r>
      <w:r>
        <w:rPr>
          <w:rFonts w:ascii="Times New Roman" w:eastAsia="Times New Roman" w:hAnsi="Times New Roman" w:cs="Times New Roman"/>
          <w:b/>
          <w:color w:val="000000"/>
          <w:sz w:val="24"/>
          <w:szCs w:val="24"/>
        </w:rPr>
        <w:t xml:space="preserve"> private. This justification should include the reasons why the agency considers the questions necessary, the specific uses to be made of the information, the explanation to </w:t>
      </w:r>
      <w:r>
        <w:rPr>
          <w:rFonts w:ascii="Times New Roman" w:eastAsia="Times New Roman" w:hAnsi="Times New Roman" w:cs="Times New Roman"/>
          <w:b/>
          <w:color w:val="000000"/>
          <w:sz w:val="24"/>
          <w:szCs w:val="24"/>
        </w:rPr>
        <w:t>be given</w:t>
      </w:r>
      <w:r>
        <w:rPr>
          <w:rFonts w:ascii="Times New Roman" w:eastAsia="Times New Roman" w:hAnsi="Times New Roman" w:cs="Times New Roman"/>
          <w:b/>
          <w:color w:val="000000"/>
          <w:sz w:val="24"/>
          <w:szCs w:val="24"/>
        </w:rPr>
        <w:t xml:space="preserve"> to persons from whom the information is requested, and any steps to be taken to obtain their consent.</w:t>
      </w:r>
    </w:p>
    <w:p w:rsidR="00624948">
      <w:pPr>
        <w:spacing w:line="259" w:lineRule="auto"/>
        <w:rPr>
          <w:rFonts w:ascii="Times New Roman" w:eastAsia="Times New Roman" w:hAnsi="Times New Roman" w:cs="Times New Roman"/>
          <w:sz w:val="24"/>
          <w:szCs w:val="24"/>
        </w:rPr>
      </w:pPr>
    </w:p>
    <w:p w:rsidR="00624948">
      <w:pPr>
        <w:spacing w:line="259" w:lineRule="auto"/>
        <w:rPr>
          <w:rFonts w:ascii="Times New Roman" w:eastAsia="Times New Roman" w:hAnsi="Times New Roman" w:cs="Times New Roman"/>
          <w:sz w:val="24"/>
          <w:szCs w:val="24"/>
        </w:rPr>
      </w:pPr>
      <w:r w:rsidRPr="007C1DF6">
        <w:rPr>
          <w:rFonts w:ascii="Times New Roman" w:eastAsia="Times New Roman" w:hAnsi="Times New Roman" w:cs="Times New Roman"/>
          <w:sz w:val="24"/>
          <w:szCs w:val="24"/>
        </w:rPr>
        <w:t>This information collection does not involve information of a sensitive nature.</w:t>
      </w: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estimates of the hour burden of the collection of information.</w:t>
      </w: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response times, and burden. The estimates below are based on a 3-year average as reported by our field offices, and do not differ from the information collection approved on January 19, 2022.</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260.15 (new § 260.6) Application for Inspection Services and Certificates</w:t>
      </w:r>
      <w:r>
        <w:rPr>
          <w:rFonts w:ascii="Times New Roman" w:eastAsia="Times New Roman" w:hAnsi="Times New Roman" w:cs="Times New Roman"/>
          <w:sz w:val="24"/>
          <w:szCs w:val="24"/>
        </w:rPr>
        <w:t>.  The estimated time per response is an average based on the wide range of applicants.  Current applicants already use the fillable online version of the form, with the standard information completed so that they simply fill in several additional blocks for each new request, which would likely require much less than 5 minutes, then submit it through the online portal.  New applicants, on the other hand, may take a little longer for their first request, as they need to create their online account and enter all the user information.  Subsequent requests will take less time, since the standard information is reusable and they only need to add the specific information for each new request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Requests for most certificates are currently done via the online portal, and </w:t>
      </w:r>
      <w:r>
        <w:rPr>
          <w:rFonts w:ascii="Times New Roman" w:eastAsia="Times New Roman" w:hAnsi="Times New Roman" w:cs="Times New Roman"/>
          <w:sz w:val="24"/>
          <w:szCs w:val="24"/>
        </w:rPr>
        <w:t>are also</w:t>
      </w:r>
      <w:r>
        <w:rPr>
          <w:rFonts w:ascii="Times New Roman" w:eastAsia="Times New Roman" w:hAnsi="Times New Roman" w:cs="Times New Roman"/>
          <w:sz w:val="24"/>
          <w:szCs w:val="24"/>
        </w:rPr>
        <w:t xml:space="preserve"> estimated to take no more than 5 minutes each. Once a customer creates an online portal account, most of their information is stored and re-usable, so only certain details unique to each shipment need to </w:t>
      </w:r>
      <w:r>
        <w:rPr>
          <w:rFonts w:ascii="Times New Roman" w:eastAsia="Times New Roman" w:hAnsi="Times New Roman" w:cs="Times New Roman"/>
          <w:sz w:val="24"/>
          <w:szCs w:val="24"/>
        </w:rPr>
        <w:t>be added</w:t>
      </w:r>
      <w:r>
        <w:rPr>
          <w:rFonts w:ascii="Times New Roman" w:eastAsia="Times New Roman" w:hAnsi="Times New Roman" w:cs="Times New Roman"/>
          <w:sz w:val="24"/>
          <w:szCs w:val="24"/>
        </w:rPr>
        <w:t xml:space="preserve"> at the time of request. Most of these requests are expected to be completed by a general office clerk (BLS occupation code 43-6014), with an average hourly salary of $21.87. </w:t>
      </w:r>
    </w:p>
    <w:p w:rsidR="00624948">
      <w:pPr>
        <w:widowControl/>
        <w:rPr>
          <w:rFonts w:ascii="Times New Roman" w:eastAsia="Times New Roman" w:hAnsi="Times New Roman" w:cs="Times New Roman"/>
          <w:sz w:val="24"/>
          <w:szCs w:val="24"/>
        </w:rPr>
      </w:pP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Estimated Number of Respondents: 1,012 </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Responses: 72,575</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5 minutes</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6,048</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260.36 (new § 260.19) Application for Appeal.</w:t>
      </w:r>
      <w:r>
        <w:rPr>
          <w:rFonts w:ascii="Times New Roman" w:eastAsia="Times New Roman" w:hAnsi="Times New Roman" w:cs="Times New Roman"/>
          <w:sz w:val="24"/>
          <w:szCs w:val="24"/>
        </w:rPr>
        <w:t xml:space="preserve">  As mentioned in Question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this is simply a short letter notifying the inspection office that an appeal is requested. These requests are expected to be completed by someone at a Food Service Manager level (BLS occupation code 11-9051), with an average hourly salary of $33.45. </w:t>
      </w:r>
    </w:p>
    <w:p w:rsidR="00624948">
      <w:pPr>
        <w:widowControl/>
        <w:rPr>
          <w:rFonts w:ascii="Times New Roman" w:eastAsia="Times New Roman" w:hAnsi="Times New Roman" w:cs="Times New Roman"/>
          <w:sz w:val="24"/>
          <w:szCs w:val="24"/>
        </w:rPr>
      </w:pP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and Responses: 36</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30 minutes</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18</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260.96 (new § 260.31) Contract Completion</w:t>
      </w:r>
      <w:r>
        <w:rPr>
          <w:rFonts w:ascii="Times New Roman" w:eastAsia="Times New Roman" w:hAnsi="Times New Roman" w:cs="Times New Roman"/>
          <w:sz w:val="24"/>
          <w:szCs w:val="24"/>
        </w:rPr>
        <w:t xml:space="preserve">.  This includes new requests, estimated at about 35 annually, and current participants, about 400, who amend or renew their contracts (Form 89-800) during the year. The burden estimate is considered equal for both situations, and they </w:t>
      </w:r>
      <w:r>
        <w:rPr>
          <w:rFonts w:ascii="Times New Roman" w:eastAsia="Times New Roman" w:hAnsi="Times New Roman" w:cs="Times New Roman"/>
          <w:sz w:val="24"/>
          <w:szCs w:val="24"/>
        </w:rPr>
        <w:t>would also</w:t>
      </w:r>
      <w:r>
        <w:rPr>
          <w:rFonts w:ascii="Times New Roman" w:eastAsia="Times New Roman" w:hAnsi="Times New Roman" w:cs="Times New Roman"/>
          <w:sz w:val="24"/>
          <w:szCs w:val="24"/>
        </w:rPr>
        <w:t xml:space="preserve"> be completed by someone at a Food Service Manager level.</w:t>
      </w:r>
    </w:p>
    <w:p w:rsidR="00624948">
      <w:pPr>
        <w:widowControl/>
        <w:rPr>
          <w:rFonts w:ascii="Times New Roman" w:eastAsia="Times New Roman" w:hAnsi="Times New Roman" w:cs="Times New Roman"/>
          <w:sz w:val="24"/>
          <w:szCs w:val="24"/>
        </w:rPr>
      </w:pP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and Responses: 435</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5 minutes</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36</w:t>
      </w:r>
    </w:p>
    <w:p w:rsidR="00624948">
      <w:pPr>
        <w:widowControl/>
        <w:ind w:left="720"/>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260.69 (new § 260.30) Surety Bond</w:t>
      </w:r>
      <w:r>
        <w:rPr>
          <w:rFonts w:ascii="Times New Roman" w:eastAsia="Times New Roman" w:hAnsi="Times New Roman" w:cs="Times New Roman"/>
          <w:sz w:val="24"/>
          <w:szCs w:val="24"/>
        </w:rPr>
        <w:t xml:space="preserve">.  This includes new requests, estimated at about 35 annually, and current participants, about 400, who renew their surety bond (Form 89-801) during the year. The burden estimate is considered equal for both situations, and they </w:t>
      </w:r>
      <w:r>
        <w:rPr>
          <w:rFonts w:ascii="Times New Roman" w:eastAsia="Times New Roman" w:hAnsi="Times New Roman" w:cs="Times New Roman"/>
          <w:sz w:val="24"/>
          <w:szCs w:val="24"/>
        </w:rPr>
        <w:t>would also</w:t>
      </w:r>
      <w:r>
        <w:rPr>
          <w:rFonts w:ascii="Times New Roman" w:eastAsia="Times New Roman" w:hAnsi="Times New Roman" w:cs="Times New Roman"/>
          <w:sz w:val="24"/>
          <w:szCs w:val="24"/>
        </w:rPr>
        <w:t xml:space="preserve"> be completed by someone at a Food Service Manager level. This form </w:t>
      </w:r>
      <w:r>
        <w:rPr>
          <w:rFonts w:ascii="Times New Roman" w:eastAsia="Times New Roman" w:hAnsi="Times New Roman" w:cs="Times New Roman"/>
          <w:sz w:val="24"/>
          <w:szCs w:val="24"/>
        </w:rPr>
        <w:t>was inadvertently omitted</w:t>
      </w:r>
      <w:r>
        <w:rPr>
          <w:rFonts w:ascii="Times New Roman" w:eastAsia="Times New Roman" w:hAnsi="Times New Roman" w:cs="Times New Roman"/>
          <w:sz w:val="24"/>
          <w:szCs w:val="24"/>
        </w:rPr>
        <w:t xml:space="preserve"> from the past several information collection requests, though the form has been in use for decades.</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and Responses: 435</w:t>
      </w: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5 minutes</w:t>
      </w: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36</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260.97 (new § 260.35) Label and Specification Submission for USDA Child Nutrition Program</w:t>
      </w:r>
      <w:r>
        <w:rPr>
          <w:rFonts w:ascii="Times New Roman" w:eastAsia="Times New Roman" w:hAnsi="Times New Roman" w:cs="Times New Roman"/>
          <w:sz w:val="24"/>
          <w:szCs w:val="24"/>
        </w:rPr>
        <w:t xml:space="preserve">. Former estimates included the time needed to complete Form 89-819, which </w:t>
      </w:r>
      <w:r>
        <w:rPr>
          <w:rFonts w:ascii="Times New Roman" w:eastAsia="Times New Roman" w:hAnsi="Times New Roman" w:cs="Times New Roman"/>
          <w:sz w:val="24"/>
          <w:szCs w:val="24"/>
        </w:rPr>
        <w:t>has been replaced</w:t>
      </w:r>
      <w:r>
        <w:rPr>
          <w:rFonts w:ascii="Times New Roman" w:eastAsia="Times New Roman" w:hAnsi="Times New Roman" w:cs="Times New Roman"/>
          <w:sz w:val="24"/>
          <w:szCs w:val="24"/>
        </w:rPr>
        <w:t xml:space="preserve"> by an online process. This current estimate includes the time needed to compile and submit the package online, via the new online portal. Once an account profile is established, most of the requests </w:t>
      </w:r>
      <w:r>
        <w:rPr>
          <w:rFonts w:ascii="Times New Roman" w:eastAsia="Times New Roman" w:hAnsi="Times New Roman" w:cs="Times New Roman"/>
          <w:sz w:val="24"/>
          <w:szCs w:val="24"/>
        </w:rPr>
        <w:t>would be completed</w:t>
      </w:r>
      <w:r>
        <w:rPr>
          <w:rFonts w:ascii="Times New Roman" w:eastAsia="Times New Roman" w:hAnsi="Times New Roman" w:cs="Times New Roman"/>
          <w:sz w:val="24"/>
          <w:szCs w:val="24"/>
        </w:rPr>
        <w:t xml:space="preserve"> with re-use values, reducing the amount of time required. These requests </w:t>
      </w:r>
      <w:r>
        <w:rPr>
          <w:rFonts w:ascii="Times New Roman" w:eastAsia="Times New Roman" w:hAnsi="Times New Roman" w:cs="Times New Roman"/>
          <w:sz w:val="24"/>
          <w:szCs w:val="24"/>
        </w:rPr>
        <w:t>are expected to be completed</w:t>
      </w:r>
      <w:r>
        <w:rPr>
          <w:rFonts w:ascii="Times New Roman" w:eastAsia="Times New Roman" w:hAnsi="Times New Roman" w:cs="Times New Roman"/>
          <w:sz w:val="24"/>
          <w:szCs w:val="24"/>
        </w:rPr>
        <w:t xml:space="preserve"> by someone at a Food Service Manager level. </w:t>
      </w:r>
    </w:p>
    <w:p w:rsidR="00624948">
      <w:pPr>
        <w:widowControl/>
        <w:rPr>
          <w:rFonts w:ascii="Times New Roman" w:eastAsia="Times New Roman" w:hAnsi="Times New Roman" w:cs="Times New Roman"/>
          <w:sz w:val="24"/>
          <w:szCs w:val="24"/>
        </w:rPr>
      </w:pP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5</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Responses: 115</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15 minutes</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29</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HACCP Participants</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260.96 (new § 260.31) New Respondents</w:t>
      </w:r>
      <w:r>
        <w:rPr>
          <w:rFonts w:ascii="Times New Roman" w:eastAsia="Times New Roman" w:hAnsi="Times New Roman" w:cs="Times New Roman"/>
          <w:sz w:val="24"/>
          <w:szCs w:val="24"/>
        </w:rPr>
        <w:t xml:space="preserve">.  These are applicants that are not currently in the NMFS HACCP Program, who need to develop a NMFS HACCP Plan, which as explained previously, is required only once, unless a hazard analysis reveals a seafood safety hazard. It is likely that if the applicant already has an FDA HACCP plan, expansion of it to include NMFS requirements may take a little less time.  The burden reflected considers both situations as equal, and </w:t>
      </w:r>
      <w:r>
        <w:rPr>
          <w:rFonts w:ascii="Times New Roman" w:eastAsia="Times New Roman" w:hAnsi="Times New Roman" w:cs="Times New Roman"/>
          <w:sz w:val="24"/>
          <w:szCs w:val="24"/>
        </w:rPr>
        <w:t>is expected to be completed</w:t>
      </w:r>
      <w:r>
        <w:rPr>
          <w:rFonts w:ascii="Times New Roman" w:eastAsia="Times New Roman" w:hAnsi="Times New Roman" w:cs="Times New Roman"/>
          <w:sz w:val="24"/>
          <w:szCs w:val="24"/>
        </w:rPr>
        <w:t xml:space="preserve"> by someone at a Food Service Manager level. </w:t>
      </w:r>
    </w:p>
    <w:p w:rsidR="00624948">
      <w:pPr>
        <w:widowControl/>
        <w:rPr>
          <w:rFonts w:ascii="Times New Roman" w:eastAsia="Times New Roman" w:hAnsi="Times New Roman" w:cs="Times New Roman"/>
          <w:sz w:val="24"/>
          <w:szCs w:val="24"/>
        </w:rPr>
      </w:pP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and Responses: 15</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60 hours</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900</w:t>
      </w:r>
    </w:p>
    <w:p w:rsidR="00624948">
      <w:pPr>
        <w:widowControl/>
        <w:ind w:left="720"/>
        <w:rPr>
          <w:rFonts w:ascii="Times New Roman" w:eastAsia="Times New Roman" w:hAnsi="Times New Roman" w:cs="Times New Roman"/>
          <w:sz w:val="24"/>
          <w:szCs w:val="24"/>
        </w:rPr>
      </w:pPr>
    </w:p>
    <w:p w:rsidR="00624948">
      <w:pPr>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 260.96 (new § 260.31) Current Respondents.</w:t>
      </w:r>
      <w:r>
        <w:rPr>
          <w:rFonts w:ascii="Times New Roman" w:eastAsia="Times New Roman" w:hAnsi="Times New Roman" w:cs="Times New Roman"/>
          <w:sz w:val="24"/>
          <w:szCs w:val="24"/>
        </w:rPr>
        <w:t xml:space="preserve">  These are participants already in the NMFS HACCP Program, with an operating HACCP Plan.  These participants are </w:t>
      </w:r>
      <w:r>
        <w:rPr>
          <w:rFonts w:ascii="Times New Roman" w:eastAsia="Times New Roman" w:hAnsi="Times New Roman" w:cs="Times New Roman"/>
          <w:sz w:val="24"/>
          <w:szCs w:val="24"/>
        </w:rPr>
        <w:t>responsible for certain</w:t>
      </w:r>
      <w:r>
        <w:rPr>
          <w:rFonts w:ascii="Times New Roman" w:eastAsia="Times New Roman" w:hAnsi="Times New Roman" w:cs="Times New Roman"/>
          <w:sz w:val="24"/>
          <w:szCs w:val="24"/>
        </w:rPr>
        <w:t xml:space="preserve"> monitoring and record keeping functions as described in the SIP Manual, performed by someone at a Food Service Manager level.</w:t>
      </w:r>
    </w:p>
    <w:p w:rsidR="00624948">
      <w:pPr>
        <w:widowControl/>
        <w:rPr>
          <w:rFonts w:ascii="Times New Roman" w:eastAsia="Times New Roman" w:hAnsi="Times New Roman" w:cs="Times New Roman"/>
          <w:sz w:val="24"/>
          <w:szCs w:val="24"/>
        </w:rPr>
      </w:pP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Number of Respondents and Responses: 400</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Time Per Response: 40 hours</w:t>
      </w:r>
    </w:p>
    <w:p w:rsidR="00624948">
      <w:pPr>
        <w:widowControl/>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Annual Burden Hours: 16,000</w:t>
      </w:r>
    </w:p>
    <w:p w:rsidR="00624948">
      <w:pPr>
        <w:widowControl/>
        <w:rPr>
          <w:rFonts w:ascii="Times New Roman" w:eastAsia="Times New Roman" w:hAnsi="Times New Roman" w:cs="Times New Roman"/>
          <w:sz w:val="24"/>
          <w:szCs w:val="24"/>
        </w:rPr>
      </w:pPr>
    </w:p>
    <w:p w:rsidR="00624948">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RESPONDENTS: unduplicated</w:t>
      </w:r>
      <w:r w:rsidR="006971B6">
        <w:rPr>
          <w:rFonts w:ascii="Times New Roman" w:eastAsia="Times New Roman" w:hAnsi="Times New Roman" w:cs="Times New Roman"/>
          <w:b/>
          <w:sz w:val="24"/>
          <w:szCs w:val="24"/>
        </w:rPr>
        <w:t xml:space="preserve"> 1,012</w:t>
      </w:r>
    </w:p>
    <w:p w:rsidR="00624948">
      <w:pPr>
        <w:widowControl/>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RESPONSES: 74,011</w:t>
      </w:r>
    </w:p>
    <w:p w:rsidR="00624948">
      <w:pPr>
        <w:pBdr>
          <w:top w:val="nil"/>
          <w:left w:val="nil"/>
          <w:bottom w:val="nil"/>
          <w:right w:val="nil"/>
          <w:between w:val="nil"/>
        </w:pBdr>
        <w:spacing w:before="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 BURDEN HOURS: 23,067</w:t>
      </w:r>
    </w:p>
    <w:p w:rsidR="00624948">
      <w:pPr>
        <w:pBdr>
          <w:top w:val="nil"/>
          <w:left w:val="nil"/>
          <w:bottom w:val="nil"/>
          <w:right w:val="nil"/>
          <w:between w:val="nil"/>
        </w:pBdr>
        <w:spacing w:before="80"/>
        <w:rPr>
          <w:rFonts w:ascii="Times New Roman" w:eastAsia="Times New Roman" w:hAnsi="Times New Roman" w:cs="Times New Roman"/>
          <w:b/>
          <w:color w:val="000000"/>
          <w:sz w:val="24"/>
          <w:szCs w:val="24"/>
        </w:rPr>
      </w:pPr>
    </w:p>
    <w:p w:rsidR="00624948">
      <w:pPr>
        <w:pBdr>
          <w:top w:val="nil"/>
          <w:left w:val="nil"/>
          <w:bottom w:val="nil"/>
          <w:right w:val="nil"/>
          <w:between w:val="nil"/>
        </w:pBdr>
        <w:spacing w:before="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2: Estimates of Burden Hours and Burden Costs</w:t>
      </w:r>
    </w:p>
    <w:tbl>
      <w:tblPr>
        <w:tblStyle w:val="a0"/>
        <w:tblpPr w:leftFromText="180" w:rightFromText="180" w:vertAnchor="text" w:tblpXSpec="center" w:tblpY="404"/>
        <w:tblW w:w="11129" w:type="dxa"/>
        <w:tblLayout w:type="fixed"/>
        <w:tblLook w:val="0400"/>
      </w:tblPr>
      <w:tblGrid>
        <w:gridCol w:w="2510"/>
        <w:gridCol w:w="1440"/>
        <w:gridCol w:w="1441"/>
        <w:gridCol w:w="1016"/>
        <w:gridCol w:w="917"/>
        <w:gridCol w:w="853"/>
        <w:gridCol w:w="880"/>
        <w:gridCol w:w="1080"/>
        <w:gridCol w:w="992"/>
      </w:tblGrid>
      <w:tr w:rsidTr="00800A54">
        <w:tblPrEx>
          <w:tblW w:w="11129" w:type="dxa"/>
          <w:tblLayout w:type="fixed"/>
          <w:tblLook w:val="0400"/>
        </w:tblPrEx>
        <w:trPr>
          <w:trHeight w:val="1365"/>
        </w:trPr>
        <w:tc>
          <w:tcPr>
            <w:tcW w:w="25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441"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16"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917"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853"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880"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992"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800A54">
        <w:tblPrEx>
          <w:tblW w:w="11129" w:type="dxa"/>
          <w:tblLayout w:type="fixed"/>
          <w:tblLook w:val="0400"/>
        </w:tblPrEx>
        <w:trPr>
          <w:trHeight w:val="300"/>
        </w:trPr>
        <w:tc>
          <w:tcPr>
            <w:tcW w:w="2510" w:type="dxa"/>
            <w:tcBorders>
              <w:top w:val="nil"/>
              <w:left w:val="single" w:sz="8"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Application for Inspection Services</w:t>
            </w:r>
          </w:p>
        </w:tc>
        <w:tc>
          <w:tcPr>
            <w:tcW w:w="1440" w:type="dxa"/>
            <w:tcBorders>
              <w:top w:val="nil"/>
              <w:left w:val="nil"/>
              <w:bottom w:val="single" w:sz="4" w:space="0" w:color="000000"/>
              <w:right w:val="single" w:sz="4" w:space="0" w:color="000000"/>
            </w:tcBorders>
            <w:shd w:val="clear" w:color="auto" w:fill="auto"/>
            <w:vAlign w:val="bottom"/>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Office Clerks, General (43-9061)</w:t>
            </w:r>
          </w:p>
        </w:tc>
        <w:tc>
          <w:tcPr>
            <w:tcW w:w="1441"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1,012 </w:t>
            </w:r>
          </w:p>
        </w:tc>
        <w:tc>
          <w:tcPr>
            <w:tcW w:w="1016"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72</w:t>
            </w:r>
          </w:p>
        </w:tc>
        <w:tc>
          <w:tcPr>
            <w:tcW w:w="917"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72,575 </w:t>
            </w:r>
          </w:p>
        </w:tc>
        <w:tc>
          <w:tcPr>
            <w:tcW w:w="853" w:type="dxa"/>
            <w:tcBorders>
              <w:top w:val="nil"/>
              <w:left w:val="nil"/>
              <w:bottom w:val="single" w:sz="4" w:space="0" w:color="000000"/>
              <w:right w:val="single" w:sz="4" w:space="0" w:color="000000"/>
            </w:tcBorders>
            <w:shd w:val="clear" w:color="auto" w:fill="auto"/>
            <w:vAlign w:val="bottom"/>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0.0833</w:t>
            </w:r>
          </w:p>
        </w:tc>
        <w:tc>
          <w:tcPr>
            <w:tcW w:w="8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6,048 </w:t>
            </w:r>
          </w:p>
        </w:tc>
        <w:tc>
          <w:tcPr>
            <w:tcW w:w="10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21.87 </w:t>
            </w:r>
          </w:p>
        </w:tc>
        <w:tc>
          <w:tcPr>
            <w:tcW w:w="992" w:type="dxa"/>
            <w:tcBorders>
              <w:top w:val="nil"/>
              <w:left w:val="nil"/>
              <w:bottom w:val="single" w:sz="4" w:space="0" w:color="000000"/>
              <w:right w:val="single" w:sz="8"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132,270 </w:t>
            </w:r>
          </w:p>
        </w:tc>
      </w:tr>
      <w:tr w:rsidTr="00800A54">
        <w:tblPrEx>
          <w:tblW w:w="11129" w:type="dxa"/>
          <w:tblLayout w:type="fixed"/>
          <w:tblLook w:val="0400"/>
        </w:tblPrEx>
        <w:trPr>
          <w:trHeight w:val="300"/>
        </w:trPr>
        <w:tc>
          <w:tcPr>
            <w:tcW w:w="2510" w:type="dxa"/>
            <w:tcBorders>
              <w:top w:val="nil"/>
              <w:left w:val="single" w:sz="8"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Application for appeal</w:t>
            </w:r>
          </w:p>
        </w:tc>
        <w:tc>
          <w:tcPr>
            <w:tcW w:w="1440" w:type="dxa"/>
            <w:tcBorders>
              <w:top w:val="nil"/>
              <w:left w:val="nil"/>
              <w:bottom w:val="single" w:sz="4" w:space="0" w:color="000000"/>
              <w:right w:val="single" w:sz="4" w:space="0" w:color="000000"/>
            </w:tcBorders>
            <w:shd w:val="clear" w:color="auto" w:fill="auto"/>
            <w:vAlign w:val="bottom"/>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Food Service Managers (11-9051)</w:t>
            </w:r>
          </w:p>
        </w:tc>
        <w:tc>
          <w:tcPr>
            <w:tcW w:w="1441"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36 </w:t>
            </w:r>
          </w:p>
        </w:tc>
        <w:tc>
          <w:tcPr>
            <w:tcW w:w="1016"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917"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36 </w:t>
            </w:r>
          </w:p>
        </w:tc>
        <w:tc>
          <w:tcPr>
            <w:tcW w:w="853"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.5</w:t>
            </w:r>
          </w:p>
        </w:tc>
        <w:tc>
          <w:tcPr>
            <w:tcW w:w="8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18 </w:t>
            </w:r>
          </w:p>
        </w:tc>
        <w:tc>
          <w:tcPr>
            <w:tcW w:w="10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33.45 </w:t>
            </w:r>
          </w:p>
        </w:tc>
        <w:tc>
          <w:tcPr>
            <w:tcW w:w="992" w:type="dxa"/>
            <w:tcBorders>
              <w:top w:val="nil"/>
              <w:left w:val="nil"/>
              <w:bottom w:val="single" w:sz="4" w:space="0" w:color="000000"/>
              <w:right w:val="single" w:sz="8"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602</w:t>
            </w:r>
          </w:p>
        </w:tc>
      </w:tr>
      <w:tr w:rsidTr="00800A54">
        <w:tblPrEx>
          <w:tblW w:w="11129" w:type="dxa"/>
          <w:tblLayout w:type="fixed"/>
          <w:tblLook w:val="0400"/>
        </w:tblPrEx>
        <w:trPr>
          <w:trHeight w:val="300"/>
        </w:trPr>
        <w:tc>
          <w:tcPr>
            <w:tcW w:w="2510" w:type="dxa"/>
            <w:tcBorders>
              <w:top w:val="nil"/>
              <w:left w:val="single" w:sz="8"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Contract Completion</w:t>
            </w:r>
          </w:p>
        </w:tc>
        <w:tc>
          <w:tcPr>
            <w:tcW w:w="1440" w:type="dxa"/>
            <w:tcBorders>
              <w:top w:val="nil"/>
              <w:left w:val="nil"/>
              <w:bottom w:val="single" w:sz="4" w:space="0" w:color="000000"/>
              <w:right w:val="single" w:sz="4" w:space="0" w:color="000000"/>
            </w:tcBorders>
            <w:shd w:val="clear" w:color="auto" w:fill="auto"/>
            <w:vAlign w:val="bottom"/>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Food Service Managers (11-9051)</w:t>
            </w:r>
          </w:p>
        </w:tc>
        <w:tc>
          <w:tcPr>
            <w:tcW w:w="1441"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435 </w:t>
            </w:r>
          </w:p>
        </w:tc>
        <w:tc>
          <w:tcPr>
            <w:tcW w:w="1016"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917"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853"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0.0833 </w:t>
            </w:r>
          </w:p>
        </w:tc>
        <w:tc>
          <w:tcPr>
            <w:tcW w:w="8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36 </w:t>
            </w:r>
          </w:p>
        </w:tc>
        <w:tc>
          <w:tcPr>
            <w:tcW w:w="10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33.45 </w:t>
            </w:r>
          </w:p>
        </w:tc>
        <w:tc>
          <w:tcPr>
            <w:tcW w:w="992" w:type="dxa"/>
            <w:tcBorders>
              <w:top w:val="nil"/>
              <w:left w:val="nil"/>
              <w:bottom w:val="single" w:sz="4" w:space="0" w:color="000000"/>
              <w:right w:val="single" w:sz="8"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1,204 </w:t>
            </w:r>
          </w:p>
        </w:tc>
      </w:tr>
      <w:tr w:rsidTr="00800A54">
        <w:tblPrEx>
          <w:tblW w:w="11129" w:type="dxa"/>
          <w:tblLayout w:type="fixed"/>
          <w:tblLook w:val="0400"/>
        </w:tblPrEx>
        <w:trPr>
          <w:trHeight w:val="300"/>
        </w:trPr>
        <w:tc>
          <w:tcPr>
            <w:tcW w:w="2510" w:type="dxa"/>
            <w:tcBorders>
              <w:top w:val="nil"/>
              <w:left w:val="single" w:sz="8" w:space="0" w:color="000000"/>
              <w:bottom w:val="single" w:sz="4" w:space="0" w:color="000000"/>
              <w:right w:val="single" w:sz="4" w:space="0" w:color="000000"/>
            </w:tcBorders>
            <w:shd w:val="clear" w:color="auto" w:fill="auto"/>
            <w:vAlign w:val="bottom"/>
          </w:tcPr>
          <w:p w:rsidR="006973CF" w:rsidP="00A168FE">
            <w:pPr>
              <w:widowControl/>
              <w:rPr>
                <w:rFonts w:ascii="Calibri" w:eastAsia="Calibri" w:hAnsi="Calibri" w:cs="Calibri"/>
                <w:color w:val="000000"/>
                <w:sz w:val="16"/>
                <w:szCs w:val="16"/>
              </w:rPr>
            </w:pPr>
            <w:r>
              <w:rPr>
                <w:rFonts w:ascii="Calibri" w:eastAsia="Calibri" w:hAnsi="Calibri" w:cs="Calibri"/>
                <w:color w:val="000000"/>
                <w:sz w:val="16"/>
                <w:szCs w:val="16"/>
              </w:rPr>
              <w:t>Label and Specification Submission</w:t>
            </w:r>
          </w:p>
        </w:tc>
        <w:tc>
          <w:tcPr>
            <w:tcW w:w="1440" w:type="dxa"/>
            <w:tcBorders>
              <w:top w:val="nil"/>
              <w:left w:val="nil"/>
              <w:bottom w:val="single" w:sz="4" w:space="0" w:color="000000"/>
              <w:right w:val="single" w:sz="4" w:space="0" w:color="000000"/>
            </w:tcBorders>
            <w:shd w:val="clear" w:color="auto" w:fill="auto"/>
            <w:vAlign w:val="bottom"/>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 Food Service Managers (11-9051)</w:t>
            </w:r>
          </w:p>
        </w:tc>
        <w:tc>
          <w:tcPr>
            <w:tcW w:w="1441" w:type="dxa"/>
            <w:tcBorders>
              <w:top w:val="nil"/>
              <w:left w:val="nil"/>
              <w:bottom w:val="single" w:sz="4" w:space="0" w:color="000000"/>
              <w:right w:val="single" w:sz="4"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5 </w:t>
            </w:r>
          </w:p>
        </w:tc>
        <w:tc>
          <w:tcPr>
            <w:tcW w:w="1016" w:type="dxa"/>
            <w:tcBorders>
              <w:top w:val="nil"/>
              <w:left w:val="nil"/>
              <w:bottom w:val="single" w:sz="4" w:space="0" w:color="000000"/>
              <w:right w:val="single" w:sz="4"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23 </w:t>
            </w:r>
          </w:p>
        </w:tc>
        <w:tc>
          <w:tcPr>
            <w:tcW w:w="917" w:type="dxa"/>
            <w:tcBorders>
              <w:top w:val="nil"/>
              <w:left w:val="nil"/>
              <w:bottom w:val="single" w:sz="4" w:space="0" w:color="000000"/>
              <w:right w:val="single" w:sz="4"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115 </w:t>
            </w:r>
          </w:p>
        </w:tc>
        <w:tc>
          <w:tcPr>
            <w:tcW w:w="853" w:type="dxa"/>
            <w:tcBorders>
              <w:top w:val="nil"/>
              <w:left w:val="nil"/>
              <w:bottom w:val="single" w:sz="4" w:space="0" w:color="000000"/>
              <w:right w:val="single" w:sz="4"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.25</w:t>
            </w:r>
          </w:p>
        </w:tc>
        <w:tc>
          <w:tcPr>
            <w:tcW w:w="880" w:type="dxa"/>
            <w:tcBorders>
              <w:top w:val="nil"/>
              <w:left w:val="nil"/>
              <w:bottom w:val="single" w:sz="4" w:space="0" w:color="000000"/>
              <w:right w:val="single" w:sz="4"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29 </w:t>
            </w:r>
          </w:p>
        </w:tc>
        <w:tc>
          <w:tcPr>
            <w:tcW w:w="1080" w:type="dxa"/>
            <w:tcBorders>
              <w:top w:val="nil"/>
              <w:left w:val="nil"/>
              <w:bottom w:val="single" w:sz="4" w:space="0" w:color="000000"/>
              <w:right w:val="single" w:sz="4"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33.45 </w:t>
            </w:r>
          </w:p>
        </w:tc>
        <w:tc>
          <w:tcPr>
            <w:tcW w:w="992" w:type="dxa"/>
            <w:tcBorders>
              <w:top w:val="nil"/>
              <w:left w:val="nil"/>
              <w:bottom w:val="single" w:sz="4" w:space="0" w:color="000000"/>
              <w:right w:val="single" w:sz="8" w:space="0" w:color="000000"/>
            </w:tcBorders>
            <w:shd w:val="clear" w:color="auto" w:fill="auto"/>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970 </w:t>
            </w:r>
          </w:p>
        </w:tc>
      </w:tr>
      <w:tr w:rsidTr="00800A54">
        <w:tblPrEx>
          <w:tblW w:w="11129" w:type="dxa"/>
          <w:tblLayout w:type="fixed"/>
          <w:tblLook w:val="0400"/>
        </w:tblPrEx>
        <w:trPr>
          <w:trHeight w:val="300"/>
        </w:trPr>
        <w:tc>
          <w:tcPr>
            <w:tcW w:w="2510" w:type="dxa"/>
            <w:tcBorders>
              <w:top w:val="nil"/>
              <w:left w:val="single" w:sz="8"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New Respondents</w:t>
            </w:r>
          </w:p>
        </w:tc>
        <w:tc>
          <w:tcPr>
            <w:tcW w:w="1440" w:type="dxa"/>
            <w:tcBorders>
              <w:top w:val="nil"/>
              <w:left w:val="nil"/>
              <w:bottom w:val="single" w:sz="4" w:space="0" w:color="000000"/>
              <w:right w:val="single" w:sz="4" w:space="0" w:color="000000"/>
            </w:tcBorders>
            <w:shd w:val="clear" w:color="auto" w:fill="auto"/>
            <w:vAlign w:val="bottom"/>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Food Service Managers (11-9051)</w:t>
            </w:r>
          </w:p>
        </w:tc>
        <w:tc>
          <w:tcPr>
            <w:tcW w:w="1441"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15 </w:t>
            </w:r>
          </w:p>
        </w:tc>
        <w:tc>
          <w:tcPr>
            <w:tcW w:w="1016"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917"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15</w:t>
            </w:r>
          </w:p>
        </w:tc>
        <w:tc>
          <w:tcPr>
            <w:tcW w:w="853"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60 </w:t>
            </w:r>
          </w:p>
        </w:tc>
        <w:tc>
          <w:tcPr>
            <w:tcW w:w="8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900 </w:t>
            </w:r>
          </w:p>
        </w:tc>
        <w:tc>
          <w:tcPr>
            <w:tcW w:w="1080" w:type="dxa"/>
            <w:tcBorders>
              <w:top w:val="nil"/>
              <w:left w:val="nil"/>
              <w:bottom w:val="single" w:sz="4"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33.45 </w:t>
            </w:r>
          </w:p>
        </w:tc>
        <w:tc>
          <w:tcPr>
            <w:tcW w:w="992" w:type="dxa"/>
            <w:tcBorders>
              <w:top w:val="nil"/>
              <w:left w:val="nil"/>
              <w:bottom w:val="single" w:sz="4" w:space="0" w:color="000000"/>
              <w:right w:val="single" w:sz="8"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30,105 </w:t>
            </w:r>
          </w:p>
        </w:tc>
      </w:tr>
      <w:tr w:rsidTr="00800A54">
        <w:tblPrEx>
          <w:tblW w:w="11129" w:type="dxa"/>
          <w:tblLayout w:type="fixed"/>
          <w:tblLook w:val="0400"/>
        </w:tblPrEx>
        <w:trPr>
          <w:trHeight w:val="315"/>
        </w:trPr>
        <w:tc>
          <w:tcPr>
            <w:tcW w:w="2510" w:type="dxa"/>
            <w:tcBorders>
              <w:top w:val="nil"/>
              <w:left w:val="single" w:sz="8" w:space="0" w:color="000000"/>
              <w:bottom w:val="single" w:sz="8"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Current Respondents</w:t>
            </w:r>
          </w:p>
        </w:tc>
        <w:tc>
          <w:tcPr>
            <w:tcW w:w="1440" w:type="dxa"/>
            <w:tcBorders>
              <w:top w:val="nil"/>
              <w:left w:val="nil"/>
              <w:bottom w:val="single" w:sz="8" w:space="0" w:color="000000"/>
              <w:right w:val="single" w:sz="4" w:space="0" w:color="000000"/>
            </w:tcBorders>
            <w:shd w:val="clear" w:color="auto" w:fill="auto"/>
            <w:vAlign w:val="bottom"/>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Food Service Managers (11-9051)</w:t>
            </w:r>
          </w:p>
        </w:tc>
        <w:tc>
          <w:tcPr>
            <w:tcW w:w="1441" w:type="dxa"/>
            <w:tcBorders>
              <w:top w:val="nil"/>
              <w:left w:val="nil"/>
              <w:bottom w:val="single" w:sz="8"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400 </w:t>
            </w:r>
          </w:p>
        </w:tc>
        <w:tc>
          <w:tcPr>
            <w:tcW w:w="1016" w:type="dxa"/>
            <w:tcBorders>
              <w:top w:val="nil"/>
              <w:left w:val="nil"/>
              <w:bottom w:val="single" w:sz="8"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917" w:type="dxa"/>
            <w:tcBorders>
              <w:top w:val="nil"/>
              <w:left w:val="nil"/>
              <w:bottom w:val="single" w:sz="8"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400 </w:t>
            </w:r>
          </w:p>
        </w:tc>
        <w:tc>
          <w:tcPr>
            <w:tcW w:w="853" w:type="dxa"/>
            <w:tcBorders>
              <w:top w:val="nil"/>
              <w:left w:val="nil"/>
              <w:bottom w:val="single" w:sz="8"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40 </w:t>
            </w:r>
          </w:p>
        </w:tc>
        <w:tc>
          <w:tcPr>
            <w:tcW w:w="880" w:type="dxa"/>
            <w:tcBorders>
              <w:top w:val="nil"/>
              <w:left w:val="nil"/>
              <w:bottom w:val="single" w:sz="8"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16,000 </w:t>
            </w:r>
          </w:p>
        </w:tc>
        <w:tc>
          <w:tcPr>
            <w:tcW w:w="1080" w:type="dxa"/>
            <w:tcBorders>
              <w:top w:val="nil"/>
              <w:left w:val="nil"/>
              <w:bottom w:val="single" w:sz="8" w:space="0" w:color="000000"/>
              <w:right w:val="single" w:sz="4"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33.45 </w:t>
            </w:r>
          </w:p>
        </w:tc>
        <w:tc>
          <w:tcPr>
            <w:tcW w:w="992" w:type="dxa"/>
            <w:tcBorders>
              <w:top w:val="nil"/>
              <w:left w:val="nil"/>
              <w:bottom w:val="single" w:sz="8" w:space="0" w:color="000000"/>
              <w:right w:val="single" w:sz="8" w:space="0" w:color="000000"/>
            </w:tcBorders>
            <w:shd w:val="clear" w:color="auto" w:fill="auto"/>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535,200 </w:t>
            </w:r>
          </w:p>
        </w:tc>
      </w:tr>
      <w:tr w:rsidTr="00800A54">
        <w:tblPrEx>
          <w:tblW w:w="11129" w:type="dxa"/>
          <w:tblLayout w:type="fixed"/>
          <w:tblLook w:val="0400"/>
        </w:tblPrEx>
        <w:trPr>
          <w:trHeight w:val="315"/>
        </w:trPr>
        <w:tc>
          <w:tcPr>
            <w:tcW w:w="2510" w:type="dxa"/>
            <w:tcBorders>
              <w:top w:val="nil"/>
              <w:left w:val="single" w:sz="8" w:space="0" w:color="000000"/>
              <w:bottom w:val="single" w:sz="8" w:space="0" w:color="000000"/>
              <w:right w:val="single" w:sz="4" w:space="0" w:color="000000"/>
            </w:tcBorders>
            <w:shd w:val="clear" w:color="auto" w:fill="auto"/>
            <w:vAlign w:val="bottom"/>
          </w:tcPr>
          <w:p w:rsidR="00510544" w:rsidP="00510544">
            <w:pPr>
              <w:widowControl/>
              <w:rPr>
                <w:rFonts w:ascii="Calibri" w:eastAsia="Calibri" w:hAnsi="Calibri" w:cs="Calibri"/>
                <w:color w:val="000000"/>
                <w:sz w:val="16"/>
                <w:szCs w:val="16"/>
              </w:rPr>
            </w:pPr>
            <w:r>
              <w:rPr>
                <w:rFonts w:ascii="Calibri" w:eastAsia="Calibri" w:hAnsi="Calibri" w:cs="Calibri"/>
                <w:color w:val="000000"/>
                <w:sz w:val="16"/>
                <w:szCs w:val="16"/>
              </w:rPr>
              <w:t>Surety Bond</w:t>
            </w:r>
          </w:p>
        </w:tc>
        <w:tc>
          <w:tcPr>
            <w:tcW w:w="1440" w:type="dxa"/>
            <w:tcBorders>
              <w:top w:val="nil"/>
              <w:left w:val="nil"/>
              <w:bottom w:val="single" w:sz="8" w:space="0" w:color="000000"/>
              <w:right w:val="single" w:sz="4" w:space="0" w:color="000000"/>
            </w:tcBorders>
            <w:shd w:val="clear" w:color="auto" w:fill="auto"/>
            <w:vAlign w:val="bottom"/>
          </w:tcPr>
          <w:p w:rsidR="00510544" w:rsidP="00510544">
            <w:pPr>
              <w:widowControl/>
              <w:jc w:val="center"/>
              <w:rPr>
                <w:rFonts w:ascii="Calibri" w:eastAsia="Calibri" w:hAnsi="Calibri" w:cs="Calibri"/>
                <w:color w:val="000000"/>
                <w:sz w:val="16"/>
                <w:szCs w:val="16"/>
              </w:rPr>
            </w:pPr>
            <w:r>
              <w:rPr>
                <w:rFonts w:ascii="Calibri" w:eastAsia="Calibri" w:hAnsi="Calibri" w:cs="Calibri"/>
                <w:color w:val="000000"/>
                <w:sz w:val="16"/>
                <w:szCs w:val="16"/>
              </w:rPr>
              <w:t>Food Service Managers (11-9051)</w:t>
            </w:r>
          </w:p>
        </w:tc>
        <w:tc>
          <w:tcPr>
            <w:tcW w:w="1441" w:type="dxa"/>
            <w:tcBorders>
              <w:top w:val="nil"/>
              <w:left w:val="nil"/>
              <w:bottom w:val="single" w:sz="8" w:space="0" w:color="000000"/>
              <w:right w:val="single" w:sz="4"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1016" w:type="dxa"/>
            <w:tcBorders>
              <w:top w:val="nil"/>
              <w:left w:val="nil"/>
              <w:bottom w:val="single" w:sz="8" w:space="0" w:color="000000"/>
              <w:right w:val="single" w:sz="4"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917" w:type="dxa"/>
            <w:tcBorders>
              <w:top w:val="nil"/>
              <w:left w:val="nil"/>
              <w:bottom w:val="single" w:sz="8" w:space="0" w:color="000000"/>
              <w:right w:val="single" w:sz="4"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853" w:type="dxa"/>
            <w:tcBorders>
              <w:top w:val="nil"/>
              <w:left w:val="nil"/>
              <w:bottom w:val="single" w:sz="8" w:space="0" w:color="000000"/>
              <w:right w:val="single" w:sz="4"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0.0833</w:t>
            </w:r>
          </w:p>
        </w:tc>
        <w:tc>
          <w:tcPr>
            <w:tcW w:w="880" w:type="dxa"/>
            <w:tcBorders>
              <w:top w:val="nil"/>
              <w:left w:val="nil"/>
              <w:bottom w:val="single" w:sz="8" w:space="0" w:color="000000"/>
              <w:right w:val="single" w:sz="4"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36</w:t>
            </w:r>
          </w:p>
        </w:tc>
        <w:tc>
          <w:tcPr>
            <w:tcW w:w="1080" w:type="dxa"/>
            <w:tcBorders>
              <w:top w:val="nil"/>
              <w:left w:val="nil"/>
              <w:bottom w:val="single" w:sz="8" w:space="0" w:color="000000"/>
              <w:right w:val="single" w:sz="4"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33.45 </w:t>
            </w:r>
          </w:p>
        </w:tc>
        <w:tc>
          <w:tcPr>
            <w:tcW w:w="992" w:type="dxa"/>
            <w:tcBorders>
              <w:top w:val="nil"/>
              <w:left w:val="nil"/>
              <w:bottom w:val="single" w:sz="8" w:space="0" w:color="000000"/>
              <w:right w:val="single" w:sz="8" w:space="0" w:color="000000"/>
            </w:tcBorders>
            <w:shd w:val="clear" w:color="auto" w:fill="auto"/>
            <w:vAlign w:val="bottom"/>
          </w:tcPr>
          <w:p w:rsidR="00510544" w:rsidP="00510544">
            <w:pPr>
              <w:widowControl/>
              <w:jc w:val="right"/>
              <w:rPr>
                <w:rFonts w:ascii="Calibri" w:eastAsia="Calibri" w:hAnsi="Calibri" w:cs="Calibri"/>
                <w:color w:val="000000"/>
                <w:sz w:val="16"/>
                <w:szCs w:val="16"/>
              </w:rPr>
            </w:pPr>
            <w:r>
              <w:rPr>
                <w:rFonts w:ascii="Calibri" w:eastAsia="Calibri" w:hAnsi="Calibri" w:cs="Calibri"/>
                <w:color w:val="000000"/>
                <w:sz w:val="16"/>
                <w:szCs w:val="16"/>
              </w:rPr>
              <w:t>1,204</w:t>
            </w:r>
          </w:p>
        </w:tc>
      </w:tr>
      <w:tr w:rsidTr="00800A54">
        <w:tblPrEx>
          <w:tblW w:w="11129" w:type="dxa"/>
          <w:tblLayout w:type="fixed"/>
          <w:tblLook w:val="0400"/>
        </w:tblPrEx>
        <w:trPr>
          <w:trHeight w:val="615"/>
        </w:trPr>
        <w:tc>
          <w:tcPr>
            <w:tcW w:w="2510" w:type="dxa"/>
            <w:tcBorders>
              <w:top w:val="nil"/>
              <w:left w:val="single" w:sz="8" w:space="0" w:color="000000"/>
              <w:bottom w:val="single" w:sz="8" w:space="0" w:color="000000"/>
              <w:right w:val="single" w:sz="8" w:space="0" w:color="000000"/>
            </w:tcBorders>
            <w:shd w:val="clear" w:color="auto" w:fill="DDEBF7"/>
            <w:vAlign w:val="bottom"/>
          </w:tcPr>
          <w:p w:rsidR="00624948">
            <w:pPr>
              <w:widowControl/>
              <w:rPr>
                <w:rFonts w:ascii="Calibri" w:eastAsia="Calibri" w:hAnsi="Calibri" w:cs="Calibri"/>
                <w:b/>
                <w:color w:val="000000"/>
              </w:rPr>
            </w:pPr>
            <w:r>
              <w:rPr>
                <w:rFonts w:ascii="Calibri" w:eastAsia="Calibri" w:hAnsi="Calibri" w:cs="Calibri"/>
                <w:b/>
                <w:color w:val="000000"/>
              </w:rPr>
              <w:t>Totals</w:t>
            </w:r>
          </w:p>
        </w:tc>
        <w:tc>
          <w:tcPr>
            <w:tcW w:w="1440" w:type="dxa"/>
            <w:tcBorders>
              <w:top w:val="nil"/>
              <w:left w:val="nil"/>
              <w:bottom w:val="single" w:sz="8" w:space="0" w:color="000000"/>
              <w:right w:val="single" w:sz="8" w:space="0" w:color="000000"/>
            </w:tcBorders>
            <w:shd w:val="clear" w:color="auto" w:fill="000000"/>
            <w:vAlign w:val="bottom"/>
          </w:tcPr>
          <w:p w:rsidR="00624948">
            <w:pPr>
              <w:widowControl/>
              <w:rPr>
                <w:rFonts w:ascii="Calibri" w:eastAsia="Calibri" w:hAnsi="Calibri" w:cs="Calibri"/>
                <w:b/>
                <w:color w:val="000000"/>
              </w:rPr>
            </w:pPr>
            <w:r>
              <w:rPr>
                <w:rFonts w:ascii="Calibri" w:eastAsia="Calibri" w:hAnsi="Calibri" w:cs="Calibri"/>
                <w:b/>
                <w:color w:val="000000"/>
              </w:rPr>
              <w:t> </w:t>
            </w:r>
          </w:p>
        </w:tc>
        <w:tc>
          <w:tcPr>
            <w:tcW w:w="1441" w:type="dxa"/>
            <w:tcBorders>
              <w:top w:val="nil"/>
              <w:left w:val="nil"/>
              <w:bottom w:val="single" w:sz="8" w:space="0" w:color="000000"/>
              <w:right w:val="single" w:sz="8" w:space="0" w:color="000000"/>
            </w:tcBorders>
            <w:shd w:val="clear" w:color="auto" w:fill="000000"/>
            <w:vAlign w:val="bottom"/>
          </w:tcPr>
          <w:p w:rsidR="00624948">
            <w:pPr>
              <w:widowControl/>
              <w:rPr>
                <w:rFonts w:ascii="Calibri" w:eastAsia="Calibri" w:hAnsi="Calibri" w:cs="Calibri"/>
                <w:b/>
                <w:color w:val="000000"/>
              </w:rPr>
            </w:pPr>
            <w:r>
              <w:rPr>
                <w:rFonts w:ascii="Calibri" w:eastAsia="Calibri" w:hAnsi="Calibri" w:cs="Calibri"/>
                <w:b/>
                <w:color w:val="000000"/>
              </w:rPr>
              <w:t> </w:t>
            </w:r>
          </w:p>
        </w:tc>
        <w:tc>
          <w:tcPr>
            <w:tcW w:w="1016" w:type="dxa"/>
            <w:tcBorders>
              <w:top w:val="nil"/>
              <w:left w:val="nil"/>
              <w:bottom w:val="single" w:sz="8" w:space="0" w:color="000000"/>
              <w:right w:val="single" w:sz="8" w:space="0" w:color="000000"/>
            </w:tcBorders>
            <w:shd w:val="clear" w:color="auto" w:fill="000000"/>
            <w:vAlign w:val="bottom"/>
          </w:tcPr>
          <w:p w:rsidR="00624948">
            <w:pPr>
              <w:widowControl/>
              <w:rPr>
                <w:rFonts w:ascii="Calibri" w:eastAsia="Calibri" w:hAnsi="Calibri" w:cs="Calibri"/>
                <w:b/>
                <w:color w:val="000000"/>
              </w:rPr>
            </w:pPr>
            <w:r>
              <w:rPr>
                <w:rFonts w:ascii="Calibri" w:eastAsia="Calibri" w:hAnsi="Calibri" w:cs="Calibri"/>
                <w:b/>
                <w:color w:val="000000"/>
              </w:rPr>
              <w:t> </w:t>
            </w:r>
          </w:p>
        </w:tc>
        <w:tc>
          <w:tcPr>
            <w:tcW w:w="917" w:type="dxa"/>
            <w:tcBorders>
              <w:top w:val="nil"/>
              <w:left w:val="nil"/>
              <w:bottom w:val="single" w:sz="8" w:space="0" w:color="000000"/>
              <w:right w:val="single" w:sz="8" w:space="0" w:color="000000"/>
            </w:tcBorders>
            <w:shd w:val="clear" w:color="auto" w:fill="DDEBF7"/>
            <w:vAlign w:val="bottom"/>
          </w:tcPr>
          <w:p w:rsidR="00624948">
            <w:pPr>
              <w:widowControl/>
              <w:rPr>
                <w:rFonts w:ascii="Calibri" w:eastAsia="Calibri" w:hAnsi="Calibri" w:cs="Calibri"/>
                <w:b/>
                <w:color w:val="000000"/>
              </w:rPr>
            </w:pPr>
            <w:r>
              <w:rPr>
                <w:rFonts w:ascii="Calibri" w:eastAsia="Calibri" w:hAnsi="Calibri" w:cs="Calibri"/>
                <w:b/>
                <w:color w:val="000000"/>
              </w:rPr>
              <w:t>74,011</w:t>
            </w:r>
          </w:p>
        </w:tc>
        <w:tc>
          <w:tcPr>
            <w:tcW w:w="853" w:type="dxa"/>
            <w:tcBorders>
              <w:top w:val="nil"/>
              <w:left w:val="nil"/>
              <w:bottom w:val="single" w:sz="8" w:space="0" w:color="000000"/>
              <w:right w:val="single" w:sz="8" w:space="0" w:color="000000"/>
            </w:tcBorders>
            <w:shd w:val="clear" w:color="auto" w:fill="000000"/>
            <w:vAlign w:val="bottom"/>
          </w:tcPr>
          <w:p w:rsidR="00624948">
            <w:pPr>
              <w:widowControl/>
              <w:rPr>
                <w:rFonts w:ascii="Calibri" w:eastAsia="Calibri" w:hAnsi="Calibri" w:cs="Calibri"/>
                <w:b/>
                <w:color w:val="000000"/>
              </w:rPr>
            </w:pPr>
            <w:r>
              <w:rPr>
                <w:rFonts w:ascii="Calibri" w:eastAsia="Calibri" w:hAnsi="Calibri" w:cs="Calibri"/>
                <w:b/>
                <w:color w:val="000000"/>
              </w:rPr>
              <w:t> </w:t>
            </w:r>
          </w:p>
        </w:tc>
        <w:tc>
          <w:tcPr>
            <w:tcW w:w="880" w:type="dxa"/>
            <w:tcBorders>
              <w:top w:val="nil"/>
              <w:left w:val="nil"/>
              <w:bottom w:val="single" w:sz="8" w:space="0" w:color="000000"/>
              <w:right w:val="single" w:sz="8" w:space="0" w:color="000000"/>
            </w:tcBorders>
            <w:shd w:val="clear" w:color="auto" w:fill="DDEBF7"/>
            <w:vAlign w:val="bottom"/>
          </w:tcPr>
          <w:p w:rsidR="00624948">
            <w:pPr>
              <w:widowControl/>
              <w:rPr>
                <w:rFonts w:ascii="Calibri" w:eastAsia="Calibri" w:hAnsi="Calibri" w:cs="Calibri"/>
                <w:b/>
                <w:color w:val="000000"/>
              </w:rPr>
            </w:pPr>
            <w:r>
              <w:rPr>
                <w:rFonts w:ascii="Calibri" w:eastAsia="Calibri" w:hAnsi="Calibri" w:cs="Calibri"/>
                <w:b/>
                <w:color w:val="000000"/>
              </w:rPr>
              <w:t>23,067</w:t>
            </w:r>
          </w:p>
        </w:tc>
        <w:tc>
          <w:tcPr>
            <w:tcW w:w="1080" w:type="dxa"/>
            <w:tcBorders>
              <w:top w:val="nil"/>
              <w:left w:val="nil"/>
              <w:bottom w:val="single" w:sz="8" w:space="0" w:color="000000"/>
              <w:right w:val="single" w:sz="8" w:space="0" w:color="000000"/>
            </w:tcBorders>
            <w:shd w:val="clear" w:color="auto" w:fill="000000"/>
            <w:vAlign w:val="bottom"/>
          </w:tcPr>
          <w:p w:rsidR="00624948">
            <w:pPr>
              <w:widowControl/>
              <w:rPr>
                <w:rFonts w:ascii="Calibri" w:eastAsia="Calibri" w:hAnsi="Calibri" w:cs="Calibri"/>
                <w:b/>
                <w:color w:val="000000"/>
              </w:rPr>
            </w:pPr>
            <w:r>
              <w:rPr>
                <w:rFonts w:ascii="Calibri" w:eastAsia="Calibri" w:hAnsi="Calibri" w:cs="Calibri"/>
                <w:b/>
                <w:color w:val="000000"/>
              </w:rPr>
              <w:t> </w:t>
            </w:r>
          </w:p>
        </w:tc>
        <w:tc>
          <w:tcPr>
            <w:tcW w:w="992" w:type="dxa"/>
            <w:tcBorders>
              <w:top w:val="nil"/>
              <w:left w:val="nil"/>
              <w:bottom w:val="single" w:sz="8" w:space="0" w:color="000000"/>
              <w:right w:val="single" w:sz="8" w:space="0" w:color="000000"/>
            </w:tcBorders>
            <w:shd w:val="clear" w:color="auto" w:fill="DDEBF7"/>
            <w:vAlign w:val="bottom"/>
          </w:tcPr>
          <w:p w:rsidR="00624948">
            <w:pPr>
              <w:widowControl/>
              <w:rPr>
                <w:rFonts w:ascii="Calibri" w:eastAsia="Calibri" w:hAnsi="Calibri" w:cs="Calibri"/>
                <w:b/>
                <w:color w:val="000000"/>
              </w:rPr>
            </w:pPr>
            <w:r>
              <w:rPr>
                <w:rFonts w:ascii="Calibri" w:eastAsia="Calibri" w:hAnsi="Calibri" w:cs="Calibri"/>
                <w:b/>
                <w:color w:val="000000"/>
              </w:rPr>
              <w:t>701,555</w:t>
            </w:r>
          </w:p>
        </w:tc>
      </w:tr>
    </w:tbl>
    <w:p w:rsidR="00624948">
      <w:pPr>
        <w:widowControl/>
        <w:rPr>
          <w:rFonts w:ascii="Times New Roman" w:eastAsia="Times New Roman" w:hAnsi="Times New Roman" w:cs="Times New Roman"/>
          <w:b/>
          <w:sz w:val="24"/>
          <w:szCs w:val="24"/>
        </w:rPr>
      </w:pPr>
    </w:p>
    <w:p w:rsidR="00624948">
      <w:pPr>
        <w:spacing w:line="259" w:lineRule="auto"/>
        <w:rPr>
          <w:rFonts w:ascii="Times New Roman" w:eastAsia="Times New Roman" w:hAnsi="Times New Roman" w:cs="Times New Roman"/>
          <w:b/>
          <w:color w:val="FF0000"/>
          <w:sz w:val="24"/>
          <w:szCs w:val="24"/>
        </w:rPr>
      </w:pPr>
    </w:p>
    <w:p w:rsidR="00624948">
      <w:pPr>
        <w:spacing w:line="259" w:lineRule="auto"/>
        <w:ind w:hanging="43"/>
        <w:rPr>
          <w:rFonts w:ascii="Times New Roman" w:eastAsia="Times New Roman" w:hAnsi="Times New Roman" w:cs="Times New Roman"/>
          <w:sz w:val="24"/>
          <w:szCs w:val="24"/>
        </w:rPr>
        <w:sectPr>
          <w:footerReference w:type="default" r:id="rId13"/>
          <w:pgSz w:w="12240" w:h="15840"/>
          <w:pgMar w:top="1200" w:right="1080" w:bottom="640" w:left="1080" w:header="0" w:footer="1014" w:gutter="0"/>
          <w:pgNumType w:start="1"/>
          <w:cols w:space="720"/>
        </w:sectPr>
      </w:pPr>
      <w:r>
        <w:rPr>
          <w:rFonts w:ascii="Times New Roman" w:eastAsia="Times New Roman" w:hAnsi="Times New Roman" w:cs="Times New Roman"/>
          <w:sz w:val="24"/>
          <w:szCs w:val="24"/>
        </w:rPr>
        <w:t xml:space="preserve">Occupational Code 43-9061 (Office Clerks, General) and 11-9051 (Food Service Managers) were used to determine the mean hourly wage.  BLS’s </w:t>
      </w:r>
      <w:r>
        <w:rPr>
          <w:rFonts w:ascii="Times New Roman" w:eastAsia="Times New Roman" w:hAnsi="Times New Roman" w:cs="Times New Roman"/>
          <w:i/>
          <w:sz w:val="24"/>
          <w:szCs w:val="24"/>
        </w:rPr>
        <w:t>Occupational Outlook Handbook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used</w:t>
      </w:r>
      <w:r>
        <w:rPr>
          <w:rFonts w:ascii="Times New Roman" w:eastAsia="Times New Roman" w:hAnsi="Times New Roman" w:cs="Times New Roman"/>
          <w:sz w:val="24"/>
          <w:szCs w:val="24"/>
        </w:rPr>
        <w:t xml:space="preserve"> as a wage source (</w:t>
      </w:r>
      <w:hyperlink r:id="rId14">
        <w:r>
          <w:rPr>
            <w:rFonts w:ascii="Times New Roman" w:eastAsia="Times New Roman" w:hAnsi="Times New Roman" w:cs="Times New Roman"/>
            <w:sz w:val="24"/>
            <w:szCs w:val="24"/>
            <w:u w:val="single"/>
          </w:rPr>
          <w:t>https://www.bls.gov/bls/blswage.htm</w:t>
        </w:r>
      </w:hyperlink>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w:t>
      </w: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624948">
      <w:pPr>
        <w:pBdr>
          <w:top w:val="nil"/>
          <w:left w:val="nil"/>
          <w:bottom w:val="nil"/>
          <w:right w:val="nil"/>
          <w:between w:val="nil"/>
        </w:pBdr>
        <w:spacing w:before="1"/>
        <w:rPr>
          <w:rFonts w:ascii="Times New Roman" w:eastAsia="Times New Roman" w:hAnsi="Times New Roman" w:cs="Times New Roman"/>
          <w:b/>
          <w:color w:val="000000"/>
          <w:sz w:val="24"/>
          <w:szCs w:val="24"/>
        </w:rPr>
      </w:pPr>
    </w:p>
    <w:p w:rsidR="0062494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only capital costs or operating and maintenance costs associated with this information collection are for recordkeeping. An estimated 10% of service requests come in via paper format, and costs associated with copying/mailing those are included below.</w:t>
      </w:r>
    </w:p>
    <w:p w:rsidR="00624948">
      <w:pPr>
        <w:rPr>
          <w:rFonts w:ascii="Times New Roman" w:eastAsia="Times New Roman" w:hAnsi="Times New Roman" w:cs="Times New Roman"/>
          <w:sz w:val="24"/>
          <w:szCs w:val="24"/>
        </w:rPr>
      </w:pPr>
    </w:p>
    <w:p w:rsidR="006249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Estimates of Information Collection Costs</w:t>
      </w:r>
    </w:p>
    <w:p w:rsidR="00624948">
      <w:pPr>
        <w:rPr>
          <w:rFonts w:ascii="Times New Roman" w:eastAsia="Times New Roman" w:hAnsi="Times New Roman" w:cs="Times New Roman"/>
          <w:sz w:val="24"/>
          <w:szCs w:val="24"/>
        </w:rPr>
      </w:pPr>
    </w:p>
    <w:tbl>
      <w:tblPr>
        <w:tblStyle w:val="a1"/>
        <w:tblW w:w="9859" w:type="dxa"/>
        <w:tblLayout w:type="fixed"/>
        <w:tblLook w:val="0400"/>
      </w:tblPr>
      <w:tblGrid>
        <w:gridCol w:w="2604"/>
        <w:gridCol w:w="1997"/>
        <w:gridCol w:w="1242"/>
        <w:gridCol w:w="1509"/>
        <w:gridCol w:w="1339"/>
        <w:gridCol w:w="1168"/>
      </w:tblGrid>
      <w:tr w:rsidTr="006973CF">
        <w:tblPrEx>
          <w:tblW w:w="9859" w:type="dxa"/>
          <w:tblLayout w:type="fixed"/>
          <w:tblLook w:val="0400"/>
        </w:tblPrEx>
        <w:trPr>
          <w:trHeight w:val="973"/>
        </w:trPr>
        <w:tc>
          <w:tcPr>
            <w:tcW w:w="2604"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97"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w:t>
            </w:r>
            <w:r>
              <w:rPr>
                <w:rFonts w:ascii="Calibri" w:eastAsia="Calibri" w:hAnsi="Calibri" w:cs="Calibri"/>
                <w:b/>
                <w:color w:val="000000"/>
                <w:sz w:val="16"/>
                <w:szCs w:val="16"/>
              </w:rPr>
              <w:br/>
              <w:t>(a)</w:t>
            </w:r>
          </w:p>
        </w:tc>
        <w:tc>
          <w:tcPr>
            <w:tcW w:w="1242"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509"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339"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Burden / Respondent</w:t>
            </w:r>
            <w:r>
              <w:rPr>
                <w:rFonts w:ascii="Calibri" w:eastAsia="Calibri" w:hAnsi="Calibri" w:cs="Calibri"/>
                <w:b/>
                <w:color w:val="000000"/>
                <w:sz w:val="16"/>
                <w:szCs w:val="16"/>
              </w:rPr>
              <w:br/>
              <w:t>(h)</w:t>
            </w:r>
          </w:p>
        </w:tc>
        <w:tc>
          <w:tcPr>
            <w:tcW w:w="1168" w:type="dxa"/>
            <w:tcBorders>
              <w:top w:val="single" w:sz="8" w:space="0" w:color="000000"/>
              <w:left w:val="nil"/>
              <w:bottom w:val="single" w:sz="8" w:space="0" w:color="000000"/>
              <w:right w:val="single" w:sz="8" w:space="0" w:color="000000"/>
            </w:tcBorders>
            <w:shd w:val="clear" w:color="auto" w:fill="BDD7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Cost Burden</w:t>
            </w:r>
            <w:r>
              <w:rPr>
                <w:rFonts w:ascii="Calibri" w:eastAsia="Calibri" w:hAnsi="Calibri" w:cs="Calibri"/>
                <w:b/>
                <w:color w:val="000000"/>
                <w:sz w:val="16"/>
                <w:szCs w:val="16"/>
              </w:rPr>
              <w:br/>
              <w:t>(</w:t>
            </w:r>
            <w:r>
              <w:rPr>
                <w:rFonts w:ascii="Calibri" w:eastAsia="Calibri" w:hAnsi="Calibri" w:cs="Calibri"/>
                <w:b/>
                <w:color w:val="000000"/>
                <w:sz w:val="16"/>
                <w:szCs w:val="16"/>
              </w:rPr>
              <w:t>i</w:t>
            </w:r>
            <w:r>
              <w:rPr>
                <w:rFonts w:ascii="Calibri" w:eastAsia="Calibri" w:hAnsi="Calibri" w:cs="Calibri"/>
                <w:b/>
                <w:color w:val="000000"/>
                <w:sz w:val="16"/>
                <w:szCs w:val="16"/>
              </w:rPr>
              <w:t>) = (c) x (h)</w:t>
            </w:r>
          </w:p>
        </w:tc>
      </w:tr>
      <w:tr w:rsidTr="006973CF">
        <w:tblPrEx>
          <w:tblW w:w="9859" w:type="dxa"/>
          <w:tblLayout w:type="fixed"/>
          <w:tblLook w:val="0400"/>
        </w:tblPrEx>
        <w:trPr>
          <w:trHeight w:val="331"/>
        </w:trPr>
        <w:tc>
          <w:tcPr>
            <w:tcW w:w="2604" w:type="dxa"/>
            <w:tcBorders>
              <w:top w:val="nil"/>
              <w:left w:val="single" w:sz="4"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Application for Inspection Services</w:t>
            </w:r>
          </w:p>
        </w:tc>
        <w:tc>
          <w:tcPr>
            <w:tcW w:w="1997"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1,012 </w:t>
            </w:r>
          </w:p>
        </w:tc>
        <w:tc>
          <w:tcPr>
            <w:tcW w:w="1242"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72</w:t>
            </w:r>
          </w:p>
        </w:tc>
        <w:tc>
          <w:tcPr>
            <w:tcW w:w="1509"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72,575 </w:t>
            </w:r>
          </w:p>
        </w:tc>
        <w:tc>
          <w:tcPr>
            <w:tcW w:w="1339" w:type="dxa"/>
            <w:tcBorders>
              <w:top w:val="nil"/>
              <w:left w:val="nil"/>
              <w:bottom w:val="single" w:sz="4" w:space="0" w:color="000000"/>
              <w:right w:val="single" w:sz="4"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.065</w:t>
            </w:r>
          </w:p>
        </w:tc>
        <w:tc>
          <w:tcPr>
            <w:tcW w:w="1168" w:type="dxa"/>
            <w:tcBorders>
              <w:top w:val="nil"/>
              <w:left w:val="nil"/>
              <w:bottom w:val="single" w:sz="4" w:space="0" w:color="000000"/>
              <w:right w:val="single" w:sz="8"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4,717 </w:t>
            </w:r>
          </w:p>
        </w:tc>
      </w:tr>
      <w:tr w:rsidTr="006973CF">
        <w:tblPrEx>
          <w:tblW w:w="9859" w:type="dxa"/>
          <w:tblLayout w:type="fixed"/>
          <w:tblLook w:val="0400"/>
        </w:tblPrEx>
        <w:trPr>
          <w:trHeight w:val="331"/>
        </w:trPr>
        <w:tc>
          <w:tcPr>
            <w:tcW w:w="2604" w:type="dxa"/>
            <w:tcBorders>
              <w:top w:val="nil"/>
              <w:left w:val="single" w:sz="4"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Application for appeal</w:t>
            </w:r>
          </w:p>
        </w:tc>
        <w:tc>
          <w:tcPr>
            <w:tcW w:w="1997"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36 </w:t>
            </w:r>
          </w:p>
        </w:tc>
        <w:tc>
          <w:tcPr>
            <w:tcW w:w="1242"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509"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36 </w:t>
            </w:r>
          </w:p>
        </w:tc>
        <w:tc>
          <w:tcPr>
            <w:tcW w:w="1339" w:type="dxa"/>
            <w:tcBorders>
              <w:top w:val="nil"/>
              <w:left w:val="nil"/>
              <w:bottom w:val="single" w:sz="4" w:space="0" w:color="000000"/>
              <w:right w:val="single" w:sz="4"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.065</w:t>
            </w:r>
          </w:p>
        </w:tc>
        <w:tc>
          <w:tcPr>
            <w:tcW w:w="1168" w:type="dxa"/>
            <w:tcBorders>
              <w:top w:val="nil"/>
              <w:left w:val="nil"/>
              <w:bottom w:val="single" w:sz="4" w:space="0" w:color="000000"/>
              <w:right w:val="single" w:sz="8"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2 </w:t>
            </w:r>
          </w:p>
        </w:tc>
      </w:tr>
      <w:tr w:rsidTr="006973CF">
        <w:tblPrEx>
          <w:tblW w:w="9859" w:type="dxa"/>
          <w:tblLayout w:type="fixed"/>
          <w:tblLook w:val="0400"/>
        </w:tblPrEx>
        <w:trPr>
          <w:trHeight w:val="331"/>
        </w:trPr>
        <w:tc>
          <w:tcPr>
            <w:tcW w:w="2604" w:type="dxa"/>
            <w:tcBorders>
              <w:top w:val="nil"/>
              <w:left w:val="single" w:sz="4"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Contract Completion</w:t>
            </w:r>
          </w:p>
        </w:tc>
        <w:tc>
          <w:tcPr>
            <w:tcW w:w="1997"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1242"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509" w:type="dxa"/>
            <w:tcBorders>
              <w:top w:val="nil"/>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1339" w:type="dxa"/>
            <w:tcBorders>
              <w:top w:val="nil"/>
              <w:left w:val="nil"/>
              <w:bottom w:val="single" w:sz="4" w:space="0" w:color="000000"/>
              <w:right w:val="single" w:sz="4"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.065 </w:t>
            </w:r>
          </w:p>
        </w:tc>
        <w:tc>
          <w:tcPr>
            <w:tcW w:w="1168" w:type="dxa"/>
            <w:tcBorders>
              <w:top w:val="nil"/>
              <w:left w:val="nil"/>
              <w:bottom w:val="single" w:sz="4" w:space="0" w:color="000000"/>
              <w:right w:val="single" w:sz="8"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28</w:t>
            </w:r>
          </w:p>
        </w:tc>
      </w:tr>
      <w:tr w:rsidTr="006973CF">
        <w:tblPrEx>
          <w:tblW w:w="9859" w:type="dxa"/>
          <w:tblLayout w:type="fixed"/>
          <w:tblLook w:val="0400"/>
        </w:tblPrEx>
        <w:trPr>
          <w:trHeight w:val="331"/>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973CF" w:rsidP="00CD6674">
            <w:pPr>
              <w:widowControl/>
              <w:rPr>
                <w:rFonts w:ascii="Calibri" w:eastAsia="Calibri" w:hAnsi="Calibri" w:cs="Calibri"/>
                <w:color w:val="000000"/>
                <w:sz w:val="16"/>
                <w:szCs w:val="16"/>
              </w:rPr>
            </w:pPr>
            <w:r>
              <w:rPr>
                <w:rFonts w:ascii="Calibri" w:eastAsia="Calibri" w:hAnsi="Calibri" w:cs="Calibri"/>
                <w:color w:val="000000"/>
                <w:sz w:val="16"/>
                <w:szCs w:val="16"/>
              </w:rPr>
              <w:t>Label and Specification Submission</w:t>
            </w:r>
          </w:p>
        </w:tc>
        <w:tc>
          <w:tcPr>
            <w:tcW w:w="1997" w:type="dxa"/>
            <w:tcBorders>
              <w:top w:val="single" w:sz="4" w:space="0" w:color="000000"/>
              <w:left w:val="nil"/>
              <w:bottom w:val="single" w:sz="4" w:space="0" w:color="000000"/>
              <w:right w:val="single" w:sz="4" w:space="0" w:color="000000"/>
            </w:tcBorders>
            <w:shd w:val="clear" w:color="auto" w:fill="FFFFFF"/>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5 </w:t>
            </w:r>
          </w:p>
        </w:tc>
        <w:tc>
          <w:tcPr>
            <w:tcW w:w="1242" w:type="dxa"/>
            <w:tcBorders>
              <w:top w:val="single" w:sz="4" w:space="0" w:color="000000"/>
              <w:left w:val="nil"/>
              <w:bottom w:val="single" w:sz="4" w:space="0" w:color="000000"/>
              <w:right w:val="single" w:sz="4" w:space="0" w:color="000000"/>
            </w:tcBorders>
            <w:shd w:val="clear" w:color="auto" w:fill="FFFFFF"/>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23 </w:t>
            </w:r>
          </w:p>
        </w:tc>
        <w:tc>
          <w:tcPr>
            <w:tcW w:w="1509" w:type="dxa"/>
            <w:tcBorders>
              <w:top w:val="single" w:sz="4" w:space="0" w:color="000000"/>
              <w:left w:val="nil"/>
              <w:bottom w:val="single" w:sz="4" w:space="0" w:color="000000"/>
              <w:right w:val="single" w:sz="4" w:space="0" w:color="000000"/>
            </w:tcBorders>
            <w:shd w:val="clear" w:color="auto" w:fill="FFFFFF"/>
            <w:vAlign w:val="bottom"/>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115 </w:t>
            </w:r>
          </w:p>
        </w:tc>
        <w:tc>
          <w:tcPr>
            <w:tcW w:w="1339" w:type="dxa"/>
            <w:tcBorders>
              <w:top w:val="single" w:sz="4" w:space="0" w:color="000000"/>
              <w:left w:val="nil"/>
              <w:bottom w:val="single" w:sz="4" w:space="0" w:color="000000"/>
              <w:right w:val="single" w:sz="4" w:space="0" w:color="000000"/>
            </w:tcBorders>
            <w:shd w:val="clear" w:color="auto" w:fill="FFFFFF"/>
            <w:vAlign w:val="center"/>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.065 </w:t>
            </w:r>
          </w:p>
        </w:tc>
        <w:tc>
          <w:tcPr>
            <w:tcW w:w="1168" w:type="dxa"/>
            <w:tcBorders>
              <w:top w:val="single" w:sz="4" w:space="0" w:color="000000"/>
              <w:left w:val="nil"/>
              <w:bottom w:val="single" w:sz="4" w:space="0" w:color="000000"/>
              <w:right w:val="single" w:sz="4" w:space="0" w:color="000000"/>
            </w:tcBorders>
            <w:shd w:val="clear" w:color="auto" w:fill="FFFFFF"/>
            <w:vAlign w:val="center"/>
          </w:tcPr>
          <w:p w:rsidR="006973CF" w:rsidP="006973CF">
            <w:pPr>
              <w:widowControl/>
              <w:jc w:val="right"/>
              <w:rPr>
                <w:rFonts w:ascii="Calibri" w:eastAsia="Calibri" w:hAnsi="Calibri" w:cs="Calibri"/>
                <w:color w:val="000000"/>
                <w:sz w:val="16"/>
                <w:szCs w:val="16"/>
              </w:rPr>
            </w:pPr>
            <w:r>
              <w:rPr>
                <w:rFonts w:ascii="Calibri" w:eastAsia="Calibri" w:hAnsi="Calibri" w:cs="Calibri"/>
                <w:color w:val="000000"/>
                <w:sz w:val="16"/>
                <w:szCs w:val="16"/>
              </w:rPr>
              <w:t>7</w:t>
            </w:r>
          </w:p>
        </w:tc>
      </w:tr>
      <w:tr w:rsidTr="006973CF">
        <w:tblPrEx>
          <w:tblW w:w="9859" w:type="dxa"/>
          <w:tblLayout w:type="fixed"/>
          <w:tblLook w:val="0400"/>
        </w:tblPrEx>
        <w:trPr>
          <w:trHeight w:val="343"/>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New Respondents</w:t>
            </w:r>
          </w:p>
        </w:tc>
        <w:tc>
          <w:tcPr>
            <w:tcW w:w="1997" w:type="dxa"/>
            <w:tcBorders>
              <w:top w:val="single" w:sz="4" w:space="0" w:color="000000"/>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15 </w:t>
            </w:r>
          </w:p>
        </w:tc>
        <w:tc>
          <w:tcPr>
            <w:tcW w:w="1242" w:type="dxa"/>
            <w:tcBorders>
              <w:top w:val="single" w:sz="4" w:space="0" w:color="000000"/>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509" w:type="dxa"/>
            <w:tcBorders>
              <w:top w:val="single" w:sz="4" w:space="0" w:color="000000"/>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15</w:t>
            </w:r>
          </w:p>
        </w:tc>
        <w:tc>
          <w:tcPr>
            <w:tcW w:w="1339" w:type="dxa"/>
            <w:tcBorders>
              <w:top w:val="single" w:sz="4" w:space="0" w:color="000000"/>
              <w:left w:val="nil"/>
              <w:bottom w:val="single" w:sz="4" w:space="0" w:color="000000"/>
              <w:right w:val="single" w:sz="4"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.065 </w:t>
            </w:r>
          </w:p>
        </w:tc>
        <w:tc>
          <w:tcPr>
            <w:tcW w:w="1168" w:type="dxa"/>
            <w:tcBorders>
              <w:top w:val="single" w:sz="4" w:space="0" w:color="000000"/>
              <w:left w:val="nil"/>
              <w:bottom w:val="single" w:sz="4" w:space="0" w:color="000000"/>
              <w:right w:val="single" w:sz="8"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r>
      <w:tr w:rsidTr="006973CF">
        <w:tblPrEx>
          <w:tblW w:w="9859" w:type="dxa"/>
          <w:tblLayout w:type="fixed"/>
          <w:tblLook w:val="0400"/>
        </w:tblPrEx>
        <w:trPr>
          <w:trHeight w:val="343"/>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Current Respondents</w:t>
            </w:r>
          </w:p>
        </w:tc>
        <w:tc>
          <w:tcPr>
            <w:tcW w:w="1997" w:type="dxa"/>
            <w:tcBorders>
              <w:top w:val="single" w:sz="4" w:space="0" w:color="000000"/>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400 </w:t>
            </w:r>
          </w:p>
        </w:tc>
        <w:tc>
          <w:tcPr>
            <w:tcW w:w="1242" w:type="dxa"/>
            <w:tcBorders>
              <w:top w:val="single" w:sz="4" w:space="0" w:color="000000"/>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509" w:type="dxa"/>
            <w:tcBorders>
              <w:top w:val="single" w:sz="4" w:space="0" w:color="000000"/>
              <w:left w:val="nil"/>
              <w:bottom w:val="single" w:sz="4" w:space="0" w:color="000000"/>
              <w:right w:val="single" w:sz="4" w:space="0" w:color="000000"/>
            </w:tcBorders>
            <w:shd w:val="clear" w:color="auto" w:fill="FFFFFF"/>
            <w:vAlign w:val="bottom"/>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400 </w:t>
            </w:r>
          </w:p>
        </w:tc>
        <w:tc>
          <w:tcPr>
            <w:tcW w:w="1339" w:type="dxa"/>
            <w:tcBorders>
              <w:top w:val="single" w:sz="4" w:space="0" w:color="000000"/>
              <w:left w:val="nil"/>
              <w:bottom w:val="single" w:sz="4" w:space="0" w:color="000000"/>
              <w:right w:val="single" w:sz="4"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.065</w:t>
            </w:r>
          </w:p>
        </w:tc>
        <w:tc>
          <w:tcPr>
            <w:tcW w:w="1168" w:type="dxa"/>
            <w:tcBorders>
              <w:top w:val="single" w:sz="4" w:space="0" w:color="000000"/>
              <w:left w:val="nil"/>
              <w:bottom w:val="single" w:sz="4" w:space="0" w:color="000000"/>
              <w:right w:val="single" w:sz="8" w:space="0" w:color="000000"/>
            </w:tcBorders>
            <w:shd w:val="clear" w:color="auto" w:fill="FFFFFF"/>
            <w:vAlign w:val="center"/>
          </w:tcPr>
          <w:p w:rsidR="00624948">
            <w:pPr>
              <w:widowControl/>
              <w:jc w:val="right"/>
              <w:rPr>
                <w:rFonts w:ascii="Calibri" w:eastAsia="Calibri" w:hAnsi="Calibri" w:cs="Calibri"/>
                <w:color w:val="000000"/>
                <w:sz w:val="16"/>
                <w:szCs w:val="16"/>
              </w:rPr>
            </w:pPr>
            <w:r>
              <w:rPr>
                <w:rFonts w:ascii="Calibri" w:eastAsia="Calibri" w:hAnsi="Calibri" w:cs="Calibri"/>
                <w:color w:val="000000"/>
                <w:sz w:val="16"/>
                <w:szCs w:val="16"/>
              </w:rPr>
              <w:t>26</w:t>
            </w:r>
          </w:p>
        </w:tc>
      </w:tr>
      <w:tr w:rsidTr="006973CF">
        <w:tblPrEx>
          <w:tblW w:w="9859" w:type="dxa"/>
          <w:tblLayout w:type="fixed"/>
          <w:tblLook w:val="0400"/>
        </w:tblPrEx>
        <w:trPr>
          <w:trHeight w:val="343"/>
        </w:trPr>
        <w:tc>
          <w:tcPr>
            <w:tcW w:w="26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D6674" w:rsidP="00CD6674">
            <w:pPr>
              <w:widowControl/>
              <w:rPr>
                <w:rFonts w:ascii="Calibri" w:eastAsia="Calibri" w:hAnsi="Calibri" w:cs="Calibri"/>
                <w:color w:val="000000"/>
                <w:sz w:val="16"/>
                <w:szCs w:val="16"/>
              </w:rPr>
            </w:pPr>
            <w:r>
              <w:rPr>
                <w:rFonts w:ascii="Calibri" w:eastAsia="Calibri" w:hAnsi="Calibri" w:cs="Calibri"/>
                <w:color w:val="000000"/>
                <w:sz w:val="16"/>
                <w:szCs w:val="16"/>
              </w:rPr>
              <w:t>Surety Bond</w:t>
            </w:r>
          </w:p>
        </w:tc>
        <w:tc>
          <w:tcPr>
            <w:tcW w:w="1997" w:type="dxa"/>
            <w:tcBorders>
              <w:top w:val="single" w:sz="4" w:space="0" w:color="000000"/>
              <w:left w:val="nil"/>
              <w:bottom w:val="single" w:sz="4" w:space="0" w:color="000000"/>
              <w:right w:val="single" w:sz="4" w:space="0" w:color="000000"/>
            </w:tcBorders>
            <w:shd w:val="clear" w:color="auto" w:fill="FFFFFF"/>
            <w:vAlign w:val="bottom"/>
          </w:tcPr>
          <w:p w:rsidR="00CD6674" w:rsidP="00CD6674">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1242" w:type="dxa"/>
            <w:tcBorders>
              <w:top w:val="single" w:sz="4" w:space="0" w:color="000000"/>
              <w:left w:val="nil"/>
              <w:bottom w:val="single" w:sz="4" w:space="0" w:color="000000"/>
              <w:right w:val="single" w:sz="4" w:space="0" w:color="000000"/>
            </w:tcBorders>
            <w:shd w:val="clear" w:color="auto" w:fill="FFFFFF"/>
            <w:vAlign w:val="bottom"/>
          </w:tcPr>
          <w:p w:rsidR="00CD6674" w:rsidP="00CD6674">
            <w:pPr>
              <w:widowControl/>
              <w:jc w:val="right"/>
              <w:rPr>
                <w:rFonts w:ascii="Calibri" w:eastAsia="Calibri" w:hAnsi="Calibri" w:cs="Calibri"/>
                <w:color w:val="000000"/>
                <w:sz w:val="16"/>
                <w:szCs w:val="16"/>
              </w:rPr>
            </w:pPr>
            <w:r>
              <w:rPr>
                <w:rFonts w:ascii="Calibri" w:eastAsia="Calibri" w:hAnsi="Calibri" w:cs="Calibri"/>
                <w:color w:val="000000"/>
                <w:sz w:val="16"/>
                <w:szCs w:val="16"/>
              </w:rPr>
              <w:t>1</w:t>
            </w:r>
          </w:p>
        </w:tc>
        <w:tc>
          <w:tcPr>
            <w:tcW w:w="1509" w:type="dxa"/>
            <w:tcBorders>
              <w:top w:val="single" w:sz="4" w:space="0" w:color="000000"/>
              <w:left w:val="nil"/>
              <w:bottom w:val="single" w:sz="4" w:space="0" w:color="000000"/>
              <w:right w:val="single" w:sz="4" w:space="0" w:color="000000"/>
            </w:tcBorders>
            <w:shd w:val="clear" w:color="auto" w:fill="FFFFFF"/>
            <w:vAlign w:val="bottom"/>
          </w:tcPr>
          <w:p w:rsidR="00CD6674" w:rsidP="00CD6674">
            <w:pPr>
              <w:widowControl/>
              <w:jc w:val="right"/>
              <w:rPr>
                <w:rFonts w:ascii="Calibri" w:eastAsia="Calibri" w:hAnsi="Calibri" w:cs="Calibri"/>
                <w:color w:val="000000"/>
                <w:sz w:val="16"/>
                <w:szCs w:val="16"/>
              </w:rPr>
            </w:pPr>
            <w:r>
              <w:rPr>
                <w:rFonts w:ascii="Calibri" w:eastAsia="Calibri" w:hAnsi="Calibri" w:cs="Calibri"/>
                <w:color w:val="000000"/>
                <w:sz w:val="16"/>
                <w:szCs w:val="16"/>
              </w:rPr>
              <w:t>435</w:t>
            </w:r>
          </w:p>
        </w:tc>
        <w:tc>
          <w:tcPr>
            <w:tcW w:w="1339" w:type="dxa"/>
            <w:tcBorders>
              <w:top w:val="single" w:sz="4" w:space="0" w:color="000000"/>
              <w:left w:val="nil"/>
              <w:bottom w:val="single" w:sz="4" w:space="0" w:color="000000"/>
              <w:right w:val="single" w:sz="4" w:space="0" w:color="000000"/>
            </w:tcBorders>
            <w:shd w:val="clear" w:color="auto" w:fill="FFFFFF"/>
            <w:vAlign w:val="center"/>
          </w:tcPr>
          <w:p w:rsidR="00CD6674" w:rsidP="00CD6674">
            <w:pPr>
              <w:widowControl/>
              <w:jc w:val="right"/>
              <w:rPr>
                <w:rFonts w:ascii="Calibri" w:eastAsia="Calibri" w:hAnsi="Calibri" w:cs="Calibri"/>
                <w:color w:val="000000"/>
                <w:sz w:val="16"/>
                <w:szCs w:val="16"/>
              </w:rPr>
            </w:pPr>
            <w:r>
              <w:rPr>
                <w:rFonts w:ascii="Calibri" w:eastAsia="Calibri" w:hAnsi="Calibri" w:cs="Calibri"/>
                <w:color w:val="000000"/>
                <w:sz w:val="16"/>
                <w:szCs w:val="16"/>
              </w:rPr>
              <w:t>.065</w:t>
            </w:r>
          </w:p>
        </w:tc>
        <w:tc>
          <w:tcPr>
            <w:tcW w:w="1168" w:type="dxa"/>
            <w:tcBorders>
              <w:top w:val="single" w:sz="4" w:space="0" w:color="000000"/>
              <w:left w:val="nil"/>
              <w:bottom w:val="single" w:sz="4" w:space="0" w:color="000000"/>
              <w:right w:val="single" w:sz="8" w:space="0" w:color="000000"/>
            </w:tcBorders>
            <w:shd w:val="clear" w:color="auto" w:fill="FFFFFF"/>
            <w:vAlign w:val="center"/>
          </w:tcPr>
          <w:p w:rsidR="00CD6674" w:rsidP="00CD6674">
            <w:pPr>
              <w:widowControl/>
              <w:jc w:val="right"/>
              <w:rPr>
                <w:rFonts w:ascii="Calibri" w:eastAsia="Calibri" w:hAnsi="Calibri" w:cs="Calibri"/>
                <w:color w:val="000000"/>
                <w:sz w:val="16"/>
                <w:szCs w:val="16"/>
              </w:rPr>
            </w:pPr>
            <w:r>
              <w:rPr>
                <w:rFonts w:ascii="Calibri" w:eastAsia="Calibri" w:hAnsi="Calibri" w:cs="Calibri"/>
                <w:color w:val="000000"/>
                <w:sz w:val="16"/>
                <w:szCs w:val="16"/>
              </w:rPr>
              <w:t>28</w:t>
            </w:r>
          </w:p>
        </w:tc>
      </w:tr>
      <w:tr w:rsidTr="006973CF">
        <w:tblPrEx>
          <w:tblW w:w="9859" w:type="dxa"/>
          <w:tblLayout w:type="fixed"/>
          <w:tblLook w:val="0400"/>
        </w:tblPrEx>
        <w:trPr>
          <w:trHeight w:val="343"/>
        </w:trPr>
        <w:tc>
          <w:tcPr>
            <w:tcW w:w="2604"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62494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TOTALS</w:t>
            </w:r>
          </w:p>
        </w:tc>
        <w:tc>
          <w:tcPr>
            <w:tcW w:w="1997" w:type="dxa"/>
            <w:tcBorders>
              <w:top w:val="single" w:sz="8" w:space="0" w:color="000000"/>
              <w:left w:val="nil"/>
              <w:bottom w:val="single" w:sz="8" w:space="0" w:color="000000"/>
              <w:right w:val="single" w:sz="4" w:space="0" w:color="000000"/>
            </w:tcBorders>
            <w:shd w:val="clear" w:color="auto" w:fill="DDEBF7"/>
            <w:vAlign w:val="center"/>
          </w:tcPr>
          <w:p w:rsidR="00624948">
            <w:pPr>
              <w:widowControl/>
              <w:jc w:val="right"/>
              <w:rPr>
                <w:rFonts w:ascii="Calibri" w:eastAsia="Calibri" w:hAnsi="Calibri" w:cs="Calibri"/>
                <w:b/>
                <w:color w:val="000000"/>
                <w:sz w:val="16"/>
                <w:szCs w:val="16"/>
              </w:rPr>
            </w:pPr>
          </w:p>
        </w:tc>
        <w:tc>
          <w:tcPr>
            <w:tcW w:w="1242" w:type="dxa"/>
            <w:tcBorders>
              <w:top w:val="single" w:sz="8" w:space="0" w:color="000000"/>
              <w:left w:val="nil"/>
              <w:bottom w:val="single" w:sz="8" w:space="0" w:color="000000"/>
              <w:right w:val="single" w:sz="4" w:space="0" w:color="000000"/>
            </w:tcBorders>
            <w:shd w:val="clear" w:color="auto" w:fill="DDEBF7"/>
            <w:vAlign w:val="center"/>
          </w:tcPr>
          <w:p w:rsidR="0062494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09" w:type="dxa"/>
            <w:tcBorders>
              <w:top w:val="single" w:sz="8" w:space="0" w:color="000000"/>
              <w:left w:val="nil"/>
              <w:bottom w:val="single" w:sz="8" w:space="0" w:color="000000"/>
              <w:right w:val="single" w:sz="4" w:space="0" w:color="000000"/>
            </w:tcBorders>
            <w:shd w:val="clear" w:color="auto" w:fill="DDEBF7"/>
            <w:vAlign w:val="center"/>
          </w:tcPr>
          <w:p w:rsidR="0062494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74,011</w:t>
            </w:r>
          </w:p>
        </w:tc>
        <w:tc>
          <w:tcPr>
            <w:tcW w:w="1339" w:type="dxa"/>
            <w:tcBorders>
              <w:top w:val="single" w:sz="8" w:space="0" w:color="000000"/>
              <w:left w:val="nil"/>
              <w:bottom w:val="single" w:sz="8" w:space="0" w:color="000000"/>
              <w:right w:val="single" w:sz="4" w:space="0" w:color="000000"/>
            </w:tcBorders>
            <w:shd w:val="clear" w:color="auto" w:fill="DDEBF7"/>
            <w:vAlign w:val="center"/>
          </w:tcPr>
          <w:p w:rsidR="0062494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168" w:type="dxa"/>
            <w:tcBorders>
              <w:top w:val="single" w:sz="8" w:space="0" w:color="000000"/>
              <w:left w:val="nil"/>
              <w:bottom w:val="single" w:sz="8" w:space="0" w:color="000000"/>
              <w:right w:val="single" w:sz="8" w:space="0" w:color="000000"/>
            </w:tcBorders>
            <w:shd w:val="clear" w:color="auto" w:fill="DDEBF7"/>
            <w:vAlign w:val="center"/>
          </w:tcPr>
          <w:p w:rsidR="00624948">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4,809</w:t>
            </w:r>
          </w:p>
        </w:tc>
      </w:tr>
    </w:tbl>
    <w:p w:rsidR="00624948">
      <w:pPr>
        <w:rPr>
          <w:rFonts w:ascii="Times New Roman" w:eastAsia="Times New Roman" w:hAnsi="Times New Roman" w:cs="Times New Roman"/>
          <w:sz w:val="24"/>
          <w:szCs w:val="24"/>
        </w:rPr>
      </w:pPr>
    </w:p>
    <w:p w:rsidR="00624948">
      <w:pPr>
        <w:tabs>
          <w:tab w:val="left" w:pos="360"/>
        </w:tabs>
        <w:spacing w:before="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Fees in addition to those shown above </w:t>
      </w:r>
      <w:r>
        <w:rPr>
          <w:rFonts w:ascii="Times New Roman" w:eastAsia="Times New Roman" w:hAnsi="Times New Roman" w:cs="Times New Roman"/>
          <w:sz w:val="24"/>
          <w:szCs w:val="24"/>
        </w:rPr>
        <w:t>are charged</w:t>
      </w:r>
      <w:r>
        <w:rPr>
          <w:rFonts w:ascii="Times New Roman" w:eastAsia="Times New Roman" w:hAnsi="Times New Roman" w:cs="Times New Roman"/>
          <w:sz w:val="24"/>
          <w:szCs w:val="24"/>
        </w:rPr>
        <w:t xml:space="preserve"> for other program services that do not involve collection of information from respondents.  For example, a consultative audit would result in fees imposed on the requestor of the audit. The fee </w:t>
      </w:r>
      <w:r>
        <w:rPr>
          <w:rFonts w:ascii="Times New Roman" w:eastAsia="Times New Roman" w:hAnsi="Times New Roman" w:cs="Times New Roman"/>
          <w:sz w:val="24"/>
          <w:szCs w:val="24"/>
        </w:rPr>
        <w:t>would be based on the current rate for non-contract service, as outlined on our website and in the manual, and reviewed/revised annually and published in the Federal Register</w:t>
      </w:r>
      <w:r>
        <w:rPr>
          <w:rFonts w:ascii="Times New Roman" w:eastAsia="Times New Roman" w:hAnsi="Times New Roman" w:cs="Times New Roman"/>
          <w:sz w:val="24"/>
          <w:szCs w:val="24"/>
        </w:rPr>
        <w:t>.</w:t>
      </w:r>
    </w:p>
    <w:p w:rsidR="00624948">
      <w:pPr>
        <w:tabs>
          <w:tab w:val="left" w:pos="360"/>
        </w:tabs>
        <w:spacing w:before="80"/>
        <w:rPr>
          <w:rFonts w:ascii="Times New Roman" w:eastAsia="Times New Roman" w:hAnsi="Times New Roman" w:cs="Times New Roman"/>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a fee-for-service program, as explained in Question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all of the costs to the Federal government for the collection are paid by the users of this program. Total annual program costs are approximately $20 million. </w:t>
      </w:r>
    </w:p>
    <w:p w:rsidR="00624948">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the reasons for any program changes or adjustments reported in ROCIS.</w:t>
      </w:r>
    </w:p>
    <w:p w:rsidR="00624948">
      <w:pPr>
        <w:pBdr>
          <w:top w:val="nil"/>
          <w:left w:val="nil"/>
          <w:bottom w:val="nil"/>
          <w:right w:val="nil"/>
          <w:between w:val="nil"/>
        </w:pBdr>
        <w:spacing w:befor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implementing regulations for the Seafood Inspection Program, found at 50 CFR 260, </w:t>
      </w:r>
      <w:r>
        <w:rPr>
          <w:rFonts w:ascii="Times New Roman" w:eastAsia="Times New Roman" w:hAnsi="Times New Roman" w:cs="Times New Roman"/>
          <w:color w:val="000000"/>
          <w:sz w:val="24"/>
          <w:szCs w:val="24"/>
        </w:rPr>
        <w:t>are being modified and updated to reflect current practices and policies</w:t>
      </w:r>
      <w:r>
        <w:rPr>
          <w:rFonts w:ascii="Times New Roman" w:eastAsia="Times New Roman" w:hAnsi="Times New Roman" w:cs="Times New Roman"/>
          <w:color w:val="000000"/>
          <w:sz w:val="24"/>
          <w:szCs w:val="24"/>
        </w:rPr>
        <w:t xml:space="preserve">. Since the current regulations were last updated, the Seafood Inspection Program has been shifting from </w:t>
      </w:r>
      <w:r>
        <w:rPr>
          <w:rFonts w:ascii="Times New Roman" w:eastAsia="Times New Roman" w:hAnsi="Times New Roman" w:cs="Times New Roman"/>
          <w:color w:val="000000"/>
          <w:sz w:val="24"/>
          <w:szCs w:val="24"/>
        </w:rPr>
        <w:t>end product</w:t>
      </w:r>
      <w:r>
        <w:rPr>
          <w:rFonts w:ascii="Times New Roman" w:eastAsia="Times New Roman" w:hAnsi="Times New Roman" w:cs="Times New Roman"/>
          <w:color w:val="000000"/>
          <w:sz w:val="24"/>
          <w:szCs w:val="24"/>
        </w:rPr>
        <w:t xml:space="preserve"> inspection to a systems based approach to food safety and quality. Most program users no longer are required to provide information on an </w:t>
      </w:r>
      <w:r>
        <w:rPr>
          <w:rFonts w:ascii="Times New Roman" w:eastAsia="Times New Roman" w:hAnsi="Times New Roman" w:cs="Times New Roman"/>
          <w:color w:val="000000"/>
          <w:sz w:val="24"/>
          <w:szCs w:val="24"/>
        </w:rPr>
        <w:t>inspection by inspection</w:t>
      </w:r>
      <w:r>
        <w:rPr>
          <w:rFonts w:ascii="Times New Roman" w:eastAsia="Times New Roman" w:hAnsi="Times New Roman" w:cs="Times New Roman"/>
          <w:color w:val="000000"/>
          <w:sz w:val="24"/>
          <w:szCs w:val="24"/>
        </w:rPr>
        <w:t xml:space="preserve"> basis; alternatively, information is gathered at the system level during periodic audits. Completing fewer inspections also resulted in fewer appeal inspections, but the converse is true for audits. We have also been inspecting and certifying more types of products, including fishmeal (not for human consumption) and other marine ingredients, which has led to a continuing increase in the number of certificate requests overall. In addition, the program completed development and implementation of an online portal, which is now the primary source for gathering billing information, requesting inspection services and certificates, and providing response to program users. This system is not only much more streamlined than the previous mail/fax method, it also has the added feature of “reuse values” which allows for industry to enter data in a fraction of the time it took previously via paper forms. Previously, a single page form would have required an estimated 20-30 minutes to complete and then fax or mail; with the portal, the estimate is 5-10 minutes or even less when customers are </w:t>
      </w:r>
      <w:r>
        <w:rPr>
          <w:rFonts w:ascii="Times New Roman" w:eastAsia="Times New Roman" w:hAnsi="Times New Roman" w:cs="Times New Roman"/>
          <w:color w:val="000000"/>
          <w:sz w:val="24"/>
          <w:szCs w:val="24"/>
        </w:rPr>
        <w:t>able</w:t>
      </w:r>
      <w:r>
        <w:rPr>
          <w:rFonts w:ascii="Times New Roman" w:eastAsia="Times New Roman" w:hAnsi="Times New Roman" w:cs="Times New Roman"/>
          <w:color w:val="000000"/>
          <w:sz w:val="24"/>
          <w:szCs w:val="24"/>
        </w:rPr>
        <w:t xml:space="preserve"> to use the reuse values option. The online portal has reduced the time burden for both program users and providers. </w:t>
      </w:r>
    </w:p>
    <w:p w:rsidR="00103AB6">
      <w:pPr>
        <w:pBdr>
          <w:top w:val="nil"/>
          <w:left w:val="nil"/>
          <w:bottom w:val="nil"/>
          <w:right w:val="nil"/>
          <w:between w:val="nil"/>
        </w:pBdr>
        <w:spacing w:before="7"/>
        <w:rPr>
          <w:rFonts w:ascii="Times New Roman" w:eastAsia="Times New Roman" w:hAnsi="Times New Roman" w:cs="Times New Roman"/>
          <w:color w:val="000000"/>
          <w:sz w:val="24"/>
          <w:szCs w:val="24"/>
        </w:rPr>
      </w:pPr>
    </w:p>
    <w:p w:rsidR="00103AB6" w:rsidRPr="00103AB6" w:rsidP="00103AB6">
      <w:pPr>
        <w:shd w:val="clear" w:color="auto" w:fill="FFFFFF"/>
        <w:rPr>
          <w:rFonts w:ascii="Times New Roman" w:eastAsia="Times New Roman" w:hAnsi="Times New Roman" w:cs="Times New Roman"/>
          <w:color w:val="222222"/>
          <w:sz w:val="24"/>
          <w:szCs w:val="24"/>
          <w:lang w:bidi="ar-SA"/>
        </w:rPr>
      </w:pPr>
      <w:r w:rsidRPr="00103AB6">
        <w:rPr>
          <w:rFonts w:ascii="Times New Roman" w:eastAsia="Times New Roman" w:hAnsi="Times New Roman" w:cs="Times New Roman"/>
          <w:color w:val="000000"/>
          <w:sz w:val="24"/>
          <w:szCs w:val="24"/>
        </w:rPr>
        <w:t xml:space="preserve">The contract completion </w:t>
      </w:r>
      <w:r w:rsidRPr="00103AB6">
        <w:rPr>
          <w:rFonts w:ascii="Times New Roman" w:eastAsia="Times New Roman" w:hAnsi="Times New Roman" w:cs="Times New Roman"/>
          <w:color w:val="222222"/>
          <w:sz w:val="24"/>
          <w:szCs w:val="24"/>
          <w:lang w:bidi="ar-SA"/>
        </w:rPr>
        <w:t>was done because annual contract renewals were not included in previous collection requests, just new and am</w:t>
      </w:r>
      <w:bookmarkStart w:id="0" w:name="_GoBack"/>
      <w:bookmarkEnd w:id="0"/>
      <w:r w:rsidRPr="00103AB6">
        <w:rPr>
          <w:rFonts w:ascii="Times New Roman" w:eastAsia="Times New Roman" w:hAnsi="Times New Roman" w:cs="Times New Roman"/>
          <w:color w:val="222222"/>
          <w:sz w:val="24"/>
          <w:szCs w:val="24"/>
          <w:lang w:bidi="ar-SA"/>
        </w:rPr>
        <w:t xml:space="preserve">ended contracts; all are now included, for a total annually of 435. </w:t>
      </w:r>
      <w:r w:rsidRPr="00103AB6">
        <w:rPr>
          <w:rFonts w:ascii="Times New Roman" w:eastAsia="Times New Roman" w:hAnsi="Times New Roman" w:cs="Times New Roman"/>
          <w:color w:val="222222"/>
          <w:sz w:val="24"/>
          <w:szCs w:val="24"/>
          <w:lang w:bidi="ar-SA"/>
        </w:rPr>
        <w:t>This includes new requests, estimated at about 35 annually, and current participants, about 400, who amend or renew their contracts (Form 89-800) during the year.</w:t>
      </w:r>
    </w:p>
    <w:p w:rsidR="00624948">
      <w:pPr>
        <w:pBdr>
          <w:top w:val="nil"/>
          <w:left w:val="nil"/>
          <w:bottom w:val="nil"/>
          <w:right w:val="nil"/>
          <w:between w:val="nil"/>
        </w:pBdr>
        <w:spacing w:before="7"/>
        <w:rPr>
          <w:rFonts w:ascii="Times New Roman" w:eastAsia="Times New Roman" w:hAnsi="Times New Roman" w:cs="Times New Roman"/>
          <w:color w:val="000000"/>
          <w:sz w:val="24"/>
          <w:szCs w:val="24"/>
        </w:rPr>
      </w:pPr>
    </w:p>
    <w:p w:rsidR="00624948">
      <w:pPr>
        <w:pBdr>
          <w:top w:val="nil"/>
          <w:left w:val="nil"/>
          <w:bottom w:val="nil"/>
          <w:right w:val="nil"/>
          <w:between w:val="nil"/>
        </w:pBdr>
        <w:spacing w:befor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Surety Bond form was inadvertently omitted from the past several information collection requests, though the form has been in use for decades. The form is not required, however, and customers may use any form of written surety they wish. </w:t>
      </w:r>
    </w:p>
    <w:p w:rsidR="00624948">
      <w:pPr>
        <w:pBdr>
          <w:top w:val="nil"/>
          <w:left w:val="nil"/>
          <w:bottom w:val="nil"/>
          <w:right w:val="nil"/>
          <w:between w:val="nil"/>
        </w:pBdr>
        <w:spacing w:before="7"/>
        <w:rPr>
          <w:rFonts w:ascii="Times New Roman" w:eastAsia="Times New Roman" w:hAnsi="Times New Roman" w:cs="Times New Roman"/>
          <w:color w:val="000000"/>
          <w:sz w:val="24"/>
          <w:szCs w:val="24"/>
        </w:rPr>
      </w:pPr>
    </w:p>
    <w:p w:rsidR="00624948">
      <w:pPr>
        <w:pBdr>
          <w:top w:val="nil"/>
          <w:left w:val="nil"/>
          <w:bottom w:val="nil"/>
          <w:right w:val="nil"/>
          <w:between w:val="nil"/>
        </w:pBdr>
        <w:spacing w:befor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updated information collection request </w:t>
      </w:r>
      <w:r>
        <w:rPr>
          <w:rFonts w:ascii="Times New Roman" w:eastAsia="Times New Roman" w:hAnsi="Times New Roman" w:cs="Times New Roman"/>
          <w:color w:val="000000"/>
          <w:sz w:val="24"/>
          <w:szCs w:val="24"/>
        </w:rPr>
        <w:t>was approved</w:t>
      </w:r>
      <w:r>
        <w:rPr>
          <w:rFonts w:ascii="Times New Roman" w:eastAsia="Times New Roman" w:hAnsi="Times New Roman" w:cs="Times New Roman"/>
          <w:color w:val="000000"/>
          <w:sz w:val="24"/>
          <w:szCs w:val="24"/>
        </w:rPr>
        <w:t xml:space="preserve"> on January 19, 2022, which included the updates that are expected to be finalized by December 31, 2024. We have not realized any changes in responses or burden hours since the last information collection approval, other than the inclusion of the Surety Bond noted here.</w:t>
      </w:r>
    </w:p>
    <w:p w:rsidR="00624948">
      <w:pPr>
        <w:pBdr>
          <w:top w:val="nil"/>
          <w:left w:val="nil"/>
          <w:bottom w:val="nil"/>
          <w:right w:val="nil"/>
          <w:between w:val="nil"/>
        </w:pBdr>
        <w:spacing w:before="7"/>
        <w:rPr>
          <w:rFonts w:ascii="Times New Roman" w:eastAsia="Times New Roman" w:hAnsi="Times New Roman" w:cs="Times New Roman"/>
          <w:color w:val="000000"/>
          <w:sz w:val="24"/>
          <w:szCs w:val="24"/>
        </w:rPr>
      </w:pPr>
    </w:p>
    <w:p w:rsidR="00624948">
      <w:pPr>
        <w:pBdr>
          <w:top w:val="nil"/>
          <w:left w:val="nil"/>
          <w:bottom w:val="nil"/>
          <w:right w:val="nil"/>
          <w:between w:val="nil"/>
        </w:pBdr>
        <w:spacing w:before="7"/>
        <w:jc w:val="both"/>
        <w:rPr>
          <w:rFonts w:ascii="Times New Roman" w:eastAsia="Times New Roman" w:hAnsi="Times New Roman" w:cs="Times New Roman"/>
          <w:b/>
          <w:color w:val="000000"/>
          <w:sz w:val="24"/>
          <w:szCs w:val="24"/>
        </w:rPr>
      </w:pPr>
    </w:p>
    <w:p w:rsidR="006973CF">
      <w:pPr>
        <w:pBdr>
          <w:top w:val="nil"/>
          <w:left w:val="nil"/>
          <w:bottom w:val="nil"/>
          <w:right w:val="nil"/>
          <w:between w:val="nil"/>
        </w:pBdr>
        <w:spacing w:before="7"/>
        <w:jc w:val="both"/>
        <w:rPr>
          <w:rFonts w:ascii="Times New Roman" w:eastAsia="Times New Roman" w:hAnsi="Times New Roman" w:cs="Times New Roman"/>
          <w:b/>
          <w:color w:val="000000"/>
          <w:sz w:val="24"/>
          <w:szCs w:val="24"/>
        </w:rPr>
      </w:pPr>
    </w:p>
    <w:p w:rsidR="00624948">
      <w:pPr>
        <w:pBdr>
          <w:top w:val="nil"/>
          <w:left w:val="nil"/>
          <w:bottom w:val="nil"/>
          <w:right w:val="nil"/>
          <w:between w:val="nil"/>
        </w:pBdr>
        <w:spacing w:before="7"/>
        <w:jc w:val="both"/>
        <w:rPr>
          <w:rFonts w:ascii="Times New Roman" w:eastAsia="Times New Roman" w:hAnsi="Times New Roman" w:cs="Times New Roman"/>
          <w:b/>
          <w:color w:val="FF0000"/>
          <w:sz w:val="24"/>
          <w:szCs w:val="24"/>
        </w:rPr>
      </w:pPr>
      <w:bookmarkStart w:id="1" w:name="_heading=h.gjdgxs" w:colFirst="0" w:colLast="0"/>
      <w:bookmarkEnd w:id="1"/>
      <w:r>
        <w:rPr>
          <w:rFonts w:ascii="Times New Roman" w:eastAsia="Times New Roman" w:hAnsi="Times New Roman" w:cs="Times New Roman"/>
          <w:b/>
          <w:color w:val="000000"/>
          <w:sz w:val="24"/>
          <w:szCs w:val="24"/>
        </w:rPr>
        <w:t>Table 4: Adjustments to Burden Hours</w:t>
      </w:r>
    </w:p>
    <w:p w:rsidR="00624948">
      <w:pPr>
        <w:pBdr>
          <w:top w:val="nil"/>
          <w:left w:val="nil"/>
          <w:bottom w:val="nil"/>
          <w:right w:val="nil"/>
          <w:between w:val="nil"/>
        </w:pBdr>
        <w:spacing w:before="7"/>
        <w:jc w:val="both"/>
        <w:rPr>
          <w:rFonts w:ascii="Times New Roman" w:eastAsia="Times New Roman" w:hAnsi="Times New Roman" w:cs="Times New Roman"/>
          <w:b/>
          <w:color w:val="000000"/>
          <w:sz w:val="24"/>
          <w:szCs w:val="24"/>
        </w:rPr>
      </w:pPr>
    </w:p>
    <w:tbl>
      <w:tblPr>
        <w:tblStyle w:val="a2"/>
        <w:tblW w:w="11475" w:type="dxa"/>
        <w:tblInd w:w="-460" w:type="dxa"/>
        <w:tblLayout w:type="fixed"/>
        <w:tblLook w:val="0400"/>
      </w:tblPr>
      <w:tblGrid>
        <w:gridCol w:w="2415"/>
        <w:gridCol w:w="915"/>
        <w:gridCol w:w="1080"/>
        <w:gridCol w:w="990"/>
        <w:gridCol w:w="1080"/>
        <w:gridCol w:w="1080"/>
        <w:gridCol w:w="1170"/>
        <w:gridCol w:w="2745"/>
      </w:tblGrid>
      <w:tr>
        <w:tblPrEx>
          <w:tblW w:w="11475" w:type="dxa"/>
          <w:tblInd w:w="-460" w:type="dxa"/>
          <w:tblLayout w:type="fixed"/>
          <w:tblLook w:val="0400"/>
        </w:tblPrEx>
        <w:trPr>
          <w:trHeight w:val="315"/>
        </w:trPr>
        <w:tc>
          <w:tcPr>
            <w:tcW w:w="241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95" w:type="dxa"/>
            <w:gridSpan w:val="2"/>
            <w:tcBorders>
              <w:top w:val="single" w:sz="8" w:space="0" w:color="000000"/>
              <w:left w:val="nil"/>
              <w:bottom w:val="single" w:sz="8" w:space="0" w:color="000000"/>
              <w:right w:val="single" w:sz="8" w:space="0" w:color="000000"/>
            </w:tcBorders>
            <w:shd w:val="clear" w:color="auto" w:fill="5B9BD5"/>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070" w:type="dxa"/>
            <w:gridSpan w:val="2"/>
            <w:tcBorders>
              <w:top w:val="single" w:sz="8" w:space="0" w:color="000000"/>
              <w:left w:val="nil"/>
              <w:bottom w:val="single" w:sz="8" w:space="0" w:color="000000"/>
              <w:right w:val="single" w:sz="8" w:space="0" w:color="000000"/>
            </w:tcBorders>
            <w:shd w:val="clear" w:color="auto" w:fill="5B9BD5"/>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274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tblPrEx>
          <w:tblW w:w="11475" w:type="dxa"/>
          <w:tblInd w:w="-460" w:type="dxa"/>
          <w:tblLayout w:type="fixed"/>
          <w:tblLook w:val="0400"/>
        </w:tblPrEx>
        <w:trPr>
          <w:trHeight w:val="690"/>
        </w:trPr>
        <w:tc>
          <w:tcPr>
            <w:tcW w:w="241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24948">
            <w:pPr>
              <w:pBdr>
                <w:top w:val="nil"/>
                <w:left w:val="nil"/>
                <w:bottom w:val="nil"/>
                <w:right w:val="nil"/>
                <w:between w:val="nil"/>
              </w:pBdr>
              <w:spacing w:line="276" w:lineRule="auto"/>
              <w:rPr>
                <w:rFonts w:ascii="Calibri" w:eastAsia="Calibri" w:hAnsi="Calibri" w:cs="Calibri"/>
                <w:b/>
                <w:color w:val="000000"/>
                <w:sz w:val="16"/>
                <w:szCs w:val="16"/>
              </w:rPr>
            </w:pPr>
          </w:p>
        </w:tc>
        <w:tc>
          <w:tcPr>
            <w:tcW w:w="915" w:type="dxa"/>
            <w:tcBorders>
              <w:top w:val="nil"/>
              <w:left w:val="nil"/>
              <w:bottom w:val="single" w:sz="8" w:space="0" w:color="000000"/>
              <w:right w:val="dashed" w:sz="8" w:space="0" w:color="000000"/>
            </w:tcBorders>
            <w:shd w:val="clear" w:color="auto" w:fill="FBE4D5"/>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080" w:type="dxa"/>
            <w:tcBorders>
              <w:top w:val="nil"/>
              <w:left w:val="nil"/>
              <w:bottom w:val="single" w:sz="8" w:space="0" w:color="000000"/>
              <w:right w:val="dashed" w:sz="8" w:space="0" w:color="000000"/>
            </w:tcBorders>
            <w:shd w:val="clear" w:color="auto" w:fill="FBE4D5"/>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1170" w:type="dxa"/>
            <w:tcBorders>
              <w:top w:val="nil"/>
              <w:left w:val="nil"/>
              <w:bottom w:val="single" w:sz="8" w:space="0" w:color="000000"/>
              <w:right w:val="single" w:sz="8" w:space="0" w:color="000000"/>
            </w:tcBorders>
            <w:shd w:val="clear" w:color="auto" w:fill="FBE4D5"/>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274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624948">
            <w:pPr>
              <w:pBdr>
                <w:top w:val="nil"/>
                <w:left w:val="nil"/>
                <w:bottom w:val="nil"/>
                <w:right w:val="nil"/>
                <w:between w:val="nil"/>
              </w:pBdr>
              <w:spacing w:line="276" w:lineRule="auto"/>
              <w:rPr>
                <w:rFonts w:ascii="Calibri" w:eastAsia="Calibri" w:hAnsi="Calibri" w:cs="Calibri"/>
                <w:color w:val="000000"/>
                <w:sz w:val="16"/>
                <w:szCs w:val="16"/>
              </w:rPr>
            </w:pP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Application for Inspection Services</w:t>
            </w:r>
          </w:p>
        </w:tc>
        <w:tc>
          <w:tcPr>
            <w:tcW w:w="915"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1,012</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1,012 </w:t>
            </w:r>
          </w:p>
        </w:tc>
        <w:tc>
          <w:tcPr>
            <w:tcW w:w="99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72,575</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72,575</w:t>
            </w:r>
          </w:p>
        </w:tc>
        <w:tc>
          <w:tcPr>
            <w:tcW w:w="108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6,048</w:t>
            </w:r>
          </w:p>
        </w:tc>
        <w:tc>
          <w:tcPr>
            <w:tcW w:w="117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6,048</w:t>
            </w:r>
          </w:p>
        </w:tc>
        <w:tc>
          <w:tcPr>
            <w:tcW w:w="2745" w:type="dxa"/>
            <w:tcBorders>
              <w:top w:val="nil"/>
              <w:left w:val="nil"/>
              <w:bottom w:val="dotted" w:sz="4"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325DD">
              <w:rPr>
                <w:rFonts w:ascii="Calibri" w:eastAsia="Calibri" w:hAnsi="Calibri" w:cs="Calibri"/>
                <w:color w:val="000000"/>
                <w:sz w:val="16"/>
                <w:szCs w:val="16"/>
              </w:rPr>
              <w:t>No Change</w:t>
            </w: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Application for appeal</w:t>
            </w:r>
          </w:p>
        </w:tc>
        <w:tc>
          <w:tcPr>
            <w:tcW w:w="915"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36</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36</w:t>
            </w:r>
          </w:p>
        </w:tc>
        <w:tc>
          <w:tcPr>
            <w:tcW w:w="99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36</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36</w:t>
            </w:r>
          </w:p>
        </w:tc>
        <w:tc>
          <w:tcPr>
            <w:tcW w:w="108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18</w:t>
            </w:r>
          </w:p>
        </w:tc>
        <w:tc>
          <w:tcPr>
            <w:tcW w:w="117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18</w:t>
            </w:r>
          </w:p>
        </w:tc>
        <w:tc>
          <w:tcPr>
            <w:tcW w:w="2745" w:type="dxa"/>
            <w:tcBorders>
              <w:top w:val="nil"/>
              <w:left w:val="nil"/>
              <w:bottom w:val="dotted" w:sz="4"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No Change</w:t>
            </w: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Contract Completion</w:t>
            </w:r>
          </w:p>
        </w:tc>
        <w:tc>
          <w:tcPr>
            <w:tcW w:w="915"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435 </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95</w:t>
            </w:r>
          </w:p>
        </w:tc>
        <w:tc>
          <w:tcPr>
            <w:tcW w:w="99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435 </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95</w:t>
            </w:r>
          </w:p>
        </w:tc>
        <w:tc>
          <w:tcPr>
            <w:tcW w:w="108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36 </w:t>
            </w:r>
          </w:p>
        </w:tc>
        <w:tc>
          <w:tcPr>
            <w:tcW w:w="117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8</w:t>
            </w:r>
          </w:p>
        </w:tc>
        <w:tc>
          <w:tcPr>
            <w:tcW w:w="2745" w:type="dxa"/>
            <w:tcBorders>
              <w:top w:val="nil"/>
              <w:left w:val="nil"/>
              <w:bottom w:val="dotted" w:sz="4"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973CF" w:rsidP="006973CF">
            <w:pPr>
              <w:widowControl/>
              <w:rPr>
                <w:rFonts w:ascii="Calibri" w:eastAsia="Calibri" w:hAnsi="Calibri" w:cs="Calibri"/>
                <w:color w:val="000000"/>
                <w:sz w:val="16"/>
                <w:szCs w:val="16"/>
              </w:rPr>
            </w:pPr>
            <w:r>
              <w:rPr>
                <w:rFonts w:ascii="Calibri" w:eastAsia="Calibri" w:hAnsi="Calibri" w:cs="Calibri"/>
                <w:color w:val="000000"/>
                <w:sz w:val="16"/>
                <w:szCs w:val="16"/>
              </w:rPr>
              <w:t>Label and Specification Submission</w:t>
            </w:r>
          </w:p>
        </w:tc>
        <w:tc>
          <w:tcPr>
            <w:tcW w:w="915" w:type="dxa"/>
            <w:tcBorders>
              <w:top w:val="nil"/>
              <w:left w:val="nil"/>
              <w:bottom w:val="dotted" w:sz="4" w:space="0" w:color="000000"/>
              <w:right w:val="dashed" w:sz="8" w:space="0" w:color="000000"/>
            </w:tcBorders>
            <w:shd w:val="clear" w:color="auto" w:fill="auto"/>
            <w:vAlign w:val="center"/>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1080" w:type="dxa"/>
            <w:tcBorders>
              <w:top w:val="nil"/>
              <w:left w:val="nil"/>
              <w:bottom w:val="dotted" w:sz="4" w:space="0" w:color="000000"/>
              <w:right w:val="single" w:sz="8" w:space="0" w:color="000000"/>
            </w:tcBorders>
            <w:shd w:val="clear" w:color="auto" w:fill="auto"/>
            <w:vAlign w:val="center"/>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5</w:t>
            </w:r>
          </w:p>
        </w:tc>
        <w:tc>
          <w:tcPr>
            <w:tcW w:w="990" w:type="dxa"/>
            <w:tcBorders>
              <w:top w:val="nil"/>
              <w:left w:val="nil"/>
              <w:bottom w:val="dotted" w:sz="4" w:space="0" w:color="000000"/>
              <w:right w:val="dashed" w:sz="8" w:space="0" w:color="000000"/>
            </w:tcBorders>
            <w:shd w:val="clear" w:color="auto" w:fill="auto"/>
            <w:vAlign w:val="center"/>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115</w:t>
            </w:r>
          </w:p>
        </w:tc>
        <w:tc>
          <w:tcPr>
            <w:tcW w:w="1080" w:type="dxa"/>
            <w:tcBorders>
              <w:top w:val="nil"/>
              <w:left w:val="nil"/>
              <w:bottom w:val="dotted" w:sz="4" w:space="0" w:color="000000"/>
              <w:right w:val="single" w:sz="8" w:space="0" w:color="000000"/>
            </w:tcBorders>
            <w:shd w:val="clear" w:color="auto" w:fill="auto"/>
            <w:vAlign w:val="center"/>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115</w:t>
            </w:r>
          </w:p>
        </w:tc>
        <w:tc>
          <w:tcPr>
            <w:tcW w:w="1080" w:type="dxa"/>
            <w:tcBorders>
              <w:top w:val="nil"/>
              <w:left w:val="nil"/>
              <w:bottom w:val="dotted" w:sz="4" w:space="0" w:color="000000"/>
              <w:right w:val="dashed" w:sz="8" w:space="0" w:color="000000"/>
            </w:tcBorders>
            <w:shd w:val="clear" w:color="auto" w:fill="auto"/>
            <w:vAlign w:val="center"/>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29</w:t>
            </w:r>
          </w:p>
        </w:tc>
        <w:tc>
          <w:tcPr>
            <w:tcW w:w="1170" w:type="dxa"/>
            <w:tcBorders>
              <w:top w:val="nil"/>
              <w:left w:val="nil"/>
              <w:bottom w:val="dotted" w:sz="4" w:space="0" w:color="000000"/>
              <w:right w:val="single" w:sz="8" w:space="0" w:color="000000"/>
            </w:tcBorders>
            <w:shd w:val="clear" w:color="auto" w:fill="auto"/>
            <w:vAlign w:val="center"/>
          </w:tcPr>
          <w:p w:rsidR="006973CF"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115</w:t>
            </w:r>
          </w:p>
        </w:tc>
        <w:tc>
          <w:tcPr>
            <w:tcW w:w="2745" w:type="dxa"/>
            <w:tcBorders>
              <w:top w:val="nil"/>
              <w:left w:val="nil"/>
              <w:bottom w:val="dotted" w:sz="4" w:space="0" w:color="000000"/>
              <w:right w:val="single" w:sz="8" w:space="0" w:color="000000"/>
            </w:tcBorders>
            <w:shd w:val="clear" w:color="auto" w:fill="auto"/>
            <w:vAlign w:val="center"/>
          </w:tcPr>
          <w:p w:rsidR="006973CF" w:rsidP="006973CF">
            <w:pPr>
              <w:widowControl/>
              <w:rPr>
                <w:rFonts w:ascii="Calibri" w:eastAsia="Calibri" w:hAnsi="Calibri" w:cs="Calibri"/>
                <w:color w:val="000000"/>
                <w:sz w:val="16"/>
                <w:szCs w:val="16"/>
              </w:rPr>
            </w:pPr>
            <w:r>
              <w:rPr>
                <w:rFonts w:ascii="Calibri" w:eastAsia="Calibri" w:hAnsi="Calibri" w:cs="Calibri"/>
                <w:color w:val="000000"/>
                <w:sz w:val="16"/>
                <w:szCs w:val="16"/>
              </w:rPr>
              <w:t xml:space="preserve">Adjusted burden hours to reflect the switch from a paper form (NOAA Form 89-819) to an online submission process </w:t>
            </w: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New Respondents</w:t>
            </w:r>
          </w:p>
        </w:tc>
        <w:tc>
          <w:tcPr>
            <w:tcW w:w="915"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99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15</w:t>
            </w:r>
          </w:p>
        </w:tc>
        <w:tc>
          <w:tcPr>
            <w:tcW w:w="108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900</w:t>
            </w:r>
          </w:p>
        </w:tc>
        <w:tc>
          <w:tcPr>
            <w:tcW w:w="117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900</w:t>
            </w:r>
          </w:p>
        </w:tc>
        <w:tc>
          <w:tcPr>
            <w:tcW w:w="2745" w:type="dxa"/>
            <w:tcBorders>
              <w:top w:val="nil"/>
              <w:left w:val="nil"/>
              <w:bottom w:val="dotted" w:sz="4"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No Change</w:t>
            </w: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624948" w:rsidP="00F2749C">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Current Respondents</w:t>
            </w:r>
          </w:p>
        </w:tc>
        <w:tc>
          <w:tcPr>
            <w:tcW w:w="915"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400</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400 </w:t>
            </w:r>
          </w:p>
        </w:tc>
        <w:tc>
          <w:tcPr>
            <w:tcW w:w="99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400</w:t>
            </w:r>
          </w:p>
        </w:tc>
        <w:tc>
          <w:tcPr>
            <w:tcW w:w="108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400</w:t>
            </w:r>
          </w:p>
        </w:tc>
        <w:tc>
          <w:tcPr>
            <w:tcW w:w="1080" w:type="dxa"/>
            <w:tcBorders>
              <w:top w:val="nil"/>
              <w:left w:val="nil"/>
              <w:bottom w:val="dotted" w:sz="4" w:space="0" w:color="000000"/>
              <w:right w:val="dashed"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16,000</w:t>
            </w:r>
          </w:p>
        </w:tc>
        <w:tc>
          <w:tcPr>
            <w:tcW w:w="1170" w:type="dxa"/>
            <w:tcBorders>
              <w:top w:val="nil"/>
              <w:left w:val="nil"/>
              <w:bottom w:val="dotted" w:sz="4" w:space="0" w:color="000000"/>
              <w:right w:val="single" w:sz="8" w:space="0" w:color="000000"/>
            </w:tcBorders>
            <w:shd w:val="clear" w:color="auto" w:fill="auto"/>
            <w:vAlign w:val="center"/>
          </w:tcPr>
          <w:p w:rsidR="00624948">
            <w:pPr>
              <w:widowControl/>
              <w:jc w:val="center"/>
              <w:rPr>
                <w:rFonts w:ascii="Calibri" w:eastAsia="Calibri" w:hAnsi="Calibri" w:cs="Calibri"/>
                <w:color w:val="000000"/>
                <w:sz w:val="16"/>
                <w:szCs w:val="16"/>
              </w:rPr>
            </w:pPr>
            <w:r>
              <w:rPr>
                <w:rFonts w:ascii="Calibri" w:eastAsia="Calibri" w:hAnsi="Calibri" w:cs="Calibri"/>
                <w:color w:val="000000"/>
                <w:sz w:val="16"/>
                <w:szCs w:val="16"/>
              </w:rPr>
              <w:t> 16,000</w:t>
            </w:r>
          </w:p>
        </w:tc>
        <w:tc>
          <w:tcPr>
            <w:tcW w:w="2745" w:type="dxa"/>
            <w:tcBorders>
              <w:top w:val="nil"/>
              <w:left w:val="nil"/>
              <w:bottom w:val="dotted" w:sz="4" w:space="0" w:color="000000"/>
              <w:right w:val="single" w:sz="8" w:space="0" w:color="000000"/>
            </w:tcBorders>
            <w:shd w:val="clear" w:color="auto" w:fill="auto"/>
            <w:vAlign w:val="center"/>
          </w:tcPr>
          <w:p w:rsidR="00624948">
            <w:pPr>
              <w:widowControl/>
              <w:rPr>
                <w:rFonts w:ascii="Calibri" w:eastAsia="Calibri" w:hAnsi="Calibri" w:cs="Calibri"/>
                <w:color w:val="000000"/>
                <w:sz w:val="16"/>
                <w:szCs w:val="16"/>
              </w:rPr>
            </w:pPr>
            <w:r>
              <w:rPr>
                <w:rFonts w:ascii="Calibri" w:eastAsia="Calibri" w:hAnsi="Calibri" w:cs="Calibri"/>
                <w:color w:val="000000"/>
                <w:sz w:val="16"/>
                <w:szCs w:val="16"/>
              </w:rPr>
              <w:t>No Change</w:t>
            </w:r>
          </w:p>
        </w:tc>
      </w:tr>
      <w:tr>
        <w:tblPrEx>
          <w:tblW w:w="11475" w:type="dxa"/>
          <w:tblInd w:w="-460" w:type="dxa"/>
          <w:tblLayout w:type="fixed"/>
          <w:tblLook w:val="0400"/>
        </w:tblPrEx>
        <w:trPr>
          <w:trHeight w:val="315"/>
        </w:trPr>
        <w:tc>
          <w:tcPr>
            <w:tcW w:w="2415" w:type="dxa"/>
            <w:tcBorders>
              <w:top w:val="nil"/>
              <w:left w:val="single" w:sz="8" w:space="0" w:color="000000"/>
              <w:bottom w:val="single" w:sz="8" w:space="0" w:color="000000"/>
              <w:right w:val="single" w:sz="8" w:space="0" w:color="000000"/>
            </w:tcBorders>
            <w:shd w:val="clear" w:color="auto" w:fill="auto"/>
            <w:vAlign w:val="center"/>
          </w:tcPr>
          <w:p w:rsidR="00CD6674" w:rsidP="00CD6674">
            <w:pPr>
              <w:widowControl/>
              <w:rPr>
                <w:rFonts w:ascii="Calibri" w:eastAsia="Calibri" w:hAnsi="Calibri" w:cs="Calibri"/>
                <w:color w:val="000000"/>
                <w:sz w:val="16"/>
                <w:szCs w:val="16"/>
              </w:rPr>
            </w:pPr>
            <w:r>
              <w:rPr>
                <w:rFonts w:ascii="Calibri" w:eastAsia="Calibri" w:hAnsi="Calibri" w:cs="Calibri"/>
                <w:color w:val="000000"/>
                <w:sz w:val="16"/>
                <w:szCs w:val="16"/>
              </w:rPr>
              <w:t>Surety Bond</w:t>
            </w:r>
          </w:p>
        </w:tc>
        <w:tc>
          <w:tcPr>
            <w:tcW w:w="915" w:type="dxa"/>
            <w:tcBorders>
              <w:top w:val="nil"/>
              <w:left w:val="nil"/>
              <w:bottom w:val="dotted" w:sz="4" w:space="0" w:color="000000"/>
              <w:right w:val="dashed" w:sz="8" w:space="0" w:color="000000"/>
            </w:tcBorders>
            <w:shd w:val="clear" w:color="auto" w:fill="auto"/>
            <w:vAlign w:val="center"/>
          </w:tcPr>
          <w:p w:rsidR="00CD6674"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435</w:t>
            </w:r>
          </w:p>
        </w:tc>
        <w:tc>
          <w:tcPr>
            <w:tcW w:w="1080" w:type="dxa"/>
            <w:tcBorders>
              <w:top w:val="nil"/>
              <w:left w:val="nil"/>
              <w:bottom w:val="dotted" w:sz="4" w:space="0" w:color="000000"/>
              <w:right w:val="single" w:sz="8" w:space="0" w:color="000000"/>
            </w:tcBorders>
            <w:shd w:val="clear" w:color="auto" w:fill="auto"/>
            <w:vAlign w:val="center"/>
          </w:tcPr>
          <w:p w:rsidR="00CD6674"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c>
          <w:tcPr>
            <w:tcW w:w="990" w:type="dxa"/>
            <w:tcBorders>
              <w:top w:val="nil"/>
              <w:left w:val="nil"/>
              <w:bottom w:val="dotted" w:sz="4" w:space="0" w:color="000000"/>
              <w:right w:val="dashed" w:sz="8" w:space="0" w:color="000000"/>
            </w:tcBorders>
            <w:shd w:val="clear" w:color="auto" w:fill="auto"/>
            <w:vAlign w:val="center"/>
          </w:tcPr>
          <w:p w:rsidR="00CD6674"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435</w:t>
            </w:r>
          </w:p>
        </w:tc>
        <w:tc>
          <w:tcPr>
            <w:tcW w:w="1080" w:type="dxa"/>
            <w:tcBorders>
              <w:top w:val="nil"/>
              <w:left w:val="nil"/>
              <w:bottom w:val="dotted" w:sz="4" w:space="0" w:color="000000"/>
              <w:right w:val="single" w:sz="8" w:space="0" w:color="000000"/>
            </w:tcBorders>
            <w:shd w:val="clear" w:color="auto" w:fill="auto"/>
            <w:vAlign w:val="center"/>
          </w:tcPr>
          <w:p w:rsidR="00CD6674"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c>
          <w:tcPr>
            <w:tcW w:w="1080" w:type="dxa"/>
            <w:tcBorders>
              <w:top w:val="nil"/>
              <w:left w:val="nil"/>
              <w:bottom w:val="dotted" w:sz="4" w:space="0" w:color="000000"/>
              <w:right w:val="dashed" w:sz="8" w:space="0" w:color="000000"/>
            </w:tcBorders>
            <w:shd w:val="clear" w:color="auto" w:fill="auto"/>
            <w:vAlign w:val="center"/>
          </w:tcPr>
          <w:p w:rsidR="00CD6674"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36</w:t>
            </w:r>
          </w:p>
        </w:tc>
        <w:tc>
          <w:tcPr>
            <w:tcW w:w="1170" w:type="dxa"/>
            <w:tcBorders>
              <w:top w:val="nil"/>
              <w:left w:val="nil"/>
              <w:bottom w:val="dotted" w:sz="4" w:space="0" w:color="000000"/>
              <w:right w:val="single" w:sz="8" w:space="0" w:color="000000"/>
            </w:tcBorders>
            <w:shd w:val="clear" w:color="auto" w:fill="auto"/>
            <w:vAlign w:val="center"/>
          </w:tcPr>
          <w:p w:rsidR="00CD6674"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c>
          <w:tcPr>
            <w:tcW w:w="2745" w:type="dxa"/>
            <w:tcBorders>
              <w:top w:val="nil"/>
              <w:left w:val="nil"/>
              <w:bottom w:val="dotted" w:sz="4" w:space="0" w:color="000000"/>
              <w:right w:val="single" w:sz="8" w:space="0" w:color="000000"/>
            </w:tcBorders>
            <w:shd w:val="clear" w:color="auto" w:fill="auto"/>
            <w:vAlign w:val="center"/>
          </w:tcPr>
          <w:p w:rsidR="00CD6674" w:rsidP="00CD6674">
            <w:pPr>
              <w:widowControl/>
              <w:rPr>
                <w:rFonts w:ascii="Calibri" w:eastAsia="Calibri" w:hAnsi="Calibri" w:cs="Calibri"/>
                <w:color w:val="000000"/>
                <w:sz w:val="16"/>
                <w:szCs w:val="16"/>
              </w:rPr>
            </w:pPr>
            <w:r>
              <w:rPr>
                <w:rFonts w:ascii="Calibri" w:eastAsia="Calibri" w:hAnsi="Calibri" w:cs="Calibri"/>
                <w:color w:val="000000"/>
                <w:sz w:val="16"/>
                <w:szCs w:val="16"/>
              </w:rPr>
              <w:t>Surety Bond, NOAA Form 89-801, was erroneously omitted in previous collection requests</w:t>
            </w:r>
          </w:p>
        </w:tc>
      </w:tr>
      <w:tr>
        <w:tblPrEx>
          <w:tblW w:w="11475" w:type="dxa"/>
          <w:tblInd w:w="-460" w:type="dxa"/>
          <w:tblLayout w:type="fixed"/>
          <w:tblLook w:val="0400"/>
        </w:tblPrEx>
        <w:trPr>
          <w:trHeight w:val="465"/>
        </w:trPr>
        <w:tc>
          <w:tcPr>
            <w:tcW w:w="2415" w:type="dxa"/>
            <w:tcBorders>
              <w:top w:val="nil"/>
              <w:left w:val="single" w:sz="8" w:space="0" w:color="000000"/>
              <w:bottom w:val="nil"/>
              <w:right w:val="single" w:sz="8" w:space="0" w:color="000000"/>
            </w:tcBorders>
            <w:shd w:val="clear" w:color="auto" w:fill="BDD6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915" w:type="dxa"/>
            <w:tcBorders>
              <w:top w:val="nil"/>
              <w:left w:val="nil"/>
              <w:bottom w:val="nil"/>
              <w:right w:val="dashed" w:sz="8" w:space="0" w:color="000000"/>
            </w:tcBorders>
            <w:shd w:val="clear" w:color="auto" w:fill="BDD6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2,338</w:t>
            </w:r>
          </w:p>
        </w:tc>
        <w:tc>
          <w:tcPr>
            <w:tcW w:w="1080" w:type="dxa"/>
            <w:tcBorders>
              <w:top w:val="nil"/>
              <w:left w:val="nil"/>
              <w:bottom w:val="nil"/>
              <w:right w:val="single" w:sz="8" w:space="0" w:color="000000"/>
            </w:tcBorders>
            <w:shd w:val="clear" w:color="auto" w:fill="BDD6EE"/>
            <w:vAlign w:val="center"/>
          </w:tcPr>
          <w:p w:rsidR="00624948" w:rsidP="0091126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w:t>
            </w:r>
            <w:r w:rsidR="00911267">
              <w:rPr>
                <w:rFonts w:ascii="Calibri" w:eastAsia="Calibri" w:hAnsi="Calibri" w:cs="Calibri"/>
                <w:b/>
                <w:color w:val="000000"/>
                <w:sz w:val="16"/>
                <w:szCs w:val="16"/>
              </w:rPr>
              <w:t>563</w:t>
            </w:r>
          </w:p>
        </w:tc>
        <w:tc>
          <w:tcPr>
            <w:tcW w:w="990" w:type="dxa"/>
            <w:tcBorders>
              <w:top w:val="nil"/>
              <w:left w:val="nil"/>
              <w:bottom w:val="nil"/>
              <w:right w:val="dashed" w:sz="8" w:space="0" w:color="000000"/>
            </w:tcBorders>
            <w:shd w:val="clear" w:color="auto" w:fill="BDD6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74,011</w:t>
            </w:r>
          </w:p>
        </w:tc>
        <w:tc>
          <w:tcPr>
            <w:tcW w:w="1080" w:type="dxa"/>
            <w:tcBorders>
              <w:top w:val="nil"/>
              <w:left w:val="nil"/>
              <w:bottom w:val="nil"/>
              <w:right w:val="single" w:sz="8" w:space="0" w:color="000000"/>
            </w:tcBorders>
            <w:shd w:val="clear" w:color="auto" w:fill="BDD6EE"/>
            <w:vAlign w:val="center"/>
          </w:tcPr>
          <w:p w:rsidR="00624948" w:rsidP="00D325D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73,</w:t>
            </w:r>
            <w:r w:rsidR="00D325DD">
              <w:rPr>
                <w:rFonts w:ascii="Calibri" w:eastAsia="Calibri" w:hAnsi="Calibri" w:cs="Calibri"/>
                <w:b/>
                <w:color w:val="000000"/>
                <w:sz w:val="16"/>
                <w:szCs w:val="16"/>
              </w:rPr>
              <w:t>236</w:t>
            </w:r>
          </w:p>
        </w:tc>
        <w:tc>
          <w:tcPr>
            <w:tcW w:w="1080" w:type="dxa"/>
            <w:tcBorders>
              <w:top w:val="nil"/>
              <w:left w:val="nil"/>
              <w:bottom w:val="nil"/>
              <w:right w:val="dashed" w:sz="8" w:space="0" w:color="000000"/>
            </w:tcBorders>
            <w:shd w:val="clear" w:color="auto" w:fill="BDD6EE"/>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23,067</w:t>
            </w:r>
          </w:p>
        </w:tc>
        <w:tc>
          <w:tcPr>
            <w:tcW w:w="1170" w:type="dxa"/>
            <w:tcBorders>
              <w:top w:val="nil"/>
              <w:left w:val="nil"/>
              <w:bottom w:val="nil"/>
              <w:right w:val="single" w:sz="8" w:space="0" w:color="000000"/>
            </w:tcBorders>
            <w:shd w:val="clear" w:color="auto" w:fill="BDD6EE"/>
            <w:vAlign w:val="center"/>
          </w:tcPr>
          <w:p w:rsidR="00624948" w:rsidP="00D325DD">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23,</w:t>
            </w:r>
            <w:r w:rsidR="00D325DD">
              <w:rPr>
                <w:rFonts w:ascii="Calibri" w:eastAsia="Calibri" w:hAnsi="Calibri" w:cs="Calibri"/>
                <w:b/>
                <w:color w:val="000000"/>
                <w:sz w:val="16"/>
                <w:szCs w:val="16"/>
              </w:rPr>
              <w:t>089</w:t>
            </w:r>
          </w:p>
        </w:tc>
        <w:tc>
          <w:tcPr>
            <w:tcW w:w="2745" w:type="dxa"/>
            <w:tcBorders>
              <w:top w:val="nil"/>
              <w:left w:val="nil"/>
              <w:bottom w:val="nil"/>
              <w:right w:val="single" w:sz="8" w:space="0" w:color="000000"/>
            </w:tcBorders>
            <w:shd w:val="clear" w:color="auto" w:fill="000000"/>
            <w:vAlign w:val="center"/>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tblPrEx>
          <w:tblW w:w="11475" w:type="dxa"/>
          <w:tblInd w:w="-460" w:type="dxa"/>
          <w:tblLayout w:type="fixed"/>
          <w:tblLook w:val="0400"/>
        </w:tblPrEx>
        <w:trPr>
          <w:trHeight w:val="315"/>
        </w:trPr>
        <w:tc>
          <w:tcPr>
            <w:tcW w:w="2415" w:type="dxa"/>
            <w:tcBorders>
              <w:top w:val="single" w:sz="8" w:space="0" w:color="000000"/>
              <w:left w:val="single" w:sz="8" w:space="0" w:color="000000"/>
              <w:bottom w:val="single" w:sz="8" w:space="0" w:color="000000"/>
              <w:right w:val="nil"/>
            </w:tcBorders>
            <w:shd w:val="clear" w:color="auto" w:fill="FCE4D6"/>
            <w:vAlign w:val="bottom"/>
          </w:tcPr>
          <w:p w:rsidR="0062494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1995"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624948">
            <w:pPr>
              <w:widowControl/>
              <w:jc w:val="center"/>
              <w:rPr>
                <w:rFonts w:ascii="Calibri" w:eastAsia="Calibri" w:hAnsi="Calibri" w:cs="Calibri"/>
                <w:color w:val="000000"/>
              </w:rPr>
            </w:pPr>
            <w:r>
              <w:rPr>
                <w:rFonts w:ascii="Calibri" w:eastAsia="Calibri" w:hAnsi="Calibri" w:cs="Calibri"/>
                <w:color w:val="000000"/>
              </w:rPr>
              <w:t>775</w:t>
            </w:r>
          </w:p>
        </w:tc>
        <w:tc>
          <w:tcPr>
            <w:tcW w:w="2070" w:type="dxa"/>
            <w:gridSpan w:val="2"/>
            <w:tcBorders>
              <w:top w:val="single" w:sz="8" w:space="0" w:color="000000"/>
              <w:left w:val="nil"/>
              <w:bottom w:val="single" w:sz="8" w:space="0" w:color="000000"/>
              <w:right w:val="single" w:sz="8" w:space="0" w:color="000000"/>
            </w:tcBorders>
            <w:shd w:val="clear" w:color="auto" w:fill="FCE4D6"/>
            <w:vAlign w:val="bottom"/>
          </w:tcPr>
          <w:p w:rsidR="00624948">
            <w:pPr>
              <w:widowControl/>
              <w:jc w:val="center"/>
              <w:rPr>
                <w:rFonts w:ascii="Calibri" w:eastAsia="Calibri" w:hAnsi="Calibri" w:cs="Calibri"/>
                <w:color w:val="000000"/>
              </w:rPr>
            </w:pPr>
            <w:r>
              <w:rPr>
                <w:rFonts w:ascii="Calibri" w:eastAsia="Calibri" w:hAnsi="Calibri" w:cs="Calibri"/>
                <w:color w:val="000000"/>
              </w:rPr>
              <w:t>775</w:t>
            </w:r>
          </w:p>
        </w:tc>
        <w:tc>
          <w:tcPr>
            <w:tcW w:w="2250" w:type="dxa"/>
            <w:gridSpan w:val="2"/>
            <w:tcBorders>
              <w:top w:val="single" w:sz="8" w:space="0" w:color="000000"/>
              <w:left w:val="nil"/>
              <w:bottom w:val="single" w:sz="8" w:space="0" w:color="000000"/>
              <w:right w:val="single" w:sz="4" w:space="0" w:color="000000"/>
            </w:tcBorders>
            <w:shd w:val="clear" w:color="auto" w:fill="FCE4D6"/>
            <w:vAlign w:val="bottom"/>
          </w:tcPr>
          <w:p w:rsidR="00624948" w:rsidP="00D325DD">
            <w:pPr>
              <w:widowControl/>
              <w:jc w:val="center"/>
              <w:rPr>
                <w:rFonts w:ascii="Calibri" w:eastAsia="Calibri" w:hAnsi="Calibri" w:cs="Calibri"/>
                <w:color w:val="000000"/>
              </w:rPr>
            </w:pPr>
            <w:r>
              <w:rPr>
                <w:rFonts w:ascii="Calibri" w:eastAsia="Calibri" w:hAnsi="Calibri" w:cs="Calibri"/>
                <w:color w:val="000000"/>
              </w:rPr>
              <w:t>-</w:t>
            </w:r>
            <w:r w:rsidR="00D325DD">
              <w:rPr>
                <w:rFonts w:ascii="Calibri" w:eastAsia="Calibri" w:hAnsi="Calibri" w:cs="Calibri"/>
                <w:color w:val="000000"/>
              </w:rPr>
              <w:t>22</w:t>
            </w:r>
          </w:p>
        </w:tc>
        <w:tc>
          <w:tcPr>
            <w:tcW w:w="2745" w:type="dxa"/>
            <w:tcBorders>
              <w:top w:val="single" w:sz="8" w:space="0" w:color="000000"/>
              <w:left w:val="nil"/>
              <w:bottom w:val="single" w:sz="8" w:space="0" w:color="000000"/>
              <w:right w:val="single" w:sz="8" w:space="0" w:color="000000"/>
            </w:tcBorders>
            <w:shd w:val="clear" w:color="auto" w:fill="000000"/>
            <w:vAlign w:val="bottom"/>
          </w:tcPr>
          <w:p w:rsidR="00624948">
            <w:pPr>
              <w:widowControl/>
              <w:rPr>
                <w:rFonts w:ascii="Calibri" w:eastAsia="Calibri" w:hAnsi="Calibri" w:cs="Calibri"/>
                <w:color w:val="000000"/>
              </w:rPr>
            </w:pPr>
            <w:r>
              <w:rPr>
                <w:rFonts w:ascii="Calibri" w:eastAsia="Calibri" w:hAnsi="Calibri" w:cs="Calibri"/>
                <w:color w:val="000000"/>
              </w:rPr>
              <w:t> </w:t>
            </w:r>
          </w:p>
        </w:tc>
      </w:tr>
    </w:tbl>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800A54">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800A54">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973CF">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973CF">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376C97">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800A54">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5: Adjustments to Burden Costs</w:t>
      </w:r>
    </w:p>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p>
    <w:tbl>
      <w:tblPr>
        <w:tblStyle w:val="a3"/>
        <w:tblW w:w="8025" w:type="dxa"/>
        <w:jc w:val="center"/>
        <w:tblLayout w:type="fixed"/>
        <w:tblLook w:val="0400"/>
      </w:tblPr>
      <w:tblGrid>
        <w:gridCol w:w="2175"/>
        <w:gridCol w:w="1080"/>
        <w:gridCol w:w="1170"/>
        <w:gridCol w:w="3600"/>
      </w:tblGrid>
      <w:tr w:rsidTr="00121A12">
        <w:tblPrEx>
          <w:tblW w:w="8025" w:type="dxa"/>
          <w:jc w:val="center"/>
          <w:tblLayout w:type="fixed"/>
          <w:tblLook w:val="0400"/>
        </w:tblPrEx>
        <w:trPr>
          <w:trHeight w:val="315"/>
          <w:jc w:val="center"/>
        </w:trPr>
        <w:tc>
          <w:tcPr>
            <w:tcW w:w="2175"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50" w:type="dxa"/>
            <w:gridSpan w:val="2"/>
            <w:tcBorders>
              <w:top w:val="single" w:sz="8" w:space="0" w:color="000000"/>
              <w:left w:val="nil"/>
              <w:bottom w:val="single" w:sz="8" w:space="0" w:color="000000"/>
              <w:right w:val="single" w:sz="8" w:space="0" w:color="000000"/>
            </w:tcBorders>
            <w:shd w:val="clear" w:color="auto" w:fill="5B9BD5"/>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3600" w:type="dxa"/>
            <w:vMerge w:val="restart"/>
            <w:tcBorders>
              <w:top w:val="single" w:sz="8" w:space="0" w:color="000000"/>
              <w:left w:val="single" w:sz="8" w:space="0" w:color="000000"/>
              <w:bottom w:val="single" w:sz="4" w:space="0" w:color="000000"/>
              <w:right w:val="single" w:sz="8" w:space="0" w:color="000000"/>
            </w:tcBorders>
            <w:shd w:val="clear" w:color="auto" w:fill="5B9BD5"/>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rsidTr="00121A12">
        <w:tblPrEx>
          <w:tblW w:w="8025" w:type="dxa"/>
          <w:jc w:val="center"/>
          <w:tblLayout w:type="fixed"/>
          <w:tblLook w:val="0400"/>
        </w:tblPrEx>
        <w:trPr>
          <w:trHeight w:val="690"/>
          <w:jc w:val="center"/>
        </w:trPr>
        <w:tc>
          <w:tcPr>
            <w:tcW w:w="2175"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121A12">
            <w:pPr>
              <w:pBdr>
                <w:top w:val="nil"/>
                <w:left w:val="nil"/>
                <w:bottom w:val="nil"/>
                <w:right w:val="nil"/>
                <w:between w:val="nil"/>
              </w:pBdr>
              <w:spacing w:line="276" w:lineRule="auto"/>
              <w:rPr>
                <w:rFonts w:ascii="Calibri" w:eastAsia="Calibri" w:hAnsi="Calibri" w:cs="Calibri"/>
                <w:b/>
                <w:color w:val="000000"/>
                <w:sz w:val="16"/>
                <w:szCs w:val="16"/>
              </w:rPr>
            </w:pPr>
          </w:p>
        </w:tc>
        <w:tc>
          <w:tcPr>
            <w:tcW w:w="1080" w:type="dxa"/>
            <w:tcBorders>
              <w:top w:val="nil"/>
              <w:left w:val="nil"/>
              <w:bottom w:val="single" w:sz="8" w:space="0" w:color="000000"/>
              <w:right w:val="dashed" w:sz="8" w:space="0" w:color="000000"/>
            </w:tcBorders>
            <w:shd w:val="clear" w:color="auto" w:fill="FBE4D5"/>
            <w:vAlign w:val="center"/>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170" w:type="dxa"/>
            <w:tcBorders>
              <w:top w:val="nil"/>
              <w:left w:val="nil"/>
              <w:bottom w:val="single" w:sz="8" w:space="0" w:color="000000"/>
              <w:right w:val="single" w:sz="8" w:space="0" w:color="000000"/>
            </w:tcBorders>
            <w:shd w:val="clear" w:color="auto" w:fill="FBE4D5"/>
            <w:vAlign w:val="center"/>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3600" w:type="dxa"/>
            <w:vMerge/>
            <w:tcBorders>
              <w:top w:val="single" w:sz="8" w:space="0" w:color="000000"/>
              <w:left w:val="single" w:sz="8" w:space="0" w:color="000000"/>
              <w:bottom w:val="single" w:sz="4" w:space="0" w:color="000000"/>
              <w:right w:val="single" w:sz="8" w:space="0" w:color="000000"/>
            </w:tcBorders>
            <w:shd w:val="clear" w:color="auto" w:fill="5B9BD5"/>
            <w:vAlign w:val="center"/>
          </w:tcPr>
          <w:p w:rsidR="00121A12">
            <w:pPr>
              <w:pBdr>
                <w:top w:val="nil"/>
                <w:left w:val="nil"/>
                <w:bottom w:val="nil"/>
                <w:right w:val="nil"/>
                <w:between w:val="nil"/>
              </w:pBdr>
              <w:spacing w:line="276" w:lineRule="auto"/>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nil"/>
              <w:left w:val="single" w:sz="8" w:space="0" w:color="000000"/>
              <w:bottom w:val="single" w:sz="8" w:space="0" w:color="000000"/>
              <w:right w:val="single" w:sz="8" w:space="0" w:color="000000"/>
            </w:tcBorders>
            <w:shd w:val="clear" w:color="auto" w:fill="auto"/>
            <w:vAlign w:val="bottom"/>
          </w:tcPr>
          <w:p w:rsidR="00121A12">
            <w:pPr>
              <w:widowControl/>
              <w:rPr>
                <w:rFonts w:ascii="Calibri" w:eastAsia="Calibri" w:hAnsi="Calibri" w:cs="Calibri"/>
                <w:color w:val="000000"/>
                <w:sz w:val="16"/>
                <w:szCs w:val="16"/>
              </w:rPr>
            </w:pPr>
            <w:r>
              <w:rPr>
                <w:rFonts w:ascii="Calibri" w:eastAsia="Calibri" w:hAnsi="Calibri" w:cs="Calibri"/>
                <w:color w:val="000000"/>
                <w:sz w:val="16"/>
                <w:szCs w:val="16"/>
              </w:rPr>
              <w:t>Application for Inspection Services</w:t>
            </w:r>
          </w:p>
        </w:tc>
        <w:tc>
          <w:tcPr>
            <w:tcW w:w="1080" w:type="dxa"/>
            <w:tcBorders>
              <w:top w:val="nil"/>
              <w:left w:val="nil"/>
              <w:bottom w:val="dotted" w:sz="4" w:space="0" w:color="000000"/>
              <w:right w:val="single"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4,717</w:t>
            </w:r>
          </w:p>
        </w:tc>
        <w:tc>
          <w:tcPr>
            <w:tcW w:w="1170" w:type="dxa"/>
            <w:tcBorders>
              <w:top w:val="nil"/>
              <w:left w:val="nil"/>
              <w:bottom w:val="dotted" w:sz="4" w:space="0" w:color="000000"/>
              <w:right w:val="single"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4,717</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pPr>
              <w:widowControl/>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nil"/>
              <w:left w:val="single" w:sz="8" w:space="0" w:color="000000"/>
              <w:bottom w:val="single" w:sz="8" w:space="0" w:color="000000"/>
              <w:right w:val="single" w:sz="8" w:space="0" w:color="000000"/>
            </w:tcBorders>
            <w:shd w:val="clear" w:color="auto" w:fill="auto"/>
            <w:vAlign w:val="bottom"/>
          </w:tcPr>
          <w:p w:rsidR="00121A12">
            <w:pPr>
              <w:widowControl/>
              <w:rPr>
                <w:rFonts w:ascii="Calibri" w:eastAsia="Calibri" w:hAnsi="Calibri" w:cs="Calibri"/>
                <w:color w:val="000000"/>
                <w:sz w:val="16"/>
                <w:szCs w:val="16"/>
              </w:rPr>
            </w:pPr>
            <w:r>
              <w:rPr>
                <w:rFonts w:ascii="Calibri" w:eastAsia="Calibri" w:hAnsi="Calibri" w:cs="Calibri"/>
                <w:color w:val="000000"/>
                <w:sz w:val="16"/>
                <w:szCs w:val="16"/>
              </w:rPr>
              <w:t>Application for appeal</w:t>
            </w:r>
          </w:p>
        </w:tc>
        <w:tc>
          <w:tcPr>
            <w:tcW w:w="1080" w:type="dxa"/>
            <w:tcBorders>
              <w:top w:val="nil"/>
              <w:left w:val="nil"/>
              <w:bottom w:val="dotted" w:sz="4" w:space="0" w:color="000000"/>
              <w:right w:val="dashed"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1170" w:type="dxa"/>
            <w:tcBorders>
              <w:top w:val="nil"/>
              <w:left w:val="nil"/>
              <w:bottom w:val="dotted" w:sz="4" w:space="0" w:color="000000"/>
              <w:right w:val="single"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2</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pPr>
              <w:widowControl/>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nil"/>
              <w:left w:val="single" w:sz="8" w:space="0" w:color="000000"/>
              <w:bottom w:val="single" w:sz="8" w:space="0" w:color="000000"/>
              <w:right w:val="single" w:sz="8" w:space="0" w:color="000000"/>
            </w:tcBorders>
            <w:shd w:val="clear" w:color="auto" w:fill="auto"/>
            <w:vAlign w:val="bottom"/>
          </w:tcPr>
          <w:p w:rsidR="00121A12">
            <w:pPr>
              <w:widowControl/>
              <w:rPr>
                <w:rFonts w:ascii="Calibri" w:eastAsia="Calibri" w:hAnsi="Calibri" w:cs="Calibri"/>
                <w:color w:val="000000"/>
                <w:sz w:val="16"/>
                <w:szCs w:val="16"/>
              </w:rPr>
            </w:pPr>
            <w:r>
              <w:rPr>
                <w:rFonts w:ascii="Calibri" w:eastAsia="Calibri" w:hAnsi="Calibri" w:cs="Calibri"/>
                <w:color w:val="000000"/>
                <w:sz w:val="16"/>
                <w:szCs w:val="16"/>
              </w:rPr>
              <w:t>Contract Completion</w:t>
            </w:r>
          </w:p>
        </w:tc>
        <w:tc>
          <w:tcPr>
            <w:tcW w:w="1080" w:type="dxa"/>
            <w:tcBorders>
              <w:top w:val="nil"/>
              <w:left w:val="nil"/>
              <w:bottom w:val="dotted" w:sz="4" w:space="0" w:color="000000"/>
              <w:right w:val="dashed"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28</w:t>
            </w:r>
          </w:p>
        </w:tc>
        <w:tc>
          <w:tcPr>
            <w:tcW w:w="1170" w:type="dxa"/>
            <w:tcBorders>
              <w:top w:val="nil"/>
              <w:left w:val="nil"/>
              <w:bottom w:val="dotted" w:sz="4" w:space="0" w:color="000000"/>
              <w:right w:val="single"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28</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pPr>
              <w:widowControl/>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nil"/>
              <w:left w:val="single" w:sz="8" w:space="0" w:color="000000"/>
              <w:bottom w:val="single" w:sz="8" w:space="0" w:color="000000"/>
              <w:right w:val="single" w:sz="8" w:space="0" w:color="000000"/>
            </w:tcBorders>
            <w:shd w:val="clear" w:color="auto" w:fill="auto"/>
            <w:vAlign w:val="bottom"/>
          </w:tcPr>
          <w:p w:rsidR="00121A12" w:rsidP="006973CF">
            <w:pPr>
              <w:widowControl/>
              <w:rPr>
                <w:rFonts w:ascii="Calibri" w:eastAsia="Calibri" w:hAnsi="Calibri" w:cs="Calibri"/>
                <w:color w:val="000000"/>
                <w:sz w:val="16"/>
                <w:szCs w:val="16"/>
              </w:rPr>
            </w:pPr>
            <w:r>
              <w:rPr>
                <w:rFonts w:ascii="Calibri" w:eastAsia="Calibri" w:hAnsi="Calibri" w:cs="Calibri"/>
                <w:color w:val="000000"/>
                <w:sz w:val="16"/>
                <w:szCs w:val="16"/>
              </w:rPr>
              <w:t>Label and Specification Submission</w:t>
            </w:r>
          </w:p>
        </w:tc>
        <w:tc>
          <w:tcPr>
            <w:tcW w:w="1080" w:type="dxa"/>
            <w:tcBorders>
              <w:top w:val="nil"/>
              <w:left w:val="nil"/>
              <w:bottom w:val="dotted" w:sz="4" w:space="0" w:color="000000"/>
              <w:right w:val="dashed" w:sz="8" w:space="0" w:color="000000"/>
            </w:tcBorders>
            <w:shd w:val="clear" w:color="auto" w:fill="auto"/>
          </w:tcPr>
          <w:p w:rsidR="00121A12"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7</w:t>
            </w:r>
          </w:p>
        </w:tc>
        <w:tc>
          <w:tcPr>
            <w:tcW w:w="1170" w:type="dxa"/>
            <w:tcBorders>
              <w:top w:val="nil"/>
              <w:left w:val="nil"/>
              <w:bottom w:val="dotted" w:sz="4" w:space="0" w:color="000000"/>
              <w:right w:val="single" w:sz="8" w:space="0" w:color="000000"/>
            </w:tcBorders>
            <w:shd w:val="clear" w:color="auto" w:fill="auto"/>
          </w:tcPr>
          <w:p w:rsidR="00121A12" w:rsidP="006973CF">
            <w:pPr>
              <w:widowControl/>
              <w:jc w:val="center"/>
              <w:rPr>
                <w:rFonts w:ascii="Calibri" w:eastAsia="Calibri" w:hAnsi="Calibri" w:cs="Calibri"/>
                <w:color w:val="000000"/>
                <w:sz w:val="16"/>
                <w:szCs w:val="16"/>
              </w:rPr>
            </w:pPr>
            <w:r>
              <w:rPr>
                <w:rFonts w:ascii="Calibri" w:eastAsia="Calibri" w:hAnsi="Calibri" w:cs="Calibri"/>
                <w:color w:val="000000"/>
                <w:sz w:val="16"/>
                <w:szCs w:val="16"/>
              </w:rPr>
              <w:t>7</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rsidP="006973CF">
            <w:pPr>
              <w:widowControl/>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nil"/>
              <w:left w:val="single" w:sz="8" w:space="0" w:color="000000"/>
              <w:bottom w:val="single" w:sz="8" w:space="0" w:color="000000"/>
              <w:right w:val="single" w:sz="8" w:space="0" w:color="000000"/>
            </w:tcBorders>
            <w:shd w:val="clear" w:color="auto" w:fill="auto"/>
            <w:vAlign w:val="bottom"/>
          </w:tcPr>
          <w:p w:rsidR="00121A12">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New Respondents</w:t>
            </w:r>
          </w:p>
        </w:tc>
        <w:tc>
          <w:tcPr>
            <w:tcW w:w="1080" w:type="dxa"/>
            <w:tcBorders>
              <w:top w:val="nil"/>
              <w:left w:val="nil"/>
              <w:bottom w:val="dotted" w:sz="4" w:space="0" w:color="000000"/>
              <w:right w:val="dashed"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1170" w:type="dxa"/>
            <w:tcBorders>
              <w:top w:val="nil"/>
              <w:left w:val="nil"/>
              <w:bottom w:val="dotted" w:sz="4" w:space="0" w:color="000000"/>
              <w:right w:val="single"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1</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pPr>
              <w:widowControl/>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single" w:sz="4" w:space="0" w:color="000000"/>
              <w:left w:val="single" w:sz="8" w:space="0" w:color="000000"/>
              <w:bottom w:val="single" w:sz="8" w:space="0" w:color="000000"/>
              <w:right w:val="single" w:sz="8" w:space="0" w:color="000000"/>
            </w:tcBorders>
            <w:shd w:val="clear" w:color="auto" w:fill="auto"/>
            <w:vAlign w:val="bottom"/>
          </w:tcPr>
          <w:p w:rsidR="00121A12">
            <w:pPr>
              <w:widowControl/>
              <w:rPr>
                <w:rFonts w:ascii="Calibri" w:eastAsia="Calibri" w:hAnsi="Calibri" w:cs="Calibri"/>
                <w:color w:val="000000"/>
                <w:sz w:val="16"/>
                <w:szCs w:val="16"/>
              </w:rPr>
            </w:pPr>
            <w:r>
              <w:rPr>
                <w:rFonts w:ascii="Calibri" w:eastAsia="Calibri" w:hAnsi="Calibri" w:cs="Calibri"/>
                <w:color w:val="000000"/>
                <w:sz w:val="16"/>
                <w:szCs w:val="16"/>
              </w:rPr>
              <w:t>HACCP Participants - Current Respondents</w:t>
            </w:r>
          </w:p>
        </w:tc>
        <w:tc>
          <w:tcPr>
            <w:tcW w:w="1080" w:type="dxa"/>
            <w:tcBorders>
              <w:top w:val="single" w:sz="4" w:space="0" w:color="000000"/>
              <w:left w:val="nil"/>
              <w:bottom w:val="dotted" w:sz="4" w:space="0" w:color="000000"/>
              <w:right w:val="dashed"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26</w:t>
            </w:r>
          </w:p>
        </w:tc>
        <w:tc>
          <w:tcPr>
            <w:tcW w:w="1170" w:type="dxa"/>
            <w:tcBorders>
              <w:top w:val="single" w:sz="4" w:space="0" w:color="000000"/>
              <w:left w:val="nil"/>
              <w:bottom w:val="dotted" w:sz="4" w:space="0" w:color="000000"/>
              <w:right w:val="single" w:sz="8" w:space="0" w:color="000000"/>
            </w:tcBorders>
            <w:shd w:val="clear" w:color="auto" w:fill="auto"/>
          </w:tcPr>
          <w:p w:rsidR="00121A12">
            <w:pPr>
              <w:widowControl/>
              <w:jc w:val="center"/>
              <w:rPr>
                <w:rFonts w:ascii="Calibri" w:eastAsia="Calibri" w:hAnsi="Calibri" w:cs="Calibri"/>
                <w:color w:val="000000"/>
                <w:sz w:val="16"/>
                <w:szCs w:val="16"/>
              </w:rPr>
            </w:pPr>
            <w:r>
              <w:rPr>
                <w:rFonts w:ascii="Calibri" w:eastAsia="Calibri" w:hAnsi="Calibri" w:cs="Calibri"/>
                <w:color w:val="000000"/>
                <w:sz w:val="16"/>
                <w:szCs w:val="16"/>
              </w:rPr>
              <w:t>26</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pPr>
              <w:widowControl/>
              <w:rPr>
                <w:rFonts w:ascii="Calibri" w:eastAsia="Calibri" w:hAnsi="Calibri" w:cs="Calibri"/>
                <w:color w:val="000000"/>
                <w:sz w:val="16"/>
                <w:szCs w:val="16"/>
              </w:rPr>
            </w:pPr>
          </w:p>
        </w:tc>
      </w:tr>
      <w:tr w:rsidTr="00121A12">
        <w:tblPrEx>
          <w:tblW w:w="8025" w:type="dxa"/>
          <w:jc w:val="center"/>
          <w:tblLayout w:type="fixed"/>
          <w:tblLook w:val="0400"/>
        </w:tblPrEx>
        <w:trPr>
          <w:trHeight w:val="315"/>
          <w:jc w:val="center"/>
        </w:trPr>
        <w:tc>
          <w:tcPr>
            <w:tcW w:w="2175" w:type="dxa"/>
            <w:tcBorders>
              <w:top w:val="single" w:sz="4" w:space="0" w:color="000000"/>
              <w:left w:val="single" w:sz="8" w:space="0" w:color="000000"/>
              <w:bottom w:val="single" w:sz="8" w:space="0" w:color="000000"/>
              <w:right w:val="single" w:sz="8" w:space="0" w:color="000000"/>
            </w:tcBorders>
            <w:shd w:val="clear" w:color="auto" w:fill="auto"/>
            <w:vAlign w:val="bottom"/>
          </w:tcPr>
          <w:p w:rsidR="00121A12" w:rsidP="00CD6674">
            <w:pPr>
              <w:widowControl/>
              <w:rPr>
                <w:rFonts w:ascii="Calibri" w:eastAsia="Calibri" w:hAnsi="Calibri" w:cs="Calibri"/>
                <w:color w:val="000000"/>
                <w:sz w:val="16"/>
                <w:szCs w:val="16"/>
              </w:rPr>
            </w:pPr>
            <w:r>
              <w:rPr>
                <w:rFonts w:ascii="Calibri" w:eastAsia="Calibri" w:hAnsi="Calibri" w:cs="Calibri"/>
                <w:color w:val="000000"/>
                <w:sz w:val="16"/>
                <w:szCs w:val="16"/>
              </w:rPr>
              <w:t>Surety Bond</w:t>
            </w:r>
          </w:p>
        </w:tc>
        <w:tc>
          <w:tcPr>
            <w:tcW w:w="1080" w:type="dxa"/>
            <w:tcBorders>
              <w:top w:val="single" w:sz="4" w:space="0" w:color="000000"/>
              <w:left w:val="nil"/>
              <w:bottom w:val="dotted" w:sz="4" w:space="0" w:color="000000"/>
              <w:right w:val="dashed" w:sz="8" w:space="0" w:color="000000"/>
            </w:tcBorders>
            <w:shd w:val="clear" w:color="auto" w:fill="auto"/>
          </w:tcPr>
          <w:p w:rsidR="00121A12"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28</w:t>
            </w:r>
          </w:p>
        </w:tc>
        <w:tc>
          <w:tcPr>
            <w:tcW w:w="1170" w:type="dxa"/>
            <w:tcBorders>
              <w:top w:val="single" w:sz="4" w:space="0" w:color="000000"/>
              <w:left w:val="nil"/>
              <w:bottom w:val="dotted" w:sz="4" w:space="0" w:color="000000"/>
              <w:right w:val="single" w:sz="8" w:space="0" w:color="000000"/>
            </w:tcBorders>
            <w:shd w:val="clear" w:color="auto" w:fill="auto"/>
          </w:tcPr>
          <w:p w:rsidR="00121A12" w:rsidP="00CD6674">
            <w:pPr>
              <w:widowControl/>
              <w:jc w:val="center"/>
              <w:rPr>
                <w:rFonts w:ascii="Calibri" w:eastAsia="Calibri" w:hAnsi="Calibri" w:cs="Calibri"/>
                <w:color w:val="000000"/>
                <w:sz w:val="16"/>
                <w:szCs w:val="16"/>
              </w:rPr>
            </w:pPr>
            <w:r>
              <w:rPr>
                <w:rFonts w:ascii="Calibri" w:eastAsia="Calibri" w:hAnsi="Calibri" w:cs="Calibri"/>
                <w:color w:val="000000"/>
                <w:sz w:val="16"/>
                <w:szCs w:val="16"/>
              </w:rPr>
              <w:t>n/a</w:t>
            </w:r>
          </w:p>
        </w:tc>
        <w:tc>
          <w:tcPr>
            <w:tcW w:w="3600" w:type="dxa"/>
            <w:tcBorders>
              <w:top w:val="single" w:sz="4" w:space="0" w:color="000000"/>
              <w:left w:val="nil"/>
              <w:bottom w:val="single" w:sz="4" w:space="0" w:color="000000"/>
              <w:right w:val="single" w:sz="8" w:space="0" w:color="000000"/>
            </w:tcBorders>
            <w:shd w:val="clear" w:color="auto" w:fill="auto"/>
            <w:vAlign w:val="center"/>
          </w:tcPr>
          <w:p w:rsidR="00121A12" w:rsidP="00CD6674">
            <w:pPr>
              <w:widowControl/>
              <w:rPr>
                <w:rFonts w:ascii="Calibri" w:eastAsia="Calibri" w:hAnsi="Calibri" w:cs="Calibri"/>
                <w:color w:val="000000"/>
                <w:sz w:val="16"/>
                <w:szCs w:val="16"/>
              </w:rPr>
            </w:pPr>
            <w:r>
              <w:rPr>
                <w:rFonts w:ascii="Calibri" w:eastAsia="Calibri" w:hAnsi="Calibri" w:cs="Calibri"/>
                <w:color w:val="000000"/>
                <w:sz w:val="16"/>
                <w:szCs w:val="16"/>
              </w:rPr>
              <w:t xml:space="preserve">Labor and miscellaneous costs were not previously included for surety bond. </w:t>
            </w:r>
          </w:p>
        </w:tc>
      </w:tr>
      <w:tr w:rsidTr="009A5ADB">
        <w:tblPrEx>
          <w:tblW w:w="8025" w:type="dxa"/>
          <w:jc w:val="center"/>
          <w:tblLayout w:type="fixed"/>
          <w:tblLook w:val="0400"/>
        </w:tblPrEx>
        <w:trPr>
          <w:trHeight w:val="465"/>
          <w:jc w:val="center"/>
        </w:trPr>
        <w:tc>
          <w:tcPr>
            <w:tcW w:w="2175" w:type="dxa"/>
            <w:tcBorders>
              <w:top w:val="nil"/>
              <w:left w:val="single" w:sz="8" w:space="0" w:color="000000"/>
              <w:bottom w:val="nil"/>
              <w:right w:val="single" w:sz="8" w:space="0" w:color="000000"/>
            </w:tcBorders>
            <w:shd w:val="clear" w:color="auto" w:fill="BDD6EE"/>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080" w:type="dxa"/>
            <w:tcBorders>
              <w:top w:val="nil"/>
              <w:left w:val="nil"/>
              <w:bottom w:val="single" w:sz="8" w:space="0" w:color="000000"/>
              <w:right w:val="dashed" w:sz="8" w:space="0" w:color="000000"/>
            </w:tcBorders>
            <w:shd w:val="clear" w:color="auto" w:fill="BDD6EE"/>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4,809</w:t>
            </w:r>
          </w:p>
        </w:tc>
        <w:tc>
          <w:tcPr>
            <w:tcW w:w="1170" w:type="dxa"/>
            <w:tcBorders>
              <w:top w:val="nil"/>
              <w:left w:val="nil"/>
              <w:bottom w:val="single" w:sz="8" w:space="0" w:color="000000"/>
              <w:right w:val="single" w:sz="8" w:space="0" w:color="000000"/>
            </w:tcBorders>
            <w:shd w:val="clear" w:color="auto" w:fill="BDD6EE"/>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4,781</w:t>
            </w:r>
          </w:p>
        </w:tc>
        <w:tc>
          <w:tcPr>
            <w:tcW w:w="3600" w:type="dxa"/>
            <w:tcBorders>
              <w:top w:val="single" w:sz="4" w:space="0" w:color="000000"/>
              <w:left w:val="nil"/>
              <w:bottom w:val="single" w:sz="4" w:space="0" w:color="000000"/>
              <w:right w:val="single" w:sz="8" w:space="0" w:color="000000"/>
            </w:tcBorders>
            <w:shd w:val="clear" w:color="auto" w:fill="000000"/>
            <w:vAlign w:val="center"/>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w:t>
            </w:r>
          </w:p>
        </w:tc>
      </w:tr>
      <w:tr w:rsidTr="009A5ADB">
        <w:tblPrEx>
          <w:tblW w:w="8025" w:type="dxa"/>
          <w:jc w:val="center"/>
          <w:tblLayout w:type="fixed"/>
          <w:tblLook w:val="0400"/>
        </w:tblPrEx>
        <w:trPr>
          <w:trHeight w:val="315"/>
          <w:jc w:val="center"/>
        </w:trPr>
        <w:tc>
          <w:tcPr>
            <w:tcW w:w="2175" w:type="dxa"/>
            <w:tcBorders>
              <w:top w:val="single" w:sz="8" w:space="0" w:color="000000"/>
              <w:left w:val="single" w:sz="8" w:space="0" w:color="000000"/>
              <w:bottom w:val="single" w:sz="8" w:space="0" w:color="000000"/>
              <w:right w:val="single" w:sz="4" w:space="0" w:color="auto"/>
            </w:tcBorders>
            <w:shd w:val="clear" w:color="auto" w:fill="FCE4D6"/>
            <w:vAlign w:val="bottom"/>
          </w:tcPr>
          <w:p w:rsidR="00121A1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50" w:type="dxa"/>
            <w:gridSpan w:val="2"/>
            <w:tcBorders>
              <w:top w:val="single" w:sz="8" w:space="0" w:color="000000"/>
              <w:left w:val="single" w:sz="4" w:space="0" w:color="auto"/>
              <w:bottom w:val="single" w:sz="8" w:space="0" w:color="000000"/>
              <w:right w:val="single" w:sz="4" w:space="0" w:color="000000"/>
            </w:tcBorders>
            <w:shd w:val="clear" w:color="auto" w:fill="FCE4D6"/>
            <w:vAlign w:val="bottom"/>
          </w:tcPr>
          <w:p w:rsidR="00121A12">
            <w:pPr>
              <w:widowControl/>
              <w:jc w:val="center"/>
              <w:rPr>
                <w:rFonts w:ascii="Calibri" w:eastAsia="Calibri" w:hAnsi="Calibri" w:cs="Calibri"/>
                <w:color w:val="000000"/>
              </w:rPr>
            </w:pPr>
            <w:r>
              <w:rPr>
                <w:rFonts w:ascii="Calibri" w:eastAsia="Calibri" w:hAnsi="Calibri" w:cs="Calibri"/>
                <w:color w:val="000000"/>
              </w:rPr>
              <w:t>28</w:t>
            </w:r>
          </w:p>
        </w:tc>
        <w:tc>
          <w:tcPr>
            <w:tcW w:w="3600" w:type="dxa"/>
            <w:tcBorders>
              <w:top w:val="single" w:sz="4" w:space="0" w:color="000000"/>
              <w:left w:val="nil"/>
              <w:bottom w:val="single" w:sz="8" w:space="0" w:color="000000"/>
              <w:right w:val="single" w:sz="8" w:space="0" w:color="000000"/>
            </w:tcBorders>
            <w:shd w:val="clear" w:color="auto" w:fill="000000"/>
            <w:vAlign w:val="bottom"/>
          </w:tcPr>
          <w:p w:rsidR="00121A12">
            <w:pPr>
              <w:widowControl/>
              <w:rPr>
                <w:rFonts w:ascii="Calibri" w:eastAsia="Calibri" w:hAnsi="Calibri" w:cs="Calibri"/>
                <w:color w:val="000000"/>
              </w:rPr>
            </w:pPr>
            <w:r>
              <w:rPr>
                <w:rFonts w:ascii="Calibri" w:eastAsia="Calibri" w:hAnsi="Calibri" w:cs="Calibri"/>
                <w:color w:val="000000"/>
              </w:rPr>
              <w:t> </w:t>
            </w:r>
          </w:p>
        </w:tc>
      </w:tr>
    </w:tbl>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24948">
      <w:pPr>
        <w:pBdr>
          <w:top w:val="nil"/>
          <w:left w:val="nil"/>
          <w:bottom w:val="nil"/>
          <w:right w:val="nil"/>
          <w:between w:val="nil"/>
        </w:pBdr>
        <w:spacing w:before="7"/>
        <w:rPr>
          <w:rFonts w:ascii="Times New Roman" w:eastAsia="Times New Roman" w:hAnsi="Times New Roman" w:cs="Times New Roman"/>
          <w:b/>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For collections of information whose results will be published, outline plans for tabulation and publication. Address any complex analytical techniques that </w:t>
      </w:r>
      <w:r>
        <w:rPr>
          <w:rFonts w:ascii="Times New Roman" w:eastAsia="Times New Roman" w:hAnsi="Times New Roman" w:cs="Times New Roman"/>
          <w:b/>
          <w:color w:val="000000"/>
          <w:sz w:val="24"/>
          <w:szCs w:val="24"/>
        </w:rPr>
        <w:t>will be used</w:t>
      </w:r>
      <w:r>
        <w:rPr>
          <w:rFonts w:ascii="Times New Roman" w:eastAsia="Times New Roman" w:hAnsi="Times New Roman" w:cs="Times New Roman"/>
          <w:b/>
          <w:color w:val="000000"/>
          <w:sz w:val="24"/>
          <w:szCs w:val="24"/>
        </w:rPr>
        <w:t>. Provide the time schedule for the entire project, including beginning and ending dates of the collection of information, completion of report, publication dates, and other actions.</w:t>
      </w:r>
    </w:p>
    <w:p w:rsidR="00624948">
      <w:pPr>
        <w:pBdr>
          <w:top w:val="nil"/>
          <w:left w:val="nil"/>
          <w:bottom w:val="nil"/>
          <w:right w:val="nil"/>
          <w:between w:val="nil"/>
        </w:pBdr>
        <w:spacing w:before="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Results will not be published.</w:t>
      </w:r>
    </w:p>
    <w:p w:rsidR="00624948">
      <w:pPr>
        <w:pBdr>
          <w:top w:val="nil"/>
          <w:left w:val="nil"/>
          <w:bottom w:val="nil"/>
          <w:right w:val="nil"/>
          <w:between w:val="nil"/>
        </w:pBdr>
        <w:spacing w:before="160"/>
        <w:rPr>
          <w:rFonts w:ascii="Times New Roman" w:eastAsia="Times New Roman" w:hAnsi="Times New Roman" w:cs="Times New Roman"/>
          <w:color w:val="000000"/>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If seeking approval </w:t>
      </w:r>
      <w:r>
        <w:rPr>
          <w:rFonts w:ascii="Times New Roman" w:eastAsia="Times New Roman" w:hAnsi="Times New Roman" w:cs="Times New Roman"/>
          <w:b/>
          <w:color w:val="000000"/>
          <w:sz w:val="24"/>
          <w:szCs w:val="24"/>
        </w:rPr>
        <w:t>to not display</w:t>
      </w:r>
      <w:r>
        <w:rPr>
          <w:rFonts w:ascii="Times New Roman" w:eastAsia="Times New Roman" w:hAnsi="Times New Roman" w:cs="Times New Roman"/>
          <w:b/>
          <w:color w:val="000000"/>
          <w:sz w:val="24"/>
          <w:szCs w:val="24"/>
        </w:rPr>
        <w:t xml:space="preserve"> the expiration date for OMB approval of the information collection, explain the reasons that display would be inappropriate.</w:t>
      </w:r>
    </w:p>
    <w:p w:rsidR="00624948">
      <w:pPr>
        <w:spacing w:before="1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plans to display the expiration date for OMB approval of the information collection on all instruments. </w:t>
      </w:r>
    </w:p>
    <w:p w:rsidR="00624948">
      <w:pPr>
        <w:spacing w:before="161"/>
        <w:rPr>
          <w:rFonts w:ascii="Times New Roman" w:eastAsia="Times New Roman" w:hAnsi="Times New Roman" w:cs="Times New Roman"/>
          <w:sz w:val="24"/>
          <w:szCs w:val="24"/>
        </w:rPr>
      </w:pPr>
    </w:p>
    <w:p w:rsidR="00624948">
      <w:pPr>
        <w:numPr>
          <w:ilvl w:val="0"/>
          <w:numId w:val="4"/>
        </w:numPr>
        <w:pBdr>
          <w:top w:val="nil"/>
          <w:left w:val="nil"/>
          <w:bottom w:val="nil"/>
          <w:right w:val="nil"/>
          <w:between w:val="nil"/>
        </w:pBdr>
        <w:tabs>
          <w:tab w:val="left" w:pos="360"/>
        </w:tabs>
        <w:spacing w:before="8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Explain each exception to the certification statement identified in “Certification for Paperwork Reduction Act Submissions."</w:t>
      </w:r>
    </w:p>
    <w:p w:rsidR="00624948">
      <w:pPr>
        <w:spacing w:before="221"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certifies compliance with </w:t>
      </w:r>
      <w:hyperlink r:id="rId15">
        <w:r>
          <w:rPr>
            <w:rFonts w:ascii="Times New Roman" w:eastAsia="Times New Roman" w:hAnsi="Times New Roman" w:cs="Times New Roman"/>
            <w:color w:val="0563C1"/>
            <w:sz w:val="24"/>
            <w:szCs w:val="24"/>
            <w:u w:val="single"/>
          </w:rPr>
          <w:t>5 CFR 1320.9</w:t>
        </w:r>
      </w:hyperlink>
      <w:hyperlink r:id="rId15">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16">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16">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71B6">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8F777FA"/>
    <w:multiLevelType w:val="multilevel"/>
    <w:tmpl w:val="0E320C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
    <w:nsid w:val="26861D1C"/>
    <w:multiLevelType w:val="multilevel"/>
    <w:tmpl w:val="CD9095AE"/>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lvl>
    <w:lvl w:ilvl="2">
      <w:start w:val="0"/>
      <w:numFmt w:val="bullet"/>
      <w:lvlText w:val="•"/>
      <w:lvlJc w:val="left"/>
      <w:pPr>
        <w:ind w:left="1220" w:hanging="360"/>
      </w:pPr>
    </w:lvl>
    <w:lvl w:ilvl="3">
      <w:start w:val="0"/>
      <w:numFmt w:val="bullet"/>
      <w:lvlText w:val="•"/>
      <w:lvlJc w:val="left"/>
      <w:pPr>
        <w:ind w:left="2505" w:hanging="360"/>
      </w:pPr>
    </w:lvl>
    <w:lvl w:ilvl="4">
      <w:start w:val="0"/>
      <w:numFmt w:val="bullet"/>
      <w:lvlText w:val="•"/>
      <w:lvlJc w:val="left"/>
      <w:pPr>
        <w:ind w:left="3790" w:hanging="360"/>
      </w:pPr>
    </w:lvl>
    <w:lvl w:ilvl="5">
      <w:start w:val="0"/>
      <w:numFmt w:val="bullet"/>
      <w:lvlText w:val="•"/>
      <w:lvlJc w:val="left"/>
      <w:pPr>
        <w:ind w:left="5075" w:hanging="360"/>
      </w:pPr>
    </w:lvl>
    <w:lvl w:ilvl="6">
      <w:start w:val="0"/>
      <w:numFmt w:val="bullet"/>
      <w:lvlText w:val="•"/>
      <w:lvlJc w:val="left"/>
      <w:pPr>
        <w:ind w:left="6360" w:hanging="360"/>
      </w:pPr>
    </w:lvl>
    <w:lvl w:ilvl="7">
      <w:start w:val="0"/>
      <w:numFmt w:val="bullet"/>
      <w:lvlText w:val="•"/>
      <w:lvlJc w:val="left"/>
      <w:pPr>
        <w:ind w:left="7645" w:hanging="360"/>
      </w:pPr>
    </w:lvl>
    <w:lvl w:ilvl="8">
      <w:start w:val="0"/>
      <w:numFmt w:val="bullet"/>
      <w:lvlText w:val="•"/>
      <w:lvlJc w:val="left"/>
      <w:pPr>
        <w:ind w:left="8930" w:hanging="360"/>
      </w:pPr>
    </w:lvl>
  </w:abstractNum>
  <w:abstractNum w:abstractNumId="2">
    <w:nsid w:val="6C1D7013"/>
    <w:multiLevelType w:val="multilevel"/>
    <w:tmpl w:val="9A2044CE"/>
    <w:lvl w:ilvl="0">
      <w:start w:val="0"/>
      <w:numFmt w:val="bullet"/>
      <w:lvlText w:val="●"/>
      <w:lvlJc w:val="left"/>
      <w:pPr>
        <w:ind w:left="469" w:hanging="360"/>
      </w:pPr>
      <w:rPr>
        <w:rFonts w:ascii="Noto Sans Symbols" w:eastAsia="Noto Sans Symbols" w:hAnsi="Noto Sans Symbols" w:cs="Noto Sans Symbols"/>
        <w:color w:val="2F5496"/>
        <w:sz w:val="20"/>
        <w:szCs w:val="20"/>
      </w:rPr>
    </w:lvl>
    <w:lvl w:ilvl="1">
      <w:start w:val="0"/>
      <w:numFmt w:val="bullet"/>
      <w:lvlText w:val="•"/>
      <w:lvlJc w:val="left"/>
      <w:pPr>
        <w:ind w:left="713" w:hanging="360"/>
      </w:pPr>
    </w:lvl>
    <w:lvl w:ilvl="2">
      <w:start w:val="0"/>
      <w:numFmt w:val="bullet"/>
      <w:lvlText w:val="•"/>
      <w:lvlJc w:val="left"/>
      <w:pPr>
        <w:ind w:left="966" w:hanging="360"/>
      </w:pPr>
    </w:lvl>
    <w:lvl w:ilvl="3">
      <w:start w:val="0"/>
      <w:numFmt w:val="bullet"/>
      <w:lvlText w:val="•"/>
      <w:lvlJc w:val="left"/>
      <w:pPr>
        <w:ind w:left="1219" w:hanging="360"/>
      </w:pPr>
    </w:lvl>
    <w:lvl w:ilvl="4">
      <w:start w:val="0"/>
      <w:numFmt w:val="bullet"/>
      <w:lvlText w:val="•"/>
      <w:lvlJc w:val="left"/>
      <w:pPr>
        <w:ind w:left="1472" w:hanging="360"/>
      </w:pPr>
    </w:lvl>
    <w:lvl w:ilvl="5">
      <w:start w:val="0"/>
      <w:numFmt w:val="bullet"/>
      <w:lvlText w:val="•"/>
      <w:lvlJc w:val="left"/>
      <w:pPr>
        <w:ind w:left="1725" w:hanging="360"/>
      </w:pPr>
    </w:lvl>
    <w:lvl w:ilvl="6">
      <w:start w:val="0"/>
      <w:numFmt w:val="bullet"/>
      <w:lvlText w:val="•"/>
      <w:lvlJc w:val="left"/>
      <w:pPr>
        <w:ind w:left="1978" w:hanging="360"/>
      </w:pPr>
    </w:lvl>
    <w:lvl w:ilvl="7">
      <w:start w:val="0"/>
      <w:numFmt w:val="bullet"/>
      <w:lvlText w:val="•"/>
      <w:lvlJc w:val="left"/>
      <w:pPr>
        <w:ind w:left="2231" w:hanging="360"/>
      </w:pPr>
    </w:lvl>
    <w:lvl w:ilvl="8">
      <w:start w:val="0"/>
      <w:numFmt w:val="bullet"/>
      <w:lvlText w:val="•"/>
      <w:lvlJc w:val="left"/>
      <w:pPr>
        <w:ind w:left="2484" w:hanging="360"/>
      </w:pPr>
    </w:lvl>
  </w:abstractNum>
  <w:abstractNum w:abstractNumId="3">
    <w:nsid w:val="7DF45B25"/>
    <w:multiLevelType w:val="multilevel"/>
    <w:tmpl w:val="D84459CC"/>
    <w:lvl w:ilvl="0">
      <w:start w:val="0"/>
      <w:numFmt w:val="bullet"/>
      <w:lvlText w:val="●"/>
      <w:lvlJc w:val="left"/>
      <w:pPr>
        <w:ind w:left="469" w:hanging="360"/>
      </w:pPr>
      <w:rPr>
        <w:rFonts w:ascii="Noto Sans Symbols" w:eastAsia="Noto Sans Symbols" w:hAnsi="Noto Sans Symbols" w:cs="Noto Sans Symbols"/>
        <w:color w:val="2F5496"/>
        <w:sz w:val="20"/>
        <w:szCs w:val="20"/>
      </w:rPr>
    </w:lvl>
    <w:lvl w:ilvl="1">
      <w:start w:val="0"/>
      <w:numFmt w:val="bullet"/>
      <w:lvlText w:val="•"/>
      <w:lvlJc w:val="left"/>
      <w:pPr>
        <w:ind w:left="713" w:hanging="360"/>
      </w:pPr>
    </w:lvl>
    <w:lvl w:ilvl="2">
      <w:start w:val="0"/>
      <w:numFmt w:val="bullet"/>
      <w:lvlText w:val="•"/>
      <w:lvlJc w:val="left"/>
      <w:pPr>
        <w:ind w:left="966" w:hanging="360"/>
      </w:pPr>
    </w:lvl>
    <w:lvl w:ilvl="3">
      <w:start w:val="0"/>
      <w:numFmt w:val="bullet"/>
      <w:lvlText w:val="•"/>
      <w:lvlJc w:val="left"/>
      <w:pPr>
        <w:ind w:left="1219" w:hanging="360"/>
      </w:pPr>
    </w:lvl>
    <w:lvl w:ilvl="4">
      <w:start w:val="0"/>
      <w:numFmt w:val="bullet"/>
      <w:lvlText w:val="•"/>
      <w:lvlJc w:val="left"/>
      <w:pPr>
        <w:ind w:left="1472" w:hanging="360"/>
      </w:pPr>
    </w:lvl>
    <w:lvl w:ilvl="5">
      <w:start w:val="0"/>
      <w:numFmt w:val="bullet"/>
      <w:lvlText w:val="•"/>
      <w:lvlJc w:val="left"/>
      <w:pPr>
        <w:ind w:left="1725" w:hanging="360"/>
      </w:pPr>
    </w:lvl>
    <w:lvl w:ilvl="6">
      <w:start w:val="0"/>
      <w:numFmt w:val="bullet"/>
      <w:lvlText w:val="•"/>
      <w:lvlJc w:val="left"/>
      <w:pPr>
        <w:ind w:left="1978" w:hanging="360"/>
      </w:pPr>
    </w:lvl>
    <w:lvl w:ilvl="7">
      <w:start w:val="0"/>
      <w:numFmt w:val="bullet"/>
      <w:lvlText w:val="•"/>
      <w:lvlJc w:val="left"/>
      <w:pPr>
        <w:ind w:left="2231" w:hanging="360"/>
      </w:pPr>
    </w:lvl>
    <w:lvl w:ilvl="8">
      <w:start w:val="0"/>
      <w:numFmt w:val="bullet"/>
      <w:lvlText w:val="•"/>
      <w:lvlJc w:val="left"/>
      <w:pPr>
        <w:ind w:left="2484"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48"/>
    <w:rsid w:val="00087A15"/>
    <w:rsid w:val="00103AB6"/>
    <w:rsid w:val="00121A12"/>
    <w:rsid w:val="002B1232"/>
    <w:rsid w:val="00376C97"/>
    <w:rsid w:val="00510544"/>
    <w:rsid w:val="00624948"/>
    <w:rsid w:val="006971B6"/>
    <w:rsid w:val="006973CF"/>
    <w:rsid w:val="007C1DF6"/>
    <w:rsid w:val="00800A54"/>
    <w:rsid w:val="00825E41"/>
    <w:rsid w:val="0088773F"/>
    <w:rsid w:val="00911267"/>
    <w:rsid w:val="009A5ADB"/>
    <w:rsid w:val="00A168FE"/>
    <w:rsid w:val="00A52163"/>
    <w:rsid w:val="00AB042F"/>
    <w:rsid w:val="00CD6674"/>
    <w:rsid w:val="00D325DD"/>
    <w:rsid w:val="00F2749C"/>
    <w:rsid w:val="00FA2E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F62A22"/>
  <w15:docId w15:val="{46CA0DEA-35EF-47D7-AA2D-17179229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41184"/>
    <w:rPr>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81340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DE6E3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0360A"/>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B0360A"/>
    <w:rPr>
      <w:rFonts w:ascii="Arial" w:eastAsia="Arial" w:hAnsi="Arial" w:cs="Arial"/>
      <w:b/>
      <w:bCs/>
      <w:color w:val="2E5395"/>
      <w:sz w:val="20"/>
      <w:szCs w:val="20"/>
      <w:lang w:bidi="en-US"/>
    </w:rPr>
  </w:style>
  <w:style w:type="character" w:styleId="FollowedHyperlink">
    <w:name w:val="FollowedHyperlink"/>
    <w:basedOn w:val="DefaultParagraphFont"/>
    <w:uiPriority w:val="99"/>
    <w:semiHidden/>
    <w:unhideWhenUsed/>
    <w:rsid w:val="00B0360A"/>
    <w:rPr>
      <w:color w:val="800080" w:themeColor="followedHyperlink"/>
      <w:u w:val="single"/>
    </w:rPr>
  </w:style>
  <w:style w:type="paragraph" w:styleId="Header">
    <w:name w:val="header"/>
    <w:basedOn w:val="Normal"/>
    <w:link w:val="HeaderChar"/>
    <w:uiPriority w:val="99"/>
    <w:unhideWhenUsed/>
    <w:rsid w:val="0027356E"/>
    <w:pPr>
      <w:tabs>
        <w:tab w:val="center" w:pos="4680"/>
        <w:tab w:val="right" w:pos="9360"/>
      </w:tabs>
    </w:pPr>
  </w:style>
  <w:style w:type="character" w:customStyle="1" w:styleId="HeaderChar">
    <w:name w:val="Header Char"/>
    <w:basedOn w:val="DefaultParagraphFont"/>
    <w:link w:val="Header"/>
    <w:uiPriority w:val="99"/>
    <w:rsid w:val="0027356E"/>
    <w:rPr>
      <w:rFonts w:ascii="Arial" w:eastAsia="Arial" w:hAnsi="Arial" w:cs="Arial"/>
      <w:lang w:bidi="en-US"/>
    </w:rPr>
  </w:style>
  <w:style w:type="paragraph" w:styleId="Footer">
    <w:name w:val="footer"/>
    <w:basedOn w:val="Normal"/>
    <w:link w:val="FooterChar"/>
    <w:uiPriority w:val="99"/>
    <w:unhideWhenUsed/>
    <w:rsid w:val="0027356E"/>
    <w:pPr>
      <w:tabs>
        <w:tab w:val="center" w:pos="4680"/>
        <w:tab w:val="right" w:pos="9360"/>
      </w:tabs>
    </w:pPr>
  </w:style>
  <w:style w:type="character" w:customStyle="1" w:styleId="FooterChar">
    <w:name w:val="Footer Char"/>
    <w:basedOn w:val="DefaultParagraphFont"/>
    <w:link w:val="Footer"/>
    <w:uiPriority w:val="99"/>
    <w:rsid w:val="0027356E"/>
    <w:rPr>
      <w:rFonts w:ascii="Arial" w:eastAsia="Arial" w:hAnsi="Arial" w:cs="Arial"/>
      <w:lang w:bidi="en-US"/>
    </w:rPr>
  </w:style>
  <w:style w:type="character" w:customStyle="1" w:styleId="Heading2Char">
    <w:name w:val="Heading 2 Char"/>
    <w:basedOn w:val="DefaultParagraphFont"/>
    <w:link w:val="Heading2"/>
    <w:uiPriority w:val="9"/>
    <w:semiHidden/>
    <w:rsid w:val="0081340B"/>
    <w:rPr>
      <w:rFonts w:asciiTheme="majorHAnsi" w:eastAsiaTheme="majorEastAsia" w:hAnsiTheme="majorHAnsi" w:cstheme="majorBidi"/>
      <w:color w:val="365F91" w:themeColor="accent1" w:themeShade="BF"/>
      <w:sz w:val="26"/>
      <w:szCs w:val="26"/>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ws.gov/informationquality/section515.html" TargetMode="External" /><Relationship Id="rId11" Type="http://schemas.openxmlformats.org/officeDocument/2006/relationships/hyperlink" Target="https://seafoodinspection.nmfs.noaa.gov/customer/customerlogin.html" TargetMode="External" /><Relationship Id="rId12" Type="http://schemas.openxmlformats.org/officeDocument/2006/relationships/hyperlink" Target="https://www.law.cornell.edu/uscode/text/5/552" TargetMode="External" /><Relationship Id="rId13" Type="http://schemas.openxmlformats.org/officeDocument/2006/relationships/footer" Target="footer1.xml" /><Relationship Id="rId14" Type="http://schemas.openxmlformats.org/officeDocument/2006/relationships/hyperlink" Target="https://www.bls.gov/bls/blswage.htm" TargetMode="External" /><Relationship Id="rId15" Type="http://schemas.openxmlformats.org/officeDocument/2006/relationships/hyperlink" Target="http://www.gpo.gov/fdsys/pkg/CFR-2014-title5-vol3/pdf/CFR-2014-title5-vol3-sec1320-9.pdf" TargetMode="External" /><Relationship Id="rId16" Type="http://schemas.openxmlformats.org/officeDocument/2006/relationships/hyperlink" Target="http://www.gpo.gov/fdsys/pkg/CFR-2014-title5-vol3/pdf/CFR-2014-title5-vol3-sec1320-8.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griculture.senate.gov/imo/media/doc/Agricultural%20Marketing%20Act%20Of%201946.pdf" TargetMode="External" /><Relationship Id="rId6" Type="http://schemas.openxmlformats.org/officeDocument/2006/relationships/hyperlink" Target="https://www.govinfo.gov/content/pkg/STATUTE-70/pdf/STATUTE-70-Pg1119.pdf" TargetMode="External" /><Relationship Id="rId7" Type="http://schemas.openxmlformats.org/officeDocument/2006/relationships/hyperlink" Target="https://uscode.house.gov/view.xhtml?req=granuleid:USC-prelim-title5a-node84-leaf179&amp;num=0&amp;edition=prelim" TargetMode="External" /><Relationship Id="rId8" Type="http://schemas.openxmlformats.org/officeDocument/2006/relationships/hyperlink" Target="https://ecfr.io/Title-50/Part-260" TargetMode="External" /><Relationship Id="rId9" Type="http://schemas.openxmlformats.org/officeDocument/2006/relationships/hyperlink" Target="https://media.fisheries.noaa.gov/dam-migration/request-for-inspection-servic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Gt0aVoDFZnJwv+b/Y8kXz6Ghw==">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5400</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28</cp:revision>
  <dcterms:created xsi:type="dcterms:W3CDTF">2024-08-27T11:59:00Z</dcterms:created>
  <dcterms:modified xsi:type="dcterms:W3CDTF">2024-12-09T20:32:00Z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