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93C">
      <w:pPr>
        <w:pStyle w:val="Heading1"/>
        <w:ind w:left="0"/>
        <w:jc w:val="center"/>
      </w:pPr>
      <w:r>
        <w:t>SUPPORTING STATEMENT</w:t>
      </w:r>
    </w:p>
    <w:p w:rsidR="0030293C">
      <w:pPr>
        <w:spacing w:before="22" w:line="259" w:lineRule="auto"/>
        <w:ind w:firstLine="14"/>
        <w:jc w:val="center"/>
        <w:rPr>
          <w:b/>
        </w:rPr>
      </w:pPr>
      <w:r>
        <w:rPr>
          <w:b/>
        </w:rPr>
        <w:t>U.S. Department of Commerce</w:t>
      </w:r>
    </w:p>
    <w:p w:rsidR="0030293C">
      <w:pPr>
        <w:spacing w:before="22" w:line="259" w:lineRule="auto"/>
        <w:ind w:firstLine="14"/>
        <w:jc w:val="center"/>
        <w:rPr>
          <w:b/>
        </w:rPr>
      </w:pPr>
      <w:r>
        <w:rPr>
          <w:b/>
        </w:rPr>
        <w:t>National Oceanic &amp; Atmospheric Administration</w:t>
      </w:r>
    </w:p>
    <w:p w:rsidR="0030293C">
      <w:pPr>
        <w:spacing w:line="259" w:lineRule="auto"/>
        <w:ind w:hanging="6"/>
        <w:jc w:val="center"/>
        <w:rPr>
          <w:b/>
        </w:rPr>
      </w:pPr>
      <w:r>
        <w:rPr>
          <w:b/>
        </w:rPr>
        <w:t>Western Pacific Community Development Program Process</w:t>
      </w:r>
    </w:p>
    <w:p w:rsidR="0030293C">
      <w:pPr>
        <w:spacing w:line="259" w:lineRule="auto"/>
        <w:ind w:hanging="6"/>
        <w:jc w:val="center"/>
        <w:rPr>
          <w:b/>
        </w:rPr>
      </w:pPr>
      <w:r>
        <w:rPr>
          <w:b/>
        </w:rPr>
        <w:t>OMB Control No. 0648-0612</w:t>
      </w:r>
    </w:p>
    <w:p w:rsidR="0030293C">
      <w:pPr>
        <w:pBdr>
          <w:top w:val="nil"/>
          <w:left w:val="nil"/>
          <w:bottom w:val="nil"/>
          <w:right w:val="nil"/>
          <w:between w:val="nil"/>
        </w:pBdr>
        <w:spacing w:before="1"/>
        <w:jc w:val="center"/>
        <w:rPr>
          <w:b/>
          <w:color w:val="000000"/>
        </w:rPr>
      </w:pPr>
    </w:p>
    <w:p w:rsidR="0030293C">
      <w:pPr>
        <w:spacing w:before="1" w:line="398" w:lineRule="auto"/>
        <w:rPr>
          <w:b/>
          <w:color w:val="1F497D"/>
        </w:rPr>
      </w:pPr>
      <w:r>
        <w:rPr>
          <w:b/>
          <w:color w:val="000000"/>
        </w:rPr>
        <w:t>SUPPORTING STATEMENT PART A</w:t>
      </w:r>
    </w:p>
    <w:p w:rsidR="0030293C">
      <w:pPr>
        <w:pStyle w:val="Heading1"/>
        <w:spacing w:before="199"/>
        <w:ind w:left="0"/>
      </w:pPr>
      <w:r>
        <w:t>Abstract</w:t>
      </w:r>
    </w:p>
    <w:p w:rsidR="0030293C">
      <w:pPr>
        <w:spacing w:before="144" w:line="259" w:lineRule="auto"/>
      </w:pPr>
      <w:r>
        <w:t>This request is for an extension of a currently approved information collection. The Federal regulations at 50 CFR 665 authorize the Regional Administrator of the National Marine Fisheries Service (NMFS), Pacific Island Region to provide eligible western Pacific communities with access to fisheries that they have traditionally depended upon, but may not have the capabilities to support continued and substantial participation, possibly due to economic, regulatory, or other barriers. To be eligible to participate in the western Pacific community development program, a community must meet the criteria set forth in 50 CFR 665.20, and submit a community development plan that describes the purposes and goals of the plan, the justification  for proposed fishing activities, and the degree of involvement by the indigenous community members, including contact information.</w:t>
      </w:r>
    </w:p>
    <w:p w:rsidR="0030293C">
      <w:pPr>
        <w:spacing w:before="144" w:line="259" w:lineRule="auto"/>
      </w:pPr>
      <w:r>
        <w:t xml:space="preserve">This collection of information provides NMFS and the Western Pacific Fishery Management Council (Council) with data to determine whether a community that submits a community development plan meets the regulatory requirements for participation in the program, and whether the activities proposed under the plan are consistent with the intent of the program, the Magnuson-Stevens Fishery Conservation and Management Act, and other applicable laws. The information is also important for evaluating potential impacts of the proposed community development plan activities on fish stocks, endangered species, marine mammals, and other components of the affected environment for the purposes of compliance with the National Environmental Policy Act, the Endangered Species Act and other applicable laws. </w:t>
      </w:r>
    </w:p>
    <w:p w:rsidR="0030293C">
      <w:pPr>
        <w:spacing w:before="144" w:line="259" w:lineRule="auto"/>
        <w:rPr>
          <w:b/>
          <w:color w:val="2F5496"/>
          <w:u w:val="single"/>
        </w:rPr>
      </w:pPr>
    </w:p>
    <w:p w:rsidR="0030293C">
      <w:pPr>
        <w:pStyle w:val="Heading1"/>
        <w:spacing w:before="124"/>
        <w:ind w:left="0"/>
      </w:pPr>
      <w:r>
        <w:t>Justification</w:t>
      </w:r>
    </w:p>
    <w:p w:rsidR="0030293C">
      <w:pPr>
        <w:numPr>
          <w:ilvl w:val="0"/>
          <w:numId w:val="7"/>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293C">
      <w:pPr>
        <w:spacing w:before="240" w:after="240" w:line="259" w:lineRule="auto"/>
      </w:pPr>
      <w:r>
        <w:t>NMFS and the Council established the western Pacific community development program through the Council’s fishery ecosystem plans pursuant to Section 305(</w:t>
      </w:r>
      <w:r>
        <w:t>i</w:t>
      </w:r>
      <w:r>
        <w:t>)(</w:t>
      </w:r>
      <w:r>
        <w:t>2) of the</w:t>
      </w:r>
      <w:hyperlink r:id="rId5" w:anchor="magnuson-stevens-act">
        <w:r>
          <w:t xml:space="preserve"> </w:t>
        </w:r>
      </w:hyperlink>
      <w:hyperlink r:id="rId5" w:anchor="magnuson-stevens-act">
        <w:r>
          <w:rPr>
            <w:color w:val="0000FF"/>
            <w:u w:val="single"/>
          </w:rPr>
          <w:t>Magnuson-Stevens Fishery Conservation and Management Act</w:t>
        </w:r>
      </w:hyperlink>
      <w:r>
        <w:t xml:space="preserve"> (Magnuson-Stevens Act). The purpose of the program is to promote the participation of western Pacific communities in fisheries that they have traditionally depended upon, but in which they may not have the capabilities to support continued and substantial participation, possibly due to economic, regulatory, or other barriers. To be eligible to participate in the western Pacific community development program, a community must meet eligibility criteria, and develop and submit a community development plan to the Council and NMFS.</w:t>
      </w:r>
    </w:p>
    <w:p w:rsidR="0030293C">
      <w:pPr>
        <w:spacing w:before="240" w:after="240" w:line="259" w:lineRule="auto"/>
      </w:pPr>
      <w:r>
        <w:t>Federal regulations at</w:t>
      </w:r>
      <w:hyperlink r:id="rId6">
        <w:r>
          <w:rPr>
            <w:color w:val="1155CC"/>
            <w:u w:val="single"/>
          </w:rPr>
          <w:t xml:space="preserve"> 50 CFR 665.20(c)</w:t>
        </w:r>
      </w:hyperlink>
      <w:r>
        <w:rPr>
          <w:color w:val="0000FF"/>
        </w:rPr>
        <w:t xml:space="preserve"> </w:t>
      </w:r>
      <w:r>
        <w:t xml:space="preserve">describe the western Pacific community development program eligibility criteria, and established the mechanism for NMFS to review, approve, and implement </w:t>
      </w:r>
      <w:r>
        <w:t>community development plan proposals for fishery access under the program. This collection of information is needed to determine whether communities submitting a proposal are eligible for participation in the community development program, and whether the activities proposed under the plan are consistent with the intent of the program, the Magnuson-Stevens Act, and other applicable laws.</w:t>
      </w:r>
    </w:p>
    <w:p w:rsidR="0030293C">
      <w:pPr>
        <w:pBdr>
          <w:top w:val="nil"/>
          <w:left w:val="nil"/>
          <w:bottom w:val="nil"/>
          <w:right w:val="nil"/>
          <w:between w:val="nil"/>
        </w:pBdr>
        <w:spacing w:before="159" w:line="259" w:lineRule="auto"/>
      </w:pPr>
    </w:p>
    <w:p w:rsidR="0030293C">
      <w:pPr>
        <w:pStyle w:val="Heading1"/>
        <w:numPr>
          <w:ilvl w:val="0"/>
          <w:numId w:val="7"/>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30293C">
      <w:pPr>
        <w:widowControl/>
        <w:spacing w:before="240" w:after="240"/>
      </w:pPr>
      <w:r>
        <w:t>Communities interested in participating in the program may at any time, send a letter of interest to the Council and a description of their community development plan proposal. Council staff located on the island would then assist interested communities in preparing and submitting a community development plan to the Council and NMFS for review. Additionally, Council staff also conduct periodic public outreach workshops in American Samoa, Guam, Hawaii, and the Northern Mariana Islands to provide these island communities with guidance on the program and community development plan submission process.</w:t>
      </w:r>
    </w:p>
    <w:p w:rsidR="0030293C">
      <w:pPr>
        <w:widowControl/>
        <w:spacing w:before="240" w:after="240"/>
      </w:pPr>
      <w:r>
        <w:t xml:space="preserve"> A community development plan must contain:</w:t>
      </w:r>
    </w:p>
    <w:p w:rsidR="0030293C">
      <w:pPr>
        <w:widowControl/>
        <w:numPr>
          <w:ilvl w:val="0"/>
          <w:numId w:val="5"/>
        </w:numPr>
      </w:pPr>
      <w:r>
        <w:t xml:space="preserve">A statement of the purposes and goals of the plan; </w:t>
      </w:r>
    </w:p>
    <w:p w:rsidR="0030293C">
      <w:pPr>
        <w:widowControl/>
        <w:numPr>
          <w:ilvl w:val="0"/>
          <w:numId w:val="2"/>
        </w:numPr>
      </w:pPr>
      <w:r>
        <w:t>A description and justification for the specific fishing activity being proposed, including:</w:t>
      </w:r>
    </w:p>
    <w:p w:rsidR="0030293C">
      <w:pPr>
        <w:widowControl/>
        <w:numPr>
          <w:ilvl w:val="1"/>
          <w:numId w:val="2"/>
        </w:numPr>
      </w:pPr>
      <w:r>
        <w:t>Location of the proposed fishing activity;</w:t>
      </w:r>
    </w:p>
    <w:p w:rsidR="0030293C">
      <w:pPr>
        <w:widowControl/>
        <w:numPr>
          <w:ilvl w:val="1"/>
          <w:numId w:val="2"/>
        </w:numPr>
      </w:pPr>
      <w:r>
        <w:t>Management unit species to be harvested, and any potential bycatch;</w:t>
      </w:r>
    </w:p>
    <w:p w:rsidR="0030293C">
      <w:pPr>
        <w:widowControl/>
        <w:numPr>
          <w:ilvl w:val="1"/>
          <w:numId w:val="2"/>
        </w:numPr>
      </w:pPr>
      <w:r>
        <w:t>Gear type(s) to be used; and</w:t>
      </w:r>
    </w:p>
    <w:p w:rsidR="0030293C">
      <w:pPr>
        <w:widowControl/>
        <w:numPr>
          <w:ilvl w:val="1"/>
          <w:numId w:val="2"/>
        </w:numPr>
      </w:pPr>
      <w:r>
        <w:t>Frequency and duration of the proposed fishing activity.</w:t>
      </w:r>
    </w:p>
    <w:p w:rsidR="0030293C">
      <w:pPr>
        <w:widowControl/>
        <w:numPr>
          <w:ilvl w:val="0"/>
          <w:numId w:val="9"/>
        </w:numPr>
      </w:pPr>
      <w:r>
        <w:t>A statement describing the degree of involvement by the indigenous community members including the name, address, telephone and other contact information of each individual who would conduct the requested fishing activity.</w:t>
      </w:r>
    </w:p>
    <w:p w:rsidR="0030293C">
      <w:pPr>
        <w:widowControl/>
        <w:numPr>
          <w:ilvl w:val="0"/>
          <w:numId w:val="8"/>
        </w:numPr>
      </w:pPr>
      <w:r>
        <w:t xml:space="preserve">A description of how the community and or its members meet each of the following eligibility criteria: </w:t>
      </w:r>
    </w:p>
    <w:p w:rsidR="0030293C">
      <w:pPr>
        <w:widowControl/>
        <w:numPr>
          <w:ilvl w:val="1"/>
          <w:numId w:val="10"/>
        </w:numPr>
      </w:pPr>
      <w:r>
        <w:t>Be located in American Samoa, Guam, Hawaii or  the Northern Mariana Islands (collectively, the western Pacific);</w:t>
      </w:r>
    </w:p>
    <w:p w:rsidR="0030293C">
      <w:pPr>
        <w:widowControl/>
        <w:numPr>
          <w:ilvl w:val="1"/>
          <w:numId w:val="10"/>
        </w:numPr>
      </w:pPr>
      <w:r>
        <w:t>Consist of community residents descended from aboriginal people indigenous to the western Pacific area who conducted commercial or subsistence fishing using traditional fishing practices in the waters of the western Pacific;</w:t>
      </w:r>
    </w:p>
    <w:p w:rsidR="0030293C">
      <w:pPr>
        <w:widowControl/>
        <w:numPr>
          <w:ilvl w:val="1"/>
          <w:numId w:val="10"/>
        </w:numPr>
      </w:pPr>
      <w:r>
        <w:t>Consist of individuals who reside in their ancestral homeland;</w:t>
      </w:r>
    </w:p>
    <w:p w:rsidR="0030293C">
      <w:pPr>
        <w:widowControl/>
        <w:numPr>
          <w:ilvl w:val="1"/>
          <w:numId w:val="10"/>
        </w:numPr>
      </w:pPr>
      <w:r>
        <w:t>Have knowledge of customary practices relevant to fisheries of the western Pacific;</w:t>
      </w:r>
    </w:p>
    <w:p w:rsidR="0030293C">
      <w:pPr>
        <w:widowControl/>
        <w:numPr>
          <w:ilvl w:val="1"/>
          <w:numId w:val="10"/>
        </w:numPr>
      </w:pPr>
      <w:r>
        <w:t>Have a traditional dependence on fisheries of the western Pacific;</w:t>
      </w:r>
    </w:p>
    <w:p w:rsidR="0030293C">
      <w:pPr>
        <w:widowControl/>
        <w:numPr>
          <w:ilvl w:val="1"/>
          <w:numId w:val="10"/>
        </w:numPr>
      </w:pPr>
      <w:r>
        <w:t>Experience economic or other barriers that have prevented full participation in the western Pacific fisheries and, in recent years, have not had harvesting, processing or marketing capability sufficient to support substantial participation in fisheries in the area; and</w:t>
      </w:r>
    </w:p>
    <w:p w:rsidR="0030293C">
      <w:pPr>
        <w:widowControl/>
        <w:numPr>
          <w:ilvl w:val="1"/>
          <w:numId w:val="10"/>
        </w:numPr>
      </w:pPr>
      <w:r>
        <w:t xml:space="preserve">Develop and submit a community development plan to the Council and the NMFS </w:t>
      </w:r>
    </w:p>
    <w:p w:rsidR="0030293C">
      <w:pPr>
        <w:widowControl/>
        <w:numPr>
          <w:ilvl w:val="0"/>
          <w:numId w:val="6"/>
        </w:numPr>
      </w:pPr>
      <w:r>
        <w:t xml:space="preserve">If a vessel is to be used by the community to conduct fishing activities, for each vessel: </w:t>
      </w:r>
    </w:p>
    <w:p w:rsidR="0030293C">
      <w:pPr>
        <w:widowControl/>
        <w:numPr>
          <w:ilvl w:val="1"/>
          <w:numId w:val="3"/>
        </w:numPr>
      </w:pPr>
      <w:r>
        <w:t>Vessel name and official number (United States Coast Guard (USCG) documentation, state, territory, or other registration number);</w:t>
      </w:r>
    </w:p>
    <w:p w:rsidR="0030293C">
      <w:pPr>
        <w:widowControl/>
        <w:numPr>
          <w:ilvl w:val="1"/>
          <w:numId w:val="3"/>
        </w:numPr>
      </w:pPr>
      <w:r>
        <w:t>Vessel length, displacement and fish holding capacity;</w:t>
      </w:r>
    </w:p>
    <w:p w:rsidR="0030293C">
      <w:pPr>
        <w:widowControl/>
        <w:numPr>
          <w:ilvl w:val="1"/>
          <w:numId w:val="3"/>
        </w:numPr>
      </w:pPr>
      <w:r>
        <w:t>Name, address, and telephone number of the owner(s) and operator(s); and</w:t>
      </w:r>
    </w:p>
    <w:p w:rsidR="0030293C">
      <w:pPr>
        <w:widowControl/>
        <w:numPr>
          <w:ilvl w:val="1"/>
          <w:numId w:val="3"/>
        </w:numPr>
        <w:spacing w:after="240"/>
      </w:pPr>
      <w:r>
        <w:t>Net tonnage.</w:t>
      </w:r>
    </w:p>
    <w:p w:rsidR="0030293C">
      <w:pPr>
        <w:widowControl/>
        <w:spacing w:before="240" w:after="240"/>
      </w:pPr>
      <w:r>
        <w:t>NMFS will use the information contained in the community development plan to determine whether the activities are consistent with the intent of the program and the Magnuson-Stevens Act, and evaluate the impacts of the proposed community development plan activities on fish stocks, endangered species, marine mammals and other components of the affected environment for the purposes of compliance with the</w:t>
      </w:r>
      <w:hyperlink r:id="rId5" w:anchor="marine-mammal-protection-act">
        <w:r>
          <w:t xml:space="preserve"> </w:t>
        </w:r>
      </w:hyperlink>
      <w:hyperlink r:id="rId5" w:anchor="marine-mammal-protection-act">
        <w:r>
          <w:rPr>
            <w:color w:val="0000FF"/>
            <w:u w:val="single"/>
          </w:rPr>
          <w:t>Marine Mammal Protection Act</w:t>
        </w:r>
      </w:hyperlink>
      <w:r>
        <w:t>,</w:t>
      </w:r>
      <w:hyperlink r:id="rId5" w:anchor="national-environmental-policy-act">
        <w:r>
          <w:t xml:space="preserve"> </w:t>
        </w:r>
      </w:hyperlink>
      <w:hyperlink r:id="rId5" w:anchor="national-environmental-policy-act">
        <w:r>
          <w:rPr>
            <w:color w:val="0000FF"/>
            <w:u w:val="single"/>
          </w:rPr>
          <w:t>National Environmenta</w:t>
        </w:r>
        <w:r>
          <w:rPr>
            <w:color w:val="0000FF"/>
            <w:u w:val="single"/>
          </w:rPr>
          <w:t>l</w:t>
        </w:r>
        <w:r>
          <w:rPr>
            <w:color w:val="0000FF"/>
            <w:u w:val="single"/>
          </w:rPr>
          <w:t xml:space="preserve"> Policy Act</w:t>
        </w:r>
      </w:hyperlink>
      <w:r>
        <w:t>, the</w:t>
      </w:r>
      <w:hyperlink r:id="rId5" w:anchor="endangered-species-act">
        <w:r>
          <w:t xml:space="preserve"> </w:t>
        </w:r>
      </w:hyperlink>
      <w:hyperlink r:id="rId5" w:anchor="endangered-species-act">
        <w:r>
          <w:rPr>
            <w:color w:val="0000FF"/>
            <w:u w:val="single"/>
          </w:rPr>
          <w:t>Endangered Species Act</w:t>
        </w:r>
      </w:hyperlink>
      <w:r>
        <w:rPr>
          <w:color w:val="0000FF"/>
        </w:rPr>
        <w:t xml:space="preserve"> </w:t>
      </w:r>
      <w:r>
        <w:t>and other applicable laws.</w:t>
      </w:r>
    </w:p>
    <w:p w:rsidR="0030293C">
      <w:pPr>
        <w:widowControl/>
        <w:spacing w:before="240" w:after="240"/>
      </w:pPr>
      <w:r>
        <w:t>NMFS will make community development plans available for public review and comment.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Should NMFS decide to disseminate the information in scientific, management, technical or general publications, it will be subject to the quality control measures and pre-dissemination review pursuant to</w:t>
      </w:r>
      <w:hyperlink r:id="rId7">
        <w:r>
          <w:t xml:space="preserve"> </w:t>
        </w:r>
      </w:hyperlink>
      <w:hyperlink r:id="rId7">
        <w:r>
          <w:rPr>
            <w:color w:val="0000FF"/>
            <w:u w:val="single"/>
          </w:rPr>
          <w:t>Section 515 of Public L</w:t>
        </w:r>
        <w:r>
          <w:rPr>
            <w:color w:val="0000FF"/>
            <w:u w:val="single"/>
          </w:rPr>
          <w:t>a</w:t>
        </w:r>
        <w:r>
          <w:rPr>
            <w:color w:val="0000FF"/>
            <w:u w:val="single"/>
          </w:rPr>
          <w:t>w 106-554</w:t>
        </w:r>
      </w:hyperlink>
      <w:r>
        <w:t>.</w:t>
      </w:r>
    </w:p>
    <w:p w:rsidR="0030293C">
      <w:pPr>
        <w:widowControl/>
        <w:spacing w:before="240" w:after="240"/>
      </w:pPr>
    </w:p>
    <w:p w:rsidR="0030293C">
      <w:pPr>
        <w:numPr>
          <w:ilvl w:val="0"/>
          <w:numId w:val="7"/>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0293C">
      <w:pPr>
        <w:spacing w:before="240" w:after="240"/>
      </w:pPr>
      <w:r>
        <w:t>The collection of information of a community development plan involves no forms, and respondents have a choice of submitting information by electronic transmission or by mail. Copies of Federal regulations for the community development plan submission requirements are available on the internet at</w:t>
      </w:r>
      <w:hyperlink r:id="rId8">
        <w:r>
          <w:t xml:space="preserve"> </w:t>
        </w:r>
      </w:hyperlink>
      <w:hyperlink r:id="rId8">
        <w:r>
          <w:rPr>
            <w:u w:val="single"/>
          </w:rPr>
          <w:t>50 CFR 665.20</w:t>
        </w:r>
      </w:hyperlink>
      <w:r>
        <w:t>. Additionally, detailed instructions on how to submit a community development plan may be found on the Council’s website at</w:t>
      </w:r>
      <w:hyperlink r:id="rId9">
        <w:r>
          <w:t xml:space="preserve"> </w:t>
        </w:r>
      </w:hyperlink>
      <w:hyperlink r:id="rId9">
        <w:r>
          <w:rPr>
            <w:u w:val="single"/>
          </w:rPr>
          <w:t>https://www.wpcouncil.org/western-pacific-community-development-program/</w:t>
        </w:r>
      </w:hyperlink>
      <w:r>
        <w:t>.</w:t>
      </w:r>
    </w:p>
    <w:p w:rsidR="0030293C">
      <w:pPr>
        <w:spacing w:before="161"/>
        <w:rPr>
          <w:b/>
          <w:color w:val="2F5496"/>
        </w:rPr>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30293C">
      <w:pPr>
        <w:pBdr>
          <w:top w:val="nil"/>
          <w:left w:val="nil"/>
          <w:bottom w:val="nil"/>
          <w:right w:val="nil"/>
          <w:between w:val="nil"/>
        </w:pBdr>
        <w:spacing w:before="161"/>
      </w:pPr>
      <w:r>
        <w:t>This collection of information requested does not duplicate any currently approved collection.</w:t>
      </w:r>
    </w:p>
    <w:p w:rsidR="0030293C">
      <w:pPr>
        <w:pBdr>
          <w:top w:val="nil"/>
          <w:left w:val="nil"/>
          <w:bottom w:val="nil"/>
          <w:right w:val="nil"/>
          <w:between w:val="nil"/>
        </w:pBdr>
        <w:spacing w:before="161"/>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30293C">
      <w:pPr>
        <w:pBdr>
          <w:top w:val="nil"/>
          <w:left w:val="nil"/>
          <w:bottom w:val="nil"/>
          <w:right w:val="nil"/>
          <w:between w:val="nil"/>
        </w:pBdr>
        <w:spacing w:before="160"/>
      </w:pPr>
      <w:r>
        <w:t>Respondents to this information collection could include small businesses, not-for-profit organizations, individuals, or groups of individuals with a fishing interest. Each would be considered a small entity. To minimize burden on small entities, Council Island Coordinators will assist interested communities to develop and submit community development plans.</w:t>
      </w:r>
    </w:p>
    <w:p w:rsidR="0030293C">
      <w:pPr>
        <w:pBdr>
          <w:top w:val="nil"/>
          <w:left w:val="nil"/>
          <w:bottom w:val="nil"/>
          <w:right w:val="nil"/>
          <w:between w:val="nil"/>
        </w:pBdr>
        <w:spacing w:before="160"/>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0293C">
      <w:pPr>
        <w:pBdr>
          <w:top w:val="nil"/>
          <w:left w:val="nil"/>
          <w:bottom w:val="nil"/>
          <w:right w:val="nil"/>
          <w:between w:val="nil"/>
        </w:pBdr>
        <w:spacing w:before="115"/>
      </w:pPr>
      <w:r>
        <w:t xml:space="preserve">Without the collection of information for a community development plan, NMFS would be unable to </w:t>
      </w:r>
      <w:r>
        <w:t>review and evaluate a community development plan proposal to ensure such plans are consistent with the Magnuson-Stevens Act and other applicable laws. NMFS would then be unable to provide a mechanism to promote the participation of western Pacific communities in fisheries that they have traditionally depended upon, but may not have the capabilities to support continued and substantial participation in, possibly due to economic, regulatory, or other barriers.</w:t>
      </w:r>
    </w:p>
    <w:p w:rsidR="0030293C">
      <w:pPr>
        <w:pBdr>
          <w:top w:val="nil"/>
          <w:left w:val="nil"/>
          <w:bottom w:val="nil"/>
          <w:right w:val="nil"/>
          <w:between w:val="nil"/>
        </w:pBdr>
        <w:spacing w:before="115"/>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30293C">
      <w:pPr>
        <w:spacing w:before="240" w:after="240"/>
      </w:pPr>
      <w:r>
        <w:t>There are no special circumstances and this collection will be conducted in a manner consistent with OMB guidelines.</w:t>
      </w:r>
    </w:p>
    <w:p w:rsidR="0030293C">
      <w:pPr>
        <w:spacing w:before="240" w:after="240"/>
      </w:pPr>
      <w:r>
        <w:t>This collection:</w:t>
      </w:r>
    </w:p>
    <w:p w:rsidR="0030293C">
      <w:pPr>
        <w:numPr>
          <w:ilvl w:val="0"/>
          <w:numId w:val="1"/>
        </w:numPr>
        <w:spacing w:before="240"/>
      </w:pPr>
      <w:r>
        <w:t>does not require respondents to report information to the agency more often than quarterly;</w:t>
      </w:r>
    </w:p>
    <w:p w:rsidR="0030293C">
      <w:pPr>
        <w:numPr>
          <w:ilvl w:val="0"/>
          <w:numId w:val="1"/>
        </w:numPr>
      </w:pPr>
      <w:r>
        <w:t>does not require respondents to prepare a written response to a collection of information in fewer than 30 days after receipt of it;</w:t>
      </w:r>
    </w:p>
    <w:p w:rsidR="0030293C">
      <w:pPr>
        <w:numPr>
          <w:ilvl w:val="0"/>
          <w:numId w:val="1"/>
        </w:numPr>
      </w:pPr>
      <w:r>
        <w:t>does not require respondents to submit more than an original and two copies of any document;</w:t>
      </w:r>
    </w:p>
    <w:p w:rsidR="0030293C">
      <w:pPr>
        <w:numPr>
          <w:ilvl w:val="0"/>
          <w:numId w:val="1"/>
        </w:numPr>
      </w:pPr>
      <w:r>
        <w:t>does not require respondents to retain records, other than health, medical, government contract, grant-in- aid, or tax records for more than three years;</w:t>
      </w:r>
    </w:p>
    <w:p w:rsidR="0030293C">
      <w:pPr>
        <w:numPr>
          <w:ilvl w:val="0"/>
          <w:numId w:val="1"/>
        </w:numPr>
      </w:pPr>
      <w:r>
        <w:t>is not in connection with a statistical survey, that is not designed to produce valid and reliable results that can be generalized to the universe of study;</w:t>
      </w:r>
    </w:p>
    <w:p w:rsidR="0030293C">
      <w:pPr>
        <w:numPr>
          <w:ilvl w:val="0"/>
          <w:numId w:val="1"/>
        </w:numPr>
      </w:pPr>
      <w:r>
        <w:t>does not require the use of a statistical data classification that has not been reviewed and approved by OMB;</w:t>
      </w:r>
    </w:p>
    <w:p w:rsidR="0030293C">
      <w:pPr>
        <w:numPr>
          <w:ilvl w:val="0"/>
          <w:numId w:val="1"/>
        </w:numPr>
      </w:pPr>
      <w:r>
        <w:t>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0293C">
      <w:pPr>
        <w:numPr>
          <w:ilvl w:val="0"/>
          <w:numId w:val="1"/>
        </w:numPr>
        <w:spacing w:after="240"/>
      </w:pPr>
      <w:r>
        <w:t>does</w:t>
      </w:r>
      <w:r>
        <w:t xml:space="preserve"> not require respondents to submit proprietary trade secrets, or other confidential information unless the agency can demonstrate that it has instituted procedures to protect the information's confidentiality to the extent permitted by law.</w:t>
      </w:r>
    </w:p>
    <w:p w:rsidR="0030293C">
      <w:pPr>
        <w:spacing w:before="240" w:after="240"/>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293C">
      <w:pPr>
        <w:pBdr>
          <w:top w:val="nil"/>
          <w:left w:val="nil"/>
          <w:bottom w:val="nil"/>
          <w:right w:val="nil"/>
          <w:between w:val="nil"/>
        </w:pBdr>
        <w:spacing w:before="159"/>
      </w:pPr>
      <w:r>
        <w:t xml:space="preserve">NOAA published a Federal Register Notice soliciting public comments on the continuing information collection on Tuesday April 9, 2024 (89 FR 24804). The comment period ended on June 10, 2024, and NOAA received no comments on the proposed information collection. </w:t>
      </w:r>
    </w:p>
    <w:p w:rsidR="0030293C">
      <w:pPr>
        <w:pBdr>
          <w:top w:val="nil"/>
          <w:left w:val="nil"/>
          <w:bottom w:val="nil"/>
          <w:right w:val="nil"/>
          <w:between w:val="nil"/>
        </w:pBdr>
        <w:spacing w:before="159"/>
      </w:pPr>
      <w:r>
        <w:t xml:space="preserve">During this time, NMFS also consulted non-NOAA stakeholders, including non-governmental organizations representing indigenous communities to obtain their views on the availability of data, frequency of collection, the clarity of instructions and recordkeeping, disclosure, or reporting format, and on the data elements to be recorded, disclosed, or reported. Requests for comments were made to the Council staff, the Office of Hawaiian Affairs (Hawaii), the Office of Samoan Affairs (American Samoa), the Department of Chamorro Affairs (Guam), and the Carolinian Affairs Office (CNMI) during the public comment period. NMFS received no comments in response. </w:t>
      </w:r>
    </w:p>
    <w:p w:rsidR="0030293C">
      <w:pPr>
        <w:pBdr>
          <w:top w:val="nil"/>
          <w:left w:val="nil"/>
          <w:bottom w:val="nil"/>
          <w:right w:val="nil"/>
          <w:between w:val="nil"/>
        </w:pBdr>
        <w:spacing w:before="159"/>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30293C">
      <w:pPr>
        <w:spacing w:before="240" w:after="240"/>
      </w:pPr>
      <w:r>
        <w:t>NMFS provides no payments or gifts.</w:t>
      </w:r>
    </w:p>
    <w:p w:rsidR="0030293C" w:rsidP="00427B4E">
      <w:pPr>
        <w:numPr>
          <w:ilvl w:val="0"/>
          <w:numId w:val="7"/>
        </w:numPr>
        <w:pBdr>
          <w:top w:val="nil"/>
          <w:left w:val="nil"/>
          <w:bottom w:val="nil"/>
          <w:right w:val="nil"/>
          <w:between w:val="nil"/>
        </w:pBdr>
        <w:spacing w:before="161"/>
        <w:ind w:left="0" w:firstLine="1"/>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0293C">
      <w:pPr>
        <w:pBdr>
          <w:top w:val="nil"/>
          <w:left w:val="nil"/>
          <w:bottom w:val="nil"/>
          <w:right w:val="nil"/>
          <w:between w:val="nil"/>
        </w:pBdr>
        <w:spacing w:before="80"/>
        <w:rPr>
          <w:b/>
        </w:rPr>
      </w:pPr>
    </w:p>
    <w:p w:rsidR="0030293C">
      <w:pPr>
        <w:spacing w:after="283"/>
      </w:pPr>
      <w:r>
        <w:rPr>
          <w:color w:val="000000"/>
        </w:rPr>
        <w:t xml:space="preserve">Data are handled as confidential under Section 402b of the Magnuson-Stevens Fishery Conservation and Management Act and </w:t>
      </w:r>
      <w:hyperlink r:id="rId10">
        <w:r>
          <w:rPr>
            <w:color w:val="0000FF"/>
            <w:u w:val="single"/>
          </w:rPr>
          <w:t>NOAA Adm</w:t>
        </w:r>
        <w:r>
          <w:rPr>
            <w:color w:val="0000FF"/>
            <w:u w:val="single"/>
          </w:rPr>
          <w:t>i</w:t>
        </w:r>
        <w:r>
          <w:rPr>
            <w:color w:val="0000FF"/>
            <w:u w:val="single"/>
          </w:rPr>
          <w:t>nistrativ</w:t>
        </w:r>
        <w:r>
          <w:rPr>
            <w:color w:val="0000FF"/>
            <w:u w:val="single"/>
          </w:rPr>
          <w:t>e</w:t>
        </w:r>
        <w:r>
          <w:rPr>
            <w:color w:val="0000FF"/>
            <w:u w:val="single"/>
          </w:rPr>
          <w:t xml:space="preserve"> Order 216-100</w:t>
        </w:r>
      </w:hyperlink>
      <w:r>
        <w:rPr>
          <w:color w:val="000000"/>
        </w:rPr>
        <w:t xml:space="preserve">. Federal agencies are </w:t>
      </w:r>
      <w:r>
        <w:t>prohibited from releasing</w:t>
      </w:r>
      <w:r>
        <w:rPr>
          <w:color w:val="000000"/>
        </w:rPr>
        <w:t xml:space="preserve"> personal and proprietary information to the public. </w:t>
      </w: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293C">
      <w:pPr>
        <w:spacing w:before="240" w:after="240" w:line="259" w:lineRule="auto"/>
        <w:sectPr>
          <w:headerReference w:type="default" r:id="rId11"/>
          <w:footerReference w:type="default" r:id="rId12"/>
          <w:pgSz w:w="12240" w:h="15840"/>
          <w:pgMar w:top="640" w:right="1080" w:bottom="1200" w:left="1080" w:header="0" w:footer="714" w:gutter="0"/>
          <w:pgNumType w:start="1"/>
          <w:cols w:space="720"/>
        </w:sectPr>
      </w:pPr>
      <w:r>
        <w:t>This information collection does not include questions of a sensitive nature.</w:t>
      </w:r>
    </w:p>
    <w:p w:rsidR="0030293C">
      <w:pPr>
        <w:spacing w:line="259" w:lineRule="auto"/>
        <w:rPr>
          <w:color w:val="2F5496"/>
        </w:rPr>
      </w:pPr>
      <w:bookmarkStart w:id="0" w:name="_heading=h.30j0zll" w:colFirst="0" w:colLast="0"/>
      <w:bookmarkEnd w:id="0"/>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30293C">
      <w:pPr>
        <w:spacing w:before="240" w:after="240"/>
      </w:pPr>
      <w:r>
        <w:t>NMFS expects to receive and process up to five (5) community development plan proposals each year. Respondents are expected to spend up to six hours developing a community development plan proposal. Less time would be necessary if Council Island Coordinators assist communities in developing proposals. Thus, the total information collection burden to communities in developing and submitting community development plans is estimated at up to 30 hours per year. If approved by NMFS, a community development plan may be effective for no longer than five years. We used the mean hourly wage from the May 2023 Occupational Employment and Wages for Captains, Mates, and Pilots of Water Vessels in Hawaii (53-5021), considering that program applicants could be business owners, vessel owners, or vessel operators. From</w:t>
      </w:r>
      <w:hyperlink r:id="rId13">
        <w:r>
          <w:t xml:space="preserve"> </w:t>
        </w:r>
      </w:hyperlink>
      <w:hyperlink r:id="rId13">
        <w:r>
          <w:rPr>
            <w:u w:val="single"/>
          </w:rPr>
          <w:t>https://www.bls.gov/oes/current/oes_hi.htm</w:t>
        </w:r>
      </w:hyperlink>
      <w:r>
        <w:t xml:space="preserve">  Totals are rounded.</w:t>
      </w:r>
    </w:p>
    <w:p w:rsidR="0030293C">
      <w:pPr>
        <w:spacing w:before="80"/>
      </w:pPr>
    </w:p>
    <w:p w:rsidR="0030293C">
      <w:pPr>
        <w:spacing w:line="259" w:lineRule="auto"/>
        <w:ind w:hanging="43"/>
        <w:jc w:val="center"/>
        <w:rPr>
          <w:b/>
          <w:color w:val="FF0000"/>
        </w:rPr>
      </w:pPr>
    </w:p>
    <w:tbl>
      <w:tblPr>
        <w:tblStyle w:val="ad"/>
        <w:tblW w:w="14420" w:type="dxa"/>
        <w:tblInd w:w="-140" w:type="dxa"/>
        <w:tblLayout w:type="fixed"/>
        <w:tblLook w:val="0400"/>
      </w:tblPr>
      <w:tblGrid>
        <w:gridCol w:w="1985"/>
        <w:gridCol w:w="2010"/>
        <w:gridCol w:w="1335"/>
        <w:gridCol w:w="1260"/>
        <w:gridCol w:w="1155"/>
        <w:gridCol w:w="1050"/>
        <w:gridCol w:w="1305"/>
        <w:gridCol w:w="960"/>
        <w:gridCol w:w="3360"/>
      </w:tblGrid>
      <w:tr>
        <w:tblPrEx>
          <w:tblW w:w="14420" w:type="dxa"/>
          <w:tblInd w:w="-140" w:type="dxa"/>
          <w:tblLayout w:type="fixed"/>
          <w:tblLook w:val="0400"/>
        </w:tblPrEx>
        <w:trPr>
          <w:trHeight w:val="1365"/>
        </w:trPr>
        <w:tc>
          <w:tcPr>
            <w:tcW w:w="198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01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96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3360" w:type="dxa"/>
            <w:tcBorders>
              <w:top w:val="single" w:sz="8" w:space="0" w:color="000000"/>
              <w:left w:val="nil"/>
              <w:bottom w:val="single" w:sz="8" w:space="0" w:color="000000"/>
              <w:right w:val="single" w:sz="8" w:space="0" w:color="000000"/>
            </w:tcBorders>
            <w:shd w:val="clear" w:color="auto" w:fill="BDD7EE"/>
            <w:vAlign w:val="center"/>
          </w:tcPr>
          <w:p w:rsidR="0030293C">
            <w:pPr>
              <w:widowControl/>
              <w:ind w:right="240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4420" w:type="dxa"/>
          <w:tblInd w:w="-140" w:type="dxa"/>
          <w:tblLayout w:type="fixed"/>
          <w:tblLook w:val="0400"/>
        </w:tblPrEx>
        <w:trPr>
          <w:trHeight w:val="300"/>
        </w:trPr>
        <w:tc>
          <w:tcPr>
            <w:tcW w:w="1985" w:type="dxa"/>
            <w:tcBorders>
              <w:top w:val="nil"/>
              <w:left w:val="single" w:sz="8" w:space="0" w:color="000000"/>
              <w:bottom w:val="single" w:sz="4" w:space="0" w:color="000000"/>
              <w:right w:val="single" w:sz="4" w:space="0" w:color="000000"/>
            </w:tcBorders>
            <w:shd w:val="clear" w:color="auto" w:fill="auto"/>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Community Development Plan</w:t>
            </w:r>
          </w:p>
        </w:tc>
        <w:tc>
          <w:tcPr>
            <w:tcW w:w="201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small business, non-profit, individuals, or groups with a fishing interest</w:t>
            </w:r>
          </w:p>
        </w:tc>
        <w:tc>
          <w:tcPr>
            <w:tcW w:w="1335"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 </w:t>
            </w:r>
          </w:p>
        </w:tc>
        <w:tc>
          <w:tcPr>
            <w:tcW w:w="126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 </w:t>
            </w:r>
          </w:p>
        </w:tc>
        <w:tc>
          <w:tcPr>
            <w:tcW w:w="1155"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 </w:t>
            </w:r>
          </w:p>
        </w:tc>
        <w:tc>
          <w:tcPr>
            <w:tcW w:w="105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6</w:t>
            </w:r>
            <w:r>
              <w:rPr>
                <w:rFonts w:ascii="Calibri" w:eastAsia="Calibri" w:hAnsi="Calibri" w:cs="Calibri"/>
                <w:color w:val="000000"/>
                <w:sz w:val="16"/>
                <w:szCs w:val="16"/>
              </w:rPr>
              <w:t> </w:t>
            </w:r>
          </w:p>
        </w:tc>
        <w:tc>
          <w:tcPr>
            <w:tcW w:w="1305"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30</w:t>
            </w:r>
            <w:r>
              <w:rPr>
                <w:rFonts w:ascii="Calibri" w:eastAsia="Calibri" w:hAnsi="Calibri" w:cs="Calibri"/>
                <w:color w:val="000000"/>
                <w:sz w:val="16"/>
                <w:szCs w:val="16"/>
              </w:rPr>
              <w:t> </w:t>
            </w:r>
          </w:p>
        </w:tc>
        <w:tc>
          <w:tcPr>
            <w:tcW w:w="96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$41.25</w:t>
            </w:r>
            <w:r>
              <w:rPr>
                <w:rFonts w:ascii="Calibri" w:eastAsia="Calibri" w:hAnsi="Calibri" w:cs="Calibri"/>
                <w:color w:val="000000"/>
                <w:sz w:val="16"/>
                <w:szCs w:val="16"/>
              </w:rPr>
              <w:t> </w:t>
            </w:r>
          </w:p>
        </w:tc>
        <w:tc>
          <w:tcPr>
            <w:tcW w:w="3360" w:type="dxa"/>
            <w:tcBorders>
              <w:top w:val="nil"/>
              <w:left w:val="nil"/>
              <w:bottom w:val="single" w:sz="4" w:space="0" w:color="000000"/>
              <w:right w:val="single" w:sz="8"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$1,237.50</w:t>
            </w:r>
          </w:p>
        </w:tc>
      </w:tr>
      <w:tr>
        <w:tblPrEx>
          <w:tblW w:w="14420" w:type="dxa"/>
          <w:tblInd w:w="-140" w:type="dxa"/>
          <w:tblLayout w:type="fixed"/>
          <w:tblLook w:val="0400"/>
        </w:tblPrEx>
        <w:trPr>
          <w:trHeight w:val="615"/>
        </w:trPr>
        <w:tc>
          <w:tcPr>
            <w:tcW w:w="1985" w:type="dxa"/>
            <w:tcBorders>
              <w:top w:val="nil"/>
              <w:left w:val="single" w:sz="8" w:space="0" w:color="000000"/>
              <w:bottom w:val="single" w:sz="8" w:space="0" w:color="000000"/>
              <w:right w:val="single" w:sz="8" w:space="0" w:color="000000"/>
            </w:tcBorders>
            <w:shd w:val="clear" w:color="auto" w:fill="DDEBF7"/>
            <w:vAlign w:val="bottom"/>
          </w:tcPr>
          <w:p w:rsidR="0030293C">
            <w:pPr>
              <w:widowControl/>
              <w:rPr>
                <w:rFonts w:ascii="Calibri" w:eastAsia="Calibri" w:hAnsi="Calibri" w:cs="Calibri"/>
                <w:b/>
                <w:color w:val="000000"/>
              </w:rPr>
            </w:pPr>
            <w:r>
              <w:rPr>
                <w:rFonts w:ascii="Calibri" w:eastAsia="Calibri" w:hAnsi="Calibri" w:cs="Calibri"/>
                <w:b/>
                <w:color w:val="000000"/>
              </w:rPr>
              <w:t>Totals</w:t>
            </w:r>
          </w:p>
        </w:tc>
        <w:tc>
          <w:tcPr>
            <w:tcW w:w="2010" w:type="dxa"/>
            <w:tcBorders>
              <w:top w:val="nil"/>
              <w:left w:val="nil"/>
              <w:bottom w:val="single" w:sz="8" w:space="0" w:color="000000"/>
              <w:right w:val="single" w:sz="8" w:space="0" w:color="000000"/>
            </w:tcBorders>
            <w:shd w:val="clear" w:color="auto" w:fill="000000"/>
            <w:vAlign w:val="bottom"/>
          </w:tcPr>
          <w:p w:rsidR="0030293C">
            <w:pPr>
              <w:widowControl/>
              <w:rPr>
                <w:rFonts w:ascii="Calibri" w:eastAsia="Calibri" w:hAnsi="Calibri" w:cs="Calibri"/>
                <w:b/>
                <w:color w:val="000000"/>
              </w:rPr>
            </w:pPr>
            <w:r>
              <w:rPr>
                <w:rFonts w:ascii="Calibri" w:eastAsia="Calibri" w:hAnsi="Calibri" w:cs="Calibri"/>
                <w:b/>
                <w:color w:val="000000"/>
              </w:rPr>
              <w:t> </w:t>
            </w:r>
          </w:p>
        </w:tc>
        <w:tc>
          <w:tcPr>
            <w:tcW w:w="1335" w:type="dxa"/>
            <w:tcBorders>
              <w:top w:val="nil"/>
              <w:left w:val="nil"/>
              <w:bottom w:val="single" w:sz="8" w:space="0" w:color="000000"/>
              <w:right w:val="single" w:sz="8" w:space="0" w:color="000000"/>
            </w:tcBorders>
            <w:shd w:val="clear" w:color="auto" w:fill="000000"/>
            <w:vAlign w:val="bottom"/>
          </w:tcPr>
          <w:p w:rsidR="0030293C">
            <w:pPr>
              <w:widowControl/>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bottom"/>
          </w:tcPr>
          <w:p w:rsidR="0030293C">
            <w:pPr>
              <w:widowControl/>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30293C">
            <w:pPr>
              <w:widowControl/>
              <w:rPr>
                <w:rFonts w:ascii="Calibri" w:eastAsia="Calibri" w:hAnsi="Calibri" w:cs="Calibri"/>
                <w:b/>
                <w:color w:val="000000"/>
              </w:rPr>
            </w:pPr>
            <w:r>
              <w:rPr>
                <w:rFonts w:ascii="Calibri" w:eastAsia="Calibri" w:hAnsi="Calibri" w:cs="Calibri"/>
                <w:b/>
                <w:color w:val="000000"/>
              </w:rPr>
              <w:t> 5</w:t>
            </w:r>
          </w:p>
        </w:tc>
        <w:tc>
          <w:tcPr>
            <w:tcW w:w="1050" w:type="dxa"/>
            <w:tcBorders>
              <w:top w:val="nil"/>
              <w:left w:val="nil"/>
              <w:bottom w:val="single" w:sz="8" w:space="0" w:color="000000"/>
              <w:right w:val="single" w:sz="8" w:space="0" w:color="000000"/>
            </w:tcBorders>
            <w:shd w:val="clear" w:color="auto" w:fill="000000"/>
            <w:vAlign w:val="bottom"/>
          </w:tcPr>
          <w:p w:rsidR="0030293C">
            <w:pPr>
              <w:widowControl/>
              <w:rPr>
                <w:rFonts w:ascii="Calibri" w:eastAsia="Calibri" w:hAnsi="Calibri" w:cs="Calibri"/>
                <w:b/>
                <w:color w:val="000000"/>
              </w:rPr>
            </w:pPr>
            <w:r>
              <w:rPr>
                <w:rFonts w:ascii="Calibri" w:eastAsia="Calibri" w:hAnsi="Calibri" w:cs="Calibri"/>
                <w:b/>
                <w:color w:val="000000"/>
              </w:rPr>
              <w:t> </w:t>
            </w:r>
          </w:p>
        </w:tc>
        <w:tc>
          <w:tcPr>
            <w:tcW w:w="1305" w:type="dxa"/>
            <w:tcBorders>
              <w:top w:val="nil"/>
              <w:left w:val="nil"/>
              <w:bottom w:val="single" w:sz="8" w:space="0" w:color="000000"/>
              <w:right w:val="single" w:sz="8" w:space="0" w:color="000000"/>
            </w:tcBorders>
            <w:shd w:val="clear" w:color="auto" w:fill="DDEBF7"/>
            <w:vAlign w:val="bottom"/>
          </w:tcPr>
          <w:p w:rsidR="0030293C">
            <w:pPr>
              <w:widowControl/>
              <w:rPr>
                <w:rFonts w:ascii="Calibri" w:eastAsia="Calibri" w:hAnsi="Calibri" w:cs="Calibri"/>
                <w:b/>
                <w:color w:val="000000"/>
              </w:rPr>
            </w:pPr>
            <w:r>
              <w:rPr>
                <w:rFonts w:ascii="Calibri" w:eastAsia="Calibri" w:hAnsi="Calibri" w:cs="Calibri"/>
                <w:b/>
                <w:color w:val="000000"/>
              </w:rPr>
              <w:t> 30</w:t>
            </w:r>
          </w:p>
        </w:tc>
        <w:tc>
          <w:tcPr>
            <w:tcW w:w="960" w:type="dxa"/>
            <w:tcBorders>
              <w:top w:val="nil"/>
              <w:left w:val="nil"/>
              <w:bottom w:val="single" w:sz="8" w:space="0" w:color="000000"/>
              <w:right w:val="single" w:sz="8" w:space="0" w:color="000000"/>
            </w:tcBorders>
            <w:shd w:val="clear" w:color="auto" w:fill="000000"/>
            <w:vAlign w:val="bottom"/>
          </w:tcPr>
          <w:p w:rsidR="0030293C">
            <w:pPr>
              <w:widowControl/>
              <w:rPr>
                <w:rFonts w:ascii="Calibri" w:eastAsia="Calibri" w:hAnsi="Calibri" w:cs="Calibri"/>
                <w:b/>
                <w:color w:val="000000"/>
              </w:rPr>
            </w:pPr>
            <w:r>
              <w:rPr>
                <w:rFonts w:ascii="Calibri" w:eastAsia="Calibri" w:hAnsi="Calibri" w:cs="Calibri"/>
                <w:b/>
                <w:color w:val="000000"/>
              </w:rPr>
              <w:t> </w:t>
            </w:r>
          </w:p>
        </w:tc>
        <w:tc>
          <w:tcPr>
            <w:tcW w:w="3360" w:type="dxa"/>
            <w:tcBorders>
              <w:top w:val="nil"/>
              <w:left w:val="nil"/>
              <w:bottom w:val="single" w:sz="8" w:space="0" w:color="000000"/>
              <w:right w:val="single" w:sz="8" w:space="0" w:color="000000"/>
            </w:tcBorders>
            <w:shd w:val="clear" w:color="auto" w:fill="DDEBF7"/>
            <w:vAlign w:val="bottom"/>
          </w:tcPr>
          <w:p w:rsidR="0030293C">
            <w:pPr>
              <w:widowControl/>
              <w:rPr>
                <w:rFonts w:ascii="Calibri" w:eastAsia="Calibri" w:hAnsi="Calibri" w:cs="Calibri"/>
                <w:b/>
                <w:color w:val="000000"/>
              </w:rPr>
            </w:pPr>
            <w:r>
              <w:rPr>
                <w:rFonts w:ascii="Calibri" w:eastAsia="Calibri" w:hAnsi="Calibri" w:cs="Calibri"/>
                <w:b/>
                <w:color w:val="000000"/>
              </w:rPr>
              <w:t> </w:t>
            </w:r>
          </w:p>
        </w:tc>
      </w:tr>
    </w:tbl>
    <w:p w:rsidR="0030293C">
      <w:pPr>
        <w:spacing w:line="259" w:lineRule="auto"/>
        <w:rPr>
          <w:b/>
          <w:color w:val="FF0000"/>
        </w:rPr>
        <w:sectPr>
          <w:pgSz w:w="15840" w:h="12240" w:orient="landscape"/>
          <w:pgMar w:top="640" w:right="1080" w:bottom="1200" w:left="1080" w:header="0" w:footer="714" w:gutter="0"/>
          <w:cols w:space="720"/>
        </w:sectPr>
      </w:pPr>
    </w:p>
    <w:p w:rsidR="0030293C">
      <w:pPr>
        <w:spacing w:line="259" w:lineRule="auto"/>
        <w:ind w:hanging="43"/>
        <w:rPr>
          <w:b/>
          <w:highlight w:val="yellow"/>
        </w:rPr>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30293C">
      <w:pPr>
        <w:pBdr>
          <w:top w:val="nil"/>
          <w:left w:val="nil"/>
          <w:bottom w:val="nil"/>
          <w:right w:val="nil"/>
          <w:between w:val="nil"/>
        </w:pBdr>
        <w:spacing w:before="120"/>
        <w:rPr>
          <w:color w:val="000000"/>
        </w:rPr>
      </w:pPr>
      <w:r>
        <w:t>Respondents may incur costs for submitting a community development plan proposal. The maximum estimated annual cost to respondents for postage, faxes, and copies, related to this collection is $50 or $10 per proposal.</w:t>
      </w:r>
    </w:p>
    <w:p w:rsidR="0030293C">
      <w:pPr>
        <w:pBdr>
          <w:top w:val="nil"/>
          <w:left w:val="nil"/>
          <w:bottom w:val="nil"/>
          <w:right w:val="nil"/>
          <w:between w:val="nil"/>
        </w:pBdr>
        <w:spacing w:before="1"/>
        <w:rPr>
          <w:b/>
          <w:color w:val="000000"/>
        </w:rPr>
      </w:pPr>
    </w:p>
    <w:tbl>
      <w:tblPr>
        <w:tblStyle w:val="ae"/>
        <w:tblW w:w="10275" w:type="dxa"/>
        <w:tblInd w:w="-140" w:type="dxa"/>
        <w:tblLayout w:type="fixed"/>
        <w:tblLook w:val="0400"/>
      </w:tblPr>
      <w:tblGrid>
        <w:gridCol w:w="2791"/>
        <w:gridCol w:w="1441"/>
        <w:gridCol w:w="1453"/>
        <w:gridCol w:w="1620"/>
        <w:gridCol w:w="1440"/>
        <w:gridCol w:w="1530"/>
      </w:tblGrid>
      <w:tr>
        <w:tblPrEx>
          <w:tblW w:w="10275" w:type="dxa"/>
          <w:tblInd w:w="-140" w:type="dxa"/>
          <w:tblLayout w:type="fixed"/>
          <w:tblLook w:val="0400"/>
        </w:tblPrEx>
        <w:trPr>
          <w:trHeight w:val="915"/>
        </w:trPr>
        <w:tc>
          <w:tcPr>
            <w:tcW w:w="279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tblPrEx>
          <w:tblW w:w="10275" w:type="dxa"/>
          <w:tblInd w:w="-140" w:type="dxa"/>
          <w:tblLayout w:type="fixed"/>
          <w:tblLook w:val="0400"/>
        </w:tblPrEx>
        <w:trPr>
          <w:trHeight w:val="300"/>
        </w:trPr>
        <w:tc>
          <w:tcPr>
            <w:tcW w:w="2791" w:type="dxa"/>
            <w:tcBorders>
              <w:top w:val="nil"/>
              <w:left w:val="single" w:sz="4" w:space="0" w:color="000000"/>
              <w:bottom w:val="single" w:sz="4" w:space="0" w:color="000000"/>
              <w:right w:val="single" w:sz="4" w:space="0" w:color="000000"/>
            </w:tcBorders>
            <w:shd w:val="clear" w:color="auto" w:fill="auto"/>
            <w:vAlign w:val="center"/>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Community Development Plan</w:t>
            </w:r>
          </w:p>
        </w:tc>
        <w:tc>
          <w:tcPr>
            <w:tcW w:w="1441" w:type="dxa"/>
            <w:tcBorders>
              <w:top w:val="nil"/>
              <w:left w:val="nil"/>
              <w:bottom w:val="single" w:sz="4" w:space="0" w:color="000000"/>
              <w:right w:val="single" w:sz="4" w:space="0" w:color="000000"/>
            </w:tcBorders>
            <w:shd w:val="clear" w:color="auto" w:fill="FFFFFF"/>
            <w:vAlign w:val="center"/>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 </w:t>
            </w:r>
          </w:p>
        </w:tc>
        <w:tc>
          <w:tcPr>
            <w:tcW w:w="1453" w:type="dxa"/>
            <w:tcBorders>
              <w:top w:val="nil"/>
              <w:left w:val="nil"/>
              <w:bottom w:val="single" w:sz="4" w:space="0" w:color="000000"/>
              <w:right w:val="single" w:sz="4" w:space="0" w:color="000000"/>
            </w:tcBorders>
            <w:shd w:val="clear" w:color="auto" w:fill="FFFFFF"/>
            <w:vAlign w:val="center"/>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1</w:t>
            </w:r>
            <w:r>
              <w:rPr>
                <w:rFonts w:ascii="Calibri" w:eastAsia="Calibri" w:hAnsi="Calibri" w:cs="Calibri"/>
                <w:color w:val="000000"/>
                <w:sz w:val="16"/>
                <w:szCs w:val="16"/>
              </w:rPr>
              <w:t> </w:t>
            </w:r>
          </w:p>
        </w:tc>
        <w:tc>
          <w:tcPr>
            <w:tcW w:w="1620" w:type="dxa"/>
            <w:tcBorders>
              <w:top w:val="nil"/>
              <w:left w:val="nil"/>
              <w:bottom w:val="single" w:sz="4" w:space="0" w:color="000000"/>
              <w:right w:val="single" w:sz="4" w:space="0" w:color="000000"/>
            </w:tcBorders>
            <w:shd w:val="clear" w:color="auto" w:fill="FFFFFF"/>
            <w:vAlign w:val="center"/>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 </w:t>
            </w:r>
          </w:p>
        </w:tc>
        <w:tc>
          <w:tcPr>
            <w:tcW w:w="1440" w:type="dxa"/>
            <w:tcBorders>
              <w:top w:val="nil"/>
              <w:left w:val="nil"/>
              <w:bottom w:val="single" w:sz="4" w:space="0" w:color="000000"/>
              <w:right w:val="single" w:sz="4" w:space="0" w:color="000000"/>
            </w:tcBorders>
            <w:shd w:val="clear" w:color="auto" w:fill="FFFFFF"/>
            <w:vAlign w:val="center"/>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$10</w:t>
            </w:r>
            <w:r>
              <w:rPr>
                <w:rFonts w:ascii="Calibri" w:eastAsia="Calibri" w:hAnsi="Calibri" w:cs="Calibri"/>
                <w:color w:val="000000"/>
                <w:sz w:val="16"/>
                <w:szCs w:val="16"/>
              </w:rPr>
              <w:t> </w:t>
            </w:r>
          </w:p>
        </w:tc>
        <w:tc>
          <w:tcPr>
            <w:tcW w:w="1530" w:type="dxa"/>
            <w:tcBorders>
              <w:top w:val="nil"/>
              <w:left w:val="nil"/>
              <w:bottom w:val="single" w:sz="4" w:space="0" w:color="000000"/>
              <w:right w:val="single" w:sz="8" w:space="0" w:color="000000"/>
            </w:tcBorders>
            <w:shd w:val="clear" w:color="auto" w:fill="FFFFFF"/>
            <w:vAlign w:val="center"/>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$50</w:t>
            </w:r>
            <w:r>
              <w:rPr>
                <w:rFonts w:ascii="Calibri" w:eastAsia="Calibri" w:hAnsi="Calibri" w:cs="Calibri"/>
                <w:color w:val="000000"/>
                <w:sz w:val="16"/>
                <w:szCs w:val="16"/>
              </w:rPr>
              <w:t> </w:t>
            </w:r>
          </w:p>
        </w:tc>
      </w:tr>
      <w:tr>
        <w:tblPrEx>
          <w:tblW w:w="10275" w:type="dxa"/>
          <w:tblInd w:w="-140" w:type="dxa"/>
          <w:tblLayout w:type="fixed"/>
          <w:tblLook w:val="0400"/>
        </w:tblPrEx>
        <w:trPr>
          <w:trHeight w:val="315"/>
        </w:trPr>
        <w:tc>
          <w:tcPr>
            <w:tcW w:w="2791"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30293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441" w:type="dxa"/>
            <w:tcBorders>
              <w:top w:val="single" w:sz="8" w:space="0" w:color="000000"/>
              <w:left w:val="nil"/>
              <w:bottom w:val="single" w:sz="8" w:space="0" w:color="000000"/>
              <w:right w:val="single" w:sz="4" w:space="0" w:color="000000"/>
            </w:tcBorders>
            <w:shd w:val="clear" w:color="auto" w:fill="DDEBF7"/>
            <w:vAlign w:val="center"/>
          </w:tcPr>
          <w:p w:rsidR="0030293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453" w:type="dxa"/>
            <w:tcBorders>
              <w:top w:val="single" w:sz="8" w:space="0" w:color="000000"/>
              <w:left w:val="nil"/>
              <w:bottom w:val="single" w:sz="8" w:space="0" w:color="000000"/>
              <w:right w:val="single" w:sz="4" w:space="0" w:color="000000"/>
            </w:tcBorders>
            <w:shd w:val="clear" w:color="auto" w:fill="DDEBF7"/>
            <w:vAlign w:val="center"/>
          </w:tcPr>
          <w:p w:rsidR="0030293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620" w:type="dxa"/>
            <w:tcBorders>
              <w:top w:val="single" w:sz="8" w:space="0" w:color="000000"/>
              <w:left w:val="nil"/>
              <w:bottom w:val="single" w:sz="8" w:space="0" w:color="000000"/>
              <w:right w:val="single" w:sz="4" w:space="0" w:color="000000"/>
            </w:tcBorders>
            <w:shd w:val="clear" w:color="auto" w:fill="DDEBF7"/>
            <w:vAlign w:val="center"/>
          </w:tcPr>
          <w:p w:rsidR="0030293C">
            <w:pPr>
              <w:widowControl/>
              <w:jc w:val="center"/>
              <w:rPr>
                <w:rFonts w:ascii="Calibri" w:eastAsia="Calibri" w:hAnsi="Calibri" w:cs="Calibri"/>
                <w:b/>
                <w:color w:val="000000"/>
                <w:sz w:val="16"/>
                <w:szCs w:val="16"/>
              </w:rPr>
            </w:pPr>
            <w:r>
              <w:rPr>
                <w:rFonts w:ascii="Calibri" w:eastAsia="Calibri" w:hAnsi="Calibri" w:cs="Calibri"/>
                <w:b/>
                <w:sz w:val="16"/>
                <w:szCs w:val="16"/>
              </w:rPr>
              <w:t>5</w:t>
            </w:r>
            <w:r>
              <w:rPr>
                <w:rFonts w:ascii="Calibri" w:eastAsia="Calibri" w:hAnsi="Calibri" w:cs="Calibri"/>
                <w:b/>
                <w:color w:val="000000"/>
                <w:sz w:val="16"/>
                <w:szCs w:val="16"/>
              </w:rPr>
              <w:t xml:space="preserve">   </w:t>
            </w: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30293C">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DDEBF7"/>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$50</w:t>
            </w:r>
          </w:p>
        </w:tc>
      </w:tr>
    </w:tbl>
    <w:p w:rsidR="0030293C">
      <w:pPr>
        <w:pBdr>
          <w:top w:val="nil"/>
          <w:left w:val="nil"/>
          <w:bottom w:val="nil"/>
          <w:right w:val="nil"/>
          <w:between w:val="nil"/>
        </w:pBdr>
        <w:spacing w:before="7"/>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0293C">
      <w:pPr>
        <w:spacing w:before="240" w:after="240"/>
      </w:pPr>
      <w:r>
        <w:t>The estimated annual cost to the Federal government to process community development plan proposals is based on the FY24 PPS Standard Pay Tables and the percentage of time taken by the relevant staff to process applications and any appeals. Loaded Salary/Costs are midpoints of the salary range.</w:t>
      </w:r>
    </w:p>
    <w:p w:rsidR="0030293C">
      <w:pPr>
        <w:pBdr>
          <w:top w:val="nil"/>
          <w:left w:val="nil"/>
          <w:bottom w:val="nil"/>
          <w:right w:val="nil"/>
          <w:between w:val="nil"/>
        </w:pBdr>
        <w:spacing w:before="9" w:after="1"/>
      </w:pPr>
    </w:p>
    <w:tbl>
      <w:tblPr>
        <w:tblStyle w:val="af"/>
        <w:tblW w:w="8240" w:type="dxa"/>
        <w:tblInd w:w="-140" w:type="dxa"/>
        <w:tblLayout w:type="fixed"/>
        <w:tblLook w:val="0400"/>
      </w:tblPr>
      <w:tblGrid>
        <w:gridCol w:w="2280"/>
        <w:gridCol w:w="1120"/>
        <w:gridCol w:w="1140"/>
        <w:gridCol w:w="1120"/>
        <w:gridCol w:w="1280"/>
        <w:gridCol w:w="1300"/>
      </w:tblGrid>
      <w:tr>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30293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30293C">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30293C">
            <w:pPr>
              <w:widowControl/>
              <w:rPr>
                <w:rFonts w:ascii="Calibri" w:eastAsia="Calibri" w:hAnsi="Calibri" w:cs="Calibri"/>
                <w:color w:val="000000"/>
                <w:sz w:val="16"/>
                <w:szCs w:val="16"/>
              </w:rPr>
            </w:pPr>
          </w:p>
        </w:tc>
        <w:tc>
          <w:tcPr>
            <w:tcW w:w="1140" w:type="dxa"/>
            <w:tcBorders>
              <w:top w:val="single" w:sz="4" w:space="0" w:color="000000"/>
              <w:left w:val="nil"/>
              <w:bottom w:val="single" w:sz="4" w:space="0" w:color="000000"/>
              <w:right w:val="single" w:sz="4" w:space="0" w:color="000000"/>
            </w:tcBorders>
            <w:shd w:val="clear" w:color="auto" w:fill="auto"/>
            <w:vAlign w:val="bottom"/>
          </w:tcPr>
          <w:p w:rsidR="0030293C">
            <w:pPr>
              <w:widowControl/>
              <w:rPr>
                <w:rFonts w:ascii="Calibri" w:eastAsia="Calibri" w:hAnsi="Calibri" w:cs="Calibri"/>
                <w:color w:val="000000"/>
                <w:sz w:val="16"/>
                <w:szCs w:val="16"/>
              </w:rPr>
            </w:pPr>
          </w:p>
        </w:tc>
        <w:tc>
          <w:tcPr>
            <w:tcW w:w="1120" w:type="dxa"/>
            <w:tcBorders>
              <w:top w:val="single" w:sz="4" w:space="0" w:color="000000"/>
              <w:left w:val="nil"/>
              <w:bottom w:val="single" w:sz="4" w:space="0" w:color="000000"/>
              <w:right w:val="single" w:sz="4" w:space="0" w:color="000000"/>
            </w:tcBorders>
            <w:shd w:val="clear" w:color="auto" w:fill="auto"/>
            <w:vAlign w:val="bottom"/>
          </w:tcPr>
          <w:p w:rsidR="0030293C">
            <w:pPr>
              <w:widowControl/>
              <w:rPr>
                <w:rFonts w:ascii="Calibri" w:eastAsia="Calibri" w:hAnsi="Calibri" w:cs="Calibri"/>
                <w:color w:val="000000"/>
                <w:sz w:val="16"/>
                <w:szCs w:val="16"/>
              </w:rPr>
            </w:pP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30293C">
            <w:pPr>
              <w:widowControl/>
              <w:rPr>
                <w:rFonts w:ascii="Calibri" w:eastAsia="Calibri" w:hAnsi="Calibri" w:cs="Calibri"/>
                <w:color w:val="000000"/>
                <w:sz w:val="16"/>
                <w:szCs w:val="16"/>
              </w:rPr>
            </w:pPr>
          </w:p>
        </w:tc>
        <w:tc>
          <w:tcPr>
            <w:tcW w:w="1300" w:type="dxa"/>
            <w:tcBorders>
              <w:top w:val="single" w:sz="4" w:space="0" w:color="000000"/>
              <w:left w:val="nil"/>
              <w:bottom w:val="single" w:sz="4" w:space="0" w:color="000000"/>
              <w:right w:val="single" w:sz="8" w:space="0" w:color="000000"/>
            </w:tcBorders>
            <w:shd w:val="clear" w:color="auto" w:fill="auto"/>
            <w:vAlign w:val="bottom"/>
          </w:tcPr>
          <w:p w:rsidR="0030293C">
            <w:pPr>
              <w:widowControl/>
              <w:rPr>
                <w:rFonts w:ascii="Calibri" w:eastAsia="Calibri" w:hAnsi="Calibri" w:cs="Calibri"/>
                <w:color w:val="000000"/>
                <w:sz w:val="16"/>
                <w:szCs w:val="16"/>
              </w:rPr>
            </w:pP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sz w:val="16"/>
                <w:szCs w:val="16"/>
              </w:rPr>
            </w:pPr>
            <w:r>
              <w:rPr>
                <w:rFonts w:ascii="Calibri" w:eastAsia="Calibri" w:hAnsi="Calibri" w:cs="Calibri"/>
                <w:sz w:val="16"/>
                <w:szCs w:val="16"/>
              </w:rPr>
              <w:t> ZA03-02</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sz w:val="16"/>
                <w:szCs w:val="16"/>
              </w:rPr>
            </w:pPr>
            <w:r>
              <w:rPr>
                <w:rFonts w:ascii="Calibri" w:eastAsia="Calibri" w:hAnsi="Calibri" w:cs="Calibri"/>
                <w:sz w:val="16"/>
                <w:szCs w:val="16"/>
              </w:rPr>
              <w:t> $101,440</w:t>
            </w:r>
          </w:p>
        </w:tc>
        <w:tc>
          <w:tcPr>
            <w:tcW w:w="112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sz w:val="16"/>
                <w:szCs w:val="16"/>
              </w:rPr>
              <w:t>2</w:t>
            </w:r>
          </w:p>
        </w:tc>
        <w:tc>
          <w:tcPr>
            <w:tcW w:w="128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2029</w:t>
            </w:r>
          </w:p>
        </w:tc>
      </w:tr>
      <w:tr>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30293C">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0</w:t>
            </w:r>
          </w:p>
        </w:tc>
        <w:tc>
          <w:tcPr>
            <w:tcW w:w="112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1280" w:type="dxa"/>
            <w:tcBorders>
              <w:top w:val="nil"/>
              <w:left w:val="nil"/>
              <w:bottom w:val="single" w:sz="4" w:space="0" w:color="000000"/>
              <w:right w:val="single" w:sz="4"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0293C">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r>
      <w:tr>
        <w:tblPrEx>
          <w:tblW w:w="824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30293C">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0293C">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r>
      <w:tr>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30293C">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30293C">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2029</w:t>
            </w:r>
          </w:p>
        </w:tc>
      </w:tr>
    </w:tbl>
    <w:p w:rsidR="0030293C">
      <w:pPr>
        <w:pBdr>
          <w:top w:val="nil"/>
          <w:left w:val="nil"/>
          <w:bottom w:val="nil"/>
          <w:right w:val="nil"/>
          <w:between w:val="nil"/>
        </w:pBdr>
        <w:spacing w:before="9" w:after="1"/>
        <w:rPr>
          <w:b/>
          <w:color w:val="000000"/>
        </w:rPr>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30293C">
      <w:pPr>
        <w:spacing w:before="161"/>
      </w:pPr>
      <w:r>
        <w:t xml:space="preserve">There </w:t>
      </w:r>
      <w:r w:rsidR="006514B7">
        <w:t>was a 5-dollar difference from the cost burden per respondent. Last renewal the cost was estimated at $15 this year the cost has decreased to $10 due to the change in postage requirements and respondents who submit proposals</w:t>
      </w:r>
      <w:bookmarkStart w:id="1" w:name="_GoBack"/>
      <w:bookmarkEnd w:id="1"/>
      <w:r w:rsidR="006514B7">
        <w:t xml:space="preserve"> via email. </w:t>
      </w:r>
    </w:p>
    <w:p w:rsidR="0030293C">
      <w:pPr>
        <w:pBdr>
          <w:top w:val="nil"/>
          <w:left w:val="nil"/>
          <w:bottom w:val="nil"/>
          <w:right w:val="nil"/>
          <w:between w:val="nil"/>
        </w:pBdr>
        <w:spacing w:before="7"/>
        <w:rPr>
          <w:b/>
        </w:rPr>
      </w:pPr>
    </w:p>
    <w:p w:rsidR="0030293C" w:rsidP="00427B4E">
      <w:pPr>
        <w:numPr>
          <w:ilvl w:val="0"/>
          <w:numId w:val="7"/>
        </w:numPr>
        <w:pBdr>
          <w:top w:val="nil"/>
          <w:left w:val="nil"/>
          <w:bottom w:val="nil"/>
          <w:right w:val="nil"/>
          <w:between w:val="nil"/>
        </w:pBdr>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0293C">
      <w:pPr>
        <w:spacing w:before="240" w:after="240"/>
      </w:pPr>
      <w:r>
        <w:t>No formal scientific publications based on these collections are planned at this time.</w:t>
      </w:r>
    </w:p>
    <w:p w:rsidR="0030293C">
      <w:pPr>
        <w:spacing w:before="240" w:after="240"/>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30293C">
      <w:pPr>
        <w:spacing w:before="240" w:after="240"/>
      </w:pPr>
      <w:r>
        <w:t>No forms, not applicable.</w:t>
      </w:r>
    </w:p>
    <w:p w:rsidR="0030293C">
      <w:pPr>
        <w:spacing w:before="240" w:after="240"/>
      </w:pPr>
    </w:p>
    <w:p w:rsidR="0030293C">
      <w:pPr>
        <w:numPr>
          <w:ilvl w:val="0"/>
          <w:numId w:val="7"/>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30293C">
      <w:pPr>
        <w:spacing w:before="124"/>
      </w:pPr>
      <w:bookmarkStart w:id="2" w:name="_heading=h.qmam4uz10l1t" w:colFirst="0" w:colLast="0"/>
      <w:bookmarkEnd w:id="2"/>
      <w:r>
        <w:t>Certification Statement for Paperwork Reduction Act Submissions</w:t>
      </w:r>
    </w:p>
    <w:p w:rsidR="0030293C">
      <w:pPr>
        <w:spacing w:before="182" w:line="259" w:lineRule="auto"/>
      </w:pPr>
      <w:r>
        <w:t>On behalf of this Federal agency, I certify that the collection of information encompassed by this request complies with 5 CFR 1320.9 and the related provisions of 5 CFR 1320.8(b</w:t>
      </w:r>
      <w:r>
        <w:t>)(</w:t>
      </w:r>
      <w:r>
        <w:t>3).</w:t>
      </w:r>
    </w:p>
    <w:p w:rsidR="0030293C">
      <w:pPr>
        <w:spacing w:before="221" w:line="259" w:lineRule="auto"/>
        <w:jc w:val="both"/>
      </w:pPr>
    </w:p>
    <w:p w:rsidR="0030293C">
      <w:pPr>
        <w:spacing w:before="221" w:line="259" w:lineRule="auto"/>
        <w:jc w:val="both"/>
      </w:pPr>
      <w:bookmarkStart w:id="3" w:name="_heading=h.x6qroql6rh5a" w:colFirst="0" w:colLast="0"/>
      <w:bookmarkEnd w:id="3"/>
    </w:p>
    <w:p w:rsidR="0030293C">
      <w:pPr>
        <w:spacing w:before="221" w:line="259" w:lineRule="auto"/>
        <w:jc w:val="both"/>
        <w:rPr>
          <w:color w:val="1F497D"/>
        </w:rPr>
      </w:pPr>
      <w:bookmarkStart w:id="4" w:name="_heading=h.gjdgxs" w:colFirst="0" w:colLast="0"/>
      <w:bookmarkStart w:id="5" w:name="_heading=h.j5t9p99beuy" w:colFirst="0" w:colLast="0"/>
      <w:bookmarkEnd w:id="4"/>
      <w:bookmarkEnd w:id="5"/>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293C">
    <w:pPr>
      <w:pBdr>
        <w:top w:val="nil"/>
        <w:left w:val="nil"/>
        <w:bottom w:val="nil"/>
        <w:right w:val="nil"/>
        <w:between w:val="nil"/>
      </w:pBdr>
      <w:spacing w:line="14" w:lineRule="auto"/>
      <w:rPr>
        <w:color w:val="000000"/>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29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F1D32"/>
    <w:multiLevelType w:val="multilevel"/>
    <w:tmpl w:val="7270D7A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0B10058C"/>
    <w:multiLevelType w:val="multilevel"/>
    <w:tmpl w:val="DDD48B6C"/>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6D475EE"/>
    <w:multiLevelType w:val="multilevel"/>
    <w:tmpl w:val="D65C2F44"/>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2F2012EB"/>
    <w:multiLevelType w:val="multilevel"/>
    <w:tmpl w:val="F1EC9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3053F7F"/>
    <w:multiLevelType w:val="multilevel"/>
    <w:tmpl w:val="52AE604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544D538F"/>
    <w:multiLevelType w:val="multilevel"/>
    <w:tmpl w:val="B1AEDC4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5E2614E0"/>
    <w:multiLevelType w:val="multilevel"/>
    <w:tmpl w:val="F7982DEC"/>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EE674BD"/>
    <w:multiLevelType w:val="multilevel"/>
    <w:tmpl w:val="103C1726"/>
    <w:lvl w:ilvl="0">
      <w:start w:val="1"/>
      <w:numFmt w:val="lowerLetter"/>
      <w:lvlText w:val="(%1)"/>
      <w:lvlJc w:val="left"/>
      <w:pPr>
        <w:ind w:left="1839" w:hanging="720"/>
      </w:pPr>
      <w:rPr>
        <w:rFonts w:ascii="Arial" w:eastAsia="Arial" w:hAnsi="Arial" w:cs="Arial"/>
        <w:color w:val="000000" w:themeColor="text1"/>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nsid w:val="61536E7E"/>
    <w:multiLevelType w:val="multilevel"/>
    <w:tmpl w:val="6408FB6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68845884"/>
    <w:multiLevelType w:val="multilevel"/>
    <w:tmpl w:val="12EEA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6"/>
  </w:num>
  <w:num w:numId="3">
    <w:abstractNumId w:val="2"/>
  </w:num>
  <w:num w:numId="4">
    <w:abstractNumId w:val="7"/>
  </w:num>
  <w:num w:numId="5">
    <w:abstractNumId w:val="9"/>
  </w:num>
  <w:num w:numId="6">
    <w:abstractNumId w:val="8"/>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3C"/>
    <w:rsid w:val="00004B2E"/>
    <w:rsid w:val="001010F9"/>
    <w:rsid w:val="0030293C"/>
    <w:rsid w:val="00321927"/>
    <w:rsid w:val="00427B4E"/>
    <w:rsid w:val="006514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22C5A"/>
  <w15:docId w15:val="{2B12833C-9867-4FD6-96F7-5F532D6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66FD6"/>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66FD6"/>
    <w:rPr>
      <w:rFonts w:ascii="Arial" w:eastAsia="Arial" w:hAnsi="Arial" w:cs="Arial"/>
      <w:b/>
      <w:bCs/>
      <w:color w:val="2E5395"/>
      <w:sz w:val="20"/>
      <w:szCs w:val="20"/>
    </w:rPr>
  </w:style>
  <w:style w:type="paragraph" w:customStyle="1" w:styleId="CM21">
    <w:name w:val="CM21"/>
    <w:basedOn w:val="Normal"/>
    <w:next w:val="Normal"/>
    <w:rsid w:val="00C274F5"/>
    <w:pPr>
      <w:autoSpaceDE w:val="0"/>
      <w:autoSpaceDN w:val="0"/>
      <w:adjustRightInd w:val="0"/>
      <w:spacing w:after="283"/>
    </w:p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tblPr>
      <w:tblStyleRowBandSize w:val="1"/>
      <w:tblStyleColBandSize w:val="1"/>
      <w:tblCellMar>
        <w:left w:w="115" w:type="dxa"/>
        <w:right w:w="115" w:type="dxa"/>
      </w:tblCellMar>
    </w:tblPr>
  </w:style>
  <w:style w:type="table" w:customStyle="1" w:styleId="ae">
    <w:name w:val="ae"/>
    <w:basedOn w:val="TableNormal"/>
    <w:tblPr>
      <w:tblStyleRowBandSize w:val="1"/>
      <w:tblStyleColBandSize w:val="1"/>
      <w:tblCellMar>
        <w:left w:w="115" w:type="dxa"/>
        <w:right w:w="115" w:type="dxa"/>
      </w:tblCellMar>
    </w:tblPr>
  </w:style>
  <w:style w:type="table" w:customStyle="1" w:styleId="af">
    <w:name w:val="af"/>
    <w:basedOn w:val="TableNormal"/>
    <w:tblPr>
      <w:tblStyleRowBandSize w:val="1"/>
      <w:tblStyleColBandSize w:val="1"/>
      <w:tblCellMar>
        <w:left w:w="115" w:type="dxa"/>
        <w:right w:w="115" w:type="dxa"/>
      </w:tblCellMar>
    </w:tblPr>
  </w:style>
  <w:style w:type="table" w:customStyle="1" w:styleId="af0">
    <w:name w:val="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aa.gov/organization/administration/nao-216-100-protection-of-confidential-fisheries-statistic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www.bls.gov/oes/current/oes_hi.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topic/laws-policies" TargetMode="External" /><Relationship Id="rId6" Type="http://schemas.openxmlformats.org/officeDocument/2006/relationships/hyperlink" Target="https://www.ecfr.gov/current/title-50/chapter-VI/part-665/subpart-A/section-665.20" TargetMode="External" /><Relationship Id="rId7" Type="http://schemas.openxmlformats.org/officeDocument/2006/relationships/hyperlink" Target="https://www.fws.gov/informationquality/section515.html" TargetMode="External" /><Relationship Id="rId8" Type="http://schemas.openxmlformats.org/officeDocument/2006/relationships/hyperlink" Target="https://www.ecfr.gov/cgi-bin/text-idx?c=ecfr&amp;SID=3d4b09128abc1f61687e146ba1b9d4fd&amp;rgn=div8&amp;view=text&amp;node=50:13.0.1.1.2.1.1.14&amp;idno=50" TargetMode="External" /><Relationship Id="rId9" Type="http://schemas.openxmlformats.org/officeDocument/2006/relationships/hyperlink" Target="https://www.wpcouncil.org/western-pacific-community-development-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Z3StjphirpyL3mK3MFDWTwzg7Q==">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NOAA NMFS</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4</cp:revision>
  <dcterms:created xsi:type="dcterms:W3CDTF">2024-08-08T00:41:00Z</dcterms:created>
  <dcterms:modified xsi:type="dcterms:W3CDTF">2024-08-14T20:12:00Z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