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D165D" w:rsidRPr="000F0022" w:rsidP="000F0022" w14:paraId="7A2CAA95" w14:textId="41C61BA2">
      <w:pPr>
        <w:pStyle w:val="NoSpacing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F0022">
        <w:rPr>
          <w:rFonts w:ascii="Arial" w:hAnsi="Arial" w:cs="Arial"/>
          <w:b/>
          <w:sz w:val="24"/>
          <w:szCs w:val="24"/>
        </w:rPr>
        <w:t>JUSTIFI</w:t>
      </w:r>
      <w:r w:rsidR="000D727B">
        <w:rPr>
          <w:rFonts w:ascii="Arial" w:hAnsi="Arial" w:cs="Arial"/>
          <w:b/>
          <w:sz w:val="24"/>
          <w:szCs w:val="24"/>
        </w:rPr>
        <w:t>C</w:t>
      </w:r>
      <w:r w:rsidRPr="000F0022">
        <w:rPr>
          <w:rFonts w:ascii="Arial" w:hAnsi="Arial" w:cs="Arial"/>
          <w:b/>
          <w:sz w:val="24"/>
          <w:szCs w:val="24"/>
        </w:rPr>
        <w:t>ATION FOR NONMATERIAL/NONSUBSTANTIVE CHANGE</w:t>
      </w:r>
    </w:p>
    <w:p w:rsidR="00ED165D" w:rsidRPr="000F0022" w:rsidP="000F0022" w14:paraId="1E9914D6" w14:textId="77777777">
      <w:pPr>
        <w:pStyle w:val="NoSpacing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F0022">
        <w:rPr>
          <w:rFonts w:ascii="Arial" w:hAnsi="Arial" w:cs="Arial"/>
          <w:b/>
          <w:sz w:val="24"/>
          <w:szCs w:val="24"/>
        </w:rPr>
        <w:t>Patent Review and Derivation Proceedings</w:t>
      </w:r>
    </w:p>
    <w:p w:rsidR="00ED165D" w:rsidRPr="000F0022" w:rsidP="000F0022" w14:paraId="71C10F36" w14:textId="77777777">
      <w:pPr>
        <w:pStyle w:val="NoSpacing"/>
        <w:contextualSpacing/>
        <w:jc w:val="center"/>
        <w:rPr>
          <w:rFonts w:ascii="Arial" w:hAnsi="Arial" w:cs="Arial"/>
          <w:sz w:val="24"/>
          <w:szCs w:val="24"/>
        </w:rPr>
      </w:pPr>
      <w:r w:rsidRPr="000F0022">
        <w:rPr>
          <w:rFonts w:ascii="Arial" w:hAnsi="Arial" w:cs="Arial"/>
          <w:b/>
          <w:sz w:val="24"/>
          <w:szCs w:val="24"/>
        </w:rPr>
        <w:t>OMB Control Number 0651-0069</w:t>
      </w:r>
    </w:p>
    <w:p w:rsidR="00ED165D" w:rsidRPr="000F0022" w:rsidP="000F0022" w14:paraId="167170AC" w14:textId="77777777">
      <w:pPr>
        <w:pStyle w:val="NoSpacing"/>
        <w:contextualSpacing/>
        <w:jc w:val="both"/>
        <w:rPr>
          <w:rFonts w:ascii="Arial" w:hAnsi="Arial" w:cs="Arial"/>
          <w:sz w:val="24"/>
          <w:szCs w:val="24"/>
        </w:rPr>
      </w:pPr>
    </w:p>
    <w:p w:rsidR="00ED165D" w:rsidRPr="000F0022" w:rsidP="000F0022" w14:paraId="18FC3940" w14:textId="77777777">
      <w:pPr>
        <w:pStyle w:val="NoSpacing"/>
        <w:contextualSpacing/>
        <w:jc w:val="both"/>
        <w:rPr>
          <w:rFonts w:ascii="Arial" w:hAnsi="Arial" w:cs="Arial"/>
          <w:sz w:val="24"/>
          <w:szCs w:val="24"/>
        </w:rPr>
      </w:pPr>
      <w:r w:rsidRPr="000F0022">
        <w:rPr>
          <w:rFonts w:ascii="Arial" w:hAnsi="Arial" w:cs="Arial"/>
          <w:sz w:val="24"/>
          <w:szCs w:val="24"/>
          <w:u w:val="single"/>
        </w:rPr>
        <w:t>Background</w:t>
      </w:r>
    </w:p>
    <w:p w:rsidR="00ED165D" w:rsidRPr="000F0022" w:rsidP="000F0022" w14:paraId="1F2CF9A9" w14:textId="77777777">
      <w:pPr>
        <w:pStyle w:val="NoSpacing"/>
        <w:contextualSpacing/>
        <w:jc w:val="both"/>
        <w:rPr>
          <w:rFonts w:ascii="Arial" w:hAnsi="Arial" w:cs="Arial"/>
          <w:sz w:val="24"/>
          <w:szCs w:val="24"/>
        </w:rPr>
      </w:pPr>
    </w:p>
    <w:p w:rsidR="00BC6C7F" w:rsidRPr="000F0022" w:rsidP="000F0022" w14:paraId="6991C429" w14:textId="4170137E">
      <w:pPr>
        <w:pStyle w:val="NoSpacing"/>
        <w:contextualSpacing/>
        <w:jc w:val="both"/>
        <w:rPr>
          <w:rFonts w:ascii="Arial" w:hAnsi="Arial" w:cs="Arial"/>
          <w:sz w:val="24"/>
          <w:szCs w:val="24"/>
        </w:rPr>
      </w:pPr>
      <w:r w:rsidRPr="002926DF">
        <w:rPr>
          <w:rFonts w:ascii="Arial" w:hAnsi="Arial" w:cs="Arial"/>
          <w:sz w:val="24"/>
          <w:szCs w:val="24"/>
        </w:rPr>
        <w:t>The Leahy-Smith America Invents Act, which was enacted into law on September 16, 2011, provided for many changes to the procedures of the Patent Trial and Appeal Board (</w:t>
      </w:r>
      <w:r w:rsidRPr="002926DF">
        <w:rPr>
          <w:rFonts w:ascii="Arial" w:hAnsi="Arial" w:cs="Arial"/>
          <w:sz w:val="24"/>
          <w:szCs w:val="24"/>
        </w:rPr>
        <w:t>PTAB</w:t>
      </w:r>
      <w:r w:rsidRPr="002926DF">
        <w:rPr>
          <w:rFonts w:ascii="Arial" w:hAnsi="Arial" w:cs="Arial"/>
          <w:sz w:val="24"/>
          <w:szCs w:val="24"/>
        </w:rPr>
        <w:t xml:space="preserve"> or </w:t>
      </w:r>
      <w:r w:rsidRPr="002926DF">
        <w:rPr>
          <w:rFonts w:ascii="Arial" w:hAnsi="Arial" w:cs="Arial"/>
          <w:sz w:val="24"/>
          <w:szCs w:val="24"/>
        </w:rPr>
        <w:t>Board,</w:t>
      </w:r>
      <w:r w:rsidRPr="002926DF">
        <w:rPr>
          <w:rFonts w:ascii="Arial" w:hAnsi="Arial" w:cs="Arial"/>
          <w:sz w:val="24"/>
          <w:szCs w:val="24"/>
        </w:rPr>
        <w:t xml:space="preserve"> formerly the Board of Patent Appeals and Interferences) procedures. </w:t>
      </w:r>
      <w:r w:rsidRPr="000F0022">
        <w:rPr>
          <w:rFonts w:ascii="Arial" w:hAnsi="Arial" w:cs="Arial"/>
          <w:sz w:val="24"/>
          <w:szCs w:val="24"/>
        </w:rPr>
        <w:t xml:space="preserve"> These changes included the introduction of inter partes review, post-grant review, derivation proceedings, and the transitional program for covered business method patents. Under these administrative trial proceedings, third parties may file a petition wi</w:t>
      </w:r>
      <w:r w:rsidRPr="000F0022">
        <w:rPr>
          <w:rFonts w:ascii="Arial" w:hAnsi="Arial" w:cs="Arial"/>
          <w:sz w:val="24"/>
          <w:szCs w:val="24"/>
        </w:rPr>
        <w:t>th the PTAB challenging the validity of issued patents, with each proceeding having different requirements regarding timing restrictions, grounds for challenging validity, and who may request review.</w:t>
      </w:r>
    </w:p>
    <w:p w:rsidR="00BC6C7F" w:rsidRPr="000F0022" w:rsidP="000F0022" w14:paraId="25EBF037" w14:textId="676B2A12">
      <w:pPr>
        <w:pStyle w:val="NoSpacing"/>
        <w:contextualSpacing/>
        <w:jc w:val="both"/>
        <w:rPr>
          <w:rFonts w:ascii="Arial" w:hAnsi="Arial" w:cs="Arial"/>
          <w:sz w:val="24"/>
          <w:szCs w:val="24"/>
        </w:rPr>
      </w:pPr>
    </w:p>
    <w:p w:rsidR="00BC6C7F" w:rsidRPr="000F0022" w:rsidP="000F0022" w14:paraId="04A171A8" w14:textId="77777777">
      <w:pPr>
        <w:pStyle w:val="NoSpacing"/>
        <w:contextualSpacing/>
        <w:jc w:val="both"/>
        <w:rPr>
          <w:rFonts w:ascii="Arial" w:hAnsi="Arial" w:cs="Arial"/>
          <w:sz w:val="24"/>
          <w:szCs w:val="24"/>
        </w:rPr>
      </w:pPr>
      <w:r w:rsidRPr="002926DF">
        <w:rPr>
          <w:rFonts w:ascii="Arial" w:hAnsi="Arial" w:cs="Arial"/>
          <w:sz w:val="24"/>
          <w:szCs w:val="24"/>
        </w:rPr>
        <w:t>This information collection covers information submitte</w:t>
      </w:r>
      <w:r w:rsidRPr="002926DF">
        <w:rPr>
          <w:rFonts w:ascii="Arial" w:hAnsi="Arial" w:cs="Arial"/>
          <w:sz w:val="24"/>
          <w:szCs w:val="24"/>
        </w:rPr>
        <w:t>d by the public to petition the Board to initiate an inter partes review, post-grant review, derivation proceeding, and the transitional program for covered business method patents, as well as any responses to such petitions, and the filing of any motions,</w:t>
      </w:r>
      <w:r w:rsidRPr="000F0022">
        <w:rPr>
          <w:rFonts w:ascii="Arial" w:hAnsi="Arial" w:cs="Arial"/>
          <w:sz w:val="24"/>
          <w:szCs w:val="24"/>
        </w:rPr>
        <w:t xml:space="preserve"> replies, oppositions, and other actions, after a review/proceeding has been instituted.</w:t>
      </w:r>
    </w:p>
    <w:p w:rsidR="00BC6C7F" w:rsidRPr="000F0022" w:rsidP="000F0022" w14:paraId="1539E84E" w14:textId="77777777">
      <w:pPr>
        <w:pStyle w:val="NoSpacing"/>
        <w:contextualSpacing/>
        <w:jc w:val="both"/>
        <w:rPr>
          <w:rFonts w:ascii="Arial" w:hAnsi="Arial" w:cs="Arial"/>
          <w:sz w:val="24"/>
          <w:szCs w:val="24"/>
        </w:rPr>
      </w:pPr>
    </w:p>
    <w:p w:rsidR="00ED165D" w:rsidRPr="00E41F52" w:rsidP="00E41F52" w14:paraId="0D0029D0" w14:textId="1FC7DAD7">
      <w:pPr>
        <w:pStyle w:val="NoSpacing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2926DF">
        <w:rPr>
          <w:rFonts w:ascii="Arial" w:hAnsi="Arial" w:cs="Arial"/>
          <w:sz w:val="24"/>
          <w:szCs w:val="24"/>
        </w:rPr>
        <w:t xml:space="preserve">This request is to update </w:t>
      </w:r>
      <w:r w:rsidRPr="002926DF" w:rsidR="007E23A9">
        <w:rPr>
          <w:rFonts w:ascii="Arial" w:hAnsi="Arial" w:cs="Arial"/>
          <w:sz w:val="24"/>
          <w:szCs w:val="24"/>
        </w:rPr>
        <w:t>items in</w:t>
      </w:r>
      <w:r w:rsidRPr="00732CC2">
        <w:rPr>
          <w:rFonts w:ascii="Arial" w:hAnsi="Arial" w:cs="Arial"/>
          <w:sz w:val="24"/>
          <w:szCs w:val="24"/>
        </w:rPr>
        <w:t xml:space="preserve"> collection 0651-0069 (Patent Review and Derivation Proceedings) that are affected by the rulemaking </w:t>
      </w:r>
      <w:r w:rsidRPr="00E41F52" w:rsidR="00CD20B4">
        <w:rPr>
          <w:rFonts w:ascii="Arial" w:hAnsi="Arial" w:cs="Arial"/>
          <w:bCs/>
          <w:sz w:val="24"/>
          <w:szCs w:val="24"/>
        </w:rPr>
        <w:t>RIN 0651-</w:t>
      </w:r>
      <w:r w:rsidRPr="00E41F52" w:rsidR="00732CC2">
        <w:rPr>
          <w:rFonts w:ascii="Arial" w:hAnsi="Arial" w:cs="Arial"/>
          <w:bCs/>
          <w:sz w:val="24"/>
          <w:szCs w:val="24"/>
        </w:rPr>
        <w:t xml:space="preserve">AD75 </w:t>
      </w:r>
      <w:r w:rsidRPr="00E41F52" w:rsidR="00CD20B4">
        <w:rPr>
          <w:rFonts w:ascii="Arial" w:hAnsi="Arial" w:cs="Arial"/>
          <w:bCs/>
          <w:sz w:val="24"/>
          <w:szCs w:val="24"/>
        </w:rPr>
        <w:t>(</w:t>
      </w:r>
      <w:r w:rsidRPr="00E41F52" w:rsidR="00E41F52">
        <w:rPr>
          <w:rFonts w:ascii="Arial" w:hAnsi="Arial" w:cs="Arial"/>
          <w:bCs/>
          <w:sz w:val="24"/>
          <w:szCs w:val="24"/>
        </w:rPr>
        <w:t>Expanding Opportunities To Appear</w:t>
      </w:r>
      <w:r w:rsidR="00E41F52">
        <w:rPr>
          <w:rFonts w:ascii="Arial" w:hAnsi="Arial" w:cs="Arial"/>
          <w:bCs/>
          <w:sz w:val="24"/>
          <w:szCs w:val="24"/>
        </w:rPr>
        <w:t xml:space="preserve"> </w:t>
      </w:r>
      <w:r w:rsidRPr="00E41F52" w:rsidR="00E41F52">
        <w:rPr>
          <w:rFonts w:ascii="Arial" w:hAnsi="Arial" w:cs="Arial"/>
          <w:bCs/>
          <w:sz w:val="24"/>
          <w:szCs w:val="24"/>
        </w:rPr>
        <w:t>Before the Patent Trial and Appeal</w:t>
      </w:r>
      <w:r w:rsidR="00E41F52">
        <w:rPr>
          <w:rFonts w:ascii="Arial" w:hAnsi="Arial" w:cs="Arial"/>
          <w:bCs/>
          <w:sz w:val="24"/>
          <w:szCs w:val="24"/>
        </w:rPr>
        <w:t xml:space="preserve"> </w:t>
      </w:r>
      <w:r w:rsidRPr="00E41F52" w:rsidR="00E41F52">
        <w:rPr>
          <w:rFonts w:ascii="Arial" w:hAnsi="Arial" w:cs="Arial"/>
          <w:bCs/>
          <w:sz w:val="24"/>
          <w:szCs w:val="24"/>
        </w:rPr>
        <w:t>Board</w:t>
      </w:r>
      <w:r w:rsidRPr="00E41F52" w:rsidR="00142F63">
        <w:rPr>
          <w:rFonts w:ascii="Arial" w:hAnsi="Arial" w:cs="Arial"/>
          <w:bCs/>
          <w:sz w:val="24"/>
          <w:szCs w:val="24"/>
        </w:rPr>
        <w:t>)</w:t>
      </w:r>
      <w:r w:rsidRPr="00E41F52">
        <w:rPr>
          <w:rFonts w:ascii="Arial" w:hAnsi="Arial" w:cs="Arial"/>
          <w:bCs/>
          <w:sz w:val="24"/>
          <w:szCs w:val="24"/>
        </w:rPr>
        <w:t>.</w:t>
      </w:r>
      <w:r>
        <w:rPr>
          <w:rStyle w:val="FootnoteReference"/>
          <w:rFonts w:ascii="Arial" w:hAnsi="Arial" w:cs="Arial"/>
          <w:bCs/>
          <w:sz w:val="24"/>
          <w:szCs w:val="24"/>
        </w:rPr>
        <w:footnoteReference w:id="2"/>
      </w:r>
      <w:r w:rsidRPr="00E41F52">
        <w:rPr>
          <w:rFonts w:ascii="Arial" w:hAnsi="Arial" w:cs="Arial"/>
          <w:bCs/>
          <w:sz w:val="24"/>
          <w:szCs w:val="24"/>
        </w:rPr>
        <w:t xml:space="preserve"> </w:t>
      </w:r>
      <w:r w:rsidR="00E41F52">
        <w:rPr>
          <w:rFonts w:ascii="Arial" w:hAnsi="Arial" w:cs="Arial"/>
          <w:bCs/>
          <w:sz w:val="24"/>
          <w:szCs w:val="24"/>
        </w:rPr>
        <w:t xml:space="preserve">One item is </w:t>
      </w:r>
      <w:r w:rsidRPr="00E41F52" w:rsidR="00694421">
        <w:rPr>
          <w:rFonts w:ascii="Arial" w:hAnsi="Arial" w:cs="Arial"/>
          <w:bCs/>
          <w:sz w:val="24"/>
          <w:szCs w:val="24"/>
        </w:rPr>
        <w:t>being adjusted</w:t>
      </w:r>
      <w:r w:rsidRPr="00732CC2" w:rsidR="00694421">
        <w:rPr>
          <w:rFonts w:ascii="Arial" w:hAnsi="Arial" w:cs="Arial"/>
          <w:sz w:val="24"/>
          <w:szCs w:val="24"/>
        </w:rPr>
        <w:t xml:space="preserve"> </w:t>
      </w:r>
      <w:r w:rsidR="00E41F52">
        <w:rPr>
          <w:rFonts w:ascii="Arial" w:hAnsi="Arial" w:cs="Arial"/>
          <w:sz w:val="24"/>
          <w:szCs w:val="24"/>
        </w:rPr>
        <w:t xml:space="preserve">and another is being created </w:t>
      </w:r>
      <w:r w:rsidRPr="00732CC2" w:rsidR="00694421">
        <w:rPr>
          <w:rFonts w:ascii="Arial" w:hAnsi="Arial" w:cs="Arial"/>
          <w:sz w:val="24"/>
          <w:szCs w:val="24"/>
        </w:rPr>
        <w:t>by this rulemaking</w:t>
      </w:r>
      <w:r w:rsidRPr="00732CC2">
        <w:rPr>
          <w:rFonts w:ascii="Arial" w:hAnsi="Arial" w:cs="Arial"/>
          <w:sz w:val="24"/>
          <w:szCs w:val="24"/>
        </w:rPr>
        <w:t>.</w:t>
      </w:r>
    </w:p>
    <w:p w:rsidR="00694421" w:rsidRPr="00732CC2" w:rsidP="000F0022" w14:paraId="5D8BF5B9" w14:textId="5D5EA3EE">
      <w:pPr>
        <w:pStyle w:val="NoSpacing"/>
        <w:contextualSpacing/>
        <w:jc w:val="both"/>
        <w:rPr>
          <w:rFonts w:ascii="Arial" w:hAnsi="Arial" w:cs="Arial"/>
          <w:sz w:val="24"/>
          <w:szCs w:val="24"/>
        </w:rPr>
      </w:pPr>
    </w:p>
    <w:p w:rsidR="00694421" w:rsidRPr="00732CC2" w:rsidP="000F0022" w14:paraId="7BA7571D" w14:textId="50638B72">
      <w:pPr>
        <w:pStyle w:val="NoSpacing"/>
        <w:contextualSpacing/>
        <w:jc w:val="both"/>
        <w:rPr>
          <w:rFonts w:ascii="Arial" w:hAnsi="Arial" w:cs="Arial"/>
          <w:sz w:val="24"/>
          <w:szCs w:val="24"/>
        </w:rPr>
      </w:pPr>
      <w:r w:rsidRPr="00732CC2">
        <w:rPr>
          <w:rFonts w:ascii="Arial" w:hAnsi="Arial" w:cs="Arial"/>
          <w:sz w:val="24"/>
          <w:szCs w:val="24"/>
        </w:rPr>
        <w:t>As part of its initiatives to expand access to practice before the U</w:t>
      </w:r>
      <w:r w:rsidR="00E41F52">
        <w:rPr>
          <w:rFonts w:ascii="Arial" w:hAnsi="Arial" w:cs="Arial"/>
          <w:sz w:val="24"/>
          <w:szCs w:val="24"/>
        </w:rPr>
        <w:t>nited States</w:t>
      </w:r>
      <w:r w:rsidRPr="00732CC2">
        <w:rPr>
          <w:rFonts w:ascii="Arial" w:hAnsi="Arial" w:cs="Arial"/>
          <w:sz w:val="24"/>
          <w:szCs w:val="24"/>
        </w:rPr>
        <w:t xml:space="preserve"> Patent and Trademark Office (USPTO), the USPTO </w:t>
      </w:r>
      <w:r w:rsidR="00925EE9">
        <w:rPr>
          <w:rFonts w:ascii="Arial" w:hAnsi="Arial" w:cs="Arial"/>
          <w:sz w:val="24"/>
          <w:szCs w:val="24"/>
        </w:rPr>
        <w:t>is</w:t>
      </w:r>
      <w:r w:rsidR="009B16FB">
        <w:rPr>
          <w:rFonts w:ascii="Arial" w:hAnsi="Arial" w:cs="Arial"/>
          <w:sz w:val="24"/>
          <w:szCs w:val="24"/>
        </w:rPr>
        <w:t xml:space="preserve"> </w:t>
      </w:r>
      <w:r w:rsidRPr="00732CC2">
        <w:rPr>
          <w:rFonts w:ascii="Arial" w:hAnsi="Arial" w:cs="Arial"/>
          <w:sz w:val="24"/>
          <w:szCs w:val="24"/>
        </w:rPr>
        <w:t>amend</w:t>
      </w:r>
      <w:r w:rsidR="009B16FB">
        <w:rPr>
          <w:rFonts w:ascii="Arial" w:hAnsi="Arial" w:cs="Arial"/>
          <w:sz w:val="24"/>
          <w:szCs w:val="24"/>
        </w:rPr>
        <w:t>ing</w:t>
      </w:r>
      <w:r w:rsidRPr="00732CC2">
        <w:rPr>
          <w:rFonts w:ascii="Arial" w:hAnsi="Arial" w:cs="Arial"/>
          <w:sz w:val="24"/>
          <w:szCs w:val="24"/>
        </w:rPr>
        <w:t xml:space="preserve"> the rules regarding admission to practice before t</w:t>
      </w:r>
      <w:r w:rsidRPr="00732CC2">
        <w:rPr>
          <w:rFonts w:ascii="Arial" w:hAnsi="Arial" w:cs="Arial"/>
          <w:sz w:val="24"/>
          <w:szCs w:val="24"/>
        </w:rPr>
        <w:t xml:space="preserve">he </w:t>
      </w:r>
      <w:r w:rsidRPr="00732CC2">
        <w:rPr>
          <w:rFonts w:ascii="Arial" w:hAnsi="Arial" w:cs="Arial"/>
          <w:sz w:val="24"/>
          <w:szCs w:val="24"/>
        </w:rPr>
        <w:t xml:space="preserve">Board </w:t>
      </w:r>
      <w:r w:rsidRPr="00732CC2">
        <w:rPr>
          <w:rFonts w:ascii="Arial" w:hAnsi="Arial" w:cs="Arial"/>
          <w:sz w:val="24"/>
          <w:szCs w:val="24"/>
        </w:rPr>
        <w:t>in proceedings under the Leahy-Smith America Invents Act (AIA proceedings) to excuse parties from the requirement to designate back-up counsel upon a showing of good cause such as a lack of resources to hire</w:t>
      </w:r>
      <w:r w:rsidRPr="00732CC2">
        <w:rPr>
          <w:rFonts w:ascii="Arial" w:hAnsi="Arial" w:cs="Arial"/>
          <w:sz w:val="24"/>
          <w:szCs w:val="24"/>
        </w:rPr>
        <w:t xml:space="preserve"> two counsel; establish a streamlined alternative procedure for recognizing counsel </w:t>
      </w:r>
      <w:r w:rsidRPr="002410A8">
        <w:rPr>
          <w:rFonts w:ascii="Arial" w:hAnsi="Arial" w:cs="Arial"/>
          <w:i/>
          <w:iCs/>
          <w:sz w:val="24"/>
          <w:szCs w:val="24"/>
        </w:rPr>
        <w:t>pro hac vice</w:t>
      </w:r>
      <w:r w:rsidRPr="00732CC2">
        <w:rPr>
          <w:rFonts w:ascii="Arial" w:hAnsi="Arial" w:cs="Arial"/>
          <w:sz w:val="24"/>
          <w:szCs w:val="24"/>
        </w:rPr>
        <w:t xml:space="preserve"> </w:t>
      </w:r>
      <w:r w:rsidR="00912C72">
        <w:rPr>
          <w:rFonts w:ascii="Arial" w:hAnsi="Arial" w:cs="Arial"/>
          <w:sz w:val="24"/>
          <w:szCs w:val="24"/>
        </w:rPr>
        <w:t xml:space="preserve">without paying a fee, </w:t>
      </w:r>
      <w:r w:rsidR="00CC0B0E">
        <w:rPr>
          <w:rFonts w:ascii="Arial" w:hAnsi="Arial" w:cs="Arial"/>
          <w:sz w:val="24"/>
          <w:szCs w:val="24"/>
        </w:rPr>
        <w:t>which</w:t>
      </w:r>
      <w:r w:rsidRPr="00732CC2">
        <w:rPr>
          <w:rFonts w:ascii="Arial" w:hAnsi="Arial" w:cs="Arial"/>
          <w:sz w:val="24"/>
          <w:szCs w:val="24"/>
        </w:rPr>
        <w:t xml:space="preserve"> is available when counsel has previously been recognized pro hac vice in a different PTAB proceeding; and clarify that those recognized </w:t>
      </w:r>
      <w:r w:rsidRPr="002410A8">
        <w:rPr>
          <w:rFonts w:ascii="Arial" w:hAnsi="Arial" w:cs="Arial"/>
          <w:i/>
          <w:iCs/>
          <w:sz w:val="24"/>
          <w:szCs w:val="24"/>
        </w:rPr>
        <w:t>pro hac vice</w:t>
      </w:r>
      <w:r w:rsidRPr="00732CC2">
        <w:rPr>
          <w:rFonts w:ascii="Arial" w:hAnsi="Arial" w:cs="Arial"/>
          <w:sz w:val="24"/>
          <w:szCs w:val="24"/>
        </w:rPr>
        <w:t xml:space="preserve"> have a duty to inform the Board of subsequent events that render inaccurate or incomplete representations </w:t>
      </w:r>
      <w:r w:rsidRPr="00732CC2">
        <w:rPr>
          <w:rFonts w:ascii="Arial" w:hAnsi="Arial" w:cs="Arial"/>
          <w:sz w:val="24"/>
          <w:szCs w:val="24"/>
        </w:rPr>
        <w:t>they made to obtain pro hac vice recognition.</w:t>
      </w:r>
    </w:p>
    <w:p w:rsidR="00694421" w:rsidRPr="00732CC2" w:rsidP="000F0022" w14:paraId="54457724" w14:textId="07F8956B">
      <w:pPr>
        <w:pStyle w:val="NoSpacing"/>
        <w:contextualSpacing/>
        <w:jc w:val="both"/>
        <w:rPr>
          <w:rFonts w:ascii="Arial" w:hAnsi="Arial" w:cs="Arial"/>
          <w:sz w:val="24"/>
          <w:szCs w:val="24"/>
        </w:rPr>
      </w:pPr>
    </w:p>
    <w:p w:rsidR="00694421" w:rsidRPr="00732CC2" w:rsidP="000F0022" w14:paraId="6688EE94" w14:textId="661F7F70">
      <w:pPr>
        <w:pStyle w:val="NoSpacing"/>
        <w:contextualSpacing/>
        <w:jc w:val="both"/>
        <w:rPr>
          <w:rFonts w:ascii="Arial" w:hAnsi="Arial" w:cs="Arial"/>
          <w:sz w:val="24"/>
          <w:szCs w:val="24"/>
        </w:rPr>
      </w:pPr>
      <w:r w:rsidRPr="00732CC2">
        <w:rPr>
          <w:rFonts w:ascii="Arial" w:hAnsi="Arial" w:cs="Arial"/>
          <w:sz w:val="24"/>
          <w:szCs w:val="24"/>
        </w:rPr>
        <w:t>This rulemaking allows for a streamlined alternative procedure for recognizing counsel pro hac vice</w:t>
      </w:r>
      <w:r w:rsidR="00A725C0">
        <w:rPr>
          <w:rFonts w:ascii="Arial" w:hAnsi="Arial" w:cs="Arial"/>
          <w:sz w:val="24"/>
          <w:szCs w:val="24"/>
        </w:rPr>
        <w:t xml:space="preserve"> (Item 17 in Table 2)</w:t>
      </w:r>
      <w:r w:rsidRPr="00732CC2">
        <w:rPr>
          <w:rFonts w:ascii="Arial" w:hAnsi="Arial" w:cs="Arial"/>
          <w:sz w:val="24"/>
          <w:szCs w:val="24"/>
        </w:rPr>
        <w:t>.</w:t>
      </w:r>
      <w:r w:rsidRPr="00732CC2">
        <w:rPr>
          <w:rFonts w:ascii="Arial" w:hAnsi="Arial" w:cs="Arial"/>
          <w:sz w:val="24"/>
          <w:szCs w:val="24"/>
        </w:rPr>
        <w:t xml:space="preserve"> The USPTO estimates that about half of the those who currently use the </w:t>
      </w:r>
      <w:r w:rsidRPr="002410A8">
        <w:rPr>
          <w:rFonts w:ascii="Arial" w:hAnsi="Arial" w:cs="Arial"/>
          <w:i/>
          <w:iCs/>
          <w:sz w:val="24"/>
          <w:szCs w:val="24"/>
        </w:rPr>
        <w:t>pro hac vice</w:t>
      </w:r>
      <w:r w:rsidRPr="00732CC2">
        <w:rPr>
          <w:rFonts w:ascii="Arial" w:hAnsi="Arial" w:cs="Arial"/>
          <w:sz w:val="24"/>
          <w:szCs w:val="24"/>
        </w:rPr>
        <w:t xml:space="preserve"> mo</w:t>
      </w:r>
      <w:r w:rsidRPr="00732CC2">
        <w:rPr>
          <w:rFonts w:ascii="Arial" w:hAnsi="Arial" w:cs="Arial"/>
          <w:sz w:val="24"/>
          <w:szCs w:val="24"/>
        </w:rPr>
        <w:t>tion</w:t>
      </w:r>
      <w:r w:rsidR="00E41F52">
        <w:rPr>
          <w:rFonts w:ascii="Arial" w:hAnsi="Arial" w:cs="Arial"/>
          <w:sz w:val="24"/>
          <w:szCs w:val="24"/>
        </w:rPr>
        <w:t xml:space="preserve"> (Item 10)</w:t>
      </w:r>
      <w:r w:rsidRPr="00732CC2">
        <w:rPr>
          <w:rFonts w:ascii="Arial" w:hAnsi="Arial" w:cs="Arial"/>
          <w:sz w:val="24"/>
          <w:szCs w:val="24"/>
        </w:rPr>
        <w:t xml:space="preserve"> will use this alternative option.</w:t>
      </w:r>
      <w:r w:rsidRPr="00732CC2">
        <w:rPr>
          <w:rFonts w:ascii="Arial" w:hAnsi="Arial" w:cs="Arial"/>
          <w:sz w:val="24"/>
          <w:szCs w:val="24"/>
        </w:rPr>
        <w:t xml:space="preserve"> </w:t>
      </w:r>
      <w:r w:rsidRPr="00732CC2" w:rsidR="007B3BF7">
        <w:rPr>
          <w:rFonts w:ascii="Arial" w:hAnsi="Arial" w:cs="Arial"/>
          <w:sz w:val="24"/>
          <w:szCs w:val="24"/>
        </w:rPr>
        <w:t xml:space="preserve">As the alternative procedures use information previously submitted through a full </w:t>
      </w:r>
      <w:r w:rsidRPr="002410A8" w:rsidR="007B3BF7">
        <w:rPr>
          <w:rFonts w:ascii="Arial" w:hAnsi="Arial" w:cs="Arial"/>
          <w:i/>
          <w:iCs/>
          <w:sz w:val="24"/>
          <w:szCs w:val="24"/>
        </w:rPr>
        <w:t>pro hac vice</w:t>
      </w:r>
      <w:r w:rsidRPr="00732CC2" w:rsidR="007B3BF7">
        <w:rPr>
          <w:rFonts w:ascii="Arial" w:hAnsi="Arial" w:cs="Arial"/>
          <w:sz w:val="24"/>
          <w:szCs w:val="24"/>
        </w:rPr>
        <w:t xml:space="preserve"> motion</w:t>
      </w:r>
      <w:r w:rsidR="00B17BC1">
        <w:rPr>
          <w:rFonts w:ascii="Arial" w:hAnsi="Arial" w:cs="Arial"/>
          <w:sz w:val="24"/>
          <w:szCs w:val="24"/>
        </w:rPr>
        <w:t>,</w:t>
      </w:r>
      <w:r w:rsidRPr="00732CC2" w:rsidR="007B3BF7">
        <w:rPr>
          <w:rFonts w:ascii="Arial" w:hAnsi="Arial" w:cs="Arial"/>
          <w:sz w:val="24"/>
          <w:szCs w:val="24"/>
        </w:rPr>
        <w:t xml:space="preserve"> </w:t>
      </w:r>
      <w:r w:rsidR="00B17BC1">
        <w:rPr>
          <w:rFonts w:ascii="Arial" w:hAnsi="Arial" w:cs="Arial"/>
          <w:sz w:val="24"/>
          <w:szCs w:val="24"/>
        </w:rPr>
        <w:t>the USPTO estimates that this</w:t>
      </w:r>
      <w:r w:rsidRPr="00732CC2" w:rsidR="00B17BC1">
        <w:rPr>
          <w:rFonts w:ascii="Arial" w:hAnsi="Arial" w:cs="Arial"/>
          <w:sz w:val="24"/>
          <w:szCs w:val="24"/>
        </w:rPr>
        <w:t xml:space="preserve"> </w:t>
      </w:r>
      <w:r w:rsidRPr="00732CC2" w:rsidR="007B3BF7">
        <w:rPr>
          <w:rFonts w:ascii="Arial" w:hAnsi="Arial" w:cs="Arial"/>
          <w:sz w:val="24"/>
          <w:szCs w:val="24"/>
        </w:rPr>
        <w:t xml:space="preserve">second alternative procedure </w:t>
      </w:r>
      <w:r w:rsidR="00B17BC1">
        <w:rPr>
          <w:rFonts w:ascii="Arial" w:hAnsi="Arial" w:cs="Arial"/>
          <w:sz w:val="24"/>
          <w:szCs w:val="24"/>
        </w:rPr>
        <w:t>will</w:t>
      </w:r>
      <w:r w:rsidRPr="00732CC2" w:rsidR="007B3BF7">
        <w:rPr>
          <w:rFonts w:ascii="Arial" w:hAnsi="Arial" w:cs="Arial"/>
          <w:sz w:val="24"/>
          <w:szCs w:val="24"/>
        </w:rPr>
        <w:t xml:space="preserve"> take less time than a regular full motion</w:t>
      </w:r>
      <w:r w:rsidR="00B17BC1">
        <w:rPr>
          <w:rFonts w:ascii="Arial" w:hAnsi="Arial" w:cs="Arial"/>
          <w:sz w:val="24"/>
          <w:szCs w:val="24"/>
        </w:rPr>
        <w:t>. This results</w:t>
      </w:r>
      <w:r w:rsidRPr="00732CC2" w:rsidR="007B3BF7">
        <w:rPr>
          <w:rFonts w:ascii="Arial" w:hAnsi="Arial" w:cs="Arial"/>
          <w:sz w:val="24"/>
          <w:szCs w:val="24"/>
        </w:rPr>
        <w:t xml:space="preserve"> in a</w:t>
      </w:r>
      <w:r w:rsidR="00B17BC1">
        <w:rPr>
          <w:rFonts w:ascii="Arial" w:hAnsi="Arial" w:cs="Arial"/>
          <w:sz w:val="24"/>
          <w:szCs w:val="24"/>
        </w:rPr>
        <w:t>n estimated</w:t>
      </w:r>
      <w:r w:rsidRPr="00732CC2" w:rsidR="007B3BF7">
        <w:rPr>
          <w:rFonts w:ascii="Arial" w:hAnsi="Arial" w:cs="Arial"/>
          <w:sz w:val="24"/>
          <w:szCs w:val="24"/>
        </w:rPr>
        <w:t xml:space="preserve"> time burden decrease in this information collection. Additionally, </w:t>
      </w:r>
      <w:r w:rsidR="00D5246C">
        <w:rPr>
          <w:rFonts w:ascii="Arial" w:hAnsi="Arial" w:cs="Arial"/>
          <w:sz w:val="24"/>
          <w:szCs w:val="24"/>
        </w:rPr>
        <w:t xml:space="preserve">because of this alternative and </w:t>
      </w:r>
      <w:r w:rsidR="002410A8">
        <w:rPr>
          <w:rFonts w:ascii="Arial" w:hAnsi="Arial" w:cs="Arial"/>
          <w:sz w:val="24"/>
          <w:szCs w:val="24"/>
        </w:rPr>
        <w:t>no-</w:t>
      </w:r>
      <w:r w:rsidR="00D5246C">
        <w:rPr>
          <w:rFonts w:ascii="Arial" w:hAnsi="Arial" w:cs="Arial"/>
          <w:sz w:val="24"/>
          <w:szCs w:val="24"/>
        </w:rPr>
        <w:t xml:space="preserve">fee procedure, </w:t>
      </w:r>
      <w:r w:rsidRPr="00732CC2" w:rsidR="007B3BF7">
        <w:rPr>
          <w:rFonts w:ascii="Arial" w:hAnsi="Arial" w:cs="Arial"/>
          <w:sz w:val="24"/>
          <w:szCs w:val="24"/>
        </w:rPr>
        <w:t>f</w:t>
      </w:r>
      <w:r w:rsidRPr="00732CC2">
        <w:rPr>
          <w:rFonts w:ascii="Arial" w:hAnsi="Arial" w:cs="Arial"/>
          <w:sz w:val="24"/>
          <w:szCs w:val="24"/>
        </w:rPr>
        <w:t>ewer individuals will fil</w:t>
      </w:r>
      <w:r w:rsidR="00B17BC1">
        <w:rPr>
          <w:rFonts w:ascii="Arial" w:hAnsi="Arial" w:cs="Arial"/>
          <w:sz w:val="24"/>
          <w:szCs w:val="24"/>
        </w:rPr>
        <w:t>e</w:t>
      </w:r>
      <w:r w:rsidRPr="00732CC2">
        <w:rPr>
          <w:rFonts w:ascii="Arial" w:hAnsi="Arial" w:cs="Arial"/>
          <w:sz w:val="24"/>
          <w:szCs w:val="24"/>
        </w:rPr>
        <w:t xml:space="preserve"> the </w:t>
      </w:r>
      <w:r w:rsidRPr="002410A8">
        <w:rPr>
          <w:rFonts w:ascii="Arial" w:hAnsi="Arial" w:cs="Arial"/>
          <w:i/>
          <w:iCs/>
          <w:sz w:val="24"/>
          <w:szCs w:val="24"/>
        </w:rPr>
        <w:t>pro hac vice</w:t>
      </w:r>
      <w:r w:rsidRPr="00732CC2">
        <w:rPr>
          <w:rFonts w:ascii="Arial" w:hAnsi="Arial" w:cs="Arial"/>
          <w:sz w:val="24"/>
          <w:szCs w:val="24"/>
        </w:rPr>
        <w:t xml:space="preserve"> motion and pay the accompanying fee for that action.</w:t>
      </w:r>
      <w:r w:rsidRPr="00732CC2">
        <w:rPr>
          <w:rFonts w:ascii="Arial" w:hAnsi="Arial" w:cs="Arial"/>
          <w:sz w:val="24"/>
          <w:szCs w:val="24"/>
        </w:rPr>
        <w:t xml:space="preserve"> This result</w:t>
      </w:r>
      <w:r w:rsidR="00B17BC1">
        <w:rPr>
          <w:rFonts w:ascii="Arial" w:hAnsi="Arial" w:cs="Arial"/>
          <w:sz w:val="24"/>
          <w:szCs w:val="24"/>
        </w:rPr>
        <w:t>s</w:t>
      </w:r>
      <w:r w:rsidRPr="00732CC2">
        <w:rPr>
          <w:rFonts w:ascii="Arial" w:hAnsi="Arial" w:cs="Arial"/>
          <w:sz w:val="24"/>
          <w:szCs w:val="24"/>
        </w:rPr>
        <w:t xml:space="preserve"> in</w:t>
      </w:r>
      <w:r w:rsidRPr="00732CC2">
        <w:rPr>
          <w:rFonts w:ascii="Arial" w:hAnsi="Arial" w:cs="Arial"/>
          <w:sz w:val="24"/>
          <w:szCs w:val="24"/>
        </w:rPr>
        <w:t xml:space="preserve"> a decrease in the </w:t>
      </w:r>
      <w:r w:rsidRPr="00732CC2" w:rsidR="00AA5B64">
        <w:rPr>
          <w:rFonts w:ascii="Arial" w:hAnsi="Arial" w:cs="Arial"/>
          <w:sz w:val="24"/>
          <w:szCs w:val="24"/>
        </w:rPr>
        <w:t xml:space="preserve">non-hourly </w:t>
      </w:r>
      <w:r w:rsidRPr="00732CC2">
        <w:rPr>
          <w:rFonts w:ascii="Arial" w:hAnsi="Arial" w:cs="Arial"/>
          <w:sz w:val="24"/>
          <w:szCs w:val="24"/>
        </w:rPr>
        <w:t xml:space="preserve">cost burdens for this information collection.  </w:t>
      </w:r>
    </w:p>
    <w:p w:rsidR="00ED165D" w:rsidRPr="00E86BE6" w:rsidP="000F0022" w14:paraId="5A50C6A9" w14:textId="77777777">
      <w:pPr>
        <w:pStyle w:val="NoSpacing"/>
        <w:contextualSpacing/>
        <w:jc w:val="both"/>
        <w:rPr>
          <w:rFonts w:ascii="Arial" w:hAnsi="Arial" w:cs="Arial"/>
          <w:sz w:val="24"/>
          <w:szCs w:val="24"/>
        </w:rPr>
      </w:pPr>
    </w:p>
    <w:p w:rsidR="00D568CD" w:rsidRPr="00E86BE6" w:rsidP="000F0022" w14:paraId="52E541C6" w14:textId="58C9B9C6">
      <w:pPr>
        <w:pStyle w:val="NoSpacing"/>
        <w:contextualSpacing/>
        <w:jc w:val="both"/>
        <w:rPr>
          <w:rFonts w:ascii="Arial" w:hAnsi="Arial" w:cs="Arial"/>
          <w:sz w:val="20"/>
          <w:szCs w:val="20"/>
        </w:rPr>
      </w:pPr>
      <w:r w:rsidRPr="00E86BE6">
        <w:rPr>
          <w:rFonts w:ascii="Arial" w:hAnsi="Arial" w:cs="Arial"/>
          <w:b/>
          <w:sz w:val="20"/>
          <w:szCs w:val="20"/>
        </w:rPr>
        <w:t xml:space="preserve">Table 1: Total Burden Hours (current) </w:t>
      </w:r>
    </w:p>
    <w:tbl>
      <w:tblPr>
        <w:tblStyle w:val="TableGrid"/>
        <w:tblW w:w="9393" w:type="dxa"/>
        <w:tblLook w:val="04A0"/>
      </w:tblPr>
      <w:tblGrid>
        <w:gridCol w:w="683"/>
        <w:gridCol w:w="3282"/>
        <w:gridCol w:w="1880"/>
        <w:gridCol w:w="1620"/>
        <w:gridCol w:w="1928"/>
      </w:tblGrid>
      <w:tr w14:paraId="0A9B6CBE" w14:textId="77777777" w:rsidTr="00E86BE6">
        <w:tblPrEx>
          <w:tblW w:w="9393" w:type="dxa"/>
          <w:tblLook w:val="04A0"/>
        </w:tblPrEx>
        <w:trPr>
          <w:trHeight w:val="1324"/>
        </w:trPr>
        <w:tc>
          <w:tcPr>
            <w:tcW w:w="683" w:type="dxa"/>
            <w:shd w:val="clear" w:color="auto" w:fill="BDD6EE" w:themeFill="accent1" w:themeFillTint="66"/>
            <w:vAlign w:val="center"/>
          </w:tcPr>
          <w:p w:rsidR="00AA5B64" w:rsidRPr="00E86BE6" w:rsidP="000F0022" w14:paraId="4019197A" w14:textId="77777777">
            <w:pPr>
              <w:pStyle w:val="NoSpacing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A5B64" w:rsidRPr="00E86BE6" w:rsidP="000F0022" w14:paraId="1DF34147" w14:textId="1CC9EBE9">
            <w:pPr>
              <w:pStyle w:val="NoSpacing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6BE6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E86BE6" w:rsidR="00C7683D">
              <w:rPr>
                <w:rFonts w:ascii="Arial" w:hAnsi="Arial" w:cs="Arial"/>
                <w:b/>
                <w:sz w:val="20"/>
                <w:szCs w:val="20"/>
              </w:rPr>
              <w:t>tem</w:t>
            </w:r>
            <w:r w:rsidRPr="00E86BE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86BE6" w:rsidR="000D727B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  <w:p w:rsidR="00AA5B64" w:rsidRPr="00E86BE6" w:rsidP="000F0022" w14:paraId="181C001C" w14:textId="77777777">
            <w:pPr>
              <w:pStyle w:val="NoSpacing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BDD6EE" w:themeFill="accent1" w:themeFillTint="66"/>
            <w:vAlign w:val="center"/>
          </w:tcPr>
          <w:p w:rsidR="00AA5B64" w:rsidRPr="00E86BE6" w:rsidP="000F0022" w14:paraId="053CF84F" w14:textId="77777777">
            <w:pPr>
              <w:pStyle w:val="NoSpacing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6BE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1880" w:type="dxa"/>
            <w:shd w:val="clear" w:color="auto" w:fill="BDD6EE" w:themeFill="accent1" w:themeFillTint="66"/>
            <w:vAlign w:val="center"/>
          </w:tcPr>
          <w:p w:rsidR="00AA5B64" w:rsidRPr="00E86BE6" w:rsidP="000F0022" w14:paraId="0F0EA2C7" w14:textId="77777777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6BE6">
              <w:rPr>
                <w:rFonts w:ascii="Arial" w:hAnsi="Arial" w:cs="Arial"/>
                <w:b/>
                <w:sz w:val="20"/>
                <w:szCs w:val="20"/>
              </w:rPr>
              <w:t>Estimated Annual Responses</w:t>
            </w:r>
          </w:p>
          <w:p w:rsidR="00AA5B64" w:rsidRPr="00E86BE6" w:rsidP="000F0022" w14:paraId="3F8768FC" w14:textId="77777777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A5B64" w:rsidRPr="00E86BE6" w:rsidP="00E86BE6" w14:paraId="71A31019" w14:textId="77777777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A5B64" w:rsidRPr="00E86BE6" w:rsidP="000F0022" w14:paraId="17AD8B64" w14:textId="77777777">
            <w:pPr>
              <w:pStyle w:val="NoSpacing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6BE6">
              <w:rPr>
                <w:rFonts w:ascii="Arial" w:hAnsi="Arial" w:cs="Arial"/>
                <w:b/>
                <w:sz w:val="20"/>
                <w:szCs w:val="20"/>
              </w:rPr>
              <w:t>(a)</w:t>
            </w:r>
          </w:p>
        </w:tc>
        <w:tc>
          <w:tcPr>
            <w:tcW w:w="1620" w:type="dxa"/>
            <w:shd w:val="clear" w:color="auto" w:fill="BDD6EE" w:themeFill="accent1" w:themeFillTint="66"/>
          </w:tcPr>
          <w:p w:rsidR="00AA5B64" w:rsidRPr="00E86BE6" w:rsidP="000F0022" w14:paraId="2C732F86" w14:textId="0EEB9F29">
            <w:pPr>
              <w:tabs>
                <w:tab w:val="left" w:pos="-117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6BE6">
              <w:rPr>
                <w:rFonts w:ascii="Arial" w:hAnsi="Arial" w:cs="Arial"/>
                <w:b/>
                <w:sz w:val="20"/>
                <w:szCs w:val="20"/>
              </w:rPr>
              <w:t>Estimated Time for Response (hours)</w:t>
            </w:r>
          </w:p>
          <w:p w:rsidR="00AA5B64" w:rsidRPr="00E86BE6" w:rsidP="000F0022" w14:paraId="59F2F920" w14:textId="77777777">
            <w:pPr>
              <w:tabs>
                <w:tab w:val="left" w:pos="-117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A5B64" w:rsidRPr="00E86BE6" w:rsidP="000F0022" w14:paraId="594C2B79" w14:textId="77777777">
            <w:pPr>
              <w:pStyle w:val="NoSpacing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6BE6">
              <w:rPr>
                <w:rFonts w:ascii="Arial" w:hAnsi="Arial" w:cs="Arial"/>
                <w:b/>
                <w:sz w:val="20"/>
                <w:szCs w:val="20"/>
              </w:rPr>
              <w:t>(b)</w:t>
            </w:r>
          </w:p>
        </w:tc>
        <w:tc>
          <w:tcPr>
            <w:tcW w:w="1928" w:type="dxa"/>
            <w:shd w:val="clear" w:color="auto" w:fill="BDD6EE" w:themeFill="accent1" w:themeFillTint="66"/>
          </w:tcPr>
          <w:p w:rsidR="00AA5B64" w:rsidRPr="00E86BE6" w:rsidP="000F0022" w14:paraId="5A2C9B8B" w14:textId="77777777">
            <w:pPr>
              <w:tabs>
                <w:tab w:val="left" w:pos="-117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6BE6">
              <w:rPr>
                <w:rFonts w:ascii="Arial" w:hAnsi="Arial" w:cs="Arial"/>
                <w:b/>
                <w:sz w:val="20"/>
                <w:szCs w:val="20"/>
              </w:rPr>
              <w:t>Estimated Burden</w:t>
            </w:r>
          </w:p>
          <w:p w:rsidR="00AA5B64" w:rsidRPr="00E86BE6" w:rsidP="000F0022" w14:paraId="7C58147C" w14:textId="77777777">
            <w:pPr>
              <w:tabs>
                <w:tab w:val="left" w:pos="-117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6BE6">
              <w:rPr>
                <w:rFonts w:ascii="Arial" w:hAnsi="Arial" w:cs="Arial"/>
                <w:b/>
                <w:sz w:val="20"/>
                <w:szCs w:val="20"/>
              </w:rPr>
              <w:t>(hour/year)</w:t>
            </w:r>
          </w:p>
          <w:p w:rsidR="00AA5B64" w:rsidRPr="00E86BE6" w:rsidP="000F0022" w14:paraId="5A16D5F3" w14:textId="77777777">
            <w:pPr>
              <w:tabs>
                <w:tab w:val="left" w:pos="-117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A5B64" w:rsidRPr="00E86BE6" w:rsidP="000F0022" w14:paraId="52D20CCE" w14:textId="77777777">
            <w:pPr>
              <w:tabs>
                <w:tab w:val="left" w:pos="-1176"/>
              </w:tabs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A5B64" w:rsidRPr="00E86BE6" w:rsidP="000F0022" w14:paraId="5F421AD1" w14:textId="77777777">
            <w:pPr>
              <w:pStyle w:val="NoSpacing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6BE6">
              <w:rPr>
                <w:rFonts w:ascii="Arial" w:hAnsi="Arial" w:cs="Arial"/>
                <w:b/>
                <w:sz w:val="20"/>
                <w:szCs w:val="20"/>
              </w:rPr>
              <w:t xml:space="preserve">(a) x (b) = (c) </w:t>
            </w:r>
          </w:p>
        </w:tc>
      </w:tr>
      <w:tr w14:paraId="543FA422" w14:textId="77777777" w:rsidTr="00AA5B64">
        <w:tblPrEx>
          <w:tblW w:w="9393" w:type="dxa"/>
          <w:tblLook w:val="04A0"/>
        </w:tblPrEx>
        <w:trPr>
          <w:trHeight w:val="299"/>
        </w:trPr>
        <w:tc>
          <w:tcPr>
            <w:tcW w:w="683" w:type="dxa"/>
            <w:vAlign w:val="center"/>
          </w:tcPr>
          <w:p w:rsidR="00AA5B64" w:rsidRPr="00E86BE6" w:rsidP="00E86BE6" w14:paraId="07A77B9C" w14:textId="77777777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86B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82" w:type="dxa"/>
            <w:vAlign w:val="center"/>
          </w:tcPr>
          <w:p w:rsidR="00AA5B64" w:rsidRPr="00E86BE6" w:rsidP="00E86BE6" w14:paraId="3F3DC732" w14:textId="77777777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6BE6">
              <w:rPr>
                <w:rFonts w:ascii="Arial" w:hAnsi="Arial" w:cs="Arial"/>
                <w:color w:val="000000"/>
                <w:sz w:val="20"/>
                <w:szCs w:val="20"/>
              </w:rPr>
              <w:t>Pro Hac Vice Motion</w:t>
            </w:r>
          </w:p>
        </w:tc>
        <w:tc>
          <w:tcPr>
            <w:tcW w:w="1880" w:type="dxa"/>
            <w:vAlign w:val="center"/>
          </w:tcPr>
          <w:p w:rsidR="00AA5B64" w:rsidRPr="00E86BE6" w:rsidP="00E86BE6" w14:paraId="400F937E" w14:textId="77329B92">
            <w:pPr>
              <w:contextualSpacing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6BE6">
              <w:rPr>
                <w:rFonts w:ascii="Arial" w:hAnsi="Arial" w:cs="Arial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1620" w:type="dxa"/>
            <w:vAlign w:val="center"/>
          </w:tcPr>
          <w:p w:rsidR="00AA5B64" w:rsidRPr="00E86BE6" w:rsidP="00E86BE6" w14:paraId="309A29CF" w14:textId="77777777">
            <w:pPr>
              <w:contextualSpacing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6BE6">
              <w:rPr>
                <w:rFonts w:ascii="Arial" w:hAnsi="Arial" w:cs="Arial"/>
                <w:color w:val="000000"/>
                <w:sz w:val="20"/>
                <w:szCs w:val="20"/>
              </w:rPr>
              <w:t xml:space="preserve">0.5 </w:t>
            </w:r>
          </w:p>
        </w:tc>
        <w:tc>
          <w:tcPr>
            <w:tcW w:w="1928" w:type="dxa"/>
          </w:tcPr>
          <w:p w:rsidR="00AA5B64" w:rsidRPr="00E86BE6" w:rsidP="00E86BE6" w14:paraId="2542A64B" w14:textId="6BAF1EAE">
            <w:pPr>
              <w:contextualSpacing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6BE6">
              <w:rPr>
                <w:rFonts w:ascii="Arial" w:hAnsi="Arial" w:cs="Arial"/>
                <w:color w:val="000000"/>
                <w:sz w:val="20"/>
                <w:szCs w:val="20"/>
              </w:rPr>
              <w:t>475</w:t>
            </w:r>
          </w:p>
        </w:tc>
      </w:tr>
      <w:tr w14:paraId="2C9D23C1" w14:textId="77777777" w:rsidTr="00AA5B64">
        <w:tblPrEx>
          <w:tblW w:w="9393" w:type="dxa"/>
          <w:tblLook w:val="04A0"/>
        </w:tblPrEx>
        <w:trPr>
          <w:trHeight w:val="317"/>
        </w:trPr>
        <w:tc>
          <w:tcPr>
            <w:tcW w:w="683" w:type="dxa"/>
            <w:vAlign w:val="center"/>
          </w:tcPr>
          <w:p w:rsidR="00AA5B64" w:rsidRPr="00E86BE6" w:rsidP="00E86BE6" w14:paraId="4B64DF8E" w14:textId="77777777">
            <w:pPr>
              <w:pStyle w:val="NoSpacing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2" w:type="dxa"/>
            <w:vAlign w:val="center"/>
          </w:tcPr>
          <w:p w:rsidR="00AA5B64" w:rsidRPr="00E86BE6" w:rsidP="00E86BE6" w14:paraId="77E133EF" w14:textId="77777777">
            <w:pPr>
              <w:pStyle w:val="NoSpacing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86BE6">
              <w:rPr>
                <w:rFonts w:ascii="Arial" w:hAnsi="Arial" w:cs="Arial"/>
                <w:b/>
                <w:sz w:val="20"/>
                <w:szCs w:val="20"/>
              </w:rPr>
              <w:t>Totals</w:t>
            </w:r>
          </w:p>
        </w:tc>
        <w:tc>
          <w:tcPr>
            <w:tcW w:w="1880" w:type="dxa"/>
            <w:vAlign w:val="center"/>
          </w:tcPr>
          <w:p w:rsidR="00AA5B64" w:rsidRPr="00E86BE6" w:rsidP="00E86BE6" w14:paraId="15924081" w14:textId="77777777">
            <w:pPr>
              <w:pStyle w:val="NoSpacing"/>
              <w:contextualSpacing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86BE6">
              <w:rPr>
                <w:rFonts w:ascii="Arial" w:hAnsi="Arial" w:cs="Arial"/>
                <w:b/>
                <w:sz w:val="20"/>
                <w:szCs w:val="20"/>
              </w:rPr>
              <w:t>950</w:t>
            </w:r>
          </w:p>
        </w:tc>
        <w:tc>
          <w:tcPr>
            <w:tcW w:w="1620" w:type="dxa"/>
            <w:vAlign w:val="center"/>
          </w:tcPr>
          <w:p w:rsidR="00AA5B64" w:rsidRPr="00E86BE6" w:rsidP="00E86BE6" w14:paraId="26C13EE6" w14:textId="57AB6D04">
            <w:pPr>
              <w:pStyle w:val="NoSpacing"/>
              <w:contextualSpacing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86BE6">
              <w:rPr>
                <w:rFonts w:ascii="Arial" w:hAnsi="Arial" w:cs="Arial"/>
                <w:b/>
                <w:sz w:val="20"/>
                <w:szCs w:val="20"/>
              </w:rPr>
              <w:t>- - -</w:t>
            </w:r>
          </w:p>
        </w:tc>
        <w:tc>
          <w:tcPr>
            <w:tcW w:w="1928" w:type="dxa"/>
          </w:tcPr>
          <w:p w:rsidR="00AA5B64" w:rsidRPr="00E86BE6" w:rsidP="00E86BE6" w14:paraId="5E96D392" w14:textId="5B426CC8">
            <w:pPr>
              <w:pStyle w:val="NoSpacing"/>
              <w:contextualSpacing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86BE6">
              <w:rPr>
                <w:rFonts w:ascii="Arial" w:hAnsi="Arial" w:cs="Arial"/>
                <w:b/>
                <w:sz w:val="20"/>
                <w:szCs w:val="20"/>
              </w:rPr>
              <w:t>475</w:t>
            </w:r>
          </w:p>
        </w:tc>
      </w:tr>
    </w:tbl>
    <w:p w:rsidR="00ED165D" w:rsidRPr="00E86BE6" w:rsidP="00E86BE6" w14:paraId="32B04205" w14:textId="77777777">
      <w:pPr>
        <w:pStyle w:val="NoSpacing"/>
        <w:contextualSpacing/>
        <w:jc w:val="both"/>
        <w:rPr>
          <w:rFonts w:ascii="Arial" w:hAnsi="Arial" w:cs="Arial"/>
          <w:sz w:val="24"/>
          <w:szCs w:val="24"/>
        </w:rPr>
      </w:pPr>
    </w:p>
    <w:p w:rsidR="00ED165D" w:rsidRPr="00E86BE6" w:rsidP="00E86BE6" w14:paraId="2EE17B15" w14:textId="3DEC4181">
      <w:pPr>
        <w:pStyle w:val="NoSpacing"/>
        <w:contextualSpacing/>
        <w:jc w:val="both"/>
        <w:rPr>
          <w:rFonts w:ascii="Arial" w:hAnsi="Arial" w:cs="Arial"/>
          <w:sz w:val="20"/>
          <w:szCs w:val="20"/>
        </w:rPr>
      </w:pPr>
      <w:r w:rsidRPr="00E86BE6">
        <w:rPr>
          <w:rFonts w:ascii="Arial" w:hAnsi="Arial" w:cs="Arial"/>
          <w:b/>
          <w:sz w:val="20"/>
          <w:szCs w:val="20"/>
        </w:rPr>
        <w:t xml:space="preserve">Table 2: </w:t>
      </w:r>
      <w:r w:rsidRPr="00E86BE6" w:rsidR="00D568CD">
        <w:rPr>
          <w:rFonts w:ascii="Arial" w:hAnsi="Arial" w:cs="Arial"/>
          <w:b/>
          <w:sz w:val="20"/>
          <w:szCs w:val="20"/>
        </w:rPr>
        <w:t xml:space="preserve">Total Burden Hours (proposed) </w:t>
      </w:r>
    </w:p>
    <w:tbl>
      <w:tblPr>
        <w:tblStyle w:val="TableGrid"/>
        <w:tblW w:w="9366" w:type="dxa"/>
        <w:tblLook w:val="04A0"/>
      </w:tblPr>
      <w:tblGrid>
        <w:gridCol w:w="681"/>
        <w:gridCol w:w="3274"/>
        <w:gridCol w:w="1890"/>
        <w:gridCol w:w="1620"/>
        <w:gridCol w:w="1901"/>
      </w:tblGrid>
      <w:tr w14:paraId="34DFF365" w14:textId="77777777" w:rsidTr="00E41F52">
        <w:tblPrEx>
          <w:tblW w:w="9366" w:type="dxa"/>
          <w:tblLook w:val="04A0"/>
        </w:tblPrEx>
        <w:trPr>
          <w:trHeight w:val="1185"/>
        </w:trPr>
        <w:tc>
          <w:tcPr>
            <w:tcW w:w="681" w:type="dxa"/>
            <w:shd w:val="clear" w:color="auto" w:fill="BDD6EE" w:themeFill="accent1" w:themeFillTint="66"/>
            <w:vAlign w:val="center"/>
          </w:tcPr>
          <w:p w:rsidR="00AA5B64" w:rsidRPr="00E86BE6" w:rsidP="00E86BE6" w14:paraId="1B3B9020" w14:textId="77777777">
            <w:pPr>
              <w:pStyle w:val="NoSpacing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A5B64" w:rsidRPr="00E86BE6" w:rsidP="00E86BE6" w14:paraId="5714D7A4" w14:textId="077A7A3A">
            <w:pPr>
              <w:pStyle w:val="NoSpacing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6BE6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E86BE6" w:rsidR="00C7683D">
              <w:rPr>
                <w:rFonts w:ascii="Arial" w:hAnsi="Arial" w:cs="Arial"/>
                <w:b/>
                <w:sz w:val="20"/>
                <w:szCs w:val="20"/>
              </w:rPr>
              <w:t xml:space="preserve">tem </w:t>
            </w:r>
            <w:r w:rsidRPr="00E86BE6" w:rsidR="000D727B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  <w:p w:rsidR="00AA5B64" w:rsidRPr="00E86BE6" w:rsidP="00E86BE6" w14:paraId="55A19B5F" w14:textId="77777777">
            <w:pPr>
              <w:pStyle w:val="NoSpacing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74" w:type="dxa"/>
            <w:shd w:val="clear" w:color="auto" w:fill="BDD6EE" w:themeFill="accent1" w:themeFillTint="66"/>
            <w:vAlign w:val="center"/>
          </w:tcPr>
          <w:p w:rsidR="00AA5B64" w:rsidRPr="00E86BE6" w:rsidP="00E86BE6" w14:paraId="33D281D3" w14:textId="77777777">
            <w:pPr>
              <w:pStyle w:val="NoSpacing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6BE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1890" w:type="dxa"/>
            <w:shd w:val="clear" w:color="auto" w:fill="BDD6EE" w:themeFill="accent1" w:themeFillTint="66"/>
            <w:vAlign w:val="center"/>
          </w:tcPr>
          <w:p w:rsidR="00AA5B64" w:rsidRPr="00E86BE6" w:rsidP="00E86BE6" w14:paraId="4AEF3458" w14:textId="77777777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6BE6">
              <w:rPr>
                <w:rFonts w:ascii="Arial" w:hAnsi="Arial" w:cs="Arial"/>
                <w:b/>
                <w:sz w:val="20"/>
                <w:szCs w:val="20"/>
              </w:rPr>
              <w:t>Estimated Annual Responses</w:t>
            </w:r>
          </w:p>
          <w:p w:rsidR="00AA5B64" w:rsidRPr="00E86BE6" w:rsidP="00E86BE6" w14:paraId="55B7E737" w14:textId="77777777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A5B64" w:rsidRPr="00E86BE6" w:rsidP="00E86BE6" w14:paraId="0B2DFB41" w14:textId="77777777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A5B64" w:rsidRPr="00E86BE6" w:rsidP="00E86BE6" w14:paraId="7E0CB105" w14:textId="77777777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A5B64" w:rsidRPr="00E86BE6" w:rsidP="00E86BE6" w14:paraId="2DCB4E3A" w14:textId="4E10B933">
            <w:pPr>
              <w:pStyle w:val="NoSpacing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6BE6">
              <w:rPr>
                <w:rFonts w:ascii="Arial" w:hAnsi="Arial" w:cs="Arial"/>
                <w:b/>
                <w:sz w:val="20"/>
                <w:szCs w:val="20"/>
              </w:rPr>
              <w:t>(a)</w:t>
            </w:r>
          </w:p>
        </w:tc>
        <w:tc>
          <w:tcPr>
            <w:tcW w:w="1620" w:type="dxa"/>
            <w:shd w:val="clear" w:color="auto" w:fill="BDD6EE" w:themeFill="accent1" w:themeFillTint="66"/>
          </w:tcPr>
          <w:p w:rsidR="00AA5B64" w:rsidRPr="00E86BE6" w:rsidP="00E86BE6" w14:paraId="47056786" w14:textId="6EC6FC62">
            <w:pPr>
              <w:tabs>
                <w:tab w:val="left" w:pos="-117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6BE6">
              <w:rPr>
                <w:rFonts w:ascii="Arial" w:hAnsi="Arial" w:cs="Arial"/>
                <w:b/>
                <w:sz w:val="20"/>
                <w:szCs w:val="20"/>
              </w:rPr>
              <w:t>Estimated Time for Response (hours)</w:t>
            </w:r>
          </w:p>
          <w:p w:rsidR="00AA5B64" w:rsidRPr="00E86BE6" w:rsidP="00E86BE6" w14:paraId="19D221E1" w14:textId="77777777">
            <w:pPr>
              <w:tabs>
                <w:tab w:val="left" w:pos="-117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A5B64" w:rsidRPr="00E86BE6" w:rsidP="00E86BE6" w14:paraId="6B84C0FD" w14:textId="25C35CA9">
            <w:pPr>
              <w:pStyle w:val="NoSpacing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6BE6">
              <w:rPr>
                <w:rFonts w:ascii="Arial" w:hAnsi="Arial" w:cs="Arial"/>
                <w:b/>
                <w:sz w:val="20"/>
                <w:szCs w:val="20"/>
              </w:rPr>
              <w:t>(b)</w:t>
            </w:r>
          </w:p>
        </w:tc>
        <w:tc>
          <w:tcPr>
            <w:tcW w:w="1901" w:type="dxa"/>
            <w:shd w:val="clear" w:color="auto" w:fill="BDD6EE" w:themeFill="accent1" w:themeFillTint="66"/>
          </w:tcPr>
          <w:p w:rsidR="00AA5B64" w:rsidRPr="00E86BE6" w:rsidP="00E86BE6" w14:paraId="725DD8DE" w14:textId="77777777">
            <w:pPr>
              <w:tabs>
                <w:tab w:val="left" w:pos="-117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6BE6">
              <w:rPr>
                <w:rFonts w:ascii="Arial" w:hAnsi="Arial" w:cs="Arial"/>
                <w:b/>
                <w:sz w:val="20"/>
                <w:szCs w:val="20"/>
              </w:rPr>
              <w:t>Estimated Burden</w:t>
            </w:r>
          </w:p>
          <w:p w:rsidR="00AA5B64" w:rsidRPr="00E86BE6" w:rsidP="00E86BE6" w14:paraId="15559E95" w14:textId="77777777">
            <w:pPr>
              <w:tabs>
                <w:tab w:val="left" w:pos="-117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6BE6">
              <w:rPr>
                <w:rFonts w:ascii="Arial" w:hAnsi="Arial" w:cs="Arial"/>
                <w:b/>
                <w:sz w:val="20"/>
                <w:szCs w:val="20"/>
              </w:rPr>
              <w:t>(hour/year)</w:t>
            </w:r>
          </w:p>
          <w:p w:rsidR="00AA5B64" w:rsidRPr="00E86BE6" w:rsidP="00E86BE6" w14:paraId="10B17D31" w14:textId="77777777">
            <w:pPr>
              <w:tabs>
                <w:tab w:val="left" w:pos="-117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A5B64" w:rsidRPr="00E86BE6" w:rsidP="00E86BE6" w14:paraId="55EA13D4" w14:textId="77777777">
            <w:pPr>
              <w:tabs>
                <w:tab w:val="left" w:pos="-1176"/>
              </w:tabs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A5B64" w:rsidRPr="00E86BE6" w:rsidP="00E86BE6" w14:paraId="5EB7CC0F" w14:textId="1112E241">
            <w:pPr>
              <w:pStyle w:val="NoSpacing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6BE6">
              <w:rPr>
                <w:rFonts w:ascii="Arial" w:hAnsi="Arial" w:cs="Arial"/>
                <w:b/>
                <w:sz w:val="20"/>
                <w:szCs w:val="20"/>
              </w:rPr>
              <w:t xml:space="preserve">(a) x (b) = (c) </w:t>
            </w:r>
          </w:p>
        </w:tc>
      </w:tr>
      <w:tr w14:paraId="07CB6917" w14:textId="77777777" w:rsidTr="00E41F52">
        <w:tblPrEx>
          <w:tblW w:w="9366" w:type="dxa"/>
          <w:tblLook w:val="04A0"/>
        </w:tblPrEx>
        <w:trPr>
          <w:trHeight w:val="268"/>
        </w:trPr>
        <w:tc>
          <w:tcPr>
            <w:tcW w:w="681" w:type="dxa"/>
            <w:vAlign w:val="center"/>
          </w:tcPr>
          <w:p w:rsidR="00AA5B64" w:rsidRPr="00E86BE6" w:rsidP="00E86BE6" w14:paraId="0E8931C7" w14:textId="55832FE2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86B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74" w:type="dxa"/>
            <w:vAlign w:val="center"/>
          </w:tcPr>
          <w:p w:rsidR="00AA5B64" w:rsidRPr="00E86BE6" w:rsidP="00E86BE6" w14:paraId="404748BB" w14:textId="746FA9C5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6BE6">
              <w:rPr>
                <w:rFonts w:ascii="Arial" w:hAnsi="Arial" w:cs="Arial"/>
                <w:color w:val="000000"/>
                <w:sz w:val="20"/>
                <w:szCs w:val="20"/>
              </w:rPr>
              <w:t>Pro Hac Vice Motion</w:t>
            </w:r>
          </w:p>
        </w:tc>
        <w:tc>
          <w:tcPr>
            <w:tcW w:w="1890" w:type="dxa"/>
            <w:vAlign w:val="center"/>
          </w:tcPr>
          <w:p w:rsidR="00AA5B64" w:rsidRPr="00E86BE6" w:rsidP="00E86BE6" w14:paraId="09BDF292" w14:textId="6EE7308D">
            <w:pPr>
              <w:contextualSpacing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6BE6">
              <w:rPr>
                <w:rFonts w:ascii="Arial" w:hAnsi="Arial" w:cs="Arial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620" w:type="dxa"/>
            <w:vAlign w:val="center"/>
          </w:tcPr>
          <w:p w:rsidR="00AA5B64" w:rsidRPr="00E86BE6" w:rsidP="00E86BE6" w14:paraId="570F8D33" w14:textId="46384EF9">
            <w:pPr>
              <w:contextualSpacing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6BE6">
              <w:rPr>
                <w:rFonts w:ascii="Arial" w:hAnsi="Arial" w:cs="Arial"/>
                <w:color w:val="000000"/>
                <w:sz w:val="20"/>
                <w:szCs w:val="20"/>
              </w:rPr>
              <w:t xml:space="preserve">0.5 </w:t>
            </w:r>
          </w:p>
        </w:tc>
        <w:tc>
          <w:tcPr>
            <w:tcW w:w="1901" w:type="dxa"/>
          </w:tcPr>
          <w:p w:rsidR="00AA5B64" w:rsidRPr="00E86BE6" w:rsidP="00E86BE6" w14:paraId="61F57021" w14:textId="56D137F4">
            <w:pPr>
              <w:contextualSpacing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6BE6">
              <w:rPr>
                <w:rFonts w:ascii="Arial" w:hAnsi="Arial" w:cs="Arial"/>
                <w:color w:val="000000"/>
                <w:sz w:val="20"/>
                <w:szCs w:val="20"/>
              </w:rPr>
              <w:t>225</w:t>
            </w:r>
          </w:p>
        </w:tc>
      </w:tr>
      <w:tr w14:paraId="3D197999" w14:textId="77777777" w:rsidTr="00E41F52">
        <w:tblPrEx>
          <w:tblW w:w="9366" w:type="dxa"/>
          <w:tblLook w:val="04A0"/>
        </w:tblPrEx>
        <w:trPr>
          <w:trHeight w:val="853"/>
        </w:trPr>
        <w:tc>
          <w:tcPr>
            <w:tcW w:w="681" w:type="dxa"/>
            <w:vAlign w:val="center"/>
          </w:tcPr>
          <w:p w:rsidR="00AA5B64" w:rsidRPr="00E86BE6" w:rsidP="00E86BE6" w14:paraId="218B3BEC" w14:textId="1A2E7C26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86B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274" w:type="dxa"/>
            <w:vAlign w:val="center"/>
          </w:tcPr>
          <w:p w:rsidR="00AA5B64" w:rsidRPr="00E86BE6" w:rsidP="00E86BE6" w14:paraId="758698C9" w14:textId="291BEE1D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6BE6">
              <w:rPr>
                <w:rFonts w:ascii="Arial" w:hAnsi="Arial" w:cs="Arial"/>
                <w:color w:val="000000"/>
                <w:sz w:val="20"/>
                <w:szCs w:val="20"/>
              </w:rPr>
              <w:t>Notice of intent to designate provisionally recognized PTAB attorney as counsel</w:t>
            </w:r>
          </w:p>
        </w:tc>
        <w:tc>
          <w:tcPr>
            <w:tcW w:w="1890" w:type="dxa"/>
            <w:vAlign w:val="center"/>
          </w:tcPr>
          <w:p w:rsidR="00AA5B64" w:rsidRPr="00E86BE6" w:rsidP="00E86BE6" w14:paraId="47A03EDF" w14:textId="5754AD29">
            <w:pPr>
              <w:contextualSpacing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6BE6"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20" w:type="dxa"/>
            <w:vAlign w:val="center"/>
          </w:tcPr>
          <w:p w:rsidR="00AA5B64" w:rsidRPr="00E86BE6" w:rsidP="00E86BE6" w14:paraId="6998C18F" w14:textId="2838A1AC">
            <w:pPr>
              <w:contextualSpacing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6BE6">
              <w:rPr>
                <w:rFonts w:ascii="Arial" w:hAnsi="Arial" w:cs="Arial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1901" w:type="dxa"/>
          </w:tcPr>
          <w:p w:rsidR="00AA5B64" w:rsidRPr="00E86BE6" w:rsidP="00E86BE6" w14:paraId="372BE15C" w14:textId="77777777">
            <w:pPr>
              <w:contextualSpacing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A5B64" w:rsidRPr="00E86BE6" w:rsidP="00E86BE6" w14:paraId="36F42A72" w14:textId="65C44F87">
            <w:pPr>
              <w:contextualSpacing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6BE6"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</w:tr>
      <w:tr w14:paraId="5785CA60" w14:textId="77777777" w:rsidTr="00E41F52">
        <w:tblPrEx>
          <w:tblW w:w="9366" w:type="dxa"/>
          <w:tblLook w:val="04A0"/>
        </w:tblPrEx>
        <w:trPr>
          <w:trHeight w:val="268"/>
        </w:trPr>
        <w:tc>
          <w:tcPr>
            <w:tcW w:w="681" w:type="dxa"/>
            <w:vAlign w:val="center"/>
          </w:tcPr>
          <w:p w:rsidR="00AA5B64" w:rsidRPr="00E86BE6" w:rsidP="00E86BE6" w14:paraId="1755212D" w14:textId="77777777">
            <w:pPr>
              <w:pStyle w:val="NoSpacing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74" w:type="dxa"/>
            <w:vAlign w:val="center"/>
          </w:tcPr>
          <w:p w:rsidR="00AA5B64" w:rsidRPr="00E86BE6" w:rsidP="00E86BE6" w14:paraId="37E66E4D" w14:textId="77777777">
            <w:pPr>
              <w:pStyle w:val="NoSpacing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86BE6">
              <w:rPr>
                <w:rFonts w:ascii="Arial" w:hAnsi="Arial" w:cs="Arial"/>
                <w:b/>
                <w:sz w:val="20"/>
                <w:szCs w:val="20"/>
              </w:rPr>
              <w:t>Totals</w:t>
            </w:r>
          </w:p>
        </w:tc>
        <w:tc>
          <w:tcPr>
            <w:tcW w:w="1890" w:type="dxa"/>
            <w:vAlign w:val="center"/>
          </w:tcPr>
          <w:p w:rsidR="00AA5B64" w:rsidRPr="00E86BE6" w:rsidP="00E86BE6" w14:paraId="1E22473B" w14:textId="7D95198E">
            <w:pPr>
              <w:pStyle w:val="NoSpacing"/>
              <w:contextualSpacing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86BE6">
              <w:rPr>
                <w:rFonts w:ascii="Arial" w:hAnsi="Arial" w:cs="Arial"/>
                <w:b/>
                <w:sz w:val="20"/>
                <w:szCs w:val="20"/>
              </w:rPr>
              <w:t>950</w:t>
            </w:r>
          </w:p>
        </w:tc>
        <w:tc>
          <w:tcPr>
            <w:tcW w:w="1620" w:type="dxa"/>
            <w:vAlign w:val="center"/>
          </w:tcPr>
          <w:p w:rsidR="00AA5B64" w:rsidRPr="00E86BE6" w:rsidP="00E86BE6" w14:paraId="2413724F" w14:textId="72D6EBC3">
            <w:pPr>
              <w:pStyle w:val="NoSpacing"/>
              <w:contextualSpacing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86BE6">
              <w:rPr>
                <w:rFonts w:ascii="Arial" w:hAnsi="Arial" w:cs="Arial"/>
                <w:b/>
                <w:sz w:val="20"/>
                <w:szCs w:val="20"/>
              </w:rPr>
              <w:t>- - -</w:t>
            </w:r>
          </w:p>
        </w:tc>
        <w:tc>
          <w:tcPr>
            <w:tcW w:w="1901" w:type="dxa"/>
          </w:tcPr>
          <w:p w:rsidR="00AA5B64" w:rsidRPr="00E86BE6" w:rsidP="00E86BE6" w14:paraId="420F4519" w14:textId="345745C2">
            <w:pPr>
              <w:pStyle w:val="NoSpacing"/>
              <w:contextualSpacing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86BE6">
              <w:rPr>
                <w:rFonts w:ascii="Arial" w:hAnsi="Arial" w:cs="Arial"/>
                <w:b/>
                <w:sz w:val="20"/>
                <w:szCs w:val="20"/>
              </w:rPr>
              <w:t>375</w:t>
            </w:r>
          </w:p>
        </w:tc>
      </w:tr>
    </w:tbl>
    <w:p w:rsidR="00ED165D" w:rsidRPr="00E86BE6" w:rsidP="00E86BE6" w14:paraId="42B1AE00" w14:textId="021A4EFC">
      <w:pPr>
        <w:pStyle w:val="NoSpacing"/>
        <w:contextualSpacing/>
        <w:jc w:val="both"/>
        <w:rPr>
          <w:rFonts w:ascii="Arial" w:hAnsi="Arial" w:cs="Arial"/>
          <w:sz w:val="24"/>
          <w:szCs w:val="24"/>
        </w:rPr>
      </w:pPr>
    </w:p>
    <w:p w:rsidR="007B3BF7" w:rsidRPr="00732CC2" w:rsidP="00E86BE6" w14:paraId="3C25F533" w14:textId="30F375D0">
      <w:pPr>
        <w:pStyle w:val="NoSpacing"/>
        <w:contextualSpacing/>
        <w:jc w:val="both"/>
        <w:rPr>
          <w:rFonts w:ascii="Arial" w:hAnsi="Arial" w:cs="Arial"/>
          <w:sz w:val="24"/>
          <w:szCs w:val="24"/>
        </w:rPr>
      </w:pPr>
      <w:r w:rsidRPr="002926DF">
        <w:rPr>
          <w:rFonts w:ascii="Arial" w:hAnsi="Arial" w:cs="Arial"/>
          <w:sz w:val="24"/>
          <w:szCs w:val="24"/>
        </w:rPr>
        <w:t xml:space="preserve">Additionally, fewer individuals will be filling the </w:t>
      </w:r>
      <w:r w:rsidRPr="00D84880">
        <w:rPr>
          <w:rFonts w:ascii="Arial" w:hAnsi="Arial" w:cs="Arial"/>
          <w:i/>
          <w:iCs/>
          <w:sz w:val="24"/>
          <w:szCs w:val="24"/>
        </w:rPr>
        <w:t>pro hac vice</w:t>
      </w:r>
      <w:r w:rsidRPr="002926DF">
        <w:rPr>
          <w:rFonts w:ascii="Arial" w:hAnsi="Arial" w:cs="Arial"/>
          <w:sz w:val="24"/>
          <w:szCs w:val="24"/>
        </w:rPr>
        <w:t xml:space="preserve"> motion and paying the accompanying fee for that action.</w:t>
      </w:r>
      <w:r w:rsidRPr="002926DF">
        <w:rPr>
          <w:rFonts w:ascii="Arial" w:hAnsi="Arial" w:cs="Arial"/>
          <w:sz w:val="24"/>
          <w:szCs w:val="24"/>
        </w:rPr>
        <w:t xml:space="preserve"> This </w:t>
      </w:r>
      <w:r w:rsidRPr="002926DF">
        <w:rPr>
          <w:rFonts w:ascii="Arial" w:hAnsi="Arial" w:cs="Arial"/>
          <w:sz w:val="24"/>
          <w:szCs w:val="24"/>
        </w:rPr>
        <w:t>result</w:t>
      </w:r>
      <w:r w:rsidR="002C2996">
        <w:rPr>
          <w:rFonts w:ascii="Arial" w:hAnsi="Arial" w:cs="Arial"/>
          <w:sz w:val="24"/>
          <w:szCs w:val="24"/>
        </w:rPr>
        <w:t>s</w:t>
      </w:r>
      <w:r w:rsidRPr="002926DF">
        <w:rPr>
          <w:rFonts w:ascii="Arial" w:hAnsi="Arial" w:cs="Arial"/>
          <w:sz w:val="24"/>
          <w:szCs w:val="24"/>
        </w:rPr>
        <w:t xml:space="preserve"> in a decrease in the </w:t>
      </w:r>
      <w:r w:rsidRPr="00732CC2">
        <w:rPr>
          <w:rFonts w:ascii="Arial" w:hAnsi="Arial" w:cs="Arial"/>
          <w:sz w:val="24"/>
          <w:szCs w:val="24"/>
        </w:rPr>
        <w:t xml:space="preserve">non-hourly cost burdens for this information collection.  </w:t>
      </w:r>
    </w:p>
    <w:p w:rsidR="007B3BF7" w:rsidRPr="00E86BE6" w:rsidP="00E86BE6" w14:paraId="25CCC81E" w14:textId="77777777">
      <w:pPr>
        <w:pStyle w:val="NoSpacing"/>
        <w:contextualSpacing/>
        <w:jc w:val="both"/>
        <w:rPr>
          <w:rFonts w:ascii="Arial" w:hAnsi="Arial" w:cs="Arial"/>
          <w:sz w:val="24"/>
          <w:szCs w:val="24"/>
        </w:rPr>
      </w:pPr>
    </w:p>
    <w:p w:rsidR="008E077F" w:rsidRPr="00E86BE6" w:rsidP="00E86BE6" w14:paraId="356D09C5" w14:textId="43B8D89E">
      <w:pPr>
        <w:pStyle w:val="NoSpacing"/>
        <w:contextualSpacing/>
        <w:jc w:val="both"/>
        <w:rPr>
          <w:rFonts w:ascii="Arial" w:hAnsi="Arial" w:cs="Arial"/>
          <w:sz w:val="20"/>
          <w:szCs w:val="20"/>
        </w:rPr>
      </w:pPr>
      <w:r w:rsidRPr="00E86BE6">
        <w:rPr>
          <w:rFonts w:ascii="Arial" w:hAnsi="Arial" w:cs="Arial"/>
          <w:b/>
          <w:sz w:val="20"/>
          <w:szCs w:val="20"/>
        </w:rPr>
        <w:t xml:space="preserve">Table 3: </w:t>
      </w:r>
      <w:r w:rsidRPr="00E86BE6" w:rsidR="00AA5B64">
        <w:rPr>
          <w:rFonts w:ascii="Arial" w:hAnsi="Arial" w:cs="Arial"/>
          <w:b/>
          <w:sz w:val="20"/>
          <w:szCs w:val="20"/>
        </w:rPr>
        <w:t>Non-hourly Cost to Respondents</w:t>
      </w:r>
      <w:r w:rsidRPr="00E86BE6" w:rsidR="007B3BF7">
        <w:rPr>
          <w:rFonts w:ascii="Arial" w:hAnsi="Arial" w:cs="Arial"/>
          <w:b/>
          <w:sz w:val="20"/>
          <w:szCs w:val="20"/>
        </w:rPr>
        <w:t xml:space="preserve"> (current)</w:t>
      </w:r>
    </w:p>
    <w:tbl>
      <w:tblPr>
        <w:tblStyle w:val="TableGrid"/>
        <w:tblW w:w="5000" w:type="pct"/>
        <w:jc w:val="center"/>
        <w:tblLook w:val="04A0"/>
      </w:tblPr>
      <w:tblGrid>
        <w:gridCol w:w="628"/>
        <w:gridCol w:w="3313"/>
        <w:gridCol w:w="1912"/>
        <w:gridCol w:w="1593"/>
        <w:gridCol w:w="1904"/>
      </w:tblGrid>
      <w:tr w14:paraId="68FA4462" w14:textId="77777777" w:rsidTr="00E86BE6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335" w:type="pct"/>
            <w:shd w:val="clear" w:color="auto" w:fill="BDD6EE" w:themeFill="accent1" w:themeFillTint="66"/>
            <w:vAlign w:val="center"/>
          </w:tcPr>
          <w:p w:rsidR="007B3BF7" w:rsidRPr="00E86BE6" w:rsidP="00E86BE6" w14:paraId="331CA741" w14:textId="77777777">
            <w:pPr>
              <w:pStyle w:val="NoSpacing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B3BF7" w:rsidRPr="00E86BE6" w:rsidP="00E86BE6" w14:paraId="6D493689" w14:textId="744E2832">
            <w:pPr>
              <w:pStyle w:val="NoSpacing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6BE6">
              <w:rPr>
                <w:rFonts w:ascii="Arial" w:hAnsi="Arial" w:cs="Arial"/>
                <w:b/>
                <w:sz w:val="20"/>
                <w:szCs w:val="20"/>
              </w:rPr>
              <w:t>Item No.</w:t>
            </w:r>
          </w:p>
          <w:p w:rsidR="007B3BF7" w:rsidRPr="00E86BE6" w:rsidP="00E86BE6" w14:paraId="2CBE2260" w14:textId="77777777">
            <w:pPr>
              <w:pStyle w:val="NoSpacing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2" w:type="pct"/>
            <w:shd w:val="clear" w:color="auto" w:fill="BDD6EE" w:themeFill="accent1" w:themeFillTint="66"/>
            <w:vAlign w:val="center"/>
          </w:tcPr>
          <w:p w:rsidR="007B3BF7" w:rsidRPr="00E86BE6" w:rsidP="00E86BE6" w14:paraId="1539996A" w14:textId="77777777">
            <w:pPr>
              <w:pStyle w:val="NoSpacing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6BE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1023" w:type="pct"/>
            <w:shd w:val="clear" w:color="auto" w:fill="BDD6EE" w:themeFill="accent1" w:themeFillTint="66"/>
          </w:tcPr>
          <w:p w:rsidR="007B3BF7" w:rsidRPr="00E86BE6" w:rsidP="00E86BE6" w14:paraId="67C8707E" w14:textId="75690397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6BE6">
              <w:rPr>
                <w:rFonts w:ascii="Arial" w:hAnsi="Arial" w:cs="Arial"/>
                <w:b/>
                <w:sz w:val="20"/>
                <w:szCs w:val="20"/>
              </w:rPr>
              <w:t>Estimated Annual Responses</w:t>
            </w:r>
          </w:p>
          <w:p w:rsidR="007B3BF7" w:rsidRPr="00E86BE6" w:rsidP="00E86BE6" w14:paraId="0F908FF5" w14:textId="77777777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B3BF7" w:rsidRPr="00E86BE6" w:rsidP="00E86BE6" w14:paraId="0BC0E1A0" w14:textId="37EF58FC">
            <w:pPr>
              <w:pStyle w:val="NoSpacing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6BE6">
              <w:rPr>
                <w:rFonts w:ascii="Arial" w:hAnsi="Arial" w:cs="Arial"/>
                <w:b/>
                <w:sz w:val="20"/>
                <w:szCs w:val="20"/>
              </w:rPr>
              <w:t>(a)</w:t>
            </w:r>
          </w:p>
        </w:tc>
        <w:tc>
          <w:tcPr>
            <w:tcW w:w="852" w:type="pct"/>
            <w:shd w:val="clear" w:color="auto" w:fill="BDD6EE" w:themeFill="accent1" w:themeFillTint="66"/>
          </w:tcPr>
          <w:p w:rsidR="007B3BF7" w:rsidRPr="00E86BE6" w:rsidP="00E86BE6" w14:paraId="460CF002" w14:textId="77777777">
            <w:pPr>
              <w:tabs>
                <w:tab w:val="left" w:pos="-117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6BE6">
              <w:rPr>
                <w:rFonts w:ascii="Arial" w:hAnsi="Arial" w:cs="Arial"/>
                <w:b/>
                <w:sz w:val="20"/>
                <w:szCs w:val="20"/>
              </w:rPr>
              <w:t xml:space="preserve">Filing Fee </w:t>
            </w:r>
          </w:p>
          <w:p w:rsidR="007B3BF7" w:rsidRPr="00E86BE6" w:rsidP="00E86BE6" w14:paraId="79605AE9" w14:textId="77777777">
            <w:pPr>
              <w:tabs>
                <w:tab w:val="left" w:pos="-117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6BE6">
              <w:rPr>
                <w:rFonts w:ascii="Arial" w:hAnsi="Arial" w:cs="Arial"/>
                <w:b/>
                <w:sz w:val="20"/>
                <w:szCs w:val="20"/>
              </w:rPr>
              <w:t>($)</w:t>
            </w:r>
          </w:p>
          <w:p w:rsidR="007B3BF7" w:rsidRPr="00E86BE6" w:rsidP="00E86BE6" w14:paraId="5D7D6031" w14:textId="77777777">
            <w:pPr>
              <w:tabs>
                <w:tab w:val="left" w:pos="-1176"/>
              </w:tabs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B3BF7" w:rsidRPr="00E86BE6" w:rsidP="00E86BE6" w14:paraId="6FB22734" w14:textId="58BBBAC1">
            <w:pPr>
              <w:pStyle w:val="NoSpacing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6BE6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B17BC1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Pr="00E86BE6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018" w:type="pct"/>
            <w:shd w:val="clear" w:color="auto" w:fill="BDD6EE" w:themeFill="accent1" w:themeFillTint="66"/>
          </w:tcPr>
          <w:p w:rsidR="007B3BF7" w:rsidRPr="00E86BE6" w:rsidP="00E86BE6" w14:paraId="7437E921" w14:textId="3835E796">
            <w:pPr>
              <w:tabs>
                <w:tab w:val="left" w:pos="-117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6BE6">
              <w:rPr>
                <w:rFonts w:ascii="Arial" w:hAnsi="Arial" w:cs="Arial"/>
                <w:b/>
                <w:sz w:val="20"/>
                <w:szCs w:val="20"/>
              </w:rPr>
              <w:t>Estimated Non-Hourly Cost</w:t>
            </w:r>
          </w:p>
          <w:p w:rsidR="007B3BF7" w:rsidRPr="00E86BE6" w:rsidP="00E86BE6" w14:paraId="1FF78EF3" w14:textId="77777777">
            <w:pPr>
              <w:tabs>
                <w:tab w:val="left" w:pos="-1176"/>
              </w:tabs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B3BF7" w:rsidRPr="00E86BE6" w:rsidP="00E86BE6" w14:paraId="019C6C7A" w14:textId="7733D2C5">
            <w:pPr>
              <w:pStyle w:val="NoSpacing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6BE6">
              <w:rPr>
                <w:rFonts w:ascii="Arial" w:hAnsi="Arial" w:cs="Arial"/>
                <w:b/>
                <w:sz w:val="20"/>
                <w:szCs w:val="20"/>
              </w:rPr>
              <w:t xml:space="preserve">(a) x (b) = (c) </w:t>
            </w:r>
          </w:p>
        </w:tc>
      </w:tr>
      <w:tr w14:paraId="70997676" w14:textId="77777777" w:rsidTr="00D568CD">
        <w:tblPrEx>
          <w:tblW w:w="5000" w:type="pct"/>
          <w:jc w:val="center"/>
          <w:tblLook w:val="04A0"/>
        </w:tblPrEx>
        <w:trPr>
          <w:trHeight w:val="1169"/>
          <w:jc w:val="center"/>
        </w:trPr>
        <w:tc>
          <w:tcPr>
            <w:tcW w:w="335" w:type="pct"/>
            <w:vAlign w:val="center"/>
          </w:tcPr>
          <w:p w:rsidR="00A14CEA" w:rsidRPr="00E86BE6" w:rsidP="00E86BE6" w14:paraId="641E490E" w14:textId="5E39A82F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86B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Pr="00E86BE6" w:rsidR="006944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72" w:type="pct"/>
            <w:vAlign w:val="center"/>
          </w:tcPr>
          <w:p w:rsidR="00A14CEA" w:rsidRPr="00E86BE6" w:rsidP="00E86BE6" w14:paraId="78E58123" w14:textId="21AB8988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6BE6">
              <w:rPr>
                <w:rFonts w:ascii="Arial" w:hAnsi="Arial" w:cs="Arial"/>
                <w:color w:val="000000"/>
                <w:sz w:val="20"/>
                <w:szCs w:val="20"/>
              </w:rPr>
              <w:t>Pro Hac Vice Admission Fee</w:t>
            </w:r>
            <w:r w:rsidRPr="00E86BE6" w:rsidR="00D568C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23" w:type="pct"/>
            <w:vAlign w:val="center"/>
          </w:tcPr>
          <w:p w:rsidR="00A14CEA" w:rsidRPr="00E86BE6" w:rsidP="00E86BE6" w14:paraId="42318F95" w14:textId="700DF206">
            <w:pPr>
              <w:contextualSpacing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6BE6">
              <w:rPr>
                <w:rFonts w:ascii="Arial" w:hAnsi="Arial" w:cs="Arial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852" w:type="pct"/>
            <w:vAlign w:val="center"/>
          </w:tcPr>
          <w:p w:rsidR="00A14CEA" w:rsidRPr="00E86BE6" w:rsidP="00E86BE6" w14:paraId="59D92EFC" w14:textId="4B2103A4">
            <w:pPr>
              <w:contextualSpacing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6BE6">
              <w:rPr>
                <w:rFonts w:ascii="Arial" w:hAnsi="Arial" w:cs="Arial"/>
                <w:color w:val="000000"/>
                <w:sz w:val="20"/>
                <w:szCs w:val="20"/>
              </w:rPr>
              <w:t>$250</w:t>
            </w:r>
          </w:p>
        </w:tc>
        <w:tc>
          <w:tcPr>
            <w:tcW w:w="1018" w:type="pct"/>
            <w:vAlign w:val="center"/>
          </w:tcPr>
          <w:p w:rsidR="00A14CEA" w:rsidRPr="00E86BE6" w:rsidP="00E86BE6" w14:paraId="025E240B" w14:textId="7A39998A">
            <w:pPr>
              <w:contextualSpacing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6BE6">
              <w:rPr>
                <w:rFonts w:ascii="Arial" w:hAnsi="Arial" w:cs="Arial"/>
                <w:color w:val="000000"/>
                <w:sz w:val="20"/>
                <w:szCs w:val="20"/>
              </w:rPr>
              <w:t>$237,500</w:t>
            </w:r>
          </w:p>
        </w:tc>
      </w:tr>
      <w:tr w14:paraId="0651EE92" w14:textId="77777777" w:rsidTr="00D568CD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335" w:type="pct"/>
            <w:vAlign w:val="center"/>
          </w:tcPr>
          <w:p w:rsidR="00A14CEA" w:rsidRPr="00E86BE6" w:rsidP="00E86BE6" w14:paraId="19007236" w14:textId="77777777">
            <w:pPr>
              <w:pStyle w:val="NoSpacing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2" w:type="pct"/>
            <w:vAlign w:val="center"/>
          </w:tcPr>
          <w:p w:rsidR="00A14CEA" w:rsidRPr="00E86BE6" w:rsidP="00E86BE6" w14:paraId="412A4461" w14:textId="77777777">
            <w:pPr>
              <w:pStyle w:val="NoSpacing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86BE6">
              <w:rPr>
                <w:rFonts w:ascii="Arial" w:hAnsi="Arial" w:cs="Arial"/>
                <w:b/>
                <w:sz w:val="20"/>
                <w:szCs w:val="20"/>
              </w:rPr>
              <w:t>Totals</w:t>
            </w:r>
          </w:p>
        </w:tc>
        <w:tc>
          <w:tcPr>
            <w:tcW w:w="1023" w:type="pct"/>
            <w:vAlign w:val="center"/>
          </w:tcPr>
          <w:p w:rsidR="00A14CEA" w:rsidRPr="00E86BE6" w:rsidP="00E86BE6" w14:paraId="1E2F566A" w14:textId="7856DA67">
            <w:pPr>
              <w:pStyle w:val="NoSpacing"/>
              <w:contextualSpacing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6B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950</w:t>
            </w:r>
          </w:p>
        </w:tc>
        <w:tc>
          <w:tcPr>
            <w:tcW w:w="852" w:type="pct"/>
          </w:tcPr>
          <w:p w:rsidR="00A14CEA" w:rsidRPr="00E86BE6" w:rsidP="00E86BE6" w14:paraId="0F70A281" w14:textId="36F3C59E">
            <w:pPr>
              <w:pStyle w:val="NoSpacing"/>
              <w:contextualSpacing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 - -</w:t>
            </w:r>
          </w:p>
        </w:tc>
        <w:tc>
          <w:tcPr>
            <w:tcW w:w="1018" w:type="pct"/>
            <w:vAlign w:val="center"/>
          </w:tcPr>
          <w:p w:rsidR="00A14CEA" w:rsidRPr="00E86BE6" w:rsidP="00E86BE6" w14:paraId="1912EE70" w14:textId="6680F223">
            <w:pPr>
              <w:pStyle w:val="NoSpacing"/>
              <w:contextualSpacing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6B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$237,500</w:t>
            </w:r>
          </w:p>
        </w:tc>
      </w:tr>
    </w:tbl>
    <w:p w:rsidR="008E077F" w:rsidRPr="00E86BE6" w:rsidP="00E86BE6" w14:paraId="103A0D24" w14:textId="2F5DA811">
      <w:pPr>
        <w:pStyle w:val="NoSpacing"/>
        <w:contextualSpacing/>
        <w:jc w:val="both"/>
        <w:rPr>
          <w:rFonts w:ascii="Arial" w:hAnsi="Arial" w:cs="Arial"/>
          <w:sz w:val="24"/>
          <w:szCs w:val="24"/>
        </w:rPr>
      </w:pPr>
    </w:p>
    <w:p w:rsidR="007B3BF7" w:rsidRPr="00E86BE6" w:rsidP="00E86BE6" w14:paraId="026C4F1F" w14:textId="06CDD686">
      <w:pPr>
        <w:pStyle w:val="NoSpacing"/>
        <w:contextualSpacing/>
        <w:jc w:val="both"/>
        <w:rPr>
          <w:rFonts w:ascii="Arial" w:hAnsi="Arial" w:cs="Arial"/>
          <w:sz w:val="20"/>
          <w:szCs w:val="20"/>
        </w:rPr>
      </w:pPr>
      <w:r w:rsidRPr="00E86BE6">
        <w:rPr>
          <w:rFonts w:ascii="Arial" w:hAnsi="Arial" w:cs="Arial"/>
          <w:b/>
          <w:sz w:val="20"/>
          <w:szCs w:val="20"/>
        </w:rPr>
        <w:t xml:space="preserve">Table 4: Non-hourly Cost to Respondents (proposed) </w:t>
      </w:r>
    </w:p>
    <w:tbl>
      <w:tblPr>
        <w:tblStyle w:val="TableGrid"/>
        <w:tblW w:w="5000" w:type="pct"/>
        <w:jc w:val="center"/>
        <w:tblLook w:val="04A0"/>
      </w:tblPr>
      <w:tblGrid>
        <w:gridCol w:w="628"/>
        <w:gridCol w:w="3313"/>
        <w:gridCol w:w="1912"/>
        <w:gridCol w:w="1593"/>
        <w:gridCol w:w="1904"/>
      </w:tblGrid>
      <w:tr w14:paraId="3F8C581B" w14:textId="77777777" w:rsidTr="00E86BE6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335" w:type="pct"/>
            <w:shd w:val="clear" w:color="auto" w:fill="BDD6EE" w:themeFill="accent1" w:themeFillTint="66"/>
            <w:vAlign w:val="center"/>
          </w:tcPr>
          <w:p w:rsidR="007B3BF7" w:rsidRPr="00E86BE6" w:rsidP="00E86BE6" w14:paraId="1024030D" w14:textId="77777777">
            <w:pPr>
              <w:pStyle w:val="NoSpacing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B3BF7" w:rsidRPr="00E86BE6" w:rsidP="00E86BE6" w14:paraId="5095B256" w14:textId="7BEE356D">
            <w:pPr>
              <w:pStyle w:val="NoSpacing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6BE6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E86BE6" w:rsidR="00C7683D">
              <w:rPr>
                <w:rFonts w:ascii="Arial" w:hAnsi="Arial" w:cs="Arial"/>
                <w:b/>
                <w:sz w:val="20"/>
                <w:szCs w:val="20"/>
              </w:rPr>
              <w:t>tem</w:t>
            </w:r>
            <w:r w:rsidRPr="00E86BE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86BE6" w:rsidR="00C7683D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  <w:p w:rsidR="007B3BF7" w:rsidRPr="00E86BE6" w:rsidP="00E86BE6" w14:paraId="19E768F5" w14:textId="77777777">
            <w:pPr>
              <w:pStyle w:val="NoSpacing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2" w:type="pct"/>
            <w:shd w:val="clear" w:color="auto" w:fill="BDD6EE" w:themeFill="accent1" w:themeFillTint="66"/>
            <w:vAlign w:val="center"/>
          </w:tcPr>
          <w:p w:rsidR="007B3BF7" w:rsidRPr="00E86BE6" w:rsidP="00E86BE6" w14:paraId="5DB23F11" w14:textId="77777777">
            <w:pPr>
              <w:pStyle w:val="NoSpacing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6BE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1023" w:type="pct"/>
            <w:shd w:val="clear" w:color="auto" w:fill="BDD6EE" w:themeFill="accent1" w:themeFillTint="66"/>
          </w:tcPr>
          <w:p w:rsidR="007B3BF7" w:rsidRPr="00E86BE6" w:rsidP="00E86BE6" w14:paraId="1674183A" w14:textId="77777777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6BE6">
              <w:rPr>
                <w:rFonts w:ascii="Arial" w:hAnsi="Arial" w:cs="Arial"/>
                <w:b/>
                <w:sz w:val="20"/>
                <w:szCs w:val="20"/>
              </w:rPr>
              <w:t>Estimated Annual Responses</w:t>
            </w:r>
          </w:p>
          <w:p w:rsidR="007B3BF7" w:rsidRPr="00E86BE6" w:rsidP="00E86BE6" w14:paraId="5E251274" w14:textId="77777777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B3BF7" w:rsidRPr="00E86BE6" w:rsidP="00E86BE6" w14:paraId="1A2A54A2" w14:textId="4F41C3BB">
            <w:pPr>
              <w:pStyle w:val="NoSpacing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6BE6">
              <w:rPr>
                <w:rFonts w:ascii="Arial" w:hAnsi="Arial" w:cs="Arial"/>
                <w:b/>
                <w:sz w:val="20"/>
                <w:szCs w:val="20"/>
              </w:rPr>
              <w:t>(a)</w:t>
            </w:r>
          </w:p>
        </w:tc>
        <w:tc>
          <w:tcPr>
            <w:tcW w:w="852" w:type="pct"/>
            <w:shd w:val="clear" w:color="auto" w:fill="BDD6EE" w:themeFill="accent1" w:themeFillTint="66"/>
          </w:tcPr>
          <w:p w:rsidR="007B3BF7" w:rsidRPr="00E86BE6" w:rsidP="00E86BE6" w14:paraId="50A7E53A" w14:textId="77777777">
            <w:pPr>
              <w:tabs>
                <w:tab w:val="left" w:pos="-117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6BE6">
              <w:rPr>
                <w:rFonts w:ascii="Arial" w:hAnsi="Arial" w:cs="Arial"/>
                <w:b/>
                <w:sz w:val="20"/>
                <w:szCs w:val="20"/>
              </w:rPr>
              <w:t xml:space="preserve">Filing Fee </w:t>
            </w:r>
          </w:p>
          <w:p w:rsidR="00B17BC1" w:rsidP="00C7683D" w14:paraId="7B0B660A" w14:textId="7C849EE4">
            <w:pPr>
              <w:tabs>
                <w:tab w:val="left" w:pos="-117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6BE6">
              <w:rPr>
                <w:rFonts w:ascii="Arial" w:hAnsi="Arial" w:cs="Arial"/>
                <w:b/>
                <w:sz w:val="20"/>
                <w:szCs w:val="20"/>
              </w:rPr>
              <w:t>($)</w:t>
            </w:r>
          </w:p>
          <w:p w:rsidR="00C7683D" w:rsidRPr="00E86BE6" w:rsidP="002C2996" w14:paraId="2D272E8B" w14:textId="77777777">
            <w:pPr>
              <w:tabs>
                <w:tab w:val="left" w:pos="-1176"/>
              </w:tabs>
              <w:contextualSpacing/>
            </w:pPr>
          </w:p>
          <w:p w:rsidR="007B3BF7" w:rsidRPr="00E86BE6" w:rsidP="00E86BE6" w14:paraId="64FD7C14" w14:textId="06D07A42">
            <w:pPr>
              <w:pStyle w:val="NoSpacing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6BE6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B17BC1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Pr="00E86BE6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018" w:type="pct"/>
            <w:shd w:val="clear" w:color="auto" w:fill="BDD6EE" w:themeFill="accent1" w:themeFillTint="66"/>
          </w:tcPr>
          <w:p w:rsidR="00C7683D" w:rsidRPr="00E86BE6" w:rsidP="00E86BE6" w14:paraId="3DAF8974" w14:textId="06EED8F9">
            <w:pPr>
              <w:tabs>
                <w:tab w:val="left" w:pos="-1176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6BE6">
              <w:rPr>
                <w:rFonts w:ascii="Arial" w:hAnsi="Arial" w:cs="Arial"/>
                <w:b/>
                <w:sz w:val="20"/>
                <w:szCs w:val="20"/>
              </w:rPr>
              <w:t>Estimated Non-Hourly Cost</w:t>
            </w:r>
          </w:p>
          <w:p w:rsidR="007B3BF7" w:rsidRPr="00E86BE6" w:rsidP="002C2996" w14:paraId="23D6C3DB" w14:textId="77777777">
            <w:pPr>
              <w:tabs>
                <w:tab w:val="left" w:pos="-1176"/>
              </w:tabs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B3BF7" w:rsidRPr="00E86BE6" w:rsidP="00E86BE6" w14:paraId="6B8DF211" w14:textId="012480AE">
            <w:pPr>
              <w:pStyle w:val="NoSpacing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6BE6">
              <w:rPr>
                <w:rFonts w:ascii="Arial" w:hAnsi="Arial" w:cs="Arial"/>
                <w:b/>
                <w:sz w:val="20"/>
                <w:szCs w:val="20"/>
              </w:rPr>
              <w:t xml:space="preserve">(a) x (b) = (c) </w:t>
            </w:r>
          </w:p>
        </w:tc>
      </w:tr>
      <w:tr w14:paraId="28711608" w14:textId="77777777" w:rsidTr="00F00C39">
        <w:tblPrEx>
          <w:tblW w:w="5000" w:type="pct"/>
          <w:jc w:val="center"/>
          <w:tblLook w:val="04A0"/>
        </w:tblPrEx>
        <w:trPr>
          <w:trHeight w:val="1169"/>
          <w:jc w:val="center"/>
        </w:trPr>
        <w:tc>
          <w:tcPr>
            <w:tcW w:w="335" w:type="pct"/>
            <w:vAlign w:val="center"/>
          </w:tcPr>
          <w:p w:rsidR="007B3BF7" w:rsidRPr="00E86BE6" w:rsidP="00E86BE6" w14:paraId="061CED3D" w14:textId="77777777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86B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72" w:type="pct"/>
            <w:vAlign w:val="center"/>
          </w:tcPr>
          <w:p w:rsidR="007B3BF7" w:rsidRPr="00E86BE6" w:rsidP="00E86BE6" w14:paraId="1EC5E014" w14:textId="14067544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6BE6">
              <w:rPr>
                <w:rFonts w:ascii="Arial" w:hAnsi="Arial" w:cs="Arial"/>
                <w:color w:val="000000"/>
                <w:sz w:val="20"/>
                <w:szCs w:val="20"/>
              </w:rPr>
              <w:t>Pro Hac Vice Admission Fee</w:t>
            </w:r>
          </w:p>
        </w:tc>
        <w:tc>
          <w:tcPr>
            <w:tcW w:w="1023" w:type="pct"/>
            <w:vAlign w:val="center"/>
          </w:tcPr>
          <w:p w:rsidR="007B3BF7" w:rsidRPr="00E86BE6" w:rsidP="00E86BE6" w14:paraId="27BA6A05" w14:textId="09D53E10">
            <w:pPr>
              <w:contextualSpacing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6BE6">
              <w:rPr>
                <w:rFonts w:ascii="Arial" w:hAnsi="Arial" w:cs="Arial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852" w:type="pct"/>
            <w:vAlign w:val="center"/>
          </w:tcPr>
          <w:p w:rsidR="007B3BF7" w:rsidRPr="00E86BE6" w:rsidP="00E86BE6" w14:paraId="58C56C39" w14:textId="4834676A">
            <w:pPr>
              <w:contextualSpacing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6BE6">
              <w:rPr>
                <w:rFonts w:ascii="Arial" w:hAnsi="Arial" w:cs="Arial"/>
                <w:color w:val="000000"/>
                <w:sz w:val="20"/>
                <w:szCs w:val="20"/>
              </w:rPr>
              <w:t>$250</w:t>
            </w:r>
          </w:p>
        </w:tc>
        <w:tc>
          <w:tcPr>
            <w:tcW w:w="1018" w:type="pct"/>
            <w:vAlign w:val="center"/>
          </w:tcPr>
          <w:p w:rsidR="007B3BF7" w:rsidRPr="00E86BE6" w:rsidP="00E86BE6" w14:paraId="28D5AD96" w14:textId="0B983D22">
            <w:pPr>
              <w:contextualSpacing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6BE6">
              <w:rPr>
                <w:rFonts w:ascii="Arial" w:hAnsi="Arial" w:cs="Arial"/>
                <w:color w:val="000000"/>
                <w:sz w:val="20"/>
                <w:szCs w:val="20"/>
              </w:rPr>
              <w:t>$112,500</w:t>
            </w:r>
          </w:p>
        </w:tc>
      </w:tr>
      <w:tr w14:paraId="56A91596" w14:textId="77777777" w:rsidTr="00F00C39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335" w:type="pct"/>
            <w:vAlign w:val="center"/>
          </w:tcPr>
          <w:p w:rsidR="007B3BF7" w:rsidRPr="00E86BE6" w:rsidP="00E86BE6" w14:paraId="1566EFC6" w14:textId="77777777">
            <w:pPr>
              <w:pStyle w:val="NoSpacing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2" w:type="pct"/>
            <w:vAlign w:val="center"/>
          </w:tcPr>
          <w:p w:rsidR="007B3BF7" w:rsidRPr="00E86BE6" w:rsidP="00E86BE6" w14:paraId="2909419E" w14:textId="77777777">
            <w:pPr>
              <w:pStyle w:val="NoSpacing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86BE6">
              <w:rPr>
                <w:rFonts w:ascii="Arial" w:hAnsi="Arial" w:cs="Arial"/>
                <w:b/>
                <w:sz w:val="20"/>
                <w:szCs w:val="20"/>
              </w:rPr>
              <w:t>Totals</w:t>
            </w:r>
          </w:p>
        </w:tc>
        <w:tc>
          <w:tcPr>
            <w:tcW w:w="1023" w:type="pct"/>
            <w:vAlign w:val="center"/>
          </w:tcPr>
          <w:p w:rsidR="007B3BF7" w:rsidRPr="00E86BE6" w:rsidP="00E86BE6" w14:paraId="63271733" w14:textId="28ED9164">
            <w:pPr>
              <w:pStyle w:val="NoSpacing"/>
              <w:contextualSpacing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6B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450</w:t>
            </w:r>
          </w:p>
        </w:tc>
        <w:tc>
          <w:tcPr>
            <w:tcW w:w="852" w:type="pct"/>
          </w:tcPr>
          <w:p w:rsidR="007B3BF7" w:rsidRPr="00E86BE6" w:rsidP="00E86BE6" w14:paraId="6DB1E055" w14:textId="5E1D2E2C">
            <w:pPr>
              <w:pStyle w:val="NoSpacing"/>
              <w:contextualSpacing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 - -</w:t>
            </w:r>
          </w:p>
        </w:tc>
        <w:tc>
          <w:tcPr>
            <w:tcW w:w="1018" w:type="pct"/>
            <w:vAlign w:val="center"/>
          </w:tcPr>
          <w:p w:rsidR="007B3BF7" w:rsidRPr="00E86BE6" w:rsidP="00E86BE6" w14:paraId="5BF810CB" w14:textId="17D4B500">
            <w:pPr>
              <w:pStyle w:val="NoSpacing"/>
              <w:contextualSpacing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6B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$112,500</w:t>
            </w:r>
          </w:p>
        </w:tc>
      </w:tr>
    </w:tbl>
    <w:p w:rsidR="007B3BF7" w:rsidRPr="00E86BE6" w:rsidP="00E86BE6" w14:paraId="5FD812EA" w14:textId="77777777">
      <w:pPr>
        <w:pStyle w:val="NoSpacing"/>
        <w:contextualSpacing/>
        <w:jc w:val="both"/>
        <w:rPr>
          <w:rFonts w:ascii="Arial" w:hAnsi="Arial" w:cs="Arial"/>
          <w:sz w:val="24"/>
          <w:szCs w:val="24"/>
        </w:rPr>
      </w:pPr>
    </w:p>
    <w:p w:rsidR="008E077F" w:rsidRPr="00E86BE6" w:rsidP="00E86BE6" w14:paraId="1E16D71A" w14:textId="77777777">
      <w:pPr>
        <w:pStyle w:val="NoSpacing"/>
        <w:contextualSpacing/>
        <w:jc w:val="both"/>
        <w:rPr>
          <w:rFonts w:ascii="Arial" w:hAnsi="Arial" w:cs="Arial"/>
          <w:sz w:val="24"/>
          <w:szCs w:val="24"/>
        </w:rPr>
      </w:pPr>
      <w:r w:rsidRPr="00E86BE6">
        <w:rPr>
          <w:rFonts w:ascii="Arial" w:hAnsi="Arial" w:cs="Arial"/>
          <w:sz w:val="24"/>
          <w:szCs w:val="24"/>
          <w:u w:val="single"/>
        </w:rPr>
        <w:t>Summary of Changes</w:t>
      </w:r>
    </w:p>
    <w:p w:rsidR="008E077F" w:rsidRPr="00E86BE6" w:rsidP="00E86BE6" w14:paraId="6D46BCAF" w14:textId="77777777">
      <w:pPr>
        <w:pStyle w:val="NoSpacing"/>
        <w:contextualSpacing/>
        <w:jc w:val="both"/>
        <w:rPr>
          <w:rFonts w:ascii="Arial" w:hAnsi="Arial" w:cs="Arial"/>
          <w:sz w:val="24"/>
          <w:szCs w:val="24"/>
        </w:rPr>
      </w:pPr>
    </w:p>
    <w:p w:rsidR="008E077F" w:rsidRPr="00E86BE6" w:rsidP="00E86BE6" w14:paraId="4DC18746" w14:textId="1E0AFBF7">
      <w:pPr>
        <w:pStyle w:val="NoSpacing"/>
        <w:contextualSpacing/>
        <w:jc w:val="both"/>
        <w:rPr>
          <w:rFonts w:ascii="Arial" w:hAnsi="Arial" w:cs="Arial"/>
          <w:sz w:val="24"/>
          <w:szCs w:val="24"/>
        </w:rPr>
      </w:pPr>
      <w:r w:rsidRPr="00E86BE6">
        <w:rPr>
          <w:rFonts w:ascii="Arial" w:hAnsi="Arial" w:cs="Arial"/>
          <w:sz w:val="24"/>
          <w:szCs w:val="24"/>
        </w:rPr>
        <w:t>Th</w:t>
      </w:r>
      <w:r w:rsidRPr="00E86BE6" w:rsidR="00877075">
        <w:rPr>
          <w:rFonts w:ascii="Arial" w:hAnsi="Arial" w:cs="Arial"/>
          <w:sz w:val="24"/>
          <w:szCs w:val="24"/>
        </w:rPr>
        <w:t>is final rule results in a decrease of 100 hours</w:t>
      </w:r>
      <w:r w:rsidR="00C7683D">
        <w:rPr>
          <w:rFonts w:ascii="Arial" w:hAnsi="Arial" w:cs="Arial"/>
          <w:sz w:val="24"/>
          <w:szCs w:val="24"/>
        </w:rPr>
        <w:t xml:space="preserve"> </w:t>
      </w:r>
      <w:r w:rsidRPr="00AA4E2E" w:rsidR="00C7683D">
        <w:rPr>
          <w:rFonts w:ascii="Arial" w:hAnsi="Arial" w:cs="Arial"/>
          <w:sz w:val="24"/>
          <w:szCs w:val="24"/>
        </w:rPr>
        <w:t>in hourly burden</w:t>
      </w:r>
      <w:r w:rsidRPr="00E86BE6" w:rsidR="00877075">
        <w:rPr>
          <w:rFonts w:ascii="Arial" w:hAnsi="Arial" w:cs="Arial"/>
          <w:sz w:val="24"/>
          <w:szCs w:val="24"/>
        </w:rPr>
        <w:t xml:space="preserve"> due to respondents use </w:t>
      </w:r>
      <w:r w:rsidR="00C7683D">
        <w:rPr>
          <w:rFonts w:ascii="Arial" w:hAnsi="Arial" w:cs="Arial"/>
          <w:sz w:val="24"/>
          <w:szCs w:val="24"/>
        </w:rPr>
        <w:t xml:space="preserve">of </w:t>
      </w:r>
      <w:r w:rsidRPr="00E86BE6" w:rsidR="00877075">
        <w:rPr>
          <w:rFonts w:ascii="Arial" w:hAnsi="Arial" w:cs="Arial"/>
          <w:sz w:val="24"/>
          <w:szCs w:val="24"/>
        </w:rPr>
        <w:t xml:space="preserve">the streamlined </w:t>
      </w:r>
      <w:r w:rsidRPr="002410A8" w:rsidR="006414F4">
        <w:rPr>
          <w:rFonts w:ascii="Arial" w:hAnsi="Arial" w:cs="Arial"/>
          <w:i/>
          <w:iCs/>
          <w:sz w:val="24"/>
          <w:szCs w:val="24"/>
        </w:rPr>
        <w:t>p</w:t>
      </w:r>
      <w:r w:rsidRPr="002410A8" w:rsidR="00877075">
        <w:rPr>
          <w:rFonts w:ascii="Arial" w:hAnsi="Arial" w:cs="Arial"/>
          <w:i/>
          <w:iCs/>
          <w:sz w:val="24"/>
          <w:szCs w:val="24"/>
        </w:rPr>
        <w:t xml:space="preserve">ro </w:t>
      </w:r>
      <w:r w:rsidRPr="002410A8" w:rsidR="006414F4">
        <w:rPr>
          <w:rFonts w:ascii="Arial" w:hAnsi="Arial" w:cs="Arial"/>
          <w:i/>
          <w:iCs/>
          <w:sz w:val="24"/>
          <w:szCs w:val="24"/>
        </w:rPr>
        <w:t>h</w:t>
      </w:r>
      <w:r w:rsidRPr="002410A8" w:rsidR="00877075">
        <w:rPr>
          <w:rFonts w:ascii="Arial" w:hAnsi="Arial" w:cs="Arial"/>
          <w:i/>
          <w:iCs/>
          <w:sz w:val="24"/>
          <w:szCs w:val="24"/>
        </w:rPr>
        <w:t xml:space="preserve">ac </w:t>
      </w:r>
      <w:r w:rsidRPr="002410A8" w:rsidR="006414F4">
        <w:rPr>
          <w:rFonts w:ascii="Arial" w:hAnsi="Arial" w:cs="Arial"/>
          <w:i/>
          <w:iCs/>
          <w:sz w:val="24"/>
          <w:szCs w:val="24"/>
        </w:rPr>
        <w:t>v</w:t>
      </w:r>
      <w:r w:rsidRPr="002410A8" w:rsidR="00877075">
        <w:rPr>
          <w:rFonts w:ascii="Arial" w:hAnsi="Arial" w:cs="Arial"/>
          <w:i/>
          <w:iCs/>
          <w:sz w:val="24"/>
          <w:szCs w:val="24"/>
        </w:rPr>
        <w:t>ice</w:t>
      </w:r>
      <w:r w:rsidRPr="00E86BE6" w:rsidR="00877075">
        <w:rPr>
          <w:rFonts w:ascii="Arial" w:hAnsi="Arial" w:cs="Arial"/>
          <w:sz w:val="24"/>
          <w:szCs w:val="24"/>
        </w:rPr>
        <w:t xml:space="preserve"> option. This also results in a decrease of $125,000 in cost burdens; saving from individuals no longer having to fill out new </w:t>
      </w:r>
      <w:r w:rsidRPr="002410A8" w:rsidR="006414F4">
        <w:rPr>
          <w:rFonts w:ascii="Arial" w:hAnsi="Arial" w:cs="Arial"/>
          <w:i/>
          <w:iCs/>
          <w:sz w:val="24"/>
          <w:szCs w:val="24"/>
        </w:rPr>
        <w:t>p</w:t>
      </w:r>
      <w:r w:rsidRPr="002410A8" w:rsidR="00877075">
        <w:rPr>
          <w:rFonts w:ascii="Arial" w:hAnsi="Arial" w:cs="Arial"/>
          <w:i/>
          <w:iCs/>
          <w:sz w:val="24"/>
          <w:szCs w:val="24"/>
        </w:rPr>
        <w:t xml:space="preserve">ro </w:t>
      </w:r>
      <w:r w:rsidRPr="002410A8" w:rsidR="006414F4">
        <w:rPr>
          <w:rFonts w:ascii="Arial" w:hAnsi="Arial" w:cs="Arial"/>
          <w:i/>
          <w:iCs/>
          <w:sz w:val="24"/>
          <w:szCs w:val="24"/>
        </w:rPr>
        <w:t>h</w:t>
      </w:r>
      <w:r w:rsidRPr="002410A8" w:rsidR="00877075">
        <w:rPr>
          <w:rFonts w:ascii="Arial" w:hAnsi="Arial" w:cs="Arial"/>
          <w:i/>
          <w:iCs/>
          <w:sz w:val="24"/>
          <w:szCs w:val="24"/>
        </w:rPr>
        <w:t xml:space="preserve">ac </w:t>
      </w:r>
      <w:r w:rsidRPr="002410A8" w:rsidR="006414F4">
        <w:rPr>
          <w:rFonts w:ascii="Arial" w:hAnsi="Arial" w:cs="Arial"/>
          <w:i/>
          <w:iCs/>
          <w:sz w:val="24"/>
          <w:szCs w:val="24"/>
        </w:rPr>
        <w:t>v</w:t>
      </w:r>
      <w:r w:rsidRPr="002410A8" w:rsidR="00877075">
        <w:rPr>
          <w:rFonts w:ascii="Arial" w:hAnsi="Arial" w:cs="Arial"/>
          <w:i/>
          <w:iCs/>
          <w:sz w:val="24"/>
          <w:szCs w:val="24"/>
        </w:rPr>
        <w:t>ice</w:t>
      </w:r>
      <w:r w:rsidRPr="00E86BE6" w:rsidR="00877075">
        <w:rPr>
          <w:rFonts w:ascii="Arial" w:hAnsi="Arial" w:cs="Arial"/>
          <w:sz w:val="24"/>
          <w:szCs w:val="24"/>
        </w:rPr>
        <w:t xml:space="preserve"> motions.  </w:t>
      </w:r>
      <w:r w:rsidRPr="00E86BE6">
        <w:rPr>
          <w:rFonts w:ascii="Arial" w:hAnsi="Arial" w:cs="Arial"/>
          <w:sz w:val="24"/>
          <w:szCs w:val="24"/>
        </w:rPr>
        <w:t xml:space="preserve"> </w:t>
      </w:r>
    </w:p>
    <w:p w:rsidR="00AA5B64" w:rsidRPr="00E86BE6" w:rsidP="00E86BE6" w14:paraId="36B664EF" w14:textId="04103D1B">
      <w:pPr>
        <w:pStyle w:val="NoSpacing"/>
        <w:contextualSpacing/>
        <w:jc w:val="both"/>
        <w:rPr>
          <w:rFonts w:ascii="Arial" w:hAnsi="Arial" w:cs="Arial"/>
          <w:sz w:val="24"/>
          <w:szCs w:val="24"/>
          <w:u w:val="single"/>
        </w:rPr>
      </w:pPr>
    </w:p>
    <w:p w:rsidR="00C7683D" w:rsidRPr="006004C0" w:rsidP="00C7683D" w14:paraId="656FCA70" w14:textId="77777777">
      <w:pPr>
        <w:pStyle w:val="NoSpacing"/>
        <w:rPr>
          <w:rFonts w:ascii="Arial" w:hAnsi="Arial" w:cs="Arial"/>
          <w:sz w:val="24"/>
          <w:szCs w:val="24"/>
        </w:rPr>
      </w:pPr>
      <w:r w:rsidRPr="006004C0">
        <w:rPr>
          <w:rFonts w:ascii="Arial" w:hAnsi="Arial" w:cs="Arial"/>
          <w:sz w:val="24"/>
          <w:szCs w:val="24"/>
          <w:u w:val="single"/>
        </w:rPr>
        <w:t>Changes in Burden</w:t>
      </w:r>
    </w:p>
    <w:p w:rsidR="00C7683D" w:rsidRPr="006004C0" w:rsidP="00C7683D" w14:paraId="0CB628DF" w14:textId="77777777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235"/>
        <w:gridCol w:w="2070"/>
        <w:gridCol w:w="1980"/>
        <w:gridCol w:w="2065"/>
      </w:tblGrid>
      <w:tr w14:paraId="51B00B9C" w14:textId="77777777" w:rsidTr="00AA4E2E">
        <w:tblPrEx>
          <w:tblW w:w="0" w:type="auto"/>
          <w:tblLook w:val="04A0"/>
        </w:tblPrEx>
        <w:tc>
          <w:tcPr>
            <w:tcW w:w="3235" w:type="dxa"/>
            <w:shd w:val="clear" w:color="auto" w:fill="BDD6EE" w:themeFill="accent1" w:themeFillTint="66"/>
            <w:vAlign w:val="center"/>
          </w:tcPr>
          <w:p w:rsidR="00C7683D" w:rsidRPr="007353A9" w:rsidP="00AA4E2E" w14:paraId="434AA1FE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53A9">
              <w:rPr>
                <w:rFonts w:ascii="Arial" w:hAnsi="Arial" w:cs="Arial"/>
                <w:b/>
                <w:sz w:val="20"/>
                <w:szCs w:val="20"/>
              </w:rPr>
              <w:t>Burden Type</w:t>
            </w:r>
          </w:p>
        </w:tc>
        <w:tc>
          <w:tcPr>
            <w:tcW w:w="2070" w:type="dxa"/>
            <w:shd w:val="clear" w:color="auto" w:fill="BDD6EE" w:themeFill="accent1" w:themeFillTint="66"/>
            <w:vAlign w:val="center"/>
          </w:tcPr>
          <w:p w:rsidR="00C7683D" w:rsidRPr="007353A9" w:rsidP="00AA4E2E" w14:paraId="213562D8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53A9">
              <w:rPr>
                <w:rFonts w:ascii="Arial" w:hAnsi="Arial" w:cs="Arial"/>
                <w:b/>
                <w:sz w:val="20"/>
                <w:szCs w:val="20"/>
              </w:rPr>
              <w:t>Currently Approved</w:t>
            </w:r>
          </w:p>
        </w:tc>
        <w:tc>
          <w:tcPr>
            <w:tcW w:w="1980" w:type="dxa"/>
            <w:shd w:val="clear" w:color="auto" w:fill="BDD6EE" w:themeFill="accent1" w:themeFillTint="66"/>
            <w:vAlign w:val="center"/>
          </w:tcPr>
          <w:p w:rsidR="00C7683D" w:rsidRPr="007353A9" w:rsidP="00AA4E2E" w14:paraId="181DBC95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53A9">
              <w:rPr>
                <w:rFonts w:ascii="Arial" w:hAnsi="Arial" w:cs="Arial"/>
                <w:b/>
                <w:sz w:val="20"/>
                <w:szCs w:val="20"/>
              </w:rPr>
              <w:t>Proposed Change</w:t>
            </w:r>
          </w:p>
        </w:tc>
        <w:tc>
          <w:tcPr>
            <w:tcW w:w="2065" w:type="dxa"/>
            <w:shd w:val="clear" w:color="auto" w:fill="BDD6EE" w:themeFill="accent1" w:themeFillTint="66"/>
            <w:vAlign w:val="center"/>
          </w:tcPr>
          <w:p w:rsidR="00C7683D" w:rsidRPr="007353A9" w:rsidP="00AA4E2E" w14:paraId="47D857E0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53A9">
              <w:rPr>
                <w:rFonts w:ascii="Arial" w:hAnsi="Arial" w:cs="Arial"/>
                <w:b/>
                <w:sz w:val="20"/>
                <w:szCs w:val="20"/>
              </w:rPr>
              <w:t>New Estim</w:t>
            </w:r>
            <w:r w:rsidRPr="007353A9">
              <w:rPr>
                <w:rFonts w:ascii="Arial" w:hAnsi="Arial" w:cs="Arial"/>
                <w:b/>
                <w:sz w:val="20"/>
                <w:szCs w:val="20"/>
              </w:rPr>
              <w:t>ate</w:t>
            </w:r>
          </w:p>
        </w:tc>
      </w:tr>
      <w:tr w14:paraId="4F06EB30" w14:textId="77777777" w:rsidTr="00AA4E2E">
        <w:tblPrEx>
          <w:tblW w:w="0" w:type="auto"/>
          <w:tblLook w:val="04A0"/>
        </w:tblPrEx>
        <w:tc>
          <w:tcPr>
            <w:tcW w:w="3235" w:type="dxa"/>
            <w:vAlign w:val="center"/>
          </w:tcPr>
          <w:p w:rsidR="00C7683D" w:rsidRPr="007353A9" w:rsidP="00C7683D" w14:paraId="69BA3457" w14:textId="24DF00D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Annual Hourly Burden</w:t>
            </w:r>
          </w:p>
        </w:tc>
        <w:tc>
          <w:tcPr>
            <w:tcW w:w="2070" w:type="dxa"/>
            <w:vAlign w:val="center"/>
          </w:tcPr>
          <w:p w:rsidR="00C7683D" w:rsidRPr="007353A9" w:rsidP="00C7683D" w14:paraId="2776D130" w14:textId="4D4ADC7B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1,368,058</w:t>
            </w:r>
          </w:p>
        </w:tc>
        <w:tc>
          <w:tcPr>
            <w:tcW w:w="1980" w:type="dxa"/>
            <w:vAlign w:val="center"/>
          </w:tcPr>
          <w:p w:rsidR="00C7683D" w:rsidRPr="007353A9" w:rsidP="00C7683D" w14:paraId="1443E147" w14:textId="5795EFB8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-100</w:t>
            </w:r>
          </w:p>
        </w:tc>
        <w:tc>
          <w:tcPr>
            <w:tcW w:w="2065" w:type="dxa"/>
            <w:vAlign w:val="center"/>
          </w:tcPr>
          <w:p w:rsidR="00C7683D" w:rsidRPr="007353A9" w:rsidP="00C7683D" w14:paraId="0B26152C" w14:textId="434014B3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1,367,958</w:t>
            </w:r>
          </w:p>
        </w:tc>
      </w:tr>
      <w:tr w14:paraId="55B2700A" w14:textId="77777777" w:rsidTr="00AA4E2E">
        <w:tblPrEx>
          <w:tblW w:w="0" w:type="auto"/>
          <w:tblLook w:val="04A0"/>
        </w:tblPrEx>
        <w:tc>
          <w:tcPr>
            <w:tcW w:w="3235" w:type="dxa"/>
            <w:vAlign w:val="center"/>
          </w:tcPr>
          <w:p w:rsidR="00C7683D" w:rsidRPr="007353A9" w:rsidP="00C7683D" w14:paraId="655251A4" w14:textId="1131172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Annual </w:t>
            </w:r>
            <w:r w:rsidRPr="007353A9">
              <w:rPr>
                <w:rFonts w:ascii="Arial" w:hAnsi="Arial" w:cs="Arial"/>
                <w:sz w:val="20"/>
                <w:szCs w:val="20"/>
              </w:rPr>
              <w:t>Non-hourly Cost Burden</w:t>
            </w:r>
          </w:p>
        </w:tc>
        <w:tc>
          <w:tcPr>
            <w:tcW w:w="2070" w:type="dxa"/>
            <w:vAlign w:val="center"/>
          </w:tcPr>
          <w:p w:rsidR="00C7683D" w:rsidRPr="007353A9" w:rsidP="00C7683D" w14:paraId="2212E954" w14:textId="2DB440FD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353A9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69,638,370</w:t>
            </w:r>
          </w:p>
        </w:tc>
        <w:tc>
          <w:tcPr>
            <w:tcW w:w="1980" w:type="dxa"/>
            <w:vAlign w:val="center"/>
          </w:tcPr>
          <w:p w:rsidR="00C7683D" w:rsidP="00C7683D" w14:paraId="4A8E12CF" w14:textId="06FB6A3B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2C2996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125,000</w:t>
            </w:r>
          </w:p>
        </w:tc>
        <w:tc>
          <w:tcPr>
            <w:tcW w:w="2065" w:type="dxa"/>
            <w:vAlign w:val="center"/>
          </w:tcPr>
          <w:p w:rsidR="00C7683D" w:rsidRPr="007353A9" w:rsidP="00C7683D" w14:paraId="47745A21" w14:textId="68D1B1BE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353A9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69,513,370</w:t>
            </w:r>
          </w:p>
        </w:tc>
      </w:tr>
    </w:tbl>
    <w:p w:rsidR="00C7683D" w:rsidRPr="006004C0" w:rsidP="00C7683D" w14:paraId="57795EBD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C7683D" w:rsidRPr="006004C0" w:rsidP="00C7683D" w14:paraId="66344B61" w14:textId="24233329">
      <w:pPr>
        <w:pStyle w:val="NoSpacing"/>
        <w:rPr>
          <w:rFonts w:ascii="Arial" w:hAnsi="Arial" w:cs="Arial"/>
          <w:sz w:val="24"/>
          <w:szCs w:val="24"/>
        </w:rPr>
      </w:pPr>
      <w:r w:rsidRPr="006004C0">
        <w:rPr>
          <w:rFonts w:ascii="Arial" w:hAnsi="Arial" w:cs="Arial"/>
          <w:sz w:val="24"/>
          <w:szCs w:val="24"/>
        </w:rPr>
        <w:t>0651-00</w:t>
      </w:r>
      <w:r>
        <w:rPr>
          <w:rFonts w:ascii="Arial" w:hAnsi="Arial" w:cs="Arial"/>
          <w:sz w:val="24"/>
          <w:szCs w:val="24"/>
        </w:rPr>
        <w:t>69</w:t>
      </w:r>
      <w:r w:rsidRPr="006004C0">
        <w:rPr>
          <w:rFonts w:ascii="Arial" w:hAnsi="Arial" w:cs="Arial"/>
          <w:sz w:val="24"/>
          <w:szCs w:val="24"/>
        </w:rPr>
        <w:t>’s revised burden is as follows:</w:t>
      </w:r>
    </w:p>
    <w:p w:rsidR="00C7683D" w:rsidRPr="006004C0" w:rsidP="00C7683D" w14:paraId="7F3CB674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C7683D" w:rsidRPr="006004C0" w:rsidP="00C7683D" w14:paraId="573087C2" w14:textId="4E78E80E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12,338</w:t>
      </w:r>
      <w:r w:rsidRPr="006004C0">
        <w:rPr>
          <w:rFonts w:ascii="Arial" w:hAnsi="Arial" w:cs="Arial"/>
          <w:sz w:val="24"/>
          <w:szCs w:val="24"/>
        </w:rPr>
        <w:t xml:space="preserve"> annual responses (unchanged)</w:t>
      </w:r>
    </w:p>
    <w:p w:rsidR="00C7683D" w:rsidRPr="006004C0" w:rsidP="00C7683D" w14:paraId="7BD514FC" w14:textId="01CDFFDB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7683D">
        <w:rPr>
          <w:rFonts w:ascii="Arial" w:hAnsi="Arial" w:cs="Arial"/>
          <w:sz w:val="24"/>
          <w:szCs w:val="24"/>
        </w:rPr>
        <w:t>1,367,958</w:t>
      </w:r>
      <w:r>
        <w:rPr>
          <w:rFonts w:ascii="Arial" w:hAnsi="Arial" w:cs="Arial"/>
          <w:sz w:val="24"/>
          <w:szCs w:val="24"/>
        </w:rPr>
        <w:t xml:space="preserve"> </w:t>
      </w:r>
      <w:r w:rsidRPr="006004C0">
        <w:rPr>
          <w:rFonts w:ascii="Arial" w:hAnsi="Arial" w:cs="Arial"/>
          <w:sz w:val="24"/>
          <w:szCs w:val="24"/>
        </w:rPr>
        <w:t>annual hourly burden</w:t>
      </w:r>
    </w:p>
    <w:p w:rsidR="00F0125E" w:rsidRPr="00E86BE6" w:rsidP="00E86BE6" w14:paraId="2B773911" w14:textId="388A9F42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926DF">
        <w:rPr>
          <w:rFonts w:ascii="Arial" w:hAnsi="Arial" w:cs="Arial"/>
          <w:sz w:val="24"/>
          <w:szCs w:val="24"/>
        </w:rPr>
        <w:t>$</w:t>
      </w:r>
      <w:r w:rsidRPr="00E86BE6">
        <w:rPr>
          <w:rFonts w:ascii="Arial" w:hAnsi="Arial" w:cs="Arial"/>
          <w:sz w:val="24"/>
          <w:szCs w:val="24"/>
        </w:rPr>
        <w:t xml:space="preserve">69,513,370 </w:t>
      </w:r>
      <w:r w:rsidRPr="002926DF">
        <w:rPr>
          <w:rFonts w:ascii="Arial" w:hAnsi="Arial" w:cs="Arial"/>
          <w:sz w:val="24"/>
          <w:szCs w:val="24"/>
        </w:rPr>
        <w:t>in annual</w:t>
      </w:r>
      <w:r w:rsidRPr="006004C0">
        <w:rPr>
          <w:rFonts w:ascii="Arial" w:hAnsi="Arial" w:cs="Arial"/>
          <w:sz w:val="24"/>
          <w:szCs w:val="24"/>
        </w:rPr>
        <w:t xml:space="preserve"> non-hourly burden costs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E5153B" w:rsidP="00142F63" w14:paraId="29FB8EC3" w14:textId="77777777">
      <w:pPr>
        <w:spacing w:after="0" w:line="240" w:lineRule="auto"/>
      </w:pPr>
      <w:r>
        <w:separator/>
      </w:r>
    </w:p>
  </w:footnote>
  <w:footnote w:type="continuationSeparator" w:id="1">
    <w:p w:rsidR="00E5153B" w:rsidP="00142F63" w14:paraId="57DB93BC" w14:textId="77777777">
      <w:pPr>
        <w:spacing w:after="0" w:line="240" w:lineRule="auto"/>
      </w:pPr>
      <w:r>
        <w:continuationSeparator/>
      </w:r>
    </w:p>
  </w:footnote>
  <w:footnote w:id="2">
    <w:p w:rsidR="00E41F52" w:rsidRPr="00E41F52" w14:paraId="0863E734" w14:textId="79F2F9C4">
      <w:pPr>
        <w:pStyle w:val="FootnoteText"/>
        <w:rPr>
          <w:rFonts w:ascii="Arial" w:hAnsi="Arial" w:cs="Arial"/>
        </w:rPr>
      </w:pPr>
      <w:r w:rsidRPr="00E41F52">
        <w:rPr>
          <w:rStyle w:val="FootnoteReference"/>
          <w:rFonts w:ascii="Arial" w:hAnsi="Arial" w:cs="Arial"/>
          <w:sz w:val="16"/>
          <w:szCs w:val="16"/>
        </w:rPr>
        <w:footnoteRef/>
      </w:r>
      <w:r w:rsidRPr="00E41F52">
        <w:rPr>
          <w:rFonts w:ascii="Arial" w:hAnsi="Arial" w:cs="Arial"/>
          <w:sz w:val="16"/>
          <w:szCs w:val="16"/>
        </w:rPr>
        <w:t xml:space="preserve"> </w:t>
      </w:r>
      <w:hyperlink r:id="rId1" w:history="1">
        <w:r w:rsidRPr="00E41F52">
          <w:rPr>
            <w:rStyle w:val="Hyperlink"/>
            <w:rFonts w:ascii="Arial" w:hAnsi="Arial" w:cs="Arial"/>
            <w:sz w:val="16"/>
            <w:szCs w:val="16"/>
          </w:rPr>
          <w:t>https://www.govinfo.gov/content/pkg/FR-2024-10-10/pdf/2024-23319.pdf</w:t>
        </w:r>
      </w:hyperlink>
      <w:r w:rsidRPr="00E41F52">
        <w:rPr>
          <w:rFonts w:ascii="Arial" w:hAnsi="Arial" w:cs="Arial"/>
          <w:sz w:val="16"/>
          <w:szCs w:val="16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FA2573"/>
    <w:multiLevelType w:val="hybridMultilevel"/>
    <w:tmpl w:val="D63A1C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AD03A9"/>
    <w:multiLevelType w:val="hybridMultilevel"/>
    <w:tmpl w:val="2B7CC3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65D"/>
    <w:rsid w:val="00041F1B"/>
    <w:rsid w:val="000D727B"/>
    <w:rsid w:val="000F0022"/>
    <w:rsid w:val="00142F63"/>
    <w:rsid w:val="001F4C05"/>
    <w:rsid w:val="0021373B"/>
    <w:rsid w:val="002410A8"/>
    <w:rsid w:val="00261D71"/>
    <w:rsid w:val="002874CE"/>
    <w:rsid w:val="002926DF"/>
    <w:rsid w:val="002A2A9E"/>
    <w:rsid w:val="002C2996"/>
    <w:rsid w:val="00375AC1"/>
    <w:rsid w:val="003844DC"/>
    <w:rsid w:val="00471FBE"/>
    <w:rsid w:val="004F3C53"/>
    <w:rsid w:val="004F4DB6"/>
    <w:rsid w:val="00577ADC"/>
    <w:rsid w:val="005C5813"/>
    <w:rsid w:val="005F06FD"/>
    <w:rsid w:val="006004C0"/>
    <w:rsid w:val="00610AE6"/>
    <w:rsid w:val="00625E85"/>
    <w:rsid w:val="006327F3"/>
    <w:rsid w:val="006377A2"/>
    <w:rsid w:val="006414F4"/>
    <w:rsid w:val="006806D7"/>
    <w:rsid w:val="00694421"/>
    <w:rsid w:val="006A45DD"/>
    <w:rsid w:val="00723C6F"/>
    <w:rsid w:val="00732CC2"/>
    <w:rsid w:val="007353A9"/>
    <w:rsid w:val="007A7AA9"/>
    <w:rsid w:val="007B3BF7"/>
    <w:rsid w:val="007E23A9"/>
    <w:rsid w:val="00860C99"/>
    <w:rsid w:val="00877075"/>
    <w:rsid w:val="008E077F"/>
    <w:rsid w:val="00912C72"/>
    <w:rsid w:val="0091719B"/>
    <w:rsid w:val="00917E3E"/>
    <w:rsid w:val="00925EE9"/>
    <w:rsid w:val="009B16FB"/>
    <w:rsid w:val="009C4D72"/>
    <w:rsid w:val="00A10F21"/>
    <w:rsid w:val="00A14CEA"/>
    <w:rsid w:val="00A50D12"/>
    <w:rsid w:val="00A725C0"/>
    <w:rsid w:val="00AA4E2E"/>
    <w:rsid w:val="00AA5B64"/>
    <w:rsid w:val="00B17BC1"/>
    <w:rsid w:val="00BA3E21"/>
    <w:rsid w:val="00BC6C7F"/>
    <w:rsid w:val="00C0635C"/>
    <w:rsid w:val="00C6428F"/>
    <w:rsid w:val="00C746DE"/>
    <w:rsid w:val="00C7683D"/>
    <w:rsid w:val="00C902A4"/>
    <w:rsid w:val="00CC0B0E"/>
    <w:rsid w:val="00CC1452"/>
    <w:rsid w:val="00CD20B4"/>
    <w:rsid w:val="00CD30F1"/>
    <w:rsid w:val="00D20CF8"/>
    <w:rsid w:val="00D44A23"/>
    <w:rsid w:val="00D5246C"/>
    <w:rsid w:val="00D568CD"/>
    <w:rsid w:val="00D84880"/>
    <w:rsid w:val="00E41F52"/>
    <w:rsid w:val="00E5153B"/>
    <w:rsid w:val="00E86BE6"/>
    <w:rsid w:val="00ED165D"/>
    <w:rsid w:val="00F0125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553AF16"/>
  <w15:docId w15:val="{33767383-C772-4DBC-B038-888D4AA9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165D"/>
    <w:pPr>
      <w:spacing w:after="0" w:line="240" w:lineRule="auto"/>
    </w:pPr>
  </w:style>
  <w:style w:type="table" w:styleId="TableGrid">
    <w:name w:val="Table Grid"/>
    <w:basedOn w:val="TableNormal"/>
    <w:uiPriority w:val="39"/>
    <w:rsid w:val="00ED1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7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4C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20C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0C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0C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0C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0CF8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1F5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1F5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41F5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41F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F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theme" Target="theme/theme1.xm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govinfo.gov/content/pkg/FR-2024-10-10/pdf/2024-23319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4456AF1700B74AA0CEDDAFE8B89B18" ma:contentTypeVersion="130" ma:contentTypeDescription="Create a new document." ma:contentTypeScope="" ma:versionID="3b873bf88b52417eb38cef586fa5ddaf">
  <xsd:schema xmlns:xsd="http://www.w3.org/2001/XMLSchema" xmlns:xs="http://www.w3.org/2001/XMLSchema" xmlns:p="http://schemas.microsoft.com/office/2006/metadata/properties" xmlns:ns2="E85DE8A9-5CD3-41FE-A1A0-70BC17107555" xmlns:ns3="5DFC53CF-7C17-4489-98AB-5F87C96333B9" xmlns:ns4="e85de8a9-5cd3-41fe-a1a0-70bc17107555" xmlns:ns5="5dfc53cf-7c17-4489-98ab-5f87c96333b9" targetNamespace="http://schemas.microsoft.com/office/2006/metadata/properties" ma:root="true" ma:fieldsID="2cffecf5910cf13a0343c8770eb67fd4" ns2:_="" ns3:_="" ns4:_="" ns5:_="">
    <xsd:import namespace="E85DE8A9-5CD3-41FE-A1A0-70BC17107555"/>
    <xsd:import namespace="5DFC53CF-7C17-4489-98AB-5F87C96333B9"/>
    <xsd:import namespace="e85de8a9-5cd3-41fe-a1a0-70bc17107555"/>
    <xsd:import namespace="5dfc53cf-7c17-4489-98ab-5f87c96333b9"/>
    <xsd:element name="properties">
      <xsd:complexType>
        <xsd:sequence>
          <xsd:element name="documentManagement">
            <xsd:complexType>
              <xsd:all>
                <xsd:element ref="ns2:Collection_x0020_Number" minOccurs="0"/>
                <xsd:element ref="ns2:IC_x0020_Category" minOccurs="0"/>
                <xsd:element ref="ns2:Document_x0020_Type" minOccurs="0"/>
                <xsd:element ref="ns2:Document_x0020_State" minOccurs="0"/>
                <xsd:element ref="ns2:Year" minOccurs="0"/>
                <xsd:element ref="ns3:Owner" minOccurs="0"/>
                <xsd:element ref="ns2:Approved_x0020_by_x0020_Business_x0020_Area" minOccurs="0"/>
                <xsd:element ref="ns2:Approved_x0020_by_x0020_PTO" minOccurs="0"/>
                <xsd:element ref="ns4:Office" minOccurs="0"/>
                <xsd:element ref="ns4:Business_x0020_Unit" minOccurs="0"/>
                <xsd:element ref="ns4:Expiration_x0020_Date0" minOccurs="0"/>
                <xsd:element ref="ns5:SharedWithUsers" minOccurs="0"/>
                <xsd:element ref="ns5:SharedWithDetails" minOccurs="0"/>
                <xsd:element ref="ns4:ICR_x0020_ID" minOccurs="0"/>
                <xsd:element ref="ns4:Level" minOccurs="0"/>
                <xsd:element ref="ns4:Initiation_x0020__x0028_Start_x0029_" minOccurs="0"/>
                <xsd:element ref="ns4:ICR_x0020_Submission_x0020__x0028_Start_x0029_" minOccurs="0"/>
                <xsd:element ref="ns5:LastSharedByUser" minOccurs="0"/>
                <xsd:element ref="ns5:LastSharedByTime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  <xsd:element ref="ns4:lcf76f155ced4ddcb4097134ff3c332f" minOccurs="0"/>
                <xsd:element ref="ns5:TaxCatchAll" minOccurs="0"/>
                <xsd:element ref="ns4:MediaServiceOCR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Collection_x0020_Number" ma:index="2" nillable="true" ma:displayName="OMB Number" ma:hidden="true" ma:internalName="Collection_x0020_Number" ma:readOnly="false">
      <xsd:simpleType>
        <xsd:restriction base="dms:Text"/>
      </xsd:simpleType>
    </xsd:element>
    <xsd:element name="IC_x0020_Category" ma:index="3" nillable="true" ma:displayName="ICR Type" ma:description="None value is created to show a null" ma:format="Dropdown" ma:internalName="IC_x0020_Category">
      <xsd:simpleType>
        <xsd:restriction base="dms:Choice">
          <xsd:enumeration value="-"/>
          <xsd:enumeration value="Renewal"/>
          <xsd:enumeration value="Regular"/>
          <xsd:enumeration value="Rule Making"/>
          <xsd:enumeration value="Change Worksheet"/>
          <xsd:enumeration value="Emergency"/>
          <xsd:enumeration value="Fast Track"/>
          <xsd:enumeration value="Discontinue"/>
          <xsd:enumeration value="Other"/>
        </xsd:restriction>
      </xsd:simpleType>
    </xsd:element>
    <xsd:element name="Document_x0020_Type" ma:index="4" nillable="true" ma:displayName="Document Type" ma:format="Dropdown" ma:hidden="true" ma:internalName="Document_x0020_Type" ma:readOnly="false">
      <xsd:simpleType>
        <xsd:restriction base="dms:Choice">
          <xsd:enumeration value="FRN"/>
          <xsd:enumeration value="Supporting Statement"/>
          <xsd:enumeration value="Notice of Action"/>
          <xsd:enumeration value="Form"/>
          <xsd:enumeration value="Survey"/>
          <xsd:enumeration value="Other"/>
        </xsd:restriction>
      </xsd:simpleType>
    </xsd:element>
    <xsd:element name="Document_x0020_State" ma:index="5" nillable="true" ma:displayName="Document Status" ma:format="Dropdown" ma:hidden="true" ma:internalName="Document_x0020_State" ma:readOnly="false">
      <xsd:simpleType>
        <xsd:union memberTypes="dms:Text">
          <xsd:simpleType>
            <xsd:restriction base="dms:Choice">
              <xsd:enumeration value="Final"/>
              <xsd:enumeration value="Draft"/>
              <xsd:enumeration value="Deliverable"/>
              <xsd:enumeration value="Signed"/>
            </xsd:restriction>
          </xsd:simpleType>
        </xsd:union>
      </xsd:simpleType>
    </xsd:element>
    <xsd:element name="Year" ma:index="6" nillable="true" ma:displayName="Year" ma:internalName="Year">
      <xsd:simpleType>
        <xsd:restriction base="dms:Text">
          <xsd:maxLength value="255"/>
        </xsd:restriction>
      </xsd:simpleType>
    </xsd:element>
    <xsd:element name="Approved_x0020_by_x0020_Business_x0020_Area" ma:index="8" nillable="true" ma:displayName="Approved by Business Area" ma:default="No" ma:format="Dropdown" ma:hidden="true" ma:internalName="Approved_x0020_by_x0020_Business_x0020_Area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  <xsd:element name="Approved_x0020_by_x0020_PTO" ma:index="9" nillable="true" ma:displayName="Approved by RMD" ma:default="No" ma:format="Dropdown" ma:hidden="true" ma:internalName="Approved_x0020_by_x0020_PTO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Owner" ma:index="7" nillable="true" ma:displayName="Office/Business Unit POC" ma:indexed="true" ma:list="UserInfo" ma:SearchPeopleOnly="false" ma:SharePointGroup="0" ma:internalName="Owne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Office" ma:index="16" nillable="true" ma:displayName="Office" ma:format="Dropdown" ma:hidden="true" ma:internalName="Office" ma:readOnly="false">
      <xsd:simpleType>
        <xsd:restriction base="dms:Choice">
          <xsd:enumeration value="Patents"/>
          <xsd:enumeration value="Trademarks"/>
          <xsd:enumeration value="OCAO"/>
          <xsd:enumeration value="OCCO"/>
          <xsd:enumeration value="OCFO"/>
          <xsd:enumeration value="OCIO"/>
          <xsd:enumeration value="OGC"/>
          <xsd:enumeration value="PTAB"/>
          <xsd:enumeration value="TTAB"/>
          <xsd:enumeration value="Other"/>
        </xsd:restriction>
      </xsd:simpleType>
    </xsd:element>
    <xsd:element name="Business_x0020_Unit" ma:index="17" nillable="true" ma:displayName="Business Unit" ma:hidden="true" ma:internalName="Business_x0020_Unit" ma:readOnly="false">
      <xsd:simpleType>
        <xsd:restriction base="dms:Text">
          <xsd:maxLength value="255"/>
        </xsd:restriction>
      </xsd:simpleType>
    </xsd:element>
    <xsd:element name="Expiration_x0020_Date0" ma:index="18" nillable="true" ma:displayName="Expiration Date" ma:format="DateOnly" ma:hidden="true" ma:internalName="Expiration_x0020_Date0" ma:readOnly="false">
      <xsd:simpleType>
        <xsd:restriction base="dms:DateTime"/>
      </xsd:simpleType>
    </xsd:element>
    <xsd:element name="ICR_x0020_ID" ma:index="22" nillable="true" ma:displayName="ICR ID" ma:hidden="true" ma:internalName="ICR_x0020_ID" ma:readOnly="false">
      <xsd:simpleType>
        <xsd:restriction base="dms:Text">
          <xsd:maxLength value="255"/>
        </xsd:restriction>
      </xsd:simpleType>
    </xsd:element>
    <xsd:element name="Level" ma:index="26" nillable="true" ma:displayName="Level" ma:format="Dropdown" ma:internalName="Level">
      <xsd:simpleType>
        <xsd:restriction base="dms:Choice">
          <xsd:enumeration value="Level I"/>
          <xsd:enumeration value="Level II"/>
          <xsd:enumeration value="Level III"/>
        </xsd:restriction>
      </xsd:simpleType>
    </xsd:element>
    <xsd:element name="Initiation_x0020__x0028_Start_x0029_" ma:index="28" nillable="true" ma:displayName="Initiation (Workflow Start)" ma:format="DateOnly" ma:hidden="true" ma:internalName="Initiation_x0020__x0028_Start_x0029_" ma:readOnly="false">
      <xsd:simpleType>
        <xsd:restriction base="dms:DateTime"/>
      </xsd:simpleType>
    </xsd:element>
    <xsd:element name="ICR_x0020_Submission_x0020__x0028_Start_x0029_" ma:index="31" nillable="true" ma:displayName="ICR Submission (Start)" ma:format="DateOnly" ma:hidden="true" ma:internalName="ICR_x0020_Submission_x0020__x0028_Start_x0029_" ma:readOnly="false">
      <xsd:simpleType>
        <xsd:restriction base="dms:DateTime"/>
      </xsd:simpleType>
    </xsd:element>
    <xsd:element name="MediaServiceMetadata" ma:index="3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4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5" nillable="true" ma:taxonomy="true" ma:internalName="lcf76f155ced4ddcb4097134ff3c332f" ma:taxonomyFieldName="MediaServiceImageTags" ma:displayName="Image Tags" ma:readOnly="false" ma:fieldId="{5cf76f15-5ced-4ddc-b409-7134ff3c332f}" ma:taxonomyMulti="true" ma:sspId="64ebad28-0e8c-4119-ae15-4b314486bd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4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35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36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46" nillable="true" ma:displayName="Taxonomy Catch All Column" ma:hidden="true" ma:list="{cbf00bff-eec5-43c3-b66f-09184a3cd9cc}" ma:internalName="TaxCatchAll" ma:showField="CatchAllData" ma:web="5dfc53cf-7c17-4489-98ab-5f87c9633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lection_x0020_Number xmlns="E85DE8A9-5CD3-41FE-A1A0-70BC17107555" xsi:nil="true"/>
    <Document_x0020_State xmlns="E85DE8A9-5CD3-41FE-A1A0-70BC17107555" xsi:nil="true"/>
    <Owner xmlns="5DFC53CF-7C17-4489-98AB-5F87C96333B9">
      <UserInfo>
        <DisplayName>Mitchell, Susan</DisplayName>
        <AccountId>277</AccountId>
        <AccountType/>
      </UserInfo>
    </Owner>
    <Initiation_x0020__x0028_Start_x0029_ xmlns="e85de8a9-5cd3-41fe-a1a0-70bc17107555" xsi:nil="true"/>
    <IC_x0020_Category xmlns="E85DE8A9-5CD3-41FE-A1A0-70BC17107555">Change Worksheet</IC_x0020_Category>
    <ICR_x0020_ID xmlns="e85de8a9-5cd3-41fe-a1a0-70bc17107555" xsi:nil="true"/>
    <Approved_x0020_by_x0020_Business_x0020_Area xmlns="E85DE8A9-5CD3-41FE-A1A0-70BC17107555">No</Approved_x0020_by_x0020_Business_x0020_Area>
    <Office xmlns="e85de8a9-5cd3-41fe-a1a0-70bc17107555" xsi:nil="true"/>
    <ICR_x0020_Submission_x0020__x0028_Start_x0029_ xmlns="e85de8a9-5cd3-41fe-a1a0-70bc17107555" xsi:nil="true"/>
    <Year xmlns="E85DE8A9-5CD3-41FE-A1A0-70BC17107555">2019</Year>
    <Business_x0020_Unit xmlns="e85de8a9-5cd3-41fe-a1a0-70bc17107555" xsi:nil="true"/>
    <Expiration_x0020_Date0 xmlns="e85de8a9-5cd3-41fe-a1a0-70bc17107555" xsi:nil="true"/>
    <Approved_x0020_by_x0020_PTO xmlns="E85DE8A9-5CD3-41FE-A1A0-70BC17107555">No</Approved_x0020_by_x0020_PTO>
    <Document_x0020_Type xmlns="E85DE8A9-5CD3-41FE-A1A0-70BC17107555" xsi:nil="true"/>
    <Level xmlns="e85de8a9-5cd3-41fe-a1a0-70bc17107555">Level II</Level>
    <TaxCatchAll xmlns="5dfc53cf-7c17-4489-98ab-5f87c96333b9" xsi:nil="true"/>
    <lcf76f155ced4ddcb4097134ff3c332f xmlns="e85de8a9-5cd3-41fe-a1a0-70bc1710755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0A592A-9A05-4379-9CE2-316745C685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DE8A9-5CD3-41FE-A1A0-70BC17107555"/>
    <ds:schemaRef ds:uri="5DFC53CF-7C17-4489-98AB-5F87C96333B9"/>
    <ds:schemaRef ds:uri="e85de8a9-5cd3-41fe-a1a0-70bc17107555"/>
    <ds:schemaRef ds:uri="5dfc53cf-7c17-4489-98ab-5f87c9633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FAA8BB-17ED-480C-AFAC-EE4FC838A987}">
  <ds:schemaRefs>
    <ds:schemaRef ds:uri="http://schemas.microsoft.com/office/2006/metadata/properties"/>
    <ds:schemaRef ds:uri="http://schemas.microsoft.com/office/infopath/2007/PartnerControls"/>
    <ds:schemaRef ds:uri="E85DE8A9-5CD3-41FE-A1A0-70BC17107555"/>
    <ds:schemaRef ds:uri="5DFC53CF-7C17-4489-98AB-5F87C96333B9"/>
    <ds:schemaRef ds:uri="e85de8a9-5cd3-41fe-a1a0-70bc17107555"/>
    <ds:schemaRef ds:uri="5dfc53cf-7c17-4489-98ab-5f87c96333b9"/>
  </ds:schemaRefs>
</ds:datastoreItem>
</file>

<file path=customXml/itemProps3.xml><?xml version="1.0" encoding="utf-8"?>
<ds:datastoreItem xmlns:ds="http://schemas.openxmlformats.org/officeDocument/2006/customXml" ds:itemID="{8E614196-9F77-4F27-A045-2CF4F3C9AF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FBF5D7-3AA4-4E0F-8174-E86A696DC9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Patent and Trademark Office</Company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Gunther, Sarah (AMBIT)</dc:creator>
  <cp:lastModifiedBy>Hall, Drew</cp:lastModifiedBy>
  <cp:revision>6</cp:revision>
  <dcterms:created xsi:type="dcterms:W3CDTF">2024-10-10T18:09:00Z</dcterms:created>
  <dcterms:modified xsi:type="dcterms:W3CDTF">2024-10-10T18:26:00Z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0x010100F24456AF1700B74AA0CEDDAFE8B89B18</vt:lpwstr>
  </property>
</Properties>
</file>