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BA1A0C" w:rsidP="00CE5AA9" w14:paraId="22E2A2F0" w14:textId="6F24C57A">
      <w:pPr>
        <w:tabs>
          <w:tab w:val="center" w:pos="4680"/>
        </w:tabs>
        <w:spacing w:before="120"/>
        <w:jc w:val="center"/>
        <w:rPr>
          <w:rFonts w:ascii="Arial" w:hAnsi="Arial" w:cs="Arial"/>
          <w:b/>
          <w:bCs/>
          <w:sz w:val="32"/>
          <w:szCs w:val="32"/>
        </w:rPr>
      </w:pPr>
      <w:r w:rsidRPr="00E47E9C">
        <w:rPr>
          <w:rFonts w:ascii="Arial" w:hAnsi="Arial" w:cs="Arial"/>
          <w:b/>
          <w:bCs/>
          <w:sz w:val="32"/>
          <w:szCs w:val="32"/>
        </w:rPr>
        <w:t>Maternal, Infant, and Early Childhood Home Visiting Program Quarterly Data Collection</w:t>
      </w:r>
    </w:p>
    <w:p w:rsidR="00E47E9C" w:rsidRPr="00C45431" w:rsidP="00CE5AA9" w14:paraId="15D3A775" w14:textId="77777777">
      <w:pPr>
        <w:tabs>
          <w:tab w:val="center" w:pos="4680"/>
        </w:tabs>
        <w:spacing w:before="120"/>
        <w:jc w:val="center"/>
        <w:rPr>
          <w:rFonts w:ascii="Arial" w:hAnsi="Arial" w:cs="Arial"/>
          <w:b/>
          <w:bCs/>
          <w:sz w:val="32"/>
          <w:szCs w:val="32"/>
        </w:rPr>
      </w:pPr>
    </w:p>
    <w:p w:rsidR="00BA1A0C" w:rsidRPr="00723161" w:rsidP="00CE5AA9" w14:paraId="22E2A2F1" w14:textId="5D7DA2B7">
      <w:pPr>
        <w:tabs>
          <w:tab w:val="center" w:pos="4680"/>
        </w:tabs>
        <w:spacing w:before="120"/>
        <w:jc w:val="center"/>
        <w:rPr>
          <w:rFonts w:ascii="Arial" w:hAnsi="Arial" w:cs="Arial"/>
          <w:b/>
          <w:bCs/>
          <w:sz w:val="32"/>
          <w:szCs w:val="32"/>
        </w:rPr>
      </w:pPr>
      <w:r w:rsidRPr="00723161">
        <w:rPr>
          <w:rFonts w:ascii="Arial" w:hAnsi="Arial" w:cs="Arial"/>
          <w:b/>
          <w:bCs/>
          <w:sz w:val="32"/>
          <w:szCs w:val="32"/>
        </w:rPr>
        <w:t xml:space="preserve">OMB Control No. </w:t>
      </w:r>
      <w:r w:rsidRPr="00723161" w:rsidR="00C96292">
        <w:rPr>
          <w:rFonts w:ascii="Arial" w:hAnsi="Arial" w:cs="Arial"/>
          <w:b/>
          <w:bCs/>
          <w:sz w:val="32"/>
          <w:szCs w:val="32"/>
        </w:rPr>
        <w:t>0906</w:t>
      </w:r>
      <w:r w:rsidRPr="00723161">
        <w:rPr>
          <w:rFonts w:ascii="Arial" w:hAnsi="Arial" w:cs="Arial"/>
          <w:b/>
          <w:bCs/>
          <w:sz w:val="32"/>
          <w:szCs w:val="32"/>
        </w:rPr>
        <w:t>-</w:t>
      </w:r>
      <w:r w:rsidRPr="00723161" w:rsidR="00723161">
        <w:rPr>
          <w:rFonts w:ascii="Arial" w:hAnsi="Arial" w:cs="Arial"/>
          <w:b/>
          <w:bCs/>
          <w:sz w:val="32"/>
          <w:szCs w:val="32"/>
        </w:rPr>
        <w:t>001</w:t>
      </w:r>
      <w:r w:rsidR="007E5181">
        <w:rPr>
          <w:rFonts w:ascii="Arial" w:hAnsi="Arial" w:cs="Arial"/>
          <w:b/>
          <w:bCs/>
          <w:sz w:val="32"/>
          <w:szCs w:val="32"/>
        </w:rPr>
        <w:t>6</w:t>
      </w:r>
      <w:r w:rsidR="00723161">
        <w:rPr>
          <w:rFonts w:ascii="Arial" w:hAnsi="Arial" w:cs="Arial"/>
          <w:b/>
          <w:bCs/>
          <w:sz w:val="32"/>
          <w:szCs w:val="32"/>
        </w:rPr>
        <w:t xml:space="preserve"> - </w:t>
      </w:r>
      <w:r w:rsidR="007E5181">
        <w:rPr>
          <w:rFonts w:ascii="Arial" w:hAnsi="Arial" w:cs="Arial"/>
          <w:b/>
          <w:bCs/>
          <w:sz w:val="32"/>
          <w:szCs w:val="32"/>
        </w:rPr>
        <w:t>Revision</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08C90146">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723161">
        <w:rPr>
          <w:rFonts w:ascii="Arial" w:hAnsi="Arial" w:cs="Arial"/>
          <w:sz w:val="24"/>
        </w:rPr>
        <w:t>None.</w:t>
      </w:r>
      <w:r w:rsidRPr="00C45431" w:rsidR="00BA1A0C">
        <w:rPr>
          <w:rFonts w:ascii="Arial" w:hAnsi="Arial" w:cs="Arial"/>
          <w:b/>
          <w:sz w:val="24"/>
        </w:rPr>
        <w:t xml:space="preserve"> </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AC2B1A"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227FDB" w:rsidP="00227FDB" w14:paraId="15A6990D" w14:textId="7F0AD67C">
      <w:pPr>
        <w:spacing w:before="240"/>
        <w:ind w:left="360"/>
        <w:rPr>
          <w:rFonts w:ascii="Arial" w:hAnsi="Arial" w:cs="Arial"/>
          <w:sz w:val="24"/>
        </w:rPr>
      </w:pPr>
      <w:r>
        <w:rPr>
          <w:rFonts w:ascii="Arial" w:hAnsi="Arial" w:cs="Arial"/>
          <w:sz w:val="24"/>
        </w:rPr>
        <w:t xml:space="preserve">The Health Resources and Services Administration (HRSA) is requesting the Office of Management and Budget (OMB) to review and approve </w:t>
      </w:r>
      <w:r w:rsidR="007E0725">
        <w:rPr>
          <w:rFonts w:ascii="Arial" w:hAnsi="Arial" w:cs="Arial"/>
          <w:sz w:val="24"/>
        </w:rPr>
        <w:t xml:space="preserve">the </w:t>
      </w:r>
      <w:r>
        <w:rPr>
          <w:rFonts w:ascii="Arial" w:hAnsi="Arial" w:cs="Arial"/>
          <w:sz w:val="24"/>
        </w:rPr>
        <w:t>revision</w:t>
      </w:r>
      <w:r w:rsidR="007E0725">
        <w:rPr>
          <w:rFonts w:ascii="Arial" w:hAnsi="Arial" w:cs="Arial"/>
          <w:sz w:val="24"/>
        </w:rPr>
        <w:t xml:space="preserve"> package</w:t>
      </w:r>
      <w:r>
        <w:rPr>
          <w:rFonts w:ascii="Arial" w:hAnsi="Arial" w:cs="Arial"/>
          <w:sz w:val="24"/>
        </w:rPr>
        <w:t xml:space="preserve"> to the Maternal, Infant, and Early Childhood Home Visiting (MIECHV) </w:t>
      </w:r>
      <w:r w:rsidR="000A3F41">
        <w:rPr>
          <w:rFonts w:ascii="Arial" w:hAnsi="Arial" w:cs="Arial"/>
          <w:sz w:val="24"/>
        </w:rPr>
        <w:t>Quarterly Data Collection form.</w:t>
      </w:r>
    </w:p>
    <w:p w:rsidR="00227FDB" w:rsidP="00227FDB" w14:paraId="334A5114" w14:textId="38A711FB">
      <w:pPr>
        <w:spacing w:before="240"/>
        <w:ind w:left="360"/>
        <w:rPr>
          <w:rFonts w:ascii="Arial" w:hAnsi="Arial" w:cs="Arial"/>
          <w:sz w:val="24"/>
        </w:rPr>
      </w:pPr>
      <w:r>
        <w:rPr>
          <w:rFonts w:ascii="Arial" w:hAnsi="Arial" w:cs="Arial"/>
          <w:sz w:val="24"/>
        </w:rPr>
        <w:t>The MIECHV Program is designed to support voluntary, evidence-based home visiting services during pregnancy and to parents with young children up to kindergarten entry. States, territories, and certain non-profit entities are eligible to receive funding from the MIECHV Program and have the flexibility to tailor the program to serve the specific needs of their communities</w:t>
      </w:r>
      <w:r w:rsidR="00FA6997">
        <w:rPr>
          <w:rFonts w:ascii="Arial" w:hAnsi="Arial" w:cs="Arial"/>
          <w:sz w:val="24"/>
        </w:rPr>
        <w:t xml:space="preserve">. </w:t>
      </w:r>
    </w:p>
    <w:p w:rsidR="00227FDB" w:rsidP="00227FDB" w14:paraId="45153F70" w14:textId="77777777">
      <w:pPr>
        <w:ind w:left="360"/>
        <w:rPr>
          <w:rFonts w:ascii="Arial" w:hAnsi="Arial" w:cs="Arial"/>
          <w:sz w:val="24"/>
        </w:rPr>
      </w:pPr>
    </w:p>
    <w:p w:rsidR="00227FDB" w:rsidP="00227FDB" w14:paraId="5B2F76FD" w14:textId="7C69AB83">
      <w:pPr>
        <w:ind w:left="360"/>
        <w:rPr>
          <w:rFonts w:ascii="Arial" w:hAnsi="Arial" w:cs="Arial"/>
          <w:sz w:val="24"/>
        </w:rPr>
      </w:pPr>
      <w:r>
        <w:rPr>
          <w:rFonts w:ascii="Arial" w:hAnsi="Arial" w:cs="Arial"/>
          <w:sz w:val="24"/>
        </w:rPr>
        <w:t xml:space="preserve">Section 511 of the Social Security Act (42 U.S.C. 701), </w:t>
      </w:r>
      <w:r w:rsidR="00477C27">
        <w:rPr>
          <w:rFonts w:ascii="Arial" w:hAnsi="Arial" w:cs="Arial"/>
          <w:sz w:val="24"/>
        </w:rPr>
        <w:t xml:space="preserve">as amended </w:t>
      </w:r>
      <w:r w:rsidRPr="006E5E6D" w:rsidR="00477C27">
        <w:rPr>
          <w:rFonts w:ascii="Arial" w:hAnsi="Arial" w:cs="Arial"/>
          <w:sz w:val="24"/>
        </w:rPr>
        <w:t>by Section 6101 of the Consolidated Appropriations Act, 2023 (P.L. 117-328)</w:t>
      </w:r>
      <w:r w:rsidR="007E0725">
        <w:rPr>
          <w:rFonts w:ascii="Arial" w:hAnsi="Arial" w:cs="Arial"/>
          <w:sz w:val="24"/>
        </w:rPr>
        <w:t>,</w:t>
      </w:r>
      <w:r w:rsidR="00477C27">
        <w:rPr>
          <w:rFonts w:ascii="Arial" w:hAnsi="Arial" w:cs="Arial"/>
          <w:sz w:val="24"/>
        </w:rPr>
        <w:t xml:space="preserve"> </w:t>
      </w:r>
      <w:r>
        <w:rPr>
          <w:rFonts w:ascii="Arial" w:hAnsi="Arial" w:cs="Arial"/>
          <w:sz w:val="24"/>
        </w:rPr>
        <w:t>requires that MIECHV Program awardees collect data to measure improvements for eligible families in six specified benchmark areas that encompass the major goals of the program. These areas are:</w:t>
      </w:r>
    </w:p>
    <w:p w:rsidR="00227FDB" w:rsidP="00227FDB" w14:paraId="46F4B6CE" w14:textId="77777777">
      <w:pPr>
        <w:ind w:left="360"/>
        <w:rPr>
          <w:rFonts w:ascii="Arial" w:hAnsi="Arial" w:cs="Arial"/>
          <w:sz w:val="24"/>
        </w:rPr>
      </w:pPr>
    </w:p>
    <w:p w:rsidR="00227FDB" w:rsidP="00227FDB" w14:paraId="3515D015" w14:textId="07BFBAF5">
      <w:pPr>
        <w:pStyle w:val="ListParagraph"/>
        <w:numPr>
          <w:ilvl w:val="0"/>
          <w:numId w:val="20"/>
        </w:numPr>
        <w:rPr>
          <w:rFonts w:ascii="Arial" w:hAnsi="Arial" w:cs="Arial"/>
          <w:sz w:val="24"/>
        </w:rPr>
      </w:pPr>
      <w:r>
        <w:rPr>
          <w:rFonts w:ascii="Arial" w:hAnsi="Arial" w:cs="Arial"/>
          <w:sz w:val="24"/>
        </w:rPr>
        <w:t>Improved maternal and newborn health</w:t>
      </w:r>
      <w:r w:rsidR="007E0725">
        <w:rPr>
          <w:rFonts w:ascii="Arial" w:hAnsi="Arial" w:cs="Arial"/>
          <w:sz w:val="24"/>
        </w:rPr>
        <w:t>;</w:t>
      </w:r>
    </w:p>
    <w:p w:rsidR="00227FDB" w:rsidP="00227FDB" w14:paraId="20DC87E7" w14:textId="58EEDC4F">
      <w:pPr>
        <w:pStyle w:val="ListParagraph"/>
        <w:numPr>
          <w:ilvl w:val="0"/>
          <w:numId w:val="20"/>
        </w:numPr>
        <w:rPr>
          <w:rFonts w:ascii="Arial" w:hAnsi="Arial" w:cs="Arial"/>
          <w:sz w:val="24"/>
        </w:rPr>
      </w:pPr>
      <w:r>
        <w:rPr>
          <w:rFonts w:ascii="Arial" w:hAnsi="Arial" w:cs="Arial"/>
          <w:sz w:val="24"/>
        </w:rPr>
        <w:t>Prevention of child injuries, child abuse, neglect, and maltreatment, and reduction in emergency department visits</w:t>
      </w:r>
      <w:r w:rsidR="007E0725">
        <w:rPr>
          <w:rFonts w:ascii="Arial" w:hAnsi="Arial" w:cs="Arial"/>
          <w:sz w:val="24"/>
        </w:rPr>
        <w:t>;</w:t>
      </w:r>
    </w:p>
    <w:p w:rsidR="00227FDB" w:rsidP="00227FDB" w14:paraId="47566D54" w14:textId="2AA4E910">
      <w:pPr>
        <w:pStyle w:val="ListParagraph"/>
        <w:numPr>
          <w:ilvl w:val="0"/>
          <w:numId w:val="20"/>
        </w:numPr>
        <w:rPr>
          <w:rFonts w:ascii="Arial" w:hAnsi="Arial" w:cs="Arial"/>
          <w:sz w:val="24"/>
        </w:rPr>
      </w:pPr>
      <w:r>
        <w:rPr>
          <w:rFonts w:ascii="Arial" w:hAnsi="Arial" w:cs="Arial"/>
          <w:sz w:val="24"/>
        </w:rPr>
        <w:t>Improvement in school readiness and achievement</w:t>
      </w:r>
      <w:r w:rsidR="007E0725">
        <w:rPr>
          <w:rFonts w:ascii="Arial" w:hAnsi="Arial" w:cs="Arial"/>
          <w:sz w:val="24"/>
        </w:rPr>
        <w:t>;</w:t>
      </w:r>
    </w:p>
    <w:p w:rsidR="00227FDB" w:rsidP="00227FDB" w14:paraId="59AD0322" w14:textId="2FA322EA">
      <w:pPr>
        <w:pStyle w:val="ListParagraph"/>
        <w:numPr>
          <w:ilvl w:val="0"/>
          <w:numId w:val="20"/>
        </w:numPr>
        <w:rPr>
          <w:rFonts w:ascii="Arial" w:hAnsi="Arial" w:cs="Arial"/>
          <w:sz w:val="24"/>
        </w:rPr>
      </w:pPr>
      <w:r>
        <w:rPr>
          <w:rFonts w:ascii="Arial" w:hAnsi="Arial" w:cs="Arial"/>
          <w:sz w:val="24"/>
        </w:rPr>
        <w:t>Reduction in crime and domestic violence</w:t>
      </w:r>
      <w:r w:rsidR="007E0725">
        <w:rPr>
          <w:rFonts w:ascii="Arial" w:hAnsi="Arial" w:cs="Arial"/>
          <w:sz w:val="24"/>
        </w:rPr>
        <w:t>;</w:t>
      </w:r>
    </w:p>
    <w:p w:rsidR="00227FDB" w:rsidP="00227FDB" w14:paraId="5D5E2477" w14:textId="2950C068">
      <w:pPr>
        <w:pStyle w:val="ListParagraph"/>
        <w:numPr>
          <w:ilvl w:val="0"/>
          <w:numId w:val="20"/>
        </w:numPr>
        <w:rPr>
          <w:rFonts w:ascii="Arial" w:hAnsi="Arial" w:cs="Arial"/>
          <w:sz w:val="24"/>
        </w:rPr>
      </w:pPr>
      <w:r>
        <w:rPr>
          <w:rFonts w:ascii="Arial" w:hAnsi="Arial" w:cs="Arial"/>
          <w:sz w:val="24"/>
        </w:rPr>
        <w:t>Improvement in family economic self-sufficiency</w:t>
      </w:r>
      <w:r w:rsidR="007E0725">
        <w:rPr>
          <w:rFonts w:ascii="Arial" w:hAnsi="Arial" w:cs="Arial"/>
          <w:sz w:val="24"/>
        </w:rPr>
        <w:t>; and</w:t>
      </w:r>
    </w:p>
    <w:p w:rsidR="00227FDB" w:rsidP="00227FDB" w14:paraId="7FA9BF65" w14:textId="77777777">
      <w:pPr>
        <w:pStyle w:val="ListParagraph"/>
        <w:numPr>
          <w:ilvl w:val="0"/>
          <w:numId w:val="20"/>
        </w:numPr>
        <w:rPr>
          <w:rFonts w:ascii="Arial" w:hAnsi="Arial" w:cs="Arial"/>
          <w:sz w:val="24"/>
        </w:rPr>
      </w:pPr>
      <w:r>
        <w:rPr>
          <w:rFonts w:ascii="Arial" w:hAnsi="Arial" w:cs="Arial"/>
          <w:sz w:val="24"/>
        </w:rPr>
        <w:t>Improvement in the coordination and referrals for other community resources and supports</w:t>
      </w:r>
    </w:p>
    <w:p w:rsidR="00227FDB" w:rsidP="007E0725" w14:paraId="3016BB71" w14:textId="2927C337">
      <w:pPr>
        <w:tabs>
          <w:tab w:val="left" w:pos="1548"/>
        </w:tabs>
        <w:rPr>
          <w:rFonts w:ascii="Arial" w:hAnsi="Arial" w:cs="Arial"/>
          <w:sz w:val="24"/>
        </w:rPr>
      </w:pPr>
      <w:r>
        <w:rPr>
          <w:rFonts w:ascii="Arial" w:hAnsi="Arial" w:cs="Arial"/>
          <w:sz w:val="24"/>
        </w:rPr>
        <w:tab/>
      </w:r>
    </w:p>
    <w:p w:rsidR="00227FDB" w:rsidP="00227FDB" w14:paraId="08BC4689" w14:textId="7CE5BEEA">
      <w:pPr>
        <w:ind w:left="360"/>
        <w:rPr>
          <w:rFonts w:ascii="Arial" w:hAnsi="Arial" w:cs="Arial"/>
          <w:sz w:val="24"/>
        </w:rPr>
      </w:pPr>
      <w:r>
        <w:rPr>
          <w:rFonts w:ascii="Arial" w:hAnsi="Arial" w:cs="Arial"/>
          <w:sz w:val="24"/>
        </w:rPr>
        <w:t xml:space="preserve">In addition to providing data on these six benchmark areas, MIECHV Program </w:t>
      </w:r>
      <w:r>
        <w:rPr>
          <w:rFonts w:ascii="Arial" w:hAnsi="Arial" w:cs="Arial"/>
          <w:sz w:val="24"/>
        </w:rPr>
        <w:t xml:space="preserve">awardees are required to submit annual reports that summarize the demographic, service utilization, and other administrative data related to program </w:t>
      </w:r>
      <w:r w:rsidR="00D82086">
        <w:rPr>
          <w:rFonts w:ascii="Arial" w:hAnsi="Arial" w:cs="Arial"/>
          <w:sz w:val="24"/>
        </w:rPr>
        <w:t>implementation (</w:t>
      </w:r>
      <w:r w:rsidRPr="00D82086" w:rsidR="00D82086">
        <w:rPr>
          <w:rFonts w:ascii="Arial" w:hAnsi="Arial" w:cs="Arial"/>
          <w:sz w:val="24"/>
        </w:rPr>
        <w:t xml:space="preserve">OMB control number 0906-0017, </w:t>
      </w:r>
      <w:r w:rsidR="00FA6997">
        <w:rPr>
          <w:rFonts w:ascii="Arial" w:hAnsi="Arial" w:cs="Arial"/>
          <w:sz w:val="24"/>
        </w:rPr>
        <w:t>currently with OMB for review</w:t>
      </w:r>
      <w:r w:rsidRPr="00D82086" w:rsidR="00D82086">
        <w:rPr>
          <w:rFonts w:ascii="Arial" w:hAnsi="Arial" w:cs="Arial"/>
          <w:sz w:val="24"/>
        </w:rPr>
        <w:t>)</w:t>
      </w:r>
      <w:r w:rsidR="00D82086">
        <w:rPr>
          <w:rFonts w:ascii="Arial" w:hAnsi="Arial" w:cs="Arial"/>
          <w:sz w:val="24"/>
        </w:rPr>
        <w:t>.</w:t>
      </w:r>
    </w:p>
    <w:p w:rsidR="00227FDB" w:rsidP="00227FDB" w14:paraId="39EAA4C0" w14:textId="77777777">
      <w:pPr>
        <w:rPr>
          <w:rFonts w:ascii="Arial" w:hAnsi="Arial" w:cs="Arial"/>
          <w:sz w:val="24"/>
        </w:rPr>
      </w:pPr>
    </w:p>
    <w:p w:rsidR="00227FDB" w:rsidP="00227FDB" w14:paraId="79BF2F51" w14:textId="3AB57626">
      <w:pPr>
        <w:ind w:left="360"/>
        <w:rPr>
          <w:rFonts w:ascii="Arial" w:hAnsi="Arial" w:cs="Arial"/>
          <w:sz w:val="24"/>
        </w:rPr>
      </w:pPr>
      <w:r>
        <w:rPr>
          <w:rFonts w:ascii="Arial" w:hAnsi="Arial" w:cs="Arial"/>
          <w:sz w:val="24"/>
        </w:rPr>
        <w:t>To</w:t>
      </w:r>
      <w:r>
        <w:rPr>
          <w:rFonts w:ascii="Arial" w:hAnsi="Arial" w:cs="Arial"/>
          <w:sz w:val="24"/>
        </w:rPr>
        <w:t xml:space="preserve"> continuously monitor and provide grants oversight, quality improvement guidance, and technical assistance to MIECHV Program awardees, as well as comply with statutory requirements for benchmark performance reporting and administrative requirements under the Government Performance and Results Act (GPRA), HRSA is seeking to revise the </w:t>
      </w:r>
      <w:r w:rsidR="000B7EB6">
        <w:rPr>
          <w:rFonts w:ascii="Arial" w:hAnsi="Arial" w:cs="Arial"/>
          <w:sz w:val="24"/>
        </w:rPr>
        <w:t xml:space="preserve">collection </w:t>
      </w:r>
      <w:r w:rsidR="00414E80">
        <w:rPr>
          <w:rFonts w:ascii="Arial" w:hAnsi="Arial" w:cs="Arial"/>
          <w:sz w:val="24"/>
        </w:rPr>
        <w:t>of Quarterly Performance Data</w:t>
      </w:r>
      <w:r w:rsidR="00FA6997">
        <w:rPr>
          <w:rFonts w:ascii="Arial" w:hAnsi="Arial" w:cs="Arial"/>
          <w:sz w:val="24"/>
        </w:rPr>
        <w:t xml:space="preserve">. </w:t>
      </w:r>
    </w:p>
    <w:p w:rsidR="00D82086" w:rsidP="00227FDB" w14:paraId="14B49200" w14:textId="77777777">
      <w:pPr>
        <w:ind w:left="360"/>
        <w:rPr>
          <w:rFonts w:ascii="Arial" w:hAnsi="Arial" w:cs="Arial"/>
          <w:sz w:val="24"/>
        </w:rPr>
      </w:pPr>
    </w:p>
    <w:p w:rsidR="009B3794" w:rsidRPr="00C45431" w:rsidP="00AC2B1A" w14:paraId="22E2A2FB"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DE3376" w:rsidP="00D46A8B" w14:paraId="02396E28" w14:textId="77777777">
      <w:pPr>
        <w:rPr>
          <w:rFonts w:ascii="Arial" w:hAnsi="Arial" w:cs="Arial"/>
          <w:sz w:val="24"/>
        </w:rPr>
      </w:pPr>
    </w:p>
    <w:p w:rsidR="00216C54" w:rsidP="00DE3376" w14:paraId="5D2C50A8" w14:textId="77777777">
      <w:pPr>
        <w:ind w:left="360"/>
        <w:rPr>
          <w:rFonts w:ascii="Arial" w:hAnsi="Arial" w:cs="Arial"/>
          <w:sz w:val="24"/>
        </w:rPr>
      </w:pPr>
      <w:r>
        <w:rPr>
          <w:rFonts w:ascii="Arial" w:hAnsi="Arial" w:cs="Arial"/>
          <w:sz w:val="24"/>
        </w:rPr>
        <w:t xml:space="preserve">HRSA will use the proposed information to demonstrate program accountability and quarterly monitor and provide oversight to MIECHV Program awardees. </w:t>
      </w:r>
      <w:r w:rsidR="000E34CA">
        <w:rPr>
          <w:rFonts w:ascii="Arial" w:hAnsi="Arial" w:cs="Arial"/>
          <w:sz w:val="24"/>
        </w:rPr>
        <w:t>The information will also be used to provide quality improvement guidance and technical assistance to awardees and help inform the development of early childhood systems at the national, state, and local level.</w:t>
      </w:r>
      <w:r>
        <w:rPr>
          <w:rFonts w:ascii="Arial" w:hAnsi="Arial" w:cs="Arial"/>
          <w:sz w:val="24"/>
        </w:rPr>
        <w:t xml:space="preserve"> </w:t>
      </w:r>
    </w:p>
    <w:p w:rsidR="00216C54" w:rsidP="00DE3376" w14:paraId="71E17765" w14:textId="77777777">
      <w:pPr>
        <w:ind w:left="360"/>
        <w:rPr>
          <w:rFonts w:ascii="Arial" w:hAnsi="Arial" w:cs="Arial"/>
          <w:sz w:val="24"/>
        </w:rPr>
      </w:pPr>
    </w:p>
    <w:p w:rsidR="00D82086" w:rsidP="00DE3376" w14:paraId="500D2F46" w14:textId="5506B67B">
      <w:pPr>
        <w:ind w:left="360"/>
        <w:rPr>
          <w:rFonts w:ascii="Arial" w:hAnsi="Arial" w:cs="Arial"/>
          <w:sz w:val="24"/>
        </w:rPr>
      </w:pPr>
      <w:r>
        <w:rPr>
          <w:rFonts w:ascii="Arial" w:hAnsi="Arial" w:cs="Arial"/>
          <w:sz w:val="24"/>
        </w:rPr>
        <w:t xml:space="preserve">HRSA is seeking to collect </w:t>
      </w:r>
      <w:r w:rsidRPr="00E90099">
        <w:rPr>
          <w:rFonts w:ascii="Arial" w:hAnsi="Arial" w:cs="Arial"/>
          <w:sz w:val="24"/>
        </w:rPr>
        <w:t xml:space="preserve">of four categories of data – program capacity, place-based services, family engagement, and staffing. </w:t>
      </w:r>
      <w:r>
        <w:rPr>
          <w:rFonts w:ascii="Arial" w:hAnsi="Arial" w:cs="Arial"/>
          <w:sz w:val="24"/>
        </w:rPr>
        <w:t xml:space="preserve">Quarterly collection of this data </w:t>
      </w:r>
      <w:r w:rsidRPr="000E34CA">
        <w:rPr>
          <w:rFonts w:ascii="Arial" w:hAnsi="Arial" w:cs="Arial"/>
          <w:sz w:val="24"/>
        </w:rPr>
        <w:t>provide</w:t>
      </w:r>
      <w:r>
        <w:rPr>
          <w:rFonts w:ascii="Arial" w:hAnsi="Arial" w:cs="Arial"/>
          <w:sz w:val="24"/>
        </w:rPr>
        <w:t>s</w:t>
      </w:r>
      <w:r w:rsidRPr="000E34CA">
        <w:rPr>
          <w:rFonts w:ascii="Arial" w:hAnsi="Arial" w:cs="Arial"/>
          <w:sz w:val="24"/>
        </w:rPr>
        <w:t xml:space="preserve"> HRSA with timely updates to service utilization and performance data variables that have the potential to change on a frequent basis</w:t>
      </w:r>
      <w:r w:rsidR="00E3352D">
        <w:rPr>
          <w:rFonts w:ascii="Arial" w:hAnsi="Arial" w:cs="Arial"/>
          <w:sz w:val="24"/>
        </w:rPr>
        <w:t>. Th</w:t>
      </w:r>
      <w:r w:rsidRPr="00E3352D" w:rsidR="00E3352D">
        <w:rPr>
          <w:rFonts w:ascii="Arial" w:hAnsi="Arial" w:cs="Arial"/>
          <w:sz w:val="24"/>
        </w:rPr>
        <w:t xml:space="preserve">is information </w:t>
      </w:r>
      <w:r w:rsidR="00E3352D">
        <w:rPr>
          <w:rFonts w:ascii="Arial" w:hAnsi="Arial" w:cs="Arial"/>
          <w:sz w:val="24"/>
        </w:rPr>
        <w:t xml:space="preserve">also </w:t>
      </w:r>
      <w:r w:rsidRPr="00E3352D" w:rsidR="00E3352D">
        <w:rPr>
          <w:rFonts w:ascii="Arial" w:hAnsi="Arial" w:cs="Arial"/>
          <w:sz w:val="24"/>
        </w:rPr>
        <w:t xml:space="preserve">allows HRSA to </w:t>
      </w:r>
      <w:r w:rsidRPr="00E90099" w:rsidR="00E3352D">
        <w:rPr>
          <w:rFonts w:ascii="Arial" w:hAnsi="Arial" w:cs="Arial"/>
          <w:sz w:val="24"/>
        </w:rPr>
        <w:t>demonstrat</w:t>
      </w:r>
      <w:r w:rsidR="00E3352D">
        <w:rPr>
          <w:rFonts w:ascii="Arial" w:hAnsi="Arial" w:cs="Arial"/>
          <w:sz w:val="24"/>
        </w:rPr>
        <w:t>e</w:t>
      </w:r>
      <w:r w:rsidRPr="00E90099" w:rsidR="00E3352D">
        <w:rPr>
          <w:rFonts w:ascii="Arial" w:hAnsi="Arial" w:cs="Arial"/>
          <w:sz w:val="24"/>
        </w:rPr>
        <w:t xml:space="preserve"> awardee compliance with several program policies, including the maintenance of service caseloads and targets for service capacity</w:t>
      </w:r>
      <w:r w:rsidR="00E3352D">
        <w:rPr>
          <w:rFonts w:ascii="Arial" w:hAnsi="Arial" w:cs="Arial"/>
          <w:sz w:val="24"/>
        </w:rPr>
        <w:t>, and</w:t>
      </w:r>
      <w:r w:rsidRPr="00E3352D" w:rsidR="00E3352D">
        <w:rPr>
          <w:rFonts w:ascii="Arial" w:hAnsi="Arial" w:cs="Arial"/>
          <w:sz w:val="24"/>
        </w:rPr>
        <w:t xml:space="preserve"> verify that the communities identified as most in need of home visiting services by awardees in their statutorily required needs assessments are receiving MIECHV funded services.</w:t>
      </w:r>
      <w:r w:rsidR="00E22ADD">
        <w:rPr>
          <w:rFonts w:ascii="Arial" w:hAnsi="Arial" w:cs="Arial"/>
          <w:sz w:val="24"/>
        </w:rPr>
        <w:t xml:space="preserve"> </w:t>
      </w:r>
    </w:p>
    <w:p w:rsidR="00216C54" w:rsidP="00DE3376" w14:paraId="31F6E77C" w14:textId="77777777">
      <w:pPr>
        <w:ind w:left="360"/>
        <w:rPr>
          <w:rFonts w:ascii="Arial" w:hAnsi="Arial" w:cs="Arial"/>
          <w:sz w:val="24"/>
        </w:rPr>
      </w:pPr>
    </w:p>
    <w:p w:rsidR="00216C54" w:rsidP="00DE3376" w14:paraId="6237629F" w14:textId="2B06CC77">
      <w:pPr>
        <w:ind w:left="360"/>
        <w:rPr>
          <w:rFonts w:ascii="Arial" w:hAnsi="Arial" w:cs="Arial"/>
          <w:sz w:val="24"/>
        </w:rPr>
      </w:pPr>
      <w:r>
        <w:rPr>
          <w:rFonts w:ascii="Arial" w:hAnsi="Arial" w:cs="Arial"/>
          <w:sz w:val="24"/>
        </w:rPr>
        <w:t>HRSA is seeking revision</w:t>
      </w:r>
      <w:r>
        <w:rPr>
          <w:rFonts w:ascii="Arial" w:hAnsi="Arial" w:cs="Arial"/>
          <w:sz w:val="24"/>
        </w:rPr>
        <w:t>s to the form</w:t>
      </w:r>
      <w:r w:rsidRPr="00216C54">
        <w:rPr>
          <w:rFonts w:ascii="Arial" w:hAnsi="Arial" w:cs="Arial"/>
          <w:sz w:val="24"/>
        </w:rPr>
        <w:t xml:space="preserve"> for the purposes of streamlining reporting requirements and reducing administrative burden related to data collection and reporting. These revisions will better align the intended and actual uses of these data for program monitoring and oversight purposes.</w:t>
      </w:r>
      <w:r>
        <w:rPr>
          <w:rFonts w:ascii="Arial" w:hAnsi="Arial" w:cs="Arial"/>
          <w:sz w:val="24"/>
        </w:rPr>
        <w:t xml:space="preserve"> </w:t>
      </w:r>
    </w:p>
    <w:p w:rsidR="00216C54" w:rsidP="00DE3376" w14:paraId="00BA4A67" w14:textId="77777777">
      <w:pPr>
        <w:ind w:left="360"/>
        <w:rPr>
          <w:rFonts w:ascii="Arial" w:hAnsi="Arial" w:cs="Arial"/>
          <w:sz w:val="24"/>
        </w:rPr>
      </w:pPr>
    </w:p>
    <w:p w:rsidR="00216C54" w:rsidP="00DE3376" w14:paraId="081F9AF8" w14:textId="5E64B3E7">
      <w:pPr>
        <w:ind w:left="360"/>
        <w:rPr>
          <w:rFonts w:ascii="Arial" w:hAnsi="Arial" w:cs="Arial"/>
          <w:sz w:val="24"/>
        </w:rPr>
      </w:pPr>
      <w:r>
        <w:rPr>
          <w:rFonts w:ascii="Arial" w:hAnsi="Arial" w:cs="Arial"/>
          <w:sz w:val="24"/>
        </w:rPr>
        <w:t xml:space="preserve">Specific proposed revisions and corresponding rationales include: </w:t>
      </w:r>
    </w:p>
    <w:p w:rsidR="00216C54" w:rsidP="00DE3376" w14:paraId="4CFEBE8F" w14:textId="22A4D088">
      <w:pPr>
        <w:ind w:left="360"/>
        <w:rPr>
          <w:rFonts w:ascii="Arial" w:hAnsi="Arial" w:cs="Arial"/>
          <w:sz w:val="24"/>
        </w:rPr>
      </w:pPr>
    </w:p>
    <w:p w:rsidR="00216C54" w:rsidP="00216C54" w14:paraId="3853DD9C" w14:textId="77777777">
      <w:pPr>
        <w:pStyle w:val="ListParagraph"/>
        <w:numPr>
          <w:ilvl w:val="0"/>
          <w:numId w:val="26"/>
        </w:numPr>
        <w:rPr>
          <w:rFonts w:ascii="Arial" w:hAnsi="Arial" w:cs="Arial"/>
          <w:sz w:val="24"/>
        </w:rPr>
      </w:pPr>
      <w:r>
        <w:rPr>
          <w:rFonts w:ascii="Arial" w:hAnsi="Arial" w:cs="Arial"/>
          <w:sz w:val="24"/>
        </w:rPr>
        <w:t>Remove collection of zip codes under Table A.2 Place Based Services. This change is in response to</w:t>
      </w:r>
      <w:r w:rsidRPr="00216C54">
        <w:t xml:space="preserve"> </w:t>
      </w:r>
      <w:r w:rsidRPr="00216C54">
        <w:rPr>
          <w:rFonts w:ascii="Arial" w:hAnsi="Arial" w:cs="Arial"/>
          <w:sz w:val="24"/>
        </w:rPr>
        <w:t>significant burden awardees have reported on collecting and reporting this dat</w:t>
      </w:r>
      <w:r>
        <w:rPr>
          <w:rFonts w:ascii="Arial" w:hAnsi="Arial" w:cs="Arial"/>
          <w:sz w:val="24"/>
        </w:rPr>
        <w:t xml:space="preserve">a over the last three years and HRSA can monitor and communicate reach of the program using the county data that will continue to get collected on Table A.2. </w:t>
      </w:r>
    </w:p>
    <w:p w:rsidR="00216C54" w:rsidP="00216C54" w14:paraId="0A68F0AD" w14:textId="77777777">
      <w:pPr>
        <w:pStyle w:val="ListParagraph"/>
        <w:numPr>
          <w:ilvl w:val="0"/>
          <w:numId w:val="26"/>
        </w:numPr>
        <w:rPr>
          <w:rFonts w:ascii="Arial" w:hAnsi="Arial" w:cs="Arial"/>
          <w:sz w:val="24"/>
        </w:rPr>
      </w:pPr>
      <w:r w:rsidRPr="00216C54">
        <w:rPr>
          <w:rFonts w:ascii="Arial" w:hAnsi="Arial" w:cs="Arial"/>
          <w:sz w:val="24"/>
        </w:rPr>
        <w:t xml:space="preserve">Update definitions of key terms to remove definition of zip codes. </w:t>
      </w:r>
    </w:p>
    <w:p w:rsidR="00E90099" w:rsidP="00486870" w14:paraId="7C2F4254" w14:textId="5E826380">
      <w:pPr>
        <w:pStyle w:val="ListParagraph"/>
        <w:numPr>
          <w:ilvl w:val="0"/>
          <w:numId w:val="26"/>
        </w:numPr>
        <w:rPr>
          <w:rFonts w:ascii="Arial" w:hAnsi="Arial" w:cs="Arial"/>
          <w:sz w:val="24"/>
        </w:rPr>
      </w:pPr>
      <w:r w:rsidRPr="00216C54">
        <w:rPr>
          <w:rFonts w:ascii="Arial" w:hAnsi="Arial" w:cs="Arial"/>
          <w:sz w:val="24"/>
        </w:rPr>
        <w:t>Remove Section B of the form. Section B of the form has not been used and HRSA does not anticipate the need for this form in the future</w:t>
      </w:r>
      <w:r w:rsidR="00FA6997">
        <w:rPr>
          <w:rFonts w:ascii="Arial" w:hAnsi="Arial" w:cs="Arial"/>
          <w:sz w:val="24"/>
        </w:rPr>
        <w:t xml:space="preserve">. </w:t>
      </w:r>
    </w:p>
    <w:p w:rsidR="00216C54" w:rsidRPr="00216C54" w:rsidP="00216C54" w14:paraId="7A16B468" w14:textId="77777777">
      <w:pPr>
        <w:pStyle w:val="ListParagraph"/>
        <w:ind w:left="360"/>
        <w:rPr>
          <w:rFonts w:ascii="Arial" w:hAnsi="Arial" w:cs="Arial"/>
          <w:sz w:val="24"/>
        </w:rPr>
      </w:pPr>
    </w:p>
    <w:p w:rsidR="00E3352D" w:rsidP="00E3352D" w14:paraId="37982791" w14:textId="4BC2424B">
      <w:pPr>
        <w:ind w:left="360"/>
        <w:rPr>
          <w:rFonts w:ascii="Arial" w:hAnsi="Arial" w:cs="Arial"/>
          <w:sz w:val="24"/>
        </w:rPr>
      </w:pPr>
      <w:r>
        <w:rPr>
          <w:rFonts w:ascii="Arial" w:hAnsi="Arial" w:cs="Arial"/>
          <w:sz w:val="24"/>
        </w:rPr>
        <w:t xml:space="preserve">Data are reported to HRSA in the aggregate at the state/jurisdiction level. No individual or family-level data is collected. Collecting state/jurisdiction level data </w:t>
      </w:r>
      <w:r>
        <w:rPr>
          <w:rFonts w:ascii="Arial" w:hAnsi="Arial" w:cs="Arial"/>
          <w:sz w:val="24"/>
        </w:rPr>
        <w:t>ensures an appropriate data collection and reporting burden for MIECHV Program awardees.</w:t>
      </w:r>
    </w:p>
    <w:p w:rsidR="009B3794" w:rsidRPr="00C45431" w:rsidP="00AC2B1A" w14:paraId="22E2A300"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B24023" w:rsidRPr="00B24023" w:rsidP="001A517F" w14:paraId="1F4F7960" w14:textId="4B2FFB38">
      <w:pPr>
        <w:spacing w:before="240"/>
        <w:ind w:left="360"/>
        <w:rPr>
          <w:rFonts w:ascii="Arial" w:hAnsi="Arial" w:cs="Arial"/>
          <w:sz w:val="24"/>
        </w:rPr>
      </w:pPr>
      <w:r w:rsidRPr="00B24023">
        <w:rPr>
          <w:rFonts w:ascii="Arial" w:hAnsi="Arial" w:cs="Arial"/>
          <w:sz w:val="24"/>
        </w:rPr>
        <w:t>Improved information technology is utilized where appropriate. Awardees collect information from home visiting participants using their own established methods. Awardees aggregate and report this information to HRSA using the Home Visiting Information System (HVIS), a Bureau Reporting System within HRSA’s Electronic Handbooks grants management application. The system is an electronic reporting tool used by MIECHV Program awardees for annual and quarterly performance reporting, and allows for the appropriate storage, extraction, and records management of performance data by federal staff</w:t>
      </w:r>
      <w:r w:rsidR="00FA6997">
        <w:rPr>
          <w:rFonts w:ascii="Arial" w:hAnsi="Arial" w:cs="Arial"/>
          <w:sz w:val="24"/>
        </w:rPr>
        <w:t xml:space="preserve">. </w:t>
      </w:r>
    </w:p>
    <w:p w:rsidR="009B3794" w:rsidRPr="00C45431" w:rsidP="00AC2B1A" w14:paraId="22E2A305" w14:textId="63A2E3AA">
      <w:pPr>
        <w:numPr>
          <w:ilvl w:val="0"/>
          <w:numId w:val="2"/>
        </w:numPr>
        <w:tabs>
          <w:tab w:val="num" w:pos="360"/>
          <w:tab w:val="clear" w:pos="1080"/>
        </w:tabs>
        <w:spacing w:before="240"/>
        <w:ind w:left="360"/>
        <w:rPr>
          <w:rFonts w:ascii="Arial" w:hAnsi="Arial" w:cs="Arial"/>
          <w:b/>
          <w:bCs/>
          <w:sz w:val="24"/>
        </w:rPr>
      </w:pPr>
      <w:r w:rsidRPr="6981A5CD">
        <w:rPr>
          <w:rFonts w:ascii="Arial" w:hAnsi="Arial" w:cs="Arial"/>
          <w:b/>
          <w:bCs/>
          <w:sz w:val="24"/>
          <w:u w:val="single"/>
        </w:rPr>
        <w:t>Efforts to Identify Duplication and Use of Similar Information</w:t>
      </w:r>
    </w:p>
    <w:p w:rsidR="00484CF8" w:rsidP="001A517F" w14:paraId="05E6B5B4" w14:textId="5C8128FB">
      <w:pPr>
        <w:spacing w:before="120"/>
        <w:ind w:left="360"/>
        <w:rPr>
          <w:rFonts w:ascii="Arial" w:hAnsi="Arial" w:cs="Arial"/>
          <w:sz w:val="24"/>
        </w:rPr>
      </w:pPr>
      <w:r w:rsidRPr="00484CF8">
        <w:rPr>
          <w:rFonts w:ascii="Arial" w:hAnsi="Arial" w:cs="Arial"/>
          <w:sz w:val="24"/>
        </w:rPr>
        <w:t xml:space="preserve">The information collected through this request is not available from another source. Only MIECHV Program awardees can supply the requested information. </w:t>
      </w:r>
    </w:p>
    <w:p w:rsidR="00104B06" w:rsidRPr="00104B06" w:rsidP="001A517F" w14:paraId="02C3CA6B" w14:textId="43538DB7">
      <w:pPr>
        <w:spacing w:before="120"/>
        <w:ind w:left="360"/>
        <w:rPr>
          <w:rFonts w:ascii="Arial" w:hAnsi="Arial" w:cs="Arial"/>
          <w:bCs/>
          <w:sz w:val="24"/>
        </w:rPr>
      </w:pPr>
      <w:r w:rsidRPr="00104B06">
        <w:rPr>
          <w:rFonts w:ascii="Arial" w:hAnsi="Arial" w:cs="Arial"/>
          <w:bCs/>
          <w:sz w:val="24"/>
        </w:rPr>
        <w:t>Service utilization data related to family engagement is contained in both the annual and quarterly information collection requests because it has the potential to change frequently and is a key indicator of program performance. HRSA will use quarterly family engagement data to provide oversight and technical assistance to MIECHV Program awardees and will use cumulative annual reports of family engagement for reporting purposes and to assess the effectiveness of technical assistance.</w:t>
      </w:r>
    </w:p>
    <w:p w:rsidR="009B3794" w:rsidRPr="00C45431" w:rsidP="00AC2B1A" w14:paraId="22E2A307" w14:textId="77777777">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76561B" w:rsidRPr="0076561B" w:rsidP="001A517F" w14:paraId="2EAD5841" w14:textId="0AC56565">
      <w:pPr>
        <w:spacing w:before="120"/>
        <w:ind w:left="360"/>
        <w:rPr>
          <w:rFonts w:ascii="Arial" w:hAnsi="Arial" w:cs="Arial"/>
          <w:b/>
          <w:sz w:val="24"/>
        </w:rPr>
      </w:pPr>
      <w:r w:rsidRPr="0076561B">
        <w:rPr>
          <w:rFonts w:ascii="Arial" w:hAnsi="Arial" w:cs="Arial"/>
          <w:sz w:val="24"/>
        </w:rPr>
        <w:t xml:space="preserve">Information will be collected from individuals participating in home visiting programs by staff at </w:t>
      </w:r>
      <w:r w:rsidR="00E3352D">
        <w:rPr>
          <w:rFonts w:ascii="Arial" w:hAnsi="Arial" w:cs="Arial"/>
          <w:sz w:val="24"/>
        </w:rPr>
        <w:t>l</w:t>
      </w:r>
      <w:r w:rsidRPr="0076561B">
        <w:rPr>
          <w:rFonts w:ascii="Arial" w:hAnsi="Arial" w:cs="Arial"/>
          <w:sz w:val="24"/>
        </w:rPr>
        <w:t xml:space="preserve">ocal </w:t>
      </w:r>
      <w:r w:rsidR="00E3352D">
        <w:rPr>
          <w:rFonts w:ascii="Arial" w:hAnsi="Arial" w:cs="Arial"/>
          <w:sz w:val="24"/>
        </w:rPr>
        <w:t>i</w:t>
      </w:r>
      <w:r w:rsidRPr="0076561B">
        <w:rPr>
          <w:rFonts w:ascii="Arial" w:hAnsi="Arial" w:cs="Arial"/>
          <w:sz w:val="24"/>
        </w:rPr>
        <w:t xml:space="preserve">mplementing </w:t>
      </w:r>
      <w:r w:rsidR="00E3352D">
        <w:rPr>
          <w:rFonts w:ascii="Arial" w:hAnsi="Arial" w:cs="Arial"/>
          <w:sz w:val="24"/>
        </w:rPr>
        <w:t>a</w:t>
      </w:r>
      <w:r w:rsidRPr="0076561B">
        <w:rPr>
          <w:rFonts w:ascii="Arial" w:hAnsi="Arial" w:cs="Arial"/>
          <w:sz w:val="24"/>
        </w:rPr>
        <w:t xml:space="preserve">gencies. Local </w:t>
      </w:r>
      <w:r w:rsidR="00E3352D">
        <w:rPr>
          <w:rFonts w:ascii="Arial" w:hAnsi="Arial" w:cs="Arial"/>
          <w:sz w:val="24"/>
        </w:rPr>
        <w:t>i</w:t>
      </w:r>
      <w:r w:rsidRPr="0076561B">
        <w:rPr>
          <w:rFonts w:ascii="Arial" w:hAnsi="Arial" w:cs="Arial"/>
          <w:sz w:val="24"/>
        </w:rPr>
        <w:t xml:space="preserve">mplementing </w:t>
      </w:r>
      <w:r w:rsidR="00E3352D">
        <w:rPr>
          <w:rFonts w:ascii="Arial" w:hAnsi="Arial" w:cs="Arial"/>
          <w:sz w:val="24"/>
        </w:rPr>
        <w:t>a</w:t>
      </w:r>
      <w:r w:rsidRPr="0076561B">
        <w:rPr>
          <w:rFonts w:ascii="Arial" w:hAnsi="Arial" w:cs="Arial"/>
          <w:sz w:val="24"/>
        </w:rPr>
        <w:t>gencies are contracted by the state, territorial, or non-profit awardee to provide home visiting services and may be small businesses. Because information collection may involve small businesses, the information being requested has been held to the absolute minimum necessary for the intended use of the data and to demonstrate programmatically important outputs and outcomes</w:t>
      </w:r>
      <w:r w:rsidR="00FA6997">
        <w:rPr>
          <w:rFonts w:ascii="Arial" w:hAnsi="Arial" w:cs="Arial"/>
          <w:sz w:val="24"/>
        </w:rPr>
        <w:t xml:space="preserve">. </w:t>
      </w:r>
    </w:p>
    <w:p w:rsidR="009B3794" w:rsidRPr="00C45431" w:rsidP="00AC2B1A"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A61FC9" w:rsidRPr="00A61FC9" w:rsidP="001A517F" w14:paraId="2EAFC51B" w14:textId="51CF8332">
      <w:pPr>
        <w:widowControl/>
        <w:autoSpaceDE/>
        <w:autoSpaceDN/>
        <w:adjustRightInd/>
        <w:spacing w:before="120"/>
        <w:ind w:left="360"/>
        <w:rPr>
          <w:rFonts w:ascii="Arial" w:hAnsi="Arial" w:cs="Arial"/>
          <w:color w:val="000000"/>
          <w:sz w:val="24"/>
        </w:rPr>
      </w:pPr>
      <w:r w:rsidRPr="00A61FC9">
        <w:rPr>
          <w:rFonts w:ascii="Arial" w:hAnsi="Arial" w:cs="Arial"/>
          <w:color w:val="000000"/>
          <w:sz w:val="24"/>
        </w:rPr>
        <w:t xml:space="preserve">The information collected through this request is reported on </w:t>
      </w:r>
      <w:r w:rsidR="00E3352D">
        <w:rPr>
          <w:rFonts w:ascii="Arial" w:hAnsi="Arial" w:cs="Arial"/>
          <w:color w:val="000000"/>
          <w:sz w:val="24"/>
        </w:rPr>
        <w:t>a quarterly</w:t>
      </w:r>
      <w:r w:rsidRPr="00A61FC9">
        <w:rPr>
          <w:rFonts w:ascii="Arial" w:hAnsi="Arial" w:cs="Arial"/>
          <w:color w:val="000000"/>
          <w:sz w:val="24"/>
        </w:rPr>
        <w:t xml:space="preserve"> basis. The intended use of this information is to assist HRSA in describing and reporting program performance, monitoring and grants oversight activities, and to target technical assistance resources more efficiently. This information is required to demonstrate awardee performance related to the statutorily defined benchmark areas and to comply with GPRA reporting requirements</w:t>
      </w:r>
      <w:r w:rsidR="00FA6997">
        <w:rPr>
          <w:rFonts w:ascii="Arial" w:hAnsi="Arial" w:cs="Arial"/>
          <w:color w:val="000000"/>
          <w:sz w:val="24"/>
        </w:rPr>
        <w:t xml:space="preserve">. </w:t>
      </w:r>
    </w:p>
    <w:p w:rsidR="00A61FC9" w:rsidRPr="00A61FC9" w:rsidP="001A517F" w14:paraId="282965A4" w14:textId="77777777">
      <w:pPr>
        <w:widowControl/>
        <w:autoSpaceDE/>
        <w:autoSpaceDN/>
        <w:adjustRightInd/>
        <w:spacing w:before="120"/>
        <w:ind w:firstLine="360"/>
        <w:rPr>
          <w:rFonts w:ascii="Arial" w:hAnsi="Arial" w:cs="Arial"/>
          <w:sz w:val="24"/>
        </w:rPr>
      </w:pPr>
      <w:r w:rsidRPr="00A61FC9">
        <w:rPr>
          <w:rFonts w:ascii="Arial" w:hAnsi="Arial" w:cs="Arial"/>
          <w:color w:val="000000"/>
          <w:sz w:val="24"/>
        </w:rPr>
        <w:t>There are no legal obstacles to reduce the burden.</w:t>
      </w:r>
      <w:r w:rsidRPr="00A61FC9">
        <w:rPr>
          <w:rFonts w:ascii="Arial" w:hAnsi="Arial" w:cs="Arial"/>
          <w:sz w:val="24"/>
        </w:rPr>
        <w:tab/>
      </w:r>
    </w:p>
    <w:p w:rsidR="009B3794" w:rsidRPr="00C45431" w:rsidP="00AC2B1A" w14:paraId="22E2A312"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E9100D" w:rsidRPr="00E9100D" w:rsidP="001A517F" w14:paraId="60D08B5E" w14:textId="3EF0C96A">
      <w:pPr>
        <w:widowControl/>
        <w:spacing w:before="120"/>
        <w:ind w:firstLine="360"/>
        <w:rPr>
          <w:rFonts w:ascii="Arial" w:hAnsi="Arial" w:cs="Arial"/>
          <w:sz w:val="24"/>
        </w:rPr>
      </w:pPr>
      <w:r>
        <w:rPr>
          <w:rFonts w:ascii="Arial" w:hAnsi="Arial" w:cs="Arial"/>
          <w:sz w:val="24"/>
        </w:rPr>
        <w:t xml:space="preserve"> T</w:t>
      </w:r>
      <w:r w:rsidRPr="00E9100D">
        <w:rPr>
          <w:rFonts w:ascii="Arial" w:hAnsi="Arial" w:cs="Arial"/>
          <w:sz w:val="24"/>
        </w:rPr>
        <w:t>he request fully complies with the regulation.</w:t>
      </w:r>
    </w:p>
    <w:p w:rsidR="009B3794" w:rsidRPr="001A517F" w:rsidP="00AC2B1A" w14:paraId="22E2A31C" w14:textId="77777777">
      <w:pPr>
        <w:numPr>
          <w:ilvl w:val="0"/>
          <w:numId w:val="2"/>
        </w:numPr>
        <w:tabs>
          <w:tab w:val="num" w:pos="360"/>
          <w:tab w:val="clear" w:pos="1080"/>
        </w:tabs>
        <w:spacing w:before="240"/>
        <w:ind w:left="360"/>
        <w:rPr>
          <w:rFonts w:ascii="Arial" w:hAnsi="Arial" w:cs="Arial"/>
          <w:b/>
          <w:sz w:val="24"/>
        </w:rPr>
      </w:pPr>
      <w:r w:rsidRPr="001A517F">
        <w:rPr>
          <w:rFonts w:ascii="Arial" w:hAnsi="Arial" w:cs="Arial"/>
          <w:b/>
          <w:iCs/>
          <w:sz w:val="24"/>
          <w:u w:val="single"/>
        </w:rPr>
        <w:t>Comments in Response to the Federal Register</w:t>
      </w:r>
      <w:r w:rsidRPr="001A517F">
        <w:rPr>
          <w:rFonts w:ascii="Arial" w:hAnsi="Arial" w:cs="Arial"/>
          <w:b/>
          <w:sz w:val="24"/>
          <w:u w:val="single"/>
        </w:rPr>
        <w:t xml:space="preserve"> Notice/Outside Consultation</w:t>
      </w:r>
    </w:p>
    <w:p w:rsidR="00DE3A45" w:rsidRPr="001A517F" w:rsidP="001A517F" w14:paraId="22E2A31D" w14:textId="77777777">
      <w:pPr>
        <w:spacing w:before="120"/>
        <w:ind w:left="360"/>
        <w:rPr>
          <w:rFonts w:ascii="Arial" w:hAnsi="Arial" w:cs="Arial"/>
          <w:b/>
          <w:sz w:val="24"/>
        </w:rPr>
      </w:pPr>
      <w:r w:rsidRPr="001A517F">
        <w:rPr>
          <w:rFonts w:ascii="Arial" w:hAnsi="Arial" w:cs="Arial"/>
          <w:b/>
          <w:sz w:val="24"/>
        </w:rPr>
        <w:t>Section 8A:</w:t>
      </w:r>
    </w:p>
    <w:p w:rsidR="008B4A56" w:rsidP="008B4A56" w14:paraId="53A56B86" w14:textId="2ACED279">
      <w:pPr>
        <w:spacing w:before="120"/>
        <w:ind w:left="360"/>
        <w:rPr>
          <w:rFonts w:ascii="Arial" w:hAnsi="Arial" w:cs="Arial"/>
          <w:sz w:val="24"/>
        </w:rPr>
      </w:pPr>
      <w:r w:rsidRPr="00A72D11">
        <w:rPr>
          <w:rFonts w:ascii="Arial" w:hAnsi="Arial" w:cs="Arial"/>
          <w:sz w:val="24"/>
        </w:rPr>
        <w:t xml:space="preserve">A 60-day notice published in the Federal Register on </w:t>
      </w:r>
      <w:r w:rsidR="00991895">
        <w:rPr>
          <w:rFonts w:ascii="Arial" w:hAnsi="Arial" w:cs="Arial"/>
          <w:sz w:val="24"/>
        </w:rPr>
        <w:t>May</w:t>
      </w:r>
      <w:r w:rsidRPr="00A72D11">
        <w:rPr>
          <w:rFonts w:ascii="Arial" w:hAnsi="Arial" w:cs="Arial"/>
          <w:sz w:val="24"/>
        </w:rPr>
        <w:t xml:space="preserve"> 0</w:t>
      </w:r>
      <w:r w:rsidR="00991895">
        <w:rPr>
          <w:rFonts w:ascii="Arial" w:hAnsi="Arial" w:cs="Arial"/>
          <w:sz w:val="24"/>
        </w:rPr>
        <w:t>2</w:t>
      </w:r>
      <w:r w:rsidRPr="00A72D11">
        <w:rPr>
          <w:rFonts w:ascii="Arial" w:hAnsi="Arial" w:cs="Arial"/>
          <w:sz w:val="24"/>
        </w:rPr>
        <w:t xml:space="preserve">, 2024, vol. 89, No. </w:t>
      </w:r>
      <w:r w:rsidR="00F85D4D">
        <w:rPr>
          <w:rFonts w:ascii="Arial" w:hAnsi="Arial" w:cs="Arial"/>
          <w:sz w:val="24"/>
        </w:rPr>
        <w:t>86</w:t>
      </w:r>
      <w:r w:rsidRPr="00A72D11">
        <w:rPr>
          <w:rFonts w:ascii="Arial" w:hAnsi="Arial" w:cs="Arial"/>
          <w:sz w:val="24"/>
        </w:rPr>
        <w:t xml:space="preserve">; pp. </w:t>
      </w:r>
      <w:r w:rsidR="00F85D4D">
        <w:rPr>
          <w:rFonts w:ascii="Arial" w:hAnsi="Arial" w:cs="Arial"/>
          <w:sz w:val="24"/>
        </w:rPr>
        <w:t>35841-2</w:t>
      </w:r>
      <w:r w:rsidR="00E3352D">
        <w:rPr>
          <w:rFonts w:ascii="Arial" w:hAnsi="Arial" w:cs="Arial"/>
          <w:sz w:val="24"/>
        </w:rPr>
        <w:t xml:space="preserve"> (Appendix A)</w:t>
      </w:r>
      <w:r w:rsidR="00FA6997">
        <w:rPr>
          <w:rFonts w:ascii="Arial" w:hAnsi="Arial" w:cs="Arial"/>
          <w:sz w:val="24"/>
        </w:rPr>
        <w:t xml:space="preserve">. </w:t>
      </w:r>
      <w:r w:rsidRPr="00A72D11">
        <w:rPr>
          <w:rFonts w:ascii="Arial" w:hAnsi="Arial" w:cs="Arial"/>
          <w:sz w:val="24"/>
        </w:rPr>
        <w:t xml:space="preserve">A </w:t>
      </w:r>
      <w:r>
        <w:rPr>
          <w:rFonts w:ascii="Arial" w:hAnsi="Arial" w:cs="Arial"/>
          <w:sz w:val="24"/>
        </w:rPr>
        <w:t>30</w:t>
      </w:r>
      <w:r w:rsidRPr="00A72D11">
        <w:rPr>
          <w:rFonts w:ascii="Arial" w:hAnsi="Arial" w:cs="Arial"/>
          <w:sz w:val="24"/>
        </w:rPr>
        <w:t xml:space="preserve">-day notice published in the Federal Register on </w:t>
      </w:r>
      <w:r>
        <w:rPr>
          <w:rFonts w:ascii="Arial" w:hAnsi="Arial" w:cs="Arial"/>
          <w:sz w:val="24"/>
        </w:rPr>
        <w:t>August 22, 2024</w:t>
      </w:r>
      <w:r w:rsidRPr="00A72D11">
        <w:rPr>
          <w:rFonts w:ascii="Arial" w:hAnsi="Arial" w:cs="Arial"/>
          <w:sz w:val="24"/>
        </w:rPr>
        <w:t xml:space="preserve">, vol. 89, No. </w:t>
      </w:r>
      <w:r w:rsidR="00E36981">
        <w:rPr>
          <w:rFonts w:ascii="Arial" w:hAnsi="Arial" w:cs="Arial"/>
          <w:sz w:val="24"/>
        </w:rPr>
        <w:t>163</w:t>
      </w:r>
      <w:r w:rsidRPr="00A72D11">
        <w:rPr>
          <w:rFonts w:ascii="Arial" w:hAnsi="Arial" w:cs="Arial"/>
          <w:sz w:val="24"/>
        </w:rPr>
        <w:t xml:space="preserve">; pp. </w:t>
      </w:r>
      <w:r w:rsidRPr="008B4A56">
        <w:rPr>
          <w:rFonts w:ascii="Arial" w:hAnsi="Arial" w:cs="Arial"/>
          <w:sz w:val="24"/>
        </w:rPr>
        <w:t>67948</w:t>
      </w:r>
      <w:r>
        <w:rPr>
          <w:rFonts w:ascii="Arial" w:hAnsi="Arial" w:cs="Arial"/>
          <w:sz w:val="24"/>
        </w:rPr>
        <w:t>-9.</w:t>
      </w:r>
    </w:p>
    <w:p w:rsidR="00E3352D" w:rsidP="001A517F" w14:paraId="4229ECA3" w14:textId="614EFC6A">
      <w:pPr>
        <w:spacing w:before="120"/>
        <w:ind w:left="360"/>
        <w:rPr>
          <w:rFonts w:ascii="Arial" w:hAnsi="Arial" w:cs="Arial"/>
          <w:sz w:val="24"/>
        </w:rPr>
      </w:pPr>
      <w:r>
        <w:rPr>
          <w:rFonts w:ascii="Arial" w:hAnsi="Arial" w:cs="Arial"/>
          <w:sz w:val="24"/>
        </w:rPr>
        <w:t>HRSA received one</w:t>
      </w:r>
      <w:r w:rsidRPr="00A72D11" w:rsidR="00A72D11">
        <w:rPr>
          <w:rFonts w:ascii="Arial" w:hAnsi="Arial" w:cs="Arial"/>
          <w:sz w:val="24"/>
        </w:rPr>
        <w:t xml:space="preserve"> comment</w:t>
      </w:r>
      <w:r>
        <w:rPr>
          <w:rFonts w:ascii="Arial" w:hAnsi="Arial" w:cs="Arial"/>
          <w:sz w:val="24"/>
        </w:rPr>
        <w:t xml:space="preserve"> (Appendix </w:t>
      </w:r>
      <w:r w:rsidR="00FA6997">
        <w:rPr>
          <w:rFonts w:ascii="Arial" w:hAnsi="Arial" w:cs="Arial"/>
          <w:sz w:val="24"/>
        </w:rPr>
        <w:t>C</w:t>
      </w:r>
      <w:r>
        <w:rPr>
          <w:rFonts w:ascii="Arial" w:hAnsi="Arial" w:cs="Arial"/>
          <w:sz w:val="24"/>
        </w:rPr>
        <w:t xml:space="preserve">) from </w:t>
      </w:r>
      <w:r>
        <w:rPr>
          <w:rFonts w:ascii="Arial" w:hAnsi="Arial" w:cs="Arial"/>
          <w:sz w:val="24"/>
        </w:rPr>
        <w:t>an awardee</w:t>
      </w:r>
      <w:r w:rsidR="008B4A56">
        <w:rPr>
          <w:rFonts w:ascii="Arial" w:hAnsi="Arial" w:cs="Arial"/>
          <w:sz w:val="24"/>
        </w:rPr>
        <w:t xml:space="preserve"> during the 60-day comment period</w:t>
      </w:r>
      <w:r w:rsidRPr="00A72D11" w:rsidR="00A72D11">
        <w:rPr>
          <w:rFonts w:ascii="Arial" w:hAnsi="Arial" w:cs="Arial"/>
          <w:sz w:val="24"/>
        </w:rPr>
        <w:t>.</w:t>
      </w:r>
      <w:r>
        <w:rPr>
          <w:rFonts w:ascii="Arial" w:hAnsi="Arial" w:cs="Arial"/>
          <w:sz w:val="24"/>
        </w:rPr>
        <w:t xml:space="preserve"> </w:t>
      </w:r>
      <w:r w:rsidRPr="00E3352D">
        <w:rPr>
          <w:rFonts w:ascii="Arial" w:hAnsi="Arial" w:cs="Arial"/>
          <w:sz w:val="24"/>
        </w:rPr>
        <w:t xml:space="preserve">The commentor discussed the usefulness of collecting zip codes of families served by MIECHV-funded sites, suggested considering collection of data on Table A.2, A.3, and A.4 on an annual basis, and supported the burden estimate. While HRSA recognizes the value of collecting participant zip code data, after weighing the significant burden awardees have reported on collecting and reporting this data and considering that its continued collection of participant county data supports its data needs, HRSA has decided to make no changes to the proposed information collection tools in response to this comment. HRSA intends to re-assess the current performance measurement system over the next </w:t>
      </w:r>
      <w:r w:rsidR="00624A8C">
        <w:rPr>
          <w:rFonts w:ascii="Arial" w:hAnsi="Arial" w:cs="Arial"/>
          <w:sz w:val="24"/>
        </w:rPr>
        <w:t>3</w:t>
      </w:r>
      <w:r w:rsidRPr="00E3352D" w:rsidR="00624A8C">
        <w:rPr>
          <w:rFonts w:ascii="Arial" w:hAnsi="Arial" w:cs="Arial"/>
          <w:sz w:val="24"/>
        </w:rPr>
        <w:t xml:space="preserve"> </w:t>
      </w:r>
      <w:r w:rsidRPr="00E3352D">
        <w:rPr>
          <w:rFonts w:ascii="Arial" w:hAnsi="Arial" w:cs="Arial"/>
          <w:sz w:val="24"/>
        </w:rPr>
        <w:t>years including identifying opportunities to reduce administrative burden related to performance reporting and will consider frequency of the proposed information collection in the future.</w:t>
      </w:r>
    </w:p>
    <w:p w:rsidR="00DE3A45" w:rsidRPr="001A517F" w:rsidP="001A517F" w14:paraId="22E2A321" w14:textId="1C03358C">
      <w:pPr>
        <w:spacing w:before="120"/>
        <w:ind w:left="360"/>
        <w:rPr>
          <w:rFonts w:ascii="Arial" w:hAnsi="Arial" w:cs="Arial"/>
          <w:b/>
          <w:sz w:val="24"/>
        </w:rPr>
      </w:pPr>
      <w:r w:rsidRPr="001A517F">
        <w:rPr>
          <w:rFonts w:ascii="Arial" w:hAnsi="Arial" w:cs="Arial"/>
          <w:b/>
          <w:sz w:val="24"/>
        </w:rPr>
        <w:t>Section 8B:</w:t>
      </w:r>
    </w:p>
    <w:p w:rsidR="00F60B83" w:rsidP="001A517F" w14:paraId="6B4142D3" w14:textId="4203CFB4">
      <w:pPr>
        <w:spacing w:before="120"/>
        <w:ind w:left="360"/>
        <w:rPr>
          <w:rFonts w:ascii="Arial" w:hAnsi="Arial" w:cs="Arial"/>
          <w:sz w:val="24"/>
        </w:rPr>
      </w:pPr>
      <w:r>
        <w:rPr>
          <w:rFonts w:ascii="Arial" w:hAnsi="Arial" w:cs="Arial"/>
          <w:sz w:val="24"/>
        </w:rPr>
        <w:t>I</w:t>
      </w:r>
      <w:r>
        <w:rPr>
          <w:rFonts w:ascii="Arial" w:hAnsi="Arial" w:cs="Arial"/>
          <w:sz w:val="24"/>
        </w:rPr>
        <w:t>n the past</w:t>
      </w:r>
      <w:r w:rsidR="00624A8C">
        <w:rPr>
          <w:rFonts w:ascii="Arial" w:hAnsi="Arial" w:cs="Arial"/>
          <w:sz w:val="24"/>
        </w:rPr>
        <w:t>,</w:t>
      </w:r>
      <w:r>
        <w:rPr>
          <w:rFonts w:ascii="Arial" w:hAnsi="Arial" w:cs="Arial"/>
          <w:sz w:val="24"/>
        </w:rPr>
        <w:t xml:space="preserve"> HRSA has held multiple discussion</w:t>
      </w:r>
      <w:r w:rsidR="00624A8C">
        <w:rPr>
          <w:rFonts w:ascii="Arial" w:hAnsi="Arial" w:cs="Arial"/>
          <w:sz w:val="24"/>
        </w:rPr>
        <w:t>s</w:t>
      </w:r>
      <w:r>
        <w:rPr>
          <w:rFonts w:ascii="Arial" w:hAnsi="Arial" w:cs="Arial"/>
          <w:sz w:val="24"/>
        </w:rPr>
        <w:t xml:space="preserve"> with </w:t>
      </w:r>
      <w:r w:rsidR="000F4BD0">
        <w:rPr>
          <w:rFonts w:ascii="Arial" w:hAnsi="Arial" w:cs="Arial"/>
          <w:sz w:val="24"/>
        </w:rPr>
        <w:t xml:space="preserve">interested parties and consulted with experts and other federal partners </w:t>
      </w:r>
      <w:r>
        <w:rPr>
          <w:rFonts w:ascii="Arial" w:hAnsi="Arial" w:cs="Arial"/>
          <w:sz w:val="24"/>
        </w:rPr>
        <w:t>to review data collection when last updates were made in 2021. The burden on zip code data was received through various mechanisms including</w:t>
      </w:r>
      <w:r w:rsidR="001A517F">
        <w:rPr>
          <w:rFonts w:ascii="Arial" w:hAnsi="Arial" w:cs="Arial"/>
          <w:sz w:val="24"/>
        </w:rPr>
        <w:t xml:space="preserve"> previous</w:t>
      </w:r>
      <w:r>
        <w:rPr>
          <w:rFonts w:ascii="Arial" w:hAnsi="Arial" w:cs="Arial"/>
          <w:sz w:val="24"/>
        </w:rPr>
        <w:t xml:space="preserve"> awardee townhall </w:t>
      </w:r>
      <w:r w:rsidR="001A517F">
        <w:rPr>
          <w:rFonts w:ascii="Arial" w:hAnsi="Arial" w:cs="Arial"/>
          <w:sz w:val="24"/>
        </w:rPr>
        <w:t xml:space="preserve">meetings </w:t>
      </w:r>
      <w:r>
        <w:rPr>
          <w:rFonts w:ascii="Arial" w:hAnsi="Arial" w:cs="Arial"/>
          <w:sz w:val="24"/>
        </w:rPr>
        <w:t xml:space="preserve">and feedback awardees provided to their federal project officers </w:t>
      </w:r>
      <w:r w:rsidR="001A517F">
        <w:rPr>
          <w:rFonts w:ascii="Arial" w:hAnsi="Arial" w:cs="Arial"/>
          <w:sz w:val="24"/>
        </w:rPr>
        <w:t xml:space="preserve">during their project monitoring calls. There is also </w:t>
      </w:r>
      <w:r>
        <w:rPr>
          <w:rFonts w:ascii="Arial" w:hAnsi="Arial" w:cs="Arial"/>
          <w:sz w:val="24"/>
        </w:rPr>
        <w:t>ongoing engagement with awardees through their federal project officers or technical assistance providers where feedback is provided on clarify of data collection instructions and availability of data that HRSA has reflected to update guidance documents on data collection</w:t>
      </w:r>
      <w:r w:rsidR="001A517F">
        <w:rPr>
          <w:rFonts w:ascii="Arial" w:hAnsi="Arial" w:cs="Arial"/>
          <w:sz w:val="24"/>
        </w:rPr>
        <w:t>.</w:t>
      </w:r>
    </w:p>
    <w:p w:rsidR="001A517F" w:rsidP="001A517F" w14:paraId="5C9DB478" w14:textId="4E78DCB1">
      <w:pPr>
        <w:widowControl/>
        <w:autoSpaceDE/>
        <w:autoSpaceDN/>
        <w:adjustRightInd/>
        <w:spacing w:before="240"/>
        <w:ind w:left="360"/>
        <w:rPr>
          <w:sz w:val="24"/>
        </w:rPr>
      </w:pPr>
      <w:r>
        <w:rPr>
          <w:rFonts w:ascii="Arial" w:hAnsi="Arial" w:cs="Arial"/>
          <w:sz w:val="24"/>
        </w:rPr>
        <w:t>In addition, HRSA has begun consulting with awardees and other partners as part of the concerted effort to re-assess the current performance measurement system through existing feedback mechanisms and to identify opportunities to reduce administrative burden related to data reporting (through 0906-0094 Implement Maternal, Infant, and Early Childhood Home Visiting Program 2022 Legislative Changes: Assessment of Administrative Burden). This process, however, is expected to continue over the next 2 years and proposed changes to the data collection tools will be requested in a future ICR package</w:t>
      </w:r>
      <w:r w:rsidR="00FA6997">
        <w:rPr>
          <w:rFonts w:ascii="Arial" w:hAnsi="Arial" w:cs="Arial"/>
          <w:sz w:val="24"/>
        </w:rPr>
        <w:t xml:space="preserve">. </w:t>
      </w:r>
      <w:r>
        <w:rPr>
          <w:sz w:val="24"/>
        </w:rPr>
        <w:t xml:space="preserve"> </w:t>
      </w:r>
    </w:p>
    <w:p w:rsidR="009B3794" w:rsidRPr="001A517F" w:rsidP="001A517F" w14:paraId="22E2A32A" w14:textId="24735B71">
      <w:pPr>
        <w:pStyle w:val="ListParagraph"/>
        <w:numPr>
          <w:ilvl w:val="0"/>
          <w:numId w:val="2"/>
        </w:numPr>
        <w:tabs>
          <w:tab w:val="num" w:pos="360"/>
          <w:tab w:val="clear" w:pos="1080"/>
        </w:tabs>
        <w:spacing w:before="240"/>
        <w:ind w:hanging="1080"/>
        <w:rPr>
          <w:rFonts w:ascii="Arial" w:hAnsi="Arial" w:cs="Arial"/>
          <w:b/>
          <w:sz w:val="24"/>
        </w:rPr>
      </w:pPr>
      <w:r w:rsidRPr="001A517F">
        <w:rPr>
          <w:rFonts w:ascii="Arial" w:hAnsi="Arial" w:cs="Arial"/>
          <w:b/>
          <w:sz w:val="24"/>
          <w:u w:val="single"/>
        </w:rPr>
        <w:t>Explanation of any Payment/Gift to Respondents</w:t>
      </w:r>
    </w:p>
    <w:p w:rsidR="00D26279" w:rsidRPr="00D26279" w:rsidP="001A517F" w14:paraId="56552941" w14:textId="77777777">
      <w:pPr>
        <w:spacing w:before="120"/>
        <w:ind w:firstLine="360"/>
        <w:rPr>
          <w:rFonts w:ascii="Arial" w:hAnsi="Arial" w:cs="Arial"/>
          <w:sz w:val="24"/>
        </w:rPr>
      </w:pPr>
      <w:r w:rsidRPr="00D26279">
        <w:rPr>
          <w:rFonts w:ascii="Arial" w:hAnsi="Arial" w:cs="Arial"/>
          <w:sz w:val="24"/>
        </w:rPr>
        <w:t>Respondents will not receive any payments or gifts.</w:t>
      </w:r>
    </w:p>
    <w:p w:rsidR="009B3794" w:rsidRPr="00C45431" w:rsidP="00AC2B1A" w14:paraId="22E2A32E"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1A517F" w:rsidP="001A517F" w14:paraId="7A7F2754" w14:textId="77777777">
      <w:pPr>
        <w:ind w:left="360"/>
        <w:rPr>
          <w:rFonts w:ascii="Arial" w:hAnsi="Arial" w:cs="Arial"/>
          <w:sz w:val="24"/>
        </w:rPr>
      </w:pPr>
      <w:r w:rsidRPr="00BA2977">
        <w:rPr>
          <w:rFonts w:ascii="Arial" w:hAnsi="Arial" w:cs="Arial"/>
          <w:sz w:val="24"/>
        </w:rPr>
        <w:t xml:space="preserve">No personally identifiable information (PII) is being collected through this information collection request. All data will be reported in aggregate by the awardee. This project </w:t>
      </w:r>
      <w:r w:rsidRPr="00BA2977">
        <w:rPr>
          <w:rFonts w:ascii="Arial" w:hAnsi="Arial" w:cs="Arial"/>
          <w:sz w:val="24"/>
        </w:rPr>
        <w:t>does not require IRB approval.</w:t>
      </w:r>
    </w:p>
    <w:p w:rsidR="000F4BD0" w:rsidRPr="00BA2977" w:rsidP="001A517F" w14:paraId="6812B80B" w14:textId="4868E0A6">
      <w:pPr>
        <w:spacing w:before="240"/>
        <w:ind w:left="360"/>
        <w:rPr>
          <w:rFonts w:ascii="Arial" w:hAnsi="Arial" w:cs="Arial"/>
          <w:sz w:val="24"/>
        </w:rPr>
      </w:pPr>
      <w:r>
        <w:rPr>
          <w:rFonts w:ascii="Arial" w:hAnsi="Arial" w:cs="Arial"/>
          <w:sz w:val="24"/>
        </w:rPr>
        <w:t>Data will be kept private to the extent allowed by law.</w:t>
      </w:r>
    </w:p>
    <w:p w:rsidR="009B3794" w:rsidRPr="00C45431" w:rsidP="00AC2B1A" w14:paraId="22E2A336" w14:textId="1259E674">
      <w:pPr>
        <w:numPr>
          <w:ilvl w:val="0"/>
          <w:numId w:val="2"/>
        </w:numPr>
        <w:tabs>
          <w:tab w:val="num" w:pos="360"/>
          <w:tab w:val="clear" w:pos="1080"/>
        </w:tabs>
        <w:spacing w:before="240"/>
        <w:ind w:left="360"/>
        <w:rPr>
          <w:rFonts w:ascii="Arial" w:hAnsi="Arial" w:cs="Arial"/>
          <w:b/>
          <w:sz w:val="24"/>
        </w:rPr>
      </w:pPr>
      <w:r>
        <w:rPr>
          <w:rFonts w:ascii="Arial" w:hAnsi="Arial" w:cs="Arial"/>
          <w:b/>
          <w:sz w:val="24"/>
          <w:u w:val="single"/>
        </w:rPr>
        <w:t xml:space="preserve">Justification </w:t>
      </w:r>
      <w:r w:rsidRPr="00C45431">
        <w:rPr>
          <w:rFonts w:ascii="Arial" w:hAnsi="Arial" w:cs="Arial"/>
          <w:b/>
          <w:sz w:val="24"/>
          <w:u w:val="single"/>
        </w:rPr>
        <w:t>for Sensitive Questions</w:t>
      </w:r>
    </w:p>
    <w:p w:rsidR="001E0066" w:rsidRPr="001E0066" w:rsidP="001A517F" w14:paraId="080C669A" w14:textId="3FE0F6FF">
      <w:pPr>
        <w:spacing w:before="240"/>
        <w:ind w:firstLine="360"/>
        <w:rPr>
          <w:rFonts w:ascii="Arial" w:hAnsi="Arial" w:cs="Arial"/>
          <w:sz w:val="24"/>
        </w:rPr>
      </w:pPr>
      <w:r>
        <w:rPr>
          <w:rFonts w:ascii="Arial" w:hAnsi="Arial" w:cs="Arial"/>
          <w:sz w:val="24"/>
        </w:rPr>
        <w:t xml:space="preserve">No questions of a sensitive nature will be asked of respondents. </w:t>
      </w:r>
    </w:p>
    <w:p w:rsidR="00857562" w:rsidRPr="001A517F" w:rsidP="001A517F" w14:paraId="51738E25" w14:textId="6BD3E983">
      <w:pPr>
        <w:numPr>
          <w:ilvl w:val="0"/>
          <w:numId w:val="2"/>
        </w:numPr>
        <w:tabs>
          <w:tab w:val="num" w:pos="360"/>
          <w:tab w:val="clear" w:pos="1080"/>
        </w:tabs>
        <w:spacing w:before="240"/>
        <w:ind w:left="360"/>
        <w:rPr>
          <w:rFonts w:ascii="Arial" w:hAnsi="Arial" w:cs="Arial"/>
          <w:sz w:val="24"/>
        </w:rPr>
      </w:pPr>
      <w:r w:rsidRPr="165E32E8">
        <w:rPr>
          <w:rFonts w:ascii="Arial" w:hAnsi="Arial" w:cs="Arial"/>
          <w:b/>
          <w:bCs/>
          <w:sz w:val="24"/>
          <w:u w:val="single"/>
        </w:rPr>
        <w:t xml:space="preserve">Estimates of Annualized Hour and Cost Burden  </w:t>
      </w:r>
    </w:p>
    <w:p w:rsidR="009B3794" w:rsidRPr="001A517F" w:rsidP="00CA3DA6" w14:paraId="22E2A33F" w14:textId="7C693C55">
      <w:pPr>
        <w:widowControl/>
        <w:tabs>
          <w:tab w:val="num" w:pos="720"/>
        </w:tabs>
        <w:spacing w:before="120"/>
        <w:rPr>
          <w:rFonts w:ascii="Arial" w:hAnsi="Arial" w:cs="Arial"/>
          <w:b/>
          <w:sz w:val="24"/>
        </w:rPr>
      </w:pPr>
      <w:r w:rsidRPr="001A517F">
        <w:rPr>
          <w:rFonts w:ascii="Arial" w:hAnsi="Arial" w:cs="Arial"/>
          <w:b/>
          <w:sz w:val="24"/>
        </w:rPr>
        <w:t>12A.</w:t>
      </w:r>
      <w:r w:rsidRPr="001A517F">
        <w:rPr>
          <w:rFonts w:ascii="Arial" w:hAnsi="Arial" w:cs="Arial"/>
          <w:sz w:val="24"/>
        </w:rPr>
        <w:t xml:space="preserve"> </w:t>
      </w:r>
      <w:r w:rsidRPr="001A517F">
        <w:rPr>
          <w:rFonts w:ascii="Arial" w:hAnsi="Arial" w:cs="Arial"/>
          <w:b/>
          <w:sz w:val="24"/>
        </w:rPr>
        <w:t>Estimated Annualized Burden Hours</w:t>
      </w:r>
    </w:p>
    <w:p w:rsidR="004A7633" w:rsidP="00CA3DA6" w14:paraId="72F05518" w14:textId="3EF96E7D">
      <w:pPr>
        <w:widowControl/>
        <w:tabs>
          <w:tab w:val="num" w:pos="720"/>
        </w:tabs>
        <w:spacing w:before="120"/>
        <w:rPr>
          <w:rFonts w:ascii="Arial" w:hAnsi="Arial" w:cs="Arial"/>
          <w:b/>
          <w:sz w:val="24"/>
        </w:rPr>
      </w:pPr>
      <w:r>
        <w:rPr>
          <w:rFonts w:ascii="Arial" w:hAnsi="Arial" w:cs="Arial"/>
          <w:sz w:val="24"/>
        </w:rPr>
        <w:t xml:space="preserve">This information collection is required for all MIECHV awardees and there are currently 56 awardees. This information is reported quarterly and the average </w:t>
      </w:r>
      <w:r w:rsidR="001A517F">
        <w:rPr>
          <w:rFonts w:ascii="Arial" w:hAnsi="Arial" w:cs="Arial"/>
          <w:sz w:val="24"/>
        </w:rPr>
        <w:t xml:space="preserve">annual </w:t>
      </w:r>
      <w:r>
        <w:rPr>
          <w:rFonts w:ascii="Arial" w:hAnsi="Arial" w:cs="Arial"/>
          <w:sz w:val="24"/>
        </w:rPr>
        <w:t xml:space="preserve">burden hours are estimated to be </w:t>
      </w:r>
      <w:r w:rsidR="001A517F">
        <w:rPr>
          <w:rFonts w:ascii="Arial" w:hAnsi="Arial" w:cs="Arial"/>
          <w:sz w:val="24"/>
        </w:rPr>
        <w:t>84</w:t>
      </w:r>
      <w:r>
        <w:rPr>
          <w:rFonts w:ascii="Arial" w:hAnsi="Arial" w:cs="Arial"/>
          <w:sz w:val="24"/>
        </w:rPr>
        <w:t xml:space="preserve"> hours for Form 4</w:t>
      </w:r>
      <w:r w:rsidR="003B47E7">
        <w:rPr>
          <w:rFonts w:ascii="Arial" w:hAnsi="Arial" w:cs="Arial"/>
          <w:sz w:val="24"/>
        </w:rPr>
        <w:t>: Quarterly Performance Report</w:t>
      </w:r>
      <w:r>
        <w:rPr>
          <w:rFonts w:ascii="Arial" w:hAnsi="Arial" w:cs="Arial"/>
          <w:sz w:val="24"/>
        </w:rPr>
        <w:t>.</w:t>
      </w:r>
      <w:r w:rsidR="003B47E7">
        <w:rPr>
          <w:rFonts w:ascii="Arial" w:hAnsi="Arial" w:cs="Arial"/>
          <w:sz w:val="24"/>
        </w:rPr>
        <w:t xml:space="preserve"> The burden estimate </w:t>
      </w:r>
      <w:r w:rsidR="00091527">
        <w:rPr>
          <w:rFonts w:ascii="Arial" w:hAnsi="Arial" w:cs="Arial"/>
          <w:sz w:val="24"/>
        </w:rPr>
        <w:t xml:space="preserve">is based on the time required to respond to the 14 data elements on the form based on awardee feedback and experience. </w:t>
      </w:r>
      <w:r>
        <w:rPr>
          <w:rFonts w:ascii="Arial" w:hAnsi="Arial" w:cs="Arial"/>
          <w:sz w:val="24"/>
        </w:rPr>
        <w:t xml:space="preserve"> </w:t>
      </w:r>
      <w:r w:rsidRPr="002A0492">
        <w:rPr>
          <w:rFonts w:ascii="Arial" w:hAnsi="Arial" w:cs="Arial"/>
          <w:sz w:val="24"/>
        </w:rPr>
        <w:t xml:space="preserve">This burden estimate includes the time expended by persons to </w:t>
      </w:r>
      <w:r>
        <w:rPr>
          <w:rFonts w:ascii="Arial" w:hAnsi="Arial" w:cs="Arial"/>
          <w:sz w:val="24"/>
        </w:rPr>
        <w:t xml:space="preserve">access </w:t>
      </w:r>
      <w:r w:rsidRPr="00221E09">
        <w:rPr>
          <w:rFonts w:ascii="Arial" w:hAnsi="Arial" w:cs="Arial"/>
          <w:sz w:val="24"/>
        </w:rPr>
        <w:t>the form, reading the form, preparing a plan for completing the form, training staff to complete the form</w:t>
      </w:r>
      <w:r>
        <w:rPr>
          <w:rFonts w:ascii="Arial" w:hAnsi="Arial" w:cs="Arial"/>
          <w:sz w:val="24"/>
        </w:rPr>
        <w:t xml:space="preserve">, </w:t>
      </w:r>
      <w:r w:rsidRPr="002A0492">
        <w:rPr>
          <w:rFonts w:ascii="Arial" w:hAnsi="Arial" w:cs="Arial"/>
          <w:sz w:val="24"/>
        </w:rPr>
        <w:t>to develop, acquire, install, and utilize necessary technology and systems</w:t>
      </w:r>
      <w:r>
        <w:rPr>
          <w:rFonts w:ascii="Arial" w:hAnsi="Arial" w:cs="Arial"/>
          <w:sz w:val="24"/>
        </w:rPr>
        <w:t>, to collect and enter d</w:t>
      </w:r>
      <w:r w:rsidRPr="002A0492">
        <w:rPr>
          <w:rFonts w:ascii="Arial" w:hAnsi="Arial" w:cs="Arial"/>
          <w:sz w:val="24"/>
        </w:rPr>
        <w:t>ata</w:t>
      </w:r>
      <w:r>
        <w:rPr>
          <w:rFonts w:ascii="Arial" w:hAnsi="Arial" w:cs="Arial"/>
          <w:sz w:val="24"/>
        </w:rPr>
        <w:t xml:space="preserve">, to perform data </w:t>
      </w:r>
      <w:r w:rsidRPr="002A0492">
        <w:rPr>
          <w:rFonts w:ascii="Arial" w:hAnsi="Arial" w:cs="Arial"/>
          <w:sz w:val="24"/>
        </w:rPr>
        <w:t>quality checks, validation, cleaning, and analysis</w:t>
      </w:r>
      <w:r>
        <w:rPr>
          <w:rFonts w:ascii="Arial" w:hAnsi="Arial" w:cs="Arial"/>
          <w:sz w:val="24"/>
        </w:rPr>
        <w:t xml:space="preserve">, and to complete the form and submit to HRSA. </w:t>
      </w:r>
      <w:r w:rsidRPr="00E23E50">
        <w:rPr>
          <w:rFonts w:ascii="Arial" w:hAnsi="Arial" w:cs="Arial"/>
          <w:sz w:val="24"/>
        </w:rPr>
        <w:t>There may be variation in the time respondents need to complete the for</w:t>
      </w:r>
      <w:r>
        <w:rPr>
          <w:rFonts w:ascii="Arial" w:hAnsi="Arial" w:cs="Arial"/>
          <w:sz w:val="24"/>
        </w:rPr>
        <w:t>m based on the size and structure of the awardee and their data systems and processes.</w:t>
      </w:r>
    </w:p>
    <w:p w:rsidR="009B3794" w:rsidRPr="00C45431" w:rsidP="00CA3DA6" w14:paraId="22E2A369" w14:textId="77777777">
      <w:pPr>
        <w:widowControl/>
        <w:tabs>
          <w:tab w:val="num" w:pos="1080"/>
        </w:tabs>
        <w:spacing w:before="120"/>
        <w:rPr>
          <w:rFonts w:ascii="Arial" w:hAnsi="Arial" w:cs="Arial"/>
          <w:b/>
          <w:bCs/>
          <w:sz w:val="24"/>
        </w:rPr>
      </w:pPr>
    </w:p>
    <w:tbl>
      <w:tblPr>
        <w:tblpPr w:leftFromText="180" w:rightFromText="180" w:vertAnchor="text" w:horzAnchor="margin" w:tblpXSpec="center" w:tblpY="34"/>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8"/>
        <w:gridCol w:w="1590"/>
        <w:gridCol w:w="1610"/>
        <w:gridCol w:w="1488"/>
        <w:gridCol w:w="1390"/>
        <w:gridCol w:w="1268"/>
        <w:gridCol w:w="986"/>
      </w:tblGrid>
      <w:tr w14:paraId="34987521" w14:textId="77777777" w:rsidTr="00156494">
        <w:tblPrEx>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1417" w:type="dxa"/>
          </w:tcPr>
          <w:p w:rsidR="00156494" w:rsidRPr="00156494" w:rsidP="00BD2A6D" w14:paraId="1849745F"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Type of</w:t>
            </w:r>
          </w:p>
          <w:p w:rsidR="00156494" w:rsidRPr="00156494" w:rsidP="00BD2A6D" w14:paraId="55021AE1"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Respondent</w:t>
            </w:r>
          </w:p>
          <w:p w:rsidR="00156494" w:rsidRPr="00156494" w:rsidP="00BD2A6D" w14:paraId="4CCE16AF" w14:textId="77777777">
            <w:pPr>
              <w:widowControl/>
              <w:tabs>
                <w:tab w:val="num" w:pos="1080"/>
              </w:tabs>
              <w:spacing w:before="120"/>
              <w:rPr>
                <w:rFonts w:ascii="Arial" w:hAnsi="Arial" w:cs="Arial"/>
                <w:b/>
                <w:bCs/>
                <w:sz w:val="22"/>
                <w:szCs w:val="22"/>
              </w:rPr>
            </w:pPr>
          </w:p>
        </w:tc>
        <w:tc>
          <w:tcPr>
            <w:tcW w:w="1748" w:type="dxa"/>
          </w:tcPr>
          <w:p w:rsidR="00156494" w:rsidRPr="00156494" w:rsidP="00BD2A6D" w14:paraId="19491576"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Form</w:t>
            </w:r>
          </w:p>
          <w:p w:rsidR="00156494" w:rsidRPr="00156494" w:rsidP="00BD2A6D" w14:paraId="23C91A33"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Name</w:t>
            </w:r>
          </w:p>
          <w:p w:rsidR="00156494" w:rsidRPr="00156494" w:rsidP="00BD2A6D" w14:paraId="74FED131" w14:textId="77777777">
            <w:pPr>
              <w:widowControl/>
              <w:tabs>
                <w:tab w:val="num" w:pos="1080"/>
              </w:tabs>
              <w:spacing w:before="120"/>
              <w:rPr>
                <w:rFonts w:ascii="Arial" w:hAnsi="Arial" w:cs="Arial"/>
                <w:b/>
                <w:bCs/>
                <w:sz w:val="22"/>
                <w:szCs w:val="22"/>
              </w:rPr>
            </w:pPr>
          </w:p>
        </w:tc>
        <w:tc>
          <w:tcPr>
            <w:tcW w:w="1531" w:type="dxa"/>
          </w:tcPr>
          <w:p w:rsidR="00156494" w:rsidRPr="00156494" w:rsidP="00BD2A6D" w14:paraId="6EAC4D9E"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No. of</w:t>
            </w:r>
          </w:p>
          <w:p w:rsidR="00156494" w:rsidRPr="00156494" w:rsidP="00BD2A6D" w14:paraId="632A9A50"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Respondents</w:t>
            </w:r>
          </w:p>
        </w:tc>
        <w:tc>
          <w:tcPr>
            <w:tcW w:w="1416" w:type="dxa"/>
          </w:tcPr>
          <w:p w:rsidR="00156494" w:rsidRPr="00156494" w:rsidP="00BD2A6D" w14:paraId="746EC8E6"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No.</w:t>
            </w:r>
          </w:p>
          <w:p w:rsidR="00156494" w:rsidRPr="00156494" w:rsidP="00BD2A6D" w14:paraId="591E1797"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Responses</w:t>
            </w:r>
          </w:p>
          <w:p w:rsidR="00156494" w:rsidRPr="00156494" w:rsidP="00BD2A6D" w14:paraId="727BD564"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per</w:t>
            </w:r>
          </w:p>
          <w:p w:rsidR="00156494" w:rsidRPr="00156494" w:rsidP="00BD2A6D" w14:paraId="13B65FDB"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Respondent</w:t>
            </w:r>
          </w:p>
        </w:tc>
        <w:tc>
          <w:tcPr>
            <w:tcW w:w="1324" w:type="dxa"/>
          </w:tcPr>
          <w:p w:rsidR="00156494" w:rsidRPr="00156494" w:rsidP="00BD2A6D" w14:paraId="029769E2" w14:textId="3A381990">
            <w:pPr>
              <w:widowControl/>
              <w:tabs>
                <w:tab w:val="num" w:pos="1080"/>
              </w:tabs>
              <w:spacing w:before="120"/>
              <w:rPr>
                <w:rFonts w:ascii="Arial" w:hAnsi="Arial" w:cs="Arial"/>
                <w:b/>
                <w:bCs/>
                <w:sz w:val="22"/>
                <w:szCs w:val="22"/>
              </w:rPr>
            </w:pPr>
            <w:r w:rsidRPr="00156494">
              <w:rPr>
                <w:rFonts w:ascii="Arial" w:hAnsi="Arial" w:cs="Arial"/>
                <w:b/>
                <w:bCs/>
                <w:sz w:val="22"/>
                <w:szCs w:val="22"/>
              </w:rPr>
              <w:t>Total Responses</w:t>
            </w:r>
          </w:p>
        </w:tc>
        <w:tc>
          <w:tcPr>
            <w:tcW w:w="1208" w:type="dxa"/>
          </w:tcPr>
          <w:p w:rsidR="00156494" w:rsidRPr="00156494" w:rsidP="00BD2A6D" w14:paraId="56881838" w14:textId="5B345B17">
            <w:pPr>
              <w:widowControl/>
              <w:tabs>
                <w:tab w:val="num" w:pos="1080"/>
              </w:tabs>
              <w:spacing w:before="120"/>
              <w:rPr>
                <w:rFonts w:ascii="Arial" w:hAnsi="Arial" w:cs="Arial"/>
                <w:b/>
                <w:bCs/>
                <w:sz w:val="22"/>
                <w:szCs w:val="22"/>
              </w:rPr>
            </w:pPr>
            <w:r w:rsidRPr="00156494">
              <w:rPr>
                <w:rFonts w:ascii="Arial" w:hAnsi="Arial" w:cs="Arial"/>
                <w:b/>
                <w:bCs/>
                <w:sz w:val="22"/>
                <w:szCs w:val="22"/>
              </w:rPr>
              <w:t>Average</w:t>
            </w:r>
          </w:p>
          <w:p w:rsidR="00156494" w:rsidRPr="00156494" w:rsidP="00BD2A6D" w14:paraId="3E15F702"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Burden per</w:t>
            </w:r>
          </w:p>
          <w:p w:rsidR="00156494" w:rsidRPr="00156494" w:rsidP="00BD2A6D" w14:paraId="6BB1D952"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Response</w:t>
            </w:r>
          </w:p>
          <w:p w:rsidR="00156494" w:rsidRPr="00156494" w:rsidP="00BD2A6D" w14:paraId="20EB1793"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(in hours)</w:t>
            </w:r>
          </w:p>
        </w:tc>
        <w:tc>
          <w:tcPr>
            <w:tcW w:w="942" w:type="dxa"/>
          </w:tcPr>
          <w:p w:rsidR="00156494" w:rsidRPr="00156494" w:rsidP="00BD2A6D" w14:paraId="75F434BF" w14:textId="77777777">
            <w:pPr>
              <w:widowControl/>
              <w:tabs>
                <w:tab w:val="num" w:pos="1080"/>
              </w:tabs>
              <w:spacing w:before="120"/>
              <w:rPr>
                <w:rFonts w:ascii="Arial" w:hAnsi="Arial" w:cs="Arial"/>
                <w:b/>
                <w:bCs/>
                <w:sz w:val="22"/>
                <w:szCs w:val="22"/>
              </w:rPr>
            </w:pPr>
            <w:r w:rsidRPr="00156494">
              <w:rPr>
                <w:rFonts w:ascii="Arial" w:hAnsi="Arial" w:cs="Arial"/>
                <w:b/>
                <w:bCs/>
                <w:sz w:val="22"/>
                <w:szCs w:val="22"/>
              </w:rPr>
              <w:t>Total Burden Hours</w:t>
            </w:r>
          </w:p>
        </w:tc>
      </w:tr>
      <w:tr w14:paraId="14E6B3F2" w14:textId="77777777" w:rsidTr="00156494">
        <w:tblPrEx>
          <w:tblW w:w="9586" w:type="dxa"/>
          <w:tblLook w:val="01E0"/>
        </w:tblPrEx>
        <w:trPr>
          <w:trHeight w:val="679"/>
        </w:trPr>
        <w:tc>
          <w:tcPr>
            <w:tcW w:w="1417" w:type="dxa"/>
          </w:tcPr>
          <w:p w:rsidR="00156494" w:rsidRPr="00C45431" w:rsidP="00BD2A6D" w14:paraId="57D242A3" w14:textId="77777777">
            <w:pPr>
              <w:widowControl/>
              <w:tabs>
                <w:tab w:val="num" w:pos="1080"/>
              </w:tabs>
              <w:spacing w:before="120"/>
              <w:rPr>
                <w:rFonts w:ascii="Arial" w:hAnsi="Arial" w:cs="Arial"/>
                <w:b/>
                <w:bCs/>
                <w:sz w:val="24"/>
              </w:rPr>
            </w:pPr>
            <w:r>
              <w:rPr>
                <w:rFonts w:ascii="Arial" w:hAnsi="Arial" w:cs="Arial"/>
                <w:b/>
                <w:bCs/>
                <w:sz w:val="24"/>
              </w:rPr>
              <w:t xml:space="preserve">MIECHV Program Awardees </w:t>
            </w:r>
          </w:p>
        </w:tc>
        <w:tc>
          <w:tcPr>
            <w:tcW w:w="1748" w:type="dxa"/>
          </w:tcPr>
          <w:p w:rsidR="00156494" w:rsidRPr="00C45431" w:rsidP="00BD2A6D" w14:paraId="38534447" w14:textId="08C11303">
            <w:pPr>
              <w:widowControl/>
              <w:tabs>
                <w:tab w:val="num" w:pos="1080"/>
              </w:tabs>
              <w:spacing w:before="120"/>
              <w:rPr>
                <w:rFonts w:ascii="Arial" w:hAnsi="Arial" w:cs="Arial"/>
                <w:b/>
                <w:bCs/>
                <w:sz w:val="24"/>
              </w:rPr>
            </w:pPr>
            <w:r>
              <w:rPr>
                <w:rFonts w:ascii="Arial" w:hAnsi="Arial" w:cs="Arial"/>
                <w:sz w:val="24"/>
              </w:rPr>
              <w:t>Form 4: Quarterly Performance Report</w:t>
            </w:r>
          </w:p>
        </w:tc>
        <w:tc>
          <w:tcPr>
            <w:tcW w:w="1531" w:type="dxa"/>
          </w:tcPr>
          <w:p w:rsidR="00156494" w:rsidRPr="00C45431" w:rsidP="00BD2A6D" w14:paraId="6D6F2232" w14:textId="77777777">
            <w:pPr>
              <w:widowControl/>
              <w:tabs>
                <w:tab w:val="num" w:pos="1080"/>
              </w:tabs>
              <w:spacing w:before="120"/>
              <w:rPr>
                <w:rFonts w:ascii="Arial" w:hAnsi="Arial" w:cs="Arial"/>
                <w:b/>
                <w:bCs/>
                <w:sz w:val="24"/>
              </w:rPr>
            </w:pPr>
            <w:r>
              <w:rPr>
                <w:rFonts w:ascii="Arial" w:hAnsi="Arial" w:cs="Arial"/>
                <w:sz w:val="24"/>
              </w:rPr>
              <w:t>56</w:t>
            </w:r>
          </w:p>
        </w:tc>
        <w:tc>
          <w:tcPr>
            <w:tcW w:w="1416" w:type="dxa"/>
          </w:tcPr>
          <w:p w:rsidR="00156494" w:rsidRPr="00C45431" w:rsidP="00BD2A6D" w14:paraId="5B7FC02A" w14:textId="7B9C34CA">
            <w:pPr>
              <w:widowControl/>
              <w:tabs>
                <w:tab w:val="num" w:pos="1080"/>
              </w:tabs>
              <w:spacing w:before="120"/>
              <w:rPr>
                <w:rFonts w:ascii="Arial" w:hAnsi="Arial" w:cs="Arial"/>
                <w:b/>
                <w:bCs/>
                <w:sz w:val="24"/>
              </w:rPr>
            </w:pPr>
            <w:r>
              <w:rPr>
                <w:rFonts w:ascii="Arial" w:hAnsi="Arial" w:cs="Arial"/>
                <w:sz w:val="24"/>
              </w:rPr>
              <w:t>4</w:t>
            </w:r>
          </w:p>
        </w:tc>
        <w:tc>
          <w:tcPr>
            <w:tcW w:w="1324" w:type="dxa"/>
          </w:tcPr>
          <w:p w:rsidR="00156494" w:rsidP="00BD2A6D" w14:paraId="0F3623B5" w14:textId="051EF0EC">
            <w:pPr>
              <w:widowControl/>
              <w:tabs>
                <w:tab w:val="num" w:pos="1080"/>
              </w:tabs>
              <w:spacing w:before="120"/>
              <w:rPr>
                <w:rFonts w:ascii="Arial" w:hAnsi="Arial" w:cs="Arial"/>
                <w:sz w:val="24"/>
              </w:rPr>
            </w:pPr>
            <w:r>
              <w:rPr>
                <w:rFonts w:ascii="Arial" w:hAnsi="Arial" w:cs="Arial"/>
                <w:sz w:val="24"/>
              </w:rPr>
              <w:t>264</w:t>
            </w:r>
          </w:p>
        </w:tc>
        <w:tc>
          <w:tcPr>
            <w:tcW w:w="1208" w:type="dxa"/>
          </w:tcPr>
          <w:p w:rsidR="00156494" w:rsidRPr="00C45431" w:rsidP="00BD2A6D" w14:paraId="4EFBE998" w14:textId="05C5C57E">
            <w:pPr>
              <w:widowControl/>
              <w:tabs>
                <w:tab w:val="num" w:pos="1080"/>
              </w:tabs>
              <w:spacing w:before="120"/>
              <w:rPr>
                <w:rFonts w:ascii="Arial" w:hAnsi="Arial" w:cs="Arial"/>
                <w:b/>
                <w:bCs/>
                <w:sz w:val="24"/>
              </w:rPr>
            </w:pPr>
            <w:r>
              <w:rPr>
                <w:rFonts w:ascii="Arial" w:hAnsi="Arial" w:cs="Arial"/>
                <w:sz w:val="24"/>
              </w:rPr>
              <w:t>21</w:t>
            </w:r>
          </w:p>
        </w:tc>
        <w:tc>
          <w:tcPr>
            <w:tcW w:w="942" w:type="dxa"/>
          </w:tcPr>
          <w:p w:rsidR="00156494" w:rsidRPr="00C45431" w:rsidP="00BD2A6D" w14:paraId="313D39FF" w14:textId="1AF2C5EE">
            <w:pPr>
              <w:widowControl/>
              <w:tabs>
                <w:tab w:val="num" w:pos="1080"/>
              </w:tabs>
              <w:spacing w:before="120"/>
              <w:rPr>
                <w:rFonts w:ascii="Arial" w:hAnsi="Arial" w:cs="Arial"/>
                <w:b/>
                <w:bCs/>
                <w:sz w:val="24"/>
              </w:rPr>
            </w:pPr>
            <w:r>
              <w:rPr>
                <w:rFonts w:ascii="Arial" w:hAnsi="Arial" w:cs="Arial"/>
                <w:sz w:val="24"/>
              </w:rPr>
              <w:t>4,704</w:t>
            </w:r>
          </w:p>
        </w:tc>
      </w:tr>
      <w:tr w14:paraId="4485A753" w14:textId="77777777" w:rsidTr="00156494">
        <w:tblPrEx>
          <w:tblW w:w="9586" w:type="dxa"/>
          <w:tblLook w:val="01E0"/>
        </w:tblPrEx>
        <w:trPr>
          <w:trHeight w:val="815"/>
        </w:trPr>
        <w:tc>
          <w:tcPr>
            <w:tcW w:w="1417" w:type="dxa"/>
          </w:tcPr>
          <w:p w:rsidR="00156494" w:rsidRPr="00C45431" w:rsidP="00BD2A6D" w14:paraId="5692F940"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1748" w:type="dxa"/>
          </w:tcPr>
          <w:p w:rsidR="00156494" w:rsidRPr="00C45431" w:rsidP="00BD2A6D" w14:paraId="5F7100B0" w14:textId="77777777">
            <w:pPr>
              <w:widowControl/>
              <w:tabs>
                <w:tab w:val="num" w:pos="1080"/>
              </w:tabs>
              <w:spacing w:before="120"/>
              <w:rPr>
                <w:rFonts w:ascii="Arial" w:hAnsi="Arial" w:cs="Arial"/>
                <w:sz w:val="24"/>
              </w:rPr>
            </w:pPr>
          </w:p>
        </w:tc>
        <w:tc>
          <w:tcPr>
            <w:tcW w:w="1531" w:type="dxa"/>
          </w:tcPr>
          <w:p w:rsidR="00156494" w:rsidRPr="00C45431" w:rsidP="00BD2A6D" w14:paraId="0D34441F" w14:textId="77777777">
            <w:pPr>
              <w:widowControl/>
              <w:tabs>
                <w:tab w:val="num" w:pos="1080"/>
              </w:tabs>
              <w:spacing w:before="120"/>
              <w:rPr>
                <w:rFonts w:ascii="Arial" w:hAnsi="Arial" w:cs="Arial"/>
                <w:sz w:val="24"/>
              </w:rPr>
            </w:pPr>
            <w:r>
              <w:rPr>
                <w:rFonts w:ascii="Arial" w:hAnsi="Arial" w:cs="Arial"/>
                <w:sz w:val="24"/>
              </w:rPr>
              <w:t>56</w:t>
            </w:r>
          </w:p>
        </w:tc>
        <w:tc>
          <w:tcPr>
            <w:tcW w:w="1416" w:type="dxa"/>
          </w:tcPr>
          <w:p w:rsidR="00156494" w:rsidRPr="00C45431" w:rsidP="00BD2A6D" w14:paraId="2926071F" w14:textId="1386A135">
            <w:pPr>
              <w:widowControl/>
              <w:tabs>
                <w:tab w:val="num" w:pos="1080"/>
              </w:tabs>
              <w:spacing w:before="120"/>
              <w:rPr>
                <w:rFonts w:ascii="Arial" w:hAnsi="Arial" w:cs="Arial"/>
                <w:sz w:val="24"/>
              </w:rPr>
            </w:pPr>
            <w:r>
              <w:rPr>
                <w:rFonts w:ascii="Arial" w:hAnsi="Arial" w:cs="Arial"/>
                <w:sz w:val="24"/>
              </w:rPr>
              <w:t>4</w:t>
            </w:r>
          </w:p>
        </w:tc>
        <w:tc>
          <w:tcPr>
            <w:tcW w:w="1324" w:type="dxa"/>
          </w:tcPr>
          <w:p w:rsidR="00156494" w:rsidP="00BD2A6D" w14:paraId="696DE129" w14:textId="19D42125">
            <w:pPr>
              <w:widowControl/>
              <w:tabs>
                <w:tab w:val="num" w:pos="1080"/>
              </w:tabs>
              <w:spacing w:before="120"/>
              <w:rPr>
                <w:rFonts w:ascii="Arial" w:hAnsi="Arial" w:cs="Arial"/>
                <w:sz w:val="24"/>
              </w:rPr>
            </w:pPr>
            <w:r>
              <w:rPr>
                <w:rFonts w:ascii="Arial" w:hAnsi="Arial" w:cs="Arial"/>
                <w:sz w:val="24"/>
              </w:rPr>
              <w:t>264</w:t>
            </w:r>
          </w:p>
        </w:tc>
        <w:tc>
          <w:tcPr>
            <w:tcW w:w="1208" w:type="dxa"/>
          </w:tcPr>
          <w:p w:rsidR="00156494" w:rsidRPr="00C45431" w:rsidP="00BD2A6D" w14:paraId="32EBEA08" w14:textId="2B049250">
            <w:pPr>
              <w:widowControl/>
              <w:tabs>
                <w:tab w:val="num" w:pos="1080"/>
              </w:tabs>
              <w:spacing w:before="120"/>
              <w:rPr>
                <w:rFonts w:ascii="Arial" w:hAnsi="Arial" w:cs="Arial"/>
                <w:sz w:val="24"/>
              </w:rPr>
            </w:pPr>
            <w:r>
              <w:rPr>
                <w:rFonts w:ascii="Arial" w:hAnsi="Arial" w:cs="Arial"/>
                <w:sz w:val="24"/>
              </w:rPr>
              <w:t>21</w:t>
            </w:r>
          </w:p>
        </w:tc>
        <w:tc>
          <w:tcPr>
            <w:tcW w:w="942" w:type="dxa"/>
          </w:tcPr>
          <w:p w:rsidR="00156494" w:rsidRPr="00C45431" w:rsidP="00BD2A6D" w14:paraId="1F7E1079" w14:textId="1267913D">
            <w:pPr>
              <w:widowControl/>
              <w:tabs>
                <w:tab w:val="num" w:pos="1080"/>
              </w:tabs>
              <w:spacing w:before="120"/>
              <w:rPr>
                <w:rFonts w:ascii="Arial" w:hAnsi="Arial" w:cs="Arial"/>
                <w:sz w:val="24"/>
              </w:rPr>
            </w:pPr>
            <w:r>
              <w:rPr>
                <w:rFonts w:ascii="Arial" w:hAnsi="Arial" w:cs="Arial"/>
                <w:b/>
                <w:bCs/>
                <w:sz w:val="24"/>
              </w:rPr>
              <w:t>4,704</w:t>
            </w:r>
          </w:p>
          <w:p w:rsidR="00156494" w:rsidRPr="00C45431" w:rsidP="00BD2A6D" w14:paraId="424AA416" w14:textId="77777777">
            <w:pPr>
              <w:widowControl/>
              <w:tabs>
                <w:tab w:val="num" w:pos="1080"/>
              </w:tabs>
              <w:spacing w:before="120"/>
              <w:rPr>
                <w:rFonts w:ascii="Arial" w:hAnsi="Arial" w:cs="Arial"/>
                <w:sz w:val="24"/>
              </w:rPr>
            </w:pPr>
          </w:p>
        </w:tc>
      </w:tr>
    </w:tbl>
    <w:p w:rsidR="00D92E1D" w:rsidRPr="00C45431" w:rsidP="00CA3DA6" w14:paraId="22E2A36A" w14:textId="77777777">
      <w:pPr>
        <w:widowControl/>
        <w:tabs>
          <w:tab w:val="num" w:pos="1080"/>
        </w:tabs>
        <w:spacing w:before="120"/>
        <w:ind w:left="2160"/>
        <w:rPr>
          <w:rFonts w:ascii="Arial" w:hAnsi="Arial" w:cs="Arial"/>
          <w:sz w:val="24"/>
        </w:rPr>
      </w:pPr>
    </w:p>
    <w:p w:rsidR="009B3794" w:rsidRPr="001A517F" w:rsidP="001A517F" w14:paraId="22E2A374" w14:textId="4ACF1FBC">
      <w:pPr>
        <w:widowControl/>
        <w:spacing w:before="120"/>
        <w:rPr>
          <w:rFonts w:ascii="Arial" w:hAnsi="Arial" w:cs="Arial"/>
          <w:sz w:val="24"/>
        </w:rPr>
      </w:pPr>
      <w:r w:rsidRPr="001A517F">
        <w:rPr>
          <w:rFonts w:ascii="Arial" w:hAnsi="Arial" w:cs="Arial"/>
          <w:b/>
          <w:sz w:val="24"/>
        </w:rPr>
        <w:t>12B</w:t>
      </w:r>
      <w:r w:rsidRPr="001A517F">
        <w:rPr>
          <w:rFonts w:ascii="Arial" w:hAnsi="Arial" w:cs="Arial"/>
          <w:sz w:val="24"/>
        </w:rPr>
        <w:t xml:space="preserve">. </w:t>
      </w:r>
      <w:r w:rsidRPr="00C45431">
        <w:rPr>
          <w:rFonts w:ascii="Arial" w:hAnsi="Arial" w:cs="Arial"/>
          <w:b/>
          <w:sz w:val="24"/>
        </w:rPr>
        <w:t>Estimated Annualized Burden Costs</w:t>
      </w:r>
    </w:p>
    <w:p w:rsidR="004A7633" w:rsidRPr="000B0947" w:rsidP="004A7633" w14:paraId="1090E385" w14:textId="77777777">
      <w:pPr>
        <w:widowControl/>
        <w:spacing w:before="120"/>
        <w:rPr>
          <w:rFonts w:ascii="Arial" w:hAnsi="Arial" w:cs="Arial"/>
          <w:bCs/>
          <w:sz w:val="24"/>
        </w:rPr>
      </w:pPr>
      <w:r w:rsidRPr="000B0947">
        <w:rPr>
          <w:rFonts w:ascii="Arial" w:hAnsi="Arial" w:cs="Arial"/>
          <w:bCs/>
          <w:sz w:val="24"/>
        </w:rPr>
        <w:t xml:space="preserve">Wages for MIECHV data collection and entry staff are based on the median hourly wage for social and community service managers in state government from the </w:t>
      </w:r>
      <w:r>
        <w:rPr>
          <w:rFonts w:ascii="Arial" w:hAnsi="Arial" w:cs="Arial"/>
          <w:bCs/>
          <w:sz w:val="24"/>
        </w:rPr>
        <w:t>most recent</w:t>
      </w:r>
      <w:r w:rsidRPr="000B0947">
        <w:rPr>
          <w:rFonts w:ascii="Arial" w:hAnsi="Arial" w:cs="Arial"/>
          <w:bCs/>
          <w:sz w:val="24"/>
        </w:rPr>
        <w:t xml:space="preserve"> U.S. Bureau of Labor Statistics Occupational Employment and Wages Statistics (</w:t>
      </w:r>
      <w:hyperlink r:id="rId8" w:anchor=":~:text=11%2D9151%20Social%20and%20Community%20Service%20Managers&amp;text=Oversee%20the%20program%20or%20organization's,%2C%20counselors%2C%20or%20probation%20officers." w:history="1">
        <w:r w:rsidRPr="000B0947">
          <w:rPr>
            <w:rStyle w:val="Hyperlink"/>
            <w:rFonts w:ascii="Arial" w:hAnsi="Arial" w:cs="Arial"/>
            <w:bCs/>
            <w:sz w:val="24"/>
          </w:rPr>
          <w:t>Occupation Code: 11-9151</w:t>
        </w:r>
      </w:hyperlink>
      <w:r w:rsidRPr="000B0947">
        <w:rPr>
          <w:rFonts w:ascii="Arial" w:hAnsi="Arial" w:cs="Arial"/>
          <w:bCs/>
          <w:sz w:val="24"/>
        </w:rPr>
        <w:t>).</w:t>
      </w:r>
      <w:r>
        <w:rPr>
          <w:rFonts w:ascii="Arial" w:hAnsi="Arial" w:cs="Arial"/>
          <w:bCs/>
          <w:sz w:val="24"/>
        </w:rPr>
        <w:t xml:space="preserve"> This was selected because this occupation is most likely </w:t>
      </w:r>
      <w:r>
        <w:rPr>
          <w:rFonts w:ascii="Arial" w:hAnsi="Arial" w:cs="Arial"/>
          <w:bCs/>
          <w:sz w:val="24"/>
        </w:rPr>
        <w:t xml:space="preserve">to be the Home Visiting Program grantees who will be completing this data collection. Median hourly wage is multiplied by 2 to account for overhead costs. </w:t>
      </w:r>
    </w:p>
    <w:p w:rsidR="004A7633" w:rsidP="00CA3DA6" w14:paraId="525D43FB" w14:textId="77777777">
      <w:pPr>
        <w:widowControl/>
        <w:spacing w:before="120"/>
        <w:ind w:left="270"/>
        <w:rPr>
          <w:rFonts w:ascii="Arial" w:hAnsi="Arial" w:cs="Arial"/>
          <w:b/>
          <w:sz w:val="24"/>
        </w:rPr>
      </w:pPr>
    </w:p>
    <w:p w:rsidR="00C052F6" w:rsidRPr="00C45431" w:rsidP="00CA3DA6" w14:paraId="6D95C0E2" w14:textId="77777777">
      <w:pPr>
        <w:widowControl/>
        <w:spacing w:before="120"/>
        <w:ind w:left="270"/>
        <w:rPr>
          <w:rFonts w:ascii="Arial" w:hAnsi="Arial" w:cs="Arial"/>
          <w:b/>
          <w:sz w:val="24"/>
        </w:rPr>
      </w:pPr>
    </w:p>
    <w:tbl>
      <w:tblPr>
        <w:tblW w:w="6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1491"/>
        <w:gridCol w:w="1677"/>
        <w:gridCol w:w="1603"/>
      </w:tblGrid>
      <w:tr w14:paraId="1124549B" w14:textId="77777777" w:rsidTr="00EB67DF">
        <w:tblPrEx>
          <w:tblW w:w="6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924" w:type="dxa"/>
          </w:tcPr>
          <w:p w:rsidR="00ED2537" w:rsidRPr="006A0F7E" w:rsidP="00BD2A6D" w14:paraId="1E535E0F" w14:textId="77777777">
            <w:pPr>
              <w:widowControl/>
              <w:spacing w:before="120"/>
              <w:rPr>
                <w:rFonts w:ascii="Arial" w:hAnsi="Arial" w:cs="Arial"/>
                <w:b/>
                <w:bCs/>
                <w:sz w:val="24"/>
              </w:rPr>
            </w:pPr>
            <w:r w:rsidRPr="006A0F7E">
              <w:rPr>
                <w:rFonts w:ascii="Arial" w:hAnsi="Arial" w:cs="Arial"/>
                <w:b/>
                <w:bCs/>
                <w:sz w:val="24"/>
              </w:rPr>
              <w:t>Type of</w:t>
            </w:r>
          </w:p>
          <w:p w:rsidR="00ED2537" w:rsidRPr="006A0F7E" w:rsidP="00BD2A6D" w14:paraId="7F4C1FBD" w14:textId="77777777">
            <w:pPr>
              <w:widowControl/>
              <w:spacing w:before="120"/>
              <w:rPr>
                <w:rFonts w:ascii="Arial" w:hAnsi="Arial" w:cs="Arial"/>
                <w:sz w:val="24"/>
              </w:rPr>
            </w:pPr>
            <w:r w:rsidRPr="006A0F7E">
              <w:rPr>
                <w:rFonts w:ascii="Arial" w:hAnsi="Arial" w:cs="Arial"/>
                <w:b/>
                <w:bCs/>
                <w:sz w:val="24"/>
              </w:rPr>
              <w:t>Respondent</w:t>
            </w:r>
          </w:p>
          <w:p w:rsidR="00ED2537" w:rsidRPr="006A0F7E" w:rsidP="00BD2A6D" w14:paraId="266AA201" w14:textId="77777777">
            <w:pPr>
              <w:widowControl/>
              <w:spacing w:before="120"/>
              <w:rPr>
                <w:rFonts w:ascii="Arial" w:hAnsi="Arial" w:cs="Arial"/>
                <w:b/>
                <w:bCs/>
                <w:sz w:val="24"/>
              </w:rPr>
            </w:pPr>
          </w:p>
        </w:tc>
        <w:tc>
          <w:tcPr>
            <w:tcW w:w="1551" w:type="dxa"/>
          </w:tcPr>
          <w:p w:rsidR="00ED2537" w:rsidRPr="006A0F7E" w:rsidP="00BD2A6D" w14:paraId="63D5BC14" w14:textId="77777777">
            <w:pPr>
              <w:widowControl/>
              <w:spacing w:before="120"/>
              <w:rPr>
                <w:rFonts w:ascii="Arial" w:hAnsi="Arial" w:cs="Arial"/>
                <w:b/>
                <w:bCs/>
                <w:sz w:val="24"/>
              </w:rPr>
            </w:pPr>
            <w:r w:rsidRPr="006A0F7E">
              <w:rPr>
                <w:rFonts w:ascii="Arial" w:hAnsi="Arial" w:cs="Arial"/>
                <w:b/>
                <w:bCs/>
                <w:sz w:val="24"/>
              </w:rPr>
              <w:t>Total Burden</w:t>
            </w:r>
          </w:p>
          <w:p w:rsidR="00ED2537" w:rsidRPr="006A0F7E" w:rsidP="00BD2A6D" w14:paraId="199D428E" w14:textId="77777777">
            <w:pPr>
              <w:widowControl/>
              <w:spacing w:before="120"/>
              <w:rPr>
                <w:rFonts w:ascii="Arial" w:hAnsi="Arial" w:cs="Arial"/>
                <w:sz w:val="24"/>
              </w:rPr>
            </w:pPr>
            <w:r w:rsidRPr="006A0F7E">
              <w:rPr>
                <w:rFonts w:ascii="Arial" w:hAnsi="Arial" w:cs="Arial"/>
                <w:b/>
                <w:bCs/>
                <w:sz w:val="24"/>
              </w:rPr>
              <w:t>Hours</w:t>
            </w:r>
          </w:p>
          <w:p w:rsidR="00ED2537" w:rsidRPr="006A0F7E" w:rsidP="00BD2A6D" w14:paraId="410EFBA8" w14:textId="77777777">
            <w:pPr>
              <w:widowControl/>
              <w:spacing w:before="120"/>
              <w:rPr>
                <w:rFonts w:ascii="Arial" w:hAnsi="Arial" w:cs="Arial"/>
                <w:b/>
                <w:bCs/>
                <w:sz w:val="24"/>
              </w:rPr>
            </w:pPr>
          </w:p>
        </w:tc>
        <w:tc>
          <w:tcPr>
            <w:tcW w:w="1774" w:type="dxa"/>
          </w:tcPr>
          <w:p w:rsidR="00ED2537" w:rsidRPr="004454BB" w:rsidP="00BD2A6D" w14:paraId="76D92D1A" w14:textId="77777777">
            <w:pPr>
              <w:widowControl/>
              <w:spacing w:before="120"/>
              <w:rPr>
                <w:rFonts w:ascii="Arial" w:hAnsi="Arial" w:cs="Arial"/>
                <w:b/>
                <w:bCs/>
                <w:sz w:val="24"/>
              </w:rPr>
            </w:pPr>
            <w:r w:rsidRPr="004454BB">
              <w:rPr>
                <w:rFonts w:ascii="Arial" w:hAnsi="Arial" w:cs="Arial"/>
                <w:b/>
                <w:bCs/>
                <w:sz w:val="24"/>
              </w:rPr>
              <w:t>Hourly</w:t>
            </w:r>
          </w:p>
          <w:p w:rsidR="00ED2537" w:rsidRPr="004454BB" w:rsidP="00BD2A6D" w14:paraId="04A42CD2" w14:textId="77777777">
            <w:pPr>
              <w:widowControl/>
              <w:spacing w:before="120"/>
              <w:rPr>
                <w:rFonts w:ascii="Arial" w:hAnsi="Arial" w:cs="Arial"/>
                <w:sz w:val="24"/>
              </w:rPr>
            </w:pPr>
            <w:r w:rsidRPr="004454BB">
              <w:rPr>
                <w:rFonts w:ascii="Arial" w:hAnsi="Arial" w:cs="Arial"/>
                <w:b/>
                <w:bCs/>
                <w:sz w:val="24"/>
              </w:rPr>
              <w:t>Wage Rate</w:t>
            </w:r>
          </w:p>
          <w:p w:rsidR="00ED2537" w:rsidRPr="004454BB" w:rsidP="00BD2A6D" w14:paraId="295816D5" w14:textId="77777777">
            <w:pPr>
              <w:widowControl/>
              <w:spacing w:before="120"/>
              <w:rPr>
                <w:rFonts w:ascii="Arial" w:hAnsi="Arial" w:cs="Arial"/>
                <w:b/>
                <w:bCs/>
                <w:sz w:val="24"/>
              </w:rPr>
            </w:pPr>
          </w:p>
        </w:tc>
        <w:tc>
          <w:tcPr>
            <w:tcW w:w="1406" w:type="dxa"/>
          </w:tcPr>
          <w:p w:rsidR="00ED2537" w:rsidRPr="004454BB" w:rsidP="00BD2A6D" w14:paraId="3370B91B" w14:textId="77777777">
            <w:pPr>
              <w:widowControl/>
              <w:spacing w:before="120"/>
              <w:rPr>
                <w:rFonts w:ascii="Arial" w:hAnsi="Arial" w:cs="Arial"/>
                <w:sz w:val="24"/>
              </w:rPr>
            </w:pPr>
            <w:r w:rsidRPr="004454BB">
              <w:rPr>
                <w:rFonts w:ascii="Arial" w:hAnsi="Arial" w:cs="Arial"/>
                <w:b/>
                <w:bCs/>
                <w:sz w:val="24"/>
              </w:rPr>
              <w:t>Total Respondent Costs</w:t>
            </w:r>
          </w:p>
          <w:p w:rsidR="00ED2537" w:rsidRPr="004454BB" w:rsidP="00BD2A6D" w14:paraId="0679FE7A" w14:textId="77777777">
            <w:pPr>
              <w:widowControl/>
              <w:spacing w:before="120"/>
              <w:rPr>
                <w:rFonts w:ascii="Arial" w:hAnsi="Arial" w:cs="Arial"/>
                <w:b/>
                <w:bCs/>
                <w:sz w:val="24"/>
              </w:rPr>
            </w:pPr>
          </w:p>
        </w:tc>
      </w:tr>
      <w:tr w14:paraId="5D2A4861" w14:textId="77777777" w:rsidTr="00EB67DF">
        <w:tblPrEx>
          <w:tblW w:w="6655" w:type="dxa"/>
          <w:jc w:val="center"/>
          <w:tblLook w:val="01E0"/>
        </w:tblPrEx>
        <w:trPr>
          <w:jc w:val="center"/>
        </w:trPr>
        <w:tc>
          <w:tcPr>
            <w:tcW w:w="1924" w:type="dxa"/>
          </w:tcPr>
          <w:p w:rsidR="00ED2537" w:rsidRPr="006A0F7E" w:rsidP="00BD2A6D" w14:paraId="39CE8052" w14:textId="2494335D">
            <w:pPr>
              <w:spacing w:before="120"/>
              <w:rPr>
                <w:rFonts w:ascii="Arial" w:hAnsi="Arial" w:cs="Arial"/>
                <w:sz w:val="24"/>
              </w:rPr>
            </w:pPr>
            <w:r w:rsidRPr="002E52A0">
              <w:rPr>
                <w:rFonts w:ascii="Arial" w:hAnsi="Arial" w:cs="Arial"/>
                <w:sz w:val="24"/>
              </w:rPr>
              <w:t>Social and Community Service Managers</w:t>
            </w:r>
          </w:p>
        </w:tc>
        <w:tc>
          <w:tcPr>
            <w:tcW w:w="1551" w:type="dxa"/>
          </w:tcPr>
          <w:p w:rsidR="00ED2537" w:rsidRPr="006A0F7E" w:rsidP="00BD2A6D" w14:paraId="421DA49A" w14:textId="64834F20">
            <w:pPr>
              <w:spacing w:before="120"/>
              <w:rPr>
                <w:rFonts w:ascii="Arial" w:hAnsi="Arial" w:cs="Arial"/>
                <w:sz w:val="24"/>
              </w:rPr>
            </w:pPr>
            <w:r>
              <w:rPr>
                <w:rFonts w:ascii="Arial" w:hAnsi="Arial" w:cs="Arial"/>
                <w:sz w:val="24"/>
              </w:rPr>
              <w:t>4,704</w:t>
            </w:r>
            <w:r w:rsidRPr="006A0F7E">
              <w:rPr>
                <w:rFonts w:ascii="Arial" w:hAnsi="Arial" w:cs="Arial"/>
                <w:sz w:val="24"/>
              </w:rPr>
              <w:t xml:space="preserve"> </w:t>
            </w:r>
          </w:p>
        </w:tc>
        <w:tc>
          <w:tcPr>
            <w:tcW w:w="1774" w:type="dxa"/>
          </w:tcPr>
          <w:p w:rsidR="00ED2537" w:rsidRPr="004454BB" w:rsidP="001A517F" w14:paraId="0640877C" w14:textId="694F4200">
            <w:pPr>
              <w:spacing w:before="120"/>
              <w:rPr>
                <w:rFonts w:ascii="Arial" w:hAnsi="Arial" w:cs="Arial"/>
                <w:sz w:val="24"/>
              </w:rPr>
            </w:pPr>
            <w:r>
              <w:rPr>
                <w:rFonts w:ascii="Arial" w:hAnsi="Arial" w:cs="Arial"/>
                <w:sz w:val="24"/>
              </w:rPr>
              <w:t>$74.06</w:t>
            </w:r>
          </w:p>
        </w:tc>
        <w:tc>
          <w:tcPr>
            <w:tcW w:w="1406" w:type="dxa"/>
          </w:tcPr>
          <w:p w:rsidR="00ED2537" w:rsidRPr="004454BB" w:rsidP="001A517F" w14:paraId="749A43DC" w14:textId="4DA88FBA">
            <w:pPr>
              <w:spacing w:before="120"/>
              <w:rPr>
                <w:rFonts w:ascii="Arial" w:hAnsi="Arial" w:cs="Arial"/>
                <w:sz w:val="24"/>
              </w:rPr>
            </w:pPr>
            <w:r w:rsidRPr="004454BB">
              <w:rPr>
                <w:rFonts w:ascii="Arial" w:hAnsi="Arial" w:cs="Arial"/>
                <w:sz w:val="24"/>
              </w:rPr>
              <w:t>$</w:t>
            </w:r>
            <w:r w:rsidR="00EB67DF">
              <w:rPr>
                <w:rFonts w:ascii="Arial" w:hAnsi="Arial" w:cs="Arial"/>
                <w:sz w:val="24"/>
              </w:rPr>
              <w:t>348,378.24</w:t>
            </w:r>
          </w:p>
        </w:tc>
      </w:tr>
    </w:tbl>
    <w:p w:rsidR="009B3794" w:rsidRPr="0003614A" w:rsidP="00AC2B1A" w14:paraId="22E2A391" w14:textId="7DD55393">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Burden to Respondents or Recordkeepers/Capital Costs</w:t>
      </w:r>
    </w:p>
    <w:p w:rsidR="0003614A" w:rsidRPr="0003614A" w:rsidP="0003614A" w14:paraId="11C65AA9" w14:textId="6739DD7B">
      <w:pPr>
        <w:pStyle w:val="BodyTextIndent"/>
        <w:spacing w:before="120"/>
        <w:ind w:left="0"/>
        <w:rPr>
          <w:rFonts w:ascii="Arial" w:hAnsi="Arial" w:cs="Arial"/>
        </w:rPr>
      </w:pPr>
      <w:r w:rsidRPr="00104F7F">
        <w:rPr>
          <w:rFonts w:ascii="Arial" w:hAnsi="Arial" w:cs="Arial"/>
        </w:rPr>
        <w:t xml:space="preserve">Other than their time, there is no cost to </w:t>
      </w:r>
      <w:r>
        <w:rPr>
          <w:rFonts w:ascii="Arial" w:hAnsi="Arial" w:cs="Arial"/>
        </w:rPr>
        <w:t>home visiting program participants</w:t>
      </w:r>
      <w:r w:rsidRPr="00104F7F">
        <w:rPr>
          <w:rFonts w:ascii="Arial" w:hAnsi="Arial" w:cs="Arial"/>
        </w:rPr>
        <w:t>.</w:t>
      </w:r>
      <w:r>
        <w:rPr>
          <w:rFonts w:ascii="Arial" w:hAnsi="Arial" w:cs="Arial"/>
        </w:rPr>
        <w:t xml:space="preserve">. </w:t>
      </w:r>
    </w:p>
    <w:p w:rsidR="009B3794" w:rsidRPr="006678CC" w:rsidP="00AC2B1A" w14:paraId="22E2A395"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Annualized Cost to Federal Government</w:t>
      </w:r>
    </w:p>
    <w:p w:rsidR="006678CC" w:rsidRPr="0098014E" w:rsidP="006678CC" w14:paraId="108003DD" w14:textId="77777777">
      <w:pPr>
        <w:pStyle w:val="BodyTextIndent"/>
        <w:spacing w:before="120"/>
        <w:ind w:left="360"/>
        <w:rPr>
          <w:rFonts w:ascii="Arial" w:hAnsi="Arial" w:cs="Arial"/>
        </w:rPr>
      </w:pPr>
      <w:r w:rsidRPr="0098014E">
        <w:rPr>
          <w:rFonts w:ascii="Arial" w:hAnsi="Arial" w:cs="Arial"/>
        </w:rPr>
        <w:t>Costs to the federal government fall into the following categories:</w:t>
      </w:r>
    </w:p>
    <w:p w:rsidR="006678CC" w:rsidRPr="00267163" w:rsidP="001A517F" w14:paraId="1A20E40B" w14:textId="77777777">
      <w:pPr>
        <w:pStyle w:val="BodyTextIndent"/>
        <w:numPr>
          <w:ilvl w:val="0"/>
          <w:numId w:val="17"/>
        </w:numPr>
        <w:tabs>
          <w:tab w:val="num" w:pos="720"/>
          <w:tab w:val="clear" w:pos="1800"/>
        </w:tabs>
        <w:spacing w:before="120"/>
        <w:ind w:left="720"/>
        <w:rPr>
          <w:rFonts w:ascii="Arial" w:hAnsi="Arial" w:cs="Arial"/>
        </w:rPr>
      </w:pPr>
      <w:r w:rsidRPr="00267163">
        <w:rPr>
          <w:rFonts w:ascii="Arial" w:hAnsi="Arial" w:cs="Arial"/>
        </w:rPr>
        <w:t>Cost of developing and maintaining the reporting system</w:t>
      </w:r>
    </w:p>
    <w:p w:rsidR="006678CC" w:rsidRPr="006A0F7E" w:rsidP="001A517F" w14:paraId="7AD93AA8" w14:textId="77777777">
      <w:pPr>
        <w:pStyle w:val="BodyTextIndent"/>
        <w:numPr>
          <w:ilvl w:val="0"/>
          <w:numId w:val="17"/>
        </w:numPr>
        <w:tabs>
          <w:tab w:val="num" w:pos="720"/>
          <w:tab w:val="clear" w:pos="1800"/>
        </w:tabs>
        <w:spacing w:before="120"/>
        <w:ind w:left="720"/>
        <w:rPr>
          <w:rFonts w:ascii="Arial" w:hAnsi="Arial" w:cs="Arial"/>
        </w:rPr>
      </w:pPr>
      <w:r w:rsidRPr="0059735D">
        <w:rPr>
          <w:rFonts w:ascii="Arial" w:hAnsi="Arial" w:cs="Arial"/>
        </w:rPr>
        <w:t>Cost of federal staff time f</w:t>
      </w:r>
      <w:r w:rsidRPr="006A0F7E">
        <w:rPr>
          <w:rFonts w:ascii="Arial" w:hAnsi="Arial" w:cs="Arial"/>
        </w:rPr>
        <w:t>or project oversight and development</w:t>
      </w:r>
    </w:p>
    <w:p w:rsidR="006678CC" w:rsidRPr="0098014E" w:rsidP="001A517F" w14:paraId="7AAC35DD" w14:textId="77777777">
      <w:pPr>
        <w:pStyle w:val="BodyTextIndent"/>
        <w:numPr>
          <w:ilvl w:val="0"/>
          <w:numId w:val="17"/>
        </w:numPr>
        <w:tabs>
          <w:tab w:val="num" w:pos="720"/>
          <w:tab w:val="clear" w:pos="1800"/>
        </w:tabs>
        <w:spacing w:before="120"/>
        <w:ind w:left="720"/>
        <w:rPr>
          <w:rFonts w:ascii="Arial" w:hAnsi="Arial" w:cs="Arial"/>
        </w:rPr>
      </w:pPr>
      <w:r w:rsidRPr="0098014E">
        <w:rPr>
          <w:rFonts w:ascii="Arial" w:hAnsi="Arial" w:cs="Arial"/>
        </w:rPr>
        <w:t>Cost of federal staff time for technical assistance and review and approval of annual performance reports</w:t>
      </w:r>
    </w:p>
    <w:p w:rsidR="006678CC" w:rsidRPr="0098014E" w:rsidP="001A517F" w14:paraId="53298A77" w14:textId="77777777">
      <w:pPr>
        <w:pStyle w:val="BodyTextIndent"/>
        <w:spacing w:before="120"/>
        <w:ind w:left="0"/>
        <w:rPr>
          <w:rFonts w:ascii="Arial" w:hAnsi="Arial" w:cs="Arial"/>
        </w:rPr>
      </w:pPr>
    </w:p>
    <w:tbl>
      <w:tblPr>
        <w:tblStyle w:val="TableGrid"/>
        <w:tblW w:w="0" w:type="auto"/>
        <w:tblLook w:val="04A0"/>
      </w:tblPr>
      <w:tblGrid>
        <w:gridCol w:w="3123"/>
        <w:gridCol w:w="3123"/>
        <w:gridCol w:w="3104"/>
      </w:tblGrid>
      <w:tr w14:paraId="42805EED" w14:textId="77777777" w:rsidTr="00BD2A6D">
        <w:tblPrEx>
          <w:tblW w:w="0" w:type="auto"/>
          <w:tblLook w:val="04A0"/>
        </w:tblPrEx>
        <w:tc>
          <w:tcPr>
            <w:tcW w:w="3192" w:type="dxa"/>
          </w:tcPr>
          <w:p w:rsidR="006678CC" w:rsidRPr="0098014E" w:rsidP="00BD2A6D" w14:paraId="7BB1E213" w14:textId="77777777">
            <w:pPr>
              <w:pStyle w:val="BodyTextIndent"/>
              <w:spacing w:before="120"/>
              <w:ind w:left="0"/>
              <w:rPr>
                <w:rFonts w:ascii="Arial" w:hAnsi="Arial" w:cs="Arial"/>
              </w:rPr>
            </w:pPr>
            <w:r w:rsidRPr="0098014E">
              <w:rPr>
                <w:rFonts w:ascii="Arial" w:hAnsi="Arial" w:cs="Arial"/>
              </w:rPr>
              <w:t>Type of Cost</w:t>
            </w:r>
          </w:p>
        </w:tc>
        <w:tc>
          <w:tcPr>
            <w:tcW w:w="3192" w:type="dxa"/>
          </w:tcPr>
          <w:p w:rsidR="006678CC" w:rsidRPr="0098014E" w:rsidP="00BD2A6D" w14:paraId="723AF3DA" w14:textId="77777777">
            <w:pPr>
              <w:pStyle w:val="BodyTextIndent"/>
              <w:spacing w:before="120"/>
              <w:ind w:left="0"/>
              <w:rPr>
                <w:rFonts w:ascii="Arial" w:hAnsi="Arial" w:cs="Arial"/>
              </w:rPr>
            </w:pPr>
            <w:r w:rsidRPr="0098014E">
              <w:rPr>
                <w:rFonts w:ascii="Arial" w:hAnsi="Arial" w:cs="Arial"/>
              </w:rPr>
              <w:t>Description of Services</w:t>
            </w:r>
          </w:p>
        </w:tc>
        <w:tc>
          <w:tcPr>
            <w:tcW w:w="3192" w:type="dxa"/>
          </w:tcPr>
          <w:p w:rsidR="006678CC" w:rsidRPr="0098014E" w:rsidP="00BD2A6D" w14:paraId="5AA9E343" w14:textId="77777777">
            <w:pPr>
              <w:pStyle w:val="BodyTextIndent"/>
              <w:spacing w:before="120"/>
              <w:ind w:left="0"/>
              <w:rPr>
                <w:rFonts w:ascii="Arial" w:hAnsi="Arial" w:cs="Arial"/>
              </w:rPr>
            </w:pPr>
            <w:r w:rsidRPr="0098014E">
              <w:rPr>
                <w:rFonts w:ascii="Arial" w:hAnsi="Arial" w:cs="Arial"/>
              </w:rPr>
              <w:t>Annual Cost</w:t>
            </w:r>
          </w:p>
        </w:tc>
      </w:tr>
      <w:tr w14:paraId="27F851B4" w14:textId="77777777" w:rsidTr="00BD2A6D">
        <w:tblPrEx>
          <w:tblW w:w="0" w:type="auto"/>
          <w:tblLook w:val="04A0"/>
        </w:tblPrEx>
        <w:tc>
          <w:tcPr>
            <w:tcW w:w="3192" w:type="dxa"/>
          </w:tcPr>
          <w:p w:rsidR="006678CC" w:rsidRPr="0098014E" w:rsidP="00BD2A6D" w14:paraId="51C67EEA" w14:textId="77777777">
            <w:pPr>
              <w:pStyle w:val="BodyTextIndent"/>
              <w:spacing w:before="120"/>
              <w:ind w:left="0"/>
              <w:rPr>
                <w:rFonts w:ascii="Arial" w:hAnsi="Arial" w:cs="Arial"/>
              </w:rPr>
            </w:pPr>
            <w:r w:rsidRPr="0098014E">
              <w:rPr>
                <w:rFonts w:ascii="Arial" w:hAnsi="Arial" w:cs="Arial"/>
              </w:rPr>
              <w:t>HVIS Development – Contracted</w:t>
            </w:r>
          </w:p>
        </w:tc>
        <w:tc>
          <w:tcPr>
            <w:tcW w:w="3192" w:type="dxa"/>
          </w:tcPr>
          <w:p w:rsidR="006678CC" w:rsidRPr="0098014E" w:rsidP="00BD2A6D" w14:paraId="46FFC886" w14:textId="34806208">
            <w:pPr>
              <w:pStyle w:val="BodyTextIndent"/>
              <w:spacing w:before="120"/>
              <w:ind w:left="0"/>
              <w:rPr>
                <w:rFonts w:ascii="Arial" w:hAnsi="Arial" w:cs="Arial"/>
              </w:rPr>
            </w:pPr>
            <w:r w:rsidRPr="0098014E">
              <w:rPr>
                <w:rFonts w:ascii="Arial" w:hAnsi="Arial" w:cs="Arial"/>
              </w:rPr>
              <w:t xml:space="preserve">Development and maintenance of the electronic reporting system for </w:t>
            </w:r>
            <w:r w:rsidR="00547BA2">
              <w:rPr>
                <w:rFonts w:ascii="Arial" w:hAnsi="Arial" w:cs="Arial"/>
              </w:rPr>
              <w:t>quarterly</w:t>
            </w:r>
            <w:r w:rsidRPr="0098014E">
              <w:rPr>
                <w:rFonts w:ascii="Arial" w:hAnsi="Arial" w:cs="Arial"/>
              </w:rPr>
              <w:t xml:space="preserve"> data collection</w:t>
            </w:r>
          </w:p>
        </w:tc>
        <w:tc>
          <w:tcPr>
            <w:tcW w:w="3192" w:type="dxa"/>
          </w:tcPr>
          <w:p w:rsidR="006678CC" w:rsidRPr="0098014E" w:rsidP="00BD2A6D" w14:paraId="5DBC9DA3" w14:textId="02FD7D8A">
            <w:pPr>
              <w:pStyle w:val="BodyTextIndent"/>
              <w:spacing w:before="120"/>
              <w:ind w:left="0"/>
              <w:rPr>
                <w:rFonts w:ascii="Arial" w:hAnsi="Arial" w:cs="Arial"/>
              </w:rPr>
            </w:pPr>
            <w:r w:rsidRPr="0098014E">
              <w:rPr>
                <w:rFonts w:ascii="Arial" w:hAnsi="Arial" w:cs="Arial"/>
              </w:rPr>
              <w:t>$</w:t>
            </w:r>
            <w:r w:rsidR="001A517F">
              <w:rPr>
                <w:rFonts w:ascii="Arial" w:hAnsi="Arial" w:cs="Arial"/>
              </w:rPr>
              <w:t>1</w:t>
            </w:r>
            <w:r w:rsidRPr="0098014E">
              <w:rPr>
                <w:rFonts w:ascii="Arial" w:hAnsi="Arial" w:cs="Arial"/>
              </w:rPr>
              <w:t xml:space="preserve">00,000 </w:t>
            </w:r>
          </w:p>
        </w:tc>
      </w:tr>
      <w:tr w14:paraId="14D8AE1E" w14:textId="77777777" w:rsidTr="00BD2A6D">
        <w:tblPrEx>
          <w:tblW w:w="0" w:type="auto"/>
          <w:tblLook w:val="04A0"/>
        </w:tblPrEx>
        <w:tc>
          <w:tcPr>
            <w:tcW w:w="3192" w:type="dxa"/>
          </w:tcPr>
          <w:p w:rsidR="006678CC" w:rsidRPr="0098014E" w:rsidP="00BD2A6D" w14:paraId="7C6337E9" w14:textId="0E959459">
            <w:pPr>
              <w:pStyle w:val="BodyTextIndent"/>
              <w:spacing w:before="120"/>
              <w:ind w:left="0"/>
              <w:rPr>
                <w:rFonts w:ascii="Arial" w:hAnsi="Arial" w:cs="Arial"/>
              </w:rPr>
            </w:pPr>
            <w:r w:rsidRPr="0098014E">
              <w:rPr>
                <w:rFonts w:ascii="Arial" w:hAnsi="Arial" w:cs="Arial"/>
              </w:rPr>
              <w:t xml:space="preserve">Government </w:t>
            </w:r>
            <w:r w:rsidR="00EB67DF">
              <w:rPr>
                <w:rFonts w:ascii="Arial" w:hAnsi="Arial" w:cs="Arial"/>
              </w:rPr>
              <w:t xml:space="preserve">Public Health </w:t>
            </w:r>
            <w:r>
              <w:rPr>
                <w:rFonts w:ascii="Arial" w:hAnsi="Arial" w:cs="Arial"/>
              </w:rPr>
              <w:t>Analyst</w:t>
            </w:r>
            <w:r w:rsidRPr="0098014E">
              <w:rPr>
                <w:rFonts w:ascii="Arial" w:hAnsi="Arial" w:cs="Arial"/>
              </w:rPr>
              <w:t xml:space="preserve"> (</w:t>
            </w:r>
            <w:r w:rsidR="001A517F">
              <w:rPr>
                <w:rFonts w:ascii="Arial" w:hAnsi="Arial" w:cs="Arial"/>
              </w:rPr>
              <w:t>2</w:t>
            </w:r>
            <w:r>
              <w:rPr>
                <w:rFonts w:ascii="Arial" w:hAnsi="Arial" w:cs="Arial"/>
              </w:rPr>
              <w:t>0</w:t>
            </w:r>
            <w:r w:rsidRPr="0098014E">
              <w:rPr>
                <w:rFonts w:ascii="Arial" w:hAnsi="Arial" w:cs="Arial"/>
              </w:rPr>
              <w:t>%)</w:t>
            </w:r>
          </w:p>
        </w:tc>
        <w:tc>
          <w:tcPr>
            <w:tcW w:w="3192" w:type="dxa"/>
          </w:tcPr>
          <w:p w:rsidR="006678CC" w:rsidRPr="0098014E" w:rsidP="00BD2A6D" w14:paraId="0564D777" w14:textId="77777777">
            <w:pPr>
              <w:pStyle w:val="BodyTextIndent"/>
              <w:spacing w:before="120"/>
              <w:ind w:left="0"/>
              <w:rPr>
                <w:rFonts w:ascii="Arial" w:hAnsi="Arial" w:cs="Arial"/>
              </w:rPr>
            </w:pPr>
            <w:r w:rsidRPr="0098014E">
              <w:rPr>
                <w:rFonts w:ascii="Arial" w:hAnsi="Arial" w:cs="Arial"/>
              </w:rPr>
              <w:t xml:space="preserve">Project management and oversight, consultation, and development </w:t>
            </w:r>
          </w:p>
        </w:tc>
        <w:tc>
          <w:tcPr>
            <w:tcW w:w="3192" w:type="dxa"/>
          </w:tcPr>
          <w:p w:rsidR="006678CC" w:rsidRPr="0098014E" w:rsidP="00BD2A6D" w14:paraId="08AAA06A" w14:textId="7FE1CAC9">
            <w:pPr>
              <w:pStyle w:val="BodyTextIndent"/>
              <w:spacing w:before="120"/>
              <w:ind w:left="0"/>
              <w:rPr>
                <w:rFonts w:ascii="Arial" w:hAnsi="Arial" w:cs="Arial"/>
              </w:rPr>
            </w:pPr>
            <w:r w:rsidRPr="0098014E">
              <w:rPr>
                <w:rFonts w:ascii="Arial" w:hAnsi="Arial" w:cs="Arial"/>
              </w:rPr>
              <w:t>$</w:t>
            </w:r>
            <w:r w:rsidR="001A517F">
              <w:rPr>
                <w:rFonts w:ascii="Arial" w:hAnsi="Arial" w:cs="Arial"/>
              </w:rPr>
              <w:t>35,268</w:t>
            </w:r>
          </w:p>
        </w:tc>
      </w:tr>
      <w:tr w14:paraId="7C00EFAF" w14:textId="77777777" w:rsidTr="00BD2A6D">
        <w:tblPrEx>
          <w:tblW w:w="0" w:type="auto"/>
          <w:tblLook w:val="04A0"/>
        </w:tblPrEx>
        <w:tc>
          <w:tcPr>
            <w:tcW w:w="3192" w:type="dxa"/>
          </w:tcPr>
          <w:p w:rsidR="006678CC" w:rsidRPr="0098014E" w:rsidP="00BD2A6D" w14:paraId="579C83CC" w14:textId="29FBC7AC">
            <w:pPr>
              <w:pStyle w:val="BodyTextIndent"/>
              <w:spacing w:before="120"/>
              <w:ind w:left="0"/>
              <w:rPr>
                <w:rFonts w:ascii="Arial" w:hAnsi="Arial" w:cs="Arial"/>
              </w:rPr>
            </w:pPr>
            <w:r w:rsidRPr="0098014E">
              <w:rPr>
                <w:rFonts w:ascii="Arial" w:hAnsi="Arial" w:cs="Arial"/>
              </w:rPr>
              <w:t>Government Project Officers (</w:t>
            </w:r>
            <w:r w:rsidR="001A517F">
              <w:rPr>
                <w:rFonts w:ascii="Arial" w:hAnsi="Arial" w:cs="Arial"/>
              </w:rPr>
              <w:t>5</w:t>
            </w:r>
            <w:r w:rsidRPr="0098014E">
              <w:rPr>
                <w:rFonts w:ascii="Arial" w:hAnsi="Arial" w:cs="Arial"/>
              </w:rPr>
              <w:t>%)</w:t>
            </w:r>
          </w:p>
        </w:tc>
        <w:tc>
          <w:tcPr>
            <w:tcW w:w="3192" w:type="dxa"/>
          </w:tcPr>
          <w:p w:rsidR="006678CC" w:rsidRPr="0098014E" w:rsidP="00BD2A6D" w14:paraId="2A790D37" w14:textId="77777777">
            <w:pPr>
              <w:pStyle w:val="BodyTextIndent"/>
              <w:spacing w:before="120"/>
              <w:ind w:left="0"/>
              <w:rPr>
                <w:rFonts w:ascii="Arial" w:hAnsi="Arial" w:cs="Arial"/>
              </w:rPr>
            </w:pPr>
            <w:r w:rsidRPr="0098014E">
              <w:rPr>
                <w:rFonts w:ascii="Arial" w:hAnsi="Arial" w:cs="Arial"/>
              </w:rPr>
              <w:t xml:space="preserve">10 regional project officers provide TA to </w:t>
            </w:r>
            <w:r>
              <w:rPr>
                <w:rFonts w:ascii="Arial" w:hAnsi="Arial" w:cs="Arial"/>
              </w:rPr>
              <w:t>awardees</w:t>
            </w:r>
            <w:r w:rsidRPr="0098014E">
              <w:rPr>
                <w:rFonts w:ascii="Arial" w:hAnsi="Arial" w:cs="Arial"/>
              </w:rPr>
              <w:t xml:space="preserve"> and review and approve annual reports</w:t>
            </w:r>
          </w:p>
        </w:tc>
        <w:tc>
          <w:tcPr>
            <w:tcW w:w="3192" w:type="dxa"/>
          </w:tcPr>
          <w:p w:rsidR="006678CC" w:rsidRPr="0098014E" w:rsidP="00BD2A6D" w14:paraId="00FCC43C" w14:textId="36275042">
            <w:pPr>
              <w:pStyle w:val="BodyTextIndent"/>
              <w:spacing w:before="120"/>
              <w:ind w:left="0"/>
              <w:rPr>
                <w:rFonts w:ascii="Arial" w:hAnsi="Arial" w:cs="Arial"/>
              </w:rPr>
            </w:pPr>
            <w:r w:rsidRPr="0098014E">
              <w:rPr>
                <w:rFonts w:ascii="Arial" w:hAnsi="Arial" w:cs="Arial"/>
              </w:rPr>
              <w:t>$</w:t>
            </w:r>
            <w:r w:rsidR="001A517F">
              <w:rPr>
                <w:rFonts w:ascii="Arial" w:hAnsi="Arial" w:cs="Arial"/>
              </w:rPr>
              <w:t>99,934</w:t>
            </w:r>
          </w:p>
        </w:tc>
      </w:tr>
      <w:tr w14:paraId="7305B430" w14:textId="77777777" w:rsidTr="00BD2A6D">
        <w:tblPrEx>
          <w:tblW w:w="0" w:type="auto"/>
          <w:tblLook w:val="04A0"/>
        </w:tblPrEx>
        <w:tc>
          <w:tcPr>
            <w:tcW w:w="3192" w:type="dxa"/>
          </w:tcPr>
          <w:p w:rsidR="006678CC" w:rsidRPr="0098014E" w:rsidP="00BD2A6D" w14:paraId="4AF80E20" w14:textId="77777777">
            <w:pPr>
              <w:pStyle w:val="BodyTextIndent"/>
              <w:spacing w:before="120"/>
              <w:ind w:left="0"/>
              <w:rPr>
                <w:rFonts w:ascii="Arial" w:hAnsi="Arial" w:cs="Arial"/>
              </w:rPr>
            </w:pPr>
            <w:r w:rsidRPr="0098014E">
              <w:rPr>
                <w:rFonts w:ascii="Arial" w:hAnsi="Arial" w:cs="Arial"/>
              </w:rPr>
              <w:t>Total Estimated Annual Cost</w:t>
            </w:r>
          </w:p>
        </w:tc>
        <w:tc>
          <w:tcPr>
            <w:tcW w:w="3192" w:type="dxa"/>
          </w:tcPr>
          <w:p w:rsidR="006678CC" w:rsidRPr="0098014E" w:rsidP="00BD2A6D" w14:paraId="2942C941" w14:textId="77777777">
            <w:pPr>
              <w:pStyle w:val="BodyTextIndent"/>
              <w:spacing w:before="120"/>
              <w:ind w:left="0"/>
              <w:rPr>
                <w:rFonts w:ascii="Arial" w:hAnsi="Arial" w:cs="Arial"/>
              </w:rPr>
            </w:pPr>
          </w:p>
        </w:tc>
        <w:tc>
          <w:tcPr>
            <w:tcW w:w="3192" w:type="dxa"/>
          </w:tcPr>
          <w:p w:rsidR="006678CC" w:rsidRPr="0098014E" w:rsidP="00BD2A6D" w14:paraId="022F7E1C" w14:textId="21FEC79A">
            <w:pPr>
              <w:pStyle w:val="BodyTextIndent"/>
              <w:spacing w:before="120"/>
              <w:ind w:left="0"/>
              <w:rPr>
                <w:rFonts w:ascii="Arial" w:hAnsi="Arial" w:cs="Arial"/>
              </w:rPr>
            </w:pPr>
            <w:r w:rsidRPr="0098014E">
              <w:rPr>
                <w:rFonts w:ascii="Arial" w:hAnsi="Arial" w:cs="Arial"/>
              </w:rPr>
              <w:t>$</w:t>
            </w:r>
            <w:r w:rsidR="00BA6E1E">
              <w:rPr>
                <w:rFonts w:ascii="Arial" w:hAnsi="Arial" w:cs="Arial"/>
              </w:rPr>
              <w:t>235,202</w:t>
            </w:r>
          </w:p>
        </w:tc>
      </w:tr>
    </w:tbl>
    <w:p w:rsidR="00EB67DF" w:rsidP="006678CC" w14:paraId="735BDC42" w14:textId="77777777">
      <w:pPr>
        <w:pStyle w:val="BodyTextIndent"/>
        <w:spacing w:before="120"/>
        <w:ind w:left="0"/>
        <w:rPr>
          <w:rFonts w:ascii="Arial" w:hAnsi="Arial" w:cs="Arial"/>
        </w:rPr>
      </w:pPr>
    </w:p>
    <w:p w:rsidR="00EB67DF" w:rsidRPr="00F40BA9" w:rsidP="00EB67DF" w14:paraId="621C2C4A" w14:textId="6CC6A412">
      <w:pPr>
        <w:pStyle w:val="BodyTextIndent"/>
        <w:spacing w:before="120"/>
        <w:ind w:left="0"/>
        <w:rPr>
          <w:rFonts w:ascii="Arial" w:hAnsi="Arial" w:cs="Arial"/>
        </w:rPr>
      </w:pPr>
      <w:r w:rsidRPr="00F40BA9">
        <w:rPr>
          <w:rFonts w:ascii="Arial" w:hAnsi="Arial" w:cs="Arial"/>
        </w:rPr>
        <w:t xml:space="preserve">HRSA estimates the average annual cost for the federal government will include </w:t>
      </w:r>
      <w:r>
        <w:rPr>
          <w:rFonts w:ascii="Arial" w:hAnsi="Arial" w:cs="Arial"/>
        </w:rPr>
        <w:t xml:space="preserve">IT contract cost for development and maintenance of the electronic reporting system, HVIS, and </w:t>
      </w:r>
      <w:r w:rsidRPr="00F40BA9">
        <w:rPr>
          <w:rFonts w:ascii="Arial" w:hAnsi="Arial" w:cs="Arial"/>
        </w:rPr>
        <w:t xml:space="preserve">personnel costs for project and contract oversight, instrument design, and </w:t>
      </w:r>
      <w:r>
        <w:rPr>
          <w:rFonts w:ascii="Arial" w:hAnsi="Arial" w:cs="Arial"/>
        </w:rPr>
        <w:t xml:space="preserve">data </w:t>
      </w:r>
      <w:r w:rsidRPr="00F40BA9">
        <w:rPr>
          <w:rFonts w:ascii="Arial" w:hAnsi="Arial" w:cs="Arial"/>
        </w:rPr>
        <w:t>analysis</w:t>
      </w:r>
      <w:r>
        <w:rPr>
          <w:rFonts w:ascii="Arial" w:hAnsi="Arial" w:cs="Arial"/>
        </w:rPr>
        <w:t xml:space="preserve">. </w:t>
      </w:r>
      <w:r w:rsidRPr="00F40BA9">
        <w:rPr>
          <w:rFonts w:ascii="Arial" w:hAnsi="Arial" w:cs="Arial"/>
        </w:rPr>
        <w:t xml:space="preserve">This will include federal program analyst at Grade 13 Step </w:t>
      </w:r>
      <w:r>
        <w:rPr>
          <w:rFonts w:ascii="Arial" w:hAnsi="Arial" w:cs="Arial"/>
        </w:rPr>
        <w:t>1</w:t>
      </w:r>
      <w:r w:rsidRPr="00F40BA9">
        <w:rPr>
          <w:rFonts w:ascii="Arial" w:hAnsi="Arial" w:cs="Arial"/>
        </w:rPr>
        <w:t xml:space="preserve"> ($</w:t>
      </w:r>
      <w:r>
        <w:rPr>
          <w:rFonts w:ascii="Arial" w:hAnsi="Arial" w:cs="Arial"/>
        </w:rPr>
        <w:t>56.52</w:t>
      </w:r>
      <w:r w:rsidRPr="00F40BA9">
        <w:rPr>
          <w:rFonts w:ascii="Arial" w:hAnsi="Arial" w:cs="Arial"/>
        </w:rPr>
        <w:t xml:space="preserve"> hourly rate</w:t>
      </w:r>
      <w:r>
        <w:rPr>
          <w:rFonts w:ascii="Arial" w:hAnsi="Arial" w:cs="Arial"/>
        </w:rPr>
        <w:t>, $</w:t>
      </w:r>
      <w:r w:rsidRPr="002E52A0">
        <w:rPr>
          <w:rFonts w:ascii="Arial" w:hAnsi="Arial" w:cs="Arial"/>
        </w:rPr>
        <w:t>84.7</w:t>
      </w:r>
      <w:r>
        <w:rPr>
          <w:rFonts w:ascii="Arial" w:hAnsi="Arial" w:cs="Arial"/>
        </w:rPr>
        <w:t>8 adjusted to account for overhead costs</w:t>
      </w:r>
      <w:r w:rsidRPr="00F40BA9">
        <w:rPr>
          <w:rFonts w:ascii="Arial" w:hAnsi="Arial" w:cs="Arial"/>
        </w:rPr>
        <w:t xml:space="preserve">) for </w:t>
      </w:r>
      <w:r w:rsidR="001A517F">
        <w:rPr>
          <w:rFonts w:ascii="Arial" w:hAnsi="Arial" w:cs="Arial"/>
        </w:rPr>
        <w:t>416</w:t>
      </w:r>
      <w:r w:rsidRPr="00F40BA9">
        <w:rPr>
          <w:rFonts w:ascii="Arial" w:hAnsi="Arial" w:cs="Arial"/>
        </w:rPr>
        <w:t xml:space="preserve"> hours.</w:t>
      </w:r>
      <w:r>
        <w:rPr>
          <w:rFonts w:ascii="Arial" w:hAnsi="Arial" w:cs="Arial"/>
        </w:rPr>
        <w:t xml:space="preserve"> In addition, the estimate </w:t>
      </w:r>
      <w:r w:rsidRPr="00F40BA9">
        <w:rPr>
          <w:rFonts w:ascii="Arial" w:hAnsi="Arial" w:cs="Arial"/>
        </w:rPr>
        <w:t>include</w:t>
      </w:r>
      <w:r>
        <w:rPr>
          <w:rFonts w:ascii="Arial" w:hAnsi="Arial" w:cs="Arial"/>
        </w:rPr>
        <w:t>s</w:t>
      </w:r>
      <w:r w:rsidRPr="00F40BA9">
        <w:rPr>
          <w:rFonts w:ascii="Arial" w:hAnsi="Arial" w:cs="Arial"/>
        </w:rPr>
        <w:t xml:space="preserve"> personnel costs for providing technical assistance to </w:t>
      </w:r>
      <w:r>
        <w:rPr>
          <w:rFonts w:ascii="Arial" w:hAnsi="Arial" w:cs="Arial"/>
        </w:rPr>
        <w:t>awardees</w:t>
      </w:r>
      <w:r w:rsidRPr="00F40BA9">
        <w:rPr>
          <w:rFonts w:ascii="Arial" w:hAnsi="Arial" w:cs="Arial"/>
        </w:rPr>
        <w:t xml:space="preserve"> and time for federal project officers to review and approval annual reports</w:t>
      </w:r>
      <w:r>
        <w:rPr>
          <w:rFonts w:ascii="Arial" w:hAnsi="Arial" w:cs="Arial"/>
        </w:rPr>
        <w:t xml:space="preserve">. </w:t>
      </w:r>
      <w:r w:rsidRPr="00F40BA9">
        <w:rPr>
          <w:rFonts w:ascii="Arial" w:hAnsi="Arial" w:cs="Arial"/>
        </w:rPr>
        <w:t xml:space="preserve">These tasks will be completed by 10 federal project </w:t>
      </w:r>
      <w:r>
        <w:rPr>
          <w:rFonts w:ascii="Arial" w:hAnsi="Arial" w:cs="Arial"/>
        </w:rPr>
        <w:t>officers at Grade 13 Step 5 ($64.06</w:t>
      </w:r>
      <w:r w:rsidRPr="00F40BA9">
        <w:rPr>
          <w:rFonts w:ascii="Arial" w:hAnsi="Arial" w:cs="Arial"/>
        </w:rPr>
        <w:t xml:space="preserve"> hourly rate</w:t>
      </w:r>
      <w:r>
        <w:rPr>
          <w:rFonts w:ascii="Arial" w:hAnsi="Arial" w:cs="Arial"/>
        </w:rPr>
        <w:t>, $</w:t>
      </w:r>
      <w:r w:rsidRPr="009C437D">
        <w:rPr>
          <w:rFonts w:ascii="Arial" w:hAnsi="Arial" w:cs="Arial"/>
        </w:rPr>
        <w:t>96.09</w:t>
      </w:r>
      <w:r>
        <w:rPr>
          <w:rFonts w:ascii="Arial" w:hAnsi="Arial" w:cs="Arial"/>
        </w:rPr>
        <w:t xml:space="preserve"> adjusted to account for overhead costs</w:t>
      </w:r>
      <w:r w:rsidRPr="00F40BA9">
        <w:rPr>
          <w:rFonts w:ascii="Arial" w:hAnsi="Arial" w:cs="Arial"/>
        </w:rPr>
        <w:t xml:space="preserve">) for </w:t>
      </w:r>
      <w:r w:rsidR="001A517F">
        <w:rPr>
          <w:rFonts w:ascii="Arial" w:hAnsi="Arial" w:cs="Arial"/>
        </w:rPr>
        <w:t>104</w:t>
      </w:r>
      <w:r w:rsidRPr="00F40BA9">
        <w:rPr>
          <w:rFonts w:ascii="Arial" w:hAnsi="Arial" w:cs="Arial"/>
        </w:rPr>
        <w:t xml:space="preserve"> hours each</w:t>
      </w:r>
      <w:r>
        <w:rPr>
          <w:rFonts w:ascii="Arial" w:hAnsi="Arial" w:cs="Arial"/>
        </w:rPr>
        <w:t xml:space="preserve"> (</w:t>
      </w:r>
      <w:r w:rsidR="001A517F">
        <w:rPr>
          <w:rFonts w:ascii="Arial" w:hAnsi="Arial" w:cs="Arial"/>
        </w:rPr>
        <w:t>5</w:t>
      </w:r>
      <w:r>
        <w:rPr>
          <w:rFonts w:ascii="Arial" w:hAnsi="Arial" w:cs="Arial"/>
        </w:rPr>
        <w:t>%). The adjusted wage is the hourly wage multiplied by 1.5</w:t>
      </w:r>
      <w:r w:rsidRPr="001677EB">
        <w:rPr>
          <w:rFonts w:ascii="Arial" w:hAnsi="Arial" w:cs="Arial"/>
        </w:rPr>
        <w:t xml:space="preserve"> account for overhead costs.</w:t>
      </w:r>
    </w:p>
    <w:p w:rsidR="00EB67DF" w:rsidRPr="00BA6E1E" w:rsidP="00BA6E1E" w14:paraId="6F40A731" w14:textId="5C325E24">
      <w:pPr>
        <w:spacing w:before="240"/>
        <w:rPr>
          <w:rFonts w:ascii="Arial" w:hAnsi="Arial" w:cs="Arial"/>
          <w:b/>
          <w:sz w:val="32"/>
          <w:szCs w:val="32"/>
        </w:rPr>
      </w:pPr>
      <w:r w:rsidRPr="006678CC">
        <w:rPr>
          <w:rFonts w:ascii="Arial" w:hAnsi="Arial" w:cs="Arial"/>
          <w:sz w:val="24"/>
          <w:szCs w:val="32"/>
        </w:rPr>
        <w:t>The total annual cost to the Federal Government for this requirement is estimated at $</w:t>
      </w:r>
      <w:r w:rsidR="00BA6E1E">
        <w:rPr>
          <w:rFonts w:ascii="Arial" w:hAnsi="Arial" w:cs="Arial"/>
          <w:sz w:val="24"/>
          <w:szCs w:val="32"/>
        </w:rPr>
        <w:t>235,202</w:t>
      </w:r>
      <w:r w:rsidR="00FA6997">
        <w:rPr>
          <w:rFonts w:ascii="Arial" w:hAnsi="Arial" w:cs="Arial"/>
          <w:sz w:val="24"/>
          <w:szCs w:val="32"/>
        </w:rPr>
        <w:t xml:space="preserve">. </w:t>
      </w:r>
    </w:p>
    <w:p w:rsidR="009B3794" w:rsidRPr="00C45431" w:rsidP="00AC2B1A" w14:paraId="22E2A398"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Explanation for Program Changes or Adjustments</w:t>
      </w:r>
    </w:p>
    <w:p w:rsidR="005A66B1" w:rsidRPr="00C45431" w:rsidP="00844C91" w14:paraId="6CEA8F74" w14:textId="70FA28B4">
      <w:pPr>
        <w:pStyle w:val="BodyTextIndent"/>
        <w:spacing w:before="120"/>
        <w:ind w:left="0"/>
        <w:rPr>
          <w:rFonts w:ascii="Arial" w:hAnsi="Arial" w:cs="Arial"/>
          <w:b/>
        </w:rPr>
      </w:pPr>
      <w:r w:rsidRPr="00C45431">
        <w:rPr>
          <w:rFonts w:ascii="Arial" w:hAnsi="Arial" w:cs="Arial"/>
        </w:rPr>
        <w:t xml:space="preserve">This is a </w:t>
      </w:r>
      <w:r>
        <w:rPr>
          <w:rFonts w:ascii="Arial" w:hAnsi="Arial" w:cs="Arial"/>
        </w:rPr>
        <w:t>revised</w:t>
      </w:r>
      <w:r w:rsidRPr="00C45431">
        <w:rPr>
          <w:rFonts w:ascii="Arial" w:hAnsi="Arial" w:cs="Arial"/>
        </w:rPr>
        <w:t xml:space="preserve"> information collection</w:t>
      </w:r>
      <w:r>
        <w:rPr>
          <w:rFonts w:ascii="Arial" w:hAnsi="Arial" w:cs="Arial"/>
        </w:rPr>
        <w:t xml:space="preserve"> request. Explanations for revisions are provided in Section 2</w:t>
      </w:r>
      <w:r w:rsidRPr="00C45431">
        <w:rPr>
          <w:rFonts w:ascii="Arial" w:hAnsi="Arial" w:cs="Arial"/>
        </w:rPr>
        <w:t>.</w:t>
      </w:r>
      <w:r w:rsidR="00BA6E1E">
        <w:rPr>
          <w:rFonts w:ascii="Arial" w:hAnsi="Arial" w:cs="Arial"/>
        </w:rPr>
        <w:t xml:space="preserve"> Average burden hours were reduced by 3 hours per response per respondents to reflect the requested revisions.</w:t>
      </w:r>
    </w:p>
    <w:p w:rsidR="009B3794" w:rsidRPr="00C45431" w:rsidP="00AC2B1A" w14:paraId="22E2A3A0"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Plans for Tabulation</w:t>
      </w:r>
      <w:r w:rsidRPr="165E32E8" w:rsidR="002118B4">
        <w:rPr>
          <w:rFonts w:ascii="Arial" w:hAnsi="Arial" w:cs="Arial"/>
          <w:b/>
          <w:bCs/>
          <w:sz w:val="24"/>
          <w:u w:val="single"/>
        </w:rPr>
        <w:t xml:space="preserve">, </w:t>
      </w:r>
      <w:r w:rsidRPr="165E32E8">
        <w:rPr>
          <w:rFonts w:ascii="Arial" w:hAnsi="Arial" w:cs="Arial"/>
          <w:b/>
          <w:bCs/>
          <w:sz w:val="24"/>
          <w:u w:val="single"/>
        </w:rPr>
        <w:t>Publication</w:t>
      </w:r>
      <w:r w:rsidRPr="165E32E8" w:rsidR="002118B4">
        <w:rPr>
          <w:rFonts w:ascii="Arial" w:hAnsi="Arial" w:cs="Arial"/>
          <w:b/>
          <w:bCs/>
          <w:sz w:val="24"/>
          <w:u w:val="single"/>
        </w:rPr>
        <w:t>,</w:t>
      </w:r>
      <w:r w:rsidRPr="165E32E8">
        <w:rPr>
          <w:rFonts w:ascii="Arial" w:hAnsi="Arial" w:cs="Arial"/>
          <w:b/>
          <w:bCs/>
          <w:sz w:val="24"/>
          <w:u w:val="single"/>
        </w:rPr>
        <w:t xml:space="preserve"> and Project Time Schedule</w:t>
      </w:r>
    </w:p>
    <w:p w:rsidR="002834F9" w:rsidRPr="002834F9" w:rsidP="002834F9" w14:paraId="663DC2BE" w14:textId="4A8FDBD2">
      <w:pPr>
        <w:spacing w:before="120"/>
        <w:rPr>
          <w:rFonts w:ascii="Arial" w:hAnsi="Arial" w:cs="Arial"/>
          <w:sz w:val="24"/>
        </w:rPr>
      </w:pPr>
      <w:r w:rsidRPr="002834F9">
        <w:rPr>
          <w:rFonts w:ascii="Arial" w:hAnsi="Arial" w:cs="Arial"/>
          <w:sz w:val="24"/>
        </w:rPr>
        <w:t xml:space="preserve">Aggregation and descriptive statistics on </w:t>
      </w:r>
      <w:r w:rsidR="00FA710C">
        <w:rPr>
          <w:rFonts w:ascii="Arial" w:hAnsi="Arial" w:cs="Arial"/>
          <w:sz w:val="24"/>
        </w:rPr>
        <w:t>quarterly</w:t>
      </w:r>
      <w:r w:rsidRPr="002834F9">
        <w:rPr>
          <w:rFonts w:ascii="Arial" w:hAnsi="Arial" w:cs="Arial"/>
          <w:sz w:val="24"/>
        </w:rPr>
        <w:t xml:space="preserve"> data are conducted in order to summarize the performance of awardees, as well as the MIECHV Program as a whole</w:t>
      </w:r>
      <w:r w:rsidR="00FA6997">
        <w:rPr>
          <w:rFonts w:ascii="Arial" w:hAnsi="Arial" w:cs="Arial"/>
          <w:sz w:val="24"/>
        </w:rPr>
        <w:t xml:space="preserve">. </w:t>
      </w:r>
      <w:r w:rsidR="00091527">
        <w:rPr>
          <w:rFonts w:ascii="Arial" w:hAnsi="Arial" w:cs="Arial"/>
          <w:sz w:val="24"/>
        </w:rPr>
        <w:t xml:space="preserve">Most of the data </w:t>
      </w:r>
      <w:r w:rsidR="00D94211">
        <w:rPr>
          <w:rFonts w:ascii="Arial" w:hAnsi="Arial" w:cs="Arial"/>
          <w:sz w:val="24"/>
        </w:rPr>
        <w:t>will be</w:t>
      </w:r>
      <w:r w:rsidR="00091527">
        <w:rPr>
          <w:rFonts w:ascii="Arial" w:hAnsi="Arial" w:cs="Arial"/>
          <w:sz w:val="24"/>
        </w:rPr>
        <w:t xml:space="preserve"> used for internal review and to inform federal project officers in their awardee monitoring. Data from table A.2, </w:t>
      </w:r>
      <w:r w:rsidR="00C74DCF">
        <w:rPr>
          <w:rFonts w:ascii="Arial" w:hAnsi="Arial" w:cs="Arial"/>
          <w:sz w:val="24"/>
        </w:rPr>
        <w:t>specifically</w:t>
      </w:r>
      <w:r w:rsidR="00091527">
        <w:rPr>
          <w:rFonts w:ascii="Arial" w:hAnsi="Arial" w:cs="Arial"/>
          <w:sz w:val="24"/>
        </w:rPr>
        <w:t xml:space="preserve"> counties served by local implementing agencies, </w:t>
      </w:r>
      <w:r w:rsidR="00D94211">
        <w:rPr>
          <w:rFonts w:ascii="Arial" w:hAnsi="Arial" w:cs="Arial"/>
          <w:sz w:val="24"/>
        </w:rPr>
        <w:t>will be</w:t>
      </w:r>
      <w:r w:rsidR="00091527">
        <w:rPr>
          <w:rFonts w:ascii="Arial" w:hAnsi="Arial" w:cs="Arial"/>
          <w:sz w:val="24"/>
        </w:rPr>
        <w:t xml:space="preserve"> used to describe the reach of the MIECHV Program services and made public, in both descriptive summary and as maps, in various products including </w:t>
      </w:r>
      <w:r w:rsidRPr="002834F9">
        <w:rPr>
          <w:rFonts w:ascii="Arial" w:hAnsi="Arial" w:cs="Arial"/>
          <w:sz w:val="24"/>
        </w:rPr>
        <w:t>data briefs,</w:t>
      </w:r>
      <w:r w:rsidR="00091527">
        <w:rPr>
          <w:rFonts w:ascii="Arial" w:hAnsi="Arial" w:cs="Arial"/>
          <w:sz w:val="24"/>
        </w:rPr>
        <w:t xml:space="preserve"> annual program</w:t>
      </w:r>
      <w:r w:rsidRPr="002834F9">
        <w:rPr>
          <w:rFonts w:ascii="Arial" w:hAnsi="Arial" w:cs="Arial"/>
          <w:sz w:val="24"/>
        </w:rPr>
        <w:t xml:space="preserve"> fact sheets, </w:t>
      </w:r>
      <w:r w:rsidR="00091527">
        <w:rPr>
          <w:rFonts w:ascii="Arial" w:hAnsi="Arial" w:cs="Arial"/>
          <w:sz w:val="24"/>
        </w:rPr>
        <w:t xml:space="preserve">and </w:t>
      </w:r>
      <w:r w:rsidR="00B41576">
        <w:rPr>
          <w:rFonts w:ascii="Arial" w:hAnsi="Arial" w:cs="Arial"/>
          <w:sz w:val="24"/>
        </w:rPr>
        <w:t>a planned outcomes dashboard</w:t>
      </w:r>
      <w:r w:rsidR="00C74DCF">
        <w:rPr>
          <w:rFonts w:ascii="Arial" w:hAnsi="Arial" w:cs="Arial"/>
          <w:sz w:val="24"/>
        </w:rPr>
        <w:t xml:space="preserve"> on HRSA website. The county data </w:t>
      </w:r>
      <w:r w:rsidR="00D94211">
        <w:rPr>
          <w:rFonts w:ascii="Arial" w:hAnsi="Arial" w:cs="Arial"/>
          <w:sz w:val="24"/>
        </w:rPr>
        <w:t>will</w:t>
      </w:r>
      <w:r w:rsidR="00C74DCF">
        <w:rPr>
          <w:rFonts w:ascii="Arial" w:hAnsi="Arial" w:cs="Arial"/>
          <w:sz w:val="24"/>
        </w:rPr>
        <w:t xml:space="preserve"> also </w:t>
      </w:r>
      <w:r w:rsidR="00D94211">
        <w:rPr>
          <w:rFonts w:ascii="Arial" w:hAnsi="Arial" w:cs="Arial"/>
          <w:sz w:val="24"/>
        </w:rPr>
        <w:t xml:space="preserve">be </w:t>
      </w:r>
      <w:r w:rsidR="00C74DCF">
        <w:rPr>
          <w:rFonts w:ascii="Arial" w:hAnsi="Arial" w:cs="Arial"/>
          <w:sz w:val="24"/>
        </w:rPr>
        <w:t>available in machine readable format through the Maternal and Infant Health Mapping Tool</w:t>
      </w:r>
      <w:r w:rsidRPr="002834F9">
        <w:rPr>
          <w:rFonts w:ascii="Arial" w:hAnsi="Arial" w:cs="Arial"/>
          <w:sz w:val="24"/>
        </w:rPr>
        <w:t>.</w:t>
      </w:r>
    </w:p>
    <w:p w:rsidR="002834F9" w:rsidRPr="002834F9" w:rsidP="002834F9" w14:paraId="3AA5C935" w14:textId="77777777">
      <w:pPr>
        <w:spacing w:before="120"/>
        <w:ind w:left="720"/>
        <w:rPr>
          <w:rFonts w:ascii="Arial" w:hAnsi="Arial" w:cs="Arial"/>
          <w:sz w:val="24"/>
        </w:rPr>
      </w:pPr>
      <w:r w:rsidRPr="002834F9">
        <w:rPr>
          <w:rFonts w:ascii="Arial" w:hAnsi="Arial" w:cs="Arial"/>
          <w:sz w:val="24"/>
        </w:rPr>
        <w:t>Project Timeline</w:t>
      </w:r>
    </w:p>
    <w:tbl>
      <w:tblPr>
        <w:tblStyle w:val="TableGrid"/>
        <w:tblW w:w="0" w:type="auto"/>
        <w:tblInd w:w="360" w:type="dxa"/>
        <w:tblLook w:val="04A0"/>
      </w:tblPr>
      <w:tblGrid>
        <w:gridCol w:w="4498"/>
        <w:gridCol w:w="4492"/>
      </w:tblGrid>
      <w:tr w14:paraId="7C726A0B" w14:textId="77777777" w:rsidTr="002C35ED">
        <w:tblPrEx>
          <w:tblW w:w="0" w:type="auto"/>
          <w:tblInd w:w="360" w:type="dxa"/>
          <w:tblLook w:val="04A0"/>
        </w:tblPrEx>
        <w:tc>
          <w:tcPr>
            <w:tcW w:w="4498" w:type="dxa"/>
          </w:tcPr>
          <w:p w:rsidR="002834F9" w:rsidRPr="00D82F0E" w:rsidP="00BD2A6D" w14:paraId="0524CFDF" w14:textId="77777777">
            <w:pPr>
              <w:spacing w:before="120"/>
              <w:rPr>
                <w:rFonts w:ascii="Arial" w:hAnsi="Arial" w:cs="Arial"/>
                <w:b/>
                <w:sz w:val="24"/>
              </w:rPr>
            </w:pPr>
            <w:r w:rsidRPr="00D82F0E">
              <w:rPr>
                <w:rFonts w:ascii="Arial" w:hAnsi="Arial" w:cs="Arial"/>
                <w:b/>
                <w:sz w:val="24"/>
              </w:rPr>
              <w:t>Activity</w:t>
            </w:r>
          </w:p>
        </w:tc>
        <w:tc>
          <w:tcPr>
            <w:tcW w:w="4492" w:type="dxa"/>
          </w:tcPr>
          <w:p w:rsidR="002834F9" w:rsidRPr="00D82F0E" w:rsidP="00BD2A6D" w14:paraId="70475AC7" w14:textId="77777777">
            <w:pPr>
              <w:spacing w:before="120"/>
              <w:rPr>
                <w:rFonts w:ascii="Arial" w:hAnsi="Arial" w:cs="Arial"/>
                <w:b/>
                <w:sz w:val="24"/>
              </w:rPr>
            </w:pPr>
            <w:r w:rsidRPr="00D82F0E">
              <w:rPr>
                <w:rFonts w:ascii="Arial" w:hAnsi="Arial" w:cs="Arial"/>
                <w:b/>
                <w:sz w:val="24"/>
              </w:rPr>
              <w:t>Time Schedule</w:t>
            </w:r>
          </w:p>
        </w:tc>
      </w:tr>
      <w:tr w14:paraId="34EF2628" w14:textId="77777777" w:rsidTr="002C35ED">
        <w:tblPrEx>
          <w:tblW w:w="0" w:type="auto"/>
          <w:tblInd w:w="360" w:type="dxa"/>
          <w:tblLook w:val="04A0"/>
        </w:tblPrEx>
        <w:tc>
          <w:tcPr>
            <w:tcW w:w="4498" w:type="dxa"/>
          </w:tcPr>
          <w:p w:rsidR="002834F9" w:rsidP="00BD2A6D" w14:paraId="4C5B1B9C" w14:textId="77777777">
            <w:pPr>
              <w:spacing w:before="120"/>
              <w:rPr>
                <w:rFonts w:ascii="Arial" w:hAnsi="Arial" w:cs="Arial"/>
                <w:sz w:val="24"/>
              </w:rPr>
            </w:pPr>
            <w:r>
              <w:rPr>
                <w:rFonts w:ascii="Arial" w:hAnsi="Arial" w:cs="Arial"/>
                <w:sz w:val="24"/>
              </w:rPr>
              <w:t>Distribute revised data collection forms and instructions to MIECHV Program awardees</w:t>
            </w:r>
          </w:p>
        </w:tc>
        <w:tc>
          <w:tcPr>
            <w:tcW w:w="4492" w:type="dxa"/>
          </w:tcPr>
          <w:p w:rsidR="002834F9" w:rsidP="00BD2A6D" w14:paraId="5E3F1400" w14:textId="77777777">
            <w:pPr>
              <w:spacing w:before="120"/>
              <w:rPr>
                <w:rFonts w:ascii="Arial" w:hAnsi="Arial" w:cs="Arial"/>
                <w:sz w:val="24"/>
              </w:rPr>
            </w:pPr>
            <w:r>
              <w:rPr>
                <w:rFonts w:ascii="Arial" w:hAnsi="Arial" w:cs="Arial"/>
                <w:sz w:val="24"/>
              </w:rPr>
              <w:t>Immediately following OMB approval</w:t>
            </w:r>
          </w:p>
        </w:tc>
      </w:tr>
      <w:tr w14:paraId="435A0776" w14:textId="77777777" w:rsidTr="002C35ED">
        <w:tblPrEx>
          <w:tblW w:w="0" w:type="auto"/>
          <w:tblInd w:w="360" w:type="dxa"/>
          <w:tblLook w:val="04A0"/>
        </w:tblPrEx>
        <w:tc>
          <w:tcPr>
            <w:tcW w:w="4498" w:type="dxa"/>
          </w:tcPr>
          <w:p w:rsidR="00C74DCF" w:rsidP="00C74DCF" w14:paraId="3AFF6CF3" w14:textId="5CD618BB">
            <w:pPr>
              <w:spacing w:before="120"/>
              <w:rPr>
                <w:rFonts w:ascii="Arial" w:hAnsi="Arial" w:cs="Arial"/>
                <w:sz w:val="24"/>
              </w:rPr>
            </w:pPr>
            <w:r>
              <w:rPr>
                <w:rFonts w:ascii="Arial" w:hAnsi="Arial" w:cs="Arial"/>
                <w:sz w:val="24"/>
              </w:rPr>
              <w:t xml:space="preserve">Quarterly report due (Oct - Dec) </w:t>
            </w:r>
          </w:p>
        </w:tc>
        <w:tc>
          <w:tcPr>
            <w:tcW w:w="4492" w:type="dxa"/>
          </w:tcPr>
          <w:p w:rsidR="00C74DCF" w:rsidP="00C74DCF" w14:paraId="740372DA" w14:textId="1C7FB55F">
            <w:pPr>
              <w:spacing w:before="120"/>
              <w:rPr>
                <w:rFonts w:ascii="Arial" w:hAnsi="Arial" w:cs="Arial"/>
                <w:sz w:val="24"/>
              </w:rPr>
            </w:pPr>
            <w:r>
              <w:rPr>
                <w:rFonts w:ascii="Arial" w:hAnsi="Arial" w:cs="Arial"/>
                <w:sz w:val="24"/>
              </w:rPr>
              <w:t>February 15</w:t>
            </w:r>
          </w:p>
        </w:tc>
      </w:tr>
      <w:tr w14:paraId="522A8681" w14:textId="77777777" w:rsidTr="002C35ED">
        <w:tblPrEx>
          <w:tblW w:w="0" w:type="auto"/>
          <w:tblInd w:w="360" w:type="dxa"/>
          <w:tblLook w:val="04A0"/>
        </w:tblPrEx>
        <w:tc>
          <w:tcPr>
            <w:tcW w:w="4498" w:type="dxa"/>
          </w:tcPr>
          <w:p w:rsidR="00C74DCF" w:rsidP="00C74DCF" w14:paraId="0BF14F2E" w14:textId="6A5DC584">
            <w:pPr>
              <w:spacing w:before="120"/>
              <w:rPr>
                <w:rFonts w:ascii="Arial" w:hAnsi="Arial" w:cs="Arial"/>
                <w:sz w:val="24"/>
              </w:rPr>
            </w:pPr>
            <w:r>
              <w:rPr>
                <w:rFonts w:ascii="Arial" w:hAnsi="Arial" w:cs="Arial"/>
                <w:sz w:val="24"/>
              </w:rPr>
              <w:t xml:space="preserve">Quarterly report due (Jan - March) </w:t>
            </w:r>
          </w:p>
        </w:tc>
        <w:tc>
          <w:tcPr>
            <w:tcW w:w="4492" w:type="dxa"/>
          </w:tcPr>
          <w:p w:rsidR="00C74DCF" w:rsidP="00C74DCF" w14:paraId="437748A4" w14:textId="2A6F4826">
            <w:pPr>
              <w:spacing w:before="120"/>
              <w:rPr>
                <w:rFonts w:ascii="Arial" w:hAnsi="Arial" w:cs="Arial"/>
                <w:sz w:val="24"/>
              </w:rPr>
            </w:pPr>
            <w:r>
              <w:rPr>
                <w:rFonts w:ascii="Arial" w:hAnsi="Arial" w:cs="Arial"/>
                <w:sz w:val="24"/>
              </w:rPr>
              <w:t>May 15</w:t>
            </w:r>
          </w:p>
        </w:tc>
      </w:tr>
      <w:tr w14:paraId="48748F4E" w14:textId="77777777" w:rsidTr="002C35ED">
        <w:tblPrEx>
          <w:tblW w:w="0" w:type="auto"/>
          <w:tblInd w:w="360" w:type="dxa"/>
          <w:tblLook w:val="04A0"/>
        </w:tblPrEx>
        <w:tc>
          <w:tcPr>
            <w:tcW w:w="4498" w:type="dxa"/>
          </w:tcPr>
          <w:p w:rsidR="00C74DCF" w:rsidP="00C74DCF" w14:paraId="5597A46C" w14:textId="74FA7E87">
            <w:pPr>
              <w:spacing w:before="120"/>
              <w:rPr>
                <w:rFonts w:ascii="Arial" w:hAnsi="Arial" w:cs="Arial"/>
                <w:sz w:val="24"/>
              </w:rPr>
            </w:pPr>
            <w:r>
              <w:rPr>
                <w:rFonts w:ascii="Arial" w:hAnsi="Arial" w:cs="Arial"/>
                <w:sz w:val="24"/>
              </w:rPr>
              <w:t xml:space="preserve">Quarterly report due (April – June) </w:t>
            </w:r>
          </w:p>
        </w:tc>
        <w:tc>
          <w:tcPr>
            <w:tcW w:w="4492" w:type="dxa"/>
          </w:tcPr>
          <w:p w:rsidR="00C74DCF" w:rsidP="00C74DCF" w14:paraId="358B9F8C" w14:textId="10FBA3D1">
            <w:pPr>
              <w:spacing w:before="120"/>
              <w:rPr>
                <w:rFonts w:ascii="Arial" w:hAnsi="Arial" w:cs="Arial"/>
                <w:sz w:val="24"/>
              </w:rPr>
            </w:pPr>
            <w:r>
              <w:rPr>
                <w:rFonts w:ascii="Arial" w:hAnsi="Arial" w:cs="Arial"/>
                <w:sz w:val="24"/>
              </w:rPr>
              <w:t>August 15</w:t>
            </w:r>
          </w:p>
        </w:tc>
      </w:tr>
      <w:tr w14:paraId="521DF363" w14:textId="77777777" w:rsidTr="002C35ED">
        <w:tblPrEx>
          <w:tblW w:w="0" w:type="auto"/>
          <w:tblInd w:w="360" w:type="dxa"/>
          <w:tblLook w:val="04A0"/>
        </w:tblPrEx>
        <w:tc>
          <w:tcPr>
            <w:tcW w:w="4498" w:type="dxa"/>
          </w:tcPr>
          <w:p w:rsidR="00C74DCF" w:rsidP="00C74DCF" w14:paraId="3AAA8E2F" w14:textId="6E168006">
            <w:pPr>
              <w:spacing w:before="120"/>
              <w:rPr>
                <w:rFonts w:ascii="Arial" w:hAnsi="Arial" w:cs="Arial"/>
                <w:sz w:val="24"/>
              </w:rPr>
            </w:pPr>
            <w:r>
              <w:rPr>
                <w:rFonts w:ascii="Arial" w:hAnsi="Arial" w:cs="Arial"/>
                <w:sz w:val="24"/>
              </w:rPr>
              <w:t xml:space="preserve">Quarterly report due (July - Sept) </w:t>
            </w:r>
          </w:p>
        </w:tc>
        <w:tc>
          <w:tcPr>
            <w:tcW w:w="4492" w:type="dxa"/>
          </w:tcPr>
          <w:p w:rsidR="00C74DCF" w:rsidP="00C74DCF" w14:paraId="3C1D7BAA" w14:textId="4756CBF4">
            <w:pPr>
              <w:spacing w:before="120"/>
              <w:rPr>
                <w:rFonts w:ascii="Arial" w:hAnsi="Arial" w:cs="Arial"/>
                <w:sz w:val="24"/>
              </w:rPr>
            </w:pPr>
            <w:r>
              <w:rPr>
                <w:rFonts w:ascii="Arial" w:hAnsi="Arial" w:cs="Arial"/>
                <w:sz w:val="24"/>
              </w:rPr>
              <w:t>November 15</w:t>
            </w:r>
          </w:p>
        </w:tc>
      </w:tr>
      <w:tr w14:paraId="1562376E" w14:textId="77777777" w:rsidTr="002C35ED">
        <w:tblPrEx>
          <w:tblW w:w="0" w:type="auto"/>
          <w:tblInd w:w="360" w:type="dxa"/>
          <w:tblLook w:val="04A0"/>
        </w:tblPrEx>
        <w:tc>
          <w:tcPr>
            <w:tcW w:w="4498" w:type="dxa"/>
          </w:tcPr>
          <w:p w:rsidR="00C74DCF" w:rsidP="00C74DCF" w14:paraId="620EF381" w14:textId="539BA7AD">
            <w:pPr>
              <w:spacing w:before="120"/>
              <w:rPr>
                <w:rFonts w:ascii="Arial" w:hAnsi="Arial" w:cs="Arial"/>
                <w:sz w:val="24"/>
              </w:rPr>
            </w:pPr>
            <w:r>
              <w:rPr>
                <w:rFonts w:ascii="Arial" w:hAnsi="Arial" w:cs="Arial"/>
                <w:sz w:val="24"/>
              </w:rPr>
              <w:t>Publication of program data brief and data refresh on the program data dashboard on HRSA website</w:t>
            </w:r>
          </w:p>
        </w:tc>
        <w:tc>
          <w:tcPr>
            <w:tcW w:w="4492" w:type="dxa"/>
          </w:tcPr>
          <w:p w:rsidR="00C74DCF" w:rsidP="00C74DCF" w14:paraId="72A09432" w14:textId="157C8938">
            <w:pPr>
              <w:spacing w:before="120"/>
              <w:rPr>
                <w:rFonts w:ascii="Arial" w:hAnsi="Arial" w:cs="Arial"/>
                <w:sz w:val="24"/>
              </w:rPr>
            </w:pPr>
            <w:r>
              <w:rPr>
                <w:rFonts w:ascii="Arial" w:hAnsi="Arial" w:cs="Arial"/>
                <w:sz w:val="24"/>
              </w:rPr>
              <w:t>Spring of the following calendar year</w:t>
            </w:r>
          </w:p>
        </w:tc>
      </w:tr>
      <w:tr w14:paraId="20F68A84" w14:textId="77777777" w:rsidTr="002C35ED">
        <w:tblPrEx>
          <w:tblW w:w="0" w:type="auto"/>
          <w:tblInd w:w="360" w:type="dxa"/>
          <w:tblLook w:val="04A0"/>
        </w:tblPrEx>
        <w:tc>
          <w:tcPr>
            <w:tcW w:w="8990" w:type="dxa"/>
            <w:gridSpan w:val="2"/>
          </w:tcPr>
          <w:p w:rsidR="00C74DCF" w:rsidP="00C74DCF" w14:paraId="73F534C6" w14:textId="5C492F41">
            <w:pPr>
              <w:spacing w:before="120"/>
              <w:rPr>
                <w:rFonts w:ascii="Arial" w:hAnsi="Arial" w:cs="Arial"/>
                <w:sz w:val="24"/>
              </w:rPr>
            </w:pPr>
            <w:r>
              <w:rPr>
                <w:rFonts w:ascii="Arial" w:hAnsi="Arial" w:cs="Arial"/>
                <w:sz w:val="24"/>
              </w:rPr>
              <w:t xml:space="preserve">Quarterly reporting will continue on a quarterly schedule through the OMB </w:t>
            </w:r>
            <w:r>
              <w:rPr>
                <w:rFonts w:ascii="Arial" w:hAnsi="Arial" w:cs="Arial"/>
                <w:sz w:val="24"/>
              </w:rPr>
              <w:t xml:space="preserve">approved clearance timeframe. </w:t>
            </w:r>
          </w:p>
        </w:tc>
      </w:tr>
    </w:tbl>
    <w:p w:rsidR="009B3794" w:rsidRPr="00C45431" w:rsidP="00AC2B1A" w14:paraId="22E2A3A3"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Reason(s) Display of OMB Expiration Date is Inappropriate</w:t>
      </w:r>
    </w:p>
    <w:p w:rsidR="003E3793" w:rsidRPr="009B3E2C" w:rsidP="003E3793" w14:paraId="6EDDD56A" w14:textId="77777777">
      <w:pPr>
        <w:pStyle w:val="BodyTextIndent"/>
        <w:spacing w:before="120"/>
        <w:ind w:left="0"/>
        <w:rPr>
          <w:rFonts w:ascii="Arial" w:hAnsi="Arial" w:cs="Arial"/>
        </w:rPr>
      </w:pPr>
      <w:r>
        <w:rPr>
          <w:rFonts w:ascii="Arial" w:hAnsi="Arial" w:cs="Arial"/>
        </w:rPr>
        <w:t>The OMB number and e</w:t>
      </w:r>
      <w:r w:rsidRPr="009B3E2C">
        <w:rPr>
          <w:rFonts w:ascii="Arial" w:hAnsi="Arial" w:cs="Arial"/>
        </w:rPr>
        <w:t>xpiration date will be displayed on every page of every form/instrument.</w:t>
      </w:r>
    </w:p>
    <w:p w:rsidR="009B3794" w:rsidRPr="00C45431" w:rsidP="00AC2B1A" w14:paraId="22E2A3A5"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Exceptions to Certification for Paperwork Reduction Act Submissions</w:t>
      </w:r>
    </w:p>
    <w:p w:rsidR="002E5983" w:rsidRPr="00991936" w:rsidP="002E5983" w14:paraId="7B0DC312" w14:textId="77777777">
      <w:pPr>
        <w:pStyle w:val="BodyTextIndent"/>
        <w:spacing w:before="120"/>
        <w:ind w:left="0"/>
        <w:rPr>
          <w:rFonts w:ascii="Arial" w:hAnsi="Arial" w:cs="Arial"/>
        </w:rPr>
      </w:pPr>
      <w:r w:rsidRPr="00991936">
        <w:rPr>
          <w:rFonts w:ascii="Arial" w:hAnsi="Arial" w:cs="Arial"/>
        </w:rPr>
        <w:t>There are no exceptions to the certification.</w:t>
      </w:r>
    </w:p>
    <w:p w:rsidR="009B3794" w:rsidRPr="00C45431" w:rsidP="002E5983" w14:paraId="22E2A3A6" w14:textId="41BC9786">
      <w:pPr>
        <w:pStyle w:val="BodyTextIndent"/>
        <w:spacing w:before="120"/>
        <w:ind w:left="360"/>
        <w:rPr>
          <w:rFonts w:ascii="Arial" w:hAnsi="Arial" w:cs="Arial"/>
        </w:rPr>
      </w:pPr>
    </w:p>
    <w:sectPr w:rsidSect="001D485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86376"/>
    <w:multiLevelType w:val="hybridMultilevel"/>
    <w:tmpl w:val="F03246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98C79AE"/>
    <w:multiLevelType w:val="hybridMultilevel"/>
    <w:tmpl w:val="62445D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1B117EC3"/>
    <w:multiLevelType w:val="hybridMultilevel"/>
    <w:tmpl w:val="9B84A3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238F4BEB"/>
    <w:multiLevelType w:val="hybridMultilevel"/>
    <w:tmpl w:val="F9C80E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AF3169"/>
    <w:multiLevelType w:val="hybridMultilevel"/>
    <w:tmpl w:val="6BF898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0D25E6"/>
    <w:multiLevelType w:val="hybridMultilevel"/>
    <w:tmpl w:val="535C5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163845"/>
    <w:multiLevelType w:val="hybridMultilevel"/>
    <w:tmpl w:val="7D3244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877467"/>
    <w:multiLevelType w:val="hybridMultilevel"/>
    <w:tmpl w:val="40DA4D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4">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5">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677338413">
    <w:abstractNumId w:val="5"/>
  </w:num>
  <w:num w:numId="2" w16cid:durableId="1665935422">
    <w:abstractNumId w:val="12"/>
  </w:num>
  <w:num w:numId="3" w16cid:durableId="1324817599">
    <w:abstractNumId w:val="13"/>
  </w:num>
  <w:num w:numId="4" w16cid:durableId="1508250948">
    <w:abstractNumId w:val="4"/>
  </w:num>
  <w:num w:numId="5" w16cid:durableId="2022269543">
    <w:abstractNumId w:val="1"/>
  </w:num>
  <w:num w:numId="6" w16cid:durableId="1223835545">
    <w:abstractNumId w:val="21"/>
  </w:num>
  <w:num w:numId="7" w16cid:durableId="1826044622">
    <w:abstractNumId w:val="19"/>
  </w:num>
  <w:num w:numId="8" w16cid:durableId="396979534">
    <w:abstractNumId w:val="20"/>
  </w:num>
  <w:num w:numId="9" w16cid:durableId="1320308753">
    <w:abstractNumId w:val="25"/>
  </w:num>
  <w:num w:numId="10" w16cid:durableId="2110732317">
    <w:abstractNumId w:val="24"/>
  </w:num>
  <w:num w:numId="11" w16cid:durableId="1412773934">
    <w:abstractNumId w:val="2"/>
  </w:num>
  <w:num w:numId="12" w16cid:durableId="747653287">
    <w:abstractNumId w:val="10"/>
  </w:num>
  <w:num w:numId="13" w16cid:durableId="230966677">
    <w:abstractNumId w:val="23"/>
  </w:num>
  <w:num w:numId="14" w16cid:durableId="1472015523">
    <w:abstractNumId w:val="22"/>
  </w:num>
  <w:num w:numId="15" w16cid:durableId="755633080">
    <w:abstractNumId w:val="17"/>
  </w:num>
  <w:num w:numId="16" w16cid:durableId="331832655">
    <w:abstractNumId w:val="7"/>
  </w:num>
  <w:num w:numId="17" w16cid:durableId="1804272224">
    <w:abstractNumId w:val="18"/>
  </w:num>
  <w:num w:numId="18" w16cid:durableId="2093886759">
    <w:abstractNumId w:val="3"/>
  </w:num>
  <w:num w:numId="19" w16cid:durableId="1307128659">
    <w:abstractNumId w:val="11"/>
  </w:num>
  <w:num w:numId="20" w16cid:durableId="1861695552">
    <w:abstractNumId w:val="9"/>
  </w:num>
  <w:num w:numId="21" w16cid:durableId="1402487158">
    <w:abstractNumId w:val="0"/>
  </w:num>
  <w:num w:numId="22" w16cid:durableId="2108960296">
    <w:abstractNumId w:val="6"/>
  </w:num>
  <w:num w:numId="23" w16cid:durableId="1940327989">
    <w:abstractNumId w:val="15"/>
  </w:num>
  <w:num w:numId="24" w16cid:durableId="602032184">
    <w:abstractNumId w:val="14"/>
  </w:num>
  <w:num w:numId="25" w16cid:durableId="345717943">
    <w:abstractNumId w:val="8"/>
  </w:num>
  <w:num w:numId="26" w16cid:durableId="109585707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2AF6"/>
    <w:rsid w:val="00015505"/>
    <w:rsid w:val="0003614A"/>
    <w:rsid w:val="00045124"/>
    <w:rsid w:val="00084EB0"/>
    <w:rsid w:val="00091527"/>
    <w:rsid w:val="0009370E"/>
    <w:rsid w:val="00094321"/>
    <w:rsid w:val="00097D8F"/>
    <w:rsid w:val="000A3F41"/>
    <w:rsid w:val="000B0947"/>
    <w:rsid w:val="000B7EB6"/>
    <w:rsid w:val="000C2762"/>
    <w:rsid w:val="000D7585"/>
    <w:rsid w:val="000E34CA"/>
    <w:rsid w:val="000F4BD0"/>
    <w:rsid w:val="000F5854"/>
    <w:rsid w:val="000F6134"/>
    <w:rsid w:val="00104B06"/>
    <w:rsid w:val="00104F7F"/>
    <w:rsid w:val="0012230F"/>
    <w:rsid w:val="00127D53"/>
    <w:rsid w:val="001325B2"/>
    <w:rsid w:val="00141C73"/>
    <w:rsid w:val="00156494"/>
    <w:rsid w:val="001677EB"/>
    <w:rsid w:val="001920C3"/>
    <w:rsid w:val="00196A96"/>
    <w:rsid w:val="001A517F"/>
    <w:rsid w:val="001C7C3C"/>
    <w:rsid w:val="001D4856"/>
    <w:rsid w:val="001E0066"/>
    <w:rsid w:val="001F2465"/>
    <w:rsid w:val="002118B4"/>
    <w:rsid w:val="00216C54"/>
    <w:rsid w:val="00221E09"/>
    <w:rsid w:val="00227FDB"/>
    <w:rsid w:val="00244ABF"/>
    <w:rsid w:val="00260C1F"/>
    <w:rsid w:val="002640E7"/>
    <w:rsid w:val="00267163"/>
    <w:rsid w:val="00281924"/>
    <w:rsid w:val="002834F9"/>
    <w:rsid w:val="002A0492"/>
    <w:rsid w:val="002C35ED"/>
    <w:rsid w:val="002D01B8"/>
    <w:rsid w:val="002E1508"/>
    <w:rsid w:val="002E52A0"/>
    <w:rsid w:val="002E5983"/>
    <w:rsid w:val="003130C3"/>
    <w:rsid w:val="00317FF6"/>
    <w:rsid w:val="00322313"/>
    <w:rsid w:val="003529F9"/>
    <w:rsid w:val="00367117"/>
    <w:rsid w:val="0038717C"/>
    <w:rsid w:val="00390942"/>
    <w:rsid w:val="00391E16"/>
    <w:rsid w:val="003A1EE6"/>
    <w:rsid w:val="003B47E7"/>
    <w:rsid w:val="003D23B1"/>
    <w:rsid w:val="003E2D36"/>
    <w:rsid w:val="003E3793"/>
    <w:rsid w:val="00414E80"/>
    <w:rsid w:val="004454BB"/>
    <w:rsid w:val="0047031F"/>
    <w:rsid w:val="00472847"/>
    <w:rsid w:val="004746CA"/>
    <w:rsid w:val="00477C27"/>
    <w:rsid w:val="00484348"/>
    <w:rsid w:val="00484CF8"/>
    <w:rsid w:val="00486870"/>
    <w:rsid w:val="00490720"/>
    <w:rsid w:val="00495EED"/>
    <w:rsid w:val="004A2E12"/>
    <w:rsid w:val="004A7633"/>
    <w:rsid w:val="004E22BB"/>
    <w:rsid w:val="004E687D"/>
    <w:rsid w:val="005028F0"/>
    <w:rsid w:val="00503BAB"/>
    <w:rsid w:val="00544C1A"/>
    <w:rsid w:val="00547BA2"/>
    <w:rsid w:val="00562853"/>
    <w:rsid w:val="00571F0E"/>
    <w:rsid w:val="00576B08"/>
    <w:rsid w:val="0059735D"/>
    <w:rsid w:val="005A66B1"/>
    <w:rsid w:val="005C39C5"/>
    <w:rsid w:val="005D7625"/>
    <w:rsid w:val="005E1765"/>
    <w:rsid w:val="005F37C5"/>
    <w:rsid w:val="005F5F05"/>
    <w:rsid w:val="005F6187"/>
    <w:rsid w:val="00617CF3"/>
    <w:rsid w:val="00624019"/>
    <w:rsid w:val="00624A8C"/>
    <w:rsid w:val="006270C6"/>
    <w:rsid w:val="00627FFD"/>
    <w:rsid w:val="00640DDC"/>
    <w:rsid w:val="0064329E"/>
    <w:rsid w:val="0064684A"/>
    <w:rsid w:val="00656C44"/>
    <w:rsid w:val="00667370"/>
    <w:rsid w:val="006678CC"/>
    <w:rsid w:val="00680D76"/>
    <w:rsid w:val="006A0F7E"/>
    <w:rsid w:val="006B07F9"/>
    <w:rsid w:val="006E3A5B"/>
    <w:rsid w:val="006E5E6D"/>
    <w:rsid w:val="00707080"/>
    <w:rsid w:val="00710F56"/>
    <w:rsid w:val="00723161"/>
    <w:rsid w:val="0073114C"/>
    <w:rsid w:val="00734A32"/>
    <w:rsid w:val="007518EF"/>
    <w:rsid w:val="00760AF0"/>
    <w:rsid w:val="0076561B"/>
    <w:rsid w:val="007B067A"/>
    <w:rsid w:val="007C22E4"/>
    <w:rsid w:val="007E0725"/>
    <w:rsid w:val="007E1E57"/>
    <w:rsid w:val="007E5181"/>
    <w:rsid w:val="007F047A"/>
    <w:rsid w:val="008002AB"/>
    <w:rsid w:val="0080315D"/>
    <w:rsid w:val="00805D68"/>
    <w:rsid w:val="00823218"/>
    <w:rsid w:val="00827FEA"/>
    <w:rsid w:val="00844C91"/>
    <w:rsid w:val="00857562"/>
    <w:rsid w:val="00873439"/>
    <w:rsid w:val="0088553F"/>
    <w:rsid w:val="00885C72"/>
    <w:rsid w:val="008A76B6"/>
    <w:rsid w:val="008B04CA"/>
    <w:rsid w:val="008B4A56"/>
    <w:rsid w:val="008D2D67"/>
    <w:rsid w:val="008F55C2"/>
    <w:rsid w:val="008F6C97"/>
    <w:rsid w:val="00903A70"/>
    <w:rsid w:val="0091449C"/>
    <w:rsid w:val="00930258"/>
    <w:rsid w:val="00935E77"/>
    <w:rsid w:val="009376AE"/>
    <w:rsid w:val="00947FD7"/>
    <w:rsid w:val="00957B63"/>
    <w:rsid w:val="00972E8D"/>
    <w:rsid w:val="0098014E"/>
    <w:rsid w:val="0098144D"/>
    <w:rsid w:val="00982FAA"/>
    <w:rsid w:val="00986AE3"/>
    <w:rsid w:val="00991895"/>
    <w:rsid w:val="00991936"/>
    <w:rsid w:val="009B3794"/>
    <w:rsid w:val="009B38FA"/>
    <w:rsid w:val="009B3E2C"/>
    <w:rsid w:val="009B7E4D"/>
    <w:rsid w:val="009C437D"/>
    <w:rsid w:val="009D562F"/>
    <w:rsid w:val="00A01F48"/>
    <w:rsid w:val="00A1688A"/>
    <w:rsid w:val="00A21AFD"/>
    <w:rsid w:val="00A32CCF"/>
    <w:rsid w:val="00A557F3"/>
    <w:rsid w:val="00A61FC9"/>
    <w:rsid w:val="00A72D11"/>
    <w:rsid w:val="00A7320A"/>
    <w:rsid w:val="00A92CAB"/>
    <w:rsid w:val="00A9695A"/>
    <w:rsid w:val="00AA7ADE"/>
    <w:rsid w:val="00AB2A0B"/>
    <w:rsid w:val="00AC2B1A"/>
    <w:rsid w:val="00AC6BCE"/>
    <w:rsid w:val="00AE7154"/>
    <w:rsid w:val="00AE7F24"/>
    <w:rsid w:val="00B21566"/>
    <w:rsid w:val="00B24023"/>
    <w:rsid w:val="00B336B2"/>
    <w:rsid w:val="00B3713C"/>
    <w:rsid w:val="00B41576"/>
    <w:rsid w:val="00B6127B"/>
    <w:rsid w:val="00B655C6"/>
    <w:rsid w:val="00B66237"/>
    <w:rsid w:val="00B81C21"/>
    <w:rsid w:val="00B824D3"/>
    <w:rsid w:val="00B84BC7"/>
    <w:rsid w:val="00B9560A"/>
    <w:rsid w:val="00BA1A0C"/>
    <w:rsid w:val="00BA2977"/>
    <w:rsid w:val="00BA6E1E"/>
    <w:rsid w:val="00BD2A6D"/>
    <w:rsid w:val="00BE59E8"/>
    <w:rsid w:val="00BF2F34"/>
    <w:rsid w:val="00BF724C"/>
    <w:rsid w:val="00C052F6"/>
    <w:rsid w:val="00C076B8"/>
    <w:rsid w:val="00C11F1D"/>
    <w:rsid w:val="00C2347B"/>
    <w:rsid w:val="00C44EC2"/>
    <w:rsid w:val="00C45431"/>
    <w:rsid w:val="00C529FB"/>
    <w:rsid w:val="00C60064"/>
    <w:rsid w:val="00C6211B"/>
    <w:rsid w:val="00C715F4"/>
    <w:rsid w:val="00C74B86"/>
    <w:rsid w:val="00C74DCF"/>
    <w:rsid w:val="00C75735"/>
    <w:rsid w:val="00C77536"/>
    <w:rsid w:val="00C8779C"/>
    <w:rsid w:val="00C96292"/>
    <w:rsid w:val="00C968F8"/>
    <w:rsid w:val="00C97D15"/>
    <w:rsid w:val="00CA3DA6"/>
    <w:rsid w:val="00CD36E7"/>
    <w:rsid w:val="00CE1924"/>
    <w:rsid w:val="00CE5AA9"/>
    <w:rsid w:val="00CE7232"/>
    <w:rsid w:val="00D05890"/>
    <w:rsid w:val="00D11CA3"/>
    <w:rsid w:val="00D26279"/>
    <w:rsid w:val="00D46313"/>
    <w:rsid w:val="00D46A8B"/>
    <w:rsid w:val="00D5631F"/>
    <w:rsid w:val="00D56CC2"/>
    <w:rsid w:val="00D70602"/>
    <w:rsid w:val="00D71264"/>
    <w:rsid w:val="00D74B86"/>
    <w:rsid w:val="00D82086"/>
    <w:rsid w:val="00D82F0E"/>
    <w:rsid w:val="00D92E1D"/>
    <w:rsid w:val="00D94211"/>
    <w:rsid w:val="00DC7B2C"/>
    <w:rsid w:val="00DE3376"/>
    <w:rsid w:val="00DE3A45"/>
    <w:rsid w:val="00DF7FE2"/>
    <w:rsid w:val="00E00CEE"/>
    <w:rsid w:val="00E06499"/>
    <w:rsid w:val="00E203FA"/>
    <w:rsid w:val="00E22ADD"/>
    <w:rsid w:val="00E23E50"/>
    <w:rsid w:val="00E3352D"/>
    <w:rsid w:val="00E34A1F"/>
    <w:rsid w:val="00E36981"/>
    <w:rsid w:val="00E40B38"/>
    <w:rsid w:val="00E47E9C"/>
    <w:rsid w:val="00E51C1B"/>
    <w:rsid w:val="00E54302"/>
    <w:rsid w:val="00E57D1F"/>
    <w:rsid w:val="00E57D3D"/>
    <w:rsid w:val="00E87554"/>
    <w:rsid w:val="00E90099"/>
    <w:rsid w:val="00E9056C"/>
    <w:rsid w:val="00E9100D"/>
    <w:rsid w:val="00E92D2E"/>
    <w:rsid w:val="00E936E5"/>
    <w:rsid w:val="00E962DB"/>
    <w:rsid w:val="00E97256"/>
    <w:rsid w:val="00EB67DF"/>
    <w:rsid w:val="00EC38CD"/>
    <w:rsid w:val="00ED18EA"/>
    <w:rsid w:val="00ED2537"/>
    <w:rsid w:val="00EE0DC7"/>
    <w:rsid w:val="00EE529C"/>
    <w:rsid w:val="00F007CC"/>
    <w:rsid w:val="00F05795"/>
    <w:rsid w:val="00F109A3"/>
    <w:rsid w:val="00F3635A"/>
    <w:rsid w:val="00F40BA9"/>
    <w:rsid w:val="00F4221E"/>
    <w:rsid w:val="00F571F0"/>
    <w:rsid w:val="00F60B83"/>
    <w:rsid w:val="00F61037"/>
    <w:rsid w:val="00F73C3E"/>
    <w:rsid w:val="00F85D4D"/>
    <w:rsid w:val="00F9769E"/>
    <w:rsid w:val="00FA4D63"/>
    <w:rsid w:val="00FA6997"/>
    <w:rsid w:val="00FA710C"/>
    <w:rsid w:val="00FC36D4"/>
    <w:rsid w:val="00FE6C30"/>
    <w:rsid w:val="00FF16F0"/>
    <w:rsid w:val="01EA5112"/>
    <w:rsid w:val="0A5E7C83"/>
    <w:rsid w:val="1315577C"/>
    <w:rsid w:val="14900830"/>
    <w:rsid w:val="154B072B"/>
    <w:rsid w:val="165E32E8"/>
    <w:rsid w:val="16C2AB28"/>
    <w:rsid w:val="188D7F91"/>
    <w:rsid w:val="18F994A4"/>
    <w:rsid w:val="1E115928"/>
    <w:rsid w:val="1E65074B"/>
    <w:rsid w:val="1F3C05D7"/>
    <w:rsid w:val="211B3CE8"/>
    <w:rsid w:val="23FFB1F1"/>
    <w:rsid w:val="247A87EE"/>
    <w:rsid w:val="26174355"/>
    <w:rsid w:val="2722816F"/>
    <w:rsid w:val="27B36988"/>
    <w:rsid w:val="294B3E1F"/>
    <w:rsid w:val="299D149C"/>
    <w:rsid w:val="2AC830A8"/>
    <w:rsid w:val="2C475A69"/>
    <w:rsid w:val="2C86DAAB"/>
    <w:rsid w:val="2E22AB0C"/>
    <w:rsid w:val="3397774D"/>
    <w:rsid w:val="3496344D"/>
    <w:rsid w:val="353E7CDE"/>
    <w:rsid w:val="363177AA"/>
    <w:rsid w:val="37490F4C"/>
    <w:rsid w:val="38044AD5"/>
    <w:rsid w:val="385F044C"/>
    <w:rsid w:val="39655DB3"/>
    <w:rsid w:val="39DCF087"/>
    <w:rsid w:val="3A9AE59D"/>
    <w:rsid w:val="3AAACFA1"/>
    <w:rsid w:val="3D514126"/>
    <w:rsid w:val="3EE8C9CA"/>
    <w:rsid w:val="414BB8C9"/>
    <w:rsid w:val="418427F8"/>
    <w:rsid w:val="424B0A2E"/>
    <w:rsid w:val="42BBC51B"/>
    <w:rsid w:val="45580B4E"/>
    <w:rsid w:val="4B0CB098"/>
    <w:rsid w:val="4E2333CF"/>
    <w:rsid w:val="4EEE6132"/>
    <w:rsid w:val="51283871"/>
    <w:rsid w:val="52C408D2"/>
    <w:rsid w:val="52F6A4F2"/>
    <w:rsid w:val="54B5F461"/>
    <w:rsid w:val="56490E98"/>
    <w:rsid w:val="57991CC5"/>
    <w:rsid w:val="5806A097"/>
    <w:rsid w:val="5CABA241"/>
    <w:rsid w:val="5CC3F76A"/>
    <w:rsid w:val="5DC48748"/>
    <w:rsid w:val="5F479E86"/>
    <w:rsid w:val="5F7B7FC2"/>
    <w:rsid w:val="60E36EE7"/>
    <w:rsid w:val="6133D105"/>
    <w:rsid w:val="62F3597A"/>
    <w:rsid w:val="641B0FA9"/>
    <w:rsid w:val="6460DBA6"/>
    <w:rsid w:val="64B086A3"/>
    <w:rsid w:val="6981A5CD"/>
    <w:rsid w:val="6DA8C992"/>
    <w:rsid w:val="6EB86ACA"/>
    <w:rsid w:val="7024F6F1"/>
    <w:rsid w:val="71D42D47"/>
    <w:rsid w:val="73E01283"/>
    <w:rsid w:val="75421A04"/>
    <w:rsid w:val="75B3DB77"/>
    <w:rsid w:val="75E35865"/>
    <w:rsid w:val="7A841AE0"/>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B016583-E704-4E8C-810C-3275753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
    <w:name w:val="Body Text"/>
    <w:basedOn w:val="Normal"/>
    <w:link w:val="BodyTextChar"/>
    <w:semiHidden/>
    <w:unhideWhenUsed/>
    <w:rsid w:val="00CE1924"/>
    <w:pPr>
      <w:spacing w:after="120"/>
    </w:pPr>
  </w:style>
  <w:style w:type="character" w:customStyle="1" w:styleId="BodyTextChar">
    <w:name w:val="Body Text Char"/>
    <w:basedOn w:val="DefaultParagraphFont"/>
    <w:link w:val="BodyText"/>
    <w:semiHidden/>
    <w:rsid w:val="00CE1924"/>
    <w:rPr>
      <w:szCs w:val="24"/>
    </w:rPr>
  </w:style>
  <w:style w:type="paragraph" w:styleId="FootnoteText">
    <w:name w:val="footnote text"/>
    <w:basedOn w:val="Normal"/>
    <w:link w:val="FootnoteTextChar"/>
    <w:uiPriority w:val="99"/>
    <w:unhideWhenUsed/>
    <w:rsid w:val="00ED2537"/>
    <w:pPr>
      <w:widowControl/>
      <w:adjustRightInd/>
    </w:pPr>
    <w:rPr>
      <w:rFonts w:eastAsiaTheme="minorHAnsi"/>
      <w:szCs w:val="20"/>
    </w:rPr>
  </w:style>
  <w:style w:type="character" w:customStyle="1" w:styleId="FootnoteTextChar">
    <w:name w:val="Footnote Text Char"/>
    <w:basedOn w:val="DefaultParagraphFont"/>
    <w:link w:val="FootnoteText"/>
    <w:uiPriority w:val="99"/>
    <w:rsid w:val="00ED2537"/>
    <w:rPr>
      <w:rFonts w:eastAsiaTheme="minorHAnsi"/>
    </w:rPr>
  </w:style>
  <w:style w:type="character" w:styleId="FollowedHyperlink">
    <w:name w:val="FollowedHyperlink"/>
    <w:basedOn w:val="DefaultParagraphFont"/>
    <w:semiHidden/>
    <w:unhideWhenUsed/>
    <w:rsid w:val="00C052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19151.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CHY75YFUAV2K-1400183454-24260</_dlc_DocId>
    <_dlc_DocIdUrl xmlns="f12dafca-ffd2-47b9-a7dc-ea73860b958a">
      <Url>https://nih.sharepoint.com/sites/HRSA-MCHB/MCHB-Team/DHVECS/_layouts/15/DocIdRedir.aspx?ID=CHY75YFUAV2K-1400183454-24260</Url>
      <Description>CHY75YFUAV2K-1400183454-24260</Description>
    </_dlc_DocIdUrl>
    <TaxCatchAll xmlns="f12dafca-ffd2-47b9-a7dc-ea73860b958a" xsi:nil="true"/>
    <lcf76f155ced4ddcb4097134ff3c332f xmlns="08c46ab1-79c2-41f2-85cd-dc2be6a31754">
      <Terms xmlns="http://schemas.microsoft.com/office/infopath/2007/PartnerControls"/>
    </lcf76f155ced4ddcb4097134ff3c332f>
    <Document_x0020_type xmlns="08c46ab1-79c2-41f2-85cd-dc2be6a31754" xsi:nil="true"/>
    <PersonResponsible xmlns="08c46ab1-79c2-41f2-85cd-dc2be6a317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2" ma:contentTypeDescription="Create a new document." ma:contentTypeScope="" ma:versionID="3267863377206b37f167fafb3c10bbf5">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37db0a92ab763ebdafbe7d9fe14ce0fa"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2.xml><?xml version="1.0" encoding="utf-8"?>
<ds:datastoreItem xmlns:ds="http://schemas.openxmlformats.org/officeDocument/2006/customXml" ds:itemID="{5CA3C646-95D7-470C-A948-5EA541FF7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AEFB678B-6567-43A5-A073-A870486D66D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2372</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7</cp:revision>
  <cp:lastPrinted>2010-10-14T16:41:00Z</cp:lastPrinted>
  <dcterms:created xsi:type="dcterms:W3CDTF">2024-08-15T21:17:00Z</dcterms:created>
  <dcterms:modified xsi:type="dcterms:W3CDTF">2024-08-22T13:50:00Z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Order">
    <vt:r8>4600</vt:r8>
  </property>
  <property fmtid="{D5CDD505-2E9C-101B-9397-08002B2CF9AE}" pid="5" name="TaxKeyword">
    <vt:lpwstr/>
  </property>
  <property fmtid="{D5CDD505-2E9C-101B-9397-08002B2CF9AE}" pid="6" name="TaxKeywordTaxHTField">
    <vt:lpwstr/>
  </property>
  <property fmtid="{D5CDD505-2E9C-101B-9397-08002B2CF9AE}" pid="7" name="_dlc_DocIdItemGuid">
    <vt:lpwstr>9fd6f1bb-42b4-4680-b0d3-7a7b04677ccf</vt:lpwstr>
  </property>
</Properties>
</file>