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357C8A" w14:paraId="11B44B43" w14:textId="77777777">
      <w:pPr>
        <w:jc w:val="center"/>
        <w:rPr>
          <w:rFonts w:eastAsia="Calibri"/>
        </w:rPr>
      </w:pPr>
      <w:r w:rsidRPr="00357C8A">
        <w:rPr>
          <w:rFonts w:eastAsia="Calibri"/>
        </w:rPr>
        <w:t>United States Food and Drug Administration</w:t>
      </w:r>
    </w:p>
    <w:p w:rsidR="00357C8A" w:rsidP="00357C8A" w14:paraId="4CB8170A" w14:textId="77777777">
      <w:pPr>
        <w:jc w:val="center"/>
        <w:rPr>
          <w:rFonts w:eastAsia="Calibri"/>
        </w:rPr>
      </w:pPr>
    </w:p>
    <w:p w:rsidR="00357C8A" w:rsidP="00357C8A" w14:paraId="4D58C255" w14:textId="77777777">
      <w:pPr>
        <w:jc w:val="center"/>
        <w:rPr>
          <w:rFonts w:eastAsia="Calibri"/>
        </w:rPr>
      </w:pPr>
      <w:bookmarkStart w:id="0" w:name="_Hlk120015240"/>
      <w:r w:rsidRPr="00831F6B">
        <w:rPr>
          <w:rFonts w:eastAsia="Calibri"/>
        </w:rPr>
        <w:t>Yale-Mayo Clinic Centers of Excellence in Regulatory Science and Innovation B12 Pediatric Device Survey</w:t>
      </w:r>
    </w:p>
    <w:bookmarkEnd w:id="0"/>
    <w:p w:rsidR="00831F6B" w:rsidP="00357C8A" w14:paraId="61241FB4" w14:textId="77777777">
      <w:pPr>
        <w:jc w:val="center"/>
        <w:rPr>
          <w:rFonts w:eastAsia="Calibri"/>
        </w:rPr>
      </w:pPr>
    </w:p>
    <w:p w:rsidR="00C054E5" w:rsidP="00357C8A" w14:paraId="4411A5EA" w14:textId="77777777">
      <w:pPr>
        <w:jc w:val="center"/>
        <w:rPr>
          <w:rFonts w:eastAsia="Calibri"/>
        </w:rPr>
      </w:pPr>
      <w:r w:rsidRPr="00357C8A">
        <w:rPr>
          <w:rFonts w:eastAsia="Calibri"/>
        </w:rPr>
        <w:t>OMB Control No. 0910-</w:t>
      </w:r>
      <w:r w:rsidR="00B4635F">
        <w:rPr>
          <w:rFonts w:eastAsia="Calibri"/>
        </w:rPr>
        <w:t>0912</w:t>
      </w:r>
    </w:p>
    <w:p w:rsidR="00357C8A" w:rsidP="00357C8A" w14:paraId="41E11AA7" w14:textId="6FB66A1C">
      <w:pPr>
        <w:jc w:val="center"/>
        <w:rPr>
          <w:rFonts w:eastAsia="Calibri"/>
        </w:rPr>
      </w:pPr>
      <w:r>
        <w:rPr>
          <w:rFonts w:eastAsia="Calibri"/>
        </w:rPr>
        <w:t>Reinstatement Without Change</w:t>
      </w:r>
    </w:p>
    <w:p w:rsidR="00357C8A" w:rsidP="00357C8A" w14:paraId="73C83F79" w14:textId="77777777">
      <w:pPr>
        <w:jc w:val="center"/>
        <w:rPr>
          <w:rFonts w:eastAsia="Calibri"/>
        </w:rPr>
      </w:pPr>
    </w:p>
    <w:p w:rsidR="00357C8A" w:rsidP="00357C8A" w14:paraId="6437F7BF" w14:textId="77777777">
      <w:pPr>
        <w:jc w:val="center"/>
        <w:rPr>
          <w:rFonts w:eastAsia="Calibri"/>
        </w:rPr>
      </w:pPr>
      <w:r w:rsidRPr="00357C8A">
        <w:rPr>
          <w:rFonts w:eastAsia="Calibri"/>
        </w:rPr>
        <w:t>SUPPORTING STATEMENT</w:t>
      </w:r>
    </w:p>
    <w:p w:rsidR="005416BE" w:rsidP="005416BE" w14:paraId="52283EB7" w14:textId="77777777">
      <w:pPr>
        <w:rPr>
          <w:b/>
          <w:bCs/>
        </w:rPr>
      </w:pPr>
    </w:p>
    <w:p w:rsidR="00357C8A" w:rsidP="000D79CC" w14:paraId="6CFAD4A2" w14:textId="4F8C0940">
      <w:pPr>
        <w:rPr>
          <w:rFonts w:eastAsia="Calibri"/>
        </w:rPr>
      </w:pPr>
      <w:r w:rsidRPr="00357C8A">
        <w:rPr>
          <w:rFonts w:eastAsia="Calibri"/>
          <w:b/>
        </w:rPr>
        <w:t>Part A:  Justification</w:t>
      </w:r>
    </w:p>
    <w:p w:rsidR="000D79CC" w:rsidRPr="00357C8A" w:rsidP="000D79CC" w14:paraId="6DBC491A" w14:textId="77777777">
      <w:pPr>
        <w:rPr>
          <w:rFonts w:eastAsia="Calibri"/>
        </w:rPr>
      </w:pPr>
    </w:p>
    <w:p w:rsidR="00357C8A" w:rsidRPr="00357C8A" w:rsidP="006705EA" w14:paraId="6B4D6D31" w14:textId="77777777">
      <w:pPr>
        <w:numPr>
          <w:ilvl w:val="0"/>
          <w:numId w:val="6"/>
        </w:numPr>
        <w:spacing w:after="200" w:line="276" w:lineRule="auto"/>
        <w:rPr>
          <w:rFonts w:eastAsia="Calibri"/>
        </w:rPr>
      </w:pPr>
      <w:r w:rsidRPr="00357C8A">
        <w:rPr>
          <w:rFonts w:eastAsia="Calibri"/>
          <w:u w:val="single"/>
        </w:rPr>
        <w:t xml:space="preserve">Circumstances Making the </w:t>
      </w:r>
      <w:r w:rsidRPr="00357C8A">
        <w:rPr>
          <w:rFonts w:eastAsia="Calibri"/>
          <w:u w:val="single"/>
        </w:rPr>
        <w:t>Collection of Information Necessary</w:t>
      </w:r>
    </w:p>
    <w:p w:rsidR="00423272" w:rsidRPr="005C71CA" w:rsidP="00423272" w14:paraId="1462EFA8" w14:textId="4A4BC932">
      <w:pPr>
        <w:rPr>
          <w:rFonts w:eastAsia="Calibri"/>
        </w:rPr>
      </w:pPr>
      <w:r w:rsidRPr="005C71CA">
        <w:rPr>
          <w:rFonts w:eastAsia="Calibri"/>
        </w:rPr>
        <w:t>This information collection supports Food and Drug Administration (FDA, us</w:t>
      </w:r>
      <w:r w:rsidR="003E24D9">
        <w:rPr>
          <w:rFonts w:eastAsia="Calibri"/>
        </w:rPr>
        <w:t>,</w:t>
      </w:r>
      <w:r w:rsidRPr="005C71CA">
        <w:rPr>
          <w:rFonts w:eastAsia="Calibri"/>
        </w:rPr>
        <w:t xml:space="preserve"> or we)</w:t>
      </w:r>
      <w:r w:rsidR="0002385B">
        <w:rPr>
          <w:rFonts w:eastAsia="Calibri"/>
        </w:rPr>
        <w:t xml:space="preserve"> </w:t>
      </w:r>
      <w:r w:rsidRPr="005C71CA">
        <w:rPr>
          <w:rFonts w:eastAsia="Calibri"/>
        </w:rPr>
        <w:t>programs</w:t>
      </w:r>
      <w:r w:rsidR="0002385B">
        <w:rPr>
          <w:rFonts w:eastAsia="Calibri"/>
        </w:rPr>
        <w:t>.</w:t>
      </w:r>
    </w:p>
    <w:p w:rsidR="0002385B" w:rsidP="0002385B" w14:paraId="3290C770" w14:textId="77777777">
      <w:pPr>
        <w:rPr>
          <w:rFonts w:eastAsia="Calibri"/>
        </w:rPr>
      </w:pPr>
    </w:p>
    <w:p w:rsidR="0002385B" w:rsidRPr="0002385B" w:rsidP="0002385B" w14:paraId="773FF17F" w14:textId="77777777">
      <w:pPr>
        <w:rPr>
          <w:rFonts w:eastAsia="Calibri"/>
        </w:rPr>
      </w:pPr>
      <w:r w:rsidRPr="0002385B">
        <w:rPr>
          <w:rFonts w:eastAsia="Calibri"/>
        </w:rPr>
        <w:t>FDA</w:t>
      </w:r>
      <w:r w:rsidRPr="0002385B">
        <w:rPr>
          <w:rFonts w:eastAsia="Calibri"/>
        </w:rPr>
        <w:t xml:space="preserve"> held </w:t>
      </w:r>
      <w:r>
        <w:rPr>
          <w:rFonts w:eastAsia="Calibri"/>
        </w:rPr>
        <w:t xml:space="preserve">a public meeting </w:t>
      </w:r>
      <w:r w:rsidRPr="0002385B">
        <w:rPr>
          <w:rFonts w:eastAsia="Calibri"/>
        </w:rPr>
        <w:t>in August 2018, entitled, “Pediatric Medical Device Development.” As mandated by section 502(d) o</w:t>
      </w:r>
      <w:r w:rsidRPr="0002385B">
        <w:rPr>
          <w:rFonts w:eastAsia="Calibri"/>
        </w:rPr>
        <w:t>f the FDA Reauthorization Act of 2017 (Pub. L. 115-52)</w:t>
      </w:r>
      <w:r>
        <w:rPr>
          <w:rFonts w:eastAsia="Calibri"/>
        </w:rPr>
        <w:t>. T</w:t>
      </w:r>
      <w:r w:rsidRPr="0002385B">
        <w:rPr>
          <w:rFonts w:eastAsia="Calibri"/>
        </w:rPr>
        <w:t>he meeting was convened to address several topics, including consideration of ways to: (1) increase FDA assistance to medical device manufacturers in developing devices for pediatric populations that</w:t>
      </w:r>
      <w:r w:rsidRPr="0002385B">
        <w:rPr>
          <w:rFonts w:eastAsia="Calibri"/>
        </w:rPr>
        <w:t xml:space="preserve"> are approved or cleared, and labeled, for their use and (2) identify current barriers to pediatric device development and incentives to address such barriers.</w:t>
      </w:r>
    </w:p>
    <w:p w:rsidR="0002385B" w:rsidRPr="0002385B" w:rsidP="0002385B" w14:paraId="6B207EDC" w14:textId="77777777">
      <w:pPr>
        <w:rPr>
          <w:rFonts w:eastAsia="Calibri"/>
        </w:rPr>
      </w:pPr>
    </w:p>
    <w:p w:rsidR="0002385B" w:rsidP="0002385B" w14:paraId="58AFA326" w14:textId="77777777">
      <w:pPr>
        <w:rPr>
          <w:rFonts w:eastAsia="Calibri"/>
        </w:rPr>
      </w:pPr>
      <w:r w:rsidRPr="0002385B">
        <w:rPr>
          <w:rFonts w:eastAsia="Calibri"/>
        </w:rPr>
        <w:t>Feedback from this meeting clarified the need to better understand factors influencing suboptim</w:t>
      </w:r>
      <w:r w:rsidRPr="0002385B">
        <w:rPr>
          <w:rFonts w:eastAsia="Calibri"/>
        </w:rPr>
        <w:t>al engagement and participation by diverse innovators in the pediatric medical device space. Information garnered from this survey may help inform strategic plans to optimize existing programs for the needs of pediatric medical device innovators and develo</w:t>
      </w:r>
      <w:r w:rsidRPr="0002385B">
        <w:rPr>
          <w:rFonts w:eastAsia="Calibri"/>
        </w:rPr>
        <w:t>p new programs that will support sustained development in this space.</w:t>
      </w:r>
    </w:p>
    <w:p w:rsidR="0002385B" w:rsidP="00423272" w14:paraId="6512D1ED" w14:textId="77777777">
      <w:pPr>
        <w:rPr>
          <w:rFonts w:eastAsia="Calibri"/>
        </w:rPr>
      </w:pPr>
    </w:p>
    <w:p w:rsidR="00357C8A" w:rsidP="0002385B" w14:paraId="1E0C6B3C" w14:textId="4E07547A">
      <w:pPr>
        <w:rPr>
          <w:rFonts w:eastAsia="Calibri"/>
        </w:rPr>
      </w:pPr>
      <w:r w:rsidRPr="005C71CA">
        <w:rPr>
          <w:rFonts w:eastAsia="Calibri"/>
        </w:rPr>
        <w:t>We therefore request OMB approval</w:t>
      </w:r>
      <w:r w:rsidR="0002385B">
        <w:rPr>
          <w:rFonts w:eastAsia="Calibri"/>
        </w:rPr>
        <w:t xml:space="preserve"> </w:t>
      </w:r>
      <w:r w:rsidRPr="005C71CA">
        <w:rPr>
          <w:rFonts w:eastAsia="Calibri"/>
        </w:rPr>
        <w:t xml:space="preserve">of </w:t>
      </w:r>
      <w:r>
        <w:rPr>
          <w:rFonts w:eastAsia="Calibri"/>
        </w:rPr>
        <w:t xml:space="preserve">this reinstatement without change of </w:t>
      </w:r>
      <w:r w:rsidR="0002385B">
        <w:rPr>
          <w:rFonts w:eastAsia="Calibri"/>
        </w:rPr>
        <w:t xml:space="preserve">the pediatric device survey </w:t>
      </w:r>
      <w:r w:rsidRPr="005C71CA">
        <w:rPr>
          <w:rFonts w:eastAsia="Calibri"/>
        </w:rPr>
        <w:t>as discussed in this supporting statement.</w:t>
      </w:r>
    </w:p>
    <w:p w:rsidR="0002385B" w:rsidRPr="0002385B" w:rsidP="0002385B" w14:paraId="5D7A931E" w14:textId="77777777">
      <w:pPr>
        <w:rPr>
          <w:rFonts w:eastAsia="Calibri"/>
          <w:i/>
        </w:rPr>
      </w:pPr>
    </w:p>
    <w:p w:rsidR="00357C8A" w:rsidP="006705EA" w14:paraId="426ADA30"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0D6EB9" w:rsidP="000D6EB9" w14:paraId="184139AF" w14:textId="77777777">
      <w:r>
        <w:t>Despite numerous legislative, regulatory, and scientific efforts, there has been little change in the number of devices approved for use in pediatric patients. This has often led to devices being adapted for u</w:t>
      </w:r>
      <w:r>
        <w:t>se in children without an appropriate level of evidence</w:t>
      </w:r>
      <w:r w:rsidR="006D466F">
        <w:t>, fostering a persisting health inequity with respect to pe</w:t>
      </w:r>
      <w:r w:rsidR="00E828F1">
        <w:t>diatric healthcare</w:t>
      </w:r>
      <w:r>
        <w:t xml:space="preserve">. To address these challenges, </w:t>
      </w:r>
      <w:r w:rsidR="00145862">
        <w:t>we are</w:t>
      </w:r>
      <w:r>
        <w:t xml:space="preserve"> survey</w:t>
      </w:r>
      <w:r w:rsidR="00145862">
        <w:t>ing</w:t>
      </w:r>
      <w:r>
        <w:t xml:space="preserve"> industry and other key stakeholders in the medical device ecosystem to ident</w:t>
      </w:r>
      <w:r>
        <w:t xml:space="preserve">ify the barriers that prevent them from entering the pediatric device market as well as the proper incentives that would motivate them to innovate and sustain within this market. </w:t>
      </w:r>
    </w:p>
    <w:p w:rsidR="000D6EB9" w:rsidRPr="000D6EB9" w:rsidP="000D6EB9" w14:paraId="194EA4AD" w14:textId="77777777"/>
    <w:p w:rsidR="00357C8A" w:rsidRPr="00357C8A" w:rsidP="006705EA" w14:paraId="791039DD"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DE330C" w:rsidP="0022425B" w14:paraId="7E88DC40" w14:textId="002EEDF8">
      <w:pPr>
        <w:spacing w:after="200"/>
        <w:rPr>
          <w:rFonts w:eastAsia="Calibri"/>
        </w:rPr>
      </w:pPr>
      <w:r>
        <w:rPr>
          <w:rFonts w:eastAsia="Calibri"/>
        </w:rPr>
        <w:t xml:space="preserve">Initial </w:t>
      </w:r>
      <w:r>
        <w:rPr>
          <w:rFonts w:eastAsia="Calibri"/>
        </w:rPr>
        <w:t>outreach to survey participants will be conducted via phone</w:t>
      </w:r>
      <w:r w:rsidR="00D57180">
        <w:rPr>
          <w:rFonts w:eastAsia="Calibri"/>
        </w:rPr>
        <w:t xml:space="preserve"> (or </w:t>
      </w:r>
      <w:r w:rsidR="008F593E">
        <w:rPr>
          <w:rFonts w:eastAsia="Calibri"/>
        </w:rPr>
        <w:t>video call</w:t>
      </w:r>
      <w:r w:rsidR="00E45880">
        <w:rPr>
          <w:rFonts w:eastAsia="Calibri"/>
        </w:rPr>
        <w:t>)</w:t>
      </w:r>
      <w:r>
        <w:rPr>
          <w:rFonts w:eastAsia="Calibri"/>
        </w:rPr>
        <w:t xml:space="preserve"> and/or email. Least burdensome options for completion of the survey will be offered and include live personal assistance via phone</w:t>
      </w:r>
      <w:r w:rsidR="00D57180">
        <w:rPr>
          <w:rFonts w:eastAsia="Calibri"/>
        </w:rPr>
        <w:t xml:space="preserve"> (or </w:t>
      </w:r>
      <w:r w:rsidR="008F593E">
        <w:rPr>
          <w:rFonts w:eastAsia="Calibri"/>
        </w:rPr>
        <w:t>video call</w:t>
      </w:r>
      <w:r w:rsidR="00502332">
        <w:rPr>
          <w:rFonts w:eastAsia="Calibri"/>
        </w:rPr>
        <w:t>)</w:t>
      </w:r>
      <w:r>
        <w:rPr>
          <w:rFonts w:eastAsia="Calibri"/>
        </w:rPr>
        <w:t>, and a readily available and acce</w:t>
      </w:r>
      <w:r>
        <w:rPr>
          <w:rFonts w:eastAsia="Calibri"/>
        </w:rPr>
        <w:t>ssible, on-line survey platform</w:t>
      </w:r>
      <w:r w:rsidR="005A150F">
        <w:rPr>
          <w:rFonts w:eastAsia="Calibri"/>
        </w:rPr>
        <w:t xml:space="preserve"> engaged</w:t>
      </w:r>
      <w:r>
        <w:rPr>
          <w:rFonts w:eastAsia="Calibri"/>
        </w:rPr>
        <w:t xml:space="preserve"> via an anonymized electronic link.</w:t>
      </w:r>
    </w:p>
    <w:p w:rsidR="00357C8A" w:rsidRPr="00357C8A" w:rsidP="001B4AB7" w14:paraId="637684F3" w14:textId="77777777">
      <w:pPr>
        <w:keepNext/>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357C8A" w:rsidRPr="000C1260" w:rsidP="0053380B" w14:paraId="54D7484D" w14:textId="77777777">
      <w:pPr>
        <w:spacing w:after="200"/>
      </w:pPr>
      <w:r>
        <w:t xml:space="preserve"> </w:t>
      </w:r>
      <w:r w:rsidRPr="005C71CA" w:rsidR="0053380B">
        <w:t>We are unaware of duplicative information collection.</w:t>
      </w:r>
    </w:p>
    <w:p w:rsidR="00357C8A" w:rsidRPr="00357C8A" w:rsidP="006705EA" w14:paraId="61FD8CA2"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726560" w:rsidP="0022425B" w14:paraId="57091AD0" w14:textId="77777777">
      <w:pPr>
        <w:spacing w:after="200"/>
        <w:rPr>
          <w:rFonts w:eastAsia="Calibri"/>
        </w:rPr>
      </w:pPr>
      <w:r>
        <w:rPr>
          <w:rFonts w:eastAsia="Calibri"/>
        </w:rPr>
        <w:t xml:space="preserve">Relatively </w:t>
      </w:r>
      <w:r>
        <w:rPr>
          <w:rFonts w:eastAsia="Calibri"/>
        </w:rPr>
        <w:t>few small businesses or other small entities will be impacted. Participation is voluntary, with upfront clarification that choosing not to participate will not impact any interactions with the institution conducting the survey or the FDA. Only the survey t</w:t>
      </w:r>
      <w:r>
        <w:rPr>
          <w:rFonts w:eastAsia="Calibri"/>
        </w:rPr>
        <w:t>eam at Yale will be aware of entities within the survey population who have chosen to participate or not participate. As with all survey participants, small businesses or other small entities will be offered least burdensome options for participation as no</w:t>
      </w:r>
      <w:r>
        <w:rPr>
          <w:rFonts w:eastAsia="Calibri"/>
        </w:rPr>
        <w:t>ted above</w:t>
      </w:r>
      <w:r w:rsidR="004C0B67">
        <w:rPr>
          <w:rFonts w:eastAsia="Calibri"/>
        </w:rPr>
        <w:t xml:space="preserve"> </w:t>
      </w:r>
      <w:r w:rsidR="00145862">
        <w:rPr>
          <w:rFonts w:eastAsia="Calibri"/>
        </w:rPr>
        <w:t>section three of this supporting statement</w:t>
      </w:r>
      <w:r>
        <w:rPr>
          <w:rFonts w:eastAsia="Calibri"/>
        </w:rPr>
        <w:t xml:space="preserve">. </w:t>
      </w:r>
    </w:p>
    <w:p w:rsidR="00357C8A" w:rsidRPr="00357C8A" w:rsidP="006705EA" w14:paraId="13566FFD"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4C0B67" w:rsidP="0022425B" w14:paraId="4E7D6492" w14:textId="2635A5CE">
      <w:pPr>
        <w:spacing w:after="200"/>
        <w:rPr>
          <w:rFonts w:eastAsia="Calibri"/>
        </w:rPr>
      </w:pPr>
      <w:r>
        <w:rPr>
          <w:rFonts w:eastAsia="Calibri"/>
        </w:rPr>
        <w:t xml:space="preserve">This survey is currently planned to be offered for a single round. Not conducting this survey will lead to a persisting knowledge gap for the </w:t>
      </w:r>
      <w:r>
        <w:rPr>
          <w:rFonts w:eastAsia="Calibri"/>
        </w:rPr>
        <w:t>FDA regarding the perspectives of industry, and other key stakeholders within the medical device ecosystem, for not developing or supporting pediatric medical devices, and regarding what incentives may engender sustained engagement and innovation with resp</w:t>
      </w:r>
      <w:r>
        <w:rPr>
          <w:rFonts w:eastAsia="Calibri"/>
        </w:rPr>
        <w:t xml:space="preserve">ect to pediatric medical device development.  </w:t>
      </w:r>
    </w:p>
    <w:p w:rsidR="00357C8A" w:rsidRPr="00A63E37" w:rsidP="006705EA" w14:paraId="3B8804B0"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A63E37" w:rsidRPr="00357C8A" w:rsidP="006225B0" w14:paraId="6C28B0FF" w14:textId="77777777">
      <w:pPr>
        <w:spacing w:after="200"/>
        <w:rPr>
          <w:rFonts w:eastAsia="Calibri"/>
        </w:rPr>
      </w:pPr>
      <w:r w:rsidRPr="00A63E37">
        <w:rPr>
          <w:rFonts w:eastAsia="Calibri"/>
        </w:rPr>
        <w:t xml:space="preserve">There are no special circumstances for this collection of information. The information collected will be voluntary and will not be used for </w:t>
      </w:r>
      <w:r w:rsidRPr="00A63E37">
        <w:rPr>
          <w:rFonts w:eastAsia="Calibri"/>
        </w:rPr>
        <w:t>statistical purposes.</w:t>
      </w:r>
    </w:p>
    <w:p w:rsidR="00357C8A" w:rsidRPr="00357C8A" w:rsidP="006705EA" w14:paraId="701B1767"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792947" w:rsidRPr="00357C8A" w:rsidP="00357C8A" w14:paraId="5A5DB27E" w14:textId="0C2BE06D">
      <w:pPr>
        <w:spacing w:after="200"/>
        <w:rPr>
          <w:rFonts w:eastAsia="Calibri"/>
        </w:rPr>
      </w:pPr>
      <w:r>
        <w:rPr>
          <w:rFonts w:eastAsia="Calibri"/>
        </w:rPr>
        <w:t xml:space="preserve">FDA published a 60-day notice for public comment in the </w:t>
      </w:r>
      <w:r w:rsidRPr="009009E7">
        <w:rPr>
          <w:rFonts w:eastAsia="Calibri"/>
          <w:i/>
        </w:rPr>
        <w:t>Federal Register</w:t>
      </w:r>
      <w:r>
        <w:rPr>
          <w:rFonts w:eastAsia="Calibri"/>
        </w:rPr>
        <w:t xml:space="preserve"> of</w:t>
      </w:r>
      <w:r w:rsidR="009358B9">
        <w:rPr>
          <w:rFonts w:eastAsia="Calibri"/>
        </w:rPr>
        <w:t xml:space="preserve"> May 22, 2024 (89 FR 44993)</w:t>
      </w:r>
      <w:r w:rsidR="00BF4B44">
        <w:rPr>
          <w:rFonts w:eastAsia="Calibri"/>
        </w:rPr>
        <w:t>. We received no comments.</w:t>
      </w:r>
    </w:p>
    <w:p w:rsidR="00357C8A" w:rsidRPr="00357C8A" w:rsidP="006705EA" w14:paraId="57957126" w14:textId="77777777">
      <w:pPr>
        <w:numPr>
          <w:ilvl w:val="0"/>
          <w:numId w:val="6"/>
        </w:numPr>
        <w:spacing w:after="200" w:line="276" w:lineRule="auto"/>
        <w:rPr>
          <w:rFonts w:eastAsia="Calibri"/>
        </w:rPr>
      </w:pPr>
      <w:r w:rsidRPr="00357C8A">
        <w:rPr>
          <w:rFonts w:eastAsia="Calibri"/>
          <w:u w:val="single"/>
        </w:rPr>
        <w:t>Explanation</w:t>
      </w:r>
      <w:r w:rsidRPr="00357C8A">
        <w:rPr>
          <w:rFonts w:eastAsia="Calibri"/>
          <w:u w:val="single"/>
        </w:rPr>
        <w:t xml:space="preserve"> of Any Payment or Gift to Respondents</w:t>
      </w:r>
    </w:p>
    <w:p w:rsidR="00792947" w:rsidRPr="00792947" w:rsidP="00DD0E02" w14:paraId="1B22B5CB" w14:textId="77777777">
      <w:pPr>
        <w:spacing w:after="200"/>
        <w:rPr>
          <w:rFonts w:eastAsia="Calibri"/>
          <w:i/>
        </w:rPr>
      </w:pPr>
      <w:r w:rsidRPr="002074FE">
        <w:rPr>
          <w:rFonts w:eastAsia="Calibri"/>
        </w:rPr>
        <w:t>There are no incentives, payments or gifts associated with this information collection.</w:t>
      </w:r>
    </w:p>
    <w:p w:rsidR="00BA6C52" w:rsidP="00BA6C52" w14:paraId="1DA4F14F"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102064" w:rsidRPr="009358B9" w:rsidP="00102064" w14:paraId="3BECF84A" w14:textId="77777777">
      <w:pPr>
        <w:spacing w:after="200"/>
        <w:rPr>
          <w:rFonts w:eastAsia="Calibri"/>
        </w:rPr>
      </w:pPr>
      <w:r w:rsidRPr="009358B9">
        <w:rPr>
          <w:rFonts w:eastAsia="Calibri"/>
        </w:rPr>
        <w:t>In preparing this Supporting Statement, we consulted our Privacy Office to e</w:t>
      </w:r>
      <w:r w:rsidRPr="009358B9">
        <w:rPr>
          <w:rFonts w:eastAsia="Calibri"/>
        </w:rPr>
        <w:t xml:space="preserve">nsure appropriate identification and handling of information collected. </w:t>
      </w:r>
    </w:p>
    <w:p w:rsidR="00102064" w:rsidRPr="009358B9" w:rsidP="00102064" w14:paraId="0CFE080D" w14:textId="3701FA0D">
      <w:pPr>
        <w:spacing w:after="200"/>
        <w:rPr>
          <w:rFonts w:eastAsia="Calibri"/>
        </w:rPr>
      </w:pPr>
      <w:r w:rsidRPr="009358B9">
        <w:rPr>
          <w:rFonts w:eastAsia="Calibri"/>
        </w:rPr>
        <w:t>This ICR will collect personally identifiable information (PII). The PII collected typically consists of name and contact information. PII is collected on behalf of the FDA by the Yal</w:t>
      </w:r>
      <w:r w:rsidRPr="009358B9">
        <w:rPr>
          <w:rFonts w:eastAsia="Calibri"/>
        </w:rPr>
        <w:t>e/Mayo Clinic Centers of Excellence in Regulatory Science and Innovation (CERSI) who will conduct surveys.  PII is collected to identify barriers to pediatric device development and incentives to address such barriers. Information collected by CERSI will b</w:t>
      </w:r>
      <w:r w:rsidRPr="009358B9">
        <w:rPr>
          <w:rFonts w:eastAsia="Calibri"/>
        </w:rPr>
        <w:t>e summarized into aggregate form, sent in aggregate to FDA (no PII will be included), and destroyed after the study or interview has been completed. Collected PII is used to notify potential respondents of their selection and includes name and contact info</w:t>
      </w:r>
      <w:r w:rsidRPr="009358B9">
        <w:rPr>
          <w:rFonts w:eastAsia="Calibri"/>
        </w:rPr>
        <w:t>rmation. All information collected will be kept secure by CERSI. FDA and CERSI will disclose identifiable information only to the extent authorized by the individual or required by law. CERSI, who will be maintaining information, will destroy it in accorda</w:t>
      </w:r>
      <w:r w:rsidRPr="009358B9">
        <w:rPr>
          <w:rFonts w:eastAsia="Calibri"/>
        </w:rPr>
        <w:t xml:space="preserve">nce with applicable records retention and other requirements per contract terms after the aggregate </w:t>
      </w:r>
      <w:r w:rsidRPr="009358B9">
        <w:rPr>
          <w:rFonts w:eastAsia="Calibri"/>
        </w:rPr>
        <w:t>information has been provided to FDA and the survey has been completed. In keeping with IRB/Human Subjects Research protocols, the FDA clearance process ens</w:t>
      </w:r>
      <w:r w:rsidRPr="009358B9">
        <w:rPr>
          <w:rFonts w:eastAsia="Calibri"/>
        </w:rPr>
        <w:t>ures that study data is appropriately secured (e.g., housed on CERSI servers, password protected, separate storage areas for each study, access controlled).</w:t>
      </w:r>
    </w:p>
    <w:p w:rsidR="00102064" w:rsidRPr="009358B9" w:rsidP="00102064" w14:paraId="0887940C" w14:textId="77777777">
      <w:pPr>
        <w:spacing w:after="200" w:line="276" w:lineRule="auto"/>
        <w:rPr>
          <w:rFonts w:eastAsia="Calibri"/>
        </w:rPr>
      </w:pPr>
      <w:r w:rsidRPr="009358B9">
        <w:rPr>
          <w:rFonts w:eastAsia="Calibri"/>
        </w:rPr>
        <w:t xml:space="preserve">FDA determined that although PII is collected it is not subject to the Privacy Act of 1974 and the </w:t>
      </w:r>
      <w:r w:rsidRPr="009358B9">
        <w:rPr>
          <w:rFonts w:eastAsia="Calibri"/>
        </w:rPr>
        <w:t>particular notice and other requirements of the Act do not apply. Specifically, the contractor does not use name or any other personal identifier to retrieve records from the information collected.</w:t>
      </w:r>
    </w:p>
    <w:p w:rsidR="001075D3" w:rsidRPr="00514DD0" w:rsidP="00696846" w14:paraId="248492F2" w14:textId="77AB1170">
      <w:pPr>
        <w:spacing w:after="200" w:line="276" w:lineRule="auto"/>
        <w:rPr>
          <w:rFonts w:eastAsia="Calibri"/>
        </w:rPr>
      </w:pPr>
      <w:r w:rsidRPr="009358B9">
        <w:rPr>
          <w:rFonts w:eastAsia="Calibri"/>
        </w:rPr>
        <w:t xml:space="preserve">Under the Freedom of Information Act (FOIA) (5 </w:t>
      </w:r>
      <w:r w:rsidRPr="009358B9">
        <w:rPr>
          <w:rFonts w:eastAsia="Calibri"/>
        </w:rPr>
        <w:t>U.S.C. 552), the public has broad access to government documents. However, FOIA provides certain exemptions from mandatory public disclosure of government records (5 U.S.C. 552(b)(1-9))</w:t>
      </w:r>
      <w:r w:rsidR="003E24D9">
        <w:rPr>
          <w:rFonts w:eastAsia="Calibri"/>
        </w:rPr>
        <w:t>.</w:t>
      </w:r>
      <w:r w:rsidRPr="009358B9">
        <w:rPr>
          <w:rFonts w:eastAsia="Calibri"/>
        </w:rPr>
        <w:t xml:space="preserve"> FDA will make the fullest possible disclosure of records to the publi</w:t>
      </w:r>
      <w:r w:rsidRPr="009358B9">
        <w:rPr>
          <w:rFonts w:eastAsia="Calibri"/>
        </w:rPr>
        <w:t>c, consistent with the rights of individuals to privacy, the property rights of persons in trade and confidential commercial or financial information.</w:t>
      </w:r>
    </w:p>
    <w:p w:rsidR="00357C8A" w:rsidRPr="00357C8A" w:rsidP="006705EA" w14:paraId="0D061C5E"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6C7632" w:rsidP="00DD0E02" w14:paraId="3E7AFC71" w14:textId="77777777">
      <w:pPr>
        <w:spacing w:after="200"/>
        <w:rPr>
          <w:rFonts w:eastAsia="Calibri"/>
          <w:iCs/>
        </w:rPr>
      </w:pPr>
      <w:r w:rsidRPr="006C7632">
        <w:rPr>
          <w:rFonts w:eastAsia="Calibri"/>
          <w:iCs/>
        </w:rPr>
        <w:t>The collection of information does not involve sensitive questions.</w:t>
      </w:r>
    </w:p>
    <w:p w:rsidR="00357C8A" w:rsidRPr="00357C8A" w:rsidP="006705EA" w14:paraId="0F336108"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P="0022425B" w14:paraId="411E2B8D" w14:textId="77777777">
      <w:pPr>
        <w:spacing w:after="200"/>
        <w:ind w:left="360"/>
        <w:rPr>
          <w:rFonts w:eastAsia="Calibri"/>
        </w:rPr>
      </w:pPr>
      <w:r w:rsidRPr="005C71CA">
        <w:rPr>
          <w:rFonts w:eastAsia="Calibri"/>
        </w:rPr>
        <w:t>12a.  Annualized Hour Burden Estimate</w:t>
      </w:r>
    </w:p>
    <w:tbl>
      <w:tblPr>
        <w:tblW w:w="5063"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5"/>
        <w:gridCol w:w="1444"/>
        <w:gridCol w:w="1730"/>
        <w:gridCol w:w="1640"/>
        <w:gridCol w:w="1823"/>
        <w:gridCol w:w="1272"/>
      </w:tblGrid>
      <w:tr w14:paraId="7AB6C4E6" w14:textId="77777777" w:rsidTr="003E24D9">
        <w:tblPrEx>
          <w:tblW w:w="5063" w:type="pct"/>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19"/>
        </w:trPr>
        <w:tc>
          <w:tcPr>
            <w:tcW w:w="5000" w:type="pct"/>
            <w:gridSpan w:val="6"/>
            <w:tcBorders>
              <w:top w:val="nil"/>
              <w:left w:val="nil"/>
              <w:bottom w:val="single" w:sz="4" w:space="0" w:color="auto"/>
              <w:right w:val="nil"/>
            </w:tcBorders>
            <w:shd w:val="clear" w:color="auto" w:fill="auto"/>
          </w:tcPr>
          <w:p w:rsidR="006E486C" w:rsidP="002F128C" w14:paraId="3D798A2D" w14:textId="75C9CFA0">
            <w:pPr>
              <w:jc w:val="center"/>
            </w:pPr>
            <w:r>
              <w:t>Table 1.--Estimated Annual Reporting Burden</w:t>
            </w:r>
            <w:r w:rsidRPr="003E24D9" w:rsidR="003E24D9">
              <w:rPr>
                <w:vertAlign w:val="superscript"/>
              </w:rPr>
              <w:t>1</w:t>
            </w:r>
          </w:p>
        </w:tc>
      </w:tr>
      <w:tr w14:paraId="4C8A1E41" w14:textId="77777777" w:rsidTr="003E24D9">
        <w:tblPrEx>
          <w:tblW w:w="5063" w:type="pct"/>
          <w:tblInd w:w="360" w:type="dxa"/>
          <w:tblLook w:val="01E0"/>
        </w:tblPrEx>
        <w:trPr>
          <w:cantSplit/>
          <w:trHeight w:val="19"/>
        </w:trPr>
        <w:tc>
          <w:tcPr>
            <w:tcW w:w="891" w:type="pct"/>
            <w:tcBorders>
              <w:top w:val="single" w:sz="4" w:space="0" w:color="auto"/>
              <w:bottom w:val="single" w:sz="4" w:space="0" w:color="auto"/>
            </w:tcBorders>
            <w:shd w:val="clear" w:color="auto" w:fill="auto"/>
          </w:tcPr>
          <w:p w:rsidR="006E486C" w:rsidP="002F128C" w14:paraId="50ACA29D" w14:textId="77777777">
            <w:pPr>
              <w:jc w:val="center"/>
            </w:pPr>
            <w:r>
              <w:t>Activity</w:t>
            </w:r>
          </w:p>
        </w:tc>
        <w:tc>
          <w:tcPr>
            <w:tcW w:w="750" w:type="pct"/>
            <w:tcBorders>
              <w:top w:val="single" w:sz="4" w:space="0" w:color="auto"/>
              <w:bottom w:val="single" w:sz="4" w:space="0" w:color="auto"/>
            </w:tcBorders>
            <w:shd w:val="clear" w:color="auto" w:fill="auto"/>
          </w:tcPr>
          <w:p w:rsidR="006E486C" w:rsidP="002F128C" w14:paraId="09E75301" w14:textId="77777777">
            <w:pPr>
              <w:jc w:val="center"/>
            </w:pPr>
            <w:r>
              <w:t>No. of Respondents</w:t>
            </w:r>
          </w:p>
        </w:tc>
        <w:tc>
          <w:tcPr>
            <w:tcW w:w="899" w:type="pct"/>
            <w:tcBorders>
              <w:top w:val="single" w:sz="4" w:space="0" w:color="auto"/>
              <w:bottom w:val="single" w:sz="4" w:space="0" w:color="auto"/>
            </w:tcBorders>
            <w:shd w:val="clear" w:color="auto" w:fill="auto"/>
          </w:tcPr>
          <w:p w:rsidR="006E486C" w:rsidP="002F128C" w14:paraId="0A680B68" w14:textId="77777777">
            <w:pPr>
              <w:jc w:val="center"/>
            </w:pPr>
            <w:r>
              <w:rPr>
                <w:bCs/>
              </w:rPr>
              <w:t>No. of Responses per Respondent</w:t>
            </w:r>
          </w:p>
        </w:tc>
        <w:tc>
          <w:tcPr>
            <w:tcW w:w="852" w:type="pct"/>
            <w:tcBorders>
              <w:top w:val="single" w:sz="4" w:space="0" w:color="auto"/>
              <w:bottom w:val="single" w:sz="4" w:space="0" w:color="auto"/>
            </w:tcBorders>
            <w:shd w:val="clear" w:color="auto" w:fill="auto"/>
          </w:tcPr>
          <w:p w:rsidR="006E486C" w:rsidP="002F128C" w14:paraId="548A578B" w14:textId="77777777">
            <w:pPr>
              <w:jc w:val="center"/>
            </w:pPr>
            <w:r>
              <w:t>Total Annual Responses</w:t>
            </w:r>
          </w:p>
        </w:tc>
        <w:tc>
          <w:tcPr>
            <w:tcW w:w="947" w:type="pct"/>
            <w:tcBorders>
              <w:top w:val="single" w:sz="4" w:space="0" w:color="auto"/>
              <w:bottom w:val="single" w:sz="4" w:space="0" w:color="auto"/>
            </w:tcBorders>
            <w:shd w:val="clear" w:color="auto" w:fill="auto"/>
          </w:tcPr>
          <w:p w:rsidR="006E486C" w:rsidP="002F128C" w14:paraId="5A4D4344" w14:textId="77777777">
            <w:pPr>
              <w:jc w:val="center"/>
            </w:pPr>
            <w:r>
              <w:rPr>
                <w:bCs/>
              </w:rPr>
              <w:t>Average Burden per Response</w:t>
            </w:r>
          </w:p>
        </w:tc>
        <w:tc>
          <w:tcPr>
            <w:tcW w:w="662" w:type="pct"/>
            <w:tcBorders>
              <w:top w:val="single" w:sz="4" w:space="0" w:color="auto"/>
              <w:bottom w:val="single" w:sz="4" w:space="0" w:color="auto"/>
            </w:tcBorders>
            <w:shd w:val="clear" w:color="auto" w:fill="auto"/>
          </w:tcPr>
          <w:p w:rsidR="006E486C" w:rsidP="002F128C" w14:paraId="611A6463" w14:textId="3860E0E0">
            <w:pPr>
              <w:jc w:val="center"/>
            </w:pPr>
            <w:r>
              <w:t xml:space="preserve">Total </w:t>
            </w:r>
            <w:r w:rsidR="005F1AC3">
              <w:t>Hours</w:t>
            </w:r>
            <w:r w:rsidR="005F1AC3">
              <w:rPr>
                <w:vertAlign w:val="superscript"/>
              </w:rPr>
              <w:t>1</w:t>
            </w:r>
          </w:p>
        </w:tc>
      </w:tr>
      <w:tr w14:paraId="1E0F6108" w14:textId="77777777" w:rsidTr="003E24D9">
        <w:tblPrEx>
          <w:tblW w:w="5063" w:type="pct"/>
          <w:tblInd w:w="360" w:type="dxa"/>
          <w:tblLook w:val="01E0"/>
        </w:tblPrEx>
        <w:trPr>
          <w:cantSplit/>
          <w:trHeight w:val="269"/>
        </w:trPr>
        <w:tc>
          <w:tcPr>
            <w:tcW w:w="891" w:type="pct"/>
            <w:tcBorders>
              <w:top w:val="single" w:sz="4" w:space="0" w:color="auto"/>
            </w:tcBorders>
            <w:shd w:val="clear" w:color="auto" w:fill="auto"/>
          </w:tcPr>
          <w:p w:rsidR="006E486C" w:rsidP="002F128C" w14:paraId="69B779DB" w14:textId="77777777">
            <w:r>
              <w:t>Phone Survey</w:t>
            </w:r>
          </w:p>
        </w:tc>
        <w:tc>
          <w:tcPr>
            <w:tcW w:w="750" w:type="pct"/>
            <w:tcBorders>
              <w:top w:val="single" w:sz="4" w:space="0" w:color="auto"/>
            </w:tcBorders>
            <w:shd w:val="clear" w:color="auto" w:fill="auto"/>
          </w:tcPr>
          <w:p w:rsidR="006E486C" w:rsidP="002F128C" w14:paraId="3ECAA305" w14:textId="77777777">
            <w:pPr>
              <w:jc w:val="right"/>
            </w:pPr>
            <w:r>
              <w:t>17</w:t>
            </w:r>
          </w:p>
        </w:tc>
        <w:tc>
          <w:tcPr>
            <w:tcW w:w="899" w:type="pct"/>
            <w:tcBorders>
              <w:top w:val="single" w:sz="4" w:space="0" w:color="auto"/>
            </w:tcBorders>
            <w:shd w:val="clear" w:color="auto" w:fill="auto"/>
          </w:tcPr>
          <w:p w:rsidR="006E486C" w:rsidP="002F128C" w14:paraId="7EDCD632" w14:textId="77777777">
            <w:pPr>
              <w:jc w:val="right"/>
            </w:pPr>
            <w:r>
              <w:t>1</w:t>
            </w:r>
          </w:p>
        </w:tc>
        <w:tc>
          <w:tcPr>
            <w:tcW w:w="852" w:type="pct"/>
            <w:tcBorders>
              <w:top w:val="single" w:sz="4" w:space="0" w:color="auto"/>
            </w:tcBorders>
            <w:shd w:val="clear" w:color="auto" w:fill="auto"/>
          </w:tcPr>
          <w:p w:rsidR="006E486C" w:rsidP="002F128C" w14:paraId="79124521" w14:textId="77777777">
            <w:pPr>
              <w:jc w:val="right"/>
            </w:pPr>
            <w:r>
              <w:t>17</w:t>
            </w:r>
          </w:p>
        </w:tc>
        <w:tc>
          <w:tcPr>
            <w:tcW w:w="947" w:type="pct"/>
            <w:tcBorders>
              <w:top w:val="single" w:sz="4" w:space="0" w:color="auto"/>
            </w:tcBorders>
            <w:shd w:val="clear" w:color="auto" w:fill="auto"/>
          </w:tcPr>
          <w:p w:rsidR="006E486C" w:rsidP="002F128C" w14:paraId="4CF304B0" w14:textId="77777777">
            <w:pPr>
              <w:jc w:val="right"/>
            </w:pPr>
            <w:r>
              <w:t>0.5 (30 minutes)</w:t>
            </w:r>
          </w:p>
        </w:tc>
        <w:tc>
          <w:tcPr>
            <w:tcW w:w="662" w:type="pct"/>
            <w:tcBorders>
              <w:top w:val="single" w:sz="4" w:space="0" w:color="auto"/>
            </w:tcBorders>
            <w:shd w:val="clear" w:color="auto" w:fill="auto"/>
          </w:tcPr>
          <w:p w:rsidR="006E486C" w:rsidP="002F128C" w14:paraId="2207BDF7" w14:textId="77777777">
            <w:pPr>
              <w:jc w:val="right"/>
            </w:pPr>
            <w:r>
              <w:t>9</w:t>
            </w:r>
          </w:p>
        </w:tc>
      </w:tr>
      <w:tr w14:paraId="610FDAE8" w14:textId="77777777" w:rsidTr="003E24D9">
        <w:tblPrEx>
          <w:tblW w:w="5063" w:type="pct"/>
          <w:tblInd w:w="360" w:type="dxa"/>
          <w:tblLook w:val="01E0"/>
        </w:tblPrEx>
        <w:trPr>
          <w:cantSplit/>
          <w:trHeight w:val="260"/>
        </w:trPr>
        <w:tc>
          <w:tcPr>
            <w:tcW w:w="891" w:type="pct"/>
            <w:shd w:val="clear" w:color="auto" w:fill="auto"/>
          </w:tcPr>
          <w:p w:rsidR="006E486C" w:rsidP="002F128C" w14:paraId="4F0A4181" w14:textId="77777777">
            <w:r>
              <w:t xml:space="preserve">Online Survey </w:t>
            </w:r>
          </w:p>
        </w:tc>
        <w:tc>
          <w:tcPr>
            <w:tcW w:w="750" w:type="pct"/>
            <w:shd w:val="clear" w:color="auto" w:fill="auto"/>
          </w:tcPr>
          <w:p w:rsidR="006E486C" w:rsidP="002F128C" w14:paraId="577FC449" w14:textId="77777777">
            <w:pPr>
              <w:jc w:val="right"/>
            </w:pPr>
            <w:r>
              <w:t>56</w:t>
            </w:r>
          </w:p>
        </w:tc>
        <w:tc>
          <w:tcPr>
            <w:tcW w:w="899" w:type="pct"/>
            <w:shd w:val="clear" w:color="auto" w:fill="auto"/>
          </w:tcPr>
          <w:p w:rsidR="006E486C" w:rsidP="002F128C" w14:paraId="5B99F6DD" w14:textId="77777777">
            <w:pPr>
              <w:jc w:val="right"/>
            </w:pPr>
            <w:r>
              <w:t>1</w:t>
            </w:r>
          </w:p>
        </w:tc>
        <w:tc>
          <w:tcPr>
            <w:tcW w:w="852" w:type="pct"/>
            <w:shd w:val="clear" w:color="auto" w:fill="auto"/>
          </w:tcPr>
          <w:p w:rsidR="006E486C" w:rsidP="002F128C" w14:paraId="3CA06E07" w14:textId="77777777">
            <w:pPr>
              <w:jc w:val="right"/>
            </w:pPr>
            <w:r>
              <w:t>56</w:t>
            </w:r>
          </w:p>
        </w:tc>
        <w:tc>
          <w:tcPr>
            <w:tcW w:w="947" w:type="pct"/>
            <w:shd w:val="clear" w:color="auto" w:fill="auto"/>
          </w:tcPr>
          <w:p w:rsidR="006E486C" w:rsidP="002F128C" w14:paraId="71A9D20A" w14:textId="77777777">
            <w:pPr>
              <w:jc w:val="right"/>
            </w:pPr>
            <w:r>
              <w:t>1</w:t>
            </w:r>
          </w:p>
        </w:tc>
        <w:tc>
          <w:tcPr>
            <w:tcW w:w="662" w:type="pct"/>
            <w:shd w:val="clear" w:color="auto" w:fill="auto"/>
          </w:tcPr>
          <w:p w:rsidR="006E486C" w:rsidP="002F128C" w14:paraId="1AEBBF1F" w14:textId="77777777">
            <w:pPr>
              <w:jc w:val="right"/>
            </w:pPr>
            <w:r>
              <w:t>56</w:t>
            </w:r>
          </w:p>
        </w:tc>
      </w:tr>
      <w:tr w14:paraId="7AF0E2A4" w14:textId="77777777" w:rsidTr="003E24D9">
        <w:tblPrEx>
          <w:tblW w:w="5063" w:type="pct"/>
          <w:tblInd w:w="360" w:type="dxa"/>
          <w:tblLook w:val="01E0"/>
        </w:tblPrEx>
        <w:trPr>
          <w:cantSplit/>
          <w:trHeight w:val="197"/>
        </w:trPr>
        <w:tc>
          <w:tcPr>
            <w:tcW w:w="4338" w:type="pct"/>
            <w:gridSpan w:val="5"/>
            <w:shd w:val="clear" w:color="auto" w:fill="auto"/>
          </w:tcPr>
          <w:p w:rsidR="006E486C" w:rsidP="002F128C" w14:paraId="384DDD89" w14:textId="4BA78C9A">
            <w:r>
              <w:t>Total</w:t>
            </w:r>
          </w:p>
        </w:tc>
        <w:tc>
          <w:tcPr>
            <w:tcW w:w="662" w:type="pct"/>
            <w:shd w:val="clear" w:color="auto" w:fill="auto"/>
          </w:tcPr>
          <w:p w:rsidR="006E486C" w:rsidP="002F128C" w14:paraId="1E388FC9" w14:textId="77777777">
            <w:pPr>
              <w:jc w:val="right"/>
            </w:pPr>
            <w:r>
              <w:t>65</w:t>
            </w:r>
          </w:p>
        </w:tc>
      </w:tr>
    </w:tbl>
    <w:p w:rsidR="00DC04DE" w:rsidP="0022425B" w14:paraId="06339881" w14:textId="4F48A263">
      <w:pPr>
        <w:spacing w:after="200"/>
        <w:ind w:left="360"/>
        <w:rPr>
          <w:rFonts w:eastAsia="Calibri"/>
        </w:rPr>
      </w:pPr>
      <w:r w:rsidRPr="006E486C">
        <w:rPr>
          <w:rFonts w:eastAsia="Calibri"/>
          <w:vertAlign w:val="superscript"/>
        </w:rPr>
        <w:t>1</w:t>
      </w:r>
      <w:r w:rsidR="003E24D9">
        <w:rPr>
          <w:rFonts w:eastAsia="Calibri"/>
        </w:rPr>
        <w:t>Totals are r</w:t>
      </w:r>
      <w:r>
        <w:rPr>
          <w:rFonts w:eastAsia="Calibri"/>
        </w:rPr>
        <w:t>ounded to the nearest hour.</w:t>
      </w:r>
    </w:p>
    <w:p w:rsidR="00DC04DE" w:rsidRPr="00DC04DE" w:rsidP="00DC04DE" w14:paraId="046E4823" w14:textId="77777777">
      <w:pPr>
        <w:spacing w:after="200"/>
        <w:ind w:left="360"/>
        <w:rPr>
          <w:rFonts w:eastAsia="Calibri"/>
        </w:rPr>
      </w:pPr>
      <w:r w:rsidRPr="00DC04DE">
        <w:rPr>
          <w:rFonts w:eastAsia="Calibri"/>
        </w:rPr>
        <w:t xml:space="preserve">The targeted groups for this collection of information include representatives from the medical device industry, </w:t>
      </w:r>
      <w:r w:rsidRPr="00DC04DE">
        <w:rPr>
          <w:rFonts w:eastAsia="Calibri"/>
        </w:rPr>
        <w:t xml:space="preserve">academia, recipients of funding under section 305 of the Pediatric Medical Device Safety and Improvement Act of 2007 (Pub. L. 110-85; 42 U.S.C. 282 note), and trade organizations, medical provider organizations, organizations and individuals involved with </w:t>
      </w:r>
      <w:r w:rsidRPr="00DC04DE">
        <w:rPr>
          <w:rFonts w:eastAsia="Calibri"/>
        </w:rPr>
        <w:t>financing and reimbursement associated with medical devices, pediatric healthcare leaders, clinicians who regularly use medical devices in caring for children, and organizations and individuals representing patients and consumers.</w:t>
      </w:r>
    </w:p>
    <w:p w:rsidR="00DC04DE" w:rsidRPr="00DC04DE" w:rsidP="00DC04DE" w14:paraId="15D20DD5" w14:textId="500661BB">
      <w:pPr>
        <w:spacing w:after="200"/>
        <w:ind w:left="360"/>
        <w:rPr>
          <w:rFonts w:eastAsia="Calibri"/>
        </w:rPr>
      </w:pPr>
      <w:r w:rsidRPr="00DC04DE">
        <w:rPr>
          <w:rFonts w:eastAsia="Calibri"/>
        </w:rPr>
        <w:t>Phone</w:t>
      </w:r>
      <w:r w:rsidR="00E74270">
        <w:rPr>
          <w:rFonts w:eastAsia="Calibri"/>
        </w:rPr>
        <w:t xml:space="preserve"> (or video call)</w:t>
      </w:r>
      <w:r w:rsidRPr="00DC04DE">
        <w:rPr>
          <w:rFonts w:eastAsia="Calibri"/>
        </w:rPr>
        <w:t xml:space="preserve"> sur</w:t>
      </w:r>
      <w:r w:rsidRPr="00DC04DE">
        <w:rPr>
          <w:rFonts w:eastAsia="Calibri"/>
        </w:rPr>
        <w:t>vey: Respondents participating in the phone survey will be executives from companies either producing products in pediatrics or from companies that produce products that could be used in pediatrics. Executives will be invited to engage in the 30-minute pho</w:t>
      </w:r>
      <w:r w:rsidRPr="00DC04DE">
        <w:rPr>
          <w:rFonts w:eastAsia="Calibri"/>
        </w:rPr>
        <w:t>ne survey.</w:t>
      </w:r>
    </w:p>
    <w:p w:rsidR="00DC04DE" w:rsidRPr="006E486C" w:rsidP="00DC04DE" w14:paraId="366950D0" w14:textId="77777777">
      <w:pPr>
        <w:spacing w:after="200"/>
        <w:ind w:left="360"/>
        <w:rPr>
          <w:rFonts w:eastAsia="Calibri"/>
        </w:rPr>
      </w:pPr>
      <w:r w:rsidRPr="00DC04DE">
        <w:rPr>
          <w:rFonts w:eastAsia="Calibri"/>
        </w:rPr>
        <w:t>Online survey: The 1-hour online survey will be administered to leaders within pediatric companies and key decision makers in the pediatric medical device industry (e.g., venture capitalists, banking investors, leaders in children's hospitals an</w:t>
      </w:r>
      <w:r w:rsidRPr="00DC04DE">
        <w:rPr>
          <w:rFonts w:eastAsia="Calibri"/>
        </w:rPr>
        <w:t>d research networks, and pediatric patient advocates).</w:t>
      </w:r>
    </w:p>
    <w:p w:rsidR="008E18E1" w:rsidRPr="00696846" w:rsidP="001B4AB7" w14:paraId="014E0A64" w14:textId="77777777">
      <w:pPr>
        <w:keepNext/>
        <w:spacing w:after="200"/>
        <w:ind w:left="360"/>
        <w:rPr>
          <w:rFonts w:eastAsia="Calibri"/>
          <w:i/>
        </w:rPr>
      </w:pPr>
      <w:r w:rsidRPr="005C71CA">
        <w:rPr>
          <w:rFonts w:eastAsia="Calibri"/>
        </w:rPr>
        <w:t>12b.  Annualized Cost Burden Estimate</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3"/>
        <w:gridCol w:w="1890"/>
        <w:gridCol w:w="1944"/>
        <w:gridCol w:w="1926"/>
      </w:tblGrid>
      <w:tr w14:paraId="29DF7C5F" w14:textId="77777777" w:rsidTr="003E24D9">
        <w:tblPrEx>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903" w:type="dxa"/>
            <w:shd w:val="clear" w:color="auto" w:fill="auto"/>
          </w:tcPr>
          <w:p w:rsidR="00A707CC" w:rsidP="001B4AB7" w14:paraId="29F1551A" w14:textId="77777777">
            <w:pPr>
              <w:keepNext/>
              <w:jc w:val="center"/>
            </w:pPr>
            <w:r w:rsidRPr="00355B62">
              <w:t>Type of Respondent</w:t>
            </w:r>
          </w:p>
        </w:tc>
        <w:tc>
          <w:tcPr>
            <w:tcW w:w="1890" w:type="dxa"/>
            <w:shd w:val="clear" w:color="auto" w:fill="auto"/>
          </w:tcPr>
          <w:p w:rsidR="00A707CC" w:rsidP="001B4AB7" w14:paraId="2A5A97D2" w14:textId="77777777">
            <w:pPr>
              <w:keepNext/>
              <w:jc w:val="center"/>
            </w:pPr>
            <w:r>
              <w:t>Total Burden Hours</w:t>
            </w:r>
          </w:p>
        </w:tc>
        <w:tc>
          <w:tcPr>
            <w:tcW w:w="1944" w:type="dxa"/>
            <w:shd w:val="clear" w:color="auto" w:fill="auto"/>
          </w:tcPr>
          <w:p w:rsidR="00A707CC" w:rsidP="001B4AB7" w14:paraId="707F1C4E" w14:textId="6A1AE0F9">
            <w:pPr>
              <w:keepNext/>
              <w:jc w:val="center"/>
            </w:pPr>
            <w:r>
              <w:t>Hourly Wage Rate</w:t>
            </w:r>
            <w:r w:rsidRPr="001B4AB7" w:rsidR="005A7B1D">
              <w:rPr>
                <w:vertAlign w:val="superscript"/>
              </w:rPr>
              <w:t>1</w:t>
            </w:r>
          </w:p>
        </w:tc>
        <w:tc>
          <w:tcPr>
            <w:tcW w:w="1926" w:type="dxa"/>
            <w:shd w:val="clear" w:color="auto" w:fill="auto"/>
          </w:tcPr>
          <w:p w:rsidR="00A707CC" w:rsidP="001B4AB7" w14:paraId="576DC9B1" w14:textId="77777777">
            <w:pPr>
              <w:keepNext/>
              <w:jc w:val="center"/>
            </w:pPr>
            <w:r>
              <w:t>Total Respondent Costs</w:t>
            </w:r>
          </w:p>
        </w:tc>
      </w:tr>
      <w:tr w14:paraId="2C067639" w14:textId="77777777" w:rsidTr="003E24D9">
        <w:tblPrEx>
          <w:tblW w:w="0" w:type="auto"/>
          <w:tblInd w:w="445" w:type="dxa"/>
          <w:tblLook w:val="01E0"/>
        </w:tblPrEx>
        <w:tc>
          <w:tcPr>
            <w:tcW w:w="2903" w:type="dxa"/>
            <w:shd w:val="clear" w:color="auto" w:fill="auto"/>
          </w:tcPr>
          <w:p w:rsidR="00A707CC" w:rsidP="001B4AB7" w14:paraId="7DB2FFA8" w14:textId="77777777">
            <w:pPr>
              <w:keepNext/>
              <w:jc w:val="center"/>
            </w:pPr>
            <w:r>
              <w:t>Medical and Health Services Managers</w:t>
            </w:r>
          </w:p>
        </w:tc>
        <w:tc>
          <w:tcPr>
            <w:tcW w:w="1890" w:type="dxa"/>
            <w:shd w:val="clear" w:color="auto" w:fill="auto"/>
          </w:tcPr>
          <w:p w:rsidR="00A707CC" w:rsidP="001B4AB7" w14:paraId="5706C43E" w14:textId="77777777">
            <w:pPr>
              <w:keepNext/>
              <w:jc w:val="center"/>
            </w:pPr>
            <w:r>
              <w:t>65</w:t>
            </w:r>
          </w:p>
        </w:tc>
        <w:tc>
          <w:tcPr>
            <w:tcW w:w="1944" w:type="dxa"/>
            <w:shd w:val="clear" w:color="auto" w:fill="auto"/>
          </w:tcPr>
          <w:p w:rsidR="00A707CC" w:rsidRPr="00E9780B" w:rsidP="001B4AB7" w14:paraId="39A3743D" w14:textId="5F2C9EE3">
            <w:pPr>
              <w:keepNext/>
              <w:jc w:val="center"/>
            </w:pPr>
            <w:r>
              <w:t>$</w:t>
            </w:r>
            <w:r w:rsidR="00867010">
              <w:t>123.00</w:t>
            </w:r>
          </w:p>
        </w:tc>
        <w:tc>
          <w:tcPr>
            <w:tcW w:w="1926" w:type="dxa"/>
            <w:shd w:val="clear" w:color="auto" w:fill="auto"/>
          </w:tcPr>
          <w:p w:rsidR="00A707CC" w:rsidP="001B4AB7" w14:paraId="4EAF0959" w14:textId="5D537497">
            <w:pPr>
              <w:keepNext/>
              <w:jc w:val="center"/>
            </w:pPr>
            <w:r>
              <w:t>$</w:t>
            </w:r>
            <w:r w:rsidR="00020470">
              <w:t>7,995</w:t>
            </w:r>
          </w:p>
        </w:tc>
      </w:tr>
    </w:tbl>
    <w:p w:rsidR="008E18E1" w:rsidRPr="00BD24F7" w:rsidP="003E24D9" w14:paraId="0EF228D9" w14:textId="0AFDF383">
      <w:pPr>
        <w:ind w:left="450" w:hanging="90"/>
        <w:rPr>
          <w:sz w:val="20"/>
          <w:szCs w:val="20"/>
        </w:rPr>
      </w:pPr>
      <w:r>
        <w:rPr>
          <w:rFonts w:eastAsia="Calibri"/>
          <w:vertAlign w:val="superscript"/>
        </w:rPr>
        <w:tab/>
      </w:r>
      <w:r w:rsidRPr="004B6A67">
        <w:rPr>
          <w:rFonts w:eastAsia="Calibri"/>
          <w:vertAlign w:val="superscript"/>
        </w:rPr>
        <w:t>1</w:t>
      </w:r>
      <w:r w:rsidR="005A7B1D">
        <w:rPr>
          <w:rFonts w:eastAsia="Calibri"/>
          <w:vertAlign w:val="superscript"/>
        </w:rPr>
        <w:t xml:space="preserve"> </w:t>
      </w:r>
      <w:r>
        <w:rPr>
          <w:sz w:val="20"/>
          <w:szCs w:val="20"/>
        </w:rPr>
        <w:t xml:space="preserve">Hourly </w:t>
      </w:r>
      <w:r w:rsidR="00267933">
        <w:rPr>
          <w:sz w:val="20"/>
          <w:szCs w:val="20"/>
        </w:rPr>
        <w:t>w</w:t>
      </w:r>
      <w:r>
        <w:rPr>
          <w:sz w:val="20"/>
          <w:szCs w:val="20"/>
        </w:rPr>
        <w:t xml:space="preserve">age </w:t>
      </w:r>
      <w:r w:rsidR="00267933">
        <w:rPr>
          <w:sz w:val="20"/>
          <w:szCs w:val="20"/>
        </w:rPr>
        <w:t>r</w:t>
      </w:r>
      <w:r>
        <w:rPr>
          <w:sz w:val="20"/>
          <w:szCs w:val="20"/>
        </w:rPr>
        <w:t xml:space="preserve">ates have been doubled to account for benefits and </w:t>
      </w:r>
      <w:r w:rsidR="006225B0">
        <w:rPr>
          <w:sz w:val="20"/>
          <w:szCs w:val="20"/>
        </w:rPr>
        <w:t>overhead and</w:t>
      </w:r>
      <w:r>
        <w:rPr>
          <w:sz w:val="20"/>
          <w:szCs w:val="20"/>
        </w:rPr>
        <w:t xml:space="preserve"> rounded to the nearest dollar.</w:t>
      </w:r>
      <w:r w:rsidR="00BD24F7">
        <w:rPr>
          <w:sz w:val="20"/>
          <w:szCs w:val="20"/>
        </w:rPr>
        <w:t xml:space="preserve"> </w:t>
      </w:r>
      <w:r w:rsidRPr="00D132BE">
        <w:rPr>
          <w:sz w:val="20"/>
        </w:rPr>
        <w:t>Approximate hourly wage rate is based on the Bureau of Labor and Statistics</w:t>
      </w:r>
      <w:r>
        <w:rPr>
          <w:sz w:val="20"/>
        </w:rPr>
        <w:t>’</w:t>
      </w:r>
      <w:r w:rsidRPr="00D132BE">
        <w:rPr>
          <w:sz w:val="20"/>
        </w:rPr>
        <w:t xml:space="preserve"> May </w:t>
      </w:r>
      <w:r>
        <w:rPr>
          <w:sz w:val="20"/>
        </w:rPr>
        <w:t>202</w:t>
      </w:r>
      <w:r w:rsidR="00267933">
        <w:rPr>
          <w:sz w:val="20"/>
        </w:rPr>
        <w:t>2</w:t>
      </w:r>
      <w:r w:rsidRPr="00D132BE">
        <w:rPr>
          <w:sz w:val="20"/>
        </w:rPr>
        <w:t xml:space="preserve"> National Occupational Employment and Wage Estimates for </w:t>
      </w:r>
      <w:r w:rsidR="00DC364E">
        <w:rPr>
          <w:sz w:val="20"/>
        </w:rPr>
        <w:t xml:space="preserve">Medical and Health Services Managers (occupational code </w:t>
      </w:r>
      <w:r w:rsidR="00446CE8">
        <w:rPr>
          <w:sz w:val="20"/>
        </w:rPr>
        <w:t>11-9111</w:t>
      </w:r>
      <w:r w:rsidR="00DC364E">
        <w:rPr>
          <w:sz w:val="20"/>
        </w:rPr>
        <w:t>)</w:t>
      </w:r>
      <w:r w:rsidRPr="00D132BE">
        <w:rPr>
          <w:sz w:val="20"/>
        </w:rPr>
        <w:t xml:space="preserve"> (</w:t>
      </w:r>
      <w:hyperlink r:id="rId8" w:history="1">
        <w:r w:rsidRPr="00446CE8">
          <w:rPr>
            <w:rStyle w:val="Hyperlink"/>
            <w:sz w:val="20"/>
          </w:rPr>
          <w:t>http://www.bls.gov/oes/current/oes_nat.htm</w:t>
        </w:r>
      </w:hyperlink>
      <w:r w:rsidRPr="00D132BE">
        <w:rPr>
          <w:sz w:val="20"/>
        </w:rPr>
        <w:t>).</w:t>
      </w:r>
    </w:p>
    <w:p w:rsidR="008E18E1" w:rsidRPr="004450E0" w:rsidP="00357C8A" w14:paraId="7B15D2E3" w14:textId="77777777">
      <w:pPr>
        <w:rPr>
          <w:rFonts w:eastAsia="Calibri"/>
        </w:rPr>
      </w:pPr>
    </w:p>
    <w:p w:rsidR="00357C8A" w:rsidRPr="00357C8A" w:rsidP="006705EA" w14:paraId="0F48484D"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890BE6" w:rsidRPr="00890BE6" w:rsidP="006225B0" w14:paraId="630A72EF" w14:textId="77777777">
      <w:pPr>
        <w:spacing w:after="200"/>
        <w:rPr>
          <w:rFonts w:eastAsia="Calibri"/>
          <w:u w:val="single"/>
        </w:rPr>
      </w:pPr>
      <w:r w:rsidRPr="00890BE6">
        <w:rPr>
          <w:rFonts w:eastAsia="Calibri"/>
        </w:rPr>
        <w:t>There are no capital, start-up, operating or maintenance costs associated with this information collection.</w:t>
      </w:r>
    </w:p>
    <w:p w:rsidR="00357C8A" w:rsidRPr="00357C8A" w:rsidP="006705EA" w14:paraId="22E8272C"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564F6F" w:rsidRPr="00564F6F" w:rsidP="006225B0" w14:paraId="3F338F7D" w14:textId="1096ADB6">
      <w:pPr>
        <w:spacing w:after="200"/>
        <w:rPr>
          <w:rFonts w:eastAsia="Calibri"/>
        </w:rPr>
      </w:pPr>
      <w:r w:rsidRPr="00564F6F">
        <w:rPr>
          <w:rFonts w:eastAsia="Calibri"/>
        </w:rPr>
        <w:t xml:space="preserve">FDA estimates that </w:t>
      </w:r>
      <w:r w:rsidR="00BA4670">
        <w:rPr>
          <w:rFonts w:eastAsia="Calibri"/>
        </w:rPr>
        <w:t>two</w:t>
      </w:r>
      <w:r w:rsidRPr="00564F6F">
        <w:rPr>
          <w:rFonts w:eastAsia="Calibri"/>
        </w:rPr>
        <w:t xml:space="preserve"> full time equivalent (FTE) positions are </w:t>
      </w:r>
      <w:r w:rsidR="008401EF">
        <w:rPr>
          <w:rFonts w:eastAsia="Calibri"/>
        </w:rPr>
        <w:t>needed for the administration of the information collection</w:t>
      </w:r>
      <w:r w:rsidRPr="00564F6F">
        <w:rPr>
          <w:rFonts w:eastAsia="Calibri"/>
        </w:rPr>
        <w:t>. Based on a</w:t>
      </w:r>
      <w:r w:rsidR="008401EF">
        <w:rPr>
          <w:rFonts w:eastAsia="Calibri"/>
        </w:rPr>
        <w:t>n</w:t>
      </w:r>
      <w:r w:rsidRPr="00564F6F">
        <w:rPr>
          <w:rFonts w:eastAsia="Calibri"/>
        </w:rPr>
        <w:t xml:space="preserve"> </w:t>
      </w:r>
      <w:r w:rsidR="008401EF">
        <w:rPr>
          <w:rFonts w:eastAsia="Calibri"/>
        </w:rPr>
        <w:t xml:space="preserve">internal </w:t>
      </w:r>
      <w:r w:rsidRPr="00564F6F">
        <w:rPr>
          <w:rFonts w:eastAsia="Calibri"/>
        </w:rPr>
        <w:t xml:space="preserve">cost </w:t>
      </w:r>
      <w:r w:rsidR="008401EF">
        <w:rPr>
          <w:rFonts w:eastAsia="Calibri"/>
        </w:rPr>
        <w:t xml:space="preserve">model, we assume a </w:t>
      </w:r>
      <w:r w:rsidR="003E24D9">
        <w:rPr>
          <w:rFonts w:eastAsia="Calibri"/>
        </w:rPr>
        <w:t>fully loaded</w:t>
      </w:r>
      <w:r w:rsidR="008401EF">
        <w:rPr>
          <w:rFonts w:eastAsia="Calibri"/>
        </w:rPr>
        <w:t xml:space="preserve"> cost </w:t>
      </w:r>
      <w:r w:rsidRPr="00564F6F">
        <w:rPr>
          <w:rFonts w:eastAsia="Calibri"/>
        </w:rPr>
        <w:t>of $</w:t>
      </w:r>
      <w:r w:rsidR="0006140D">
        <w:rPr>
          <w:rFonts w:eastAsia="Calibri"/>
        </w:rPr>
        <w:t>297,561</w:t>
      </w:r>
      <w:r w:rsidRPr="00564F6F">
        <w:rPr>
          <w:rFonts w:eastAsia="Calibri"/>
        </w:rPr>
        <w:t xml:space="preserve"> per position</w:t>
      </w:r>
      <w:r w:rsidR="0006140D">
        <w:rPr>
          <w:rFonts w:eastAsia="Calibri"/>
        </w:rPr>
        <w:t>.</w:t>
      </w:r>
      <w:r w:rsidRPr="00564F6F">
        <w:rPr>
          <w:rFonts w:eastAsia="Calibri"/>
        </w:rPr>
        <w:t xml:space="preserve"> </w:t>
      </w:r>
      <w:r w:rsidR="0006140D">
        <w:rPr>
          <w:rFonts w:eastAsia="Calibri"/>
        </w:rPr>
        <w:t>We calculate the</w:t>
      </w:r>
      <w:r w:rsidRPr="00564F6F">
        <w:rPr>
          <w:rFonts w:eastAsia="Calibri"/>
        </w:rPr>
        <w:t xml:space="preserve"> annual Federal cost </w:t>
      </w:r>
      <w:r w:rsidR="0006140D">
        <w:rPr>
          <w:rFonts w:eastAsia="Calibri"/>
        </w:rPr>
        <w:t>to be</w:t>
      </w:r>
      <w:r w:rsidRPr="00564F6F" w:rsidR="0006140D">
        <w:rPr>
          <w:rFonts w:eastAsia="Calibri"/>
        </w:rPr>
        <w:t xml:space="preserve"> </w:t>
      </w:r>
      <w:r w:rsidRPr="00564F6F">
        <w:rPr>
          <w:rFonts w:eastAsia="Calibri"/>
        </w:rPr>
        <w:t>$</w:t>
      </w:r>
      <w:r w:rsidR="00AA1A75">
        <w:rPr>
          <w:rFonts w:eastAsia="Calibri"/>
        </w:rPr>
        <w:t>595,122</w:t>
      </w:r>
      <w:r w:rsidRPr="00564F6F">
        <w:rPr>
          <w:rFonts w:eastAsia="Calibri"/>
        </w:rPr>
        <w:t>.</w:t>
      </w:r>
    </w:p>
    <w:p w:rsidR="00357C8A" w:rsidRPr="00564F6F" w:rsidP="00564F6F" w14:paraId="0399D502" w14:textId="77777777">
      <w:pPr>
        <w:spacing w:after="200" w:line="276" w:lineRule="auto"/>
        <w:rPr>
          <w:rFonts w:eastAsia="Calibri"/>
        </w:rPr>
      </w:pPr>
      <w:r>
        <w:rPr>
          <w:rFonts w:eastAsia="Calibri"/>
        </w:rPr>
        <w:t xml:space="preserve">15. </w:t>
      </w:r>
      <w:r w:rsidRPr="00357C8A">
        <w:rPr>
          <w:rFonts w:eastAsia="Calibri"/>
          <w:u w:val="single"/>
        </w:rPr>
        <w:t>Explanation for Program Changes or Adjustments</w:t>
      </w:r>
    </w:p>
    <w:p w:rsidR="00357C8A" w:rsidRPr="004A5323" w:rsidP="00E443A7" w14:paraId="3F8D5FA1" w14:textId="3E9FB842">
      <w:pPr>
        <w:spacing w:after="200"/>
        <w:rPr>
          <w:rFonts w:eastAsia="Calibri"/>
        </w:rPr>
      </w:pPr>
      <w:r w:rsidRPr="007E59A8">
        <w:rPr>
          <w:rFonts w:eastAsia="Calibri"/>
        </w:rPr>
        <w:t xml:space="preserve">This is a </w:t>
      </w:r>
      <w:r>
        <w:rPr>
          <w:rFonts w:eastAsia="Calibri"/>
        </w:rPr>
        <w:t>reinstatement without change of an</w:t>
      </w:r>
      <w:r w:rsidRPr="007E59A8">
        <w:rPr>
          <w:rFonts w:eastAsia="Calibri"/>
        </w:rPr>
        <w:t xml:space="preserve"> information collection</w:t>
      </w:r>
      <w:r w:rsidR="00331C9E">
        <w:rPr>
          <w:rFonts w:eastAsia="Calibri"/>
        </w:rPr>
        <w:t xml:space="preserve"> that FDA did not have an opportunity to complete before the OMB approval expiration date. </w:t>
      </w:r>
      <w:r w:rsidRPr="00331C9E" w:rsidR="00331C9E">
        <w:rPr>
          <w:rFonts w:eastAsia="Calibri"/>
        </w:rPr>
        <w:t>Substantial turnover in the graduate students administering the survey made it necessary to bring in a new cohort of students and train them in the issues relevant to the survey. As a result, we were unable to field the B12 Pediatrics survey before the OMB approval expiration date and are seeking a reinstatement to complete data collection. To better ensure timely completion of the data collection, the Yale CERSI team has shifted responsibility for conducting the survey and other aspects of the study to a Yale Staff Associate Research Scientist.</w:t>
      </w:r>
    </w:p>
    <w:p w:rsidR="00D12219" w:rsidP="00814D3A" w14:paraId="2D9A7C48" w14:textId="77777777">
      <w:pPr>
        <w:spacing w:after="200" w:line="276" w:lineRule="auto"/>
        <w:rPr>
          <w:rFonts w:eastAsia="Calibri"/>
          <w:u w:val="single"/>
        </w:rPr>
      </w:pPr>
      <w:r w:rsidRPr="00564F6F">
        <w:rPr>
          <w:rFonts w:eastAsia="Calibri"/>
        </w:rPr>
        <w:t>16.</w:t>
      </w:r>
      <w:r>
        <w:rPr>
          <w:rFonts w:eastAsia="Calibri"/>
        </w:rPr>
        <w:t xml:space="preserve"> </w:t>
      </w:r>
      <w:r w:rsidRPr="00357C8A" w:rsidR="00357C8A">
        <w:rPr>
          <w:rFonts w:eastAsia="Calibri"/>
          <w:u w:val="single"/>
        </w:rPr>
        <w:t>Plans for Tabulation and Publication and Project Time Schedule</w:t>
      </w:r>
    </w:p>
    <w:p w:rsidR="00A52664" w:rsidP="006225B0" w14:paraId="1A9E9300" w14:textId="77777777">
      <w:pPr>
        <w:spacing w:after="200"/>
      </w:pPr>
      <w:r>
        <w:t xml:space="preserve">FDA and Yale plan to publish </w:t>
      </w:r>
      <w:r w:rsidR="00814D3A">
        <w:t>a manuscript</w:t>
      </w:r>
      <w:r>
        <w:t xml:space="preserve"> that summarizes </w:t>
      </w:r>
      <w:r>
        <w:t xml:space="preserve">the data </w:t>
      </w:r>
      <w:r w:rsidR="00814D3A">
        <w:t>in a peer-reviewed scientific/academic journal</w:t>
      </w:r>
      <w:r>
        <w:t xml:space="preserve">. </w:t>
      </w:r>
    </w:p>
    <w:p w:rsidR="00A52664" w:rsidP="006225B0" w14:paraId="507A2D5B" w14:textId="77777777">
      <w:pPr>
        <w:spacing w:after="200"/>
      </w:pPr>
      <w:r>
        <w:t xml:space="preserve">Numeric data will be tabulated and summarized utilizing basic descriptive statistics, such as measures of frequency, central tendency, dispersion or variation, and position. </w:t>
      </w:r>
      <w:r w:rsidR="002F15FC">
        <w:t xml:space="preserve">In addition, inferential, and potentially associational, statistical analysis techniques may be used. </w:t>
      </w:r>
    </w:p>
    <w:p w:rsidR="002F15FC" w:rsidP="006225B0" w14:paraId="7A2AEB66" w14:textId="77777777">
      <w:pPr>
        <w:spacing w:after="200"/>
      </w:pPr>
      <w:r>
        <w:t xml:space="preserve">Qualitative data may also be presented in a tabular format, evaluated via analytical methods such as thematic analysis and grounded theory analysis. </w:t>
      </w:r>
    </w:p>
    <w:p w:rsidR="004450E0" w:rsidP="006225B0" w14:paraId="5B95A51C" w14:textId="7DAC78C9">
      <w:pPr>
        <w:spacing w:after="200"/>
      </w:pPr>
      <w:r>
        <w:t>Initiation of this survey w</w:t>
      </w:r>
      <w:r>
        <w:t xml:space="preserve">ill begin shortly after </w:t>
      </w:r>
      <w:r w:rsidR="003C4C46">
        <w:t>OMB approval</w:t>
      </w:r>
      <w:r>
        <w:t xml:space="preserve">. </w:t>
      </w:r>
      <w:r w:rsidR="00190A09">
        <w:t>The survey, d</w:t>
      </w:r>
      <w:r w:rsidR="0099333A">
        <w:t>ata tabulation</w:t>
      </w:r>
      <w:r w:rsidR="00B31AE9">
        <w:t>,</w:t>
      </w:r>
      <w:r w:rsidR="0099333A">
        <w:t xml:space="preserve"> general analysis </w:t>
      </w:r>
      <w:r w:rsidR="00190A09">
        <w:t xml:space="preserve">are </w:t>
      </w:r>
      <w:r w:rsidR="00E03FC7">
        <w:t xml:space="preserve">expected </w:t>
      </w:r>
      <w:r w:rsidR="00190A09">
        <w:t>to take</w:t>
      </w:r>
      <w:r w:rsidR="003F2E41">
        <w:t xml:space="preserve"> approximately</w:t>
      </w:r>
      <w:r w:rsidR="00190A09">
        <w:t xml:space="preserve"> </w:t>
      </w:r>
      <w:r w:rsidR="003F2E41">
        <w:t>12-18 months</w:t>
      </w:r>
      <w:r w:rsidR="00E03FC7">
        <w:t>. D</w:t>
      </w:r>
      <w:r w:rsidR="0099333A">
        <w:t xml:space="preserve">rafting and submission of the associated manuscript to a select peer-reviewed journal, potential acceptance by a journal, and final publication is anticipated </w:t>
      </w:r>
      <w:r w:rsidR="003F2E41">
        <w:t>in</w:t>
      </w:r>
      <w:r w:rsidR="0099333A">
        <w:t xml:space="preserve"> the </w:t>
      </w:r>
      <w:r w:rsidR="003F2E41">
        <w:t xml:space="preserve">following </w:t>
      </w:r>
      <w:r w:rsidR="0099333A">
        <w:t xml:space="preserve">calendar year. </w:t>
      </w:r>
    </w:p>
    <w:p w:rsidR="005C36DC" w:rsidP="00ED010C" w14:paraId="16EC0328" w14:textId="77777777">
      <w:pPr>
        <w:pStyle w:val="Default"/>
        <w:rPr>
          <w:rFonts w:eastAsia="Calibri"/>
          <w:u w:val="single"/>
        </w:rPr>
      </w:pPr>
      <w:r>
        <w:t xml:space="preserve">17. </w:t>
      </w:r>
      <w:r w:rsidRPr="00357C8A" w:rsidR="00357C8A">
        <w:rPr>
          <w:rFonts w:eastAsia="Calibri"/>
          <w:u w:val="single"/>
        </w:rPr>
        <w:t>Reason(s) Display of OMB Expiration Date is Inappropriate</w:t>
      </w:r>
    </w:p>
    <w:p w:rsidR="00ED010C" w:rsidRPr="00ED010C" w:rsidP="00ED010C" w14:paraId="7741E327" w14:textId="77777777">
      <w:pPr>
        <w:pStyle w:val="Default"/>
      </w:pPr>
    </w:p>
    <w:p w:rsidR="00ED010C" w:rsidP="00ED010C" w14:paraId="35B45644" w14:textId="77777777">
      <w:r>
        <w:rPr>
          <w:color w:val="000000"/>
        </w:rPr>
        <w:t>FDA will display the OMB expiration date as required by 5 CFR 1320.5.</w:t>
      </w:r>
    </w:p>
    <w:p w:rsidR="00ED010C" w:rsidRPr="00ED010C" w:rsidP="00ED010C" w14:paraId="625E355C" w14:textId="77777777"/>
    <w:p w:rsidR="00357C8A" w:rsidRPr="00357C8A" w:rsidP="00496A0B" w14:paraId="5331EF46" w14:textId="77777777">
      <w:pPr>
        <w:spacing w:after="200" w:line="276" w:lineRule="auto"/>
        <w:rPr>
          <w:rFonts w:eastAsia="Calibri"/>
          <w:u w:val="single"/>
        </w:rPr>
      </w:pPr>
      <w:r w:rsidRPr="00496A0B">
        <w:rPr>
          <w:rFonts w:eastAsia="Calibri"/>
        </w:rPr>
        <w:t>18.</w:t>
      </w:r>
      <w:r>
        <w:rPr>
          <w:rFonts w:eastAsia="Calibri"/>
        </w:rPr>
        <w:t xml:space="preserve"> </w:t>
      </w:r>
      <w:r w:rsidRPr="00357C8A">
        <w:rPr>
          <w:rFonts w:eastAsia="Calibri"/>
          <w:u w:val="single"/>
        </w:rPr>
        <w:t xml:space="preserve">Exceptions to Certification for </w:t>
      </w:r>
      <w:r w:rsidRPr="00357C8A">
        <w:rPr>
          <w:rFonts w:eastAsia="Calibri"/>
          <w:u w:val="single"/>
        </w:rPr>
        <w:t>Paperwork Reduction Act Submissions</w:t>
      </w:r>
    </w:p>
    <w:p w:rsidR="007E59A8" w:rsidP="00357C8A" w14:paraId="3DB53D00" w14:textId="77777777">
      <w:pPr>
        <w:spacing w:after="200"/>
        <w:rPr>
          <w:rFonts w:eastAsia="Calibri"/>
        </w:rPr>
      </w:pPr>
      <w:r>
        <w:rPr>
          <w:rFonts w:eastAsia="Calibri"/>
        </w:rPr>
        <w:t xml:space="preserve"> </w:t>
      </w:r>
      <w:r w:rsidRPr="007E59A8">
        <w:rPr>
          <w:rFonts w:eastAsia="Calibri"/>
        </w:rPr>
        <w:t>There are no exceptions to the certification</w:t>
      </w:r>
      <w:r>
        <w:rPr>
          <w:rFonts w:eastAsia="Calibri"/>
        </w:rPr>
        <w:t>.</w:t>
      </w:r>
    </w:p>
    <w:sectPr w:rsidSect="005C71CA">
      <w:headerReference w:type="even" r:id="rId9"/>
      <w:headerReference w:type="default" r:id="rId10"/>
      <w:footerReference w:type="even" r:id="rId11"/>
      <w:footerReference w:type="default" r:id="rId12"/>
      <w:headerReference w:type="first" r:id="rId13"/>
      <w:footerReference w:type="first" r:id="rId14"/>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1DAC2EE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7190881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F458C5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0A2584E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561D" w14:paraId="37BB6D9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561D" w14:paraId="421E5F6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561D" w14:paraId="34DF8D7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561D" w14:paraId="4F0BFAC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027291763">
    <w:abstractNumId w:val="5"/>
  </w:num>
  <w:num w:numId="2" w16cid:durableId="768963017">
    <w:abstractNumId w:val="1"/>
  </w:num>
  <w:num w:numId="3" w16cid:durableId="1097361919">
    <w:abstractNumId w:val="6"/>
  </w:num>
  <w:num w:numId="4" w16cid:durableId="1209412305">
    <w:abstractNumId w:val="3"/>
  </w:num>
  <w:num w:numId="5" w16cid:durableId="1663505421">
    <w:abstractNumId w:val="7"/>
  </w:num>
  <w:num w:numId="6" w16cid:durableId="489447158">
    <w:abstractNumId w:val="0"/>
  </w:num>
  <w:num w:numId="7" w16cid:durableId="217134692">
    <w:abstractNumId w:val="2"/>
  </w:num>
  <w:num w:numId="8" w16cid:durableId="131819482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11EF0"/>
    <w:rsid w:val="000161E3"/>
    <w:rsid w:val="00020470"/>
    <w:rsid w:val="0002385B"/>
    <w:rsid w:val="0003058A"/>
    <w:rsid w:val="00031A2C"/>
    <w:rsid w:val="00042B93"/>
    <w:rsid w:val="00043C7F"/>
    <w:rsid w:val="000467A8"/>
    <w:rsid w:val="00057A30"/>
    <w:rsid w:val="0006140D"/>
    <w:rsid w:val="0006570F"/>
    <w:rsid w:val="00075DE8"/>
    <w:rsid w:val="000809CE"/>
    <w:rsid w:val="00087439"/>
    <w:rsid w:val="000C1260"/>
    <w:rsid w:val="000C560C"/>
    <w:rsid w:val="000D080B"/>
    <w:rsid w:val="000D48FD"/>
    <w:rsid w:val="000D6EB9"/>
    <w:rsid w:val="000D79CC"/>
    <w:rsid w:val="000E1C64"/>
    <w:rsid w:val="000E4C00"/>
    <w:rsid w:val="000F7119"/>
    <w:rsid w:val="00100739"/>
    <w:rsid w:val="00102064"/>
    <w:rsid w:val="0010493E"/>
    <w:rsid w:val="001075D3"/>
    <w:rsid w:val="00107885"/>
    <w:rsid w:val="00114FC4"/>
    <w:rsid w:val="00122E7E"/>
    <w:rsid w:val="0012329C"/>
    <w:rsid w:val="0013122A"/>
    <w:rsid w:val="00134FA7"/>
    <w:rsid w:val="00137950"/>
    <w:rsid w:val="00145862"/>
    <w:rsid w:val="00152F29"/>
    <w:rsid w:val="00174D54"/>
    <w:rsid w:val="00176D6D"/>
    <w:rsid w:val="0017702C"/>
    <w:rsid w:val="00185270"/>
    <w:rsid w:val="00190A09"/>
    <w:rsid w:val="001A3B5A"/>
    <w:rsid w:val="001A458C"/>
    <w:rsid w:val="001B4AB7"/>
    <w:rsid w:val="001B7CE9"/>
    <w:rsid w:val="001D495A"/>
    <w:rsid w:val="001E244C"/>
    <w:rsid w:val="001F1437"/>
    <w:rsid w:val="00206799"/>
    <w:rsid w:val="002074FE"/>
    <w:rsid w:val="0022425B"/>
    <w:rsid w:val="002259EF"/>
    <w:rsid w:val="00242ED1"/>
    <w:rsid w:val="002444BB"/>
    <w:rsid w:val="00254069"/>
    <w:rsid w:val="00267933"/>
    <w:rsid w:val="002679DF"/>
    <w:rsid w:val="00270748"/>
    <w:rsid w:val="002734E5"/>
    <w:rsid w:val="002746DB"/>
    <w:rsid w:val="00280CAF"/>
    <w:rsid w:val="00282F09"/>
    <w:rsid w:val="00291810"/>
    <w:rsid w:val="00294D62"/>
    <w:rsid w:val="00297532"/>
    <w:rsid w:val="00297FFD"/>
    <w:rsid w:val="002A1210"/>
    <w:rsid w:val="002A47D2"/>
    <w:rsid w:val="002A7FB5"/>
    <w:rsid w:val="002B2074"/>
    <w:rsid w:val="002D14D8"/>
    <w:rsid w:val="002D4799"/>
    <w:rsid w:val="002E3FA4"/>
    <w:rsid w:val="002E53A5"/>
    <w:rsid w:val="002E64B8"/>
    <w:rsid w:val="002E6834"/>
    <w:rsid w:val="002F128C"/>
    <w:rsid w:val="002F15FC"/>
    <w:rsid w:val="003060AF"/>
    <w:rsid w:val="00307F7B"/>
    <w:rsid w:val="003113FF"/>
    <w:rsid w:val="00312622"/>
    <w:rsid w:val="0032277F"/>
    <w:rsid w:val="00331C9E"/>
    <w:rsid w:val="003333F3"/>
    <w:rsid w:val="00336B69"/>
    <w:rsid w:val="0034302B"/>
    <w:rsid w:val="00350523"/>
    <w:rsid w:val="0035189D"/>
    <w:rsid w:val="00353220"/>
    <w:rsid w:val="00355B62"/>
    <w:rsid w:val="00357C8A"/>
    <w:rsid w:val="003740BC"/>
    <w:rsid w:val="0037456B"/>
    <w:rsid w:val="003801A3"/>
    <w:rsid w:val="00383D90"/>
    <w:rsid w:val="003870AE"/>
    <w:rsid w:val="003922C2"/>
    <w:rsid w:val="003A1A27"/>
    <w:rsid w:val="003A50CC"/>
    <w:rsid w:val="003B42B3"/>
    <w:rsid w:val="003B6384"/>
    <w:rsid w:val="003C0FE2"/>
    <w:rsid w:val="003C4C46"/>
    <w:rsid w:val="003C4EBB"/>
    <w:rsid w:val="003D1531"/>
    <w:rsid w:val="003E24D9"/>
    <w:rsid w:val="003E4EC6"/>
    <w:rsid w:val="003E527E"/>
    <w:rsid w:val="003E553E"/>
    <w:rsid w:val="003E7078"/>
    <w:rsid w:val="003F2E41"/>
    <w:rsid w:val="003F3DF5"/>
    <w:rsid w:val="003F5A6E"/>
    <w:rsid w:val="003F73B8"/>
    <w:rsid w:val="0040297E"/>
    <w:rsid w:val="00411D11"/>
    <w:rsid w:val="00414494"/>
    <w:rsid w:val="00415E23"/>
    <w:rsid w:val="0041670D"/>
    <w:rsid w:val="0041703A"/>
    <w:rsid w:val="00423272"/>
    <w:rsid w:val="00424061"/>
    <w:rsid w:val="00442A3C"/>
    <w:rsid w:val="00443969"/>
    <w:rsid w:val="004450E0"/>
    <w:rsid w:val="00446CE8"/>
    <w:rsid w:val="00447D74"/>
    <w:rsid w:val="00450A74"/>
    <w:rsid w:val="004546BF"/>
    <w:rsid w:val="00465350"/>
    <w:rsid w:val="00476B91"/>
    <w:rsid w:val="004846BF"/>
    <w:rsid w:val="00494912"/>
    <w:rsid w:val="00496A0B"/>
    <w:rsid w:val="004A5323"/>
    <w:rsid w:val="004A5A99"/>
    <w:rsid w:val="004B6A67"/>
    <w:rsid w:val="004C0B67"/>
    <w:rsid w:val="004C6979"/>
    <w:rsid w:val="004D13A2"/>
    <w:rsid w:val="004D3E7A"/>
    <w:rsid w:val="004F594B"/>
    <w:rsid w:val="004F61E1"/>
    <w:rsid w:val="00502332"/>
    <w:rsid w:val="00514DD0"/>
    <w:rsid w:val="0053380B"/>
    <w:rsid w:val="005416BE"/>
    <w:rsid w:val="00543194"/>
    <w:rsid w:val="00544138"/>
    <w:rsid w:val="00554E34"/>
    <w:rsid w:val="00564F6F"/>
    <w:rsid w:val="00574157"/>
    <w:rsid w:val="005768E0"/>
    <w:rsid w:val="00584583"/>
    <w:rsid w:val="00585451"/>
    <w:rsid w:val="00590E90"/>
    <w:rsid w:val="00590EEB"/>
    <w:rsid w:val="0059769B"/>
    <w:rsid w:val="005A150F"/>
    <w:rsid w:val="005A4099"/>
    <w:rsid w:val="005A7B1D"/>
    <w:rsid w:val="005C36DC"/>
    <w:rsid w:val="005C38B2"/>
    <w:rsid w:val="005C5029"/>
    <w:rsid w:val="005C55C2"/>
    <w:rsid w:val="005C67C2"/>
    <w:rsid w:val="005C71CA"/>
    <w:rsid w:val="005C745C"/>
    <w:rsid w:val="005D4DF5"/>
    <w:rsid w:val="005D79AB"/>
    <w:rsid w:val="005E42BA"/>
    <w:rsid w:val="005F1AC3"/>
    <w:rsid w:val="0060419E"/>
    <w:rsid w:val="00611D6B"/>
    <w:rsid w:val="006225B0"/>
    <w:rsid w:val="00623952"/>
    <w:rsid w:val="00625CFD"/>
    <w:rsid w:val="006326EC"/>
    <w:rsid w:val="006356E3"/>
    <w:rsid w:val="00663A42"/>
    <w:rsid w:val="006641C7"/>
    <w:rsid w:val="0066561D"/>
    <w:rsid w:val="006700A4"/>
    <w:rsid w:val="006705EA"/>
    <w:rsid w:val="00670BE2"/>
    <w:rsid w:val="006916D9"/>
    <w:rsid w:val="00696846"/>
    <w:rsid w:val="006A0E05"/>
    <w:rsid w:val="006A26C6"/>
    <w:rsid w:val="006A465A"/>
    <w:rsid w:val="006A7D5D"/>
    <w:rsid w:val="006B34C6"/>
    <w:rsid w:val="006C7632"/>
    <w:rsid w:val="006D0C12"/>
    <w:rsid w:val="006D312F"/>
    <w:rsid w:val="006D466F"/>
    <w:rsid w:val="006D5D57"/>
    <w:rsid w:val="006E2538"/>
    <w:rsid w:val="006E302F"/>
    <w:rsid w:val="006E486C"/>
    <w:rsid w:val="006F4D6D"/>
    <w:rsid w:val="00705086"/>
    <w:rsid w:val="00722001"/>
    <w:rsid w:val="00726560"/>
    <w:rsid w:val="00744525"/>
    <w:rsid w:val="00751E66"/>
    <w:rsid w:val="007536C9"/>
    <w:rsid w:val="00754497"/>
    <w:rsid w:val="00773201"/>
    <w:rsid w:val="00787C39"/>
    <w:rsid w:val="00792947"/>
    <w:rsid w:val="00795DF3"/>
    <w:rsid w:val="007A373C"/>
    <w:rsid w:val="007B225C"/>
    <w:rsid w:val="007C75B1"/>
    <w:rsid w:val="007D12F8"/>
    <w:rsid w:val="007D3DFC"/>
    <w:rsid w:val="007E2F07"/>
    <w:rsid w:val="007E59A8"/>
    <w:rsid w:val="007F308B"/>
    <w:rsid w:val="0080776D"/>
    <w:rsid w:val="00810145"/>
    <w:rsid w:val="008108FA"/>
    <w:rsid w:val="00810FF1"/>
    <w:rsid w:val="00814D3A"/>
    <w:rsid w:val="00822336"/>
    <w:rsid w:val="00822D1A"/>
    <w:rsid w:val="00823DFA"/>
    <w:rsid w:val="00824CD0"/>
    <w:rsid w:val="00824DE0"/>
    <w:rsid w:val="00831F6B"/>
    <w:rsid w:val="008346BD"/>
    <w:rsid w:val="008401EF"/>
    <w:rsid w:val="00842DB7"/>
    <w:rsid w:val="00843752"/>
    <w:rsid w:val="0084479F"/>
    <w:rsid w:val="0085725E"/>
    <w:rsid w:val="00866F44"/>
    <w:rsid w:val="00867010"/>
    <w:rsid w:val="00873D4F"/>
    <w:rsid w:val="0087509F"/>
    <w:rsid w:val="00885B09"/>
    <w:rsid w:val="00887B18"/>
    <w:rsid w:val="00890BE6"/>
    <w:rsid w:val="00892400"/>
    <w:rsid w:val="008A209D"/>
    <w:rsid w:val="008A22BB"/>
    <w:rsid w:val="008A5BFE"/>
    <w:rsid w:val="008B035D"/>
    <w:rsid w:val="008B0E29"/>
    <w:rsid w:val="008B0EFA"/>
    <w:rsid w:val="008B30AB"/>
    <w:rsid w:val="008C3BB8"/>
    <w:rsid w:val="008C4B65"/>
    <w:rsid w:val="008E18E1"/>
    <w:rsid w:val="008E3B75"/>
    <w:rsid w:val="008E5F55"/>
    <w:rsid w:val="008F593E"/>
    <w:rsid w:val="009009E7"/>
    <w:rsid w:val="00905DEF"/>
    <w:rsid w:val="00906056"/>
    <w:rsid w:val="009122AE"/>
    <w:rsid w:val="0091273F"/>
    <w:rsid w:val="00913B43"/>
    <w:rsid w:val="00930203"/>
    <w:rsid w:val="009311D2"/>
    <w:rsid w:val="009311E6"/>
    <w:rsid w:val="00931275"/>
    <w:rsid w:val="009358B9"/>
    <w:rsid w:val="009364AA"/>
    <w:rsid w:val="00936AC7"/>
    <w:rsid w:val="00945B21"/>
    <w:rsid w:val="00947761"/>
    <w:rsid w:val="00953B64"/>
    <w:rsid w:val="009646A7"/>
    <w:rsid w:val="009673B2"/>
    <w:rsid w:val="00970A88"/>
    <w:rsid w:val="009818A1"/>
    <w:rsid w:val="0099333A"/>
    <w:rsid w:val="009A1674"/>
    <w:rsid w:val="009B38BE"/>
    <w:rsid w:val="009B4DF2"/>
    <w:rsid w:val="009C684F"/>
    <w:rsid w:val="009D074C"/>
    <w:rsid w:val="009D6E73"/>
    <w:rsid w:val="009E2D47"/>
    <w:rsid w:val="009F1F1D"/>
    <w:rsid w:val="009F2B4F"/>
    <w:rsid w:val="009F3C63"/>
    <w:rsid w:val="009F66B5"/>
    <w:rsid w:val="00A02F10"/>
    <w:rsid w:val="00A1060C"/>
    <w:rsid w:val="00A16221"/>
    <w:rsid w:val="00A20A7D"/>
    <w:rsid w:val="00A253C5"/>
    <w:rsid w:val="00A35D42"/>
    <w:rsid w:val="00A46CCF"/>
    <w:rsid w:val="00A506DE"/>
    <w:rsid w:val="00A52664"/>
    <w:rsid w:val="00A53451"/>
    <w:rsid w:val="00A63E37"/>
    <w:rsid w:val="00A67A3F"/>
    <w:rsid w:val="00A70426"/>
    <w:rsid w:val="00A70448"/>
    <w:rsid w:val="00A707CC"/>
    <w:rsid w:val="00A71350"/>
    <w:rsid w:val="00A71410"/>
    <w:rsid w:val="00A91E9A"/>
    <w:rsid w:val="00A93ED9"/>
    <w:rsid w:val="00A96221"/>
    <w:rsid w:val="00AA1A75"/>
    <w:rsid w:val="00AB0BF6"/>
    <w:rsid w:val="00AC2DBB"/>
    <w:rsid w:val="00AC6A99"/>
    <w:rsid w:val="00AD6048"/>
    <w:rsid w:val="00AF0A45"/>
    <w:rsid w:val="00B055EF"/>
    <w:rsid w:val="00B06B5B"/>
    <w:rsid w:val="00B23769"/>
    <w:rsid w:val="00B31AE9"/>
    <w:rsid w:val="00B41789"/>
    <w:rsid w:val="00B4635F"/>
    <w:rsid w:val="00B5668E"/>
    <w:rsid w:val="00B7028B"/>
    <w:rsid w:val="00B81808"/>
    <w:rsid w:val="00B86DFA"/>
    <w:rsid w:val="00B936D0"/>
    <w:rsid w:val="00BA4670"/>
    <w:rsid w:val="00BA6C52"/>
    <w:rsid w:val="00BB15FB"/>
    <w:rsid w:val="00BD24F7"/>
    <w:rsid w:val="00BD3D5B"/>
    <w:rsid w:val="00BE3600"/>
    <w:rsid w:val="00BF4B44"/>
    <w:rsid w:val="00C01F6F"/>
    <w:rsid w:val="00C041EA"/>
    <w:rsid w:val="00C054E5"/>
    <w:rsid w:val="00C11BCC"/>
    <w:rsid w:val="00C13BBD"/>
    <w:rsid w:val="00C149AB"/>
    <w:rsid w:val="00C16929"/>
    <w:rsid w:val="00C20690"/>
    <w:rsid w:val="00C36020"/>
    <w:rsid w:val="00C40694"/>
    <w:rsid w:val="00C40A0D"/>
    <w:rsid w:val="00C479BF"/>
    <w:rsid w:val="00C47A73"/>
    <w:rsid w:val="00C5124B"/>
    <w:rsid w:val="00C70542"/>
    <w:rsid w:val="00C75CBF"/>
    <w:rsid w:val="00C8216D"/>
    <w:rsid w:val="00C90B95"/>
    <w:rsid w:val="00C91281"/>
    <w:rsid w:val="00CC2894"/>
    <w:rsid w:val="00CD77C3"/>
    <w:rsid w:val="00CE112C"/>
    <w:rsid w:val="00CF55D4"/>
    <w:rsid w:val="00CF6013"/>
    <w:rsid w:val="00D0402C"/>
    <w:rsid w:val="00D12219"/>
    <w:rsid w:val="00D132BE"/>
    <w:rsid w:val="00D26D51"/>
    <w:rsid w:val="00D57180"/>
    <w:rsid w:val="00D578E3"/>
    <w:rsid w:val="00D608DA"/>
    <w:rsid w:val="00D616F2"/>
    <w:rsid w:val="00D730BF"/>
    <w:rsid w:val="00D852F4"/>
    <w:rsid w:val="00DB1110"/>
    <w:rsid w:val="00DB3730"/>
    <w:rsid w:val="00DB3B17"/>
    <w:rsid w:val="00DC04DE"/>
    <w:rsid w:val="00DC364E"/>
    <w:rsid w:val="00DC371B"/>
    <w:rsid w:val="00DC3788"/>
    <w:rsid w:val="00DC76C7"/>
    <w:rsid w:val="00DD09F5"/>
    <w:rsid w:val="00DD0E02"/>
    <w:rsid w:val="00DD4201"/>
    <w:rsid w:val="00DD5E9F"/>
    <w:rsid w:val="00DE330C"/>
    <w:rsid w:val="00DE5711"/>
    <w:rsid w:val="00E00EA0"/>
    <w:rsid w:val="00E021CB"/>
    <w:rsid w:val="00E03FC7"/>
    <w:rsid w:val="00E138F1"/>
    <w:rsid w:val="00E14481"/>
    <w:rsid w:val="00E2309D"/>
    <w:rsid w:val="00E26758"/>
    <w:rsid w:val="00E4357B"/>
    <w:rsid w:val="00E443A7"/>
    <w:rsid w:val="00E45048"/>
    <w:rsid w:val="00E45880"/>
    <w:rsid w:val="00E45904"/>
    <w:rsid w:val="00E63DE5"/>
    <w:rsid w:val="00E647AF"/>
    <w:rsid w:val="00E647C7"/>
    <w:rsid w:val="00E65A37"/>
    <w:rsid w:val="00E65EF7"/>
    <w:rsid w:val="00E74270"/>
    <w:rsid w:val="00E77B48"/>
    <w:rsid w:val="00E828F1"/>
    <w:rsid w:val="00E85477"/>
    <w:rsid w:val="00E857FB"/>
    <w:rsid w:val="00E91799"/>
    <w:rsid w:val="00E9780B"/>
    <w:rsid w:val="00E97DF8"/>
    <w:rsid w:val="00EA21FE"/>
    <w:rsid w:val="00EA34E3"/>
    <w:rsid w:val="00EB7538"/>
    <w:rsid w:val="00EC1868"/>
    <w:rsid w:val="00ED010C"/>
    <w:rsid w:val="00EE6468"/>
    <w:rsid w:val="00EF169E"/>
    <w:rsid w:val="00F1299B"/>
    <w:rsid w:val="00F207A4"/>
    <w:rsid w:val="00F25173"/>
    <w:rsid w:val="00F355AC"/>
    <w:rsid w:val="00F40CF7"/>
    <w:rsid w:val="00F43403"/>
    <w:rsid w:val="00F44194"/>
    <w:rsid w:val="00F70457"/>
    <w:rsid w:val="00F71A5A"/>
    <w:rsid w:val="00F73A1A"/>
    <w:rsid w:val="00F769E0"/>
    <w:rsid w:val="00F86ECA"/>
    <w:rsid w:val="00FA4A46"/>
    <w:rsid w:val="00FA75FE"/>
    <w:rsid w:val="00FA7B46"/>
    <w:rsid w:val="00FB1032"/>
    <w:rsid w:val="00FB39BC"/>
    <w:rsid w:val="00FB6A53"/>
    <w:rsid w:val="00FC11CA"/>
    <w:rsid w:val="00FC6BDE"/>
    <w:rsid w:val="00FD4521"/>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2894B04"/>
  <w15:chartTrackingRefBased/>
  <w15:docId w15:val="{356D7211-DB03-4008-95D4-E9725A32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A63E37"/>
    <w:rPr>
      <w:sz w:val="16"/>
      <w:szCs w:val="16"/>
    </w:rPr>
  </w:style>
  <w:style w:type="paragraph" w:styleId="CommentText">
    <w:name w:val="annotation text"/>
    <w:basedOn w:val="Normal"/>
    <w:link w:val="CommentTextChar"/>
    <w:rsid w:val="00A63E37"/>
    <w:rPr>
      <w:sz w:val="20"/>
      <w:szCs w:val="20"/>
    </w:rPr>
  </w:style>
  <w:style w:type="character" w:customStyle="1" w:styleId="CommentTextChar">
    <w:name w:val="Comment Text Char"/>
    <w:basedOn w:val="DefaultParagraphFont"/>
    <w:link w:val="CommentText"/>
    <w:rsid w:val="00A63E37"/>
  </w:style>
  <w:style w:type="paragraph" w:styleId="CommentSubject">
    <w:name w:val="annotation subject"/>
    <w:basedOn w:val="CommentText"/>
    <w:next w:val="CommentText"/>
    <w:link w:val="CommentSubjectChar"/>
    <w:rsid w:val="00A63E37"/>
    <w:rPr>
      <w:b/>
      <w:bCs/>
    </w:rPr>
  </w:style>
  <w:style w:type="character" w:customStyle="1" w:styleId="CommentSubjectChar">
    <w:name w:val="Comment Subject Char"/>
    <w:link w:val="CommentSubject"/>
    <w:rsid w:val="00A63E37"/>
    <w:rPr>
      <w:b/>
      <w:bCs/>
    </w:rPr>
  </w:style>
  <w:style w:type="character" w:customStyle="1" w:styleId="BodyText2Char">
    <w:name w:val="Body Text 2 Char"/>
    <w:link w:val="BodyText2"/>
    <w:rsid w:val="008E18E1"/>
    <w:rPr>
      <w:sz w:val="24"/>
    </w:rPr>
  </w:style>
  <w:style w:type="paragraph" w:styleId="Revision">
    <w:name w:val="Revision"/>
    <w:hidden/>
    <w:uiPriority w:val="99"/>
    <w:semiHidden/>
    <w:rsid w:val="00B4635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ls.gov/oes/current/oes_nat.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AA0D0857C52F4A956A927B843FDAE5" ma:contentTypeVersion="4" ma:contentTypeDescription="Create a new document." ma:contentTypeScope="" ma:versionID="038eea62ba5e28d406cc143165a731d1">
  <xsd:schema xmlns:xsd="http://www.w3.org/2001/XMLSchema" xmlns:xs="http://www.w3.org/2001/XMLSchema" xmlns:p="http://schemas.microsoft.com/office/2006/metadata/properties" xmlns:ns2="8aef85e0-c016-497a-95bc-1a7340a5b01f" targetNamespace="http://schemas.microsoft.com/office/2006/metadata/properties" ma:root="true" ma:fieldsID="f902308b492e164cd5af2768189ecdaa" ns2:_="">
    <xsd:import namespace="8aef85e0-c016-497a-95bc-1a7340a5b0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ef85e0-c016-497a-95bc-1a7340a5b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74704-3AE8-4879-ADBA-40DC131D5F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B79619-0FC4-40E9-AB0D-65C47D5DD189}">
  <ds:schemaRefs>
    <ds:schemaRef ds:uri="http://schemas.microsoft.com/sharepoint/v3/contenttype/forms"/>
  </ds:schemaRefs>
</ds:datastoreItem>
</file>

<file path=customXml/itemProps3.xml><?xml version="1.0" encoding="utf-8"?>
<ds:datastoreItem xmlns:ds="http://schemas.openxmlformats.org/officeDocument/2006/customXml" ds:itemID="{A46AE0B0-78EF-4A4D-8A64-8E97E1E20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ef85e0-c016-497a-95bc-1a7340a5b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BB45F9-345F-4A44-9998-B1A6BE8DF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1688</Words>
  <Characters>9825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Capezzuto, JonnaLynn</cp:lastModifiedBy>
  <cp:revision>2</cp:revision>
  <cp:lastPrinted>2019-07-03T16:25:00Z</cp:lastPrinted>
  <dcterms:created xsi:type="dcterms:W3CDTF">2024-09-06T13:10:00Z</dcterms:created>
  <dcterms:modified xsi:type="dcterms:W3CDTF">2024-09-06T13:10:00Z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0x010100A9AA0D0857C52F4A956A927B843FDAE5</vt:lpwstr>
  </property>
</Properties>
</file>