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435B59" w:rsidP="00435B59" w14:paraId="5ED2664D" w14:textId="4E415214">
      <w:pPr>
        <w:jc w:val="center"/>
        <w:rPr>
          <w:rFonts w:eastAsia="Calibri"/>
        </w:rPr>
      </w:pPr>
      <w:r w:rsidRPr="00435B59">
        <w:rPr>
          <w:rFonts w:eastAsia="Calibri"/>
        </w:rPr>
        <w:t>UNITED STATES FOOD &amp; DRUG ADMINISTRATION</w:t>
      </w:r>
    </w:p>
    <w:p w:rsidR="00357C8A" w:rsidRPr="00435B59" w:rsidP="00435B59" w14:paraId="48AB7D6D" w14:textId="77777777">
      <w:pPr>
        <w:jc w:val="center"/>
        <w:rPr>
          <w:rFonts w:eastAsia="Calibri"/>
        </w:rPr>
      </w:pPr>
    </w:p>
    <w:p w:rsidR="002546EB" w:rsidRPr="00435B59" w:rsidP="00435B59" w14:paraId="09A6AAC5" w14:textId="77777777">
      <w:pPr>
        <w:contextualSpacing/>
        <w:jc w:val="center"/>
      </w:pPr>
      <w:r w:rsidRPr="00435B59">
        <w:t xml:space="preserve">Registration of Producers of Drugs and </w:t>
      </w:r>
    </w:p>
    <w:p w:rsidR="00357C8A" w:rsidRPr="00435B59" w:rsidP="00435B59" w14:paraId="75F79630" w14:textId="26403E67">
      <w:pPr>
        <w:contextualSpacing/>
        <w:jc w:val="center"/>
        <w:rPr>
          <w:rFonts w:eastAsia="Calibri"/>
        </w:rPr>
      </w:pPr>
      <w:r w:rsidRPr="00435B59">
        <w:t>Listing of Drugs in Commercial Distribution</w:t>
      </w:r>
    </w:p>
    <w:p w:rsidR="00935E09" w:rsidRPr="00435B59" w:rsidP="00435B59" w14:paraId="3649963D" w14:textId="77777777">
      <w:pPr>
        <w:jc w:val="center"/>
        <w:rPr>
          <w:rFonts w:eastAsia="Calibri"/>
        </w:rPr>
      </w:pPr>
    </w:p>
    <w:p w:rsidR="00357C8A" w:rsidRPr="00435B59" w:rsidP="00435B59" w14:paraId="40158417" w14:textId="77777777">
      <w:pPr>
        <w:jc w:val="center"/>
        <w:rPr>
          <w:rFonts w:eastAsia="Calibri"/>
          <w:u w:val="single"/>
        </w:rPr>
      </w:pPr>
      <w:r w:rsidRPr="00435B59">
        <w:rPr>
          <w:rFonts w:eastAsia="Calibri"/>
          <w:u w:val="single"/>
        </w:rPr>
        <w:t>OMB Control No. 0910</w:t>
      </w:r>
      <w:r w:rsidRPr="00435B59" w:rsidR="009B4FE0">
        <w:rPr>
          <w:rFonts w:eastAsia="Calibri"/>
          <w:u w:val="single"/>
        </w:rPr>
        <w:t>-0045</w:t>
      </w:r>
    </w:p>
    <w:p w:rsidR="00357C8A" w:rsidRPr="00435B59" w:rsidP="00435B59" w14:paraId="14794FB5" w14:textId="77777777">
      <w:pPr>
        <w:jc w:val="center"/>
        <w:rPr>
          <w:rFonts w:eastAsia="Calibri"/>
        </w:rPr>
      </w:pPr>
    </w:p>
    <w:p w:rsidR="00270F83" w:rsidRPr="00435B59" w:rsidP="00435B59" w14:paraId="3B271350" w14:textId="77777777">
      <w:pPr>
        <w:rPr>
          <w:rFonts w:eastAsia="Calibri"/>
        </w:rPr>
      </w:pPr>
    </w:p>
    <w:p w:rsidR="00357C8A" w:rsidRPr="00435B59" w:rsidP="00435B59" w14:paraId="0CF39512" w14:textId="5922A825">
      <w:pPr>
        <w:rPr>
          <w:rFonts w:eastAsia="Calibri"/>
        </w:rPr>
      </w:pPr>
      <w:r w:rsidRPr="00435B59">
        <w:rPr>
          <w:rFonts w:eastAsia="Calibri"/>
        </w:rPr>
        <w:t>SUPPORTING STATEMENT</w:t>
      </w:r>
      <w:r w:rsidRPr="00435B59" w:rsidR="00A83FC2">
        <w:rPr>
          <w:rFonts w:eastAsia="Calibri"/>
        </w:rPr>
        <w:t xml:space="preserve"> – </w:t>
      </w:r>
      <w:r w:rsidRPr="00435B59" w:rsidR="00A83FC2">
        <w:rPr>
          <w:rFonts w:eastAsia="Calibri"/>
          <w:b/>
          <w:bCs/>
        </w:rPr>
        <w:t>Part A:  Justification</w:t>
      </w:r>
    </w:p>
    <w:p w:rsidR="000D79CC" w:rsidRPr="00435B59" w:rsidP="00435B59" w14:paraId="55DAB6FE" w14:textId="77777777">
      <w:pPr>
        <w:rPr>
          <w:rFonts w:eastAsia="Calibri"/>
        </w:rPr>
      </w:pPr>
    </w:p>
    <w:p w:rsidR="00357C8A" w:rsidRPr="00435B59" w:rsidP="0011571A" w14:paraId="42AB02CB" w14:textId="4BC414A4">
      <w:pPr>
        <w:spacing w:line="276" w:lineRule="auto"/>
        <w:rPr>
          <w:rFonts w:eastAsia="Calibri"/>
        </w:rPr>
      </w:pPr>
      <w:r w:rsidRPr="00435B59">
        <w:rPr>
          <w:rFonts w:eastAsia="Calibri"/>
          <w:u w:val="single"/>
        </w:rPr>
        <w:t xml:space="preserve">1.  </w:t>
      </w:r>
      <w:r w:rsidRPr="00435B59">
        <w:rPr>
          <w:rFonts w:eastAsia="Calibri"/>
          <w:u w:val="single"/>
        </w:rPr>
        <w:t>Circumstances Making the Collection of Information Necessary</w:t>
      </w:r>
    </w:p>
    <w:p w:rsidR="0011571A" w:rsidP="00435B59" w14:paraId="7B459550" w14:textId="77777777"/>
    <w:p w:rsidR="000B677A" w:rsidRPr="00435B59" w:rsidP="00435B59" w14:paraId="26D850BF" w14:textId="5BAF9DCC">
      <w:r w:rsidRPr="00435B59">
        <w:t>This information collection supports implementation of drug establishment registration and listing requirements govern</w:t>
      </w:r>
      <w:r w:rsidRPr="00435B59" w:rsidR="0042775D">
        <w:t xml:space="preserve">ed by </w:t>
      </w:r>
      <w:r w:rsidRPr="00435B59">
        <w:t>section 510 of the Federal Food, Drug, and Cosmetic Act (FD&amp;C Act) (21 U.S.C. 360)</w:t>
      </w:r>
      <w:r w:rsidRPr="00435B59" w:rsidR="00CF47C2">
        <w:t>,</w:t>
      </w:r>
      <w:r w:rsidRPr="00435B59">
        <w:t xml:space="preserve"> and section 351 of the Public Health Service Act (42 U.S.C. 262).  Agency regulations implementing these provisions are found in part 207 (21 CFR part 207) and </w:t>
      </w:r>
      <w:r w:rsidRPr="00435B59" w:rsidR="00070588">
        <w:t>include reporting</w:t>
      </w:r>
      <w:r w:rsidRPr="00435B59" w:rsidR="000016F1">
        <w:t xml:space="preserve"> and</w:t>
      </w:r>
      <w:r w:rsidRPr="00435B59" w:rsidR="00070588">
        <w:t xml:space="preserve"> recordkeeping requirements.  Respondents to the collection of information </w:t>
      </w:r>
      <w:r w:rsidRPr="00435B59" w:rsidR="001C4C79">
        <w:t>are</w:t>
      </w:r>
      <w:r w:rsidRPr="00435B59" w:rsidR="00690AA3">
        <w:t xml:space="preserve"> those who </w:t>
      </w:r>
      <w:r w:rsidRPr="00435B59" w:rsidR="001C4C79">
        <w:t>manufacture, repack, relabel, or salvage a drug, or an animal feed bearing or containing a new animal drug, and each foreign establishment that manufactures, repacks, relabels, or salvages a drug, or an animal feed bearing or containing a new animal drug, that is imported or offered for import into the United States.</w:t>
      </w:r>
      <w:r w:rsidRPr="00435B59" w:rsidR="006677E1">
        <w:t xml:space="preserve">  As set forth in the regulations, when </w:t>
      </w:r>
      <w:r w:rsidRPr="00435B59" w:rsidR="001C4C79">
        <w:t>operations are conducted at more than one establishment and common ownership and control among all the establishments exists, the parent, subsidiary, or affiliate company may submit registration information for all establishments.</w:t>
      </w:r>
      <w:r w:rsidRPr="00435B59" w:rsidR="00400665">
        <w:t xml:space="preserve">  </w:t>
      </w:r>
      <w:r w:rsidRPr="00435B59" w:rsidR="00157F67">
        <w:t>Establishment registration information helps FDA identify who is manufacturing, repacking, relabeling, and salvaging drugs and where those operations are performed</w:t>
      </w:r>
      <w:r w:rsidRPr="00435B59" w:rsidR="00BD4540">
        <w:t xml:space="preserve">.  </w:t>
      </w:r>
      <w:r w:rsidRPr="00435B59" w:rsidR="00157F67">
        <w:t>Drug listing information gives FDA a current inventory of drugs manufactured, repacked, relabeled, or salvaged for commercial distribution.</w:t>
      </w:r>
      <w:r w:rsidRPr="00435B59">
        <w:t xml:space="preserve">  </w:t>
      </w:r>
      <w:r w:rsidRPr="00435B59" w:rsidR="00157F67">
        <w:t>Both types of information facilitate implementation and enforcement of the Federal Food, Drug, and Cosmetic Act and are used for many important public health purposes.</w:t>
      </w:r>
    </w:p>
    <w:p w:rsidR="000B677A" w:rsidRPr="00435B59" w:rsidP="00435B59" w14:paraId="7EBF2464" w14:textId="77777777"/>
    <w:p w:rsidR="008C0A14" w:rsidRPr="00435B59" w:rsidP="00435B59" w14:paraId="00A07300" w14:textId="0B5DD314">
      <w:r w:rsidRPr="00435B59">
        <w:t xml:space="preserve">Consistent with </w:t>
      </w:r>
      <w:r w:rsidRPr="00435B59" w:rsidR="00B73F75">
        <w:t xml:space="preserve">provisions </w:t>
      </w:r>
      <w:r w:rsidRPr="00435B59">
        <w:t>in 21 CFR § 207.61</w:t>
      </w:r>
      <w:r w:rsidRPr="00435B59" w:rsidR="00BD412D">
        <w:t>, except</w:t>
      </w:r>
      <w:r w:rsidRPr="00435B59">
        <w:t xml:space="preserve"> as provided in §</w:t>
      </w:r>
      <w:r w:rsidRPr="00435B59" w:rsidR="00BD412D">
        <w:t> </w:t>
      </w:r>
      <w:r w:rsidRPr="00435B59">
        <w:t xml:space="preserve">207.65, all </w:t>
      </w:r>
      <w:r w:rsidRPr="00435B59" w:rsidR="00B73F75">
        <w:t xml:space="preserve">registration and listing </w:t>
      </w:r>
      <w:r w:rsidRPr="00435B59">
        <w:t xml:space="preserve">information must be </w:t>
      </w:r>
      <w:r w:rsidRPr="00435B59" w:rsidR="007E076D">
        <w:t xml:space="preserve">submitted electronically </w:t>
      </w:r>
      <w:r w:rsidRPr="00435B59">
        <w:t>in a form</w:t>
      </w:r>
      <w:r w:rsidRPr="00435B59" w:rsidR="00EE73DF">
        <w:t>at</w:t>
      </w:r>
      <w:r w:rsidRPr="00435B59">
        <w:t xml:space="preserve"> that we can process, review, and archive</w:t>
      </w:r>
      <w:r w:rsidRPr="00435B59" w:rsidR="00EE73DF">
        <w:t>.  Also consistent with 21 CFR § 207.61</w:t>
      </w:r>
      <w:r w:rsidRPr="00435B59" w:rsidR="00B91EF1">
        <w:t xml:space="preserve"> (see 207.61(a)), w</w:t>
      </w:r>
      <w:r w:rsidRPr="00435B59">
        <w:t>e may periodically issue guidance on how to provide registration and listing information</w:t>
      </w:r>
      <w:r w:rsidRPr="00435B59" w:rsidR="00F54124">
        <w:t xml:space="preserve"> electronically</w:t>
      </w:r>
      <w:r w:rsidRPr="00435B59">
        <w:t xml:space="preserve"> </w:t>
      </w:r>
      <w:r w:rsidRPr="00435B59" w:rsidR="000D4533">
        <w:t xml:space="preserve">to assist respondents in this regard.  </w:t>
      </w:r>
      <w:r w:rsidRPr="00435B59">
        <w:t xml:space="preserve">All agency guidance documents are issued in accordance with our Good Guidance Practice regulations in 21 CFR 10.115, which provide for public comment at any time, and we maintain a searchable guidance database on our agency website.  </w:t>
      </w:r>
      <w:r w:rsidRPr="00435B59" w:rsidR="00B91EF1">
        <w:t>Accordingly</w:t>
      </w:r>
      <w:r w:rsidRPr="00435B59" w:rsidR="0001722E">
        <w:t>, we issued the guidance document entitled “</w:t>
      </w:r>
      <w:r w:rsidRPr="00435B59" w:rsidR="0001722E">
        <w:rPr>
          <w:i/>
          <w:iCs/>
        </w:rPr>
        <w:t>Providing Regulatory Submissions in Electronic Format--Drug Establishment Registration and Drug Listing</w:t>
      </w:r>
      <w:r w:rsidRPr="00435B59" w:rsidR="0001722E">
        <w:t>” (June 2009) (available from our website at</w:t>
      </w:r>
      <w:r w:rsidRPr="00435B59" w:rsidR="00454B9F">
        <w:t xml:space="preserve"> </w:t>
      </w:r>
      <w:r w:rsidRPr="00435B59" w:rsidR="0001722E">
        <w:t>https://www.fda.gov/regulatory-information/search-fda-guidance-documents/providing-regulatory-submissions-electronic-format-drug-establishment-registration-and-drug-listing</w:t>
      </w:r>
      <w:r w:rsidRPr="00435B59" w:rsidR="00454B9F">
        <w:t xml:space="preserve"> </w:t>
      </w:r>
      <w:r w:rsidRPr="00435B59" w:rsidR="0001722E">
        <w:t>).</w:t>
      </w:r>
      <w:r w:rsidRPr="00435B59" w:rsidR="00F108B6">
        <w:t xml:space="preserve"> </w:t>
      </w:r>
    </w:p>
    <w:p w:rsidR="008C0A14" w:rsidRPr="00435B59" w:rsidP="00435B59" w14:paraId="0E1BCF6F" w14:textId="77777777"/>
    <w:p w:rsidR="002F6DAD" w:rsidP="00435B59" w14:paraId="3B674812" w14:textId="61A7983C">
      <w:r w:rsidRPr="00435B59">
        <w:t xml:space="preserve">The information collection also includes the submission of </w:t>
      </w:r>
      <w:r w:rsidRPr="00435B59" w:rsidR="00D566F9">
        <w:t xml:space="preserve">data elements as </w:t>
      </w:r>
      <w:r w:rsidRPr="00435B59" w:rsidR="008C0A14">
        <w:t xml:space="preserve">established by the Coronavirus Aid, Relief, and Economic Security (CARES) Act.  Specifically, section 3112 of </w:t>
      </w:r>
      <w:r w:rsidRPr="00435B59" w:rsidR="008C0A14">
        <w:t>the CARES Act requires that registrants annually report the amount of each drug listed that was manufactured, prepared, propagated, compounded, or processed for commercial distribution.  Section 3112(e) authorizes FDA to require this information be submitted electronically.  In addition, section 3112(e) grants FDA authority to require that registrants report this information at the time a public health emergency is declared.</w:t>
      </w:r>
      <w:r w:rsidRPr="00435B59" w:rsidR="00F12E3D">
        <w:t xml:space="preserve">  S</w:t>
      </w:r>
      <w:r w:rsidRPr="00435B59" w:rsidR="00956127">
        <w:t xml:space="preserve">ection 3112(e) of the CARES Act </w:t>
      </w:r>
      <w:r w:rsidRPr="00435B59" w:rsidR="00F12E3D">
        <w:t xml:space="preserve">also </w:t>
      </w:r>
      <w:r w:rsidRPr="00435B59" w:rsidR="00956127">
        <w:t xml:space="preserve">provides for certain exemptions.  </w:t>
      </w:r>
      <w:r w:rsidRPr="00435B59" w:rsidR="00686F66">
        <w:t xml:space="preserve">Specifically, </w:t>
      </w:r>
      <w:r w:rsidRPr="00435B59" w:rsidR="00956127">
        <w:t>section 510(j)(3)(B) of the FD&amp;C Act authorizes the Secretary of Health and Human Services, by order, to exempt from some or all reporting requirements certain biological products or categories of biological products regulated under section 351 of the Public Health Service (PHS) Act if the Secretary determines that such reporting is not necessary to protect the public health.</w:t>
      </w:r>
      <w:r w:rsidRPr="00435B59" w:rsidR="008B06F7">
        <w:t xml:space="preserve"> </w:t>
      </w:r>
      <w:r w:rsidRPr="00435B59" w:rsidR="009A533C">
        <w:t>This provision is intended to help FDA i</w:t>
      </w:r>
      <w:r w:rsidRPr="00435B59" w:rsidR="00344ACF">
        <w:t>dentify potential drug product shortages.</w:t>
      </w:r>
      <w:r w:rsidRPr="00435B59" w:rsidR="008B06F7">
        <w:t xml:space="preserve"> </w:t>
      </w:r>
    </w:p>
    <w:p w:rsidR="00E07671" w:rsidP="00435B59" w14:paraId="4986EEB9" w14:textId="77777777"/>
    <w:p w:rsidR="00E275A1" w:rsidRPr="00E275A1" w:rsidP="00E275A1" w14:paraId="0BDA95DB" w14:textId="5A64E07E">
      <w:r>
        <w:t xml:space="preserve">Relatedly, the information collection includes </w:t>
      </w:r>
      <w:r w:rsidR="00020D72">
        <w:t>activity attendant to the reporting of information associated with potential animal drug shortages.</w:t>
      </w:r>
      <w:r>
        <w:t xml:space="preserve">  W</w:t>
      </w:r>
      <w:r w:rsidRPr="00E275A1">
        <w:t>e developed and issued the guidance document “</w:t>
      </w:r>
      <w:r w:rsidRPr="00E275A1">
        <w:rPr>
          <w:i/>
          <w:iCs/>
        </w:rPr>
        <w:t>Reporting and Mitigating Animal Drug Shortages</w:t>
      </w:r>
      <w:r w:rsidRPr="00E275A1">
        <w:t>” (Center for Veterinary Medicine GFI #271) (May 2023) (available at</w:t>
      </w:r>
      <w:r w:rsidR="00FE6E90">
        <w:t xml:space="preserve"> </w:t>
      </w:r>
      <w:hyperlink r:id="rId5" w:history="1">
        <w:r w:rsidRPr="00563EF8" w:rsidR="00FE6E90">
          <w:rPr>
            <w:rStyle w:val="Hyperlink"/>
          </w:rPr>
          <w:t>https://www.fda.gov/media/137722/download</w:t>
        </w:r>
      </w:hyperlink>
      <w:r w:rsidRPr="00E275A1">
        <w:t xml:space="preserve">).  The guidance document is intended to assist respondents in notifying FDA about changes in the production of animal drugs that will, in turn, help </w:t>
      </w:r>
      <w:r w:rsidR="00FE6E90">
        <w:t xml:space="preserve">FDA </w:t>
      </w:r>
      <w:r w:rsidRPr="00E275A1">
        <w:t xml:space="preserve">in its efforts to prevent or mitigate shortages of animal drugs.  </w:t>
      </w:r>
    </w:p>
    <w:p w:rsidR="00C97A75" w:rsidRPr="00435B59" w:rsidP="00435B59" w14:paraId="78DA6295" w14:textId="77777777"/>
    <w:p w:rsidR="00C97A75" w:rsidRPr="00435B59" w:rsidP="00435B59" w14:paraId="00533BB8" w14:textId="35F7638E">
      <w:r w:rsidRPr="00435B59">
        <w:t xml:space="preserve">We are also clarifying </w:t>
      </w:r>
      <w:r w:rsidRPr="00435B59" w:rsidR="00962733">
        <w:t xml:space="preserve">with this submission </w:t>
      </w:r>
      <w:r w:rsidRPr="00435B59">
        <w:t xml:space="preserve">that the unique facility identifier (UFI) and the accompanying data elements referenced in section 510(b),(c), and (i) of the FD&amp;C Act </w:t>
      </w:r>
      <w:r w:rsidRPr="00435B59" w:rsidR="00962733">
        <w:t>are</w:t>
      </w:r>
      <w:r w:rsidRPr="00435B59">
        <w:t xml:space="preserve"> included among the scope of activity covered by the information collection. </w:t>
      </w:r>
      <w:r w:rsidRPr="00435B59" w:rsidR="00962733">
        <w:t xml:space="preserve"> </w:t>
      </w:r>
      <w:r w:rsidRPr="00435B59">
        <w:t>The procedural guidance document entitled, “</w:t>
      </w:r>
      <w:r w:rsidRPr="00CC72EA">
        <w:rPr>
          <w:i/>
          <w:iCs/>
        </w:rPr>
        <w:t>Specification of the Unique Facility Identifier (UFI) System for Drug Establishment Registration</w:t>
      </w:r>
      <w:r w:rsidRPr="00435B59">
        <w:t>,” (November 2014), explains that FDA’s currently preferred UFI for a drug establishment is the Data Universal Numbering System D-U-N-S (DUNS) number, assigned and managed by Dun and Bradstreet.  FDA has been using the DUNS number as a registration number for drug establishments since its implementation of electronic drug registration and listing.</w:t>
      </w:r>
      <w:r w:rsidRPr="00435B59">
        <w:t xml:space="preserve"> </w:t>
      </w:r>
    </w:p>
    <w:p w:rsidR="00012998" w:rsidRPr="00435B59" w:rsidP="00435B59" w14:paraId="3DB3CD84" w14:textId="77777777"/>
    <w:p w:rsidR="008C51E9" w:rsidRPr="00435B59" w:rsidP="00435B59" w14:paraId="1C1B5A17" w14:textId="6EB321DD">
      <w:r w:rsidRPr="00435B59">
        <w:t xml:space="preserve">We therefore request OMB approval of </w:t>
      </w:r>
      <w:r w:rsidRPr="00435B59" w:rsidR="00426279">
        <w:t xml:space="preserve">information collection associated with </w:t>
      </w:r>
      <w:r w:rsidRPr="00435B59" w:rsidR="00DA145B">
        <w:t>section 510 of the FD&amp;C Act pertaining to the registration of producers of drugs</w:t>
      </w:r>
      <w:r w:rsidRPr="00435B59" w:rsidR="00796DDC">
        <w:t xml:space="preserve">; regulations in </w:t>
      </w:r>
      <w:r w:rsidRPr="00435B59" w:rsidR="00302B75">
        <w:t>21 CFR part 207; applicable agency guidance</w:t>
      </w:r>
      <w:r w:rsidRPr="00435B59" w:rsidR="0035645F">
        <w:t xml:space="preserve"> and associated forms</w:t>
      </w:r>
      <w:r w:rsidRPr="00435B59" w:rsidR="00302B75">
        <w:t>, as discussed in this supporting statement.</w:t>
      </w:r>
    </w:p>
    <w:p w:rsidR="00D25848" w:rsidRPr="00435B59" w:rsidP="00435B59" w14:paraId="7EEC2585" w14:textId="77777777">
      <w:pPr>
        <w:rPr>
          <w:rFonts w:eastAsia="Calibri"/>
        </w:rPr>
      </w:pPr>
    </w:p>
    <w:p w:rsidR="00357C8A" w:rsidRPr="00435B59" w:rsidP="00435B59" w14:paraId="44685242" w14:textId="77777777">
      <w:pPr>
        <w:rPr>
          <w:rFonts w:eastAsia="Calibri"/>
          <w:u w:val="single"/>
        </w:rPr>
      </w:pPr>
      <w:r w:rsidRPr="00435B59">
        <w:rPr>
          <w:rFonts w:eastAsia="Calibri"/>
          <w:u w:val="single"/>
        </w:rPr>
        <w:t xml:space="preserve">2. </w:t>
      </w:r>
      <w:r w:rsidRPr="00435B59">
        <w:rPr>
          <w:rFonts w:eastAsia="Calibri"/>
          <w:u w:val="single"/>
        </w:rPr>
        <w:t xml:space="preserve">Purpose and Use of the Information Collection </w:t>
      </w:r>
    </w:p>
    <w:p w:rsidR="00935E09" w:rsidP="00435B59" w14:paraId="71287A07" w14:textId="77777777">
      <w:pPr>
        <w:rPr>
          <w:rFonts w:eastAsia="Calibri"/>
          <w:u w:val="single"/>
        </w:rPr>
      </w:pPr>
    </w:p>
    <w:p w:rsidR="00162FE4" w:rsidRPr="00162FE4" w:rsidP="00162FE4" w14:paraId="629884E5" w14:textId="77777777">
      <w:pPr>
        <w:rPr>
          <w:rFonts w:eastAsia="Calibri"/>
        </w:rPr>
      </w:pPr>
      <w:r w:rsidRPr="00162FE4">
        <w:rPr>
          <w:rFonts w:eastAsia="Calibri"/>
        </w:rPr>
        <w:t xml:space="preserve">Respondents to the collection of information are domestic establishments that manufacture, repack, relabel, or salvage a drug, or an animal feed bearing or containing a new animal drug, and foreign establishments that manufacture, repack, relabel, or salvage a drug, or an animal feed bearing or containing a new animal drug, that is imported or offered for import into the United States.  As set forth in the applicable regulations, when operations are conducted at more than one establishment and common ownership and control among all the establishments exists, the parent, subsidiary, or affiliate company may submit registration information for all establishments.  Establishment registration information helps FDA identify </w:t>
      </w:r>
      <w:r w:rsidRPr="00162FE4">
        <w:rPr>
          <w:rFonts w:eastAsia="Calibri"/>
        </w:rPr>
        <w:t xml:space="preserve">who is manufacturing, repacking, relabeling, and salvaging drugs and where those operations are performed.  </w:t>
      </w:r>
    </w:p>
    <w:p w:rsidR="00481A4C" w:rsidRPr="0011571A" w:rsidP="00435B59" w14:paraId="423F613D" w14:textId="77777777">
      <w:pPr>
        <w:autoSpaceDE w:val="0"/>
        <w:autoSpaceDN w:val="0"/>
        <w:adjustRightInd w:val="0"/>
        <w:rPr>
          <w:rFonts w:eastAsia="Calibri"/>
        </w:rPr>
      </w:pPr>
    </w:p>
    <w:p w:rsidR="00357C8A" w:rsidRPr="00435B59" w:rsidP="0011571A" w14:paraId="1482451E" w14:textId="77777777">
      <w:pPr>
        <w:spacing w:line="276" w:lineRule="auto"/>
        <w:rPr>
          <w:rFonts w:eastAsia="Calibri"/>
          <w:u w:val="single"/>
        </w:rPr>
      </w:pPr>
      <w:r w:rsidRPr="00435B59">
        <w:rPr>
          <w:rFonts w:eastAsia="Calibri"/>
          <w:u w:val="single"/>
        </w:rPr>
        <w:t xml:space="preserve">3. </w:t>
      </w:r>
      <w:r w:rsidRPr="00435B59">
        <w:rPr>
          <w:rFonts w:eastAsia="Calibri"/>
          <w:u w:val="single"/>
        </w:rPr>
        <w:t>Use of Improved Information Technology and Burden Reduction</w:t>
      </w:r>
    </w:p>
    <w:p w:rsidR="002D794A" w:rsidP="00435B59" w14:paraId="52EFF11B" w14:textId="77777777">
      <w:pPr>
        <w:autoSpaceDE w:val="0"/>
        <w:autoSpaceDN w:val="0"/>
        <w:adjustRightInd w:val="0"/>
        <w:rPr>
          <w:rFonts w:eastAsia="Calibri"/>
        </w:rPr>
      </w:pPr>
    </w:p>
    <w:p w:rsidR="000212CD" w:rsidRPr="000212CD" w:rsidP="000212CD" w14:paraId="103057BF" w14:textId="77777777">
      <w:pPr>
        <w:autoSpaceDE w:val="0"/>
        <w:autoSpaceDN w:val="0"/>
        <w:adjustRightInd w:val="0"/>
        <w:rPr>
          <w:rFonts w:eastAsia="Calibri"/>
        </w:rPr>
      </w:pPr>
      <w:r w:rsidRPr="000212CD">
        <w:rPr>
          <w:rFonts w:eastAsia="Calibri"/>
        </w:rPr>
        <w:t>Consistent with provisions in § 207.61, except as provided in § 207.65, all registration and listing information must be transmitted to FDA electronically in an electronic, in a format that we can process, review, and archive.  For more information regarding FDA’s Electronic Drug Registration and Listing System (eDRLS), including “</w:t>
      </w:r>
      <w:r w:rsidRPr="000212CD">
        <w:rPr>
          <w:rFonts w:eastAsia="Calibri"/>
          <w:i/>
          <w:iCs/>
        </w:rPr>
        <w:t>Latest News</w:t>
      </w:r>
      <w:r w:rsidRPr="000212CD">
        <w:rPr>
          <w:rFonts w:eastAsia="Calibri"/>
        </w:rPr>
        <w:t xml:space="preserve">” updates, we encourage respondents to visit our website at </w:t>
      </w:r>
      <w:hyperlink r:id="rId6" w:history="1">
        <w:r w:rsidRPr="000212CD">
          <w:rPr>
            <w:rStyle w:val="Hyperlink"/>
            <w:rFonts w:eastAsia="Calibri"/>
          </w:rPr>
          <w:t>https://www.fda.gov/drugs/guidance-compliance-regulatory-information/electronic-drug-registration-and-listing-system-edrls</w:t>
        </w:r>
      </w:hyperlink>
      <w:r w:rsidRPr="000212CD">
        <w:rPr>
          <w:rFonts w:eastAsia="Calibri"/>
        </w:rPr>
        <w:t xml:space="preserve">.  Updated daily, we also maintain a registration database that includes a publication of currently registered establishments on our website at </w:t>
      </w:r>
      <w:hyperlink r:id="rId7">
        <w:r w:rsidRPr="000212CD">
          <w:rPr>
            <w:rStyle w:val="Hyperlink"/>
            <w:rFonts w:eastAsia="Calibri"/>
          </w:rPr>
          <w:t>https://www.fda.gov/drugs/drug-approvals-and-databases/drug-establishments-current-registration-site</w:t>
        </w:r>
      </w:hyperlink>
      <w:r w:rsidRPr="000212CD">
        <w:rPr>
          <w:rFonts w:eastAsia="Calibri"/>
        </w:rPr>
        <w:t>.</w:t>
      </w:r>
    </w:p>
    <w:p w:rsidR="000212CD" w:rsidP="002D794A" w14:paraId="2AC963B4" w14:textId="77777777">
      <w:pPr>
        <w:autoSpaceDE w:val="0"/>
        <w:autoSpaceDN w:val="0"/>
        <w:adjustRightInd w:val="0"/>
        <w:rPr>
          <w:rFonts w:eastAsia="Calibri"/>
        </w:rPr>
      </w:pPr>
    </w:p>
    <w:p w:rsidR="002D794A" w:rsidRPr="0011571A" w:rsidP="002D794A" w14:paraId="5B53C577" w14:textId="6E1806CA">
      <w:pPr>
        <w:autoSpaceDE w:val="0"/>
        <w:autoSpaceDN w:val="0"/>
        <w:adjustRightInd w:val="0"/>
        <w:rPr>
          <w:rFonts w:eastAsia="Calibri"/>
        </w:rPr>
      </w:pPr>
      <w:r w:rsidRPr="0011571A">
        <w:rPr>
          <w:rFonts w:eastAsia="Calibri"/>
        </w:rPr>
        <w:t xml:space="preserve">FDA uses a structured product labeling (SPL) standard to support submissions through our electronic submission gateway (ESG).  On our website at </w:t>
      </w:r>
      <w:hyperlink r:id="rId8" w:history="1">
        <w:r w:rsidRPr="0011571A">
          <w:rPr>
            <w:rStyle w:val="Hyperlink"/>
            <w:rFonts w:eastAsia="Calibri"/>
          </w:rPr>
          <w:t>https://www.fda.gov/industry/fda-data-standards-advisory-board/structured-product-labeling-resourcese</w:t>
        </w:r>
      </w:hyperlink>
      <w:r w:rsidRPr="0011571A">
        <w:rPr>
          <w:rFonts w:eastAsia="Calibri"/>
        </w:rPr>
        <w:t xml:space="preserve">, we provide informational resources regarding the SPL format standard, including </w:t>
      </w:r>
      <w:r>
        <w:rPr>
          <w:rFonts w:eastAsia="Calibri"/>
        </w:rPr>
        <w:t xml:space="preserve">agency </w:t>
      </w:r>
      <w:r w:rsidRPr="0011571A">
        <w:rPr>
          <w:rFonts w:eastAsia="Calibri"/>
        </w:rPr>
        <w:t>guidance, intended to assist respondents with technological considerations in submitting regulatory information to FDA.</w:t>
      </w:r>
      <w:r>
        <w:rPr>
          <w:rFonts w:eastAsia="Calibri"/>
        </w:rPr>
        <w:t xml:space="preserve">  </w:t>
      </w:r>
      <w:r w:rsidRPr="0011571A">
        <w:rPr>
          <w:rFonts w:eastAsia="Calibri"/>
        </w:rPr>
        <w:t>Additionally, our Center for Drug Evaluation and Research (CDER) continues to develop a “CDER NextGen” platform that utilizes interactive data submission technology for a number of its programs, including submissions under 21 CFR part 207 applicable to foreign and domestic establishment registration and listing for human drugs, including drugs that are regulated under a biologics license application, animal drugs, and the national drug code (NDC).  We believe most, if not all, respondents to the collection of information use this platform to submit required drug registration and listing information and invite comment on our assumption.</w:t>
      </w:r>
    </w:p>
    <w:p w:rsidR="005966AB" w:rsidRPr="00435B59" w:rsidP="00435B59" w14:paraId="541D2293" w14:textId="77777777">
      <w:pPr>
        <w:autoSpaceDE w:val="0"/>
        <w:autoSpaceDN w:val="0"/>
        <w:adjustRightInd w:val="0"/>
        <w:rPr>
          <w:rFonts w:eastAsia="Calibri"/>
        </w:rPr>
      </w:pPr>
    </w:p>
    <w:p w:rsidR="00357C8A" w:rsidRPr="00435B59" w:rsidP="0011571A" w14:paraId="23350C84" w14:textId="4DA6E2FD">
      <w:pPr>
        <w:spacing w:line="276" w:lineRule="auto"/>
      </w:pPr>
      <w:r w:rsidRPr="00435B59">
        <w:rPr>
          <w:rFonts w:eastAsia="Calibri"/>
          <w:u w:val="single"/>
        </w:rPr>
        <w:t xml:space="preserve">4.  </w:t>
      </w:r>
      <w:r w:rsidRPr="00435B59">
        <w:rPr>
          <w:rFonts w:eastAsia="Calibri"/>
          <w:u w:val="single"/>
        </w:rPr>
        <w:t xml:space="preserve">Efforts to Identify Duplication and Use of Similar Information </w:t>
      </w:r>
    </w:p>
    <w:p w:rsidR="00C366F2" w:rsidP="0011571A" w14:paraId="7C317C7D" w14:textId="77777777">
      <w:pPr>
        <w:pStyle w:val="BodyText"/>
        <w:spacing w:after="0"/>
        <w:rPr>
          <w:rFonts w:eastAsia="Calibri"/>
        </w:rPr>
      </w:pPr>
    </w:p>
    <w:p w:rsidR="009A6772" w:rsidP="0011571A" w14:paraId="1195954F" w14:textId="08C157DA">
      <w:pPr>
        <w:pStyle w:val="BodyText"/>
        <w:spacing w:after="0"/>
      </w:pPr>
      <w:r w:rsidRPr="0011571A">
        <w:rPr>
          <w:rFonts w:eastAsia="Calibri"/>
        </w:rPr>
        <w:t xml:space="preserve">We are </w:t>
      </w:r>
      <w:r w:rsidR="00C366F2">
        <w:rPr>
          <w:rFonts w:eastAsia="Calibri"/>
        </w:rPr>
        <w:t>un</w:t>
      </w:r>
      <w:r w:rsidRPr="0011571A">
        <w:rPr>
          <w:rFonts w:eastAsia="Calibri"/>
        </w:rPr>
        <w:t>aware of duplicative information collection</w:t>
      </w:r>
      <w:r w:rsidRPr="00435B59" w:rsidR="0044756F">
        <w:t>.</w:t>
      </w:r>
    </w:p>
    <w:p w:rsidR="00C366F2" w:rsidRPr="00435B59" w:rsidP="0011571A" w14:paraId="04FA8236" w14:textId="77777777">
      <w:pPr>
        <w:pStyle w:val="BodyText"/>
        <w:spacing w:after="0"/>
      </w:pPr>
    </w:p>
    <w:p w:rsidR="00357C8A" w:rsidRPr="00435B59" w:rsidP="0011571A" w14:paraId="0B6C201A" w14:textId="6280790E">
      <w:pPr>
        <w:pStyle w:val="BodyText"/>
        <w:spacing w:after="0"/>
        <w:rPr>
          <w:rFonts w:eastAsia="Calibri"/>
        </w:rPr>
      </w:pPr>
      <w:r w:rsidRPr="00435B59">
        <w:rPr>
          <w:u w:val="single"/>
        </w:rPr>
        <w:t xml:space="preserve">5.  </w:t>
      </w:r>
      <w:r w:rsidRPr="00435B59">
        <w:rPr>
          <w:rFonts w:eastAsia="Calibri"/>
          <w:u w:val="single"/>
        </w:rPr>
        <w:t>Impact on Small Businesses or Other Small Entities</w:t>
      </w:r>
    </w:p>
    <w:p w:rsidR="00C366F2" w:rsidP="0011571A" w14:paraId="6075BADF" w14:textId="77777777">
      <w:pPr>
        <w:rPr>
          <w:rFonts w:eastAsia="Calibri"/>
        </w:rPr>
      </w:pPr>
    </w:p>
    <w:p w:rsidR="00C366F2" w:rsidP="0011571A" w14:paraId="3ECBB411" w14:textId="77777777">
      <w:pPr>
        <w:rPr>
          <w:rFonts w:eastAsia="Calibri"/>
        </w:rPr>
      </w:pPr>
      <w:r w:rsidRPr="00435B59">
        <w:rPr>
          <w:rFonts w:eastAsia="Calibri"/>
        </w:rPr>
        <w:t xml:space="preserve">The information collection poses no </w:t>
      </w:r>
      <w:r w:rsidRPr="00435B59" w:rsidR="00232C42">
        <w:rPr>
          <w:rFonts w:eastAsia="Calibri"/>
        </w:rPr>
        <w:t xml:space="preserve">undue </w:t>
      </w:r>
      <w:r w:rsidRPr="00435B59">
        <w:rPr>
          <w:rFonts w:eastAsia="Calibri"/>
        </w:rPr>
        <w:t>burden on small entities.</w:t>
      </w:r>
    </w:p>
    <w:p w:rsidR="00E85F45" w:rsidRPr="00435B59" w:rsidP="0011571A" w14:paraId="4E183506" w14:textId="7C540834">
      <w:pPr>
        <w:rPr>
          <w:rFonts w:eastAsia="Calibri"/>
        </w:rPr>
      </w:pPr>
      <w:r w:rsidRPr="00435B59">
        <w:rPr>
          <w:rFonts w:eastAsia="Calibri"/>
        </w:rPr>
        <w:t xml:space="preserve">  </w:t>
      </w:r>
    </w:p>
    <w:p w:rsidR="00357C8A" w:rsidRPr="00435B59" w:rsidP="0011571A" w14:paraId="11B70E22" w14:textId="7ECB7E83">
      <w:pPr>
        <w:rPr>
          <w:rFonts w:eastAsia="Calibri"/>
          <w:u w:val="single"/>
        </w:rPr>
      </w:pPr>
      <w:r w:rsidRPr="00435B59">
        <w:rPr>
          <w:rFonts w:eastAsia="Calibri"/>
          <w:u w:val="single"/>
        </w:rPr>
        <w:t xml:space="preserve">6.  </w:t>
      </w:r>
      <w:r w:rsidRPr="00435B59">
        <w:rPr>
          <w:rFonts w:eastAsia="Calibri"/>
          <w:u w:val="single"/>
        </w:rPr>
        <w:t>Consequences of Collecting the Information Less Frequently</w:t>
      </w:r>
    </w:p>
    <w:p w:rsidR="00C366F2" w:rsidP="0011571A" w14:paraId="3778434C" w14:textId="77777777">
      <w:pPr>
        <w:rPr>
          <w:rFonts w:eastAsia="Calibri"/>
        </w:rPr>
      </w:pPr>
    </w:p>
    <w:p w:rsidR="005D7CDD" w:rsidP="0011571A" w14:paraId="36A5F7DB" w14:textId="27C7CFB6">
      <w:pPr>
        <w:rPr>
          <w:rFonts w:eastAsia="Calibri"/>
        </w:rPr>
      </w:pPr>
      <w:r w:rsidRPr="00435B59">
        <w:rPr>
          <w:rFonts w:eastAsia="Calibri"/>
        </w:rPr>
        <w:t>The i</w:t>
      </w:r>
      <w:r w:rsidRPr="00435B59">
        <w:rPr>
          <w:rFonts w:eastAsia="Calibri"/>
        </w:rPr>
        <w:t>nformation collection schedule is consistent with statutory</w:t>
      </w:r>
      <w:r w:rsidRPr="00435B59" w:rsidR="0089268A">
        <w:rPr>
          <w:rFonts w:eastAsia="Calibri"/>
        </w:rPr>
        <w:t xml:space="preserve"> and regulatory</w:t>
      </w:r>
      <w:r w:rsidRPr="00435B59">
        <w:rPr>
          <w:rFonts w:eastAsia="Calibri"/>
        </w:rPr>
        <w:t xml:space="preserve"> requirements.</w:t>
      </w:r>
    </w:p>
    <w:p w:rsidR="00C366F2" w:rsidRPr="00435B59" w:rsidP="0011571A" w14:paraId="3AC0C799" w14:textId="77777777">
      <w:pPr>
        <w:rPr>
          <w:rFonts w:eastAsia="Calibri"/>
        </w:rPr>
      </w:pPr>
    </w:p>
    <w:p w:rsidR="005D7CDD" w:rsidRPr="00435B59" w:rsidP="0011571A" w14:paraId="18226DAB" w14:textId="49847FF1">
      <w:pPr>
        <w:rPr>
          <w:rFonts w:eastAsia="Calibri"/>
        </w:rPr>
      </w:pPr>
      <w:r w:rsidRPr="00435B59">
        <w:rPr>
          <w:rFonts w:eastAsia="Calibri"/>
          <w:u w:val="single"/>
        </w:rPr>
        <w:t xml:space="preserve">7.  </w:t>
      </w:r>
      <w:r w:rsidRPr="00435B59" w:rsidR="00357C8A">
        <w:rPr>
          <w:rFonts w:eastAsia="Calibri"/>
          <w:u w:val="single"/>
        </w:rPr>
        <w:t>Special Circumstances Relating to the Guidelines of 5 CFR 1320</w:t>
      </w:r>
    </w:p>
    <w:p w:rsidR="00C366F2" w:rsidP="0011571A" w14:paraId="5EDB1D16" w14:textId="77777777">
      <w:pPr>
        <w:rPr>
          <w:rFonts w:eastAsia="Calibri"/>
        </w:rPr>
      </w:pPr>
    </w:p>
    <w:p w:rsidR="005D7CDD" w:rsidP="0011571A" w14:paraId="7BD5FC2E" w14:textId="1BBA8DB5">
      <w:pPr>
        <w:rPr>
          <w:rFonts w:eastAsia="Calibri"/>
        </w:rPr>
      </w:pPr>
      <w:r w:rsidRPr="00435B59">
        <w:rPr>
          <w:rFonts w:eastAsia="Calibri"/>
        </w:rPr>
        <w:t xml:space="preserve">No </w:t>
      </w:r>
      <w:r w:rsidRPr="00435B59">
        <w:rPr>
          <w:rFonts w:eastAsia="Calibri"/>
        </w:rPr>
        <w:t xml:space="preserve">special circumstances </w:t>
      </w:r>
      <w:r w:rsidRPr="00435B59">
        <w:rPr>
          <w:rFonts w:eastAsia="Calibri"/>
        </w:rPr>
        <w:t xml:space="preserve">are associated with </w:t>
      </w:r>
      <w:r w:rsidRPr="00435B59">
        <w:rPr>
          <w:rFonts w:eastAsia="Calibri"/>
        </w:rPr>
        <w:t>the information collection.</w:t>
      </w:r>
    </w:p>
    <w:p w:rsidR="00C366F2" w:rsidRPr="00435B59" w:rsidP="0011571A" w14:paraId="750B0CC2" w14:textId="77777777">
      <w:pPr>
        <w:rPr>
          <w:rFonts w:eastAsia="Calibri"/>
        </w:rPr>
      </w:pPr>
    </w:p>
    <w:p w:rsidR="00357C8A" w:rsidRPr="00435B59" w:rsidP="0011571A" w14:paraId="5B38605A" w14:textId="03E7AEF7">
      <w:pPr>
        <w:spacing w:line="276" w:lineRule="auto"/>
        <w:rPr>
          <w:rFonts w:eastAsia="Calibri"/>
        </w:rPr>
      </w:pPr>
      <w:r w:rsidRPr="00435B59">
        <w:rPr>
          <w:rFonts w:eastAsia="Calibri"/>
          <w:u w:val="single"/>
        </w:rPr>
        <w:t xml:space="preserve">8.  </w:t>
      </w:r>
      <w:r w:rsidRPr="00435B59">
        <w:rPr>
          <w:rFonts w:eastAsia="Calibri"/>
          <w:u w:val="single"/>
        </w:rPr>
        <w:t>Comments in Response to the Federal Register Notice and Efforts to Consult Outside the Agency</w:t>
      </w:r>
    </w:p>
    <w:p w:rsidR="00C366F2" w:rsidP="0011571A" w14:paraId="335251E4" w14:textId="77777777">
      <w:pPr>
        <w:rPr>
          <w:rFonts w:eastAsia="Calibri"/>
        </w:rPr>
      </w:pPr>
    </w:p>
    <w:p w:rsidR="00C366F2" w:rsidP="000C295A" w14:paraId="374DF5DC" w14:textId="1B9B33D9">
      <w:pPr>
        <w:rPr>
          <w:rFonts w:eastAsia="Calibri"/>
        </w:rPr>
      </w:pPr>
      <w:r w:rsidRPr="003A31CD">
        <w:rPr>
          <w:rFonts w:eastAsia="Calibri"/>
        </w:rPr>
        <w:t xml:space="preserve">In the </w:t>
      </w:r>
      <w:r w:rsidRPr="003A31CD">
        <w:rPr>
          <w:rFonts w:eastAsia="Calibri"/>
          <w:i/>
          <w:iCs/>
        </w:rPr>
        <w:t>Federal Register</w:t>
      </w:r>
      <w:r w:rsidRPr="003A31CD">
        <w:rPr>
          <w:rFonts w:eastAsia="Calibri"/>
        </w:rPr>
        <w:t xml:space="preserve"> of September 5, 2024 (89 FR 72403), we published a 60-day notice requesting public comment on the proposed collection of information.  </w:t>
      </w:r>
      <w:r w:rsidR="00706B37">
        <w:rPr>
          <w:rFonts w:eastAsia="Calibri"/>
        </w:rPr>
        <w:t xml:space="preserve">Although no comments were received, we </w:t>
      </w:r>
      <w:r w:rsidR="000C295A">
        <w:rPr>
          <w:rFonts w:eastAsia="Calibri"/>
        </w:rPr>
        <w:t>provided further clarifications in our 30-day notice on December 20, 2024</w:t>
      </w:r>
      <w:r w:rsidR="00C478D8">
        <w:rPr>
          <w:rFonts w:eastAsia="Calibri"/>
        </w:rPr>
        <w:t>, and discuss these more fully at Q-12 and Q-15 of our SSA.</w:t>
      </w:r>
    </w:p>
    <w:p w:rsidR="00C478D8" w:rsidRPr="00435B59" w:rsidP="000C295A" w14:paraId="1CE64341" w14:textId="77777777">
      <w:pPr>
        <w:rPr>
          <w:rFonts w:eastAsia="Calibri"/>
        </w:rPr>
      </w:pPr>
    </w:p>
    <w:p w:rsidR="00046CB6" w:rsidRPr="00435B59" w:rsidP="0011571A" w14:paraId="4307D724" w14:textId="4D98EE4F">
      <w:pPr>
        <w:spacing w:line="276" w:lineRule="auto"/>
        <w:rPr>
          <w:rFonts w:eastAsia="Calibri"/>
          <w:u w:val="single"/>
        </w:rPr>
      </w:pPr>
      <w:r w:rsidRPr="00435B59">
        <w:rPr>
          <w:rFonts w:eastAsia="Calibri"/>
          <w:u w:val="single"/>
        </w:rPr>
        <w:t xml:space="preserve">9.  </w:t>
      </w:r>
      <w:r w:rsidRPr="00435B59">
        <w:rPr>
          <w:rFonts w:eastAsia="Calibri"/>
          <w:u w:val="single"/>
        </w:rPr>
        <w:t>Explanation of Any Payment or Gift to Respondents</w:t>
      </w:r>
    </w:p>
    <w:p w:rsidR="00C366F2" w:rsidP="0011571A" w14:paraId="0A1F94B8" w14:textId="77777777">
      <w:pPr>
        <w:spacing w:line="276" w:lineRule="auto"/>
        <w:rPr>
          <w:rFonts w:eastAsia="Calibri"/>
        </w:rPr>
      </w:pPr>
    </w:p>
    <w:p w:rsidR="00792947" w:rsidP="0011571A" w14:paraId="1ED55799" w14:textId="44DDC01B">
      <w:pPr>
        <w:spacing w:line="276" w:lineRule="auto"/>
        <w:rPr>
          <w:rFonts w:eastAsia="Calibri"/>
        </w:rPr>
      </w:pPr>
      <w:r w:rsidRPr="00435B59">
        <w:rPr>
          <w:rFonts w:eastAsia="Calibri"/>
        </w:rPr>
        <w:t xml:space="preserve">No </w:t>
      </w:r>
      <w:r w:rsidRPr="00435B59">
        <w:rPr>
          <w:rFonts w:eastAsia="Calibri"/>
        </w:rPr>
        <w:t>incentives, payments</w:t>
      </w:r>
      <w:r w:rsidRPr="00435B59">
        <w:rPr>
          <w:rFonts w:eastAsia="Calibri"/>
        </w:rPr>
        <w:t>,</w:t>
      </w:r>
      <w:r w:rsidRPr="00435B59">
        <w:rPr>
          <w:rFonts w:eastAsia="Calibri"/>
        </w:rPr>
        <w:t xml:space="preserve"> or gifts </w:t>
      </w:r>
      <w:r w:rsidRPr="00435B59">
        <w:rPr>
          <w:rFonts w:eastAsia="Calibri"/>
        </w:rPr>
        <w:t xml:space="preserve">are </w:t>
      </w:r>
      <w:r w:rsidRPr="00435B59">
        <w:rPr>
          <w:rFonts w:eastAsia="Calibri"/>
        </w:rPr>
        <w:t>associated with this information collection.</w:t>
      </w:r>
    </w:p>
    <w:p w:rsidR="00C366F2" w:rsidRPr="00435B59" w:rsidP="0011571A" w14:paraId="20A9AEEC" w14:textId="77777777">
      <w:pPr>
        <w:spacing w:line="276" w:lineRule="auto"/>
        <w:rPr>
          <w:rFonts w:eastAsia="Calibri"/>
        </w:rPr>
      </w:pPr>
    </w:p>
    <w:p w:rsidR="00357C8A" w:rsidRPr="00435B59" w:rsidP="0011571A" w14:paraId="798E420D" w14:textId="66103144">
      <w:pPr>
        <w:spacing w:line="276" w:lineRule="auto"/>
        <w:rPr>
          <w:rFonts w:eastAsia="Calibri"/>
        </w:rPr>
      </w:pPr>
      <w:r w:rsidRPr="00435B59">
        <w:rPr>
          <w:rFonts w:eastAsia="Calibri"/>
          <w:u w:val="single"/>
        </w:rPr>
        <w:t xml:space="preserve">10. </w:t>
      </w:r>
      <w:r w:rsidRPr="00435B59">
        <w:rPr>
          <w:rFonts w:eastAsia="Calibri"/>
          <w:u w:val="single"/>
        </w:rPr>
        <w:t>Assurance of Confidentiality Provided to Respondents</w:t>
      </w:r>
    </w:p>
    <w:p w:rsidR="00C366F2" w:rsidP="00435B59" w14:paraId="5D9513B3" w14:textId="77777777">
      <w:pPr>
        <w:rPr>
          <w:rFonts w:eastAsia="Calibri"/>
        </w:rPr>
      </w:pPr>
    </w:p>
    <w:p w:rsidR="00C366F2" w:rsidRPr="00F76C09" w:rsidP="00435B59" w14:paraId="08CDBADC" w14:textId="77777777">
      <w:pPr>
        <w:rPr>
          <w:rFonts w:eastAsia="Calibri"/>
          <w:i/>
          <w:iCs/>
        </w:rPr>
      </w:pPr>
      <w:r w:rsidRPr="00F76C09">
        <w:rPr>
          <w:rFonts w:eastAsia="Calibri"/>
          <w:i/>
          <w:iCs/>
        </w:rPr>
        <w:t>The Privacy Act of 1974</w:t>
      </w:r>
    </w:p>
    <w:p w:rsidR="00C366F2" w:rsidP="00435B59" w14:paraId="5497DC18" w14:textId="77777777">
      <w:pPr>
        <w:rPr>
          <w:rFonts w:eastAsia="Calibri"/>
        </w:rPr>
      </w:pPr>
    </w:p>
    <w:p w:rsidR="00AB150B" w:rsidRPr="00435B59" w:rsidP="00435B59" w14:paraId="77CD813E" w14:textId="578641D1">
      <w:pPr>
        <w:rPr>
          <w:rFonts w:eastAsia="Calibri"/>
        </w:rPr>
      </w:pPr>
      <w:r w:rsidRPr="00435B59">
        <w:rPr>
          <w:rFonts w:eastAsia="Calibri"/>
        </w:rPr>
        <w:t xml:space="preserve">Upon consulting with </w:t>
      </w:r>
      <w:r w:rsidRPr="00435B59" w:rsidR="00470C63">
        <w:rPr>
          <w:rFonts w:eastAsia="Calibri"/>
        </w:rPr>
        <w:t xml:space="preserve">our Privacy Office to ensure appropriate identification and handling of </w:t>
      </w:r>
      <w:r w:rsidRPr="00435B59">
        <w:rPr>
          <w:rFonts w:eastAsia="Calibri"/>
        </w:rPr>
        <w:t xml:space="preserve">any personably identifiable information (PII) </w:t>
      </w:r>
      <w:r w:rsidRPr="00435B59" w:rsidR="00470C63">
        <w:rPr>
          <w:rFonts w:eastAsia="Calibri"/>
        </w:rPr>
        <w:t>collected</w:t>
      </w:r>
      <w:r w:rsidRPr="00435B59">
        <w:rPr>
          <w:rFonts w:eastAsia="Calibri"/>
        </w:rPr>
        <w:t xml:space="preserve">, we have determined that </w:t>
      </w:r>
      <w:r w:rsidRPr="00435B59" w:rsidR="00470C63">
        <w:rPr>
          <w:rFonts w:eastAsia="Calibri"/>
        </w:rPr>
        <w:t xml:space="preserve">the </w:t>
      </w:r>
      <w:r w:rsidRPr="00435B59">
        <w:rPr>
          <w:rFonts w:eastAsia="Calibri"/>
        </w:rPr>
        <w:t xml:space="preserve">information </w:t>
      </w:r>
      <w:r w:rsidRPr="00435B59" w:rsidR="00470C63">
        <w:rPr>
          <w:rFonts w:eastAsia="Calibri"/>
        </w:rPr>
        <w:t>collection is not a Privacy Act System of Records</w:t>
      </w:r>
      <w:r w:rsidRPr="00435B59" w:rsidR="00C34FC5">
        <w:rPr>
          <w:rFonts w:eastAsia="Calibri"/>
        </w:rPr>
        <w:t>,</w:t>
      </w:r>
      <w:r w:rsidRPr="00435B59" w:rsidR="00470C63">
        <w:rPr>
          <w:rFonts w:eastAsia="Calibri"/>
        </w:rPr>
        <w:t xml:space="preserve"> and the requirements of the </w:t>
      </w:r>
      <w:r w:rsidRPr="00435B59">
        <w:rPr>
          <w:rFonts w:eastAsia="Calibri"/>
        </w:rPr>
        <w:t xml:space="preserve">Privacy </w:t>
      </w:r>
      <w:r w:rsidRPr="00435B59" w:rsidR="00470C63">
        <w:rPr>
          <w:rFonts w:eastAsia="Calibri"/>
        </w:rPr>
        <w:t>Act, such as to present a notice statement on any forms used to collect PII, do not apply</w:t>
      </w:r>
      <w:r w:rsidRPr="00435B59">
        <w:rPr>
          <w:rFonts w:eastAsia="Calibri"/>
        </w:rPr>
        <w:t>.</w:t>
      </w:r>
    </w:p>
    <w:p w:rsidR="00625CD6" w:rsidP="00435B59" w14:paraId="57954B5D" w14:textId="77777777">
      <w:pPr>
        <w:rPr>
          <w:rFonts w:eastAsia="Calibri"/>
        </w:rPr>
      </w:pPr>
    </w:p>
    <w:p w:rsidR="00625CD6" w:rsidRPr="00F76C09" w:rsidP="00435B59" w14:paraId="3135585E" w14:textId="77777777">
      <w:pPr>
        <w:rPr>
          <w:rFonts w:eastAsia="Calibri"/>
          <w:i/>
          <w:iCs/>
        </w:rPr>
      </w:pPr>
      <w:r w:rsidRPr="00F76C09">
        <w:rPr>
          <w:rFonts w:eastAsia="Calibri"/>
          <w:i/>
          <w:iCs/>
        </w:rPr>
        <w:t xml:space="preserve">The </w:t>
      </w:r>
      <w:r w:rsidRPr="00F76C09" w:rsidR="00470C63">
        <w:rPr>
          <w:rFonts w:eastAsia="Calibri"/>
          <w:i/>
          <w:iCs/>
        </w:rPr>
        <w:t xml:space="preserve">Freedom of Information Act (FOIA) </w:t>
      </w:r>
    </w:p>
    <w:p w:rsidR="00625CD6" w:rsidP="00435B59" w14:paraId="1C0597FD" w14:textId="77777777">
      <w:pPr>
        <w:rPr>
          <w:rFonts w:eastAsia="Calibri"/>
        </w:rPr>
      </w:pPr>
    </w:p>
    <w:p w:rsidR="00470C63" w:rsidRPr="00435B59" w:rsidP="00435B59" w14:paraId="2B564B4D" w14:textId="4AC5F020">
      <w:pPr>
        <w:rPr>
          <w:rFonts w:eastAsia="Calibri"/>
        </w:rPr>
      </w:pPr>
      <w:r>
        <w:rPr>
          <w:rFonts w:eastAsia="Calibri"/>
        </w:rPr>
        <w:t xml:space="preserve">Under FOIA </w:t>
      </w:r>
      <w:r w:rsidRPr="00435B59">
        <w:rPr>
          <w:rFonts w:eastAsia="Calibri"/>
        </w:rPr>
        <w:t>(5 U.S.C. 552), the public has broad access to government documents. However, FOIA provides certain exemptions from mandatory public disclosure of government records (5 U.S.C. 552(b)(1</w:t>
      </w:r>
      <w:r w:rsidRPr="00435B59" w:rsidR="00C34FC5">
        <w:rPr>
          <w:rFonts w:eastAsia="Calibri"/>
        </w:rPr>
        <w:t xml:space="preserve"> to </w:t>
      </w:r>
      <w:r w:rsidRPr="00435B59">
        <w:rPr>
          <w:rFonts w:eastAsia="Calibri"/>
        </w:rPr>
        <w:t xml:space="preserve">9)).  FDA will make the fullest possible disclosure of records to the public, consistent with the rights of individuals to privacy, the property rights of persons in trade and confidential commercial or financial information. </w:t>
      </w:r>
    </w:p>
    <w:p w:rsidR="009A6772" w:rsidRPr="00435B59" w:rsidP="00435B59" w14:paraId="2AFDA8AC" w14:textId="77777777">
      <w:pPr>
        <w:rPr>
          <w:rFonts w:eastAsia="Calibri"/>
        </w:rPr>
      </w:pPr>
    </w:p>
    <w:p w:rsidR="00357C8A" w:rsidRPr="00435B59" w:rsidP="0011571A" w14:paraId="7403F68B" w14:textId="2FFABF55">
      <w:pPr>
        <w:spacing w:line="276" w:lineRule="auto"/>
        <w:rPr>
          <w:rFonts w:eastAsia="Calibri"/>
          <w:u w:val="single"/>
        </w:rPr>
      </w:pPr>
      <w:r w:rsidRPr="00435B59">
        <w:rPr>
          <w:rFonts w:eastAsia="Calibri"/>
          <w:u w:val="single"/>
        </w:rPr>
        <w:t xml:space="preserve">11.  </w:t>
      </w:r>
      <w:r w:rsidRPr="00435B59">
        <w:rPr>
          <w:rFonts w:eastAsia="Calibri"/>
          <w:u w:val="single"/>
        </w:rPr>
        <w:t>Justification for Sensitive Questions</w:t>
      </w:r>
    </w:p>
    <w:p w:rsidR="00435B59" w:rsidP="00435B59" w14:paraId="12D896B0" w14:textId="77777777">
      <w:pPr>
        <w:rPr>
          <w:rFonts w:eastAsia="Calibri"/>
        </w:rPr>
      </w:pPr>
    </w:p>
    <w:p w:rsidR="00357C8A" w:rsidP="00435B59" w14:paraId="57162AE8" w14:textId="339C6B99">
      <w:pPr>
        <w:rPr>
          <w:rFonts w:eastAsia="Calibri"/>
        </w:rPr>
      </w:pPr>
      <w:r w:rsidRPr="00435B59">
        <w:rPr>
          <w:rFonts w:eastAsia="Calibri"/>
        </w:rPr>
        <w:t xml:space="preserve">The </w:t>
      </w:r>
      <w:r w:rsidRPr="00435B59" w:rsidR="00C34FC5">
        <w:rPr>
          <w:rFonts w:eastAsia="Calibri"/>
        </w:rPr>
        <w:t xml:space="preserve">information </w:t>
      </w:r>
      <w:r w:rsidRPr="00435B59">
        <w:rPr>
          <w:rFonts w:eastAsia="Calibri"/>
        </w:rPr>
        <w:t>collection does not involve sensitive questions</w:t>
      </w:r>
      <w:r w:rsidRPr="00435B59" w:rsidR="005D7CDD">
        <w:rPr>
          <w:rFonts w:eastAsia="Calibri"/>
        </w:rPr>
        <w:t>.</w:t>
      </w:r>
    </w:p>
    <w:p w:rsidR="00435B59" w:rsidRPr="00435B59" w:rsidP="0011571A" w14:paraId="3288D5E6" w14:textId="77777777">
      <w:pPr>
        <w:rPr>
          <w:rFonts w:eastAsia="Calibri"/>
        </w:rPr>
      </w:pPr>
    </w:p>
    <w:p w:rsidR="00357C8A" w:rsidRPr="00435B59" w:rsidP="0011571A" w14:paraId="0878DC3A" w14:textId="61570E92">
      <w:pPr>
        <w:spacing w:line="276" w:lineRule="auto"/>
        <w:rPr>
          <w:rFonts w:eastAsia="Calibri"/>
          <w:u w:val="single"/>
        </w:rPr>
      </w:pPr>
      <w:r w:rsidRPr="00435B59">
        <w:rPr>
          <w:rFonts w:eastAsia="Calibri"/>
          <w:u w:val="single"/>
        </w:rPr>
        <w:t xml:space="preserve">12.  </w:t>
      </w:r>
      <w:r w:rsidRPr="00435B59">
        <w:rPr>
          <w:rFonts w:eastAsia="Calibri"/>
          <w:u w:val="single"/>
        </w:rPr>
        <w:t>Estimates of Annualized Burden Hours and Cost</w:t>
      </w:r>
    </w:p>
    <w:p w:rsidR="00F76C09" w:rsidP="0011571A" w14:paraId="05EBFE0E" w14:textId="77777777">
      <w:pPr>
        <w:rPr>
          <w:rFonts w:eastAsia="Calibri"/>
          <w:i/>
          <w:iCs/>
        </w:rPr>
      </w:pPr>
    </w:p>
    <w:p w:rsidR="00357C8A" w:rsidP="0011571A" w14:paraId="1FA55DA9" w14:textId="67F39019">
      <w:pPr>
        <w:rPr>
          <w:rFonts w:eastAsia="Calibri"/>
        </w:rPr>
      </w:pPr>
      <w:r w:rsidRPr="00435B59">
        <w:rPr>
          <w:rFonts w:eastAsia="Calibri"/>
          <w:i/>
          <w:iCs/>
        </w:rPr>
        <w:tab/>
      </w:r>
      <w:r w:rsidRPr="00435B59">
        <w:rPr>
          <w:rFonts w:eastAsia="Calibri"/>
          <w:i/>
          <w:iCs/>
        </w:rPr>
        <w:t>12a.  Annualized Hour Burden Estimate</w:t>
      </w:r>
    </w:p>
    <w:p w:rsidR="006B7868" w:rsidP="00F76C09" w14:paraId="2986E44E" w14:textId="77777777">
      <w:pPr>
        <w:keepNext/>
      </w:pPr>
    </w:p>
    <w:p w:rsidR="006B7868" w:rsidRPr="006B7868" w:rsidP="006B7868" w14:paraId="481E65FA" w14:textId="77777777">
      <w:pPr>
        <w:jc w:val="center"/>
        <w:rPr>
          <w:sz w:val="20"/>
          <w:szCs w:val="20"/>
        </w:rPr>
      </w:pPr>
      <w:r w:rsidRPr="006B7868">
        <w:rPr>
          <w:sz w:val="20"/>
          <w:szCs w:val="20"/>
        </w:rPr>
        <w:t>Table 1.--Estimated Annual Reporting Burden</w:t>
      </w:r>
      <w:r w:rsidRPr="006B7868">
        <w:rPr>
          <w:sz w:val="20"/>
          <w:szCs w:val="20"/>
          <w:vertAlign w:val="superscript"/>
        </w:rPr>
        <w:t>1</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5"/>
        <w:gridCol w:w="1260"/>
        <w:gridCol w:w="1440"/>
        <w:gridCol w:w="1080"/>
        <w:gridCol w:w="1260"/>
        <w:gridCol w:w="990"/>
      </w:tblGrid>
      <w:tr w14:paraId="68093313" w14:textId="77777777" w:rsidTr="00F76C09">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3415" w:type="dxa"/>
            <w:shd w:val="clear" w:color="auto" w:fill="auto"/>
          </w:tcPr>
          <w:p w:rsidR="006B7868" w:rsidRPr="006B7868" w:rsidP="006B7868" w14:paraId="513AFA8A" w14:textId="77777777">
            <w:pPr>
              <w:jc w:val="center"/>
              <w:rPr>
                <w:sz w:val="20"/>
                <w:szCs w:val="20"/>
              </w:rPr>
            </w:pPr>
            <w:r w:rsidRPr="006B7868">
              <w:rPr>
                <w:sz w:val="20"/>
                <w:szCs w:val="20"/>
              </w:rPr>
              <w:t xml:space="preserve">Collection Activity; Authority to Collect Information </w:t>
            </w:r>
          </w:p>
        </w:tc>
        <w:tc>
          <w:tcPr>
            <w:tcW w:w="1260" w:type="dxa"/>
            <w:shd w:val="clear" w:color="auto" w:fill="auto"/>
          </w:tcPr>
          <w:p w:rsidR="006B7868" w:rsidRPr="006B7868" w:rsidP="006B7868" w14:paraId="5EAA6E5A" w14:textId="77777777">
            <w:pPr>
              <w:jc w:val="center"/>
              <w:rPr>
                <w:sz w:val="20"/>
                <w:szCs w:val="20"/>
              </w:rPr>
            </w:pPr>
            <w:r w:rsidRPr="006B7868">
              <w:rPr>
                <w:sz w:val="20"/>
                <w:szCs w:val="20"/>
              </w:rPr>
              <w:t>No. of Respondents</w:t>
            </w:r>
          </w:p>
        </w:tc>
        <w:tc>
          <w:tcPr>
            <w:tcW w:w="1440" w:type="dxa"/>
            <w:shd w:val="clear" w:color="auto" w:fill="auto"/>
          </w:tcPr>
          <w:p w:rsidR="006B7868" w:rsidRPr="006B7868" w:rsidP="006B7868" w14:paraId="4B5853F4" w14:textId="77777777">
            <w:pPr>
              <w:jc w:val="center"/>
              <w:rPr>
                <w:sz w:val="20"/>
                <w:szCs w:val="20"/>
              </w:rPr>
            </w:pPr>
            <w:r w:rsidRPr="006B7868">
              <w:rPr>
                <w:sz w:val="20"/>
                <w:szCs w:val="20"/>
              </w:rPr>
              <w:t>No. of Responses per Respondent</w:t>
            </w:r>
          </w:p>
        </w:tc>
        <w:tc>
          <w:tcPr>
            <w:tcW w:w="1080" w:type="dxa"/>
            <w:shd w:val="clear" w:color="auto" w:fill="auto"/>
          </w:tcPr>
          <w:p w:rsidR="006B7868" w:rsidRPr="006B7868" w:rsidP="006B7868" w14:paraId="169988A4" w14:textId="77777777">
            <w:pPr>
              <w:jc w:val="center"/>
              <w:rPr>
                <w:sz w:val="20"/>
                <w:szCs w:val="20"/>
              </w:rPr>
            </w:pPr>
            <w:r w:rsidRPr="006B7868">
              <w:rPr>
                <w:sz w:val="20"/>
                <w:szCs w:val="20"/>
              </w:rPr>
              <w:t>Total Annual Responses</w:t>
            </w:r>
          </w:p>
        </w:tc>
        <w:tc>
          <w:tcPr>
            <w:tcW w:w="1260" w:type="dxa"/>
            <w:shd w:val="clear" w:color="auto" w:fill="auto"/>
          </w:tcPr>
          <w:p w:rsidR="006B7868" w:rsidRPr="006B7868" w:rsidP="006B7868" w14:paraId="1B1BBC9E" w14:textId="77777777">
            <w:pPr>
              <w:jc w:val="center"/>
              <w:rPr>
                <w:sz w:val="20"/>
                <w:szCs w:val="20"/>
              </w:rPr>
            </w:pPr>
            <w:r w:rsidRPr="006B7868">
              <w:rPr>
                <w:sz w:val="20"/>
                <w:szCs w:val="20"/>
              </w:rPr>
              <w:t>Average Burden per Response</w:t>
            </w:r>
          </w:p>
        </w:tc>
        <w:tc>
          <w:tcPr>
            <w:tcW w:w="990" w:type="dxa"/>
            <w:shd w:val="clear" w:color="auto" w:fill="auto"/>
          </w:tcPr>
          <w:p w:rsidR="006B7868" w:rsidRPr="006B7868" w:rsidP="006B7868" w14:paraId="121FC65A" w14:textId="77777777">
            <w:pPr>
              <w:ind w:left="-110" w:right="-110"/>
              <w:jc w:val="center"/>
              <w:rPr>
                <w:sz w:val="20"/>
                <w:szCs w:val="20"/>
              </w:rPr>
            </w:pPr>
            <w:r w:rsidRPr="006B7868">
              <w:rPr>
                <w:sz w:val="20"/>
                <w:szCs w:val="20"/>
              </w:rPr>
              <w:t>Total Hours</w:t>
            </w:r>
          </w:p>
        </w:tc>
      </w:tr>
      <w:tr w14:paraId="23179082" w14:textId="77777777" w:rsidTr="00F76C09">
        <w:tblPrEx>
          <w:tblW w:w="9445" w:type="dxa"/>
          <w:tblLayout w:type="fixed"/>
          <w:tblLook w:val="04A0"/>
        </w:tblPrEx>
        <w:trPr>
          <w:cantSplit/>
        </w:trPr>
        <w:tc>
          <w:tcPr>
            <w:tcW w:w="3415" w:type="dxa"/>
            <w:shd w:val="clear" w:color="auto" w:fill="auto"/>
          </w:tcPr>
          <w:p w:rsidR="006B7868" w:rsidRPr="006B7868" w:rsidP="006B7868" w14:paraId="43F94B93" w14:textId="77777777">
            <w:pPr>
              <w:widowControl w:val="0"/>
              <w:rPr>
                <w:rFonts w:eastAsia="Calibri"/>
                <w:sz w:val="20"/>
                <w:szCs w:val="20"/>
              </w:rPr>
            </w:pPr>
            <w:r w:rsidRPr="006B7868">
              <w:rPr>
                <w:rFonts w:eastAsia="Arial"/>
                <w:sz w:val="20"/>
                <w:szCs w:val="20"/>
              </w:rPr>
              <w:t>Initial establishment registration; 21 CFR §§</w:t>
            </w:r>
            <w:r w:rsidRPr="006B7868">
              <w:rPr>
                <w:rFonts w:eastAsia="Arial"/>
                <w:spacing w:val="-19"/>
                <w:sz w:val="20"/>
                <w:szCs w:val="20"/>
              </w:rPr>
              <w:t> </w:t>
            </w:r>
            <w:r w:rsidRPr="006B7868">
              <w:rPr>
                <w:rFonts w:eastAsia="Arial"/>
                <w:sz w:val="20"/>
                <w:szCs w:val="20"/>
              </w:rPr>
              <w:t xml:space="preserve">207.17, 207.21, and </w:t>
            </w:r>
            <w:r w:rsidRPr="006B7868">
              <w:rPr>
                <w:rFonts w:eastAsia="Calibri"/>
                <w:sz w:val="20"/>
                <w:szCs w:val="20"/>
              </w:rPr>
              <w:t>207.25</w:t>
            </w:r>
          </w:p>
        </w:tc>
        <w:tc>
          <w:tcPr>
            <w:tcW w:w="1260" w:type="dxa"/>
            <w:shd w:val="clear" w:color="auto" w:fill="auto"/>
          </w:tcPr>
          <w:p w:rsidR="006B7868" w:rsidRPr="006B7868" w:rsidP="006B7868" w14:paraId="4DD520EA" w14:textId="77777777">
            <w:pPr>
              <w:jc w:val="right"/>
              <w:rPr>
                <w:sz w:val="20"/>
                <w:szCs w:val="20"/>
              </w:rPr>
            </w:pPr>
            <w:r w:rsidRPr="006B7868">
              <w:rPr>
                <w:sz w:val="20"/>
                <w:szCs w:val="20"/>
              </w:rPr>
              <w:t>593</w:t>
            </w:r>
          </w:p>
        </w:tc>
        <w:tc>
          <w:tcPr>
            <w:tcW w:w="1440" w:type="dxa"/>
            <w:shd w:val="clear" w:color="auto" w:fill="auto"/>
          </w:tcPr>
          <w:p w:rsidR="006B7868" w:rsidRPr="006B7868" w:rsidP="006B7868" w14:paraId="045C9B09" w14:textId="77777777">
            <w:pPr>
              <w:widowControl w:val="0"/>
              <w:jc w:val="right"/>
              <w:rPr>
                <w:rFonts w:eastAsia="Arial"/>
                <w:sz w:val="20"/>
                <w:szCs w:val="20"/>
              </w:rPr>
            </w:pPr>
            <w:r w:rsidRPr="006B7868">
              <w:rPr>
                <w:rFonts w:eastAsia="Calibri"/>
                <w:sz w:val="20"/>
                <w:szCs w:val="20"/>
              </w:rPr>
              <w:t>2</w:t>
            </w:r>
          </w:p>
        </w:tc>
        <w:tc>
          <w:tcPr>
            <w:tcW w:w="1080" w:type="dxa"/>
            <w:shd w:val="clear" w:color="auto" w:fill="auto"/>
          </w:tcPr>
          <w:p w:rsidR="006B7868" w:rsidRPr="006B7868" w:rsidP="006B7868" w14:paraId="6FB45C91" w14:textId="77777777">
            <w:pPr>
              <w:widowControl w:val="0"/>
              <w:jc w:val="right"/>
              <w:rPr>
                <w:rFonts w:eastAsia="Arial"/>
                <w:sz w:val="20"/>
                <w:szCs w:val="20"/>
              </w:rPr>
            </w:pPr>
            <w:r w:rsidRPr="006B7868">
              <w:rPr>
                <w:rFonts w:eastAsia="Calibri"/>
                <w:sz w:val="20"/>
                <w:szCs w:val="20"/>
              </w:rPr>
              <w:t>1,186</w:t>
            </w:r>
          </w:p>
        </w:tc>
        <w:tc>
          <w:tcPr>
            <w:tcW w:w="1260" w:type="dxa"/>
            <w:shd w:val="clear" w:color="auto" w:fill="auto"/>
          </w:tcPr>
          <w:p w:rsidR="006B7868" w:rsidRPr="006B7868" w:rsidP="006B7868" w14:paraId="75501EA2" w14:textId="77777777">
            <w:pPr>
              <w:widowControl w:val="0"/>
              <w:jc w:val="right"/>
              <w:rPr>
                <w:rFonts w:eastAsia="Arial"/>
                <w:sz w:val="20"/>
                <w:szCs w:val="20"/>
              </w:rPr>
            </w:pPr>
            <w:r w:rsidRPr="006B7868">
              <w:rPr>
                <w:rFonts w:eastAsia="Calibri"/>
                <w:sz w:val="20"/>
                <w:szCs w:val="20"/>
              </w:rPr>
              <w:t>1</w:t>
            </w:r>
          </w:p>
        </w:tc>
        <w:tc>
          <w:tcPr>
            <w:tcW w:w="990" w:type="dxa"/>
            <w:shd w:val="clear" w:color="auto" w:fill="auto"/>
          </w:tcPr>
          <w:p w:rsidR="006B7868" w:rsidRPr="006B7868" w:rsidP="006B7868" w14:paraId="1DB425B7" w14:textId="77777777">
            <w:pPr>
              <w:widowControl w:val="0"/>
              <w:jc w:val="right"/>
              <w:rPr>
                <w:rFonts w:eastAsia="Arial"/>
                <w:sz w:val="20"/>
                <w:szCs w:val="20"/>
              </w:rPr>
            </w:pPr>
            <w:r w:rsidRPr="006B7868">
              <w:rPr>
                <w:rFonts w:eastAsia="Calibri"/>
                <w:sz w:val="20"/>
                <w:szCs w:val="20"/>
              </w:rPr>
              <w:t>1,186</w:t>
            </w:r>
          </w:p>
        </w:tc>
      </w:tr>
      <w:tr w14:paraId="602B43B8" w14:textId="77777777" w:rsidTr="00F76C09">
        <w:tblPrEx>
          <w:tblW w:w="9445" w:type="dxa"/>
          <w:tblLayout w:type="fixed"/>
          <w:tblLook w:val="04A0"/>
        </w:tblPrEx>
        <w:trPr>
          <w:cantSplit/>
        </w:trPr>
        <w:tc>
          <w:tcPr>
            <w:tcW w:w="3415" w:type="dxa"/>
            <w:shd w:val="clear" w:color="auto" w:fill="auto"/>
          </w:tcPr>
          <w:p w:rsidR="006B7868" w:rsidRPr="006B7868" w:rsidP="006B7868" w14:paraId="5A0F9973" w14:textId="77777777">
            <w:pPr>
              <w:widowControl w:val="0"/>
              <w:rPr>
                <w:rFonts w:eastAsia="Arial"/>
                <w:sz w:val="20"/>
                <w:szCs w:val="20"/>
              </w:rPr>
            </w:pPr>
            <w:r w:rsidRPr="006B7868">
              <w:rPr>
                <w:rFonts w:eastAsia="Arial"/>
                <w:sz w:val="20"/>
                <w:szCs w:val="20"/>
              </w:rPr>
              <w:t>Annual review and update of registration information (including expedited updates); 21 CFR § 207.29</w:t>
            </w:r>
          </w:p>
        </w:tc>
        <w:tc>
          <w:tcPr>
            <w:tcW w:w="1260" w:type="dxa"/>
            <w:shd w:val="clear" w:color="auto" w:fill="auto"/>
          </w:tcPr>
          <w:p w:rsidR="006B7868" w:rsidRPr="006B7868" w:rsidP="006B7868" w14:paraId="237EC2E5" w14:textId="77777777">
            <w:pPr>
              <w:jc w:val="right"/>
              <w:rPr>
                <w:sz w:val="20"/>
                <w:szCs w:val="20"/>
              </w:rPr>
            </w:pPr>
            <w:r w:rsidRPr="006B7868">
              <w:rPr>
                <w:sz w:val="20"/>
                <w:szCs w:val="20"/>
              </w:rPr>
              <w:t>10,480</w:t>
            </w:r>
          </w:p>
        </w:tc>
        <w:tc>
          <w:tcPr>
            <w:tcW w:w="1440" w:type="dxa"/>
            <w:shd w:val="clear" w:color="auto" w:fill="auto"/>
          </w:tcPr>
          <w:p w:rsidR="006B7868" w:rsidRPr="006B7868" w:rsidP="006B7868" w14:paraId="5107972B" w14:textId="77777777">
            <w:pPr>
              <w:widowControl w:val="0"/>
              <w:jc w:val="right"/>
              <w:rPr>
                <w:rFonts w:eastAsia="Arial"/>
                <w:sz w:val="20"/>
                <w:szCs w:val="20"/>
              </w:rPr>
            </w:pPr>
            <w:r w:rsidRPr="006B7868">
              <w:rPr>
                <w:rFonts w:eastAsia="Arial"/>
                <w:sz w:val="20"/>
                <w:szCs w:val="20"/>
              </w:rPr>
              <w:t>3</w:t>
            </w:r>
          </w:p>
        </w:tc>
        <w:tc>
          <w:tcPr>
            <w:tcW w:w="1080" w:type="dxa"/>
            <w:shd w:val="clear" w:color="auto" w:fill="auto"/>
          </w:tcPr>
          <w:p w:rsidR="006B7868" w:rsidRPr="006B7868" w:rsidP="006B7868" w14:paraId="2B3F2D81" w14:textId="77777777">
            <w:pPr>
              <w:widowControl w:val="0"/>
              <w:ind w:right="-18"/>
              <w:jc w:val="right"/>
              <w:rPr>
                <w:rFonts w:eastAsia="Arial"/>
                <w:sz w:val="20"/>
                <w:szCs w:val="20"/>
              </w:rPr>
            </w:pPr>
            <w:r w:rsidRPr="006B7868">
              <w:rPr>
                <w:rFonts w:eastAsia="Calibri"/>
                <w:w w:val="95"/>
                <w:sz w:val="20"/>
                <w:szCs w:val="20"/>
              </w:rPr>
              <w:t>31,440</w:t>
            </w:r>
          </w:p>
        </w:tc>
        <w:tc>
          <w:tcPr>
            <w:tcW w:w="1260" w:type="dxa"/>
            <w:shd w:val="clear" w:color="auto" w:fill="auto"/>
          </w:tcPr>
          <w:p w:rsidR="006B7868" w:rsidRPr="006B7868" w:rsidP="006B7868" w14:paraId="31C18262" w14:textId="77777777">
            <w:pPr>
              <w:widowControl w:val="0"/>
              <w:ind w:hanging="1"/>
              <w:jc w:val="right"/>
              <w:rPr>
                <w:rFonts w:eastAsia="Calibri"/>
                <w:spacing w:val="8"/>
                <w:sz w:val="20"/>
                <w:szCs w:val="20"/>
              </w:rPr>
            </w:pPr>
            <w:r w:rsidRPr="006B7868">
              <w:rPr>
                <w:rFonts w:eastAsia="Calibri"/>
                <w:sz w:val="20"/>
                <w:szCs w:val="20"/>
              </w:rPr>
              <w:t xml:space="preserve">0.5 </w:t>
            </w:r>
          </w:p>
          <w:p w:rsidR="006B7868" w:rsidRPr="006B7868" w:rsidP="006B7868" w14:paraId="67B3BF3E" w14:textId="77777777">
            <w:pPr>
              <w:widowControl w:val="0"/>
              <w:ind w:hanging="1"/>
              <w:jc w:val="center"/>
              <w:rPr>
                <w:rFonts w:eastAsia="Arial"/>
                <w:sz w:val="20"/>
                <w:szCs w:val="20"/>
              </w:rPr>
            </w:pPr>
            <w:r w:rsidRPr="006B7868">
              <w:rPr>
                <w:rFonts w:eastAsia="Calibri"/>
                <w:sz w:val="20"/>
                <w:szCs w:val="20"/>
              </w:rPr>
              <w:t>(30</w:t>
            </w:r>
            <w:r w:rsidRPr="006B7868">
              <w:rPr>
                <w:rFonts w:eastAsia="Calibri"/>
                <w:spacing w:val="8"/>
                <w:sz w:val="20"/>
                <w:szCs w:val="20"/>
              </w:rPr>
              <w:t xml:space="preserve"> </w:t>
            </w:r>
            <w:r w:rsidRPr="006B7868">
              <w:rPr>
                <w:rFonts w:eastAsia="Calibri"/>
                <w:sz w:val="20"/>
                <w:szCs w:val="20"/>
              </w:rPr>
              <w:t>minutes)</w:t>
            </w:r>
          </w:p>
        </w:tc>
        <w:tc>
          <w:tcPr>
            <w:tcW w:w="990" w:type="dxa"/>
            <w:shd w:val="clear" w:color="auto" w:fill="auto"/>
          </w:tcPr>
          <w:p w:rsidR="006B7868" w:rsidRPr="006B7868" w:rsidP="006B7868" w14:paraId="75BC9EF6" w14:textId="77777777">
            <w:pPr>
              <w:widowControl w:val="0"/>
              <w:jc w:val="right"/>
              <w:rPr>
                <w:rFonts w:eastAsia="Arial"/>
                <w:sz w:val="20"/>
                <w:szCs w:val="20"/>
              </w:rPr>
            </w:pPr>
            <w:r w:rsidRPr="006B7868">
              <w:rPr>
                <w:rFonts w:eastAsia="Calibri"/>
                <w:sz w:val="20"/>
                <w:szCs w:val="20"/>
              </w:rPr>
              <w:t>15,720</w:t>
            </w:r>
          </w:p>
        </w:tc>
      </w:tr>
      <w:tr w14:paraId="56FCFCAB" w14:textId="77777777" w:rsidTr="00F76C09">
        <w:tblPrEx>
          <w:tblW w:w="9445" w:type="dxa"/>
          <w:tblLayout w:type="fixed"/>
          <w:tblLook w:val="04A0"/>
        </w:tblPrEx>
        <w:trPr>
          <w:cantSplit/>
        </w:trPr>
        <w:tc>
          <w:tcPr>
            <w:tcW w:w="3415" w:type="dxa"/>
            <w:shd w:val="clear" w:color="auto" w:fill="auto"/>
          </w:tcPr>
          <w:p w:rsidR="006B7868" w:rsidRPr="006B7868" w:rsidP="006B7868" w14:paraId="76D1C986" w14:textId="77777777">
            <w:pPr>
              <w:widowControl w:val="0"/>
              <w:rPr>
                <w:rFonts w:eastAsia="Calibri"/>
                <w:sz w:val="20"/>
                <w:szCs w:val="20"/>
              </w:rPr>
            </w:pPr>
            <w:r w:rsidRPr="006B7868">
              <w:rPr>
                <w:rFonts w:eastAsia="Arial"/>
                <w:sz w:val="20"/>
                <w:szCs w:val="20"/>
              </w:rPr>
              <w:t>Initial listing (including National Drug Code (NDC)); 21 CFR §§</w:t>
            </w:r>
            <w:r w:rsidRPr="006B7868">
              <w:rPr>
                <w:rFonts w:eastAsia="Arial"/>
                <w:spacing w:val="-19"/>
                <w:sz w:val="20"/>
                <w:szCs w:val="20"/>
              </w:rPr>
              <w:t xml:space="preserve"> </w:t>
            </w:r>
            <w:r w:rsidRPr="006B7868">
              <w:rPr>
                <w:rFonts w:eastAsia="Arial"/>
                <w:sz w:val="20"/>
                <w:szCs w:val="20"/>
              </w:rPr>
              <w:t>207.33, 207.41, 207.45,</w:t>
            </w:r>
            <w:r w:rsidRPr="006B7868">
              <w:rPr>
                <w:rFonts w:eastAsia="Arial"/>
                <w:spacing w:val="8"/>
                <w:sz w:val="20"/>
                <w:szCs w:val="20"/>
              </w:rPr>
              <w:t xml:space="preserve"> </w:t>
            </w:r>
            <w:r w:rsidRPr="006B7868">
              <w:rPr>
                <w:rFonts w:eastAsia="Arial"/>
                <w:sz w:val="20"/>
                <w:szCs w:val="20"/>
              </w:rPr>
              <w:t>207.49,</w:t>
            </w:r>
            <w:r w:rsidRPr="006B7868">
              <w:rPr>
                <w:rFonts w:eastAsia="Arial"/>
                <w:spacing w:val="8"/>
                <w:sz w:val="20"/>
                <w:szCs w:val="20"/>
              </w:rPr>
              <w:t xml:space="preserve"> </w:t>
            </w:r>
            <w:r w:rsidRPr="006B7868">
              <w:rPr>
                <w:rFonts w:eastAsia="Arial"/>
                <w:sz w:val="20"/>
                <w:szCs w:val="20"/>
              </w:rPr>
              <w:t>207.53,</w:t>
            </w:r>
            <w:r w:rsidRPr="006B7868">
              <w:rPr>
                <w:rFonts w:eastAsia="Arial"/>
                <w:spacing w:val="8"/>
                <w:sz w:val="20"/>
                <w:szCs w:val="20"/>
              </w:rPr>
              <w:t xml:space="preserve"> </w:t>
            </w:r>
            <w:r w:rsidRPr="006B7868">
              <w:rPr>
                <w:rFonts w:eastAsia="Arial"/>
                <w:sz w:val="20"/>
                <w:szCs w:val="20"/>
              </w:rPr>
              <w:t>207.54,</w:t>
            </w:r>
            <w:r w:rsidRPr="006B7868">
              <w:rPr>
                <w:rFonts w:eastAsia="Arial"/>
                <w:spacing w:val="8"/>
                <w:sz w:val="20"/>
                <w:szCs w:val="20"/>
              </w:rPr>
              <w:t xml:space="preserve"> and </w:t>
            </w:r>
            <w:r w:rsidRPr="006B7868">
              <w:rPr>
                <w:rFonts w:eastAsia="Arial"/>
                <w:sz w:val="20"/>
                <w:szCs w:val="20"/>
              </w:rPr>
              <w:t>207.55</w:t>
            </w:r>
          </w:p>
        </w:tc>
        <w:tc>
          <w:tcPr>
            <w:tcW w:w="1260" w:type="dxa"/>
            <w:shd w:val="clear" w:color="auto" w:fill="auto"/>
          </w:tcPr>
          <w:p w:rsidR="006B7868" w:rsidRPr="006B7868" w:rsidP="006B7868" w14:paraId="692D1828" w14:textId="77777777">
            <w:pPr>
              <w:widowControl w:val="0"/>
              <w:jc w:val="right"/>
              <w:rPr>
                <w:rFonts w:eastAsia="Calibri"/>
                <w:sz w:val="20"/>
                <w:szCs w:val="20"/>
              </w:rPr>
            </w:pPr>
            <w:r w:rsidRPr="006B7868">
              <w:rPr>
                <w:rFonts w:eastAsia="Calibri"/>
                <w:sz w:val="20"/>
                <w:szCs w:val="20"/>
              </w:rPr>
              <w:t>3,040</w:t>
            </w:r>
          </w:p>
        </w:tc>
        <w:tc>
          <w:tcPr>
            <w:tcW w:w="1440" w:type="dxa"/>
            <w:shd w:val="clear" w:color="auto" w:fill="auto"/>
          </w:tcPr>
          <w:p w:rsidR="006B7868" w:rsidRPr="006B7868" w:rsidP="006B7868" w14:paraId="0204A7C1" w14:textId="77777777">
            <w:pPr>
              <w:widowControl w:val="0"/>
              <w:ind w:right="-18"/>
              <w:jc w:val="right"/>
              <w:rPr>
                <w:rFonts w:eastAsia="Arial"/>
                <w:sz w:val="20"/>
                <w:szCs w:val="20"/>
              </w:rPr>
            </w:pPr>
            <w:r w:rsidRPr="006B7868">
              <w:rPr>
                <w:rFonts w:eastAsia="Calibri"/>
                <w:w w:val="95"/>
                <w:sz w:val="20"/>
                <w:szCs w:val="20"/>
              </w:rPr>
              <w:t>~7.28</w:t>
            </w:r>
          </w:p>
        </w:tc>
        <w:tc>
          <w:tcPr>
            <w:tcW w:w="1080" w:type="dxa"/>
            <w:shd w:val="clear" w:color="auto" w:fill="auto"/>
          </w:tcPr>
          <w:p w:rsidR="006B7868" w:rsidRPr="006B7868" w:rsidP="006B7868" w14:paraId="07A435D6" w14:textId="77777777">
            <w:pPr>
              <w:widowControl w:val="0"/>
              <w:ind w:right="-18"/>
              <w:jc w:val="right"/>
              <w:rPr>
                <w:rFonts w:eastAsia="Arial"/>
                <w:sz w:val="20"/>
                <w:szCs w:val="20"/>
              </w:rPr>
            </w:pPr>
            <w:r w:rsidRPr="006B7868">
              <w:rPr>
                <w:rFonts w:eastAsia="Calibri"/>
                <w:w w:val="95"/>
                <w:sz w:val="20"/>
                <w:szCs w:val="20"/>
              </w:rPr>
              <w:t>22,130</w:t>
            </w:r>
          </w:p>
        </w:tc>
        <w:tc>
          <w:tcPr>
            <w:tcW w:w="1260" w:type="dxa"/>
            <w:shd w:val="clear" w:color="auto" w:fill="auto"/>
          </w:tcPr>
          <w:p w:rsidR="006B7868" w:rsidRPr="006B7868" w:rsidP="006B7868" w14:paraId="41B2185A" w14:textId="77777777">
            <w:pPr>
              <w:widowControl w:val="0"/>
              <w:ind w:hanging="1"/>
              <w:jc w:val="right"/>
              <w:rPr>
                <w:rFonts w:eastAsia="Arial"/>
                <w:sz w:val="20"/>
                <w:szCs w:val="20"/>
              </w:rPr>
            </w:pPr>
            <w:r w:rsidRPr="006B7868">
              <w:rPr>
                <w:rFonts w:eastAsia="Calibri"/>
                <w:sz w:val="20"/>
                <w:szCs w:val="20"/>
              </w:rPr>
              <w:t>1.5</w:t>
            </w:r>
          </w:p>
        </w:tc>
        <w:tc>
          <w:tcPr>
            <w:tcW w:w="990" w:type="dxa"/>
            <w:shd w:val="clear" w:color="auto" w:fill="auto"/>
          </w:tcPr>
          <w:p w:rsidR="006B7868" w:rsidRPr="006B7868" w:rsidP="006B7868" w14:paraId="685D1BB6" w14:textId="77777777">
            <w:pPr>
              <w:widowControl w:val="0"/>
              <w:jc w:val="right"/>
              <w:rPr>
                <w:rFonts w:eastAsia="Arial"/>
                <w:sz w:val="20"/>
                <w:szCs w:val="20"/>
              </w:rPr>
            </w:pPr>
            <w:r w:rsidRPr="006B7868">
              <w:rPr>
                <w:rFonts w:eastAsia="Calibri"/>
                <w:sz w:val="20"/>
                <w:szCs w:val="20"/>
              </w:rPr>
              <w:t>33,197</w:t>
            </w:r>
          </w:p>
        </w:tc>
      </w:tr>
      <w:tr w14:paraId="2A3013CF" w14:textId="77777777" w:rsidTr="00F76C09">
        <w:tblPrEx>
          <w:tblW w:w="9445" w:type="dxa"/>
          <w:tblLayout w:type="fixed"/>
          <w:tblLook w:val="04A0"/>
        </w:tblPrEx>
        <w:trPr>
          <w:cantSplit/>
        </w:trPr>
        <w:tc>
          <w:tcPr>
            <w:tcW w:w="3415" w:type="dxa"/>
            <w:shd w:val="clear" w:color="auto" w:fill="auto"/>
          </w:tcPr>
          <w:p w:rsidR="006B7868" w:rsidRPr="006B7868" w:rsidP="006B7868" w14:paraId="42760702" w14:textId="77777777">
            <w:pPr>
              <w:widowControl w:val="0"/>
              <w:rPr>
                <w:rFonts w:eastAsia="Calibri"/>
                <w:sz w:val="20"/>
                <w:szCs w:val="20"/>
              </w:rPr>
            </w:pPr>
            <w:r w:rsidRPr="006B7868">
              <w:rPr>
                <w:rFonts w:eastAsia="Arial"/>
                <w:sz w:val="20"/>
                <w:szCs w:val="20"/>
              </w:rPr>
              <w:t>June and December review and update</w:t>
            </w:r>
            <w:r w:rsidRPr="006B7868">
              <w:rPr>
                <w:rFonts w:eastAsia="Arial"/>
                <w:spacing w:val="2"/>
                <w:sz w:val="20"/>
                <w:szCs w:val="20"/>
              </w:rPr>
              <w:t xml:space="preserve"> </w:t>
            </w:r>
            <w:r w:rsidRPr="006B7868">
              <w:rPr>
                <w:rFonts w:eastAsia="Arial"/>
                <w:sz w:val="20"/>
                <w:szCs w:val="20"/>
              </w:rPr>
              <w:t>(or certification)</w:t>
            </w:r>
            <w:r w:rsidRPr="006B7868">
              <w:rPr>
                <w:rFonts w:eastAsia="Arial"/>
                <w:spacing w:val="8"/>
                <w:sz w:val="20"/>
                <w:szCs w:val="20"/>
              </w:rPr>
              <w:t xml:space="preserve"> </w:t>
            </w:r>
            <w:r w:rsidRPr="006B7868">
              <w:rPr>
                <w:rFonts w:eastAsia="Arial"/>
                <w:sz w:val="20"/>
                <w:szCs w:val="20"/>
              </w:rPr>
              <w:t>of</w:t>
            </w:r>
            <w:r w:rsidRPr="006B7868">
              <w:rPr>
                <w:rFonts w:eastAsia="Arial"/>
                <w:spacing w:val="8"/>
                <w:sz w:val="20"/>
                <w:szCs w:val="20"/>
              </w:rPr>
              <w:t xml:space="preserve"> </w:t>
            </w:r>
            <w:r w:rsidRPr="006B7868">
              <w:rPr>
                <w:rFonts w:eastAsia="Arial"/>
                <w:sz w:val="20"/>
                <w:szCs w:val="20"/>
              </w:rPr>
              <w:t>listing; 21 CFR §§</w:t>
            </w:r>
            <w:r w:rsidRPr="006B7868">
              <w:rPr>
                <w:rFonts w:eastAsia="Arial"/>
                <w:spacing w:val="-19"/>
                <w:sz w:val="20"/>
                <w:szCs w:val="20"/>
              </w:rPr>
              <w:t> </w:t>
            </w:r>
            <w:r w:rsidRPr="006B7868">
              <w:rPr>
                <w:rFonts w:eastAsia="Arial"/>
                <w:sz w:val="20"/>
                <w:szCs w:val="20"/>
              </w:rPr>
              <w:t>207.35 and</w:t>
            </w:r>
            <w:r w:rsidRPr="006B7868">
              <w:rPr>
                <w:rFonts w:eastAsia="Arial"/>
                <w:spacing w:val="8"/>
                <w:sz w:val="20"/>
                <w:szCs w:val="20"/>
              </w:rPr>
              <w:t xml:space="preserve"> </w:t>
            </w:r>
            <w:r w:rsidRPr="006B7868">
              <w:rPr>
                <w:rFonts w:eastAsia="Arial"/>
                <w:sz w:val="20"/>
                <w:szCs w:val="20"/>
              </w:rPr>
              <w:t>207.57</w:t>
            </w:r>
          </w:p>
        </w:tc>
        <w:tc>
          <w:tcPr>
            <w:tcW w:w="1260" w:type="dxa"/>
            <w:shd w:val="clear" w:color="auto" w:fill="auto"/>
          </w:tcPr>
          <w:p w:rsidR="006B7868" w:rsidRPr="006B7868" w:rsidP="006B7868" w14:paraId="44F7BE3A" w14:textId="77777777">
            <w:pPr>
              <w:widowControl w:val="0"/>
              <w:jc w:val="right"/>
              <w:rPr>
                <w:rFonts w:eastAsia="Calibri"/>
                <w:sz w:val="20"/>
                <w:szCs w:val="20"/>
              </w:rPr>
            </w:pPr>
            <w:r w:rsidRPr="006B7868">
              <w:rPr>
                <w:rFonts w:eastAsia="Calibri"/>
                <w:sz w:val="20"/>
                <w:szCs w:val="20"/>
              </w:rPr>
              <w:t>5,153</w:t>
            </w:r>
          </w:p>
        </w:tc>
        <w:tc>
          <w:tcPr>
            <w:tcW w:w="1440" w:type="dxa"/>
            <w:shd w:val="clear" w:color="auto" w:fill="auto"/>
          </w:tcPr>
          <w:p w:rsidR="006B7868" w:rsidRPr="006B7868" w:rsidP="006B7868" w14:paraId="6F49A37D" w14:textId="77777777">
            <w:pPr>
              <w:widowControl w:val="0"/>
              <w:ind w:right="-18"/>
              <w:jc w:val="right"/>
              <w:rPr>
                <w:rFonts w:eastAsia="Arial"/>
                <w:sz w:val="20"/>
                <w:szCs w:val="20"/>
              </w:rPr>
            </w:pPr>
            <w:r w:rsidRPr="006B7868">
              <w:rPr>
                <w:rFonts w:eastAsia="Arial"/>
                <w:sz w:val="20"/>
                <w:szCs w:val="20"/>
              </w:rPr>
              <w:t>20</w:t>
            </w:r>
          </w:p>
        </w:tc>
        <w:tc>
          <w:tcPr>
            <w:tcW w:w="1080" w:type="dxa"/>
            <w:shd w:val="clear" w:color="auto" w:fill="auto"/>
          </w:tcPr>
          <w:p w:rsidR="006B7868" w:rsidRPr="006B7868" w:rsidP="006B7868" w14:paraId="7711EC3E" w14:textId="77777777">
            <w:pPr>
              <w:widowControl w:val="0"/>
              <w:ind w:right="-18"/>
              <w:jc w:val="right"/>
              <w:rPr>
                <w:rFonts w:eastAsia="Arial"/>
                <w:sz w:val="20"/>
                <w:szCs w:val="20"/>
              </w:rPr>
            </w:pPr>
            <w:r w:rsidRPr="006B7868">
              <w:rPr>
                <w:rFonts w:eastAsia="Calibri"/>
                <w:sz w:val="20"/>
                <w:szCs w:val="20"/>
              </w:rPr>
              <w:t>103,060</w:t>
            </w:r>
          </w:p>
        </w:tc>
        <w:tc>
          <w:tcPr>
            <w:tcW w:w="1260" w:type="dxa"/>
            <w:shd w:val="clear" w:color="auto" w:fill="auto"/>
          </w:tcPr>
          <w:p w:rsidR="006B7868" w:rsidRPr="006B7868" w:rsidP="006B7868" w14:paraId="05A0EDDA" w14:textId="77777777">
            <w:pPr>
              <w:widowControl w:val="0"/>
              <w:jc w:val="right"/>
              <w:rPr>
                <w:rFonts w:eastAsia="Calibri"/>
                <w:sz w:val="20"/>
                <w:szCs w:val="20"/>
              </w:rPr>
            </w:pPr>
            <w:r w:rsidRPr="006B7868">
              <w:rPr>
                <w:rFonts w:eastAsia="Calibri"/>
                <w:sz w:val="20"/>
                <w:szCs w:val="20"/>
              </w:rPr>
              <w:t>0.75</w:t>
            </w:r>
          </w:p>
          <w:p w:rsidR="006B7868" w:rsidRPr="006B7868" w:rsidP="006B7868" w14:paraId="09D18A42" w14:textId="77777777">
            <w:pPr>
              <w:widowControl w:val="0"/>
              <w:jc w:val="right"/>
              <w:rPr>
                <w:rFonts w:eastAsia="Arial"/>
                <w:sz w:val="20"/>
                <w:szCs w:val="20"/>
              </w:rPr>
            </w:pPr>
            <w:r w:rsidRPr="006B7868">
              <w:rPr>
                <w:rFonts w:eastAsia="Calibri"/>
                <w:sz w:val="20"/>
                <w:szCs w:val="20"/>
              </w:rPr>
              <w:t>(45</w:t>
            </w:r>
            <w:r w:rsidRPr="006B7868">
              <w:rPr>
                <w:rFonts w:eastAsia="Calibri"/>
                <w:spacing w:val="8"/>
                <w:sz w:val="20"/>
                <w:szCs w:val="20"/>
              </w:rPr>
              <w:t xml:space="preserve"> </w:t>
            </w:r>
            <w:r w:rsidRPr="006B7868">
              <w:rPr>
                <w:rFonts w:eastAsia="Calibri"/>
                <w:sz w:val="20"/>
                <w:szCs w:val="20"/>
              </w:rPr>
              <w:t>minutes)</w:t>
            </w:r>
          </w:p>
        </w:tc>
        <w:tc>
          <w:tcPr>
            <w:tcW w:w="990" w:type="dxa"/>
            <w:shd w:val="clear" w:color="auto" w:fill="auto"/>
          </w:tcPr>
          <w:p w:rsidR="006B7868" w:rsidRPr="006B7868" w:rsidP="006B7868" w14:paraId="46B1B315" w14:textId="77777777">
            <w:pPr>
              <w:widowControl w:val="0"/>
              <w:jc w:val="right"/>
              <w:rPr>
                <w:rFonts w:eastAsia="Arial"/>
                <w:sz w:val="20"/>
                <w:szCs w:val="20"/>
              </w:rPr>
            </w:pPr>
            <w:r w:rsidRPr="006B7868">
              <w:rPr>
                <w:rFonts w:eastAsia="Calibri"/>
                <w:w w:val="95"/>
                <w:sz w:val="20"/>
                <w:szCs w:val="20"/>
              </w:rPr>
              <w:t>77,295</w:t>
            </w:r>
          </w:p>
        </w:tc>
      </w:tr>
      <w:tr w14:paraId="37502E1C" w14:textId="77777777" w:rsidTr="00F76C09">
        <w:tblPrEx>
          <w:tblW w:w="9445" w:type="dxa"/>
          <w:tblLayout w:type="fixed"/>
          <w:tblLook w:val="04A0"/>
        </w:tblPrEx>
        <w:trPr>
          <w:cantSplit/>
        </w:trPr>
        <w:tc>
          <w:tcPr>
            <w:tcW w:w="3415" w:type="dxa"/>
            <w:shd w:val="clear" w:color="auto" w:fill="auto"/>
          </w:tcPr>
          <w:p w:rsidR="006B7868" w:rsidRPr="006B7868" w:rsidP="006B7868" w14:paraId="1174A440" w14:textId="77777777">
            <w:pPr>
              <w:rPr>
                <w:rFonts w:eastAsia="Arial"/>
                <w:sz w:val="20"/>
                <w:szCs w:val="20"/>
              </w:rPr>
            </w:pPr>
            <w:r w:rsidRPr="006B7868">
              <w:rPr>
                <w:rFonts w:eastAsia="Arial"/>
                <w:sz w:val="20"/>
                <w:szCs w:val="20"/>
              </w:rPr>
              <w:t>Waiver</w:t>
            </w:r>
            <w:r w:rsidRPr="006B7868">
              <w:rPr>
                <w:rFonts w:eastAsia="Arial"/>
                <w:spacing w:val="8"/>
                <w:sz w:val="20"/>
                <w:szCs w:val="20"/>
              </w:rPr>
              <w:t xml:space="preserve"> </w:t>
            </w:r>
            <w:r w:rsidRPr="006B7868">
              <w:rPr>
                <w:rFonts w:eastAsia="Arial"/>
                <w:sz w:val="20"/>
                <w:szCs w:val="20"/>
              </w:rPr>
              <w:t>requests; 21 CFR §</w:t>
            </w:r>
            <w:r w:rsidRPr="006B7868">
              <w:rPr>
                <w:rFonts w:eastAsia="Arial"/>
                <w:spacing w:val="-19"/>
                <w:sz w:val="20"/>
                <w:szCs w:val="20"/>
              </w:rPr>
              <w:t xml:space="preserve"> </w:t>
            </w:r>
            <w:r w:rsidRPr="006B7868">
              <w:rPr>
                <w:rFonts w:eastAsia="Arial"/>
                <w:sz w:val="20"/>
                <w:szCs w:val="20"/>
              </w:rPr>
              <w:t>207.65</w:t>
            </w:r>
          </w:p>
        </w:tc>
        <w:tc>
          <w:tcPr>
            <w:tcW w:w="1260" w:type="dxa"/>
            <w:shd w:val="clear" w:color="auto" w:fill="auto"/>
          </w:tcPr>
          <w:p w:rsidR="006B7868" w:rsidRPr="006B7868" w:rsidP="006B7868" w14:paraId="42CDD9A1" w14:textId="77777777">
            <w:pPr>
              <w:jc w:val="right"/>
              <w:rPr>
                <w:sz w:val="20"/>
                <w:szCs w:val="20"/>
              </w:rPr>
            </w:pPr>
            <w:r w:rsidRPr="006B7868">
              <w:rPr>
                <w:sz w:val="20"/>
                <w:szCs w:val="20"/>
              </w:rPr>
              <w:t>1</w:t>
            </w:r>
          </w:p>
        </w:tc>
        <w:tc>
          <w:tcPr>
            <w:tcW w:w="1440" w:type="dxa"/>
            <w:shd w:val="clear" w:color="auto" w:fill="auto"/>
          </w:tcPr>
          <w:p w:rsidR="006B7868" w:rsidRPr="006B7868" w:rsidP="006B7868" w14:paraId="6E22E009" w14:textId="77777777">
            <w:pPr>
              <w:widowControl w:val="0"/>
              <w:jc w:val="right"/>
              <w:rPr>
                <w:rFonts w:eastAsia="Arial"/>
                <w:sz w:val="20"/>
                <w:szCs w:val="20"/>
              </w:rPr>
            </w:pPr>
            <w:r w:rsidRPr="006B7868">
              <w:rPr>
                <w:rFonts w:eastAsia="Arial"/>
                <w:sz w:val="20"/>
                <w:szCs w:val="20"/>
              </w:rPr>
              <w:t>1</w:t>
            </w:r>
          </w:p>
        </w:tc>
        <w:tc>
          <w:tcPr>
            <w:tcW w:w="1080" w:type="dxa"/>
            <w:shd w:val="clear" w:color="auto" w:fill="auto"/>
          </w:tcPr>
          <w:p w:rsidR="006B7868" w:rsidRPr="006B7868" w:rsidP="006B7868" w14:paraId="4AF99E59" w14:textId="77777777">
            <w:pPr>
              <w:widowControl w:val="0"/>
              <w:ind w:right="-18"/>
              <w:jc w:val="right"/>
              <w:rPr>
                <w:rFonts w:eastAsia="Arial"/>
                <w:sz w:val="20"/>
                <w:szCs w:val="20"/>
              </w:rPr>
            </w:pPr>
            <w:r w:rsidRPr="006B7868">
              <w:rPr>
                <w:rFonts w:eastAsia="Calibri"/>
                <w:sz w:val="20"/>
                <w:szCs w:val="20"/>
              </w:rPr>
              <w:t>1</w:t>
            </w:r>
          </w:p>
        </w:tc>
        <w:tc>
          <w:tcPr>
            <w:tcW w:w="1260" w:type="dxa"/>
            <w:shd w:val="clear" w:color="auto" w:fill="auto"/>
          </w:tcPr>
          <w:p w:rsidR="006B7868" w:rsidRPr="006B7868" w:rsidP="006B7868" w14:paraId="653C9785" w14:textId="77777777">
            <w:pPr>
              <w:widowControl w:val="0"/>
              <w:ind w:hanging="1"/>
              <w:jc w:val="right"/>
              <w:rPr>
                <w:rFonts w:eastAsia="Calibri"/>
                <w:sz w:val="20"/>
                <w:szCs w:val="20"/>
              </w:rPr>
            </w:pPr>
            <w:r w:rsidRPr="006B7868">
              <w:rPr>
                <w:rFonts w:eastAsia="Calibri"/>
                <w:sz w:val="20"/>
                <w:szCs w:val="20"/>
              </w:rPr>
              <w:t>0.5</w:t>
            </w:r>
          </w:p>
          <w:p w:rsidR="006B7868" w:rsidRPr="006B7868" w:rsidP="006B7868" w14:paraId="608DA554" w14:textId="77777777">
            <w:pPr>
              <w:widowControl w:val="0"/>
              <w:ind w:hanging="1"/>
              <w:jc w:val="right"/>
              <w:rPr>
                <w:rFonts w:eastAsia="Arial"/>
                <w:sz w:val="20"/>
                <w:szCs w:val="20"/>
              </w:rPr>
            </w:pPr>
            <w:r w:rsidRPr="006B7868">
              <w:rPr>
                <w:rFonts w:eastAsia="Calibri"/>
                <w:sz w:val="20"/>
                <w:szCs w:val="20"/>
              </w:rPr>
              <w:t>(30</w:t>
            </w:r>
            <w:r w:rsidRPr="006B7868">
              <w:rPr>
                <w:rFonts w:eastAsia="Calibri"/>
                <w:spacing w:val="8"/>
                <w:sz w:val="20"/>
                <w:szCs w:val="20"/>
              </w:rPr>
              <w:t xml:space="preserve"> </w:t>
            </w:r>
            <w:r w:rsidRPr="006B7868">
              <w:rPr>
                <w:rFonts w:eastAsia="Calibri"/>
                <w:sz w:val="20"/>
                <w:szCs w:val="20"/>
              </w:rPr>
              <w:t>minutes)</w:t>
            </w:r>
          </w:p>
        </w:tc>
        <w:tc>
          <w:tcPr>
            <w:tcW w:w="990" w:type="dxa"/>
            <w:shd w:val="clear" w:color="auto" w:fill="auto"/>
          </w:tcPr>
          <w:p w:rsidR="006B7868" w:rsidRPr="006B7868" w:rsidP="006B7868" w14:paraId="350C6374" w14:textId="77777777">
            <w:pPr>
              <w:widowControl w:val="0"/>
              <w:jc w:val="right"/>
              <w:rPr>
                <w:rFonts w:eastAsia="Arial"/>
                <w:sz w:val="20"/>
                <w:szCs w:val="20"/>
              </w:rPr>
            </w:pPr>
            <w:r w:rsidRPr="006B7868">
              <w:rPr>
                <w:rFonts w:eastAsia="Calibri"/>
                <w:sz w:val="20"/>
                <w:szCs w:val="20"/>
              </w:rPr>
              <w:t>1</w:t>
            </w:r>
          </w:p>
        </w:tc>
      </w:tr>
      <w:tr w14:paraId="44C4E8FE" w14:textId="77777777" w:rsidTr="00F76C09">
        <w:tblPrEx>
          <w:tblW w:w="9445" w:type="dxa"/>
          <w:tblLayout w:type="fixed"/>
          <w:tblLook w:val="04A0"/>
        </w:tblPrEx>
        <w:trPr>
          <w:cantSplit/>
        </w:trPr>
        <w:tc>
          <w:tcPr>
            <w:tcW w:w="3415" w:type="dxa"/>
            <w:shd w:val="clear" w:color="auto" w:fill="auto"/>
          </w:tcPr>
          <w:p w:rsidR="006B7868" w:rsidRPr="006B7868" w:rsidP="006B7868" w14:paraId="1A05C144" w14:textId="77777777">
            <w:pPr>
              <w:rPr>
                <w:rFonts w:eastAsia="Arial"/>
                <w:sz w:val="20"/>
                <w:szCs w:val="20"/>
              </w:rPr>
            </w:pPr>
            <w:r w:rsidRPr="006B7868">
              <w:rPr>
                <w:rFonts w:eastAsia="Arial"/>
                <w:sz w:val="20"/>
                <w:szCs w:val="20"/>
              </w:rPr>
              <w:t>Public</w:t>
            </w:r>
            <w:r w:rsidRPr="006B7868">
              <w:rPr>
                <w:rFonts w:eastAsia="Arial"/>
                <w:spacing w:val="8"/>
                <w:sz w:val="20"/>
                <w:szCs w:val="20"/>
              </w:rPr>
              <w:t xml:space="preserve"> </w:t>
            </w:r>
            <w:r w:rsidRPr="006B7868">
              <w:rPr>
                <w:rFonts w:eastAsia="Arial"/>
                <w:sz w:val="20"/>
                <w:szCs w:val="20"/>
              </w:rPr>
              <w:t>disclosure</w:t>
            </w:r>
            <w:r w:rsidRPr="006B7868">
              <w:rPr>
                <w:rFonts w:eastAsia="Arial"/>
                <w:spacing w:val="8"/>
                <w:sz w:val="20"/>
                <w:szCs w:val="20"/>
              </w:rPr>
              <w:t xml:space="preserve"> </w:t>
            </w:r>
            <w:r w:rsidRPr="006B7868">
              <w:rPr>
                <w:rFonts w:eastAsia="Arial"/>
                <w:sz w:val="20"/>
                <w:szCs w:val="20"/>
              </w:rPr>
              <w:t>exemption</w:t>
            </w:r>
            <w:r w:rsidRPr="006B7868">
              <w:rPr>
                <w:rFonts w:eastAsia="Arial"/>
                <w:spacing w:val="8"/>
                <w:sz w:val="20"/>
                <w:szCs w:val="20"/>
              </w:rPr>
              <w:t xml:space="preserve"> </w:t>
            </w:r>
            <w:r w:rsidRPr="006B7868">
              <w:rPr>
                <w:rFonts w:eastAsia="Arial"/>
                <w:sz w:val="20"/>
                <w:szCs w:val="20"/>
              </w:rPr>
              <w:t>request; 21 CFR § 207.81(c)</w:t>
            </w:r>
          </w:p>
        </w:tc>
        <w:tc>
          <w:tcPr>
            <w:tcW w:w="1260" w:type="dxa"/>
            <w:shd w:val="clear" w:color="auto" w:fill="auto"/>
          </w:tcPr>
          <w:p w:rsidR="006B7868" w:rsidRPr="006B7868" w:rsidP="006B7868" w14:paraId="69D4000D" w14:textId="77777777">
            <w:pPr>
              <w:jc w:val="right"/>
              <w:rPr>
                <w:sz w:val="20"/>
                <w:szCs w:val="20"/>
              </w:rPr>
            </w:pPr>
            <w:r w:rsidRPr="006B7868">
              <w:rPr>
                <w:sz w:val="20"/>
                <w:szCs w:val="20"/>
              </w:rPr>
              <w:t>30</w:t>
            </w:r>
          </w:p>
        </w:tc>
        <w:tc>
          <w:tcPr>
            <w:tcW w:w="1440" w:type="dxa"/>
            <w:shd w:val="clear" w:color="auto" w:fill="auto"/>
          </w:tcPr>
          <w:p w:rsidR="006B7868" w:rsidRPr="006B7868" w:rsidP="006B7868" w14:paraId="0512F554" w14:textId="77777777">
            <w:pPr>
              <w:widowControl w:val="0"/>
              <w:jc w:val="right"/>
              <w:rPr>
                <w:rFonts w:eastAsia="Arial"/>
                <w:sz w:val="20"/>
                <w:szCs w:val="20"/>
              </w:rPr>
            </w:pPr>
            <w:r w:rsidRPr="006B7868">
              <w:rPr>
                <w:rFonts w:eastAsia="Arial"/>
                <w:sz w:val="20"/>
                <w:szCs w:val="20"/>
              </w:rPr>
              <w:t>1</w:t>
            </w:r>
          </w:p>
        </w:tc>
        <w:tc>
          <w:tcPr>
            <w:tcW w:w="1080" w:type="dxa"/>
            <w:shd w:val="clear" w:color="auto" w:fill="auto"/>
          </w:tcPr>
          <w:p w:rsidR="006B7868" w:rsidRPr="006B7868" w:rsidP="006B7868" w14:paraId="435A3BA2" w14:textId="77777777">
            <w:pPr>
              <w:widowControl w:val="0"/>
              <w:ind w:right="-18"/>
              <w:jc w:val="right"/>
              <w:rPr>
                <w:rFonts w:eastAsia="Arial"/>
                <w:sz w:val="20"/>
                <w:szCs w:val="20"/>
              </w:rPr>
            </w:pPr>
            <w:r w:rsidRPr="006B7868">
              <w:rPr>
                <w:rFonts w:eastAsia="Calibri"/>
                <w:sz w:val="20"/>
                <w:szCs w:val="20"/>
              </w:rPr>
              <w:t>30</w:t>
            </w:r>
          </w:p>
        </w:tc>
        <w:tc>
          <w:tcPr>
            <w:tcW w:w="1260" w:type="dxa"/>
            <w:shd w:val="clear" w:color="auto" w:fill="auto"/>
          </w:tcPr>
          <w:p w:rsidR="006B7868" w:rsidRPr="006B7868" w:rsidP="006B7868" w14:paraId="77AE7E74" w14:textId="77777777">
            <w:pPr>
              <w:widowControl w:val="0"/>
              <w:jc w:val="right"/>
              <w:rPr>
                <w:rFonts w:eastAsia="Arial"/>
                <w:sz w:val="20"/>
                <w:szCs w:val="20"/>
              </w:rPr>
            </w:pPr>
            <w:r w:rsidRPr="006B7868">
              <w:rPr>
                <w:rFonts w:eastAsia="Calibri"/>
                <w:sz w:val="20"/>
                <w:szCs w:val="20"/>
              </w:rPr>
              <w:t>1</w:t>
            </w:r>
          </w:p>
        </w:tc>
        <w:tc>
          <w:tcPr>
            <w:tcW w:w="990" w:type="dxa"/>
            <w:shd w:val="clear" w:color="auto" w:fill="auto"/>
          </w:tcPr>
          <w:p w:rsidR="006B7868" w:rsidRPr="006B7868" w:rsidP="006B7868" w14:paraId="7C3628B7" w14:textId="77777777">
            <w:pPr>
              <w:widowControl w:val="0"/>
              <w:jc w:val="right"/>
              <w:rPr>
                <w:rFonts w:eastAsia="Arial"/>
                <w:sz w:val="20"/>
                <w:szCs w:val="20"/>
              </w:rPr>
            </w:pPr>
            <w:r w:rsidRPr="006B7868">
              <w:rPr>
                <w:rFonts w:eastAsia="Calibri"/>
                <w:sz w:val="20"/>
                <w:szCs w:val="20"/>
              </w:rPr>
              <w:t>30</w:t>
            </w:r>
          </w:p>
        </w:tc>
      </w:tr>
      <w:tr w14:paraId="61A1A0E9" w14:textId="77777777" w:rsidTr="00F76C09">
        <w:tblPrEx>
          <w:tblW w:w="9445" w:type="dxa"/>
          <w:tblLayout w:type="fixed"/>
          <w:tblLook w:val="04A0"/>
        </w:tblPrEx>
        <w:trPr>
          <w:cantSplit/>
        </w:trPr>
        <w:tc>
          <w:tcPr>
            <w:tcW w:w="3415" w:type="dxa"/>
            <w:shd w:val="clear" w:color="auto" w:fill="auto"/>
          </w:tcPr>
          <w:p w:rsidR="006B7868" w:rsidRPr="006B7868" w:rsidP="006B7868" w14:paraId="512B437F" w14:textId="77777777">
            <w:pPr>
              <w:rPr>
                <w:rFonts w:eastAsia="Arial"/>
                <w:sz w:val="20"/>
                <w:szCs w:val="20"/>
              </w:rPr>
            </w:pPr>
            <w:r w:rsidRPr="006B7868">
              <w:rPr>
                <w:rFonts w:eastAsia="Arial"/>
                <w:sz w:val="20"/>
                <w:szCs w:val="20"/>
              </w:rPr>
              <w:t>Manufacturing amount information; FD&amp;C Act sec. 510(j)(3)</w:t>
            </w:r>
          </w:p>
        </w:tc>
        <w:tc>
          <w:tcPr>
            <w:tcW w:w="1260" w:type="dxa"/>
            <w:shd w:val="clear" w:color="auto" w:fill="auto"/>
          </w:tcPr>
          <w:p w:rsidR="006B7868" w:rsidRPr="006B7868" w:rsidP="006B7868" w14:paraId="03C93635" w14:textId="77777777">
            <w:pPr>
              <w:jc w:val="right"/>
              <w:rPr>
                <w:sz w:val="20"/>
                <w:szCs w:val="20"/>
                <w:highlight w:val="yellow"/>
              </w:rPr>
            </w:pPr>
            <w:r w:rsidRPr="006B7868">
              <w:rPr>
                <w:sz w:val="20"/>
                <w:szCs w:val="20"/>
              </w:rPr>
              <w:t>8,700</w:t>
            </w:r>
          </w:p>
        </w:tc>
        <w:tc>
          <w:tcPr>
            <w:tcW w:w="1440" w:type="dxa"/>
            <w:shd w:val="clear" w:color="auto" w:fill="auto"/>
          </w:tcPr>
          <w:p w:rsidR="006B7868" w:rsidRPr="006B7868" w:rsidP="006B7868" w14:paraId="59314547" w14:textId="77777777">
            <w:pPr>
              <w:widowControl w:val="0"/>
              <w:jc w:val="right"/>
              <w:rPr>
                <w:rFonts w:eastAsia="Arial"/>
                <w:sz w:val="20"/>
                <w:szCs w:val="20"/>
              </w:rPr>
            </w:pPr>
            <w:r w:rsidRPr="006B7868">
              <w:rPr>
                <w:rFonts w:eastAsia="Arial"/>
                <w:sz w:val="20"/>
                <w:szCs w:val="20"/>
              </w:rPr>
              <w:t>22.5</w:t>
            </w:r>
          </w:p>
        </w:tc>
        <w:tc>
          <w:tcPr>
            <w:tcW w:w="1080" w:type="dxa"/>
            <w:shd w:val="clear" w:color="auto" w:fill="auto"/>
          </w:tcPr>
          <w:p w:rsidR="006B7868" w:rsidRPr="006B7868" w:rsidP="006B7868" w14:paraId="523B8D35" w14:textId="77777777">
            <w:pPr>
              <w:widowControl w:val="0"/>
              <w:ind w:right="-18"/>
              <w:jc w:val="right"/>
              <w:rPr>
                <w:rFonts w:eastAsia="Calibri"/>
                <w:sz w:val="20"/>
                <w:szCs w:val="20"/>
              </w:rPr>
            </w:pPr>
            <w:r w:rsidRPr="006B7868">
              <w:rPr>
                <w:rFonts w:eastAsia="Calibri"/>
                <w:sz w:val="20"/>
                <w:szCs w:val="20"/>
              </w:rPr>
              <w:t>195,750</w:t>
            </w:r>
          </w:p>
        </w:tc>
        <w:tc>
          <w:tcPr>
            <w:tcW w:w="1260" w:type="dxa"/>
            <w:shd w:val="clear" w:color="auto" w:fill="auto"/>
          </w:tcPr>
          <w:p w:rsidR="006B7868" w:rsidRPr="006B7868" w:rsidP="006B7868" w14:paraId="51A510FB" w14:textId="77777777">
            <w:pPr>
              <w:widowControl w:val="0"/>
              <w:jc w:val="right"/>
              <w:rPr>
                <w:rFonts w:eastAsia="Calibri"/>
                <w:sz w:val="20"/>
                <w:szCs w:val="20"/>
              </w:rPr>
            </w:pPr>
            <w:r w:rsidRPr="006B7868">
              <w:rPr>
                <w:rFonts w:eastAsia="Calibri"/>
                <w:sz w:val="20"/>
                <w:szCs w:val="20"/>
              </w:rPr>
              <w:t>1</w:t>
            </w:r>
          </w:p>
        </w:tc>
        <w:tc>
          <w:tcPr>
            <w:tcW w:w="990" w:type="dxa"/>
            <w:shd w:val="clear" w:color="auto" w:fill="auto"/>
          </w:tcPr>
          <w:p w:rsidR="006B7868" w:rsidRPr="006B7868" w:rsidP="006B7868" w14:paraId="44894826" w14:textId="77777777">
            <w:pPr>
              <w:widowControl w:val="0"/>
              <w:jc w:val="right"/>
              <w:rPr>
                <w:rFonts w:eastAsia="Calibri"/>
                <w:sz w:val="20"/>
                <w:szCs w:val="20"/>
              </w:rPr>
            </w:pPr>
            <w:r w:rsidRPr="006B7868">
              <w:rPr>
                <w:rFonts w:eastAsia="Calibri"/>
                <w:sz w:val="20"/>
                <w:szCs w:val="20"/>
              </w:rPr>
              <w:t>195,750</w:t>
            </w:r>
          </w:p>
        </w:tc>
      </w:tr>
      <w:tr w14:paraId="3B6D9692" w14:textId="77777777" w:rsidTr="00F76C09">
        <w:tblPrEx>
          <w:tblW w:w="9445" w:type="dxa"/>
          <w:tblLayout w:type="fixed"/>
          <w:tblLook w:val="04A0"/>
        </w:tblPrEx>
        <w:trPr>
          <w:cantSplit/>
        </w:trPr>
        <w:tc>
          <w:tcPr>
            <w:tcW w:w="3415" w:type="dxa"/>
            <w:shd w:val="clear" w:color="auto" w:fill="auto"/>
          </w:tcPr>
          <w:p w:rsidR="006B7868" w:rsidRPr="006B7868" w:rsidP="006B7868" w14:paraId="10A6F2F3" w14:textId="77777777">
            <w:pPr>
              <w:rPr>
                <w:rFonts w:eastAsia="Arial"/>
                <w:sz w:val="20"/>
                <w:szCs w:val="20"/>
              </w:rPr>
            </w:pPr>
            <w:r w:rsidRPr="006B7868">
              <w:rPr>
                <w:rFonts w:eastAsia="Arial"/>
                <w:sz w:val="20"/>
                <w:szCs w:val="20"/>
              </w:rPr>
              <w:t>Maintenance of, and notifications associated with, plans to ensure availability of medically necessary drug products during emergency; FDA topic-specific guidance, section III.F</w:t>
            </w:r>
          </w:p>
        </w:tc>
        <w:tc>
          <w:tcPr>
            <w:tcW w:w="1260" w:type="dxa"/>
            <w:shd w:val="clear" w:color="auto" w:fill="auto"/>
          </w:tcPr>
          <w:p w:rsidR="006B7868" w:rsidRPr="006B7868" w:rsidP="006B7868" w14:paraId="6FC301C2" w14:textId="77777777">
            <w:pPr>
              <w:jc w:val="right"/>
              <w:rPr>
                <w:sz w:val="20"/>
                <w:szCs w:val="20"/>
              </w:rPr>
            </w:pPr>
            <w:r w:rsidRPr="006B7868">
              <w:rPr>
                <w:sz w:val="20"/>
                <w:szCs w:val="20"/>
              </w:rPr>
              <w:t>2</w:t>
            </w:r>
          </w:p>
        </w:tc>
        <w:tc>
          <w:tcPr>
            <w:tcW w:w="1440" w:type="dxa"/>
            <w:shd w:val="clear" w:color="auto" w:fill="auto"/>
          </w:tcPr>
          <w:p w:rsidR="006B7868" w:rsidRPr="006B7868" w:rsidP="006B7868" w14:paraId="27275322" w14:textId="77777777">
            <w:pPr>
              <w:widowControl w:val="0"/>
              <w:jc w:val="right"/>
              <w:rPr>
                <w:rFonts w:eastAsia="Arial"/>
                <w:sz w:val="20"/>
                <w:szCs w:val="20"/>
              </w:rPr>
            </w:pPr>
            <w:r w:rsidRPr="006B7868">
              <w:rPr>
                <w:rFonts w:eastAsia="Calibri"/>
                <w:sz w:val="20"/>
                <w:szCs w:val="20"/>
              </w:rPr>
              <w:t>1</w:t>
            </w:r>
          </w:p>
        </w:tc>
        <w:tc>
          <w:tcPr>
            <w:tcW w:w="1080" w:type="dxa"/>
            <w:shd w:val="clear" w:color="auto" w:fill="auto"/>
          </w:tcPr>
          <w:p w:rsidR="006B7868" w:rsidRPr="006B7868" w:rsidP="006B7868" w14:paraId="2AAD094F" w14:textId="77777777">
            <w:pPr>
              <w:widowControl w:val="0"/>
              <w:ind w:right="-18"/>
              <w:jc w:val="right"/>
              <w:rPr>
                <w:rFonts w:eastAsia="Calibri"/>
                <w:sz w:val="20"/>
                <w:szCs w:val="20"/>
              </w:rPr>
            </w:pPr>
            <w:r w:rsidRPr="006B7868">
              <w:rPr>
                <w:rFonts w:eastAsia="Calibri"/>
                <w:sz w:val="20"/>
                <w:szCs w:val="20"/>
              </w:rPr>
              <w:t>2</w:t>
            </w:r>
          </w:p>
        </w:tc>
        <w:tc>
          <w:tcPr>
            <w:tcW w:w="1260" w:type="dxa"/>
            <w:shd w:val="clear" w:color="auto" w:fill="auto"/>
          </w:tcPr>
          <w:p w:rsidR="006B7868" w:rsidRPr="006B7868" w:rsidP="006B7868" w14:paraId="4B4AD9E4" w14:textId="77777777">
            <w:pPr>
              <w:widowControl w:val="0"/>
              <w:jc w:val="right"/>
              <w:rPr>
                <w:rFonts w:eastAsia="Calibri"/>
                <w:sz w:val="20"/>
                <w:szCs w:val="20"/>
              </w:rPr>
            </w:pPr>
            <w:r w:rsidRPr="006B7868">
              <w:rPr>
                <w:rFonts w:eastAsia="Calibri"/>
                <w:sz w:val="20"/>
                <w:szCs w:val="20"/>
              </w:rPr>
              <w:t>16</w:t>
            </w:r>
          </w:p>
        </w:tc>
        <w:tc>
          <w:tcPr>
            <w:tcW w:w="990" w:type="dxa"/>
            <w:shd w:val="clear" w:color="auto" w:fill="auto"/>
          </w:tcPr>
          <w:p w:rsidR="006B7868" w:rsidRPr="006B7868" w:rsidP="006B7868" w14:paraId="1195D087" w14:textId="77777777">
            <w:pPr>
              <w:widowControl w:val="0"/>
              <w:jc w:val="right"/>
              <w:rPr>
                <w:rFonts w:eastAsia="Calibri"/>
                <w:sz w:val="20"/>
                <w:szCs w:val="20"/>
              </w:rPr>
            </w:pPr>
            <w:r w:rsidRPr="006B7868">
              <w:rPr>
                <w:rFonts w:eastAsia="Calibri"/>
                <w:sz w:val="20"/>
                <w:szCs w:val="20"/>
              </w:rPr>
              <w:t>32</w:t>
            </w:r>
          </w:p>
        </w:tc>
      </w:tr>
      <w:tr w14:paraId="3F601C5F" w14:textId="77777777" w:rsidTr="00F76C09">
        <w:tblPrEx>
          <w:tblW w:w="9445" w:type="dxa"/>
          <w:tblLayout w:type="fixed"/>
          <w:tblLook w:val="04A0"/>
        </w:tblPrEx>
        <w:trPr>
          <w:cantSplit/>
        </w:trPr>
        <w:tc>
          <w:tcPr>
            <w:tcW w:w="3415" w:type="dxa"/>
            <w:shd w:val="clear" w:color="auto" w:fill="auto"/>
          </w:tcPr>
          <w:p w:rsidR="006B7868" w:rsidRPr="006B7868" w:rsidP="006B7868" w14:paraId="76363C79" w14:textId="77777777">
            <w:pPr>
              <w:rPr>
                <w:rFonts w:eastAsia="Arial"/>
                <w:sz w:val="20"/>
                <w:szCs w:val="20"/>
              </w:rPr>
            </w:pPr>
            <w:r w:rsidRPr="006B7868">
              <w:rPr>
                <w:i/>
                <w:iCs/>
                <w:sz w:val="20"/>
                <w:szCs w:val="20"/>
              </w:rPr>
              <w:t>Reporting and Mitigating Animal Drug Shortages</w:t>
            </w:r>
            <w:r w:rsidRPr="006B7868">
              <w:rPr>
                <w:sz w:val="20"/>
                <w:szCs w:val="20"/>
              </w:rPr>
              <w:t xml:space="preserve">; FDA topic-specific Guidance, Section III </w:t>
            </w:r>
          </w:p>
        </w:tc>
        <w:tc>
          <w:tcPr>
            <w:tcW w:w="1260" w:type="dxa"/>
            <w:shd w:val="clear" w:color="auto" w:fill="auto"/>
          </w:tcPr>
          <w:p w:rsidR="006B7868" w:rsidRPr="006B7868" w:rsidP="006B7868" w14:paraId="19BADB35" w14:textId="77777777">
            <w:pPr>
              <w:jc w:val="right"/>
              <w:rPr>
                <w:sz w:val="20"/>
                <w:szCs w:val="20"/>
              </w:rPr>
            </w:pPr>
            <w:r w:rsidRPr="006B7868">
              <w:rPr>
                <w:sz w:val="20"/>
                <w:szCs w:val="20"/>
              </w:rPr>
              <w:t>30</w:t>
            </w:r>
          </w:p>
        </w:tc>
        <w:tc>
          <w:tcPr>
            <w:tcW w:w="1440" w:type="dxa"/>
            <w:shd w:val="clear" w:color="auto" w:fill="auto"/>
          </w:tcPr>
          <w:p w:rsidR="006B7868" w:rsidRPr="006B7868" w:rsidP="006B7868" w14:paraId="30782D70" w14:textId="77777777">
            <w:pPr>
              <w:widowControl w:val="0"/>
              <w:jc w:val="right"/>
              <w:rPr>
                <w:rFonts w:eastAsia="Arial"/>
                <w:sz w:val="20"/>
                <w:szCs w:val="20"/>
              </w:rPr>
            </w:pPr>
            <w:r w:rsidRPr="006B7868">
              <w:rPr>
                <w:rFonts w:eastAsia="Calibri"/>
                <w:sz w:val="20"/>
                <w:szCs w:val="20"/>
              </w:rPr>
              <w:t>2</w:t>
            </w:r>
          </w:p>
        </w:tc>
        <w:tc>
          <w:tcPr>
            <w:tcW w:w="1080" w:type="dxa"/>
            <w:shd w:val="clear" w:color="auto" w:fill="auto"/>
          </w:tcPr>
          <w:p w:rsidR="006B7868" w:rsidRPr="006B7868" w:rsidP="006B7868" w14:paraId="0D73E979" w14:textId="77777777">
            <w:pPr>
              <w:widowControl w:val="0"/>
              <w:ind w:right="-18"/>
              <w:jc w:val="right"/>
              <w:rPr>
                <w:rFonts w:eastAsia="Calibri"/>
                <w:sz w:val="20"/>
                <w:szCs w:val="20"/>
              </w:rPr>
            </w:pPr>
            <w:r w:rsidRPr="006B7868">
              <w:rPr>
                <w:rFonts w:eastAsia="Calibri"/>
                <w:sz w:val="20"/>
                <w:szCs w:val="20"/>
              </w:rPr>
              <w:t>60</w:t>
            </w:r>
          </w:p>
        </w:tc>
        <w:tc>
          <w:tcPr>
            <w:tcW w:w="1260" w:type="dxa"/>
            <w:shd w:val="clear" w:color="auto" w:fill="auto"/>
          </w:tcPr>
          <w:p w:rsidR="006B7868" w:rsidRPr="006B7868" w:rsidP="006B7868" w14:paraId="32D07AE2" w14:textId="77777777">
            <w:pPr>
              <w:widowControl w:val="0"/>
              <w:jc w:val="right"/>
              <w:rPr>
                <w:rFonts w:eastAsia="Calibri"/>
                <w:sz w:val="20"/>
                <w:szCs w:val="20"/>
              </w:rPr>
            </w:pPr>
            <w:r w:rsidRPr="006B7868">
              <w:rPr>
                <w:rFonts w:eastAsia="Calibri"/>
                <w:sz w:val="20"/>
                <w:szCs w:val="20"/>
              </w:rPr>
              <w:t xml:space="preserve">1 </w:t>
            </w:r>
          </w:p>
        </w:tc>
        <w:tc>
          <w:tcPr>
            <w:tcW w:w="990" w:type="dxa"/>
            <w:shd w:val="clear" w:color="auto" w:fill="auto"/>
          </w:tcPr>
          <w:p w:rsidR="006B7868" w:rsidRPr="006B7868" w:rsidP="006B7868" w14:paraId="03070539" w14:textId="77777777">
            <w:pPr>
              <w:widowControl w:val="0"/>
              <w:jc w:val="right"/>
              <w:rPr>
                <w:rFonts w:eastAsia="Calibri"/>
                <w:sz w:val="20"/>
                <w:szCs w:val="20"/>
              </w:rPr>
            </w:pPr>
            <w:r w:rsidRPr="006B7868">
              <w:rPr>
                <w:rFonts w:eastAsia="Calibri"/>
                <w:sz w:val="20"/>
                <w:szCs w:val="20"/>
              </w:rPr>
              <w:t>60</w:t>
            </w:r>
          </w:p>
        </w:tc>
      </w:tr>
      <w:tr w14:paraId="3D6A0C01" w14:textId="77777777" w:rsidTr="00F76C09">
        <w:tblPrEx>
          <w:tblW w:w="9445" w:type="dxa"/>
          <w:tblLayout w:type="fixed"/>
          <w:tblLook w:val="04A0"/>
        </w:tblPrEx>
        <w:trPr>
          <w:cantSplit/>
        </w:trPr>
        <w:tc>
          <w:tcPr>
            <w:tcW w:w="3415" w:type="dxa"/>
            <w:shd w:val="clear" w:color="auto" w:fill="auto"/>
          </w:tcPr>
          <w:p w:rsidR="006B7868" w:rsidRPr="006B7868" w:rsidP="006B7868" w14:paraId="652D38FC" w14:textId="77777777">
            <w:pPr>
              <w:rPr>
                <w:sz w:val="20"/>
                <w:szCs w:val="20"/>
              </w:rPr>
            </w:pPr>
            <w:r w:rsidRPr="006B7868">
              <w:rPr>
                <w:sz w:val="20"/>
                <w:szCs w:val="20"/>
              </w:rPr>
              <w:t>Total</w:t>
            </w:r>
          </w:p>
        </w:tc>
        <w:tc>
          <w:tcPr>
            <w:tcW w:w="1260" w:type="dxa"/>
            <w:shd w:val="clear" w:color="auto" w:fill="auto"/>
          </w:tcPr>
          <w:p w:rsidR="006B7868" w:rsidRPr="006B7868" w:rsidP="006B7868" w14:paraId="12F00F8A" w14:textId="77777777">
            <w:pPr>
              <w:jc w:val="right"/>
              <w:rPr>
                <w:sz w:val="20"/>
                <w:szCs w:val="20"/>
              </w:rPr>
            </w:pPr>
          </w:p>
        </w:tc>
        <w:tc>
          <w:tcPr>
            <w:tcW w:w="1440" w:type="dxa"/>
            <w:shd w:val="clear" w:color="auto" w:fill="auto"/>
          </w:tcPr>
          <w:p w:rsidR="006B7868" w:rsidRPr="006B7868" w:rsidP="006B7868" w14:paraId="1E90DB81" w14:textId="77777777">
            <w:pPr>
              <w:jc w:val="right"/>
              <w:rPr>
                <w:sz w:val="20"/>
                <w:szCs w:val="20"/>
              </w:rPr>
            </w:pPr>
          </w:p>
        </w:tc>
        <w:tc>
          <w:tcPr>
            <w:tcW w:w="1080" w:type="dxa"/>
            <w:shd w:val="clear" w:color="auto" w:fill="auto"/>
          </w:tcPr>
          <w:p w:rsidR="006B7868" w:rsidRPr="006B7868" w:rsidP="006B7868" w14:paraId="3641AA72" w14:textId="77777777">
            <w:pPr>
              <w:jc w:val="right"/>
              <w:rPr>
                <w:sz w:val="20"/>
                <w:szCs w:val="20"/>
              </w:rPr>
            </w:pPr>
            <w:r w:rsidRPr="006B7868">
              <w:rPr>
                <w:sz w:val="20"/>
                <w:szCs w:val="20"/>
              </w:rPr>
              <w:fldChar w:fldCharType="begin"/>
            </w:r>
            <w:r w:rsidRPr="006B7868">
              <w:rPr>
                <w:sz w:val="20"/>
                <w:szCs w:val="20"/>
              </w:rPr>
              <w:instrText xml:space="preserve"> =SUM(ABOVE) </w:instrText>
            </w:r>
            <w:r w:rsidRPr="006B7868">
              <w:rPr>
                <w:sz w:val="20"/>
                <w:szCs w:val="20"/>
              </w:rPr>
              <w:fldChar w:fldCharType="separate"/>
            </w:r>
            <w:r w:rsidRPr="006B7868">
              <w:rPr>
                <w:noProof/>
                <w:sz w:val="20"/>
                <w:szCs w:val="20"/>
              </w:rPr>
              <w:t>353,659</w:t>
            </w:r>
            <w:r w:rsidRPr="006B7868">
              <w:rPr>
                <w:sz w:val="20"/>
                <w:szCs w:val="20"/>
              </w:rPr>
              <w:fldChar w:fldCharType="end"/>
            </w:r>
          </w:p>
        </w:tc>
        <w:tc>
          <w:tcPr>
            <w:tcW w:w="1260" w:type="dxa"/>
            <w:shd w:val="clear" w:color="auto" w:fill="auto"/>
          </w:tcPr>
          <w:p w:rsidR="006B7868" w:rsidRPr="006B7868" w:rsidP="006B7868" w14:paraId="1034B54D" w14:textId="77777777">
            <w:pPr>
              <w:jc w:val="right"/>
              <w:rPr>
                <w:sz w:val="20"/>
                <w:szCs w:val="20"/>
              </w:rPr>
            </w:pPr>
          </w:p>
        </w:tc>
        <w:tc>
          <w:tcPr>
            <w:tcW w:w="990" w:type="dxa"/>
            <w:shd w:val="clear" w:color="auto" w:fill="auto"/>
          </w:tcPr>
          <w:p w:rsidR="006B7868" w:rsidRPr="006B7868" w:rsidP="006B7868" w14:paraId="511C154D" w14:textId="77777777">
            <w:pPr>
              <w:widowControl w:val="0"/>
              <w:jc w:val="right"/>
              <w:rPr>
                <w:rFonts w:eastAsia="Arial"/>
                <w:sz w:val="20"/>
                <w:szCs w:val="20"/>
              </w:rPr>
            </w:pPr>
            <w:r w:rsidRPr="006B7868">
              <w:rPr>
                <w:rFonts w:eastAsia="Arial"/>
                <w:sz w:val="20"/>
                <w:szCs w:val="20"/>
              </w:rPr>
              <w:fldChar w:fldCharType="begin"/>
            </w:r>
            <w:r w:rsidRPr="006B7868">
              <w:rPr>
                <w:rFonts w:eastAsia="Arial"/>
                <w:sz w:val="20"/>
                <w:szCs w:val="20"/>
              </w:rPr>
              <w:instrText xml:space="preserve"> =SUM(ABOVE) </w:instrText>
            </w:r>
            <w:r w:rsidRPr="006B7868">
              <w:rPr>
                <w:rFonts w:eastAsia="Arial"/>
                <w:sz w:val="20"/>
                <w:szCs w:val="20"/>
              </w:rPr>
              <w:fldChar w:fldCharType="separate"/>
            </w:r>
            <w:r w:rsidRPr="006B7868">
              <w:rPr>
                <w:rFonts w:eastAsia="Arial"/>
                <w:noProof/>
                <w:sz w:val="20"/>
                <w:szCs w:val="20"/>
              </w:rPr>
              <w:t>323,271</w:t>
            </w:r>
            <w:r w:rsidRPr="006B7868">
              <w:rPr>
                <w:rFonts w:eastAsia="Arial"/>
                <w:sz w:val="20"/>
                <w:szCs w:val="20"/>
              </w:rPr>
              <w:fldChar w:fldCharType="end"/>
            </w:r>
          </w:p>
        </w:tc>
      </w:tr>
    </w:tbl>
    <w:p w:rsidR="006B7868" w:rsidRPr="006B7868" w:rsidP="006B7868" w14:paraId="285B64D2" w14:textId="77777777">
      <w:pPr>
        <w:rPr>
          <w:sz w:val="20"/>
          <w:szCs w:val="20"/>
        </w:rPr>
      </w:pPr>
      <w:r w:rsidRPr="006B7868">
        <w:rPr>
          <w:sz w:val="20"/>
          <w:szCs w:val="20"/>
          <w:vertAlign w:val="superscript"/>
        </w:rPr>
        <w:t>1</w:t>
      </w:r>
      <w:r w:rsidRPr="006B7868">
        <w:rPr>
          <w:sz w:val="20"/>
          <w:szCs w:val="20"/>
        </w:rPr>
        <w:t xml:space="preserve"> There are no capital costs or operating and maintenance costs associated with this collection of information.</w:t>
      </w:r>
    </w:p>
    <w:p w:rsidR="006B7868" w:rsidRPr="006B7868" w:rsidP="006B7868" w14:paraId="553799B0" w14:textId="77777777">
      <w:pPr>
        <w:rPr>
          <w:iCs/>
          <w:snapToGrid w:val="0"/>
        </w:rPr>
      </w:pPr>
    </w:p>
    <w:p w:rsidR="002D7A83" w:rsidRPr="002D7A83" w:rsidP="002D7A83" w14:paraId="76E2C55A" w14:textId="77777777">
      <w:pPr>
        <w:keepNext/>
      </w:pPr>
      <w:r w:rsidRPr="002D7A83">
        <w:t xml:space="preserve">Although we denote that Table 1 reflects reporting activity, we include the retention and maintenance of corresponding records in our calculation and assessment of burden.  While there are 10,480 establishments currently registered with FDA, registration and listing data is subject to frequent fluctuation as a result of the volume of activity.  </w:t>
      </w:r>
    </w:p>
    <w:p w:rsidR="002D7A83" w:rsidP="002D7A83" w14:paraId="7263448C" w14:textId="77777777">
      <w:pPr>
        <w:keepNext/>
      </w:pPr>
    </w:p>
    <w:p w:rsidR="002D7A83" w:rsidRPr="002D7A83" w:rsidP="002D7A83" w14:paraId="74BA0115" w14:textId="3290A6FF">
      <w:pPr>
        <w:keepNext/>
      </w:pPr>
      <w:r w:rsidRPr="002D7A83">
        <w:t>Based on our experience with the information collection, we estimate</w:t>
      </w:r>
      <w:bookmarkStart w:id="0" w:name="_Hlk54252793"/>
      <w:r w:rsidRPr="002D7A83">
        <w:t xml:space="preserve"> </w:t>
      </w:r>
      <w:bookmarkEnd w:id="0"/>
      <w:r w:rsidRPr="002D7A83">
        <w:t xml:space="preserve">593 respondents will submit 1,186 new establishment registrations annually using CDER Direct or CDER NextGen submission platforms.  We assume an average of 1 hour is necessary for this activity.  Similarly, we estimate that 10,480 registrants will provide 31,440 annual reviews and updates of registration information (including expedited updates) or reviews and certifications that no changes have occurred.  Our estimate includes the registration of establishments for both domestic and foreign manufacturers, repackers, relabelers, and drug product salvagers, and registration information submitted by anyone acting as an authorized agent for an establishment that manufactures, repacks, relabels, or salvages drugs.  The estimate also includes an additional 80 positron emission tomography drug producers who are not exempt from registration and approximately 30 manufacturers of plasma derivatives.  We assume 30 </w:t>
      </w:r>
      <w:r w:rsidRPr="002D7A83">
        <w:t>minutes is necessary for each annual review and update of registration information (including any expedited updates) or each review and certification that no changes have occurred.</w:t>
      </w:r>
    </w:p>
    <w:p w:rsidR="002D7A83" w:rsidP="002D7A83" w14:paraId="5674AE7E" w14:textId="77777777">
      <w:pPr>
        <w:keepNext/>
      </w:pPr>
    </w:p>
    <w:p w:rsidR="002D7A83" w:rsidRPr="002D7A83" w:rsidP="002D7A83" w14:paraId="1EC87858" w14:textId="6549ACBD">
      <w:pPr>
        <w:keepNext/>
      </w:pPr>
      <w:r w:rsidRPr="002D7A83">
        <w:t>Although we have not received a request for waiver as provided for in 21 CFR 207.65, we retain a placeholder of 1 for such activity and assume 30 minutes is necessary to prepare and make the submission.  Relatedly, we reduced our estimate of requests for exemption from public disclosure the information submitted in accordance with 21 CFR § 207.81 from 100 to 30 to reflect a decrease of activity.</w:t>
      </w:r>
    </w:p>
    <w:p w:rsidR="002D7A83" w:rsidP="002D7A83" w14:paraId="055470A1" w14:textId="77777777">
      <w:pPr>
        <w:keepNext/>
      </w:pPr>
    </w:p>
    <w:p w:rsidR="002D7A83" w:rsidRPr="002D7A83" w:rsidP="002D7A83" w14:paraId="0BBD893C" w14:textId="5556FDD3">
      <w:pPr>
        <w:keepNext/>
      </w:pPr>
      <w:r w:rsidRPr="002D7A83">
        <w:t>Intending to mitigate the potential for drug shortages, the reporting of manufacturing amount information under section 510(j)(3) of the FD&amp;C Act is a new element to the information collection.  We assume it takes one hour to prepare and submit the necessary reporting information and estimate an average of 22.5 reports will be submitted annually from 8,700 registrants.  We exclude 1,780 respondents from the 10,480 registrants, (accounting for both biological product and drug product registrants) to reflect the reporting exemptions implemented under section 510(j)(3)(B).  Also, based on informal communications, we have increased the estimate of burden we attribute to preparing and submitting the requisite information from 15 minutes to 1 hour.</w:t>
      </w:r>
    </w:p>
    <w:p w:rsidR="002D7A83" w:rsidP="002D7A83" w14:paraId="07A0ACB9" w14:textId="77777777">
      <w:pPr>
        <w:keepNext/>
      </w:pPr>
    </w:p>
    <w:p w:rsidR="002D7A83" w:rsidRPr="002D7A83" w:rsidP="002D7A83" w14:paraId="01467E4B" w14:textId="61B67CEF">
      <w:pPr>
        <w:keepNext/>
      </w:pPr>
      <w:r w:rsidRPr="002D7A83">
        <w:t xml:space="preserve">Similarly, intending to ensure the availability of medically necessary drug products during emergencies that might result in high absenteeism at production facilities, we account for burden associated with the development of a manufacturing contingency plan as recommended in </w:t>
      </w:r>
      <w:r w:rsidR="00986F0F">
        <w:t>a</w:t>
      </w:r>
      <w:r w:rsidRPr="002D7A83">
        <w:t>gency guidance “</w:t>
      </w:r>
      <w:r w:rsidRPr="002D7A83">
        <w:rPr>
          <w:i/>
          <w:iCs/>
        </w:rPr>
        <w:t>Planning for the Effects of High Absenteeism to Ensure Availability of Medically Necessary Drug Products</w:t>
      </w:r>
      <w:r w:rsidR="00D64DAF">
        <w:t>.</w:t>
      </w:r>
      <w:r w:rsidRPr="002D7A83">
        <w:t>”</w:t>
      </w:r>
      <w:r w:rsidR="00D64DAF">
        <w:t xml:space="preserve">  </w:t>
      </w:r>
      <w:r w:rsidRPr="002D7A83">
        <w:t xml:space="preserve">We assume that most respondents have already developed a Plan as recommended by the 2011 guidance document as a usual and customary business practice, and limit therefore, our current burden estimate to updates, maintenance, and the reporting to FDA of the activation and deactivation of the Plan.  We assume two notifications (for purposes of this analysis, we consider an activation and a deactivation notification to equal one notification) will be submitted to CDER annually, and estimate each notification requires an average of 16 hours to prepare and submit.  </w:t>
      </w:r>
    </w:p>
    <w:p w:rsidR="002D7A83" w:rsidP="002D7A83" w14:paraId="671B891A" w14:textId="77777777">
      <w:pPr>
        <w:keepNext/>
      </w:pPr>
    </w:p>
    <w:p w:rsidR="002D7A83" w:rsidRPr="002D7A83" w:rsidP="002D7A83" w14:paraId="0867BF44" w14:textId="06A997D9">
      <w:pPr>
        <w:keepNext/>
      </w:pPr>
      <w:r w:rsidRPr="002D7A83">
        <w:t>Finally, animal drug shortage information is also a new element to the information collection.  Although not statutorily required, we estimate that 30 respondents will provide two notifications annually and that it will take 1 hour to prepare and submit each notification as recommended in the guidance document entitled “</w:t>
      </w:r>
      <w:r w:rsidRPr="002D7A83">
        <w:rPr>
          <w:i/>
          <w:iCs/>
        </w:rPr>
        <w:t>Reporting and Mitigating Animal Drug Shortages</w:t>
      </w:r>
      <w:r w:rsidR="00E07671">
        <w:t>,</w:t>
      </w:r>
      <w:r w:rsidR="00AE2771">
        <w:t>”</w:t>
      </w:r>
      <w:r w:rsidR="00E07671">
        <w:t xml:space="preserve"> (May 2023).</w:t>
      </w:r>
    </w:p>
    <w:p w:rsidR="009A6772" w:rsidRPr="00435B59" w:rsidP="00435B59" w14:paraId="58748703" w14:textId="77777777">
      <w:pPr>
        <w:contextualSpacing/>
      </w:pPr>
    </w:p>
    <w:p w:rsidR="00357C8A" w:rsidP="0011571A" w14:paraId="26C467E9" w14:textId="71ECC15C">
      <w:pPr>
        <w:rPr>
          <w:rFonts w:eastAsia="Calibri"/>
        </w:rPr>
      </w:pPr>
      <w:r w:rsidRPr="00435B59">
        <w:rPr>
          <w:rFonts w:eastAsia="Calibri"/>
        </w:rPr>
        <w:tab/>
      </w:r>
      <w:r w:rsidRPr="00435B59">
        <w:rPr>
          <w:rFonts w:eastAsia="Calibri"/>
          <w:i/>
          <w:iCs/>
        </w:rPr>
        <w:t>12b.  Annualized Cost Burden Estimate</w:t>
      </w:r>
    </w:p>
    <w:p w:rsidR="002D7A83" w:rsidRPr="002D7A83" w:rsidP="0011571A" w14:paraId="2C59B943" w14:textId="77777777">
      <w:pPr>
        <w:rPr>
          <w:rFonts w:eastAsia="Calibri"/>
        </w:rPr>
      </w:pPr>
    </w:p>
    <w:p w:rsidR="00357C8A" w:rsidRPr="00435B59" w:rsidP="00435B59" w14:paraId="57D30C6A" w14:textId="4A7ADF56">
      <w:pPr>
        <w:rPr>
          <w:rFonts w:eastAsia="Calibri"/>
        </w:rPr>
      </w:pPr>
      <w:r w:rsidRPr="00435B59">
        <w:rPr>
          <w:rFonts w:eastAsia="Calibri"/>
        </w:rPr>
        <w:tab/>
      </w:r>
      <w:r w:rsidR="00FC2806">
        <w:rPr>
          <w:rFonts w:eastAsia="Calibri"/>
        </w:rPr>
        <w:t xml:space="preserve">We assume </w:t>
      </w:r>
      <w:r w:rsidR="00A6221C">
        <w:rPr>
          <w:rFonts w:eastAsia="Calibri"/>
        </w:rPr>
        <w:t xml:space="preserve">the </w:t>
      </w:r>
      <w:r w:rsidR="00601D81">
        <w:rPr>
          <w:rFonts w:eastAsia="Calibri"/>
        </w:rPr>
        <w:t>median</w:t>
      </w:r>
      <w:r w:rsidR="00FC2806">
        <w:rPr>
          <w:rFonts w:eastAsia="Calibri"/>
        </w:rPr>
        <w:t xml:space="preserve"> average wage rate </w:t>
      </w:r>
      <w:r w:rsidR="00601D81">
        <w:rPr>
          <w:rFonts w:eastAsia="Calibri"/>
        </w:rPr>
        <w:t>$</w:t>
      </w:r>
      <w:r w:rsidR="0046705C">
        <w:rPr>
          <w:rFonts w:eastAsia="Calibri"/>
        </w:rPr>
        <w:t>6</w:t>
      </w:r>
      <w:r w:rsidR="00601D81">
        <w:rPr>
          <w:rFonts w:eastAsia="Calibri"/>
        </w:rPr>
        <w:t xml:space="preserve">0.00 per hour for a </w:t>
      </w:r>
      <w:r w:rsidR="00DD1E81">
        <w:rPr>
          <w:rFonts w:eastAsia="Calibri"/>
        </w:rPr>
        <w:t xml:space="preserve">science </w:t>
      </w:r>
      <w:r w:rsidR="00847C47">
        <w:rPr>
          <w:rFonts w:eastAsia="Calibri"/>
        </w:rPr>
        <w:t xml:space="preserve">technician </w:t>
      </w:r>
      <w:r w:rsidR="00601D81">
        <w:rPr>
          <w:rFonts w:eastAsia="Calibri"/>
        </w:rPr>
        <w:t xml:space="preserve">series using Bureau of Labor Statistics 2024 data.  </w:t>
      </w:r>
      <w:r w:rsidR="00A6221C">
        <w:rPr>
          <w:rFonts w:eastAsia="Calibri"/>
        </w:rPr>
        <w:t xml:space="preserve">When multiplied by the total number of burden hours, we calculate an annual cost to industry of </w:t>
      </w:r>
      <w:r w:rsidR="004F78F8">
        <w:rPr>
          <w:rFonts w:eastAsia="Calibri"/>
        </w:rPr>
        <w:t>$</w:t>
      </w:r>
      <w:r w:rsidR="00FE1615">
        <w:rPr>
          <w:rFonts w:eastAsia="Calibri"/>
        </w:rPr>
        <w:t>1</w:t>
      </w:r>
      <w:r w:rsidR="00986F0F">
        <w:rPr>
          <w:rFonts w:eastAsia="Calibri"/>
        </w:rPr>
        <w:t>9,396,260</w:t>
      </w:r>
      <w:r w:rsidRPr="00435B59" w:rsidR="00B713B0">
        <w:rPr>
          <w:rFonts w:eastAsia="Calibri"/>
        </w:rPr>
        <w:t>.</w:t>
      </w:r>
    </w:p>
    <w:p w:rsidR="00B713B0" w:rsidRPr="00435B59" w:rsidP="00435B59" w14:paraId="5690363E" w14:textId="77777777">
      <w:pPr>
        <w:rPr>
          <w:rFonts w:eastAsia="Calibri"/>
        </w:rPr>
      </w:pPr>
    </w:p>
    <w:p w:rsidR="00357C8A" w:rsidRPr="00435B59" w:rsidP="0011571A" w14:paraId="757DCC66" w14:textId="1D22AEE7">
      <w:pPr>
        <w:rPr>
          <w:rFonts w:eastAsia="Calibri"/>
        </w:rPr>
      </w:pPr>
      <w:r w:rsidRPr="00435B59">
        <w:rPr>
          <w:rFonts w:eastAsia="Calibri"/>
          <w:u w:val="single"/>
        </w:rPr>
        <w:t xml:space="preserve">13.  </w:t>
      </w:r>
      <w:r w:rsidRPr="00435B59">
        <w:rPr>
          <w:rFonts w:eastAsia="Calibri"/>
          <w:u w:val="single"/>
        </w:rPr>
        <w:t xml:space="preserve">Estimates of Other Total Annual Costs </w:t>
      </w:r>
      <w:r w:rsidRPr="00435B59" w:rsidR="00590E90">
        <w:rPr>
          <w:rFonts w:eastAsia="Calibri"/>
          <w:u w:val="single"/>
        </w:rPr>
        <w:t xml:space="preserve">to Respondents/Recordkeepers or </w:t>
      </w:r>
      <w:r w:rsidRPr="00435B59">
        <w:rPr>
          <w:rFonts w:eastAsia="Calibri"/>
          <w:u w:val="single"/>
        </w:rPr>
        <w:t xml:space="preserve">Capital Costs </w:t>
      </w:r>
    </w:p>
    <w:p w:rsidR="00C478D8" w:rsidP="00435B59" w14:paraId="0BB59DEE" w14:textId="77777777">
      <w:pPr>
        <w:rPr>
          <w:rFonts w:eastAsia="Calibri"/>
        </w:rPr>
      </w:pPr>
    </w:p>
    <w:p w:rsidR="00B713B0" w:rsidRPr="00435B59" w:rsidP="00435B59" w14:paraId="76176A20" w14:textId="43CF8888">
      <w:pPr>
        <w:rPr>
          <w:rFonts w:eastAsia="Calibri"/>
        </w:rPr>
      </w:pPr>
      <w:r w:rsidRPr="00435B59">
        <w:rPr>
          <w:rFonts w:eastAsia="Calibri"/>
        </w:rPr>
        <w:t xml:space="preserve">No </w:t>
      </w:r>
      <w:r w:rsidRPr="00435B59">
        <w:rPr>
          <w:rFonts w:eastAsia="Calibri"/>
        </w:rPr>
        <w:t xml:space="preserve">capital, start-up, or operating or maintenance costs </w:t>
      </w:r>
      <w:r w:rsidRPr="00435B59">
        <w:rPr>
          <w:rFonts w:eastAsia="Calibri"/>
        </w:rPr>
        <w:t xml:space="preserve">are </w:t>
      </w:r>
      <w:r w:rsidRPr="00435B59">
        <w:rPr>
          <w:rFonts w:eastAsia="Calibri"/>
        </w:rPr>
        <w:t>associated with this information</w:t>
      </w:r>
    </w:p>
    <w:p w:rsidR="0022425B" w:rsidRPr="00435B59" w:rsidP="00435B59" w14:paraId="7B4F3E3D" w14:textId="77777777">
      <w:pPr>
        <w:rPr>
          <w:rFonts w:eastAsia="Calibri"/>
        </w:rPr>
      </w:pPr>
      <w:r w:rsidRPr="00435B59">
        <w:rPr>
          <w:rFonts w:eastAsia="Calibri"/>
        </w:rPr>
        <w:t>collection.</w:t>
      </w:r>
    </w:p>
    <w:p w:rsidR="00AB150B" w:rsidRPr="00435B59" w:rsidP="00435B59" w14:paraId="2A13AAAA" w14:textId="77777777">
      <w:pPr>
        <w:rPr>
          <w:rFonts w:eastAsia="Calibri"/>
          <w:u w:val="single"/>
        </w:rPr>
      </w:pPr>
    </w:p>
    <w:p w:rsidR="00357C8A" w:rsidRPr="00435B59" w:rsidP="0011571A" w14:paraId="4F870304" w14:textId="7831A69A">
      <w:pPr>
        <w:rPr>
          <w:rFonts w:eastAsia="Calibri"/>
          <w:u w:val="single"/>
        </w:rPr>
      </w:pPr>
      <w:r w:rsidRPr="00435B59">
        <w:rPr>
          <w:rFonts w:eastAsia="Calibri"/>
          <w:u w:val="single"/>
        </w:rPr>
        <w:t xml:space="preserve">14.  </w:t>
      </w:r>
      <w:r w:rsidRPr="00435B59">
        <w:rPr>
          <w:rFonts w:eastAsia="Calibri"/>
          <w:u w:val="single"/>
        </w:rPr>
        <w:t>Annualized Cost to the Federal Government</w:t>
      </w:r>
    </w:p>
    <w:p w:rsidR="002D7A83" w:rsidP="00435B59" w14:paraId="7291FEF3" w14:textId="77777777">
      <w:pPr>
        <w:autoSpaceDE w:val="0"/>
        <w:autoSpaceDN w:val="0"/>
        <w:adjustRightInd w:val="0"/>
        <w:rPr>
          <w:rFonts w:eastAsia="Calibri"/>
        </w:rPr>
      </w:pPr>
    </w:p>
    <w:p w:rsidR="00B713B0" w:rsidRPr="00435B59" w:rsidP="00435B59" w14:paraId="098B8055" w14:textId="69515D49">
      <w:pPr>
        <w:autoSpaceDE w:val="0"/>
        <w:autoSpaceDN w:val="0"/>
        <w:adjustRightInd w:val="0"/>
        <w:rPr>
          <w:rFonts w:eastAsia="Calibri"/>
        </w:rPr>
      </w:pPr>
      <w:r>
        <w:rPr>
          <w:rFonts w:eastAsia="Calibri"/>
        </w:rPr>
        <w:t xml:space="preserve">Assuming an allocation </w:t>
      </w:r>
      <w:r w:rsidR="00695741">
        <w:rPr>
          <w:rFonts w:eastAsia="Calibri"/>
        </w:rPr>
        <w:t xml:space="preserve">of </w:t>
      </w:r>
      <w:r w:rsidRPr="00435B59" w:rsidR="00212D67">
        <w:rPr>
          <w:rFonts w:eastAsia="Calibri"/>
        </w:rPr>
        <w:t xml:space="preserve">13 FTEs </w:t>
      </w:r>
      <w:r w:rsidR="00695741">
        <w:rPr>
          <w:rFonts w:eastAsia="Calibri"/>
        </w:rPr>
        <w:t xml:space="preserve">for </w:t>
      </w:r>
      <w:r w:rsidRPr="00435B59" w:rsidR="00212D67">
        <w:rPr>
          <w:rFonts w:eastAsia="Calibri"/>
        </w:rPr>
        <w:t>maintaining the registration and listing</w:t>
      </w:r>
      <w:r w:rsidRPr="00435B59" w:rsidR="00FD40A6">
        <w:rPr>
          <w:rFonts w:eastAsia="Calibri"/>
        </w:rPr>
        <w:t xml:space="preserve"> </w:t>
      </w:r>
      <w:r w:rsidRPr="00435B59" w:rsidR="00212D67">
        <w:rPr>
          <w:rFonts w:eastAsia="Calibri"/>
        </w:rPr>
        <w:t>database for human and veterinary drugs and biologics</w:t>
      </w:r>
      <w:r w:rsidR="00695741">
        <w:rPr>
          <w:rFonts w:eastAsia="Calibri"/>
        </w:rPr>
        <w:t xml:space="preserve">, and </w:t>
      </w:r>
      <w:r w:rsidR="005B71CB">
        <w:rPr>
          <w:rFonts w:eastAsia="Calibri"/>
        </w:rPr>
        <w:t xml:space="preserve">factoring a fully-loaded coast of </w:t>
      </w:r>
      <w:r w:rsidRPr="00435B59" w:rsidR="00212D67">
        <w:rPr>
          <w:rFonts w:eastAsia="Calibri"/>
        </w:rPr>
        <w:t>$250,000</w:t>
      </w:r>
      <w:r w:rsidR="005B71CB">
        <w:rPr>
          <w:rFonts w:eastAsia="Calibri"/>
        </w:rPr>
        <w:t xml:space="preserve"> per FTE, we estimate annualized </w:t>
      </w:r>
      <w:r w:rsidRPr="00435B59" w:rsidR="00212D67">
        <w:rPr>
          <w:rFonts w:eastAsia="Calibri"/>
        </w:rPr>
        <w:t xml:space="preserve">government </w:t>
      </w:r>
      <w:r w:rsidR="005B71CB">
        <w:rPr>
          <w:rFonts w:eastAsia="Calibri"/>
        </w:rPr>
        <w:t xml:space="preserve">costs of </w:t>
      </w:r>
      <w:r w:rsidRPr="00435B59" w:rsidR="00212D67">
        <w:rPr>
          <w:rFonts w:eastAsia="Calibri"/>
        </w:rPr>
        <w:t>$3,250,000.</w:t>
      </w:r>
    </w:p>
    <w:p w:rsidR="00B713B0" w:rsidRPr="00435B59" w:rsidP="00435B59" w14:paraId="47C6E21E" w14:textId="77777777">
      <w:pPr>
        <w:autoSpaceDE w:val="0"/>
        <w:autoSpaceDN w:val="0"/>
        <w:adjustRightInd w:val="0"/>
        <w:rPr>
          <w:rFonts w:eastAsia="Calibri"/>
        </w:rPr>
      </w:pPr>
    </w:p>
    <w:p w:rsidR="00357C8A" w:rsidRPr="00435B59" w:rsidP="0011571A" w14:paraId="33DD7D4E" w14:textId="10EF2621">
      <w:pPr>
        <w:rPr>
          <w:rFonts w:eastAsia="Calibri"/>
          <w:u w:val="single"/>
        </w:rPr>
      </w:pPr>
      <w:r w:rsidRPr="00435B59">
        <w:rPr>
          <w:rFonts w:eastAsia="Calibri"/>
          <w:u w:val="single"/>
        </w:rPr>
        <w:t xml:space="preserve">15.  </w:t>
      </w:r>
      <w:r w:rsidRPr="00435B59">
        <w:rPr>
          <w:rFonts w:eastAsia="Calibri"/>
          <w:u w:val="single"/>
        </w:rPr>
        <w:t>Explanation for Program Changes or Adjustments</w:t>
      </w:r>
    </w:p>
    <w:p w:rsidR="002D7A83" w:rsidP="00435B59" w14:paraId="0455563F" w14:textId="77777777">
      <w:pPr>
        <w:rPr>
          <w:rFonts w:eastAsia="Calibri"/>
        </w:rPr>
      </w:pPr>
    </w:p>
    <w:p w:rsidR="00D9251D" w:rsidP="002D7A83" w14:paraId="16896F44" w14:textId="77777777">
      <w:pPr>
        <w:keepNext/>
      </w:pPr>
      <w:r w:rsidRPr="00480AA7">
        <w:t>Although n</w:t>
      </w:r>
      <w:r w:rsidRPr="003A31CD">
        <w:t>o comments were received</w:t>
      </w:r>
      <w:r>
        <w:t xml:space="preserve"> in response to our </w:t>
      </w:r>
      <w:r w:rsidR="00B13B05">
        <w:t>60-day notice,</w:t>
      </w:r>
      <w:r w:rsidRPr="00480AA7">
        <w:t xml:space="preserve"> in the </w:t>
      </w:r>
      <w:r w:rsidRPr="00480AA7">
        <w:rPr>
          <w:i/>
          <w:iCs/>
        </w:rPr>
        <w:t>Federal Register</w:t>
      </w:r>
      <w:r w:rsidRPr="00480AA7">
        <w:t xml:space="preserve"> of December 20, 2024 (89 FR 104188), </w:t>
      </w:r>
      <w:r w:rsidRPr="003A31CD">
        <w:t>we not</w:t>
      </w:r>
      <w:r w:rsidRPr="00480AA7">
        <w:t>ed</w:t>
      </w:r>
      <w:r w:rsidRPr="003A31CD">
        <w:t xml:space="preserve"> some clarifications and modifications with regard to the information collection and therefore recharacteriz</w:t>
      </w:r>
      <w:r w:rsidR="00B13B05">
        <w:t xml:space="preserve">ed the action as a revision </w:t>
      </w:r>
      <w:r w:rsidRPr="003A31CD">
        <w:t>rather than an extension.</w:t>
      </w:r>
      <w:r w:rsidRPr="00480AA7">
        <w:t xml:space="preserve">  </w:t>
      </w:r>
      <w:r w:rsidR="00B13B05">
        <w:t>Specifically, w</w:t>
      </w:r>
      <w:r w:rsidRPr="00FC3E58" w:rsidR="00FC3E58">
        <w:t xml:space="preserve">e removed burden we </w:t>
      </w:r>
      <w:r w:rsidR="00B13B05">
        <w:t xml:space="preserve">had </w:t>
      </w:r>
      <w:r w:rsidRPr="00FC3E58" w:rsidR="00FC3E58">
        <w:t xml:space="preserve">attributed to developing and implementing </w:t>
      </w:r>
      <w:r w:rsidR="004037D8">
        <w:t xml:space="preserve">SOPs for </w:t>
      </w:r>
      <w:r w:rsidRPr="00FC3E58" w:rsidR="00FC3E58">
        <w:t>electronic data systems as we now regard this activity as usual and customary</w:t>
      </w:r>
      <w:r w:rsidR="00B13B05">
        <w:t xml:space="preserve">.  At the same time, we </w:t>
      </w:r>
      <w:r w:rsidRPr="00FC3E58" w:rsidR="00FC3E58">
        <w:t>increased our estimate of the time needed for some of the activities to account for corresponding record maintenance</w:t>
      </w:r>
      <w:r w:rsidR="00FC3E58">
        <w:t xml:space="preserve">.  </w:t>
      </w:r>
      <w:r>
        <w:t>Because t</w:t>
      </w:r>
      <w:r w:rsidRPr="005B4D29" w:rsidR="005B4D29">
        <w:t>he requirement to submit registration and listing information to FDA electronically has been in effect for more than ten years and is now standard business practice</w:t>
      </w:r>
      <w:r>
        <w:t>, w</w:t>
      </w:r>
      <w:r w:rsidRPr="005B4D29" w:rsidR="005B4D29">
        <w:t xml:space="preserve">e assume that most, if not all, respondents to the information collection now implement and utilize electronic data systems compatible with FDA.  </w:t>
      </w:r>
    </w:p>
    <w:p w:rsidR="00D9251D" w:rsidP="002D7A83" w14:paraId="514B9A90" w14:textId="77777777">
      <w:pPr>
        <w:keepNext/>
      </w:pPr>
    </w:p>
    <w:p w:rsidR="003F1324" w:rsidRPr="003F1324" w:rsidP="003F1324" w14:paraId="0BE8905A" w14:textId="42010DA6">
      <w:pPr>
        <w:keepNext/>
      </w:pPr>
      <w:r w:rsidRPr="003F1324">
        <w:t xml:space="preserve">We also </w:t>
      </w:r>
      <w:r w:rsidRPr="003F1324" w:rsidR="007E1ED2">
        <w:t>clarifie</w:t>
      </w:r>
      <w:r w:rsidR="007E1ED2">
        <w:t>d</w:t>
      </w:r>
      <w:r w:rsidRPr="003F1324">
        <w:t xml:space="preserve"> that submission of the unique facility identifier (UFI) and the accompanying data elements referenced in section 510(b),(c), and (i) of the FD&amp;C Act</w:t>
      </w:r>
      <w:r>
        <w:t xml:space="preserve"> are </w:t>
      </w:r>
      <w:r w:rsidRPr="003F1324">
        <w:t>included among the scope of activity covered by the information collection.</w:t>
      </w:r>
      <w:r w:rsidR="00FC7C28">
        <w:t xml:space="preserve">  We explain that the </w:t>
      </w:r>
      <w:r w:rsidRPr="003F1324">
        <w:t>procedural guidance document entitled, “</w:t>
      </w:r>
      <w:r w:rsidRPr="003F1324">
        <w:rPr>
          <w:i/>
          <w:iCs/>
        </w:rPr>
        <w:t>Specification of the Unique Facility Identifier (UFI) System for Drug Establishment Registration</w:t>
      </w:r>
      <w:r w:rsidRPr="003F1324">
        <w:t xml:space="preserve">,” (November 2014), </w:t>
      </w:r>
      <w:r w:rsidR="006C2D89">
        <w:t xml:space="preserve">communicates </w:t>
      </w:r>
      <w:r w:rsidRPr="003F1324">
        <w:t>that FDA’s currently preferred UFI for a drug establishment is the Data Universal Numbering System D-U-N-S (DUNS) number, assigned and managed by Dun and Bradstreet</w:t>
      </w:r>
      <w:r w:rsidR="006C2D89">
        <w:t>, and that</w:t>
      </w:r>
      <w:r w:rsidR="00FA3F2F">
        <w:t xml:space="preserve"> </w:t>
      </w:r>
      <w:r w:rsidRPr="003F1324">
        <w:t xml:space="preserve">FDA has been using the DUNS number as a registration number for drug establishments since its implementation of electronic drug registration and listing.  </w:t>
      </w:r>
      <w:r w:rsidR="00FA3F2F">
        <w:t>Finally, we remind respondents t</w:t>
      </w:r>
      <w:r w:rsidRPr="003F1324">
        <w:t xml:space="preserve">he guidance document is available for download from our website at </w:t>
      </w:r>
      <w:hyperlink r:id="rId9" w:history="1">
        <w:r w:rsidRPr="003F1324">
          <w:rPr>
            <w:rStyle w:val="Hyperlink"/>
          </w:rPr>
          <w:t>https://www.fda.gov/media/89926/download</w:t>
        </w:r>
      </w:hyperlink>
      <w:r w:rsidRPr="003F1324">
        <w:t xml:space="preserve">.  </w:t>
      </w:r>
    </w:p>
    <w:p w:rsidR="00D9251D" w:rsidP="002D7A83" w14:paraId="7AA2443B" w14:textId="77777777">
      <w:pPr>
        <w:keepNext/>
      </w:pPr>
    </w:p>
    <w:p w:rsidR="002D7A83" w:rsidRPr="002D7A83" w:rsidP="002D7A83" w14:paraId="592A5F88" w14:textId="2F5C708A">
      <w:pPr>
        <w:keepNext/>
      </w:pPr>
      <w:r w:rsidRPr="002D7A83">
        <w:t>Cumulative</w:t>
      </w:r>
      <w:r>
        <w:t xml:space="preserve"> </w:t>
      </w:r>
      <w:r w:rsidRPr="002D7A83">
        <w:t xml:space="preserve">adjustments and modifications result in a decrease of 67,004 responses and an increase of 87,413 burden hours, annually. </w:t>
      </w:r>
    </w:p>
    <w:p w:rsidR="00046CB6" w:rsidRPr="00435B59" w:rsidP="00435B59" w14:paraId="15347EDB" w14:textId="23EE5CEF">
      <w:pPr>
        <w:rPr>
          <w:rFonts w:eastAsia="Calibri"/>
        </w:rPr>
      </w:pPr>
      <w:r w:rsidRPr="00435B59">
        <w:rPr>
          <w:rFonts w:eastAsia="Calibri"/>
        </w:rPr>
        <w:t xml:space="preserve"> </w:t>
      </w:r>
    </w:p>
    <w:p w:rsidR="00357C8A" w:rsidRPr="00435B59" w:rsidP="0011571A" w14:paraId="19F34DE2" w14:textId="4B1DE681">
      <w:pPr>
        <w:spacing w:line="276" w:lineRule="auto"/>
        <w:rPr>
          <w:rFonts w:eastAsia="Calibri"/>
          <w:u w:val="single"/>
        </w:rPr>
      </w:pPr>
      <w:r w:rsidRPr="00435B59">
        <w:rPr>
          <w:rFonts w:eastAsia="Calibri"/>
          <w:u w:val="single"/>
        </w:rPr>
        <w:t xml:space="preserve">16.  </w:t>
      </w:r>
      <w:r w:rsidRPr="00435B59">
        <w:rPr>
          <w:rFonts w:eastAsia="Calibri"/>
          <w:u w:val="single"/>
        </w:rPr>
        <w:t>Plans for Tabulation and Publication and Project Time Schedule</w:t>
      </w:r>
    </w:p>
    <w:p w:rsidR="002D7A83" w:rsidP="00435B59" w14:paraId="715E996F" w14:textId="77777777">
      <w:pPr>
        <w:pStyle w:val="Default"/>
        <w:rPr>
          <w:rFonts w:eastAsia="Calibri"/>
        </w:rPr>
      </w:pPr>
    </w:p>
    <w:p w:rsidR="00B713B0" w:rsidRPr="00435B59" w:rsidP="00435B59" w14:paraId="25FFA507" w14:textId="45E4B0C7">
      <w:pPr>
        <w:pStyle w:val="Default"/>
        <w:rPr>
          <w:rFonts w:eastAsia="Calibri"/>
        </w:rPr>
      </w:pPr>
      <w:r w:rsidRPr="00435B59">
        <w:rPr>
          <w:rFonts w:eastAsia="Calibri"/>
        </w:rPr>
        <w:t xml:space="preserve">No </w:t>
      </w:r>
      <w:r w:rsidRPr="00435B59" w:rsidR="003F0EDE">
        <w:rPr>
          <w:rFonts w:eastAsia="Calibri"/>
        </w:rPr>
        <w:t>tabulation</w:t>
      </w:r>
      <w:r w:rsidRPr="00435B59">
        <w:rPr>
          <w:rFonts w:eastAsia="Calibri"/>
        </w:rPr>
        <w:t xml:space="preserve"> or publication is planned for the </w:t>
      </w:r>
      <w:r w:rsidRPr="00435B59" w:rsidR="00357C8A">
        <w:rPr>
          <w:rFonts w:eastAsia="Calibri"/>
        </w:rPr>
        <w:t>information</w:t>
      </w:r>
      <w:r w:rsidRPr="00435B59">
        <w:rPr>
          <w:rFonts w:eastAsia="Calibri"/>
        </w:rPr>
        <w:t xml:space="preserve"> collection</w:t>
      </w:r>
      <w:r w:rsidRPr="00435B59" w:rsidR="00357C8A">
        <w:rPr>
          <w:rFonts w:eastAsia="Calibri"/>
        </w:rPr>
        <w:t>.</w:t>
      </w:r>
    </w:p>
    <w:p w:rsidR="00B713B0" w:rsidRPr="00435B59" w:rsidP="00435B59" w14:paraId="5B6AD3C9" w14:textId="77777777">
      <w:pPr>
        <w:pStyle w:val="Default"/>
        <w:rPr>
          <w:rFonts w:eastAsia="Calibri"/>
        </w:rPr>
      </w:pPr>
    </w:p>
    <w:p w:rsidR="00B713B0" w:rsidRPr="00435B59" w:rsidP="0011571A" w14:paraId="2C4BA27C" w14:textId="60687BEC">
      <w:pPr>
        <w:spacing w:line="276" w:lineRule="auto"/>
        <w:rPr>
          <w:rFonts w:eastAsia="Calibri"/>
          <w:u w:val="single"/>
        </w:rPr>
      </w:pPr>
      <w:r w:rsidRPr="00435B59">
        <w:rPr>
          <w:rFonts w:eastAsia="Calibri"/>
          <w:u w:val="single"/>
        </w:rPr>
        <w:t xml:space="preserve">17.  </w:t>
      </w:r>
      <w:r w:rsidRPr="00435B59">
        <w:rPr>
          <w:rFonts w:eastAsia="Calibri"/>
          <w:u w:val="single"/>
        </w:rPr>
        <w:t>Reason(s) Display of OMB Expiration Date is Inappropriate</w:t>
      </w:r>
    </w:p>
    <w:p w:rsidR="002D7A83" w:rsidP="00435B59" w14:paraId="57D959A7" w14:textId="77777777"/>
    <w:p w:rsidR="00B713B0" w:rsidRPr="00435B59" w:rsidP="00435B59" w14:paraId="6CA52811" w14:textId="55311AAE">
      <w:r w:rsidRPr="00435B59">
        <w:t>FDA will display the OMB expiration date as required by 5 CFR 1320.5.</w:t>
      </w:r>
    </w:p>
    <w:p w:rsidR="00B713B0" w:rsidRPr="00435B59" w:rsidP="00435B59" w14:paraId="16FEF6C9" w14:textId="77777777"/>
    <w:p w:rsidR="00C478D8" w14:paraId="1270DE1B" w14:textId="77777777">
      <w:pPr>
        <w:rPr>
          <w:u w:val="single"/>
        </w:rPr>
      </w:pPr>
      <w:r>
        <w:rPr>
          <w:u w:val="single"/>
        </w:rPr>
        <w:br w:type="page"/>
      </w:r>
    </w:p>
    <w:p w:rsidR="00B713B0" w:rsidRPr="00435B59" w:rsidP="0011571A" w14:paraId="4E4E31FE" w14:textId="517862BD">
      <w:pPr>
        <w:rPr>
          <w:u w:val="single"/>
        </w:rPr>
      </w:pPr>
      <w:r w:rsidRPr="00435B59">
        <w:rPr>
          <w:u w:val="single"/>
        </w:rPr>
        <w:t xml:space="preserve">18.  </w:t>
      </w:r>
      <w:r w:rsidRPr="00435B59">
        <w:rPr>
          <w:u w:val="single"/>
        </w:rPr>
        <w:t>Exceptions to Certification for Paperwork Reduction Act Submissions</w:t>
      </w:r>
    </w:p>
    <w:p w:rsidR="00B713B0" w:rsidRPr="00435B59" w:rsidP="00435B59" w14:paraId="28E0C739" w14:textId="77777777"/>
    <w:p w:rsidR="00B713B0" w:rsidRPr="00435B59" w:rsidP="00435B59" w14:paraId="5247A967" w14:textId="00EAFF54">
      <w:pPr>
        <w:rPr>
          <w:rFonts w:eastAsia="Calibri"/>
        </w:rPr>
      </w:pPr>
      <w:r w:rsidRPr="00435B59">
        <w:t>There are no exceptions to the certification.</w:t>
      </w:r>
      <w:r w:rsidRPr="00435B59" w:rsidR="00C05641">
        <w:t xml:space="preserve"> </w:t>
      </w:r>
    </w:p>
    <w:sectPr w:rsidSect="003F0EDE">
      <w:footerReference w:type="even" r:id="rId10"/>
      <w:footerReference w:type="default" r:id="rId11"/>
      <w:pgSz w:w="12240" w:h="15840" w:code="1"/>
      <w:pgMar w:top="1440" w:right="1584" w:bottom="1584"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9B0" w:rsidP="003F3DF5" w14:paraId="4EF6AD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D29B0" w14:paraId="6859AC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9B0" w:rsidP="003F3DF5" w14:paraId="244A90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D29B0" w14:paraId="5B940A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86A603FC"/>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DAE272A"/>
    <w:multiLevelType w:val="hybridMultilevel"/>
    <w:tmpl w:val="7D06B924"/>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01F51CB"/>
    <w:multiLevelType w:val="hybridMultilevel"/>
    <w:tmpl w:val="0B76264E"/>
    <w:lvl w:ilvl="0">
      <w:start w:val="11"/>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2EB2B32"/>
    <w:multiLevelType w:val="hybridMultilevel"/>
    <w:tmpl w:val="D3C0E3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14001AE"/>
    <w:multiLevelType w:val="hybridMultilevel"/>
    <w:tmpl w:val="B5AAC3EC"/>
    <w:lvl w:ilvl="0">
      <w:start w:val="1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72E6F09"/>
    <w:multiLevelType w:val="hybridMultilevel"/>
    <w:tmpl w:val="D1AC5108"/>
    <w:lvl w:ilvl="0">
      <w:start w:val="17"/>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743490"/>
    <w:multiLevelType w:val="hybridMultilevel"/>
    <w:tmpl w:val="2DFEC7B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F1261C"/>
    <w:multiLevelType w:val="hybridMultilevel"/>
    <w:tmpl w:val="86A603FC"/>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27A24B2"/>
    <w:multiLevelType w:val="hybridMultilevel"/>
    <w:tmpl w:val="57F8380A"/>
    <w:lvl w:ilvl="0">
      <w:start w:val="4"/>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F187EE0"/>
    <w:multiLevelType w:val="hybridMultilevel"/>
    <w:tmpl w:val="D636955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6487613">
    <w:abstractNumId w:val="13"/>
  </w:num>
  <w:num w:numId="2" w16cid:durableId="1723485185">
    <w:abstractNumId w:val="1"/>
  </w:num>
  <w:num w:numId="3" w16cid:durableId="457382685">
    <w:abstractNumId w:val="14"/>
  </w:num>
  <w:num w:numId="4" w16cid:durableId="119109907">
    <w:abstractNumId w:val="6"/>
  </w:num>
  <w:num w:numId="5" w16cid:durableId="1609578492">
    <w:abstractNumId w:val="15"/>
  </w:num>
  <w:num w:numId="6" w16cid:durableId="2102483596">
    <w:abstractNumId w:val="0"/>
  </w:num>
  <w:num w:numId="7" w16cid:durableId="370807418">
    <w:abstractNumId w:val="2"/>
  </w:num>
  <w:num w:numId="8" w16cid:durableId="389889058">
    <w:abstractNumId w:val="10"/>
  </w:num>
  <w:num w:numId="9" w16cid:durableId="2075472149">
    <w:abstractNumId w:val="12"/>
  </w:num>
  <w:num w:numId="10" w16cid:durableId="1566912848">
    <w:abstractNumId w:val="9"/>
  </w:num>
  <w:num w:numId="11" w16cid:durableId="1119494182">
    <w:abstractNumId w:val="8"/>
  </w:num>
  <w:num w:numId="12" w16cid:durableId="1808622278">
    <w:abstractNumId w:val="7"/>
  </w:num>
  <w:num w:numId="13" w16cid:durableId="889343855">
    <w:abstractNumId w:val="4"/>
  </w:num>
  <w:num w:numId="14" w16cid:durableId="525295320">
    <w:abstractNumId w:val="16"/>
  </w:num>
  <w:num w:numId="15" w16cid:durableId="924265205">
    <w:abstractNumId w:val="3"/>
  </w:num>
  <w:num w:numId="16" w16cid:durableId="957221328">
    <w:abstractNumId w:val="11"/>
  </w:num>
  <w:num w:numId="17" w16cid:durableId="110750316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5E2"/>
    <w:rsid w:val="000016F1"/>
    <w:rsid w:val="00012998"/>
    <w:rsid w:val="0001722E"/>
    <w:rsid w:val="00020D72"/>
    <w:rsid w:val="000212CD"/>
    <w:rsid w:val="00031A2C"/>
    <w:rsid w:val="00033929"/>
    <w:rsid w:val="00042B93"/>
    <w:rsid w:val="00043C7F"/>
    <w:rsid w:val="000467A8"/>
    <w:rsid w:val="00046CB6"/>
    <w:rsid w:val="00057D13"/>
    <w:rsid w:val="0006570F"/>
    <w:rsid w:val="00070588"/>
    <w:rsid w:val="00075DE8"/>
    <w:rsid w:val="00087439"/>
    <w:rsid w:val="000974B4"/>
    <w:rsid w:val="000A523C"/>
    <w:rsid w:val="000B1D24"/>
    <w:rsid w:val="000B677A"/>
    <w:rsid w:val="000C1260"/>
    <w:rsid w:val="000C295A"/>
    <w:rsid w:val="000C560C"/>
    <w:rsid w:val="000D080B"/>
    <w:rsid w:val="000D0877"/>
    <w:rsid w:val="000D4533"/>
    <w:rsid w:val="000D48FD"/>
    <w:rsid w:val="000D79CC"/>
    <w:rsid w:val="000E1C64"/>
    <w:rsid w:val="000F7119"/>
    <w:rsid w:val="00100739"/>
    <w:rsid w:val="001045AB"/>
    <w:rsid w:val="0010493E"/>
    <w:rsid w:val="001075D3"/>
    <w:rsid w:val="00107885"/>
    <w:rsid w:val="00114FC4"/>
    <w:rsid w:val="0011571A"/>
    <w:rsid w:val="0012329C"/>
    <w:rsid w:val="00134FA7"/>
    <w:rsid w:val="00137853"/>
    <w:rsid w:val="00137950"/>
    <w:rsid w:val="00142052"/>
    <w:rsid w:val="00152F29"/>
    <w:rsid w:val="00157F67"/>
    <w:rsid w:val="00162FE4"/>
    <w:rsid w:val="00164AC1"/>
    <w:rsid w:val="00174D54"/>
    <w:rsid w:val="0017702C"/>
    <w:rsid w:val="00185270"/>
    <w:rsid w:val="001A3B5A"/>
    <w:rsid w:val="001A54E5"/>
    <w:rsid w:val="001B71E2"/>
    <w:rsid w:val="001B7CE9"/>
    <w:rsid w:val="001C4C79"/>
    <w:rsid w:val="001D495A"/>
    <w:rsid w:val="001E244C"/>
    <w:rsid w:val="001E2C35"/>
    <w:rsid w:val="001F1437"/>
    <w:rsid w:val="00206799"/>
    <w:rsid w:val="002074FE"/>
    <w:rsid w:val="00212D67"/>
    <w:rsid w:val="00214497"/>
    <w:rsid w:val="00223FFA"/>
    <w:rsid w:val="0022425B"/>
    <w:rsid w:val="002259EF"/>
    <w:rsid w:val="00227739"/>
    <w:rsid w:val="0023119E"/>
    <w:rsid w:val="0023185F"/>
    <w:rsid w:val="00232C42"/>
    <w:rsid w:val="00242ED1"/>
    <w:rsid w:val="002444BB"/>
    <w:rsid w:val="0025398A"/>
    <w:rsid w:val="00254069"/>
    <w:rsid w:val="002546EB"/>
    <w:rsid w:val="00270748"/>
    <w:rsid w:val="00270F83"/>
    <w:rsid w:val="002734E5"/>
    <w:rsid w:val="0027404F"/>
    <w:rsid w:val="002746DB"/>
    <w:rsid w:val="00280CAF"/>
    <w:rsid w:val="00282F09"/>
    <w:rsid w:val="00287F4B"/>
    <w:rsid w:val="00291810"/>
    <w:rsid w:val="00294D62"/>
    <w:rsid w:val="00297532"/>
    <w:rsid w:val="00297FFD"/>
    <w:rsid w:val="002A1210"/>
    <w:rsid w:val="002A47D2"/>
    <w:rsid w:val="002A7CCC"/>
    <w:rsid w:val="002A7FB5"/>
    <w:rsid w:val="002B2074"/>
    <w:rsid w:val="002B4FE7"/>
    <w:rsid w:val="002D14D8"/>
    <w:rsid w:val="002D437C"/>
    <w:rsid w:val="002D4799"/>
    <w:rsid w:val="002D6EC9"/>
    <w:rsid w:val="002D73F4"/>
    <w:rsid w:val="002D794A"/>
    <w:rsid w:val="002D7A83"/>
    <w:rsid w:val="002E3FA4"/>
    <w:rsid w:val="002E53A5"/>
    <w:rsid w:val="002E64B8"/>
    <w:rsid w:val="002E6834"/>
    <w:rsid w:val="002F1570"/>
    <w:rsid w:val="002F1CA5"/>
    <w:rsid w:val="002F2B44"/>
    <w:rsid w:val="002F6DAD"/>
    <w:rsid w:val="00302B75"/>
    <w:rsid w:val="003113FF"/>
    <w:rsid w:val="00312622"/>
    <w:rsid w:val="0032277F"/>
    <w:rsid w:val="003304BA"/>
    <w:rsid w:val="00334007"/>
    <w:rsid w:val="00336B69"/>
    <w:rsid w:val="0034302B"/>
    <w:rsid w:val="00344ACF"/>
    <w:rsid w:val="00350523"/>
    <w:rsid w:val="0035189D"/>
    <w:rsid w:val="00355B62"/>
    <w:rsid w:val="0035645F"/>
    <w:rsid w:val="00357C8A"/>
    <w:rsid w:val="003702F9"/>
    <w:rsid w:val="003740BC"/>
    <w:rsid w:val="0037456B"/>
    <w:rsid w:val="003801A3"/>
    <w:rsid w:val="00383D90"/>
    <w:rsid w:val="003870AE"/>
    <w:rsid w:val="003A1A27"/>
    <w:rsid w:val="003A31CD"/>
    <w:rsid w:val="003A50CC"/>
    <w:rsid w:val="003A7B73"/>
    <w:rsid w:val="003B42B3"/>
    <w:rsid w:val="003B6384"/>
    <w:rsid w:val="003C0FE2"/>
    <w:rsid w:val="003C4EBB"/>
    <w:rsid w:val="003D1531"/>
    <w:rsid w:val="003D2BDD"/>
    <w:rsid w:val="003D4A09"/>
    <w:rsid w:val="003E0FF2"/>
    <w:rsid w:val="003E19F9"/>
    <w:rsid w:val="003E4EC6"/>
    <w:rsid w:val="003E527E"/>
    <w:rsid w:val="003E553E"/>
    <w:rsid w:val="003E7078"/>
    <w:rsid w:val="003F0EDE"/>
    <w:rsid w:val="003F1324"/>
    <w:rsid w:val="003F3DF5"/>
    <w:rsid w:val="003F73B8"/>
    <w:rsid w:val="00400665"/>
    <w:rsid w:val="0040297E"/>
    <w:rsid w:val="004037D8"/>
    <w:rsid w:val="00411D11"/>
    <w:rsid w:val="00414494"/>
    <w:rsid w:val="00414B4C"/>
    <w:rsid w:val="00415E23"/>
    <w:rsid w:val="0041670D"/>
    <w:rsid w:val="00417C23"/>
    <w:rsid w:val="00423272"/>
    <w:rsid w:val="00424061"/>
    <w:rsid w:val="00426279"/>
    <w:rsid w:val="0042775D"/>
    <w:rsid w:val="00435B59"/>
    <w:rsid w:val="00442A3C"/>
    <w:rsid w:val="00443969"/>
    <w:rsid w:val="0044756F"/>
    <w:rsid w:val="00447D74"/>
    <w:rsid w:val="004509D8"/>
    <w:rsid w:val="00450A74"/>
    <w:rsid w:val="004546BF"/>
    <w:rsid w:val="00454B9F"/>
    <w:rsid w:val="00465350"/>
    <w:rsid w:val="004669FB"/>
    <w:rsid w:val="0046705C"/>
    <w:rsid w:val="00470C63"/>
    <w:rsid w:val="00475797"/>
    <w:rsid w:val="00475A3E"/>
    <w:rsid w:val="00476B91"/>
    <w:rsid w:val="00480AA7"/>
    <w:rsid w:val="00481A4C"/>
    <w:rsid w:val="004846BF"/>
    <w:rsid w:val="004913DD"/>
    <w:rsid w:val="00491F67"/>
    <w:rsid w:val="00494912"/>
    <w:rsid w:val="004A5323"/>
    <w:rsid w:val="004A5A99"/>
    <w:rsid w:val="004B6182"/>
    <w:rsid w:val="004C1358"/>
    <w:rsid w:val="004C6979"/>
    <w:rsid w:val="004D13A2"/>
    <w:rsid w:val="004D3E7A"/>
    <w:rsid w:val="004E2B81"/>
    <w:rsid w:val="004F594B"/>
    <w:rsid w:val="004F61E1"/>
    <w:rsid w:val="004F78F8"/>
    <w:rsid w:val="005244CC"/>
    <w:rsid w:val="0053380B"/>
    <w:rsid w:val="00533C95"/>
    <w:rsid w:val="00543194"/>
    <w:rsid w:val="00544138"/>
    <w:rsid w:val="00544451"/>
    <w:rsid w:val="00554E34"/>
    <w:rsid w:val="00556B3F"/>
    <w:rsid w:val="00563EF8"/>
    <w:rsid w:val="00580871"/>
    <w:rsid w:val="00584583"/>
    <w:rsid w:val="00590E90"/>
    <w:rsid w:val="00590EEB"/>
    <w:rsid w:val="005966AB"/>
    <w:rsid w:val="005A4099"/>
    <w:rsid w:val="005B4D29"/>
    <w:rsid w:val="005B71CB"/>
    <w:rsid w:val="005C38B2"/>
    <w:rsid w:val="005C5029"/>
    <w:rsid w:val="005C55C2"/>
    <w:rsid w:val="005C71CA"/>
    <w:rsid w:val="005C745C"/>
    <w:rsid w:val="005D4DF5"/>
    <w:rsid w:val="005D629A"/>
    <w:rsid w:val="005D7CDD"/>
    <w:rsid w:val="005E42BA"/>
    <w:rsid w:val="005F2814"/>
    <w:rsid w:val="005F5026"/>
    <w:rsid w:val="00601D81"/>
    <w:rsid w:val="00611D6B"/>
    <w:rsid w:val="00625CD6"/>
    <w:rsid w:val="00625CFD"/>
    <w:rsid w:val="006326EC"/>
    <w:rsid w:val="00663A42"/>
    <w:rsid w:val="006641C7"/>
    <w:rsid w:val="006677E1"/>
    <w:rsid w:val="006705EA"/>
    <w:rsid w:val="00670BE2"/>
    <w:rsid w:val="00686F66"/>
    <w:rsid w:val="00690AA3"/>
    <w:rsid w:val="006916D9"/>
    <w:rsid w:val="00695741"/>
    <w:rsid w:val="006A0E05"/>
    <w:rsid w:val="006A26C6"/>
    <w:rsid w:val="006A465A"/>
    <w:rsid w:val="006A7D5D"/>
    <w:rsid w:val="006B7868"/>
    <w:rsid w:val="006C2D89"/>
    <w:rsid w:val="006D0C12"/>
    <w:rsid w:val="006D5D57"/>
    <w:rsid w:val="006E17C8"/>
    <w:rsid w:val="006E2538"/>
    <w:rsid w:val="006E25AC"/>
    <w:rsid w:val="006E302F"/>
    <w:rsid w:val="006F4D6D"/>
    <w:rsid w:val="00705086"/>
    <w:rsid w:val="00706B37"/>
    <w:rsid w:val="007122BE"/>
    <w:rsid w:val="007143B6"/>
    <w:rsid w:val="007174FF"/>
    <w:rsid w:val="00722001"/>
    <w:rsid w:val="00731DB4"/>
    <w:rsid w:val="00751E66"/>
    <w:rsid w:val="00752408"/>
    <w:rsid w:val="00754497"/>
    <w:rsid w:val="00760B31"/>
    <w:rsid w:val="0076798B"/>
    <w:rsid w:val="00787C39"/>
    <w:rsid w:val="00792947"/>
    <w:rsid w:val="00795DF3"/>
    <w:rsid w:val="00796DDC"/>
    <w:rsid w:val="007A373C"/>
    <w:rsid w:val="007B225C"/>
    <w:rsid w:val="007B26CB"/>
    <w:rsid w:val="007C75B1"/>
    <w:rsid w:val="007D155F"/>
    <w:rsid w:val="007D3DFC"/>
    <w:rsid w:val="007E076D"/>
    <w:rsid w:val="007E1ED2"/>
    <w:rsid w:val="007E2F07"/>
    <w:rsid w:val="007E59A8"/>
    <w:rsid w:val="0080776D"/>
    <w:rsid w:val="00810145"/>
    <w:rsid w:val="008108FA"/>
    <w:rsid w:val="00810FF1"/>
    <w:rsid w:val="00821574"/>
    <w:rsid w:val="00822336"/>
    <w:rsid w:val="00823DFA"/>
    <w:rsid w:val="0083295D"/>
    <w:rsid w:val="008414F2"/>
    <w:rsid w:val="00842DB7"/>
    <w:rsid w:val="00843752"/>
    <w:rsid w:val="0084479F"/>
    <w:rsid w:val="00847C47"/>
    <w:rsid w:val="0085725E"/>
    <w:rsid w:val="008607B5"/>
    <w:rsid w:val="00873D4F"/>
    <w:rsid w:val="0087509F"/>
    <w:rsid w:val="00885B09"/>
    <w:rsid w:val="00892400"/>
    <w:rsid w:val="0089268A"/>
    <w:rsid w:val="00893119"/>
    <w:rsid w:val="008A209D"/>
    <w:rsid w:val="008A22BB"/>
    <w:rsid w:val="008A3274"/>
    <w:rsid w:val="008A403B"/>
    <w:rsid w:val="008A7E5C"/>
    <w:rsid w:val="008B035D"/>
    <w:rsid w:val="008B06F7"/>
    <w:rsid w:val="008B0E29"/>
    <w:rsid w:val="008B0EFA"/>
    <w:rsid w:val="008B30AB"/>
    <w:rsid w:val="008C0A14"/>
    <w:rsid w:val="008C3BB8"/>
    <w:rsid w:val="008C4B65"/>
    <w:rsid w:val="008C51E9"/>
    <w:rsid w:val="008E5F55"/>
    <w:rsid w:val="009009E7"/>
    <w:rsid w:val="009037CF"/>
    <w:rsid w:val="00905DEF"/>
    <w:rsid w:val="00906056"/>
    <w:rsid w:val="009060EA"/>
    <w:rsid w:val="009122AE"/>
    <w:rsid w:val="00913B43"/>
    <w:rsid w:val="0092286B"/>
    <w:rsid w:val="0092396E"/>
    <w:rsid w:val="00930203"/>
    <w:rsid w:val="009311D2"/>
    <w:rsid w:val="009311E6"/>
    <w:rsid w:val="00931275"/>
    <w:rsid w:val="00935E09"/>
    <w:rsid w:val="00936AC7"/>
    <w:rsid w:val="00937CDA"/>
    <w:rsid w:val="00941041"/>
    <w:rsid w:val="00953B64"/>
    <w:rsid w:val="00956127"/>
    <w:rsid w:val="00962733"/>
    <w:rsid w:val="00964456"/>
    <w:rsid w:val="009646A7"/>
    <w:rsid w:val="00964912"/>
    <w:rsid w:val="009659FB"/>
    <w:rsid w:val="00970A88"/>
    <w:rsid w:val="0098033C"/>
    <w:rsid w:val="009818A1"/>
    <w:rsid w:val="00986F0F"/>
    <w:rsid w:val="009A1674"/>
    <w:rsid w:val="009A533C"/>
    <w:rsid w:val="009A6772"/>
    <w:rsid w:val="009B295A"/>
    <w:rsid w:val="009B38BE"/>
    <w:rsid w:val="009B4DF2"/>
    <w:rsid w:val="009B4FE0"/>
    <w:rsid w:val="009C684F"/>
    <w:rsid w:val="009D074C"/>
    <w:rsid w:val="009D29B0"/>
    <w:rsid w:val="009D6E73"/>
    <w:rsid w:val="009E770C"/>
    <w:rsid w:val="009F1F1D"/>
    <w:rsid w:val="009F2B4F"/>
    <w:rsid w:val="009F3C63"/>
    <w:rsid w:val="009F66B5"/>
    <w:rsid w:val="00A02F10"/>
    <w:rsid w:val="00A1060C"/>
    <w:rsid w:val="00A16221"/>
    <w:rsid w:val="00A20A7D"/>
    <w:rsid w:val="00A2474D"/>
    <w:rsid w:val="00A26472"/>
    <w:rsid w:val="00A30F1E"/>
    <w:rsid w:val="00A35D42"/>
    <w:rsid w:val="00A413E3"/>
    <w:rsid w:val="00A46CCF"/>
    <w:rsid w:val="00A506DE"/>
    <w:rsid w:val="00A53451"/>
    <w:rsid w:val="00A6221C"/>
    <w:rsid w:val="00A70426"/>
    <w:rsid w:val="00A707CC"/>
    <w:rsid w:val="00A71410"/>
    <w:rsid w:val="00A83FC2"/>
    <w:rsid w:val="00A91E9A"/>
    <w:rsid w:val="00A93ED9"/>
    <w:rsid w:val="00A96221"/>
    <w:rsid w:val="00AB150B"/>
    <w:rsid w:val="00AC2DBB"/>
    <w:rsid w:val="00AC6A99"/>
    <w:rsid w:val="00AD6048"/>
    <w:rsid w:val="00AE2771"/>
    <w:rsid w:val="00AE2CFB"/>
    <w:rsid w:val="00B04921"/>
    <w:rsid w:val="00B055EF"/>
    <w:rsid w:val="00B06B5B"/>
    <w:rsid w:val="00B13B05"/>
    <w:rsid w:val="00B152B0"/>
    <w:rsid w:val="00B22B82"/>
    <w:rsid w:val="00B23769"/>
    <w:rsid w:val="00B23E66"/>
    <w:rsid w:val="00B25EC0"/>
    <w:rsid w:val="00B37489"/>
    <w:rsid w:val="00B41789"/>
    <w:rsid w:val="00B713B0"/>
    <w:rsid w:val="00B73F75"/>
    <w:rsid w:val="00B81808"/>
    <w:rsid w:val="00B848AD"/>
    <w:rsid w:val="00B86DFA"/>
    <w:rsid w:val="00B91EF1"/>
    <w:rsid w:val="00B936D0"/>
    <w:rsid w:val="00B93C63"/>
    <w:rsid w:val="00BA3731"/>
    <w:rsid w:val="00BA4D9F"/>
    <w:rsid w:val="00BB15FB"/>
    <w:rsid w:val="00BB4E70"/>
    <w:rsid w:val="00BC1922"/>
    <w:rsid w:val="00BD3D5B"/>
    <w:rsid w:val="00BD412D"/>
    <w:rsid w:val="00BD4540"/>
    <w:rsid w:val="00BD4A8C"/>
    <w:rsid w:val="00BE3600"/>
    <w:rsid w:val="00BF11B1"/>
    <w:rsid w:val="00C0130E"/>
    <w:rsid w:val="00C01F6F"/>
    <w:rsid w:val="00C041EA"/>
    <w:rsid w:val="00C05641"/>
    <w:rsid w:val="00C13BBD"/>
    <w:rsid w:val="00C149AB"/>
    <w:rsid w:val="00C16929"/>
    <w:rsid w:val="00C20690"/>
    <w:rsid w:val="00C21D47"/>
    <w:rsid w:val="00C22E60"/>
    <w:rsid w:val="00C24B64"/>
    <w:rsid w:val="00C34FC5"/>
    <w:rsid w:val="00C36020"/>
    <w:rsid w:val="00C366F2"/>
    <w:rsid w:val="00C37289"/>
    <w:rsid w:val="00C40694"/>
    <w:rsid w:val="00C42ED9"/>
    <w:rsid w:val="00C46C75"/>
    <w:rsid w:val="00C478D8"/>
    <w:rsid w:val="00C479BF"/>
    <w:rsid w:val="00C5124B"/>
    <w:rsid w:val="00C6403C"/>
    <w:rsid w:val="00C70542"/>
    <w:rsid w:val="00C75CBF"/>
    <w:rsid w:val="00C97A75"/>
    <w:rsid w:val="00CC0C86"/>
    <w:rsid w:val="00CC2894"/>
    <w:rsid w:val="00CC59C3"/>
    <w:rsid w:val="00CC72EA"/>
    <w:rsid w:val="00CD77C3"/>
    <w:rsid w:val="00CE112C"/>
    <w:rsid w:val="00CF142F"/>
    <w:rsid w:val="00CF47C2"/>
    <w:rsid w:val="00CF55D4"/>
    <w:rsid w:val="00D0672F"/>
    <w:rsid w:val="00D201E3"/>
    <w:rsid w:val="00D25848"/>
    <w:rsid w:val="00D32370"/>
    <w:rsid w:val="00D40DB8"/>
    <w:rsid w:val="00D47550"/>
    <w:rsid w:val="00D566F9"/>
    <w:rsid w:val="00D608DA"/>
    <w:rsid w:val="00D64DAF"/>
    <w:rsid w:val="00D7302E"/>
    <w:rsid w:val="00D730BF"/>
    <w:rsid w:val="00D852F4"/>
    <w:rsid w:val="00D9251D"/>
    <w:rsid w:val="00DA145B"/>
    <w:rsid w:val="00DB1110"/>
    <w:rsid w:val="00DB313E"/>
    <w:rsid w:val="00DB3730"/>
    <w:rsid w:val="00DB7598"/>
    <w:rsid w:val="00DC1A0B"/>
    <w:rsid w:val="00DC371B"/>
    <w:rsid w:val="00DC3788"/>
    <w:rsid w:val="00DC76C7"/>
    <w:rsid w:val="00DD09F5"/>
    <w:rsid w:val="00DD0E02"/>
    <w:rsid w:val="00DD1E81"/>
    <w:rsid w:val="00DD2CE2"/>
    <w:rsid w:val="00DD3CC0"/>
    <w:rsid w:val="00DD4201"/>
    <w:rsid w:val="00DD5E9F"/>
    <w:rsid w:val="00DE12CD"/>
    <w:rsid w:val="00DE5711"/>
    <w:rsid w:val="00DF056E"/>
    <w:rsid w:val="00E00EA0"/>
    <w:rsid w:val="00E021CB"/>
    <w:rsid w:val="00E07671"/>
    <w:rsid w:val="00E138F1"/>
    <w:rsid w:val="00E2309D"/>
    <w:rsid w:val="00E26758"/>
    <w:rsid w:val="00E275A1"/>
    <w:rsid w:val="00E4357B"/>
    <w:rsid w:val="00E437FA"/>
    <w:rsid w:val="00E443A7"/>
    <w:rsid w:val="00E44BA9"/>
    <w:rsid w:val="00E45904"/>
    <w:rsid w:val="00E60590"/>
    <w:rsid w:val="00E6142B"/>
    <w:rsid w:val="00E63DE5"/>
    <w:rsid w:val="00E647AF"/>
    <w:rsid w:val="00E647C7"/>
    <w:rsid w:val="00E65A37"/>
    <w:rsid w:val="00E65EF7"/>
    <w:rsid w:val="00E74E66"/>
    <w:rsid w:val="00E77B48"/>
    <w:rsid w:val="00E857FB"/>
    <w:rsid w:val="00E85F45"/>
    <w:rsid w:val="00E91799"/>
    <w:rsid w:val="00E96607"/>
    <w:rsid w:val="00E97DF8"/>
    <w:rsid w:val="00EA21FE"/>
    <w:rsid w:val="00EA2C34"/>
    <w:rsid w:val="00EA34E3"/>
    <w:rsid w:val="00EB7538"/>
    <w:rsid w:val="00EC1868"/>
    <w:rsid w:val="00EC18A8"/>
    <w:rsid w:val="00EE6468"/>
    <w:rsid w:val="00EE73DF"/>
    <w:rsid w:val="00EE79FC"/>
    <w:rsid w:val="00EF14EF"/>
    <w:rsid w:val="00F0584A"/>
    <w:rsid w:val="00F108B6"/>
    <w:rsid w:val="00F1299B"/>
    <w:rsid w:val="00F12E3D"/>
    <w:rsid w:val="00F163F8"/>
    <w:rsid w:val="00F207A4"/>
    <w:rsid w:val="00F25173"/>
    <w:rsid w:val="00F30BC2"/>
    <w:rsid w:val="00F355AC"/>
    <w:rsid w:val="00F3697F"/>
    <w:rsid w:val="00F40CF7"/>
    <w:rsid w:val="00F44194"/>
    <w:rsid w:val="00F54124"/>
    <w:rsid w:val="00F71A5A"/>
    <w:rsid w:val="00F73A1A"/>
    <w:rsid w:val="00F75A45"/>
    <w:rsid w:val="00F769E0"/>
    <w:rsid w:val="00F76C09"/>
    <w:rsid w:val="00F93ED5"/>
    <w:rsid w:val="00FA3F2F"/>
    <w:rsid w:val="00FA4A46"/>
    <w:rsid w:val="00FA75FE"/>
    <w:rsid w:val="00FB1032"/>
    <w:rsid w:val="00FB1CFF"/>
    <w:rsid w:val="00FB39BC"/>
    <w:rsid w:val="00FB57A5"/>
    <w:rsid w:val="00FB6A53"/>
    <w:rsid w:val="00FC11CA"/>
    <w:rsid w:val="00FC2806"/>
    <w:rsid w:val="00FC3E58"/>
    <w:rsid w:val="00FC6BDE"/>
    <w:rsid w:val="00FC7C28"/>
    <w:rsid w:val="00FD40A6"/>
    <w:rsid w:val="00FE1615"/>
    <w:rsid w:val="00FE2E87"/>
    <w:rsid w:val="00FE30C4"/>
    <w:rsid w:val="00FE6E90"/>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430A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E85F45"/>
    <w:pPr>
      <w:spacing w:after="120"/>
    </w:pPr>
  </w:style>
  <w:style w:type="character" w:customStyle="1" w:styleId="BodyTextChar">
    <w:name w:val="Body Text Char"/>
    <w:link w:val="BodyText"/>
    <w:rsid w:val="00E85F45"/>
    <w:rPr>
      <w:sz w:val="24"/>
      <w:szCs w:val="24"/>
    </w:rPr>
  </w:style>
  <w:style w:type="character" w:styleId="CommentReference">
    <w:name w:val="annotation reference"/>
    <w:rsid w:val="009D29B0"/>
    <w:rPr>
      <w:sz w:val="16"/>
      <w:szCs w:val="16"/>
    </w:rPr>
  </w:style>
  <w:style w:type="paragraph" w:styleId="CommentText">
    <w:name w:val="annotation text"/>
    <w:basedOn w:val="Normal"/>
    <w:link w:val="CommentTextChar"/>
    <w:rsid w:val="009D29B0"/>
    <w:rPr>
      <w:sz w:val="20"/>
      <w:szCs w:val="20"/>
    </w:rPr>
  </w:style>
  <w:style w:type="character" w:customStyle="1" w:styleId="CommentTextChar">
    <w:name w:val="Comment Text Char"/>
    <w:basedOn w:val="DefaultParagraphFont"/>
    <w:link w:val="CommentText"/>
    <w:rsid w:val="009D29B0"/>
  </w:style>
  <w:style w:type="paragraph" w:styleId="CommentSubject">
    <w:name w:val="annotation subject"/>
    <w:basedOn w:val="CommentText"/>
    <w:next w:val="CommentText"/>
    <w:link w:val="CommentSubjectChar"/>
    <w:rsid w:val="00AB150B"/>
    <w:rPr>
      <w:b/>
      <w:bCs/>
    </w:rPr>
  </w:style>
  <w:style w:type="character" w:customStyle="1" w:styleId="CommentSubjectChar">
    <w:name w:val="Comment Subject Char"/>
    <w:link w:val="CommentSubject"/>
    <w:rsid w:val="00AB150B"/>
    <w:rPr>
      <w:b/>
      <w:bCs/>
    </w:rPr>
  </w:style>
  <w:style w:type="paragraph" w:styleId="Revision">
    <w:name w:val="Revision"/>
    <w:hidden/>
    <w:uiPriority w:val="99"/>
    <w:semiHidden/>
    <w:rsid w:val="00A83F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media/137722/download" TargetMode="External" /><Relationship Id="rId6" Type="http://schemas.openxmlformats.org/officeDocument/2006/relationships/hyperlink" Target="https://www.fda.gov/drugs/guidance-compliance-regulatory-information/electronic-drug-registration-and-listing-system-edrls" TargetMode="External" /><Relationship Id="rId7" Type="http://schemas.openxmlformats.org/officeDocument/2006/relationships/hyperlink" Target="https://www.fda.gov/drugs/drug-approvals-and-databases/drug-establishments-current-registration-site" TargetMode="External" /><Relationship Id="rId8" Type="http://schemas.openxmlformats.org/officeDocument/2006/relationships/hyperlink" Target="https://www.fda.gov/industry/fda-data-standards-advisory-board/structured-product-labeling-resourcese" TargetMode="External" /><Relationship Id="rId9" Type="http://schemas.openxmlformats.org/officeDocument/2006/relationships/hyperlink" Target="https://www.fda.gov/media/89926/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6C5D-CF76-458C-AC3D-A5D53F51749D}">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2024-12-20T14:24:00Z</dcterms:created>
  <dcterms:modified xsi:type="dcterms:W3CDTF">2024-12-20T14:24:00Z</dcterms:modified>
</cp:coreProperties>
</file>