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522D" w:rsidP="00357C8A" w14:paraId="2EBDC822" w14:textId="15AAE8B5">
      <w:pPr>
        <w:jc w:val="center"/>
        <w:rPr>
          <w:rFonts w:eastAsia="Calibri"/>
          <w:color w:val="000000" w:themeColor="text1"/>
        </w:rPr>
      </w:pPr>
      <w:r>
        <w:rPr>
          <w:rFonts w:eastAsia="Calibri"/>
          <w:color w:val="000000" w:themeColor="text1"/>
        </w:rPr>
        <w:t>U.S. Food and Drug Administration</w:t>
      </w:r>
    </w:p>
    <w:p w:rsidR="000D1B52" w:rsidRPr="00246D61" w:rsidP="00357C8A" w14:paraId="665FC545" w14:textId="7BB7334D">
      <w:pPr>
        <w:jc w:val="center"/>
        <w:rPr>
          <w:rFonts w:eastAsia="Calibri"/>
          <w:color w:val="000000" w:themeColor="text1"/>
        </w:rPr>
      </w:pPr>
      <w:r w:rsidRPr="00246D61">
        <w:rPr>
          <w:rFonts w:eastAsia="Calibri"/>
          <w:color w:val="000000" w:themeColor="text1"/>
        </w:rPr>
        <w:t>Expedited Programs for Serious Conditions--Drugs and Biologics</w:t>
      </w:r>
    </w:p>
    <w:p w:rsidR="00E74F10" w:rsidRPr="00246D61" w:rsidP="00357C8A" w14:paraId="754D4837" w14:textId="2A43614F">
      <w:pPr>
        <w:jc w:val="center"/>
        <w:rPr>
          <w:rFonts w:eastAsia="Calibri"/>
          <w:color w:val="000000" w:themeColor="text1"/>
        </w:rPr>
      </w:pPr>
      <w:r w:rsidRPr="00246D61">
        <w:rPr>
          <w:rFonts w:eastAsia="Calibri"/>
          <w:color w:val="000000" w:themeColor="text1"/>
        </w:rPr>
        <w:t>OMB Control No. 0910-</w:t>
      </w:r>
      <w:r w:rsidRPr="00246D61" w:rsidR="000D1B52">
        <w:rPr>
          <w:rFonts w:eastAsia="Calibri"/>
          <w:color w:val="000000" w:themeColor="text1"/>
        </w:rPr>
        <w:t>0765</w:t>
      </w:r>
      <w:r w:rsidR="00C44916">
        <w:rPr>
          <w:rFonts w:eastAsia="Calibri"/>
          <w:color w:val="000000" w:themeColor="text1"/>
        </w:rPr>
        <w:t xml:space="preserve"> </w:t>
      </w:r>
      <w:r w:rsidR="009B4419">
        <w:rPr>
          <w:rFonts w:eastAsia="Calibri"/>
          <w:color w:val="000000" w:themeColor="text1"/>
        </w:rPr>
        <w:t>–</w:t>
      </w:r>
      <w:r w:rsidR="007F40EE">
        <w:rPr>
          <w:rFonts w:eastAsia="Calibri"/>
          <w:color w:val="000000" w:themeColor="text1"/>
        </w:rPr>
        <w:t xml:space="preserve"> </w:t>
      </w:r>
      <w:r w:rsidR="004B31E8">
        <w:rPr>
          <w:rFonts w:eastAsia="Calibri"/>
          <w:color w:val="000000" w:themeColor="text1"/>
        </w:rPr>
        <w:t>Revision</w:t>
      </w:r>
    </w:p>
    <w:p w:rsidR="00B47EE7" w:rsidRPr="00246D61" w:rsidP="000D79CC" w14:paraId="13B561CE" w14:textId="77777777">
      <w:pPr>
        <w:rPr>
          <w:rFonts w:eastAsia="Calibri"/>
          <w:color w:val="000000" w:themeColor="text1"/>
        </w:rPr>
      </w:pPr>
    </w:p>
    <w:p w:rsidR="00C42ACF" w:rsidRPr="00246D61" w:rsidP="000D79CC" w14:paraId="02D198C5" w14:textId="4487402A">
      <w:pPr>
        <w:rPr>
          <w:rFonts w:eastAsia="Calibri"/>
          <w:color w:val="000000" w:themeColor="text1"/>
        </w:rPr>
      </w:pPr>
      <w:r w:rsidRPr="00246D61">
        <w:rPr>
          <w:rFonts w:eastAsia="Calibri"/>
          <w:color w:val="000000" w:themeColor="text1"/>
        </w:rPr>
        <w:t>SUPPORTING STATEMENT</w:t>
      </w:r>
    </w:p>
    <w:p w:rsidR="00C42ACF" w:rsidRPr="00246D61" w:rsidP="000D79CC" w14:paraId="1BB18D02" w14:textId="77777777">
      <w:pPr>
        <w:rPr>
          <w:rFonts w:eastAsia="Calibri"/>
          <w:color w:val="000000" w:themeColor="text1"/>
        </w:rPr>
      </w:pPr>
    </w:p>
    <w:p w:rsidR="00357C8A" w:rsidRPr="00246D61" w:rsidP="000D79CC" w14:paraId="30D868F5" w14:textId="3DDE7EC1">
      <w:pPr>
        <w:rPr>
          <w:rFonts w:eastAsia="Calibri"/>
          <w:color w:val="000000" w:themeColor="text1"/>
        </w:rPr>
      </w:pPr>
      <w:r w:rsidRPr="00246D61">
        <w:rPr>
          <w:rFonts w:eastAsia="Calibri"/>
          <w:b/>
          <w:color w:val="000000" w:themeColor="text1"/>
        </w:rPr>
        <w:t>Part A:  Justification</w:t>
      </w:r>
    </w:p>
    <w:p w:rsidR="000D79CC" w:rsidRPr="00246D61" w:rsidP="000D79CC" w14:paraId="793F5D09" w14:textId="77777777">
      <w:pPr>
        <w:rPr>
          <w:rFonts w:eastAsia="Calibri"/>
          <w:color w:val="000000" w:themeColor="text1"/>
        </w:rPr>
      </w:pPr>
    </w:p>
    <w:p w:rsidR="00357C8A" w:rsidRPr="00246D61" w:rsidP="006705EA" w14:paraId="0EE120E7" w14:textId="77777777">
      <w:pPr>
        <w:numPr>
          <w:ilvl w:val="0"/>
          <w:numId w:val="6"/>
        </w:numPr>
        <w:spacing w:after="200" w:line="276" w:lineRule="auto"/>
        <w:rPr>
          <w:rFonts w:eastAsia="Calibri"/>
          <w:color w:val="000000" w:themeColor="text1"/>
        </w:rPr>
      </w:pPr>
      <w:r w:rsidRPr="00246D61">
        <w:rPr>
          <w:rFonts w:eastAsia="Calibri"/>
          <w:color w:val="000000" w:themeColor="text1"/>
          <w:u w:val="single"/>
        </w:rPr>
        <w:t>Circumstances Making the Collection of Information Necessary</w:t>
      </w:r>
    </w:p>
    <w:p w:rsidR="001D29DF" w:rsidRPr="00246D61" w:rsidP="003E33FB" w14:paraId="58B7C924" w14:textId="652B9DB7">
      <w:pPr>
        <w:ind w:left="360"/>
        <w:rPr>
          <w:rFonts w:eastAsia="Calibri"/>
          <w:color w:val="000000" w:themeColor="text1"/>
        </w:rPr>
      </w:pPr>
      <w:r w:rsidRPr="00246D61">
        <w:rPr>
          <w:rFonts w:eastAsia="Calibri"/>
          <w:color w:val="000000" w:themeColor="text1"/>
        </w:rPr>
        <w:t>This information collection supports</w:t>
      </w:r>
      <w:r w:rsidRPr="00246D61" w:rsidR="00A84FDE">
        <w:rPr>
          <w:rFonts w:eastAsia="Calibri"/>
          <w:color w:val="000000" w:themeColor="text1"/>
        </w:rPr>
        <w:t xml:space="preserve"> </w:t>
      </w:r>
      <w:r w:rsidRPr="00246D61" w:rsidR="005019DD">
        <w:rPr>
          <w:rFonts w:eastAsia="Calibri"/>
          <w:color w:val="000000" w:themeColor="text1"/>
        </w:rPr>
        <w:t xml:space="preserve">regulations </w:t>
      </w:r>
      <w:r w:rsidRPr="00246D61" w:rsidR="00E74F10">
        <w:rPr>
          <w:rFonts w:eastAsia="Calibri"/>
          <w:color w:val="000000" w:themeColor="text1"/>
        </w:rPr>
        <w:t xml:space="preserve">governing </w:t>
      </w:r>
      <w:r w:rsidRPr="00246D61" w:rsidR="005019DD">
        <w:rPr>
          <w:rFonts w:eastAsia="Calibri"/>
          <w:color w:val="000000" w:themeColor="text1"/>
        </w:rPr>
        <w:t xml:space="preserve">Food and Drug Administration (FDA) </w:t>
      </w:r>
      <w:r w:rsidRPr="00246D61">
        <w:rPr>
          <w:rFonts w:eastAsia="Calibri"/>
          <w:color w:val="000000" w:themeColor="text1"/>
        </w:rPr>
        <w:t>expedited programs for serious conditions</w:t>
      </w:r>
      <w:r w:rsidRPr="00246D61" w:rsidR="005019DD">
        <w:rPr>
          <w:rFonts w:eastAsia="Calibri"/>
          <w:color w:val="000000" w:themeColor="text1"/>
        </w:rPr>
        <w:t>.  These provisions are set forth in 21 CFR part 312, subpart E (21 CFR part 312).  The subpart E regulations are intended to speed the availability of new therapies to patients with serious conditions, especially when there are no satisfactory alternative therapies, while preserving appropriate standards for safety and effectiveness.</w:t>
      </w:r>
      <w:r w:rsidRPr="00246D61" w:rsidR="00A84FDE">
        <w:rPr>
          <w:rFonts w:eastAsia="Calibri"/>
          <w:color w:val="000000" w:themeColor="text1"/>
        </w:rPr>
        <w:t xml:space="preserve">  </w:t>
      </w:r>
      <w:r w:rsidRPr="00246D61" w:rsidR="005019DD">
        <w:rPr>
          <w:rFonts w:eastAsia="Calibri"/>
          <w:color w:val="000000" w:themeColor="text1"/>
        </w:rPr>
        <w:t xml:space="preserve">The regulations call for earlier attention to drugs that have promise in treating such conditions, including early consultation with FDA for sponsors of such products.  Respondents to the information collection are sponsors of drug or biologic product applications submitted to FDA.  </w:t>
      </w:r>
    </w:p>
    <w:p w:rsidR="001D29DF" w:rsidRPr="00246D61" w:rsidP="00E74F10" w14:paraId="76D5A799" w14:textId="77777777">
      <w:pPr>
        <w:rPr>
          <w:rFonts w:eastAsia="Calibri"/>
          <w:color w:val="000000" w:themeColor="text1"/>
        </w:rPr>
      </w:pPr>
    </w:p>
    <w:p w:rsidR="00C91E27" w:rsidRPr="00246D61" w:rsidP="003E33FB" w14:paraId="60B9253C" w14:textId="6EDD9B11">
      <w:pPr>
        <w:ind w:left="360"/>
        <w:rPr>
          <w:rFonts w:eastAsia="Calibri"/>
          <w:color w:val="000000" w:themeColor="text1"/>
        </w:rPr>
      </w:pPr>
      <w:r w:rsidRPr="00246D61">
        <w:rPr>
          <w:rFonts w:eastAsia="Calibri"/>
          <w:color w:val="000000" w:themeColor="text1"/>
        </w:rPr>
        <w:t xml:space="preserve">To assist respondents </w:t>
      </w:r>
      <w:r w:rsidRPr="00246D61" w:rsidR="00E74F10">
        <w:rPr>
          <w:rFonts w:eastAsia="Calibri"/>
          <w:color w:val="000000" w:themeColor="text1"/>
        </w:rPr>
        <w:t>with</w:t>
      </w:r>
      <w:r w:rsidRPr="00246D61">
        <w:rPr>
          <w:rFonts w:eastAsia="Calibri"/>
          <w:color w:val="000000" w:themeColor="text1"/>
        </w:rPr>
        <w:t xml:space="preserve"> the information collection, we developed agency guidance entitled, “</w:t>
      </w:r>
      <w:r w:rsidRPr="00246D61" w:rsidR="00E74F10">
        <w:rPr>
          <w:rFonts w:eastAsia="Calibri"/>
          <w:i/>
          <w:iCs/>
          <w:color w:val="000000" w:themeColor="text1"/>
        </w:rPr>
        <w:t>Guidance for Industry Expedited Programs for Serious Conditions – Drugs and Biologics</w:t>
      </w:r>
      <w:r w:rsidRPr="00246D61" w:rsidR="00E74F10">
        <w:rPr>
          <w:rFonts w:eastAsia="Calibri"/>
          <w:color w:val="000000" w:themeColor="text1"/>
        </w:rPr>
        <w:t xml:space="preserve">” (May 2014).  </w:t>
      </w:r>
      <w:r w:rsidRPr="00246D61" w:rsidR="000D1B52">
        <w:rPr>
          <w:rFonts w:eastAsia="Calibri"/>
          <w:color w:val="000000" w:themeColor="text1"/>
        </w:rPr>
        <w:t>The guidance describes threshold criteria generally applicable to expedited programs, including what is meant by serious condition, unmet medical need, and available therapy.  The guidance addresses the applicability of expedited programs to rare diseases, clarification on available therapy, and additional detail on possible flexibility in manufacturing and product quality.  It also clarifies the qualifying criteria for breakthrough therapy designation</w:t>
      </w:r>
      <w:r w:rsidRPr="00246D61" w:rsidR="00CA75DE">
        <w:rPr>
          <w:rFonts w:eastAsia="Calibri"/>
          <w:color w:val="000000" w:themeColor="text1"/>
        </w:rPr>
        <w:t>;</w:t>
      </w:r>
      <w:r w:rsidRPr="00246D61" w:rsidR="000D1B52">
        <w:rPr>
          <w:rFonts w:eastAsia="Calibri"/>
          <w:color w:val="000000" w:themeColor="text1"/>
        </w:rPr>
        <w:t xml:space="preserve"> provides examples of surrogate endpoints and intermediate clinical endpoints used to support accelerated approval</w:t>
      </w:r>
      <w:r w:rsidRPr="00246D61" w:rsidR="00CA75DE">
        <w:rPr>
          <w:rFonts w:eastAsia="Calibri"/>
          <w:color w:val="000000" w:themeColor="text1"/>
        </w:rPr>
        <w:t xml:space="preserve"> and priority review</w:t>
      </w:r>
      <w:r w:rsidRPr="00246D61" w:rsidR="000D1B52">
        <w:rPr>
          <w:rFonts w:eastAsia="Calibri"/>
          <w:color w:val="000000" w:themeColor="text1"/>
        </w:rPr>
        <w:t>.</w:t>
      </w:r>
      <w:r w:rsidRPr="00246D61" w:rsidR="001D29DF">
        <w:rPr>
          <w:rFonts w:eastAsia="Calibri"/>
          <w:color w:val="000000" w:themeColor="text1"/>
        </w:rPr>
        <w:t xml:space="preserve"> </w:t>
      </w:r>
    </w:p>
    <w:p w:rsidR="00C91E27" w:rsidRPr="00246D61" w:rsidP="000D1B52" w14:paraId="6E739273" w14:textId="77777777">
      <w:pPr>
        <w:rPr>
          <w:rFonts w:eastAsia="Calibri"/>
          <w:color w:val="000000" w:themeColor="text1"/>
        </w:rPr>
      </w:pPr>
    </w:p>
    <w:p w:rsidR="005F7D17" w:rsidRPr="00246D61" w:rsidP="003E33FB" w14:paraId="2472723F" w14:textId="2F73F7F0">
      <w:pPr>
        <w:ind w:left="360"/>
        <w:rPr>
          <w:rFonts w:eastAsia="Calibri"/>
          <w:color w:val="000000" w:themeColor="text1"/>
        </w:rPr>
      </w:pPr>
      <w:r w:rsidRPr="00246D61">
        <w:rPr>
          <w:rFonts w:eastAsia="Calibri"/>
          <w:color w:val="000000" w:themeColor="text1"/>
        </w:rPr>
        <w:t xml:space="preserve">In addition, </w:t>
      </w:r>
      <w:r w:rsidRPr="00246D61" w:rsidR="00C91E27">
        <w:rPr>
          <w:rFonts w:eastAsia="Calibri"/>
          <w:color w:val="000000" w:themeColor="text1"/>
        </w:rPr>
        <w:t>the agency guidance entitled, “</w:t>
      </w:r>
      <w:r w:rsidRPr="00246D61" w:rsidR="00C91E27">
        <w:rPr>
          <w:rFonts w:eastAsia="Calibri"/>
          <w:i/>
          <w:iCs/>
          <w:color w:val="000000" w:themeColor="text1"/>
        </w:rPr>
        <w:t>Expedited Programs for Regenerative Medicine Therapies for Serious Conditions</w:t>
      </w:r>
      <w:r w:rsidRPr="00246D61" w:rsidR="00C91E27">
        <w:rPr>
          <w:rFonts w:eastAsia="Calibri"/>
          <w:color w:val="000000" w:themeColor="text1"/>
        </w:rPr>
        <w:t xml:space="preserve">,” (February 2019) describing the criteria for participation in </w:t>
      </w:r>
      <w:r w:rsidRPr="00246D61">
        <w:rPr>
          <w:rFonts w:eastAsia="Calibri"/>
          <w:color w:val="000000" w:themeColor="text1"/>
        </w:rPr>
        <w:t>t</w:t>
      </w:r>
      <w:r w:rsidRPr="00246D61" w:rsidR="001D29DF">
        <w:rPr>
          <w:rFonts w:eastAsia="Calibri"/>
          <w:color w:val="000000" w:themeColor="text1"/>
        </w:rPr>
        <w:t>he</w:t>
      </w:r>
      <w:r w:rsidRPr="00246D61" w:rsidR="00FF6295">
        <w:rPr>
          <w:rFonts w:eastAsia="Calibri"/>
          <w:color w:val="000000" w:themeColor="text1"/>
        </w:rPr>
        <w:t xml:space="preserve"> </w:t>
      </w:r>
      <w:r w:rsidRPr="00246D61">
        <w:rPr>
          <w:rFonts w:eastAsia="Calibri"/>
          <w:color w:val="000000" w:themeColor="text1"/>
        </w:rPr>
        <w:t>Regenerative Medicine Advanced Therapy (RMAT)</w:t>
      </w:r>
      <w:r w:rsidRPr="00246D61" w:rsidR="001D29DF">
        <w:rPr>
          <w:rFonts w:eastAsia="Calibri"/>
          <w:color w:val="000000" w:themeColor="text1"/>
        </w:rPr>
        <w:t xml:space="preserve"> program</w:t>
      </w:r>
      <w:r w:rsidRPr="00246D61" w:rsidR="00C91E27">
        <w:rPr>
          <w:rFonts w:eastAsia="Calibri"/>
          <w:color w:val="000000" w:themeColor="text1"/>
        </w:rPr>
        <w:t xml:space="preserve">.  The RMAT expedited program </w:t>
      </w:r>
      <w:r w:rsidRPr="00246D61" w:rsidR="001D29DF">
        <w:rPr>
          <w:rFonts w:eastAsia="Calibri"/>
          <w:color w:val="000000" w:themeColor="text1"/>
        </w:rPr>
        <w:t xml:space="preserve"> was approved as part of the 21</w:t>
      </w:r>
      <w:r w:rsidRPr="00246D61" w:rsidR="001D29DF">
        <w:rPr>
          <w:rFonts w:eastAsia="Calibri"/>
          <w:color w:val="000000" w:themeColor="text1"/>
          <w:vertAlign w:val="superscript"/>
        </w:rPr>
        <w:t>st</w:t>
      </w:r>
      <w:r w:rsidRPr="00246D61" w:rsidR="001D29DF">
        <w:rPr>
          <w:rFonts w:eastAsia="Calibri"/>
          <w:color w:val="000000" w:themeColor="text1"/>
        </w:rPr>
        <w:t xml:space="preserve"> Century CURES Act, signed December 13, 2016.  An RMAT</w:t>
      </w:r>
      <w:r w:rsidRPr="00246D61">
        <w:rPr>
          <w:rFonts w:eastAsia="Calibri"/>
          <w:color w:val="000000" w:themeColor="text1"/>
        </w:rPr>
        <w:t xml:space="preserve"> product is intended to treat, modify, reverse, or cure a serious or life-threatening disease or conditions and preliminary clinical evidence indicate that the drug has the potential to address unmet medical needs for such disease or condition.</w:t>
      </w:r>
      <w:r w:rsidRPr="00246D61" w:rsidR="00FF6295">
        <w:rPr>
          <w:rFonts w:eastAsia="Calibri"/>
          <w:color w:val="000000" w:themeColor="text1"/>
        </w:rPr>
        <w:t xml:space="preserve"> This is a CBER program</w:t>
      </w:r>
      <w:r w:rsidRPr="00246D61" w:rsidR="001D29DF">
        <w:rPr>
          <w:rFonts w:eastAsia="Calibri"/>
          <w:color w:val="000000" w:themeColor="text1"/>
        </w:rPr>
        <w:t xml:space="preserve"> and is included </w:t>
      </w:r>
      <w:r w:rsidRPr="00246D61" w:rsidR="00C91E27">
        <w:rPr>
          <w:rFonts w:eastAsia="Calibri"/>
          <w:color w:val="000000" w:themeColor="text1"/>
        </w:rPr>
        <w:t xml:space="preserve">as an </w:t>
      </w:r>
      <w:r w:rsidRPr="00246D61" w:rsidR="001D29DF">
        <w:rPr>
          <w:rFonts w:eastAsia="Calibri"/>
          <w:color w:val="000000" w:themeColor="text1"/>
        </w:rPr>
        <w:t>expedited program</w:t>
      </w:r>
      <w:r w:rsidRPr="00246D61" w:rsidR="00C91E27">
        <w:rPr>
          <w:rFonts w:eastAsia="Calibri"/>
          <w:color w:val="000000" w:themeColor="text1"/>
        </w:rPr>
        <w:t xml:space="preserve"> available</w:t>
      </w:r>
      <w:r w:rsidRPr="00246D61" w:rsidR="001D29DF">
        <w:rPr>
          <w:rFonts w:eastAsia="Calibri"/>
          <w:color w:val="000000" w:themeColor="text1"/>
        </w:rPr>
        <w:t xml:space="preserve"> for serious conditions.</w:t>
      </w:r>
    </w:p>
    <w:p w:rsidR="005F7D17" w:rsidRPr="00246D61" w:rsidP="000D1B52" w14:paraId="6526C61B" w14:textId="77777777">
      <w:pPr>
        <w:rPr>
          <w:rFonts w:eastAsia="Calibri"/>
          <w:color w:val="000000" w:themeColor="text1"/>
        </w:rPr>
      </w:pPr>
    </w:p>
    <w:p w:rsidR="000D1B52" w:rsidRPr="00246D61" w:rsidP="004D7D36" w14:paraId="3A0CD7E2" w14:textId="5A9BFEC7">
      <w:pPr>
        <w:ind w:left="360"/>
        <w:rPr>
          <w:rFonts w:eastAsia="Calibri"/>
          <w:color w:val="000000" w:themeColor="text1"/>
        </w:rPr>
      </w:pPr>
      <w:r w:rsidRPr="00246D61">
        <w:rPr>
          <w:rFonts w:eastAsia="Calibri"/>
          <w:color w:val="000000" w:themeColor="text1"/>
        </w:rPr>
        <w:t xml:space="preserve">A sponsor or applicant who seeks </w:t>
      </w:r>
      <w:r w:rsidRPr="00246D61" w:rsidR="005F7D17">
        <w:rPr>
          <w:rFonts w:eastAsia="Calibri"/>
          <w:color w:val="000000" w:themeColor="text1"/>
        </w:rPr>
        <w:t>fast track, priority, breakthrough, RMAT or accelerated approval designation</w:t>
      </w:r>
      <w:r w:rsidRPr="00246D61" w:rsidR="00CA75DE">
        <w:rPr>
          <w:rFonts w:eastAsia="Calibri"/>
          <w:color w:val="000000" w:themeColor="text1"/>
        </w:rPr>
        <w:t xml:space="preserve"> review, approval </w:t>
      </w:r>
      <w:r w:rsidRPr="00246D61">
        <w:rPr>
          <w:rFonts w:eastAsia="Calibri"/>
          <w:color w:val="000000" w:themeColor="text1"/>
        </w:rPr>
        <w:t xml:space="preserve">is required to submit a request showing that the drug product: (1) is intended for a serious or life-threatening condition and (2) has the potential to </w:t>
      </w:r>
      <w:r w:rsidRPr="00246D61" w:rsidR="00CA75DE">
        <w:rPr>
          <w:rFonts w:eastAsia="Calibri"/>
          <w:color w:val="000000" w:themeColor="text1"/>
        </w:rPr>
        <w:t xml:space="preserve">a) </w:t>
      </w:r>
      <w:r w:rsidRPr="00246D61">
        <w:rPr>
          <w:rFonts w:eastAsia="Calibri"/>
          <w:color w:val="000000" w:themeColor="text1"/>
        </w:rPr>
        <w:t>address an unmet medical need</w:t>
      </w:r>
      <w:r w:rsidRPr="00246D61" w:rsidR="00CA75DE">
        <w:rPr>
          <w:rFonts w:eastAsia="Calibri"/>
          <w:color w:val="000000" w:themeColor="text1"/>
        </w:rPr>
        <w:t>, b) demonstrate substantial improvement over available therapy, or c) fill an unmet need</w:t>
      </w:r>
      <w:r w:rsidRPr="00246D61" w:rsidR="007A6092">
        <w:rPr>
          <w:rFonts w:eastAsia="Calibri"/>
          <w:color w:val="000000" w:themeColor="text1"/>
        </w:rPr>
        <w:t xml:space="preserve"> to be approved based on a surrogate endpoint</w:t>
      </w:r>
      <w:r w:rsidRPr="00246D61">
        <w:rPr>
          <w:rFonts w:eastAsia="Calibri"/>
          <w:color w:val="000000" w:themeColor="text1"/>
        </w:rPr>
        <w:t xml:space="preserve">.  We expect that most information to support a designation request will have been gathered under existing requirements for preparing an investigational new drug (IND), new drug application (NDA), or biologics license application (BLA).  If such information has already been submitted to us, </w:t>
      </w:r>
      <w:r w:rsidRPr="00246D61">
        <w:rPr>
          <w:rFonts w:eastAsia="Calibri"/>
          <w:color w:val="000000" w:themeColor="text1"/>
        </w:rPr>
        <w:t>the information may be summarized in the designation request.  A designation request should include, where applicable, additional information not specified elsewhere by statute or regulation.  For example, additional information may be needed to show that a product has the potential to address an unmet medical need where an approved therapy exists for the serious or life-threatening condition to be treated.  Such information may include clinical data, published reports, summaries of data and reports, and a list of references.  The amount of information and discussion in a designation request</w:t>
      </w:r>
      <w:r w:rsidRPr="00246D61" w:rsidR="001D29DF">
        <w:rPr>
          <w:rFonts w:eastAsia="Calibri"/>
          <w:color w:val="000000" w:themeColor="text1"/>
        </w:rPr>
        <w:t xml:space="preserve"> </w:t>
      </w:r>
      <w:r w:rsidRPr="00246D61">
        <w:rPr>
          <w:rFonts w:eastAsia="Calibri"/>
          <w:color w:val="000000" w:themeColor="text1"/>
        </w:rPr>
        <w:t xml:space="preserve">should be sufficient to permit a reviewer to assess whether the criteria for </w:t>
      </w:r>
      <w:r w:rsidRPr="00246D61" w:rsidR="005F7D17">
        <w:rPr>
          <w:rFonts w:eastAsia="Calibri"/>
          <w:color w:val="000000" w:themeColor="text1"/>
        </w:rPr>
        <w:t>fast track, priority, breakthrough, RMAT or accelerated approval designation</w:t>
      </w:r>
      <w:r w:rsidRPr="00246D61">
        <w:rPr>
          <w:rFonts w:eastAsia="Calibri"/>
          <w:color w:val="000000" w:themeColor="text1"/>
        </w:rPr>
        <w:t xml:space="preserve"> have been met.</w:t>
      </w:r>
    </w:p>
    <w:p w:rsidR="00C42ACF" w:rsidRPr="00246D61" w14:paraId="2F2994E0" w14:textId="38A07160">
      <w:pPr>
        <w:rPr>
          <w:rFonts w:eastAsia="Calibri"/>
          <w:color w:val="000000" w:themeColor="text1"/>
        </w:rPr>
      </w:pPr>
    </w:p>
    <w:p w:rsidR="000D1B52" w:rsidRPr="00246D61" w:rsidP="004D7D36" w14:paraId="19C2C083" w14:textId="5C0ACBFB">
      <w:pPr>
        <w:ind w:left="360"/>
        <w:rPr>
          <w:rFonts w:eastAsia="Calibri"/>
          <w:color w:val="000000" w:themeColor="text1"/>
        </w:rPr>
      </w:pPr>
      <w:r w:rsidRPr="00246D61">
        <w:rPr>
          <w:rFonts w:eastAsia="Calibri"/>
          <w:color w:val="000000" w:themeColor="text1"/>
        </w:rPr>
        <w:t xml:space="preserve">Once FDA makes a </w:t>
      </w:r>
      <w:r w:rsidRPr="00246D61" w:rsidR="005F7D17">
        <w:rPr>
          <w:rFonts w:eastAsia="Calibri"/>
          <w:color w:val="000000" w:themeColor="text1"/>
        </w:rPr>
        <w:t>priority, fast track, breakthrough, RMAT or accelerated approval</w:t>
      </w:r>
      <w:r w:rsidRPr="00246D61" w:rsidR="007A6092">
        <w:rPr>
          <w:rFonts w:eastAsia="Calibri"/>
          <w:color w:val="000000" w:themeColor="text1"/>
        </w:rPr>
        <w:t xml:space="preserve"> </w:t>
      </w:r>
      <w:r w:rsidRPr="00246D61">
        <w:rPr>
          <w:rFonts w:eastAsia="Calibri"/>
          <w:color w:val="000000" w:themeColor="text1"/>
        </w:rPr>
        <w:t>designation, a sponsor or applicant may submit a premeeting package that may include additional information supporting a request to participate in</w:t>
      </w:r>
      <w:r w:rsidRPr="00246D61" w:rsidR="004C23E5">
        <w:rPr>
          <w:rFonts w:eastAsia="Calibri"/>
          <w:color w:val="000000" w:themeColor="text1"/>
        </w:rPr>
        <w:t xml:space="preserve"> any of these</w:t>
      </w:r>
      <w:r w:rsidRPr="00246D61">
        <w:rPr>
          <w:rFonts w:eastAsia="Calibri"/>
          <w:color w:val="000000" w:themeColor="text1"/>
        </w:rPr>
        <w:t xml:space="preserve"> </w:t>
      </w:r>
      <w:r w:rsidRPr="00246D61" w:rsidR="007A6092">
        <w:rPr>
          <w:rFonts w:eastAsia="Calibri"/>
          <w:color w:val="000000" w:themeColor="text1"/>
        </w:rPr>
        <w:t>expedited review</w:t>
      </w:r>
      <w:r w:rsidRPr="00246D61">
        <w:rPr>
          <w:rFonts w:eastAsia="Calibri"/>
          <w:color w:val="000000" w:themeColor="text1"/>
        </w:rPr>
        <w:t xml:space="preserve"> programs</w:t>
      </w:r>
      <w:r w:rsidRPr="00246D61" w:rsidR="007A6092">
        <w:rPr>
          <w:rFonts w:eastAsia="Calibri"/>
          <w:color w:val="000000" w:themeColor="text1"/>
        </w:rPr>
        <w:t xml:space="preserve"> for</w:t>
      </w:r>
      <w:r w:rsidRPr="00246D61" w:rsidR="005F7D17">
        <w:rPr>
          <w:rFonts w:eastAsia="Calibri"/>
          <w:color w:val="000000" w:themeColor="text1"/>
        </w:rPr>
        <w:t xml:space="preserve"> serious conditions in drugs and biologics</w:t>
      </w:r>
      <w:r w:rsidRPr="00246D61">
        <w:rPr>
          <w:rFonts w:eastAsia="Calibri"/>
          <w:color w:val="000000" w:themeColor="text1"/>
        </w:rPr>
        <w:t xml:space="preserve">.  The premeeting package serves as background information for the meeting and should support the intended objectives of the meeting.  </w:t>
      </w:r>
      <w:r w:rsidRPr="00246D61" w:rsidR="005F7D17">
        <w:rPr>
          <w:rFonts w:eastAsia="Calibri"/>
          <w:color w:val="000000" w:themeColor="text1"/>
        </w:rPr>
        <w:t>We</w:t>
      </w:r>
      <w:r w:rsidRPr="00246D61">
        <w:rPr>
          <w:rFonts w:eastAsia="Calibri"/>
          <w:color w:val="000000" w:themeColor="text1"/>
        </w:rPr>
        <w:t xml:space="preserve"> expect that most sponsors or applicants will have gathered such information to meet existing requirements for preparing an IND, an NDA, or a BLA.  These may include descriptions of clinical safety and efficacy trials not conducted under an IND (e.g., foreign studies) and information to support a request </w:t>
      </w:r>
      <w:r w:rsidRPr="00246D61" w:rsidR="005F7D17">
        <w:rPr>
          <w:rFonts w:eastAsia="Calibri"/>
          <w:color w:val="000000" w:themeColor="text1"/>
        </w:rPr>
        <w:t>for participation in one of the expedited approval pathways</w:t>
      </w:r>
      <w:r w:rsidRPr="00246D61">
        <w:rPr>
          <w:rFonts w:eastAsia="Calibri"/>
          <w:color w:val="000000" w:themeColor="text1"/>
        </w:rPr>
        <w:t>.  If such information has already been submitted to us, the information may be summarized in the premeeting package.</w:t>
      </w:r>
    </w:p>
    <w:p w:rsidR="00E74F10" w:rsidRPr="00246D61" w:rsidP="00423272" w14:paraId="5F601909" w14:textId="77777777">
      <w:pPr>
        <w:rPr>
          <w:rFonts w:eastAsia="Calibri"/>
          <w:color w:val="000000" w:themeColor="text1"/>
        </w:rPr>
      </w:pPr>
    </w:p>
    <w:p w:rsidR="00423272" w:rsidRPr="00246D61" w:rsidP="004D7D36" w14:paraId="04AD57FF" w14:textId="4692C726">
      <w:pPr>
        <w:ind w:left="360"/>
        <w:rPr>
          <w:rFonts w:eastAsia="Calibri"/>
          <w:color w:val="000000" w:themeColor="text1"/>
        </w:rPr>
      </w:pPr>
      <w:r w:rsidRPr="00246D61">
        <w:rPr>
          <w:rFonts w:eastAsia="Calibri"/>
          <w:color w:val="000000" w:themeColor="text1"/>
        </w:rPr>
        <w:t xml:space="preserve">We </w:t>
      </w:r>
      <w:r w:rsidRPr="00246D61" w:rsidR="00C42ACF">
        <w:rPr>
          <w:rFonts w:eastAsia="Calibri"/>
          <w:color w:val="000000" w:themeColor="text1"/>
        </w:rPr>
        <w:t>therefore request</w:t>
      </w:r>
      <w:r w:rsidRPr="00246D61">
        <w:rPr>
          <w:rFonts w:eastAsia="Calibri"/>
          <w:color w:val="000000" w:themeColor="text1"/>
        </w:rPr>
        <w:t xml:space="preserve"> OMB approval </w:t>
      </w:r>
      <w:r w:rsidRPr="00246D61" w:rsidR="00E74F10">
        <w:rPr>
          <w:rFonts w:eastAsia="Calibri"/>
          <w:color w:val="000000" w:themeColor="text1"/>
        </w:rPr>
        <w:t xml:space="preserve">for the information collection provisions associated with regulations in 21 CFR 312, subpart E as applicable in the </w:t>
      </w:r>
      <w:r w:rsidRPr="00246D61" w:rsidR="000D1B52">
        <w:rPr>
          <w:rFonts w:eastAsia="Calibri"/>
          <w:color w:val="000000" w:themeColor="text1"/>
        </w:rPr>
        <w:t>Guidance for Industry on Expedited Programs for Serious Conditions--Drugs and Biologics</w:t>
      </w:r>
      <w:r w:rsidRPr="00246D61" w:rsidR="00E74F10">
        <w:rPr>
          <w:rFonts w:eastAsia="Calibri"/>
          <w:color w:val="000000" w:themeColor="text1"/>
        </w:rPr>
        <w:t>” a</w:t>
      </w:r>
      <w:r w:rsidRPr="00246D61" w:rsidR="003722AA">
        <w:rPr>
          <w:rFonts w:eastAsia="Calibri"/>
          <w:color w:val="000000" w:themeColor="text1"/>
        </w:rPr>
        <w:t>nd</w:t>
      </w:r>
      <w:r w:rsidRPr="00246D61" w:rsidR="00E74F10">
        <w:rPr>
          <w:rFonts w:eastAsia="Calibri"/>
          <w:color w:val="000000" w:themeColor="text1"/>
        </w:rPr>
        <w:t xml:space="preserve"> </w:t>
      </w:r>
      <w:r w:rsidRPr="00246D61" w:rsidR="00C91E27">
        <w:rPr>
          <w:rFonts w:eastAsia="Calibri"/>
          <w:color w:val="000000" w:themeColor="text1"/>
        </w:rPr>
        <w:t xml:space="preserve">the “Guidance for Industry on Expedited Programs for Regenerative Medicine Therapies for Serious Conditions” as </w:t>
      </w:r>
      <w:r w:rsidRPr="00246D61" w:rsidR="00E74F10">
        <w:rPr>
          <w:rFonts w:eastAsia="Calibri"/>
          <w:color w:val="000000" w:themeColor="text1"/>
        </w:rPr>
        <w:t>discussed in this supporting statement</w:t>
      </w:r>
      <w:r w:rsidRPr="00246D61" w:rsidR="003722AA">
        <w:rPr>
          <w:rFonts w:eastAsia="Calibri"/>
          <w:color w:val="000000" w:themeColor="text1"/>
        </w:rPr>
        <w:t>.</w:t>
      </w:r>
    </w:p>
    <w:p w:rsidR="000D1B52" w:rsidRPr="00246D61" w:rsidP="00423272" w14:paraId="0915906E" w14:textId="77777777">
      <w:pPr>
        <w:rPr>
          <w:rFonts w:eastAsia="Calibri"/>
          <w:i/>
          <w:color w:val="000000" w:themeColor="text1"/>
        </w:rPr>
      </w:pPr>
    </w:p>
    <w:p w:rsidR="00357C8A" w:rsidRPr="00246D61" w:rsidP="006705EA" w14:paraId="1B5287AE" w14:textId="77777777">
      <w:pPr>
        <w:numPr>
          <w:ilvl w:val="0"/>
          <w:numId w:val="6"/>
        </w:numPr>
        <w:spacing w:after="200" w:line="276" w:lineRule="auto"/>
        <w:rPr>
          <w:rFonts w:eastAsia="Calibri"/>
          <w:color w:val="000000" w:themeColor="text1"/>
          <w:u w:val="single"/>
        </w:rPr>
      </w:pPr>
      <w:r w:rsidRPr="00246D61">
        <w:rPr>
          <w:rFonts w:eastAsia="Calibri"/>
          <w:color w:val="000000" w:themeColor="text1"/>
          <w:u w:val="single"/>
        </w:rPr>
        <w:t xml:space="preserve">Purpose and Use of the Information Collection </w:t>
      </w:r>
    </w:p>
    <w:p w:rsidR="00400E5D" w:rsidRPr="00246D61" w:rsidP="004D7D36" w14:paraId="10DF0190" w14:textId="50B56978">
      <w:pPr>
        <w:ind w:left="360"/>
        <w:rPr>
          <w:rFonts w:eastAsia="Calibri"/>
          <w:color w:val="000000" w:themeColor="text1"/>
        </w:rPr>
      </w:pPr>
      <w:r w:rsidRPr="00246D61">
        <w:rPr>
          <w:rFonts w:eastAsia="Calibri"/>
          <w:color w:val="000000" w:themeColor="text1"/>
        </w:rPr>
        <w:t>We use this information to determine whether a particular drug or biological product</w:t>
      </w:r>
      <w:r w:rsidRPr="00246D61" w:rsidR="003722AA">
        <w:rPr>
          <w:rFonts w:eastAsia="Calibri"/>
          <w:color w:val="000000" w:themeColor="text1"/>
        </w:rPr>
        <w:t xml:space="preserve"> can</w:t>
      </w:r>
      <w:r w:rsidRPr="00246D61">
        <w:rPr>
          <w:rFonts w:eastAsia="Calibri"/>
          <w:color w:val="000000" w:themeColor="text1"/>
        </w:rPr>
        <w:t xml:space="preserve"> be designated as a drug in a </w:t>
      </w:r>
      <w:r w:rsidRPr="00246D61" w:rsidR="005F7D17">
        <w:rPr>
          <w:rFonts w:eastAsia="Calibri"/>
          <w:color w:val="000000" w:themeColor="text1"/>
        </w:rPr>
        <w:t xml:space="preserve">fast track, priority, breakthrough, RMAT or accelerated approval </w:t>
      </w:r>
      <w:r w:rsidRPr="00246D61">
        <w:rPr>
          <w:rFonts w:eastAsia="Calibri"/>
          <w:color w:val="000000" w:themeColor="text1"/>
        </w:rPr>
        <w:t xml:space="preserve">drug </w:t>
      </w:r>
      <w:r w:rsidRPr="00246D61" w:rsidR="00C91E27">
        <w:rPr>
          <w:rFonts w:eastAsia="Calibri"/>
          <w:color w:val="000000" w:themeColor="text1"/>
        </w:rPr>
        <w:t>d</w:t>
      </w:r>
      <w:r w:rsidRPr="00246D61">
        <w:rPr>
          <w:rFonts w:eastAsia="Calibri"/>
          <w:color w:val="000000" w:themeColor="text1"/>
        </w:rPr>
        <w:t xml:space="preserve">evelopment program and whether a drug or biological product so designated continues to meet the criteria for </w:t>
      </w:r>
      <w:r w:rsidRPr="00246D61" w:rsidR="005F7D17">
        <w:rPr>
          <w:rFonts w:eastAsia="Calibri"/>
          <w:color w:val="000000" w:themeColor="text1"/>
        </w:rPr>
        <w:t>fast track, priority, breakthrough, RMAT or accelerated approval designation</w:t>
      </w:r>
      <w:r w:rsidRPr="00246D61">
        <w:rPr>
          <w:rFonts w:eastAsia="Calibri"/>
          <w:color w:val="000000" w:themeColor="text1"/>
        </w:rPr>
        <w:t>.</w:t>
      </w:r>
    </w:p>
    <w:p w:rsidR="000D1B52" w:rsidRPr="00246D61" w:rsidP="000D1B52" w14:paraId="5881CBC8" w14:textId="77777777">
      <w:pPr>
        <w:rPr>
          <w:rFonts w:eastAsia="Calibri"/>
          <w:color w:val="000000" w:themeColor="text1"/>
        </w:rPr>
      </w:pPr>
    </w:p>
    <w:p w:rsidR="00357C8A" w:rsidRPr="00246D61" w:rsidP="006705EA" w14:paraId="0673AF19" w14:textId="77777777">
      <w:pPr>
        <w:numPr>
          <w:ilvl w:val="0"/>
          <w:numId w:val="6"/>
        </w:numPr>
        <w:spacing w:after="200" w:line="276" w:lineRule="auto"/>
        <w:rPr>
          <w:rFonts w:eastAsia="Calibri"/>
          <w:color w:val="000000" w:themeColor="text1"/>
          <w:u w:val="single"/>
        </w:rPr>
      </w:pPr>
      <w:r w:rsidRPr="00246D61">
        <w:rPr>
          <w:rFonts w:eastAsia="Calibri"/>
          <w:color w:val="000000" w:themeColor="text1"/>
          <w:u w:val="single"/>
        </w:rPr>
        <w:t>Use of Improved Information Technology and Burden Reduction</w:t>
      </w:r>
    </w:p>
    <w:p w:rsidR="00EB5BD7" w:rsidRPr="00246D61" w:rsidP="00161B9C" w14:paraId="3F72EE0D" w14:textId="2C25C7EF">
      <w:pPr>
        <w:pStyle w:val="BodyText"/>
        <w:spacing w:before="69"/>
        <w:ind w:left="360" w:right="148"/>
        <w:rPr>
          <w:color w:val="000000" w:themeColor="text1"/>
        </w:rPr>
      </w:pPr>
      <w:r w:rsidRPr="00246D61">
        <w:rPr>
          <w:color w:val="000000" w:themeColor="text1"/>
        </w:rPr>
        <w:t>To improve the use of information technology in the submission of marketing applications for human drugs and related reports, FDA has developed and issued guidance</w:t>
      </w:r>
      <w:r w:rsidRPr="00246D61" w:rsidR="00C42ACF">
        <w:rPr>
          <w:color w:val="000000" w:themeColor="text1"/>
        </w:rPr>
        <w:t xml:space="preserve"> </w:t>
      </w:r>
      <w:r w:rsidRPr="00246D61">
        <w:rPr>
          <w:color w:val="000000" w:themeColor="text1"/>
        </w:rPr>
        <w:t>for industry on electronic submissions.</w:t>
      </w:r>
      <w:r w:rsidRPr="00246D61" w:rsidR="00C42ACF">
        <w:rPr>
          <w:color w:val="000000" w:themeColor="text1"/>
        </w:rPr>
        <w:t xml:space="preserve">  </w:t>
      </w:r>
      <w:r w:rsidRPr="00246D61">
        <w:rPr>
          <w:color w:val="000000" w:themeColor="text1"/>
        </w:rPr>
        <w:t xml:space="preserve">These guidance documents are available on </w:t>
      </w:r>
      <w:r w:rsidRPr="00246D61" w:rsidR="00BB0174">
        <w:rPr>
          <w:noProof/>
          <w:color w:val="000000" w:themeColor="text1"/>
        </w:rPr>
        <mc:AlternateContent>
          <mc:Choice Requires="wpg">
            <w:drawing>
              <wp:anchor distT="0" distB="0" distL="114300" distR="114300" simplePos="0" relativeHeight="251658240" behindDoc="1" locked="0" layoutInCell="1" allowOverlap="1">
                <wp:simplePos x="0" y="0"/>
                <wp:positionH relativeFrom="page">
                  <wp:posOffset>1612265</wp:posOffset>
                </wp:positionH>
                <wp:positionV relativeFrom="paragraph">
                  <wp:posOffset>334010</wp:posOffset>
                </wp:positionV>
                <wp:extent cx="38100" cy="7620"/>
                <wp:effectExtent l="0" t="0" r="0" b="1143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7620"/>
                          <a:chOff x="2539" y="526"/>
                          <a:chExt cx="60" cy="12"/>
                        </a:xfrm>
                      </wpg:grpSpPr>
                      <wps:wsp xmlns:wps="http://schemas.microsoft.com/office/word/2010/wordprocessingShape">
                        <wps:cNvPr id="3" name="Freeform 3"/>
                        <wps:cNvSpPr/>
                        <wps:spPr bwMode="auto">
                          <a:xfrm>
                            <a:off x="2539" y="526"/>
                            <a:ext cx="60" cy="12"/>
                          </a:xfrm>
                          <a:custGeom>
                            <a:avLst/>
                            <a:gdLst>
                              <a:gd name="T0" fmla="+- 0 2539 2539"/>
                              <a:gd name="T1" fmla="*/ T0 w 60"/>
                              <a:gd name="T2" fmla="+- 0 532 526"/>
                              <a:gd name="T3" fmla="*/ 532 h 12"/>
                              <a:gd name="T4" fmla="+- 0 2599 2539"/>
                              <a:gd name="T5" fmla="*/ T4 w 60"/>
                              <a:gd name="T6" fmla="+- 0 532 526"/>
                              <a:gd name="T7" fmla="*/ 532 h 12"/>
                            </a:gdLst>
                            <a:cxnLst>
                              <a:cxn ang="0">
                                <a:pos x="T1" y="T3"/>
                              </a:cxn>
                              <a:cxn ang="0">
                                <a:pos x="T5" y="T7"/>
                              </a:cxn>
                            </a:cxnLst>
                            <a:rect l="0" t="0" r="r" b="b"/>
                            <a:pathLst>
                              <a:path fill="norm" h="12" w="60" stroke="1">
                                <a:moveTo>
                                  <a:pt x="0" y="6"/>
                                </a:moveTo>
                                <a:lnTo>
                                  <a:pt x="60" y="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5" style="width:3pt;height:0.6pt;margin-top:26.3pt;margin-left:126.95pt;mso-position-horizontal-relative:page;position:absolute;z-index:-251657216" coordorigin="2539,526" coordsize="60,12">
                <v:shape id="Freeform 3" o:spid="_x0000_s1026" style="width:60;height:12;left:2539;mso-wrap-style:square;position:absolute;top:526;visibility:visible;v-text-anchor:top" coordsize="60,12" path="m,6l60,6e" filled="f" strokeweight="0.7pt">
                  <v:path arrowok="t" o:connecttype="custom" o:connectlocs="0,532;60,532" o:connectangles="0,0"/>
                </v:shape>
              </v:group>
            </w:pict>
          </mc:Fallback>
        </mc:AlternateContent>
      </w:r>
      <w:r w:rsidRPr="00246D61">
        <w:rPr>
          <w:color w:val="000000" w:themeColor="text1"/>
        </w:rPr>
        <w:t xml:space="preserve">our website at: </w:t>
      </w:r>
      <w:hyperlink r:id="rId8" w:history="1">
        <w:r w:rsidRPr="00A63758" w:rsidR="009D73C2">
          <w:rPr>
            <w:rStyle w:val="Hyperlink"/>
          </w:rPr>
          <w:t>http://www.fda.gov/drugs/GuidanceComplianceRegulatoryInformation/Guidances/default.htm</w:t>
        </w:r>
      </w:hyperlink>
      <w:r w:rsidRPr="00246D61">
        <w:rPr>
          <w:color w:val="000000" w:themeColor="text1"/>
        </w:rPr>
        <w:t>.</w:t>
      </w:r>
      <w:r w:rsidR="009D73C2">
        <w:rPr>
          <w:color w:val="000000" w:themeColor="text1"/>
        </w:rPr>
        <w:t xml:space="preserve"> </w:t>
      </w:r>
    </w:p>
    <w:p w:rsidR="000D1B52" w:rsidRPr="00246D61" w:rsidP="000D1B52" w14:paraId="6862EF66" w14:textId="77777777">
      <w:pPr>
        <w:spacing w:before="11"/>
        <w:ind w:left="360"/>
        <w:rPr>
          <w:color w:val="000000" w:themeColor="text1"/>
          <w:sz w:val="17"/>
          <w:szCs w:val="17"/>
        </w:rPr>
      </w:pPr>
    </w:p>
    <w:p w:rsidR="00357C8A" w:rsidRPr="00246D61" w:rsidP="006705EA" w14:paraId="36870B2D" w14:textId="77777777">
      <w:pPr>
        <w:numPr>
          <w:ilvl w:val="0"/>
          <w:numId w:val="6"/>
        </w:numPr>
        <w:spacing w:after="200" w:line="276" w:lineRule="auto"/>
        <w:rPr>
          <w:rFonts w:eastAsia="Calibri"/>
          <w:color w:val="000000" w:themeColor="text1"/>
        </w:rPr>
      </w:pPr>
      <w:r w:rsidRPr="00246D61">
        <w:rPr>
          <w:rFonts w:eastAsia="Calibri"/>
          <w:color w:val="000000" w:themeColor="text1"/>
          <w:u w:val="single"/>
        </w:rPr>
        <w:t xml:space="preserve">Efforts to Identify Duplication and Use of Similar Information </w:t>
      </w:r>
    </w:p>
    <w:p w:rsidR="009D73C2" w:rsidP="004D7D36" w14:paraId="491B9F2C" w14:textId="0CA93EBE">
      <w:pPr>
        <w:pStyle w:val="BodyText"/>
        <w:spacing w:after="0"/>
        <w:ind w:right="100" w:firstLine="360"/>
        <w:rPr>
          <w:color w:val="000000" w:themeColor="text1"/>
        </w:rPr>
      </w:pPr>
      <w:r w:rsidRPr="00246D61">
        <w:rPr>
          <w:color w:val="000000" w:themeColor="text1"/>
        </w:rPr>
        <w:t>We are unaware of duplicative information collection</w:t>
      </w:r>
      <w:r w:rsidRPr="00246D61" w:rsidR="004C23E5">
        <w:rPr>
          <w:color w:val="000000" w:themeColor="text1"/>
        </w:rPr>
        <w:t>.</w:t>
      </w:r>
    </w:p>
    <w:p w:rsidR="00A11E9C" w:rsidRPr="00246D61" w:rsidP="00A11E9C" w14:paraId="53D8B040" w14:textId="77777777">
      <w:pPr>
        <w:pStyle w:val="BodyText"/>
        <w:spacing w:after="0"/>
        <w:ind w:right="100"/>
        <w:rPr>
          <w:color w:val="000000" w:themeColor="text1"/>
        </w:rPr>
      </w:pPr>
    </w:p>
    <w:p w:rsidR="00357C8A" w:rsidRPr="00A11E9C" w:rsidP="00A11E9C" w14:paraId="0E4E27A0" w14:textId="345C9315">
      <w:pPr>
        <w:numPr>
          <w:ilvl w:val="0"/>
          <w:numId w:val="6"/>
        </w:numPr>
        <w:rPr>
          <w:rFonts w:eastAsia="Calibri"/>
          <w:color w:val="000000" w:themeColor="text1"/>
        </w:rPr>
      </w:pPr>
      <w:r w:rsidRPr="00246D61">
        <w:rPr>
          <w:rFonts w:eastAsia="Calibri"/>
          <w:color w:val="000000" w:themeColor="text1"/>
          <w:u w:val="single"/>
        </w:rPr>
        <w:t>Impact on Small Businesses or Other Small Entities</w:t>
      </w:r>
    </w:p>
    <w:p w:rsidR="00A11E9C" w:rsidRPr="00246D61" w:rsidP="00A11E9C" w14:paraId="5E835B61" w14:textId="77777777">
      <w:pPr>
        <w:ind w:left="360"/>
        <w:rPr>
          <w:rFonts w:eastAsia="Calibri"/>
          <w:color w:val="000000" w:themeColor="text1"/>
        </w:rPr>
      </w:pPr>
    </w:p>
    <w:p w:rsidR="009D73C2" w:rsidP="004D7D36" w14:paraId="4FA14F73" w14:textId="5757DC75">
      <w:pPr>
        <w:ind w:left="360"/>
        <w:rPr>
          <w:rFonts w:eastAsia="Calibri"/>
          <w:color w:val="000000" w:themeColor="text1"/>
        </w:rPr>
      </w:pPr>
      <w:r w:rsidRPr="00246D61">
        <w:rPr>
          <w:rFonts w:eastAsia="Calibri"/>
          <w:color w:val="000000" w:themeColor="text1"/>
        </w:rPr>
        <w:t>The information collection poses no undue burden on small entities.  At the same time, FDA provides assistance to small businesses in complying with statutory and regulatory requirements administered by the agency.</w:t>
      </w:r>
    </w:p>
    <w:p w:rsidR="009D73C2" w:rsidRPr="00246D61" w:rsidP="009D73C2" w14:paraId="60B15C47" w14:textId="77777777">
      <w:pPr>
        <w:rPr>
          <w:rFonts w:eastAsia="Calibri"/>
          <w:color w:val="000000" w:themeColor="text1"/>
        </w:rPr>
      </w:pPr>
    </w:p>
    <w:p w:rsidR="00357C8A" w:rsidRPr="00246D61" w:rsidP="009D73C2" w14:paraId="7303FE51" w14:textId="77777777">
      <w:pPr>
        <w:numPr>
          <w:ilvl w:val="0"/>
          <w:numId w:val="6"/>
        </w:numPr>
        <w:spacing w:after="200"/>
        <w:rPr>
          <w:rFonts w:eastAsia="Calibri"/>
          <w:color w:val="000000" w:themeColor="text1"/>
          <w:u w:val="single"/>
        </w:rPr>
      </w:pPr>
      <w:r w:rsidRPr="00246D61">
        <w:rPr>
          <w:rFonts w:eastAsia="Calibri"/>
          <w:color w:val="000000" w:themeColor="text1"/>
          <w:u w:val="single"/>
        </w:rPr>
        <w:t>Consequences of Collecting the Information Less Frequently</w:t>
      </w:r>
    </w:p>
    <w:p w:rsidR="009D73C2" w:rsidP="004D7D36" w14:paraId="746AC3D7" w14:textId="40351DD7">
      <w:pPr>
        <w:pStyle w:val="BodyText"/>
        <w:spacing w:after="0"/>
        <w:ind w:left="360" w:right="274"/>
        <w:rPr>
          <w:color w:val="000000" w:themeColor="text1"/>
        </w:rPr>
      </w:pPr>
      <w:r w:rsidRPr="00246D61">
        <w:rPr>
          <w:color w:val="000000" w:themeColor="text1"/>
        </w:rPr>
        <w:t xml:space="preserve">Information collection is consistent with applicable statutory </w:t>
      </w:r>
      <w:r w:rsidRPr="00246D61" w:rsidR="00262C66">
        <w:rPr>
          <w:color w:val="000000" w:themeColor="text1"/>
        </w:rPr>
        <w:t xml:space="preserve">and regulatory </w:t>
      </w:r>
      <w:r w:rsidRPr="00246D61" w:rsidR="00C42ACF">
        <w:rPr>
          <w:color w:val="000000" w:themeColor="text1"/>
        </w:rPr>
        <w:t>requirements. There</w:t>
      </w:r>
      <w:r w:rsidRPr="00246D61">
        <w:rPr>
          <w:color w:val="000000" w:themeColor="text1"/>
        </w:rPr>
        <w:t xml:space="preserve"> are no technical obstacles to reducing the burden.</w:t>
      </w:r>
    </w:p>
    <w:p w:rsidR="009D73C2" w:rsidRPr="00246D61" w:rsidP="009D73C2" w14:paraId="50C6A49C" w14:textId="77777777">
      <w:pPr>
        <w:pStyle w:val="BodyText"/>
        <w:spacing w:after="0"/>
        <w:ind w:right="274"/>
        <w:rPr>
          <w:color w:val="000000" w:themeColor="text1"/>
        </w:rPr>
      </w:pPr>
    </w:p>
    <w:p w:rsidR="00357C8A" w:rsidRPr="00246D61" w:rsidP="006705EA" w14:paraId="711597C0" w14:textId="77777777">
      <w:pPr>
        <w:numPr>
          <w:ilvl w:val="0"/>
          <w:numId w:val="6"/>
        </w:numPr>
        <w:spacing w:after="200" w:line="276" w:lineRule="auto"/>
        <w:rPr>
          <w:rFonts w:eastAsia="Calibri"/>
          <w:color w:val="000000" w:themeColor="text1"/>
        </w:rPr>
      </w:pPr>
      <w:r w:rsidRPr="00246D61">
        <w:rPr>
          <w:rFonts w:eastAsia="Calibri"/>
          <w:color w:val="000000" w:themeColor="text1"/>
          <w:u w:val="single"/>
        </w:rPr>
        <w:t>Special Circumstances Relating to the Guidelines of 5 CFR 1320.5</w:t>
      </w:r>
    </w:p>
    <w:p w:rsidR="009D73C2" w:rsidP="004D7D36" w14:paraId="4A05BCA2" w14:textId="486C25FC">
      <w:pPr>
        <w:pStyle w:val="BodyText"/>
        <w:spacing w:after="0"/>
        <w:ind w:left="360" w:right="331"/>
        <w:rPr>
          <w:color w:val="000000" w:themeColor="text1"/>
        </w:rPr>
      </w:pPr>
      <w:r w:rsidRPr="00246D61">
        <w:rPr>
          <w:color w:val="000000" w:themeColor="text1"/>
        </w:rPr>
        <w:t>An applicant may be required to submit to FDA proprietary trade secrets or other confidential information when submitting a drug or biological product license application or supplement. FDA has instituted security measures to protect confidential information received from manufacturers and will, to the extent permitted by law, protect this information.</w:t>
      </w:r>
    </w:p>
    <w:p w:rsidR="00A11E9C" w:rsidRPr="00246D61" w:rsidP="00A11E9C" w14:paraId="77FA1F2B" w14:textId="77777777">
      <w:pPr>
        <w:pStyle w:val="BodyText"/>
        <w:spacing w:after="0"/>
        <w:ind w:right="331"/>
        <w:rPr>
          <w:color w:val="000000" w:themeColor="text1"/>
        </w:rPr>
      </w:pPr>
    </w:p>
    <w:p w:rsidR="00357C8A" w:rsidRPr="00A11E9C" w:rsidP="00A11E9C" w14:paraId="0DC01CC6" w14:textId="7BAEA06C">
      <w:pPr>
        <w:numPr>
          <w:ilvl w:val="0"/>
          <w:numId w:val="6"/>
        </w:numPr>
        <w:rPr>
          <w:rFonts w:eastAsia="Calibri"/>
          <w:color w:val="000000" w:themeColor="text1"/>
        </w:rPr>
      </w:pPr>
      <w:r w:rsidRPr="00246D61">
        <w:rPr>
          <w:rFonts w:eastAsia="Calibri"/>
          <w:color w:val="000000" w:themeColor="text1"/>
          <w:u w:val="single"/>
        </w:rPr>
        <w:t>Comments in Response to the Federal Register Notice and Efforts to Consult Outside the Agency</w:t>
      </w:r>
    </w:p>
    <w:p w:rsidR="00A11E9C" w:rsidRPr="00246D61" w:rsidP="00A11E9C" w14:paraId="754D45EB" w14:textId="77777777">
      <w:pPr>
        <w:ind w:left="360"/>
        <w:rPr>
          <w:rFonts w:eastAsia="Calibri"/>
          <w:color w:val="000000" w:themeColor="text1"/>
        </w:rPr>
      </w:pPr>
    </w:p>
    <w:p w:rsidR="000D1B52" w:rsidP="004D7D36" w14:paraId="1E1C8EA1" w14:textId="58F3FE23">
      <w:pPr>
        <w:pStyle w:val="BodyText"/>
        <w:spacing w:after="0"/>
        <w:ind w:left="360"/>
      </w:pPr>
      <w:r w:rsidRPr="00246D61">
        <w:rPr>
          <w:color w:val="000000" w:themeColor="text1"/>
        </w:rPr>
        <w:t xml:space="preserve">In accordance with 5 CFR 1320.8 (d), </w:t>
      </w:r>
      <w:r w:rsidRPr="00246D61" w:rsidR="003722AA">
        <w:rPr>
          <w:color w:val="000000" w:themeColor="text1"/>
        </w:rPr>
        <w:t xml:space="preserve">we </w:t>
      </w:r>
      <w:r w:rsidRPr="00246D61">
        <w:rPr>
          <w:color w:val="000000" w:themeColor="text1"/>
        </w:rPr>
        <w:t xml:space="preserve">published a 60-day notice for comment in the </w:t>
      </w:r>
      <w:r w:rsidRPr="00246D61">
        <w:rPr>
          <w:i/>
          <w:color w:val="000000" w:themeColor="text1"/>
          <w:u w:color="000000"/>
        </w:rPr>
        <w:t>Federal</w:t>
      </w:r>
      <w:r w:rsidRPr="00246D61">
        <w:rPr>
          <w:i/>
          <w:color w:val="000000" w:themeColor="text1"/>
        </w:rPr>
        <w:t xml:space="preserve"> </w:t>
      </w:r>
      <w:r w:rsidRPr="00246D61">
        <w:rPr>
          <w:i/>
          <w:color w:val="000000" w:themeColor="text1"/>
          <w:u w:color="000000"/>
        </w:rPr>
        <w:t>Register</w:t>
      </w:r>
      <w:r w:rsidRPr="00246D61">
        <w:rPr>
          <w:color w:val="000000" w:themeColor="text1"/>
          <w:u w:color="000000"/>
        </w:rPr>
        <w:t xml:space="preserve"> </w:t>
      </w:r>
      <w:r w:rsidRPr="00246D61">
        <w:rPr>
          <w:color w:val="000000" w:themeColor="text1"/>
        </w:rPr>
        <w:t xml:space="preserve">of </w:t>
      </w:r>
      <w:r w:rsidR="009D73C2">
        <w:t>January 8, 2024</w:t>
      </w:r>
      <w:r w:rsidRPr="005F30C2" w:rsidR="009D73C2">
        <w:t xml:space="preserve"> (</w:t>
      </w:r>
      <w:r w:rsidR="009D73C2">
        <w:t>89</w:t>
      </w:r>
      <w:r w:rsidRPr="005F30C2" w:rsidR="009D73C2">
        <w:t xml:space="preserve"> FR </w:t>
      </w:r>
      <w:r w:rsidR="009D73C2">
        <w:t>11011</w:t>
      </w:r>
      <w:r w:rsidRPr="005F30C2" w:rsidR="009D73C2">
        <w:t>)</w:t>
      </w:r>
      <w:r w:rsidR="009D73C2">
        <w:t xml:space="preserve">. </w:t>
      </w:r>
      <w:r w:rsidR="00A11E9C">
        <w:t xml:space="preserve">Although one comment was received, it was not responsive to the four collection of information topics solicited. </w:t>
      </w:r>
    </w:p>
    <w:p w:rsidR="00A11E9C" w:rsidRPr="00246D61" w:rsidP="00A11E9C" w14:paraId="430098D6" w14:textId="77777777">
      <w:pPr>
        <w:pStyle w:val="BodyText"/>
        <w:spacing w:after="0"/>
        <w:rPr>
          <w:color w:val="000000" w:themeColor="text1"/>
        </w:rPr>
      </w:pPr>
    </w:p>
    <w:p w:rsidR="00357C8A" w:rsidRPr="00A11E9C" w:rsidP="00A11E9C" w14:paraId="489880E4" w14:textId="4235DE03">
      <w:pPr>
        <w:numPr>
          <w:ilvl w:val="0"/>
          <w:numId w:val="6"/>
        </w:numPr>
        <w:rPr>
          <w:rFonts w:eastAsia="Calibri"/>
          <w:color w:val="000000" w:themeColor="text1"/>
        </w:rPr>
      </w:pPr>
      <w:r w:rsidRPr="00246D61">
        <w:rPr>
          <w:rFonts w:eastAsia="Calibri"/>
          <w:color w:val="000000" w:themeColor="text1"/>
          <w:u w:val="single"/>
        </w:rPr>
        <w:t>Explanation of Any Payment or Gift to Respondents</w:t>
      </w:r>
    </w:p>
    <w:p w:rsidR="00A11E9C" w:rsidRPr="00246D61" w:rsidP="00A11E9C" w14:paraId="2792E358" w14:textId="77777777">
      <w:pPr>
        <w:ind w:left="360"/>
        <w:rPr>
          <w:rFonts w:eastAsia="Calibri"/>
          <w:color w:val="000000" w:themeColor="text1"/>
        </w:rPr>
      </w:pPr>
    </w:p>
    <w:p w:rsidR="000D1B52" w:rsidP="004D7D36" w14:paraId="1D9592D5" w14:textId="49288108">
      <w:pPr>
        <w:ind w:firstLine="360"/>
        <w:rPr>
          <w:rFonts w:eastAsia="Calibri"/>
          <w:color w:val="000000" w:themeColor="text1"/>
        </w:rPr>
      </w:pPr>
      <w:r w:rsidRPr="00246D61">
        <w:rPr>
          <w:rFonts w:eastAsia="Calibri"/>
          <w:color w:val="000000" w:themeColor="text1"/>
        </w:rPr>
        <w:t>There are no incentives, payments or gifts associated with this information collection.</w:t>
      </w:r>
    </w:p>
    <w:p w:rsidR="00A11E9C" w:rsidRPr="00246D61" w:rsidP="00A11E9C" w14:paraId="31EAF67C" w14:textId="77777777">
      <w:pPr>
        <w:rPr>
          <w:rFonts w:eastAsia="Calibri"/>
          <w:color w:val="000000" w:themeColor="text1"/>
        </w:rPr>
      </w:pPr>
    </w:p>
    <w:p w:rsidR="00357C8A" w:rsidRPr="00246D61" w:rsidP="000D1B52" w14:paraId="0E2EAD5B" w14:textId="77777777">
      <w:pPr>
        <w:numPr>
          <w:ilvl w:val="0"/>
          <w:numId w:val="6"/>
        </w:numPr>
        <w:spacing w:after="200"/>
        <w:rPr>
          <w:rFonts w:eastAsia="Calibri"/>
          <w:color w:val="000000" w:themeColor="text1"/>
        </w:rPr>
      </w:pPr>
      <w:r w:rsidRPr="00246D61">
        <w:rPr>
          <w:rFonts w:eastAsia="Calibri"/>
          <w:color w:val="000000" w:themeColor="text1"/>
          <w:u w:val="single"/>
        </w:rPr>
        <w:t>Assurance of Confidentiality Provided to Respondents</w:t>
      </w:r>
    </w:p>
    <w:p w:rsidR="000D1B52" w:rsidRPr="00246D61" w:rsidP="004D7D36" w14:paraId="2FBD2379" w14:textId="1041170B">
      <w:pPr>
        <w:ind w:left="360"/>
        <w:rPr>
          <w:color w:val="000000" w:themeColor="text1"/>
        </w:rPr>
      </w:pPr>
      <w:r w:rsidRPr="00246D61">
        <w:rPr>
          <w:color w:val="000000" w:themeColor="text1"/>
        </w:rPr>
        <w:t xml:space="preserve">In preparing this </w:t>
      </w:r>
      <w:r w:rsidRPr="00246D61" w:rsidR="00262C66">
        <w:rPr>
          <w:color w:val="000000" w:themeColor="text1"/>
        </w:rPr>
        <w:t>s</w:t>
      </w:r>
      <w:r w:rsidRPr="00246D61">
        <w:rPr>
          <w:color w:val="000000" w:themeColor="text1"/>
        </w:rPr>
        <w:t xml:space="preserve">upporting </w:t>
      </w:r>
      <w:r w:rsidRPr="00246D61" w:rsidR="00262C66">
        <w:rPr>
          <w:color w:val="000000" w:themeColor="text1"/>
        </w:rPr>
        <w:t>s</w:t>
      </w:r>
      <w:r w:rsidRPr="00246D61">
        <w:rPr>
          <w:color w:val="000000" w:themeColor="text1"/>
        </w:rPr>
        <w:t>tatement, we consulted our Privacy Office to ensure appropriate identification and handling of information collected.</w:t>
      </w:r>
    </w:p>
    <w:p w:rsidR="000D1B52" w:rsidRPr="00246D61" w:rsidP="000D1B52" w14:paraId="0606A144" w14:textId="77777777">
      <w:pPr>
        <w:rPr>
          <w:color w:val="000000" w:themeColor="text1"/>
        </w:rPr>
      </w:pPr>
    </w:p>
    <w:p w:rsidR="000D1B52" w:rsidRPr="00246D61" w:rsidP="004D7D36" w14:paraId="1A60CA24" w14:textId="24157739">
      <w:pPr>
        <w:ind w:left="360"/>
        <w:rPr>
          <w:color w:val="000000" w:themeColor="text1"/>
        </w:rPr>
      </w:pPr>
      <w:r w:rsidRPr="00246D61">
        <w:rPr>
          <w:color w:val="000000" w:themeColor="text1"/>
        </w:rPr>
        <w:t>This ICR collects personally identifiable information (PII)</w:t>
      </w:r>
      <w:r w:rsidRPr="00246D61" w:rsidR="00646303">
        <w:rPr>
          <w:color w:val="000000" w:themeColor="text1"/>
        </w:rPr>
        <w:t xml:space="preserve">. </w:t>
      </w:r>
      <w:r w:rsidRPr="00246D61">
        <w:rPr>
          <w:color w:val="000000" w:themeColor="text1"/>
        </w:rPr>
        <w:t xml:space="preserve">PII is collected in the context of the subject individuals’ professional capacity and the FDA-related work they perform for their employer (e.g., point of contact at a regulated entity).  The PII submitted </w:t>
      </w:r>
      <w:r w:rsidRPr="00246D61" w:rsidR="00262C66">
        <w:rPr>
          <w:color w:val="000000" w:themeColor="text1"/>
        </w:rPr>
        <w:t xml:space="preserve">using </w:t>
      </w:r>
      <w:r w:rsidRPr="00246D61">
        <w:rPr>
          <w:color w:val="000000" w:themeColor="text1"/>
        </w:rPr>
        <w:t>Form 356h</w:t>
      </w:r>
      <w:r w:rsidRPr="00246D61" w:rsidR="00C42ACF">
        <w:rPr>
          <w:color w:val="000000" w:themeColor="text1"/>
        </w:rPr>
        <w:t xml:space="preserve"> </w:t>
      </w:r>
      <w:r w:rsidRPr="00246D61" w:rsidR="00262C66">
        <w:rPr>
          <w:color w:val="000000" w:themeColor="text1"/>
        </w:rPr>
        <w:t>“</w:t>
      </w:r>
      <w:r w:rsidRPr="00246D61">
        <w:rPr>
          <w:color w:val="000000" w:themeColor="text1"/>
        </w:rPr>
        <w:t>Application to Market a New or Abbreviated New Drug for Human Use</w:t>
      </w:r>
      <w:r w:rsidRPr="00246D61" w:rsidR="00262C66">
        <w:rPr>
          <w:color w:val="000000" w:themeColor="text1"/>
        </w:rPr>
        <w:t>”</w:t>
      </w:r>
      <w:r w:rsidRPr="00246D61" w:rsidR="00646303">
        <w:rPr>
          <w:color w:val="000000" w:themeColor="text1"/>
        </w:rPr>
        <w:t xml:space="preserve"> and Form 1571 “Investigational New Drug Application” (IND)</w:t>
      </w:r>
      <w:r w:rsidRPr="00246D61" w:rsidR="00262C66">
        <w:rPr>
          <w:color w:val="000000" w:themeColor="text1"/>
        </w:rPr>
        <w:t xml:space="preserve"> includes</w:t>
      </w:r>
      <w:r w:rsidRPr="00246D61">
        <w:rPr>
          <w:color w:val="000000" w:themeColor="text1"/>
        </w:rPr>
        <w:t xml:space="preserve"> name, work email address, work telephone numbers, work fax number</w:t>
      </w:r>
      <w:r w:rsidRPr="00246D61" w:rsidR="00646303">
        <w:rPr>
          <w:color w:val="000000" w:themeColor="text1"/>
        </w:rPr>
        <w:t xml:space="preserve">, and </w:t>
      </w:r>
      <w:r w:rsidRPr="00246D61" w:rsidR="00154DE6">
        <w:rPr>
          <w:color w:val="000000" w:themeColor="text1"/>
        </w:rPr>
        <w:t xml:space="preserve">applicant </w:t>
      </w:r>
      <w:r w:rsidRPr="00246D61" w:rsidR="00646303">
        <w:rPr>
          <w:color w:val="000000" w:themeColor="text1"/>
        </w:rPr>
        <w:t xml:space="preserve">DUNS number </w:t>
      </w:r>
      <w:r w:rsidRPr="00246D61">
        <w:rPr>
          <w:color w:val="000000" w:themeColor="text1"/>
        </w:rPr>
        <w:t xml:space="preserve">for the primary contact at a business. </w:t>
      </w:r>
      <w:r w:rsidRPr="00246D61" w:rsidR="00262C66">
        <w:rPr>
          <w:color w:val="000000" w:themeColor="text1"/>
        </w:rPr>
        <w:t xml:space="preserve"> </w:t>
      </w:r>
      <w:r w:rsidRPr="00246D61">
        <w:rPr>
          <w:color w:val="000000" w:themeColor="text1"/>
        </w:rPr>
        <w:t xml:space="preserve">The PII submitted </w:t>
      </w:r>
      <w:r w:rsidRPr="00246D61" w:rsidR="00262C66">
        <w:rPr>
          <w:color w:val="000000" w:themeColor="text1"/>
        </w:rPr>
        <w:t xml:space="preserve">using </w:t>
      </w:r>
      <w:r w:rsidRPr="00246D61">
        <w:rPr>
          <w:color w:val="000000" w:themeColor="text1"/>
        </w:rPr>
        <w:t xml:space="preserve">Form 1572 </w:t>
      </w:r>
      <w:r w:rsidRPr="00246D61" w:rsidR="00262C66">
        <w:rPr>
          <w:color w:val="000000" w:themeColor="text1"/>
        </w:rPr>
        <w:t>“</w:t>
      </w:r>
      <w:r w:rsidRPr="00246D61">
        <w:rPr>
          <w:color w:val="000000" w:themeColor="text1"/>
        </w:rPr>
        <w:t>Statement of Investigator</w:t>
      </w:r>
      <w:r w:rsidRPr="00246D61" w:rsidR="00262C66">
        <w:rPr>
          <w:color w:val="000000" w:themeColor="text1"/>
        </w:rPr>
        <w:t>” includes</w:t>
      </w:r>
      <w:r w:rsidRPr="00246D61">
        <w:rPr>
          <w:color w:val="000000" w:themeColor="text1"/>
        </w:rPr>
        <w:t xml:space="preserve"> name, and work email address for the primary contact at a business.  </w:t>
      </w:r>
      <w:r w:rsidRPr="00246D61" w:rsidR="00262C66">
        <w:rPr>
          <w:color w:val="000000" w:themeColor="text1"/>
        </w:rPr>
        <w:t>O</w:t>
      </w:r>
      <w:r w:rsidRPr="00246D61">
        <w:rPr>
          <w:color w:val="000000" w:themeColor="text1"/>
        </w:rPr>
        <w:t xml:space="preserve">ther </w:t>
      </w:r>
      <w:r w:rsidRPr="00246D61" w:rsidR="00262C66">
        <w:rPr>
          <w:color w:val="000000" w:themeColor="text1"/>
        </w:rPr>
        <w:t xml:space="preserve">potential </w:t>
      </w:r>
      <w:r w:rsidRPr="00246D61">
        <w:rPr>
          <w:color w:val="000000" w:themeColor="text1"/>
        </w:rPr>
        <w:t xml:space="preserve">PII submitted </w:t>
      </w:r>
      <w:r w:rsidRPr="00246D61" w:rsidR="00262C66">
        <w:rPr>
          <w:color w:val="000000" w:themeColor="text1"/>
        </w:rPr>
        <w:t>using</w:t>
      </w:r>
      <w:r w:rsidRPr="00246D61">
        <w:rPr>
          <w:color w:val="000000" w:themeColor="text1"/>
        </w:rPr>
        <w:t xml:space="preserve"> Forms 356h, 1571 and 1572 </w:t>
      </w:r>
      <w:r w:rsidRPr="00246D61" w:rsidR="00262C66">
        <w:rPr>
          <w:color w:val="000000" w:themeColor="text1"/>
        </w:rPr>
        <w:t xml:space="preserve">include </w:t>
      </w:r>
      <w:r w:rsidRPr="00246D61">
        <w:rPr>
          <w:color w:val="000000" w:themeColor="text1"/>
        </w:rPr>
        <w:t>identifying job title, credentials</w:t>
      </w:r>
      <w:r w:rsidRPr="00246D61" w:rsidR="00262C66">
        <w:rPr>
          <w:color w:val="000000" w:themeColor="text1"/>
        </w:rPr>
        <w:t>,</w:t>
      </w:r>
      <w:r w:rsidRPr="00246D61">
        <w:rPr>
          <w:color w:val="000000" w:themeColor="text1"/>
        </w:rPr>
        <w:t xml:space="preserve"> and the country of the contact.</w:t>
      </w:r>
      <w:r w:rsidRPr="00246D61" w:rsidR="00154DE6">
        <w:rPr>
          <w:color w:val="000000" w:themeColor="text1"/>
        </w:rPr>
        <w:t xml:space="preserve"> FDA determined that although PII is collected, the collection is </w:t>
      </w:r>
      <w:r w:rsidRPr="00246D61" w:rsidR="00154DE6">
        <w:rPr>
          <w:color w:val="000000" w:themeColor="text1"/>
        </w:rPr>
        <w:t>not subject to the Privacy Act of 1974 and the particular notice and other requirements of the Act do not apply. Specifically, FDA does not use name or any other personal identifier to retrieve records from the information collected. Through appropriate form and webpage design, FDA limited submission fields and minimized the PII collected to protect the privacy of the individuals.</w:t>
      </w:r>
    </w:p>
    <w:p w:rsidR="000D1B52" w:rsidRPr="00246D61" w:rsidP="000D1B52" w14:paraId="0E377EE7" w14:textId="77777777">
      <w:pPr>
        <w:rPr>
          <w:color w:val="000000" w:themeColor="text1"/>
        </w:rPr>
      </w:pPr>
    </w:p>
    <w:p w:rsidR="000D1B52" w:rsidRPr="00246D61" w:rsidP="004D7D36" w14:paraId="020C23C3" w14:textId="20ADA16A">
      <w:pPr>
        <w:ind w:left="360"/>
        <w:rPr>
          <w:color w:val="000000" w:themeColor="text1"/>
        </w:rPr>
      </w:pPr>
      <w:r w:rsidRPr="00246D61">
        <w:rPr>
          <w:color w:val="000000" w:themeColor="text1"/>
        </w:rPr>
        <w:t xml:space="preserve">Under the Freedom of Information Act (FOIA) (5 U.S.C. 552), the public has broad access to government documents. </w:t>
      </w:r>
      <w:r w:rsidRPr="00246D61" w:rsidR="00262C66">
        <w:rPr>
          <w:color w:val="000000" w:themeColor="text1"/>
        </w:rPr>
        <w:t xml:space="preserve"> </w:t>
      </w:r>
      <w:r w:rsidRPr="00246D61">
        <w:rPr>
          <w:color w:val="000000" w:themeColor="text1"/>
        </w:rPr>
        <w:t xml:space="preserve">However, FOIA provides certain exemptions from mandatory public disclosure of government records (5 U.S.C. 552(b)(1-9)).  FDA will make the fullest possible disclosure of records to the public, consistent with the rights of individuals to privacy, </w:t>
      </w:r>
      <w:r w:rsidRPr="00EB50C2">
        <w:rPr>
          <w:color w:val="000000" w:themeColor="text1"/>
        </w:rPr>
        <w:t>the property rights of persons in trade and confidential commercial or financial information.</w:t>
      </w:r>
      <w:r w:rsidRPr="00EB50C2" w:rsidR="00EB50C2">
        <w:rPr>
          <w:color w:val="000000"/>
          <w:shd w:val="clear" w:color="auto" w:fill="FFFFFF"/>
        </w:rPr>
        <w:t xml:space="preserve"> Data will be kept private to the extent allowed by law</w:t>
      </w:r>
      <w:r w:rsidRPr="00EB50C2" w:rsidR="00EB50C2">
        <w:rPr>
          <w:color w:val="000000" w:themeColor="text1"/>
        </w:rPr>
        <w:t>.</w:t>
      </w:r>
    </w:p>
    <w:p w:rsidR="000D1B52" w:rsidRPr="00246D61" w:rsidP="000D1B52" w14:paraId="26C49A07" w14:textId="77777777">
      <w:pPr>
        <w:pStyle w:val="BodyText"/>
        <w:ind w:right="101"/>
        <w:rPr>
          <w:color w:val="000000" w:themeColor="text1"/>
        </w:rPr>
      </w:pPr>
    </w:p>
    <w:p w:rsidR="00357C8A" w:rsidRPr="00246D61" w:rsidP="006705EA" w14:paraId="771F6107" w14:textId="1AD14D68">
      <w:pPr>
        <w:numPr>
          <w:ilvl w:val="0"/>
          <w:numId w:val="6"/>
        </w:numPr>
        <w:spacing w:after="200" w:line="276" w:lineRule="auto"/>
        <w:rPr>
          <w:rFonts w:eastAsia="Calibri"/>
          <w:color w:val="000000" w:themeColor="text1"/>
        </w:rPr>
      </w:pPr>
      <w:r w:rsidRPr="00246D61">
        <w:rPr>
          <w:rFonts w:eastAsia="Calibri"/>
          <w:color w:val="000000" w:themeColor="text1"/>
          <w:u w:val="single"/>
        </w:rPr>
        <w:t>Justification for Sensitive Questions</w:t>
      </w:r>
    </w:p>
    <w:p w:rsidR="00357C8A" w:rsidRPr="00246D61" w:rsidP="004D7D36" w14:paraId="09DA5357" w14:textId="77777777">
      <w:pPr>
        <w:spacing w:after="200"/>
        <w:ind w:firstLine="360"/>
        <w:rPr>
          <w:rFonts w:eastAsia="Calibri"/>
          <w:color w:val="000000" w:themeColor="text1"/>
        </w:rPr>
      </w:pPr>
      <w:r w:rsidRPr="00246D61">
        <w:rPr>
          <w:rFonts w:eastAsia="Calibri"/>
          <w:color w:val="000000" w:themeColor="text1"/>
        </w:rPr>
        <w:t>The collection of information does not involve sensitive questions.</w:t>
      </w:r>
    </w:p>
    <w:p w:rsidR="00357C8A" w:rsidRPr="00246D61" w:rsidP="006705EA" w14:paraId="17BBE595" w14:textId="5D3298E1">
      <w:pPr>
        <w:numPr>
          <w:ilvl w:val="0"/>
          <w:numId w:val="6"/>
        </w:numPr>
        <w:spacing w:after="200" w:line="276" w:lineRule="auto"/>
        <w:rPr>
          <w:rFonts w:eastAsia="Calibri"/>
          <w:color w:val="000000" w:themeColor="text1"/>
          <w:u w:val="single"/>
        </w:rPr>
      </w:pPr>
      <w:r w:rsidRPr="00246D61">
        <w:rPr>
          <w:rFonts w:eastAsia="Calibri"/>
          <w:color w:val="000000" w:themeColor="text1"/>
          <w:u w:val="single"/>
        </w:rPr>
        <w:t>Estimates of Annualized Burden Hours and Cost</w:t>
      </w:r>
    </w:p>
    <w:p w:rsidR="003055AA" w:rsidRPr="00246D61" w:rsidP="003055AA" w14:paraId="7C1A7928" w14:textId="6E53FE9F">
      <w:pPr>
        <w:tabs>
          <w:tab w:val="center" w:pos="4860"/>
        </w:tabs>
        <w:spacing w:after="200"/>
        <w:ind w:left="360"/>
        <w:rPr>
          <w:rFonts w:eastAsia="Calibri"/>
          <w:i/>
          <w:iCs/>
          <w:color w:val="000000" w:themeColor="text1"/>
        </w:rPr>
      </w:pPr>
      <w:r w:rsidRPr="00246D61">
        <w:rPr>
          <w:rFonts w:eastAsia="Calibri"/>
          <w:i/>
          <w:iCs/>
          <w:color w:val="000000" w:themeColor="text1"/>
        </w:rPr>
        <w:t>12a.  Annualized Hour Burden Estimate</w:t>
      </w:r>
      <w:r w:rsidRPr="00246D61">
        <w:rPr>
          <w:rFonts w:eastAsia="Calibri"/>
          <w:i/>
          <w:iCs/>
          <w:color w:val="000000" w:themeColor="text1"/>
        </w:rPr>
        <w:tab/>
      </w:r>
    </w:p>
    <w:p w:rsidR="009B4419" w:rsidRPr="00C933A1" w:rsidP="009B4419" w14:paraId="5719FC72" w14:textId="77777777">
      <w:pPr>
        <w:keepNext/>
        <w:spacing w:after="200"/>
        <w:ind w:left="360"/>
        <w:jc w:val="center"/>
        <w:rPr>
          <w:rFonts w:eastAsia="Calibri"/>
          <w:color w:val="000000" w:themeColor="text1"/>
          <w:sz w:val="20"/>
          <w:szCs w:val="20"/>
        </w:rPr>
      </w:pPr>
      <w:bookmarkStart w:id="0" w:name="_Hlk141086956"/>
      <w:r w:rsidRPr="00C933A1">
        <w:rPr>
          <w:rFonts w:eastAsia="Calibri"/>
          <w:color w:val="000000" w:themeColor="text1"/>
          <w:sz w:val="20"/>
          <w:szCs w:val="20"/>
        </w:rPr>
        <w:t>Table 1.--Estimated Annual Reporting Burden</w:t>
      </w:r>
      <w:r w:rsidRPr="00C933A1">
        <w:rPr>
          <w:rFonts w:eastAsia="Calibri"/>
          <w:color w:val="000000" w:themeColor="text1"/>
          <w:sz w:val="20"/>
          <w:szCs w:val="20"/>
          <w:vertAlign w:val="superscript"/>
        </w:rPr>
        <w:t>1</w:t>
      </w:r>
    </w:p>
    <w:tbl>
      <w:tblPr>
        <w:tblW w:w="50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2155"/>
        <w:gridCol w:w="1481"/>
        <w:gridCol w:w="1383"/>
        <w:gridCol w:w="1621"/>
        <w:gridCol w:w="1602"/>
        <w:gridCol w:w="1203"/>
      </w:tblGrid>
      <w:tr w14:paraId="46351820" w14:textId="77777777" w:rsidTr="006016FF">
        <w:tblPrEx>
          <w:tblW w:w="50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Ex>
        <w:trPr>
          <w:trHeight w:hRule="exact" w:val="930"/>
        </w:trPr>
        <w:tc>
          <w:tcPr>
            <w:tcW w:w="1141" w:type="pct"/>
            <w:tcBorders>
              <w:bottom w:val="single" w:sz="4" w:space="0" w:color="000000"/>
            </w:tcBorders>
          </w:tcPr>
          <w:p w:rsidR="009B4419" w:rsidRPr="00C933A1" w:rsidP="006016FF" w14:paraId="1AF69196" w14:textId="77777777">
            <w:pPr>
              <w:spacing w:after="200"/>
              <w:jc w:val="center"/>
              <w:rPr>
                <w:rFonts w:eastAsia="Calibri"/>
                <w:color w:val="000000" w:themeColor="text1"/>
                <w:sz w:val="20"/>
                <w:szCs w:val="20"/>
              </w:rPr>
            </w:pPr>
            <w:r w:rsidRPr="00C933A1">
              <w:rPr>
                <w:rFonts w:eastAsia="Calibri"/>
                <w:color w:val="000000" w:themeColor="text1"/>
                <w:sz w:val="20"/>
                <w:szCs w:val="20"/>
              </w:rPr>
              <w:t>Activity</w:t>
            </w:r>
          </w:p>
        </w:tc>
        <w:tc>
          <w:tcPr>
            <w:tcW w:w="784" w:type="pct"/>
            <w:tcBorders>
              <w:bottom w:val="single" w:sz="4" w:space="0" w:color="000000"/>
            </w:tcBorders>
          </w:tcPr>
          <w:p w:rsidR="009B4419" w:rsidRPr="00C933A1" w:rsidP="006016FF" w14:paraId="003BD7C0" w14:textId="77777777">
            <w:pPr>
              <w:spacing w:after="200"/>
              <w:ind w:left="360"/>
              <w:jc w:val="center"/>
              <w:rPr>
                <w:rFonts w:eastAsia="Calibri"/>
                <w:color w:val="000000" w:themeColor="text1"/>
                <w:sz w:val="20"/>
                <w:szCs w:val="20"/>
              </w:rPr>
            </w:pPr>
            <w:r w:rsidRPr="00C933A1">
              <w:rPr>
                <w:rFonts w:eastAsia="Calibri"/>
                <w:color w:val="000000" w:themeColor="text1"/>
                <w:sz w:val="20"/>
                <w:szCs w:val="20"/>
              </w:rPr>
              <w:t>No. of Respondents</w:t>
            </w:r>
          </w:p>
        </w:tc>
        <w:tc>
          <w:tcPr>
            <w:tcW w:w="732" w:type="pct"/>
            <w:tcBorders>
              <w:bottom w:val="single" w:sz="4" w:space="0" w:color="000000"/>
            </w:tcBorders>
          </w:tcPr>
          <w:p w:rsidR="009B4419" w:rsidRPr="00C933A1" w:rsidP="006016FF" w14:paraId="12D09354" w14:textId="77777777">
            <w:pPr>
              <w:spacing w:after="200"/>
              <w:ind w:left="360"/>
              <w:jc w:val="center"/>
              <w:rPr>
                <w:rFonts w:eastAsia="Calibri"/>
                <w:color w:val="000000" w:themeColor="text1"/>
                <w:sz w:val="20"/>
                <w:szCs w:val="20"/>
              </w:rPr>
            </w:pPr>
            <w:r w:rsidRPr="00C933A1">
              <w:rPr>
                <w:rFonts w:eastAsia="Calibri"/>
                <w:color w:val="000000" w:themeColor="text1"/>
                <w:sz w:val="20"/>
                <w:szCs w:val="20"/>
              </w:rPr>
              <w:t>No of Responses per Respondent</w:t>
            </w:r>
          </w:p>
        </w:tc>
        <w:tc>
          <w:tcPr>
            <w:tcW w:w="858" w:type="pct"/>
            <w:tcBorders>
              <w:bottom w:val="single" w:sz="4" w:space="0" w:color="000000"/>
            </w:tcBorders>
          </w:tcPr>
          <w:p w:rsidR="009B4419" w:rsidRPr="00C933A1" w:rsidP="006016FF" w14:paraId="66B0C84B" w14:textId="77777777">
            <w:pPr>
              <w:spacing w:after="200"/>
              <w:ind w:left="360"/>
              <w:jc w:val="center"/>
              <w:rPr>
                <w:rFonts w:eastAsia="Calibri"/>
                <w:color w:val="000000" w:themeColor="text1"/>
                <w:sz w:val="20"/>
                <w:szCs w:val="20"/>
              </w:rPr>
            </w:pPr>
            <w:r w:rsidRPr="00C933A1">
              <w:rPr>
                <w:rFonts w:eastAsia="Calibri"/>
                <w:color w:val="000000" w:themeColor="text1"/>
                <w:sz w:val="20"/>
                <w:szCs w:val="20"/>
              </w:rPr>
              <w:t>Total Annual Responses</w:t>
            </w:r>
          </w:p>
        </w:tc>
        <w:tc>
          <w:tcPr>
            <w:tcW w:w="848" w:type="pct"/>
            <w:tcBorders>
              <w:bottom w:val="single" w:sz="4" w:space="0" w:color="000000"/>
            </w:tcBorders>
          </w:tcPr>
          <w:p w:rsidR="009B4419" w:rsidRPr="00C933A1" w:rsidP="006016FF" w14:paraId="2700D818" w14:textId="77777777">
            <w:pPr>
              <w:spacing w:after="200"/>
              <w:ind w:left="360"/>
              <w:jc w:val="center"/>
              <w:rPr>
                <w:rFonts w:eastAsia="Calibri"/>
                <w:color w:val="000000" w:themeColor="text1"/>
                <w:sz w:val="20"/>
                <w:szCs w:val="20"/>
              </w:rPr>
            </w:pPr>
            <w:r w:rsidRPr="00C933A1">
              <w:rPr>
                <w:rFonts w:eastAsia="Calibri"/>
                <w:color w:val="000000" w:themeColor="text1"/>
                <w:sz w:val="20"/>
                <w:szCs w:val="20"/>
              </w:rPr>
              <w:t>Average Burden per Response</w:t>
            </w:r>
          </w:p>
        </w:tc>
        <w:tc>
          <w:tcPr>
            <w:tcW w:w="637" w:type="pct"/>
          </w:tcPr>
          <w:p w:rsidR="009B4419" w:rsidRPr="00C933A1" w:rsidP="006016FF" w14:paraId="666EDD85" w14:textId="77777777">
            <w:pPr>
              <w:spacing w:after="200"/>
              <w:ind w:left="360"/>
              <w:jc w:val="center"/>
              <w:rPr>
                <w:rFonts w:eastAsia="Calibri"/>
                <w:color w:val="000000" w:themeColor="text1"/>
                <w:sz w:val="20"/>
                <w:szCs w:val="20"/>
              </w:rPr>
            </w:pPr>
            <w:r w:rsidRPr="00C933A1">
              <w:rPr>
                <w:rFonts w:eastAsia="Calibri"/>
                <w:color w:val="000000" w:themeColor="text1"/>
                <w:sz w:val="20"/>
                <w:szCs w:val="20"/>
              </w:rPr>
              <w:t>Total Hours</w:t>
            </w:r>
          </w:p>
        </w:tc>
      </w:tr>
      <w:tr w14:paraId="614EF463" w14:textId="77777777" w:rsidTr="006016FF">
        <w:tblPrEx>
          <w:tblW w:w="5051" w:type="pct"/>
          <w:tblCellMar>
            <w:left w:w="0" w:type="dxa"/>
            <w:right w:w="0" w:type="dxa"/>
          </w:tblCellMar>
          <w:tblLook w:val="0000"/>
        </w:tblPrEx>
        <w:trPr>
          <w:trHeight w:hRule="exact" w:val="352"/>
        </w:trPr>
        <w:tc>
          <w:tcPr>
            <w:tcW w:w="4363" w:type="pct"/>
            <w:gridSpan w:val="5"/>
          </w:tcPr>
          <w:p w:rsidR="009B4419" w:rsidRPr="00C933A1" w:rsidP="006016FF" w14:paraId="7DEB512C" w14:textId="77777777">
            <w:pPr>
              <w:spacing w:after="200"/>
              <w:ind w:left="360"/>
              <w:rPr>
                <w:rFonts w:eastAsia="Calibri"/>
                <w:b/>
                <w:bCs/>
                <w:color w:val="000000" w:themeColor="text1"/>
                <w:sz w:val="20"/>
                <w:szCs w:val="20"/>
              </w:rPr>
            </w:pPr>
            <w:r w:rsidRPr="00C933A1">
              <w:rPr>
                <w:rFonts w:eastAsia="Calibri"/>
                <w:color w:val="000000" w:themeColor="text1"/>
                <w:sz w:val="20"/>
                <w:szCs w:val="20"/>
              </w:rPr>
              <w:t>CDER</w:t>
            </w:r>
          </w:p>
        </w:tc>
        <w:tc>
          <w:tcPr>
            <w:tcW w:w="637" w:type="pct"/>
            <w:tcBorders>
              <w:left w:val="nil"/>
            </w:tcBorders>
          </w:tcPr>
          <w:p w:rsidR="009B4419" w:rsidRPr="00C933A1" w:rsidP="006016FF" w14:paraId="4796051D" w14:textId="77777777">
            <w:pPr>
              <w:spacing w:after="200"/>
              <w:ind w:left="360"/>
              <w:jc w:val="center"/>
              <w:rPr>
                <w:rFonts w:eastAsia="Calibri"/>
                <w:b/>
                <w:bCs/>
                <w:color w:val="000000" w:themeColor="text1"/>
                <w:sz w:val="20"/>
                <w:szCs w:val="20"/>
              </w:rPr>
            </w:pPr>
          </w:p>
        </w:tc>
      </w:tr>
      <w:tr w14:paraId="2336FBAA" w14:textId="77777777" w:rsidTr="006016FF">
        <w:tblPrEx>
          <w:tblW w:w="5051" w:type="pct"/>
          <w:tblCellMar>
            <w:left w:w="0" w:type="dxa"/>
            <w:right w:w="0" w:type="dxa"/>
          </w:tblCellMar>
          <w:tblLook w:val="0000"/>
        </w:tblPrEx>
        <w:trPr>
          <w:trHeight w:hRule="exact" w:val="1540"/>
        </w:trPr>
        <w:tc>
          <w:tcPr>
            <w:tcW w:w="1141" w:type="pct"/>
          </w:tcPr>
          <w:p w:rsidR="009B4419" w:rsidRPr="00C933A1" w:rsidP="006016FF" w14:paraId="2D02656A" w14:textId="1AE4FC33">
            <w:pPr>
              <w:spacing w:after="200"/>
              <w:rPr>
                <w:rFonts w:eastAsia="Calibri"/>
                <w:color w:val="000000" w:themeColor="text1"/>
                <w:sz w:val="20"/>
                <w:szCs w:val="20"/>
              </w:rPr>
            </w:pPr>
            <w:r w:rsidRPr="00C933A1">
              <w:rPr>
                <w:rFonts w:eastAsia="Calibri"/>
                <w:color w:val="000000" w:themeColor="text1"/>
                <w:sz w:val="20"/>
                <w:szCs w:val="20"/>
              </w:rPr>
              <w:t>Priority Review    Designation Requests</w:t>
            </w:r>
            <w:r>
              <w:rPr>
                <w:rFonts w:eastAsia="Calibri"/>
                <w:color w:val="000000" w:themeColor="text1"/>
                <w:sz w:val="20"/>
                <w:szCs w:val="20"/>
              </w:rPr>
              <w:t xml:space="preserve"> </w:t>
            </w:r>
            <w:r w:rsidRPr="00C933A1">
              <w:rPr>
                <w:rFonts w:eastAsia="Calibri"/>
                <w:color w:val="000000" w:themeColor="text1"/>
                <w:sz w:val="20"/>
                <w:szCs w:val="20"/>
              </w:rPr>
              <w:t xml:space="preserve">(Expedited Programs for Serious Conditions Guidance (EPSC) Section VIII)  </w:t>
            </w:r>
          </w:p>
        </w:tc>
        <w:tc>
          <w:tcPr>
            <w:tcW w:w="784" w:type="pct"/>
          </w:tcPr>
          <w:p w:rsidR="009B4419" w:rsidRPr="00C933A1" w:rsidP="006016FF" w14:paraId="4FF9591E"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81</w:t>
            </w:r>
          </w:p>
        </w:tc>
        <w:tc>
          <w:tcPr>
            <w:tcW w:w="732" w:type="pct"/>
          </w:tcPr>
          <w:p w:rsidR="009B4419" w:rsidRPr="00C933A1" w:rsidP="006016FF" w14:paraId="2BDCA3EC"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1.53</w:t>
            </w:r>
          </w:p>
        </w:tc>
        <w:tc>
          <w:tcPr>
            <w:tcW w:w="858" w:type="pct"/>
          </w:tcPr>
          <w:p w:rsidR="009B4419" w:rsidRPr="00C933A1" w:rsidP="006016FF" w14:paraId="4A896E46"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124</w:t>
            </w:r>
          </w:p>
        </w:tc>
        <w:tc>
          <w:tcPr>
            <w:tcW w:w="848" w:type="pct"/>
          </w:tcPr>
          <w:p w:rsidR="009B4419" w:rsidRPr="00C933A1" w:rsidP="006016FF" w14:paraId="15584F98"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30</w:t>
            </w:r>
          </w:p>
        </w:tc>
        <w:tc>
          <w:tcPr>
            <w:tcW w:w="637" w:type="pct"/>
          </w:tcPr>
          <w:p w:rsidR="009B4419" w:rsidRPr="00C933A1" w:rsidP="006016FF" w14:paraId="77F23DBA" w14:textId="77777777">
            <w:pPr>
              <w:tabs>
                <w:tab w:val="left" w:pos="672"/>
              </w:tabs>
              <w:spacing w:after="200"/>
              <w:ind w:left="360"/>
              <w:jc w:val="right"/>
              <w:rPr>
                <w:rFonts w:eastAsia="Calibri"/>
                <w:color w:val="000000" w:themeColor="text1"/>
                <w:sz w:val="20"/>
                <w:szCs w:val="20"/>
              </w:rPr>
            </w:pPr>
            <w:r w:rsidRPr="00C933A1">
              <w:rPr>
                <w:rFonts w:eastAsia="Calibri"/>
                <w:color w:val="000000" w:themeColor="text1"/>
                <w:sz w:val="20"/>
                <w:szCs w:val="20"/>
              </w:rPr>
              <w:tab/>
              <w:t>3,720</w:t>
            </w:r>
          </w:p>
        </w:tc>
      </w:tr>
      <w:tr w14:paraId="0271CA1C" w14:textId="77777777" w:rsidTr="006016FF">
        <w:tblPrEx>
          <w:tblW w:w="5051" w:type="pct"/>
          <w:tblCellMar>
            <w:left w:w="0" w:type="dxa"/>
            <w:right w:w="0" w:type="dxa"/>
          </w:tblCellMar>
          <w:tblLook w:val="0000"/>
        </w:tblPrEx>
        <w:trPr>
          <w:trHeight w:hRule="exact" w:val="811"/>
        </w:trPr>
        <w:tc>
          <w:tcPr>
            <w:tcW w:w="1141" w:type="pct"/>
          </w:tcPr>
          <w:p w:rsidR="009B4419" w:rsidRPr="00C933A1" w:rsidP="006016FF" w14:paraId="0F615C3D" w14:textId="557B8DFD">
            <w:pPr>
              <w:spacing w:after="200"/>
              <w:rPr>
                <w:rFonts w:eastAsia="Calibri"/>
                <w:color w:val="000000" w:themeColor="text1"/>
                <w:sz w:val="20"/>
                <w:szCs w:val="20"/>
              </w:rPr>
            </w:pPr>
            <w:r w:rsidRPr="00C933A1">
              <w:rPr>
                <w:rFonts w:eastAsia="Calibri"/>
                <w:color w:val="000000" w:themeColor="text1"/>
                <w:sz w:val="20"/>
                <w:szCs w:val="20"/>
              </w:rPr>
              <w:t>Breakthrough Therapy Designation Requests (EPSC Section VI)</w:t>
            </w:r>
          </w:p>
        </w:tc>
        <w:tc>
          <w:tcPr>
            <w:tcW w:w="784" w:type="pct"/>
          </w:tcPr>
          <w:p w:rsidR="009B4419" w:rsidRPr="00C933A1" w:rsidP="006016FF" w14:paraId="251C3B78"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71</w:t>
            </w:r>
          </w:p>
        </w:tc>
        <w:tc>
          <w:tcPr>
            <w:tcW w:w="732" w:type="pct"/>
          </w:tcPr>
          <w:p w:rsidR="009B4419" w:rsidRPr="00C933A1" w:rsidP="006016FF" w14:paraId="472243FC"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1.08</w:t>
            </w:r>
          </w:p>
        </w:tc>
        <w:tc>
          <w:tcPr>
            <w:tcW w:w="858" w:type="pct"/>
          </w:tcPr>
          <w:p w:rsidR="009B4419" w:rsidRPr="00C933A1" w:rsidP="006016FF" w14:paraId="0896E8C7"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77</w:t>
            </w:r>
          </w:p>
        </w:tc>
        <w:tc>
          <w:tcPr>
            <w:tcW w:w="848" w:type="pct"/>
          </w:tcPr>
          <w:p w:rsidR="009B4419" w:rsidRPr="00C933A1" w:rsidP="006016FF" w14:paraId="206CBFAF"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70</w:t>
            </w:r>
          </w:p>
        </w:tc>
        <w:tc>
          <w:tcPr>
            <w:tcW w:w="637" w:type="pct"/>
          </w:tcPr>
          <w:p w:rsidR="009B4419" w:rsidRPr="00C933A1" w:rsidP="006016FF" w14:paraId="0702688E"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5,390</w:t>
            </w:r>
          </w:p>
        </w:tc>
      </w:tr>
      <w:tr w14:paraId="797A8EC2" w14:textId="77777777" w:rsidTr="006016FF">
        <w:tblPrEx>
          <w:tblW w:w="5051" w:type="pct"/>
          <w:tblCellMar>
            <w:left w:w="0" w:type="dxa"/>
            <w:right w:w="0" w:type="dxa"/>
          </w:tblCellMar>
          <w:tblLook w:val="0000"/>
        </w:tblPrEx>
        <w:trPr>
          <w:trHeight w:hRule="exact" w:val="721"/>
        </w:trPr>
        <w:tc>
          <w:tcPr>
            <w:tcW w:w="1141" w:type="pct"/>
          </w:tcPr>
          <w:p w:rsidR="009B4419" w:rsidRPr="00C933A1" w:rsidP="006016FF" w14:paraId="62634253" w14:textId="11E91A87">
            <w:pPr>
              <w:spacing w:after="200"/>
              <w:rPr>
                <w:rFonts w:eastAsia="Calibri"/>
                <w:color w:val="000000" w:themeColor="text1"/>
                <w:sz w:val="20"/>
                <w:szCs w:val="20"/>
              </w:rPr>
            </w:pPr>
            <w:bookmarkStart w:id="1" w:name="_Hlk42034455"/>
            <w:r w:rsidRPr="00C933A1">
              <w:rPr>
                <w:rFonts w:eastAsia="Calibri"/>
                <w:color w:val="000000" w:themeColor="text1"/>
                <w:sz w:val="20"/>
                <w:szCs w:val="20"/>
              </w:rPr>
              <w:t>Fast Track Designation Requests (EPSC Section V)</w:t>
            </w:r>
          </w:p>
          <w:p w:rsidR="009B4419" w:rsidRPr="00C933A1" w:rsidP="006016FF" w14:paraId="14F4662A" w14:textId="77777777">
            <w:pPr>
              <w:spacing w:after="200"/>
              <w:rPr>
                <w:rFonts w:eastAsia="Calibri"/>
                <w:color w:val="000000" w:themeColor="text1"/>
                <w:sz w:val="20"/>
                <w:szCs w:val="20"/>
              </w:rPr>
            </w:pPr>
            <w:r w:rsidRPr="00C933A1">
              <w:rPr>
                <w:rFonts w:eastAsia="Calibri"/>
                <w:color w:val="000000" w:themeColor="text1"/>
                <w:sz w:val="20"/>
                <w:szCs w:val="20"/>
              </w:rPr>
              <w:t>))</w:t>
            </w:r>
          </w:p>
        </w:tc>
        <w:tc>
          <w:tcPr>
            <w:tcW w:w="784" w:type="pct"/>
          </w:tcPr>
          <w:p w:rsidR="009B4419" w:rsidRPr="00C933A1" w:rsidP="006016FF" w14:paraId="7F0014F9"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235</w:t>
            </w:r>
          </w:p>
        </w:tc>
        <w:tc>
          <w:tcPr>
            <w:tcW w:w="732" w:type="pct"/>
          </w:tcPr>
          <w:p w:rsidR="009B4419" w:rsidRPr="00C933A1" w:rsidP="006016FF" w14:paraId="41318BBE"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1.18</w:t>
            </w:r>
          </w:p>
        </w:tc>
        <w:tc>
          <w:tcPr>
            <w:tcW w:w="858" w:type="pct"/>
          </w:tcPr>
          <w:p w:rsidR="009B4419" w:rsidRPr="00C933A1" w:rsidP="006016FF" w14:paraId="24CAD875"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277</w:t>
            </w:r>
          </w:p>
        </w:tc>
        <w:tc>
          <w:tcPr>
            <w:tcW w:w="848" w:type="pct"/>
          </w:tcPr>
          <w:p w:rsidR="009B4419" w:rsidRPr="00C933A1" w:rsidP="006016FF" w14:paraId="14DED194"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60</w:t>
            </w:r>
          </w:p>
        </w:tc>
        <w:tc>
          <w:tcPr>
            <w:tcW w:w="637" w:type="pct"/>
          </w:tcPr>
          <w:p w:rsidR="009B4419" w:rsidRPr="00C933A1" w:rsidP="006016FF" w14:paraId="431AE2C6"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16,620</w:t>
            </w:r>
          </w:p>
        </w:tc>
      </w:tr>
      <w:bookmarkEnd w:id="1"/>
      <w:tr w14:paraId="59A6E67A" w14:textId="77777777" w:rsidTr="006016FF">
        <w:tblPrEx>
          <w:tblW w:w="5051" w:type="pct"/>
          <w:tblCellMar>
            <w:left w:w="0" w:type="dxa"/>
            <w:right w:w="0" w:type="dxa"/>
          </w:tblCellMar>
          <w:tblLook w:val="0000"/>
        </w:tblPrEx>
        <w:trPr>
          <w:trHeight w:hRule="exact" w:val="811"/>
        </w:trPr>
        <w:tc>
          <w:tcPr>
            <w:tcW w:w="1141" w:type="pct"/>
          </w:tcPr>
          <w:p w:rsidR="009B4419" w:rsidRPr="00C933A1" w:rsidP="006016FF" w14:paraId="6DC39798" w14:textId="589D2F38">
            <w:pPr>
              <w:spacing w:after="200"/>
              <w:rPr>
                <w:rFonts w:eastAsia="Calibri"/>
                <w:color w:val="000000" w:themeColor="text1"/>
                <w:sz w:val="20"/>
                <w:szCs w:val="20"/>
              </w:rPr>
            </w:pPr>
            <w:r w:rsidRPr="00C933A1">
              <w:rPr>
                <w:rFonts w:eastAsia="Calibri"/>
                <w:color w:val="000000" w:themeColor="text1"/>
                <w:sz w:val="20"/>
                <w:szCs w:val="20"/>
              </w:rPr>
              <w:t>Accelerated Approval Designation (EPSC Section VII)</w:t>
            </w:r>
          </w:p>
        </w:tc>
        <w:tc>
          <w:tcPr>
            <w:tcW w:w="784" w:type="pct"/>
          </w:tcPr>
          <w:p w:rsidR="009B4419" w:rsidRPr="00C933A1" w:rsidP="006016FF" w14:paraId="039B8A73"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26</w:t>
            </w:r>
          </w:p>
        </w:tc>
        <w:tc>
          <w:tcPr>
            <w:tcW w:w="732" w:type="pct"/>
          </w:tcPr>
          <w:p w:rsidR="009B4419" w:rsidRPr="00C933A1" w:rsidP="006016FF" w14:paraId="011B045F"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1.27</w:t>
            </w:r>
          </w:p>
        </w:tc>
        <w:tc>
          <w:tcPr>
            <w:tcW w:w="858" w:type="pct"/>
          </w:tcPr>
          <w:p w:rsidR="009B4419" w:rsidRPr="00C933A1" w:rsidP="006016FF" w14:paraId="04835288"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33</w:t>
            </w:r>
          </w:p>
        </w:tc>
        <w:tc>
          <w:tcPr>
            <w:tcW w:w="848" w:type="pct"/>
          </w:tcPr>
          <w:p w:rsidR="009B4419" w:rsidRPr="00C933A1" w:rsidP="006016FF" w14:paraId="3D01F0B7"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100</w:t>
            </w:r>
          </w:p>
        </w:tc>
        <w:tc>
          <w:tcPr>
            <w:tcW w:w="637" w:type="pct"/>
          </w:tcPr>
          <w:p w:rsidR="009B4419" w:rsidRPr="00C933A1" w:rsidP="006016FF" w14:paraId="0E7C827E"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3,300</w:t>
            </w:r>
          </w:p>
        </w:tc>
      </w:tr>
      <w:tr w14:paraId="7A330B0E" w14:textId="77777777" w:rsidTr="006016FF">
        <w:tblPrEx>
          <w:tblW w:w="5051" w:type="pct"/>
          <w:tblCellMar>
            <w:left w:w="0" w:type="dxa"/>
            <w:right w:w="0" w:type="dxa"/>
          </w:tblCellMar>
          <w:tblLook w:val="0000"/>
        </w:tblPrEx>
        <w:trPr>
          <w:trHeight w:hRule="exact" w:val="487"/>
        </w:trPr>
        <w:tc>
          <w:tcPr>
            <w:tcW w:w="1141" w:type="pct"/>
          </w:tcPr>
          <w:p w:rsidR="009B4419" w:rsidRPr="00C933A1" w:rsidP="006016FF" w14:paraId="72E4B3D4" w14:textId="2846954D">
            <w:pPr>
              <w:spacing w:after="200"/>
              <w:rPr>
                <w:rFonts w:eastAsia="Calibri"/>
                <w:color w:val="000000" w:themeColor="text1"/>
                <w:sz w:val="20"/>
                <w:szCs w:val="20"/>
              </w:rPr>
            </w:pPr>
            <w:r w:rsidRPr="00C933A1">
              <w:rPr>
                <w:rFonts w:eastAsia="Calibri"/>
                <w:color w:val="000000" w:themeColor="text1"/>
                <w:sz w:val="20"/>
                <w:szCs w:val="20"/>
              </w:rPr>
              <w:t>Premeeting Packages (21 CFR 312.82)</w:t>
            </w:r>
          </w:p>
        </w:tc>
        <w:tc>
          <w:tcPr>
            <w:tcW w:w="784" w:type="pct"/>
          </w:tcPr>
          <w:p w:rsidR="009B4419" w:rsidRPr="00C933A1" w:rsidP="006016FF" w14:paraId="4AD3C03B"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163</w:t>
            </w:r>
          </w:p>
        </w:tc>
        <w:tc>
          <w:tcPr>
            <w:tcW w:w="732" w:type="pct"/>
          </w:tcPr>
          <w:p w:rsidR="009B4419" w:rsidRPr="00C933A1" w:rsidP="006016FF" w14:paraId="388266C9"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1.01</w:t>
            </w:r>
          </w:p>
        </w:tc>
        <w:tc>
          <w:tcPr>
            <w:tcW w:w="858" w:type="pct"/>
          </w:tcPr>
          <w:p w:rsidR="009B4419" w:rsidRPr="00C933A1" w:rsidP="006016FF" w14:paraId="7DADEE34"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165</w:t>
            </w:r>
          </w:p>
        </w:tc>
        <w:tc>
          <w:tcPr>
            <w:tcW w:w="848" w:type="pct"/>
          </w:tcPr>
          <w:p w:rsidR="009B4419" w:rsidRPr="00C933A1" w:rsidP="006016FF" w14:paraId="14984225"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100</w:t>
            </w:r>
          </w:p>
        </w:tc>
        <w:tc>
          <w:tcPr>
            <w:tcW w:w="637" w:type="pct"/>
          </w:tcPr>
          <w:p w:rsidR="009B4419" w:rsidRPr="00C933A1" w:rsidP="006016FF" w14:paraId="302E45A8"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16,500</w:t>
            </w:r>
          </w:p>
        </w:tc>
      </w:tr>
      <w:tr w14:paraId="2E5DB131" w14:textId="77777777" w:rsidTr="006016FF">
        <w:tblPrEx>
          <w:tblW w:w="5051" w:type="pct"/>
          <w:tblCellMar>
            <w:left w:w="0" w:type="dxa"/>
            <w:right w:w="0" w:type="dxa"/>
          </w:tblCellMar>
          <w:tblLook w:val="0000"/>
        </w:tblPrEx>
        <w:trPr>
          <w:trHeight w:hRule="exact" w:val="433"/>
        </w:trPr>
        <w:tc>
          <w:tcPr>
            <w:tcW w:w="1141" w:type="pct"/>
          </w:tcPr>
          <w:p w:rsidR="009B4419" w:rsidRPr="00C933A1" w:rsidP="006016FF" w14:paraId="133C0DCD" w14:textId="77777777">
            <w:pPr>
              <w:spacing w:after="200"/>
              <w:rPr>
                <w:rFonts w:eastAsia="Calibri"/>
                <w:color w:val="000000" w:themeColor="text1"/>
                <w:sz w:val="20"/>
                <w:szCs w:val="20"/>
              </w:rPr>
            </w:pPr>
            <w:r w:rsidRPr="00C933A1">
              <w:rPr>
                <w:rFonts w:eastAsia="Calibri"/>
                <w:color w:val="000000" w:themeColor="text1"/>
                <w:sz w:val="20"/>
                <w:szCs w:val="20"/>
              </w:rPr>
              <w:t>CDER SUBTOTAL</w:t>
            </w:r>
          </w:p>
        </w:tc>
        <w:tc>
          <w:tcPr>
            <w:tcW w:w="784" w:type="pct"/>
          </w:tcPr>
          <w:p w:rsidR="009B4419" w:rsidRPr="00C933A1" w:rsidP="006016FF" w14:paraId="01EA32BD" w14:textId="77777777">
            <w:pPr>
              <w:spacing w:after="200"/>
              <w:ind w:left="360"/>
              <w:jc w:val="right"/>
              <w:rPr>
                <w:rFonts w:eastAsia="Calibri"/>
                <w:color w:val="000000" w:themeColor="text1"/>
                <w:sz w:val="20"/>
                <w:szCs w:val="20"/>
              </w:rPr>
            </w:pPr>
          </w:p>
        </w:tc>
        <w:tc>
          <w:tcPr>
            <w:tcW w:w="732" w:type="pct"/>
          </w:tcPr>
          <w:p w:rsidR="009B4419" w:rsidRPr="00C933A1" w:rsidP="006016FF" w14:paraId="10A93828" w14:textId="77777777">
            <w:pPr>
              <w:spacing w:after="200"/>
              <w:ind w:left="360"/>
              <w:jc w:val="right"/>
              <w:rPr>
                <w:rFonts w:eastAsia="Calibri"/>
                <w:color w:val="000000" w:themeColor="text1"/>
                <w:sz w:val="20"/>
                <w:szCs w:val="20"/>
              </w:rPr>
            </w:pPr>
          </w:p>
        </w:tc>
        <w:tc>
          <w:tcPr>
            <w:tcW w:w="858" w:type="pct"/>
          </w:tcPr>
          <w:p w:rsidR="009B4419" w:rsidRPr="00C933A1" w:rsidP="006016FF" w14:paraId="46DC128D"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676</w:t>
            </w:r>
          </w:p>
        </w:tc>
        <w:tc>
          <w:tcPr>
            <w:tcW w:w="848" w:type="pct"/>
          </w:tcPr>
          <w:p w:rsidR="009B4419" w:rsidRPr="00C933A1" w:rsidP="006016FF" w14:paraId="03C088AA" w14:textId="77777777">
            <w:pPr>
              <w:spacing w:after="200"/>
              <w:ind w:left="360"/>
              <w:jc w:val="right"/>
              <w:rPr>
                <w:rFonts w:eastAsia="Calibri"/>
                <w:color w:val="000000" w:themeColor="text1"/>
                <w:sz w:val="20"/>
                <w:szCs w:val="20"/>
              </w:rPr>
            </w:pPr>
          </w:p>
        </w:tc>
        <w:tc>
          <w:tcPr>
            <w:tcW w:w="637" w:type="pct"/>
          </w:tcPr>
          <w:p w:rsidR="009B4419" w:rsidRPr="00C933A1" w:rsidP="006016FF" w14:paraId="0C478248"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45,530</w:t>
            </w:r>
          </w:p>
        </w:tc>
      </w:tr>
      <w:tr w14:paraId="0E32C27A" w14:textId="77777777" w:rsidTr="006016FF">
        <w:tblPrEx>
          <w:tblW w:w="5051" w:type="pct"/>
          <w:tblCellMar>
            <w:left w:w="0" w:type="dxa"/>
            <w:right w:w="0" w:type="dxa"/>
          </w:tblCellMar>
          <w:tblLook w:val="0000"/>
        </w:tblPrEx>
        <w:trPr>
          <w:trHeight w:hRule="exact" w:val="433"/>
        </w:trPr>
        <w:tc>
          <w:tcPr>
            <w:tcW w:w="5000" w:type="pct"/>
            <w:gridSpan w:val="6"/>
          </w:tcPr>
          <w:p w:rsidR="009B4419" w:rsidRPr="00C933A1" w:rsidP="006016FF" w14:paraId="5B635EA5" w14:textId="77777777">
            <w:pPr>
              <w:spacing w:after="200"/>
              <w:ind w:left="360"/>
              <w:rPr>
                <w:rFonts w:eastAsia="Calibri"/>
                <w:color w:val="000000" w:themeColor="text1"/>
                <w:sz w:val="20"/>
                <w:szCs w:val="20"/>
              </w:rPr>
            </w:pPr>
            <w:r w:rsidRPr="00C933A1">
              <w:rPr>
                <w:rFonts w:eastAsia="Calibri"/>
                <w:color w:val="000000" w:themeColor="text1"/>
                <w:sz w:val="20"/>
                <w:szCs w:val="20"/>
              </w:rPr>
              <w:t>CBER</w:t>
            </w:r>
          </w:p>
        </w:tc>
      </w:tr>
      <w:tr w14:paraId="1A8E3DA3" w14:textId="77777777" w:rsidTr="006016FF">
        <w:tblPrEx>
          <w:tblW w:w="5051" w:type="pct"/>
          <w:tblCellMar>
            <w:left w:w="0" w:type="dxa"/>
            <w:right w:w="0" w:type="dxa"/>
          </w:tblCellMar>
          <w:tblLook w:val="0000"/>
        </w:tblPrEx>
        <w:trPr>
          <w:trHeight w:hRule="exact" w:val="802"/>
        </w:trPr>
        <w:tc>
          <w:tcPr>
            <w:tcW w:w="1141" w:type="pct"/>
          </w:tcPr>
          <w:p w:rsidR="009B4419" w:rsidRPr="00C933A1" w:rsidP="006016FF" w14:paraId="4C5B7053" w14:textId="2C85C2F6">
            <w:pPr>
              <w:spacing w:after="200"/>
              <w:rPr>
                <w:rFonts w:eastAsia="Calibri"/>
                <w:color w:val="000000" w:themeColor="text1"/>
                <w:sz w:val="20"/>
                <w:szCs w:val="20"/>
              </w:rPr>
            </w:pPr>
            <w:r w:rsidRPr="00C933A1">
              <w:rPr>
                <w:color w:val="000000" w:themeColor="text1"/>
                <w:sz w:val="20"/>
                <w:szCs w:val="20"/>
              </w:rPr>
              <w:t>Priority Review Designation Request (EPSC Section VIII)</w:t>
            </w:r>
          </w:p>
        </w:tc>
        <w:tc>
          <w:tcPr>
            <w:tcW w:w="784" w:type="pct"/>
          </w:tcPr>
          <w:p w:rsidR="009B4419" w:rsidRPr="00C933A1" w:rsidP="006016FF" w14:paraId="6AF10E38"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8</w:t>
            </w:r>
          </w:p>
        </w:tc>
        <w:tc>
          <w:tcPr>
            <w:tcW w:w="732" w:type="pct"/>
          </w:tcPr>
          <w:p w:rsidR="009B4419" w:rsidRPr="00C933A1" w:rsidP="006016FF" w14:paraId="3CBB7407"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w:t>
            </w:r>
          </w:p>
        </w:tc>
        <w:tc>
          <w:tcPr>
            <w:tcW w:w="858" w:type="pct"/>
          </w:tcPr>
          <w:p w:rsidR="009B4419" w:rsidRPr="00C933A1" w:rsidP="006016FF" w14:paraId="7E5F09C7"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8</w:t>
            </w:r>
          </w:p>
        </w:tc>
        <w:tc>
          <w:tcPr>
            <w:tcW w:w="848" w:type="pct"/>
          </w:tcPr>
          <w:p w:rsidR="009B4419" w:rsidRPr="00C933A1" w:rsidP="006016FF" w14:paraId="1F07244F"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30</w:t>
            </w:r>
          </w:p>
        </w:tc>
        <w:tc>
          <w:tcPr>
            <w:tcW w:w="637" w:type="pct"/>
          </w:tcPr>
          <w:p w:rsidR="009B4419" w:rsidRPr="00C933A1" w:rsidP="006016FF" w14:paraId="7008BED7"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240</w:t>
            </w:r>
          </w:p>
        </w:tc>
      </w:tr>
      <w:tr w14:paraId="0DF216E4" w14:textId="77777777" w:rsidTr="006016FF">
        <w:tblPrEx>
          <w:tblW w:w="5051" w:type="pct"/>
          <w:tblCellMar>
            <w:left w:w="0" w:type="dxa"/>
            <w:right w:w="0" w:type="dxa"/>
          </w:tblCellMar>
          <w:tblLook w:val="0000"/>
        </w:tblPrEx>
        <w:trPr>
          <w:trHeight w:hRule="exact" w:val="811"/>
        </w:trPr>
        <w:tc>
          <w:tcPr>
            <w:tcW w:w="1141" w:type="pct"/>
          </w:tcPr>
          <w:p w:rsidR="009B4419" w:rsidRPr="00C933A1" w:rsidP="006016FF" w14:paraId="5DDF4FAF" w14:textId="0785C765">
            <w:pPr>
              <w:spacing w:after="200"/>
              <w:rPr>
                <w:rFonts w:eastAsia="Calibri"/>
                <w:color w:val="000000" w:themeColor="text1"/>
                <w:sz w:val="20"/>
                <w:szCs w:val="20"/>
              </w:rPr>
            </w:pPr>
            <w:r w:rsidRPr="00C933A1">
              <w:rPr>
                <w:color w:val="000000" w:themeColor="text1"/>
                <w:sz w:val="20"/>
                <w:szCs w:val="20"/>
              </w:rPr>
              <w:t xml:space="preserve">Breakthrough Therapy Designation Request </w:t>
            </w:r>
            <w:r w:rsidRPr="00C933A1">
              <w:rPr>
                <w:rFonts w:eastAsia="Calibri"/>
                <w:color w:val="000000" w:themeColor="text1"/>
                <w:sz w:val="20"/>
                <w:szCs w:val="20"/>
              </w:rPr>
              <w:t xml:space="preserve"> </w:t>
            </w:r>
            <w:r w:rsidRPr="00C933A1">
              <w:rPr>
                <w:color w:val="000000" w:themeColor="text1"/>
                <w:sz w:val="20"/>
                <w:szCs w:val="20"/>
              </w:rPr>
              <w:t>(EPSC Section VIII)</w:t>
            </w:r>
          </w:p>
        </w:tc>
        <w:tc>
          <w:tcPr>
            <w:tcW w:w="784" w:type="pct"/>
          </w:tcPr>
          <w:p w:rsidR="009B4419" w:rsidRPr="00C933A1" w:rsidP="006016FF" w14:paraId="5B00D2A0"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15</w:t>
            </w:r>
          </w:p>
        </w:tc>
        <w:tc>
          <w:tcPr>
            <w:tcW w:w="732" w:type="pct"/>
          </w:tcPr>
          <w:p w:rsidR="009B4419" w:rsidRPr="00C933A1" w:rsidP="006016FF" w14:paraId="499D2D19"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1.1</w:t>
            </w:r>
          </w:p>
        </w:tc>
        <w:tc>
          <w:tcPr>
            <w:tcW w:w="858" w:type="pct"/>
          </w:tcPr>
          <w:p w:rsidR="009B4419" w:rsidRPr="00C933A1" w:rsidP="006016FF" w14:paraId="2DD80448"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17</w:t>
            </w:r>
          </w:p>
        </w:tc>
        <w:tc>
          <w:tcPr>
            <w:tcW w:w="848" w:type="pct"/>
          </w:tcPr>
          <w:p w:rsidR="009B4419" w:rsidRPr="00C933A1" w:rsidP="006016FF" w14:paraId="5328FCB8"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70</w:t>
            </w:r>
          </w:p>
        </w:tc>
        <w:tc>
          <w:tcPr>
            <w:tcW w:w="637" w:type="pct"/>
          </w:tcPr>
          <w:p w:rsidR="009B4419" w:rsidRPr="00C933A1" w:rsidP="006016FF" w14:paraId="66741262"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1,190</w:t>
            </w:r>
          </w:p>
        </w:tc>
      </w:tr>
      <w:tr w14:paraId="011CB738" w14:textId="77777777" w:rsidTr="006016FF">
        <w:tblPrEx>
          <w:tblW w:w="5051" w:type="pct"/>
          <w:tblCellMar>
            <w:left w:w="0" w:type="dxa"/>
            <w:right w:w="0" w:type="dxa"/>
          </w:tblCellMar>
          <w:tblLook w:val="0000"/>
        </w:tblPrEx>
        <w:trPr>
          <w:trHeight w:hRule="exact" w:val="721"/>
        </w:trPr>
        <w:tc>
          <w:tcPr>
            <w:tcW w:w="1141" w:type="pct"/>
          </w:tcPr>
          <w:p w:rsidR="009B4419" w:rsidRPr="00C933A1" w:rsidP="006016FF" w14:paraId="1B64E1C7" w14:textId="09F09403">
            <w:pPr>
              <w:spacing w:after="200"/>
              <w:rPr>
                <w:rFonts w:eastAsia="Calibri"/>
                <w:color w:val="000000" w:themeColor="text1"/>
                <w:sz w:val="20"/>
                <w:szCs w:val="20"/>
              </w:rPr>
            </w:pPr>
            <w:r w:rsidRPr="00C933A1">
              <w:rPr>
                <w:rFonts w:eastAsia="Calibri"/>
                <w:color w:val="000000" w:themeColor="text1"/>
                <w:sz w:val="20"/>
                <w:szCs w:val="20"/>
              </w:rPr>
              <w:t>Fast Track Designation Requests (EPSC Section VII)</w:t>
            </w:r>
          </w:p>
        </w:tc>
        <w:tc>
          <w:tcPr>
            <w:tcW w:w="784" w:type="pct"/>
          </w:tcPr>
          <w:p w:rsidR="009B4419" w:rsidRPr="00C933A1" w:rsidP="006016FF" w14:paraId="08364492"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64</w:t>
            </w:r>
          </w:p>
        </w:tc>
        <w:tc>
          <w:tcPr>
            <w:tcW w:w="732" w:type="pct"/>
          </w:tcPr>
          <w:p w:rsidR="009B4419" w:rsidRPr="00C933A1" w:rsidP="006016FF" w14:paraId="24F14E23"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1.2</w:t>
            </w:r>
          </w:p>
        </w:tc>
        <w:tc>
          <w:tcPr>
            <w:tcW w:w="858" w:type="pct"/>
          </w:tcPr>
          <w:p w:rsidR="009B4419" w:rsidRPr="00C933A1" w:rsidP="006016FF" w14:paraId="584F57ED"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77</w:t>
            </w:r>
          </w:p>
        </w:tc>
        <w:tc>
          <w:tcPr>
            <w:tcW w:w="848" w:type="pct"/>
          </w:tcPr>
          <w:p w:rsidR="009B4419" w:rsidRPr="00C933A1" w:rsidP="006016FF" w14:paraId="76ECF650"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60</w:t>
            </w:r>
          </w:p>
        </w:tc>
        <w:tc>
          <w:tcPr>
            <w:tcW w:w="637" w:type="pct"/>
          </w:tcPr>
          <w:p w:rsidR="009B4419" w:rsidRPr="00C933A1" w:rsidP="006016FF" w14:paraId="7BB24562"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4,620</w:t>
            </w:r>
          </w:p>
        </w:tc>
      </w:tr>
      <w:tr w14:paraId="1F2A91C3" w14:textId="77777777" w:rsidTr="006016FF">
        <w:tblPrEx>
          <w:tblW w:w="5051" w:type="pct"/>
          <w:tblCellMar>
            <w:left w:w="0" w:type="dxa"/>
            <w:right w:w="0" w:type="dxa"/>
          </w:tblCellMar>
          <w:tblLook w:val="0000"/>
        </w:tblPrEx>
        <w:trPr>
          <w:trHeight w:hRule="exact" w:val="1630"/>
        </w:trPr>
        <w:tc>
          <w:tcPr>
            <w:tcW w:w="1141" w:type="pct"/>
          </w:tcPr>
          <w:p w:rsidR="009B4419" w:rsidRPr="00C933A1" w:rsidP="006016FF" w14:paraId="45AD8123" w14:textId="231E3AD6">
            <w:pPr>
              <w:spacing w:after="200"/>
              <w:rPr>
                <w:rFonts w:eastAsia="Calibri"/>
                <w:color w:val="000000" w:themeColor="text1"/>
                <w:sz w:val="20"/>
                <w:szCs w:val="20"/>
              </w:rPr>
            </w:pPr>
            <w:r w:rsidRPr="00C933A1">
              <w:rPr>
                <w:rFonts w:eastAsia="Calibri"/>
                <w:color w:val="000000" w:themeColor="text1"/>
                <w:sz w:val="20"/>
                <w:szCs w:val="20"/>
              </w:rPr>
              <w:t>RMAT Designation Requests (Regenerative Medicine Therapies for Serious Conditions Guidance (RMAT) Section III)</w:t>
            </w:r>
          </w:p>
        </w:tc>
        <w:tc>
          <w:tcPr>
            <w:tcW w:w="784" w:type="pct"/>
          </w:tcPr>
          <w:p w:rsidR="009B4419" w:rsidRPr="00C933A1" w:rsidP="006016FF" w14:paraId="2C3FF27C"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33</w:t>
            </w:r>
          </w:p>
        </w:tc>
        <w:tc>
          <w:tcPr>
            <w:tcW w:w="732" w:type="pct"/>
          </w:tcPr>
          <w:p w:rsidR="009B4419" w:rsidRPr="00C933A1" w:rsidP="006016FF" w14:paraId="2C464B07"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1.1</w:t>
            </w:r>
          </w:p>
        </w:tc>
        <w:tc>
          <w:tcPr>
            <w:tcW w:w="858" w:type="pct"/>
          </w:tcPr>
          <w:p w:rsidR="009B4419" w:rsidRPr="00C933A1" w:rsidP="006016FF" w14:paraId="1FB90610"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36</w:t>
            </w:r>
          </w:p>
        </w:tc>
        <w:tc>
          <w:tcPr>
            <w:tcW w:w="848" w:type="pct"/>
          </w:tcPr>
          <w:p w:rsidR="009B4419" w:rsidRPr="00C933A1" w:rsidP="006016FF" w14:paraId="182A6856"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60</w:t>
            </w:r>
          </w:p>
        </w:tc>
        <w:tc>
          <w:tcPr>
            <w:tcW w:w="637" w:type="pct"/>
          </w:tcPr>
          <w:p w:rsidR="009B4419" w:rsidRPr="00C933A1" w:rsidP="006016FF" w14:paraId="2DF15A86"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2,160</w:t>
            </w:r>
          </w:p>
        </w:tc>
      </w:tr>
      <w:tr w14:paraId="5C685177" w14:textId="77777777" w:rsidTr="006016FF">
        <w:tblPrEx>
          <w:tblW w:w="5051" w:type="pct"/>
          <w:tblCellMar>
            <w:left w:w="0" w:type="dxa"/>
            <w:right w:w="0" w:type="dxa"/>
          </w:tblCellMar>
          <w:tblLook w:val="0000"/>
        </w:tblPrEx>
        <w:trPr>
          <w:trHeight w:hRule="exact" w:val="541"/>
        </w:trPr>
        <w:tc>
          <w:tcPr>
            <w:tcW w:w="1141" w:type="pct"/>
            <w:tcBorders>
              <w:bottom w:val="single" w:sz="4" w:space="0" w:color="000000"/>
            </w:tcBorders>
          </w:tcPr>
          <w:p w:rsidR="009B4419" w:rsidRPr="00C933A1" w:rsidP="006016FF" w14:paraId="3F269977" w14:textId="0DCF9035">
            <w:pPr>
              <w:spacing w:after="200"/>
              <w:rPr>
                <w:rFonts w:eastAsia="Calibri"/>
                <w:color w:val="000000" w:themeColor="text1"/>
                <w:sz w:val="20"/>
                <w:szCs w:val="20"/>
              </w:rPr>
            </w:pPr>
            <w:r w:rsidRPr="00C933A1">
              <w:rPr>
                <w:rFonts w:eastAsia="Calibri"/>
                <w:color w:val="000000" w:themeColor="text1"/>
                <w:sz w:val="20"/>
                <w:szCs w:val="20"/>
              </w:rPr>
              <w:t>Premeeting Packages (RMAT Section V)</w:t>
            </w:r>
          </w:p>
        </w:tc>
        <w:tc>
          <w:tcPr>
            <w:tcW w:w="784" w:type="pct"/>
            <w:tcBorders>
              <w:bottom w:val="single" w:sz="4" w:space="0" w:color="000000"/>
            </w:tcBorders>
          </w:tcPr>
          <w:p w:rsidR="009B4419" w:rsidRPr="00C933A1" w:rsidP="006016FF" w14:paraId="46DA49D7"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146</w:t>
            </w:r>
          </w:p>
        </w:tc>
        <w:tc>
          <w:tcPr>
            <w:tcW w:w="732" w:type="pct"/>
            <w:tcBorders>
              <w:bottom w:val="single" w:sz="4" w:space="0" w:color="000000"/>
            </w:tcBorders>
          </w:tcPr>
          <w:p w:rsidR="009B4419" w:rsidRPr="00C933A1" w:rsidP="006016FF" w14:paraId="3F4F8E41"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1.9</w:t>
            </w:r>
          </w:p>
        </w:tc>
        <w:tc>
          <w:tcPr>
            <w:tcW w:w="858" w:type="pct"/>
            <w:tcBorders>
              <w:bottom w:val="single" w:sz="4" w:space="0" w:color="000000"/>
            </w:tcBorders>
          </w:tcPr>
          <w:p w:rsidR="009B4419" w:rsidRPr="00C933A1" w:rsidP="006016FF" w14:paraId="6A112296"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277</w:t>
            </w:r>
          </w:p>
        </w:tc>
        <w:tc>
          <w:tcPr>
            <w:tcW w:w="848" w:type="pct"/>
            <w:tcBorders>
              <w:bottom w:val="single" w:sz="4" w:space="0" w:color="000000"/>
            </w:tcBorders>
          </w:tcPr>
          <w:p w:rsidR="009B4419" w:rsidRPr="00C933A1" w:rsidP="006016FF" w14:paraId="2E68BF91" w14:textId="77777777">
            <w:pPr>
              <w:tabs>
                <w:tab w:val="left" w:pos="734"/>
                <w:tab w:val="center" w:pos="976"/>
              </w:tabs>
              <w:spacing w:after="200"/>
              <w:ind w:left="360"/>
              <w:jc w:val="right"/>
              <w:rPr>
                <w:rFonts w:eastAsia="Calibri"/>
                <w:color w:val="000000" w:themeColor="text1"/>
                <w:sz w:val="20"/>
                <w:szCs w:val="20"/>
              </w:rPr>
            </w:pPr>
            <w:r w:rsidRPr="00C933A1">
              <w:rPr>
                <w:rFonts w:eastAsia="Calibri"/>
                <w:color w:val="000000" w:themeColor="text1"/>
                <w:sz w:val="20"/>
                <w:szCs w:val="20"/>
              </w:rPr>
              <w:t>100</w:t>
            </w:r>
          </w:p>
        </w:tc>
        <w:tc>
          <w:tcPr>
            <w:tcW w:w="637" w:type="pct"/>
            <w:tcBorders>
              <w:bottom w:val="single" w:sz="4" w:space="0" w:color="000000"/>
            </w:tcBorders>
          </w:tcPr>
          <w:p w:rsidR="009B4419" w:rsidRPr="00C933A1" w:rsidP="006016FF" w14:paraId="0389E6CF"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27,700</w:t>
            </w:r>
          </w:p>
        </w:tc>
      </w:tr>
      <w:tr w14:paraId="609EA186" w14:textId="77777777" w:rsidTr="006016FF">
        <w:tblPrEx>
          <w:tblW w:w="5051" w:type="pct"/>
          <w:tblCellMar>
            <w:left w:w="0" w:type="dxa"/>
            <w:right w:w="0" w:type="dxa"/>
          </w:tblCellMar>
          <w:tblLook w:val="0000"/>
        </w:tblPrEx>
        <w:trPr>
          <w:trHeight w:hRule="exact" w:val="433"/>
        </w:trPr>
        <w:tc>
          <w:tcPr>
            <w:tcW w:w="1141" w:type="pct"/>
            <w:tcBorders>
              <w:bottom w:val="single" w:sz="4" w:space="0" w:color="auto"/>
            </w:tcBorders>
          </w:tcPr>
          <w:p w:rsidR="009B4419" w:rsidRPr="00C933A1" w:rsidP="006016FF" w14:paraId="290A19E6" w14:textId="77777777">
            <w:pPr>
              <w:spacing w:after="200"/>
              <w:rPr>
                <w:rFonts w:eastAsia="Calibri"/>
                <w:color w:val="000000" w:themeColor="text1"/>
                <w:sz w:val="20"/>
                <w:szCs w:val="20"/>
              </w:rPr>
            </w:pPr>
            <w:r w:rsidRPr="00C933A1">
              <w:rPr>
                <w:rFonts w:eastAsia="Calibri"/>
                <w:color w:val="000000" w:themeColor="text1"/>
                <w:sz w:val="20"/>
                <w:szCs w:val="20"/>
              </w:rPr>
              <w:t>CBER SUBTOTAL</w:t>
            </w:r>
          </w:p>
        </w:tc>
        <w:tc>
          <w:tcPr>
            <w:tcW w:w="784" w:type="pct"/>
            <w:tcBorders>
              <w:bottom w:val="single" w:sz="4" w:space="0" w:color="auto"/>
            </w:tcBorders>
          </w:tcPr>
          <w:p w:rsidR="009B4419" w:rsidRPr="00C933A1" w:rsidP="006016FF" w14:paraId="039053F7" w14:textId="77777777">
            <w:pPr>
              <w:spacing w:after="200"/>
              <w:ind w:left="360"/>
              <w:jc w:val="right"/>
              <w:rPr>
                <w:rFonts w:eastAsia="Calibri"/>
                <w:color w:val="000000" w:themeColor="text1"/>
                <w:sz w:val="20"/>
                <w:szCs w:val="20"/>
              </w:rPr>
            </w:pPr>
          </w:p>
        </w:tc>
        <w:tc>
          <w:tcPr>
            <w:tcW w:w="732" w:type="pct"/>
            <w:tcBorders>
              <w:bottom w:val="single" w:sz="4" w:space="0" w:color="auto"/>
            </w:tcBorders>
          </w:tcPr>
          <w:p w:rsidR="009B4419" w:rsidRPr="00C933A1" w:rsidP="006016FF" w14:paraId="52F1E22D" w14:textId="77777777">
            <w:pPr>
              <w:spacing w:after="200"/>
              <w:ind w:left="360"/>
              <w:jc w:val="right"/>
              <w:rPr>
                <w:rFonts w:eastAsia="Calibri"/>
                <w:color w:val="000000" w:themeColor="text1"/>
                <w:sz w:val="20"/>
                <w:szCs w:val="20"/>
              </w:rPr>
            </w:pPr>
          </w:p>
        </w:tc>
        <w:tc>
          <w:tcPr>
            <w:tcW w:w="858" w:type="pct"/>
            <w:tcBorders>
              <w:bottom w:val="single" w:sz="4" w:space="0" w:color="auto"/>
            </w:tcBorders>
          </w:tcPr>
          <w:p w:rsidR="009B4419" w:rsidRPr="00C933A1" w:rsidP="006016FF" w14:paraId="247EC213"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415</w:t>
            </w:r>
          </w:p>
        </w:tc>
        <w:tc>
          <w:tcPr>
            <w:tcW w:w="848" w:type="pct"/>
            <w:tcBorders>
              <w:bottom w:val="single" w:sz="4" w:space="0" w:color="auto"/>
            </w:tcBorders>
          </w:tcPr>
          <w:p w:rsidR="009B4419" w:rsidRPr="00C933A1" w:rsidP="006016FF" w14:paraId="2DE811B2" w14:textId="77777777">
            <w:pPr>
              <w:spacing w:after="200"/>
              <w:ind w:left="360"/>
              <w:jc w:val="right"/>
              <w:rPr>
                <w:rFonts w:eastAsia="Calibri"/>
                <w:color w:val="000000" w:themeColor="text1"/>
                <w:sz w:val="20"/>
                <w:szCs w:val="20"/>
              </w:rPr>
            </w:pPr>
          </w:p>
        </w:tc>
        <w:tc>
          <w:tcPr>
            <w:tcW w:w="637" w:type="pct"/>
            <w:tcBorders>
              <w:bottom w:val="single" w:sz="4" w:space="0" w:color="auto"/>
              <w:right w:val="nil"/>
            </w:tcBorders>
          </w:tcPr>
          <w:p w:rsidR="009B4419" w:rsidRPr="00C933A1" w:rsidP="006016FF" w14:paraId="3AFB9562"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35,910</w:t>
            </w:r>
          </w:p>
        </w:tc>
      </w:tr>
      <w:tr w14:paraId="1C565FEC" w14:textId="77777777" w:rsidTr="006016FF">
        <w:tblPrEx>
          <w:tblW w:w="5051" w:type="pct"/>
          <w:tblCellMar>
            <w:left w:w="0" w:type="dxa"/>
            <w:right w:w="0" w:type="dxa"/>
          </w:tblCellMar>
          <w:tblLook w:val="0000"/>
        </w:tblPrEx>
        <w:trPr>
          <w:trHeight w:hRule="exact" w:val="433"/>
        </w:trPr>
        <w:tc>
          <w:tcPr>
            <w:tcW w:w="1141" w:type="pct"/>
            <w:tcBorders>
              <w:top w:val="single" w:sz="4" w:space="0" w:color="auto"/>
            </w:tcBorders>
          </w:tcPr>
          <w:p w:rsidR="009B4419" w:rsidRPr="00C933A1" w:rsidP="006016FF" w14:paraId="40A7721D" w14:textId="77777777">
            <w:pPr>
              <w:spacing w:after="200"/>
              <w:rPr>
                <w:rFonts w:eastAsia="Calibri"/>
                <w:color w:val="000000" w:themeColor="text1"/>
                <w:sz w:val="20"/>
                <w:szCs w:val="20"/>
              </w:rPr>
            </w:pPr>
            <w:r w:rsidRPr="00C933A1">
              <w:rPr>
                <w:rFonts w:eastAsia="Calibri"/>
                <w:color w:val="000000" w:themeColor="text1"/>
                <w:sz w:val="20"/>
                <w:szCs w:val="20"/>
              </w:rPr>
              <w:t>TOTAL</w:t>
            </w:r>
          </w:p>
        </w:tc>
        <w:tc>
          <w:tcPr>
            <w:tcW w:w="784" w:type="pct"/>
            <w:tcBorders>
              <w:top w:val="single" w:sz="4" w:space="0" w:color="auto"/>
            </w:tcBorders>
          </w:tcPr>
          <w:p w:rsidR="009B4419" w:rsidRPr="00C933A1" w:rsidP="006016FF" w14:paraId="72D1939B" w14:textId="77777777">
            <w:pPr>
              <w:spacing w:after="200"/>
              <w:ind w:left="360"/>
              <w:jc w:val="right"/>
              <w:rPr>
                <w:rFonts w:eastAsia="Calibri"/>
                <w:color w:val="000000" w:themeColor="text1"/>
                <w:sz w:val="20"/>
                <w:szCs w:val="20"/>
              </w:rPr>
            </w:pPr>
          </w:p>
        </w:tc>
        <w:tc>
          <w:tcPr>
            <w:tcW w:w="732" w:type="pct"/>
            <w:tcBorders>
              <w:top w:val="single" w:sz="4" w:space="0" w:color="auto"/>
            </w:tcBorders>
          </w:tcPr>
          <w:p w:rsidR="009B4419" w:rsidRPr="00C933A1" w:rsidP="006016FF" w14:paraId="6D188FAD" w14:textId="77777777">
            <w:pPr>
              <w:spacing w:after="200"/>
              <w:ind w:left="360"/>
              <w:jc w:val="right"/>
              <w:rPr>
                <w:rFonts w:eastAsia="Calibri"/>
                <w:color w:val="000000" w:themeColor="text1"/>
                <w:sz w:val="20"/>
                <w:szCs w:val="20"/>
              </w:rPr>
            </w:pPr>
          </w:p>
        </w:tc>
        <w:tc>
          <w:tcPr>
            <w:tcW w:w="858" w:type="pct"/>
            <w:tcBorders>
              <w:top w:val="single" w:sz="4" w:space="0" w:color="auto"/>
            </w:tcBorders>
          </w:tcPr>
          <w:p w:rsidR="009B4419" w:rsidRPr="00C933A1" w:rsidP="006016FF" w14:paraId="624CCF1D"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1,091</w:t>
            </w:r>
          </w:p>
        </w:tc>
        <w:tc>
          <w:tcPr>
            <w:tcW w:w="848" w:type="pct"/>
            <w:tcBorders>
              <w:top w:val="single" w:sz="4" w:space="0" w:color="auto"/>
            </w:tcBorders>
          </w:tcPr>
          <w:p w:rsidR="009B4419" w:rsidRPr="00C933A1" w:rsidP="006016FF" w14:paraId="37B281B3" w14:textId="77777777">
            <w:pPr>
              <w:spacing w:after="200"/>
              <w:ind w:left="360"/>
              <w:jc w:val="right"/>
              <w:rPr>
                <w:rFonts w:eastAsia="Calibri"/>
                <w:color w:val="000000" w:themeColor="text1"/>
                <w:sz w:val="20"/>
                <w:szCs w:val="20"/>
              </w:rPr>
            </w:pPr>
          </w:p>
        </w:tc>
        <w:tc>
          <w:tcPr>
            <w:tcW w:w="637" w:type="pct"/>
            <w:tcBorders>
              <w:top w:val="single" w:sz="4" w:space="0" w:color="auto"/>
            </w:tcBorders>
          </w:tcPr>
          <w:p w:rsidR="009B4419" w:rsidRPr="00C933A1" w:rsidP="006016FF" w14:paraId="562674A9" w14:textId="77777777">
            <w:pPr>
              <w:spacing w:after="200"/>
              <w:ind w:left="360"/>
              <w:jc w:val="right"/>
              <w:rPr>
                <w:rFonts w:eastAsia="Calibri"/>
                <w:color w:val="000000" w:themeColor="text1"/>
                <w:sz w:val="20"/>
                <w:szCs w:val="20"/>
              </w:rPr>
            </w:pPr>
            <w:r w:rsidRPr="00C933A1">
              <w:rPr>
                <w:rFonts w:eastAsia="Calibri"/>
                <w:color w:val="000000" w:themeColor="text1"/>
                <w:sz w:val="20"/>
                <w:szCs w:val="20"/>
              </w:rPr>
              <w:t>81,440</w:t>
            </w:r>
          </w:p>
        </w:tc>
      </w:tr>
    </w:tbl>
    <w:p w:rsidR="009B4419" w:rsidP="00302F2E" w14:paraId="1C00F7C8" w14:textId="77777777">
      <w:pPr>
        <w:rPr>
          <w:rFonts w:eastAsia="Calibri"/>
          <w:color w:val="000000" w:themeColor="text1"/>
        </w:rPr>
      </w:pPr>
    </w:p>
    <w:p w:rsidR="00133518" w:rsidRPr="00246D61" w:rsidP="00302F2E" w14:paraId="02EECE62" w14:textId="3D77122C">
      <w:pPr>
        <w:rPr>
          <w:rFonts w:eastAsia="Calibri"/>
          <w:color w:val="000000" w:themeColor="text1"/>
          <w:sz w:val="20"/>
          <w:szCs w:val="20"/>
        </w:rPr>
      </w:pPr>
      <w:r w:rsidRPr="00246D61">
        <w:rPr>
          <w:rFonts w:eastAsia="Calibri"/>
          <w:color w:val="000000" w:themeColor="text1"/>
        </w:rPr>
        <w:t>B</w:t>
      </w:r>
      <w:r w:rsidRPr="00246D61" w:rsidR="00D05F12">
        <w:rPr>
          <w:rFonts w:eastAsia="Calibri"/>
          <w:color w:val="000000" w:themeColor="text1"/>
        </w:rPr>
        <w:t xml:space="preserve">ased on FY 2022 receipts, </w:t>
      </w:r>
      <w:r w:rsidRPr="00246D61" w:rsidR="00C24450">
        <w:rPr>
          <w:rFonts w:eastAsia="Calibri"/>
          <w:color w:val="000000" w:themeColor="text1"/>
        </w:rPr>
        <w:t>we estimate that for CDER products, 81 respondents will submit 124 requests for priority review designation annually, and we assume 30 hours is needed to prepare such a request.  We estimate 71 respondents will submit 77 requests for breakthrough designation annually, and we assume 70 hours is needed to prepare such a request.  We estimate that 235 respondents will submit 277 requests for fast track designation requests annually, and we assume 60 hours is required to prepare such a request.  We estimate 26 respondents will submit 33 accelerated approval designation requests annually</w:t>
      </w:r>
      <w:r w:rsidRPr="00246D61" w:rsidR="00D05F12">
        <w:rPr>
          <w:rFonts w:eastAsia="Calibri"/>
          <w:color w:val="000000" w:themeColor="text1"/>
        </w:rPr>
        <w:t xml:space="preserve"> and we assume 100 hours are required to prepare such a request.  Finally</w:t>
      </w:r>
      <w:r w:rsidRPr="00246D61" w:rsidR="00C24450">
        <w:rPr>
          <w:rFonts w:eastAsia="Calibri"/>
          <w:color w:val="000000" w:themeColor="text1"/>
        </w:rPr>
        <w:t>,</w:t>
      </w:r>
      <w:r w:rsidRPr="00246D61" w:rsidR="00D8400B">
        <w:rPr>
          <w:rFonts w:eastAsia="Calibri"/>
          <w:color w:val="000000" w:themeColor="text1"/>
        </w:rPr>
        <w:t xml:space="preserve"> CDER</w:t>
      </w:r>
      <w:r w:rsidRPr="00246D61" w:rsidR="00C24450">
        <w:rPr>
          <w:rFonts w:eastAsia="Calibri"/>
          <w:color w:val="000000" w:themeColor="text1"/>
        </w:rPr>
        <w:t xml:space="preserve"> received </w:t>
      </w:r>
      <w:r w:rsidRPr="00246D61" w:rsidR="00D05F12">
        <w:rPr>
          <w:rFonts w:eastAsia="Calibri"/>
          <w:color w:val="000000" w:themeColor="text1"/>
        </w:rPr>
        <w:t>165</w:t>
      </w:r>
      <w:r w:rsidRPr="00246D61" w:rsidR="00C24450">
        <w:rPr>
          <w:rFonts w:eastAsia="Calibri"/>
          <w:color w:val="000000" w:themeColor="text1"/>
        </w:rPr>
        <w:t xml:space="preserve"> pre-mee</w:t>
      </w:r>
      <w:r w:rsidRPr="00246D61" w:rsidR="00D05F12">
        <w:rPr>
          <w:rFonts w:eastAsia="Calibri"/>
          <w:color w:val="000000" w:themeColor="text1"/>
        </w:rPr>
        <w:t>ting</w:t>
      </w:r>
      <w:r w:rsidRPr="00246D61" w:rsidR="00C24450">
        <w:rPr>
          <w:rFonts w:eastAsia="Calibri"/>
          <w:color w:val="000000" w:themeColor="text1"/>
        </w:rPr>
        <w:t xml:space="preserve"> package submissions</w:t>
      </w:r>
      <w:r w:rsidRPr="00246D61" w:rsidR="00D05F12">
        <w:rPr>
          <w:rFonts w:eastAsia="Calibri"/>
          <w:color w:val="000000" w:themeColor="text1"/>
        </w:rPr>
        <w:t xml:space="preserve"> from 163 respondents</w:t>
      </w:r>
      <w:r w:rsidRPr="00246D61" w:rsidR="00D8400B">
        <w:rPr>
          <w:rFonts w:eastAsia="Calibri"/>
          <w:color w:val="000000" w:themeColor="text1"/>
        </w:rPr>
        <w:t xml:space="preserve">.  We </w:t>
      </w:r>
      <w:r w:rsidRPr="00246D61" w:rsidR="00C24450">
        <w:rPr>
          <w:rFonts w:eastAsia="Calibri"/>
          <w:color w:val="000000" w:themeColor="text1"/>
        </w:rPr>
        <w:t xml:space="preserve">assume </w:t>
      </w:r>
      <w:r w:rsidRPr="00246D61">
        <w:rPr>
          <w:rFonts w:eastAsia="Calibri"/>
          <w:color w:val="000000" w:themeColor="text1"/>
        </w:rPr>
        <w:t>1</w:t>
      </w:r>
      <w:r w:rsidRPr="00246D61" w:rsidR="00C24450">
        <w:rPr>
          <w:rFonts w:eastAsia="Calibri"/>
          <w:color w:val="000000" w:themeColor="text1"/>
        </w:rPr>
        <w:t>00 hours</w:t>
      </w:r>
      <w:r w:rsidRPr="00246D61" w:rsidR="00D05F12">
        <w:rPr>
          <w:rFonts w:eastAsia="Calibri"/>
          <w:color w:val="000000" w:themeColor="text1"/>
        </w:rPr>
        <w:t xml:space="preserve"> are</w:t>
      </w:r>
      <w:r w:rsidRPr="00246D61" w:rsidR="00C24450">
        <w:rPr>
          <w:rFonts w:eastAsia="Calibri"/>
          <w:color w:val="000000" w:themeColor="text1"/>
        </w:rPr>
        <w:t xml:space="preserve"> needed to prepare a pre-meeting package.</w:t>
      </w:r>
      <w:bookmarkEnd w:id="0"/>
    </w:p>
    <w:p w:rsidR="00577986" w:rsidRPr="00246D61" w:rsidP="00302F2E" w14:paraId="65DF9E98" w14:textId="77777777">
      <w:pPr>
        <w:pStyle w:val="ListParagraph"/>
        <w:ind w:left="0"/>
        <w:rPr>
          <w:rFonts w:eastAsia="Calibri"/>
          <w:color w:val="000000" w:themeColor="text1"/>
          <w:sz w:val="20"/>
          <w:szCs w:val="20"/>
        </w:rPr>
      </w:pPr>
    </w:p>
    <w:p w:rsidR="00C24450" w:rsidRPr="00246D61" w:rsidP="00302F2E" w14:paraId="527C4CF0" w14:textId="7E9C24C0">
      <w:pPr>
        <w:rPr>
          <w:rFonts w:eastAsia="Calibri"/>
          <w:color w:val="000000" w:themeColor="text1"/>
        </w:rPr>
      </w:pPr>
      <w:r w:rsidRPr="00246D61">
        <w:rPr>
          <w:rFonts w:eastAsia="Calibri"/>
          <w:color w:val="000000" w:themeColor="text1"/>
        </w:rPr>
        <w:t>Similarly</w:t>
      </w:r>
      <w:r w:rsidRPr="00246D61" w:rsidR="00FE7E02">
        <w:rPr>
          <w:rFonts w:eastAsia="Calibri"/>
          <w:color w:val="000000" w:themeColor="text1"/>
        </w:rPr>
        <w:t>, also based on FY 2022 receipts, we estimate that for CBER products, 8 applicants</w:t>
      </w:r>
      <w:r w:rsidRPr="00246D61">
        <w:rPr>
          <w:rFonts w:eastAsia="Calibri"/>
          <w:color w:val="000000" w:themeColor="text1"/>
        </w:rPr>
        <w:t xml:space="preserve"> will submit </w:t>
      </w:r>
      <w:r w:rsidRPr="00246D61" w:rsidR="00D05F12">
        <w:rPr>
          <w:rFonts w:eastAsia="Calibri"/>
          <w:color w:val="000000" w:themeColor="text1"/>
        </w:rPr>
        <w:t>8</w:t>
      </w:r>
      <w:r w:rsidRPr="00246D61">
        <w:rPr>
          <w:rFonts w:eastAsia="Calibri"/>
          <w:color w:val="000000" w:themeColor="text1"/>
        </w:rPr>
        <w:t xml:space="preserve"> requests for priority review designation annually, and we assume 30 hours </w:t>
      </w:r>
      <w:r w:rsidRPr="00246D61" w:rsidR="00D05F12">
        <w:rPr>
          <w:rFonts w:eastAsia="Calibri"/>
          <w:color w:val="000000" w:themeColor="text1"/>
        </w:rPr>
        <w:t xml:space="preserve">are required </w:t>
      </w:r>
      <w:r w:rsidRPr="00246D61">
        <w:rPr>
          <w:rFonts w:eastAsia="Calibri"/>
          <w:color w:val="000000" w:themeColor="text1"/>
        </w:rPr>
        <w:t xml:space="preserve">to prepare such a request.  We estimate </w:t>
      </w:r>
      <w:r w:rsidRPr="00246D61" w:rsidR="00D05F12">
        <w:rPr>
          <w:rFonts w:eastAsia="Calibri"/>
          <w:color w:val="000000" w:themeColor="text1"/>
        </w:rPr>
        <w:t>15</w:t>
      </w:r>
      <w:r w:rsidRPr="00246D61">
        <w:rPr>
          <w:rFonts w:eastAsia="Calibri"/>
          <w:color w:val="000000" w:themeColor="text1"/>
        </w:rPr>
        <w:t xml:space="preserve"> respondents will submit </w:t>
      </w:r>
      <w:r w:rsidRPr="00246D61" w:rsidR="00D05F12">
        <w:rPr>
          <w:rFonts w:eastAsia="Calibri"/>
          <w:color w:val="000000" w:themeColor="text1"/>
        </w:rPr>
        <w:t>1</w:t>
      </w:r>
      <w:r w:rsidRPr="00246D61">
        <w:rPr>
          <w:rFonts w:eastAsia="Calibri"/>
          <w:color w:val="000000" w:themeColor="text1"/>
        </w:rPr>
        <w:t xml:space="preserve">7 requests for breakthrough designation annually, and we assume 70 hours </w:t>
      </w:r>
      <w:r w:rsidRPr="00246D61" w:rsidR="00D05F12">
        <w:rPr>
          <w:rFonts w:eastAsia="Calibri"/>
          <w:color w:val="000000" w:themeColor="text1"/>
        </w:rPr>
        <w:t>are</w:t>
      </w:r>
      <w:r w:rsidRPr="00246D61">
        <w:rPr>
          <w:rFonts w:eastAsia="Calibri"/>
          <w:color w:val="000000" w:themeColor="text1"/>
        </w:rPr>
        <w:t xml:space="preserve"> needed to prepare such a request</w:t>
      </w:r>
      <w:r w:rsidRPr="00246D61" w:rsidR="00D05F12">
        <w:rPr>
          <w:rFonts w:eastAsia="Calibri"/>
          <w:color w:val="000000" w:themeColor="text1"/>
        </w:rPr>
        <w:t>.  We estimate that 64 respondents will submit 78 requests for fast track designation annually, and we assume 60 hours is required to prepare such a request.</w:t>
      </w:r>
      <w:r w:rsidRPr="00246D61" w:rsidR="00993146">
        <w:rPr>
          <w:rFonts w:eastAsia="Calibri"/>
          <w:color w:val="000000" w:themeColor="text1"/>
        </w:rPr>
        <w:t xml:space="preserve">  </w:t>
      </w:r>
      <w:r w:rsidRPr="00246D61" w:rsidR="00D05F12">
        <w:rPr>
          <w:rFonts w:eastAsia="Calibri"/>
          <w:color w:val="000000" w:themeColor="text1"/>
        </w:rPr>
        <w:t>We</w:t>
      </w:r>
      <w:r w:rsidRPr="00246D61" w:rsidR="00993146">
        <w:rPr>
          <w:rFonts w:eastAsia="Calibri"/>
          <w:color w:val="000000" w:themeColor="text1"/>
        </w:rPr>
        <w:t xml:space="preserve"> also</w:t>
      </w:r>
      <w:r w:rsidRPr="00246D61" w:rsidR="00D05F12">
        <w:rPr>
          <w:rFonts w:eastAsia="Calibri"/>
          <w:color w:val="000000" w:themeColor="text1"/>
        </w:rPr>
        <w:t xml:space="preserve"> estimate 33 respondents will submit 35 requests for RMAT designation annually, and assume that 60 hours </w:t>
      </w:r>
      <w:r w:rsidRPr="00246D61" w:rsidR="00993146">
        <w:rPr>
          <w:rFonts w:eastAsia="Calibri"/>
          <w:color w:val="000000" w:themeColor="text1"/>
        </w:rPr>
        <w:t>are</w:t>
      </w:r>
      <w:r w:rsidRPr="00246D61" w:rsidR="00D05F12">
        <w:rPr>
          <w:rFonts w:eastAsia="Calibri"/>
          <w:color w:val="000000" w:themeColor="text1"/>
        </w:rPr>
        <w:t xml:space="preserve"> needed to prepare </w:t>
      </w:r>
      <w:r w:rsidRPr="00246D61" w:rsidR="00993146">
        <w:rPr>
          <w:rFonts w:eastAsia="Calibri"/>
          <w:color w:val="000000" w:themeColor="text1"/>
        </w:rPr>
        <w:t xml:space="preserve">each RMAT designation request.  </w:t>
      </w:r>
      <w:r w:rsidRPr="00246D61">
        <w:rPr>
          <w:rFonts w:eastAsia="Calibri"/>
          <w:color w:val="000000" w:themeColor="text1"/>
        </w:rPr>
        <w:t xml:space="preserve">Finally, </w:t>
      </w:r>
      <w:r w:rsidRPr="00246D61" w:rsidR="00D8400B">
        <w:rPr>
          <w:rFonts w:eastAsia="Calibri"/>
          <w:color w:val="000000" w:themeColor="text1"/>
        </w:rPr>
        <w:t>CBER</w:t>
      </w:r>
      <w:r w:rsidRPr="00246D61">
        <w:rPr>
          <w:rFonts w:eastAsia="Calibri"/>
          <w:color w:val="000000" w:themeColor="text1"/>
        </w:rPr>
        <w:t xml:space="preserve"> received </w:t>
      </w:r>
      <w:r w:rsidRPr="00246D61" w:rsidR="00993146">
        <w:rPr>
          <w:rFonts w:eastAsia="Calibri"/>
          <w:color w:val="000000" w:themeColor="text1"/>
        </w:rPr>
        <w:t>283</w:t>
      </w:r>
      <w:r w:rsidRPr="00246D61">
        <w:rPr>
          <w:rFonts w:eastAsia="Calibri"/>
          <w:color w:val="000000" w:themeColor="text1"/>
        </w:rPr>
        <w:t xml:space="preserve"> pre-mee</w:t>
      </w:r>
      <w:r w:rsidRPr="00246D61" w:rsidR="00993146">
        <w:rPr>
          <w:rFonts w:eastAsia="Calibri"/>
          <w:color w:val="000000" w:themeColor="text1"/>
        </w:rPr>
        <w:t>tin</w:t>
      </w:r>
      <w:r w:rsidRPr="00246D61">
        <w:rPr>
          <w:rFonts w:eastAsia="Calibri"/>
          <w:color w:val="000000" w:themeColor="text1"/>
        </w:rPr>
        <w:t>g package submissions</w:t>
      </w:r>
      <w:r w:rsidRPr="00246D61" w:rsidR="00993146">
        <w:rPr>
          <w:rFonts w:eastAsia="Calibri"/>
          <w:color w:val="000000" w:themeColor="text1"/>
        </w:rPr>
        <w:t xml:space="preserve"> from 146 respondents</w:t>
      </w:r>
      <w:r w:rsidRPr="00246D61" w:rsidR="00D8400B">
        <w:rPr>
          <w:rFonts w:eastAsia="Calibri"/>
          <w:color w:val="000000" w:themeColor="text1"/>
        </w:rPr>
        <w:t xml:space="preserve">.  We </w:t>
      </w:r>
      <w:r w:rsidRPr="00246D61">
        <w:rPr>
          <w:rFonts w:eastAsia="Calibri"/>
          <w:color w:val="000000" w:themeColor="text1"/>
        </w:rPr>
        <w:t xml:space="preserve">assume </w:t>
      </w:r>
      <w:r w:rsidRPr="00246D61" w:rsidR="00FE7E02">
        <w:rPr>
          <w:rFonts w:eastAsia="Calibri"/>
          <w:color w:val="000000" w:themeColor="text1"/>
        </w:rPr>
        <w:t>1</w:t>
      </w:r>
      <w:r w:rsidRPr="00246D61">
        <w:rPr>
          <w:rFonts w:eastAsia="Calibri"/>
          <w:color w:val="000000" w:themeColor="text1"/>
        </w:rPr>
        <w:t xml:space="preserve">00 hours </w:t>
      </w:r>
      <w:r w:rsidRPr="00246D61" w:rsidR="00993146">
        <w:rPr>
          <w:rFonts w:eastAsia="Calibri"/>
          <w:color w:val="000000" w:themeColor="text1"/>
        </w:rPr>
        <w:t>are</w:t>
      </w:r>
      <w:r w:rsidRPr="00246D61">
        <w:rPr>
          <w:rFonts w:eastAsia="Calibri"/>
          <w:color w:val="000000" w:themeColor="text1"/>
        </w:rPr>
        <w:t xml:space="preserve"> needed to prepare a pre-meeting package.</w:t>
      </w:r>
    </w:p>
    <w:p w:rsidR="00577986" w:rsidRPr="00246D61" w:rsidP="00302F2E" w14:paraId="51A92426" w14:textId="6E2ED367">
      <w:pPr>
        <w:rPr>
          <w:rFonts w:eastAsia="Calibri"/>
          <w:color w:val="000000" w:themeColor="text1"/>
        </w:rPr>
      </w:pPr>
    </w:p>
    <w:p w:rsidR="002523E0" w:rsidRPr="00246D61" w:rsidP="00302F2E" w14:paraId="15710876" w14:textId="15F4D555">
      <w:pPr>
        <w:rPr>
          <w:rFonts w:eastAsia="Calibri"/>
          <w:color w:val="000000" w:themeColor="text1"/>
        </w:rPr>
      </w:pPr>
      <w:r w:rsidRPr="00246D61">
        <w:rPr>
          <w:rFonts w:eastAsia="Calibri"/>
          <w:color w:val="000000" w:themeColor="text1"/>
        </w:rPr>
        <w:t>Numbers of receipts are reported by the reviewing center as derived from differing databases. The FDA totals for the information collection are derived by adding the number of responses from each of the reviewing centers.</w:t>
      </w:r>
    </w:p>
    <w:p w:rsidR="00577986" w:rsidRPr="00246D61" w:rsidP="00BF6949" w14:paraId="0CE4F799" w14:textId="77777777">
      <w:pPr>
        <w:rPr>
          <w:rFonts w:eastAsia="Calibri"/>
          <w:color w:val="000000" w:themeColor="text1"/>
        </w:rPr>
      </w:pPr>
    </w:p>
    <w:p w:rsidR="00357C8A" w:rsidRPr="00246D61" w:rsidP="00DC371B" w14:paraId="1D6E493E" w14:textId="77777777">
      <w:pPr>
        <w:spacing w:after="200"/>
        <w:ind w:left="360"/>
        <w:rPr>
          <w:rFonts w:eastAsia="Calibri"/>
          <w:i/>
          <w:iCs/>
          <w:color w:val="000000" w:themeColor="text1"/>
        </w:rPr>
      </w:pPr>
      <w:r w:rsidRPr="00246D61">
        <w:rPr>
          <w:rFonts w:eastAsia="Calibri"/>
          <w:i/>
          <w:iCs/>
          <w:color w:val="000000" w:themeColor="text1"/>
        </w:rPr>
        <w:t>12b.  Annualized Cost Burden Estimate</w:t>
      </w:r>
    </w:p>
    <w:p w:rsidR="004D7D36" w:rsidRPr="00246D61" w:rsidP="007C4E2E" w14:paraId="6C925FA9" w14:textId="56BAEC5F">
      <w:pPr>
        <w:rPr>
          <w:rFonts w:eastAsia="Calibri"/>
          <w:color w:val="000000" w:themeColor="text1"/>
        </w:rPr>
      </w:pPr>
      <w:r w:rsidRPr="00246D61">
        <w:rPr>
          <w:rFonts w:eastAsia="Calibri"/>
          <w:color w:val="000000" w:themeColor="text1"/>
        </w:rPr>
        <w:t>We assume labor costs for</w:t>
      </w:r>
      <w:r w:rsidRPr="00246D61" w:rsidR="00325C71">
        <w:rPr>
          <w:rFonts w:eastAsia="Calibri"/>
          <w:color w:val="000000" w:themeColor="text1"/>
        </w:rPr>
        <w:t xml:space="preserve"> the expedited programs for serious conditions designation</w:t>
      </w:r>
      <w:r w:rsidRPr="00246D61">
        <w:rPr>
          <w:rFonts w:eastAsia="Calibri"/>
          <w:color w:val="000000" w:themeColor="text1"/>
        </w:rPr>
        <w:t xml:space="preserve"> requests</w:t>
      </w:r>
      <w:r w:rsidRPr="00246D61" w:rsidR="00993146">
        <w:rPr>
          <w:rFonts w:eastAsia="Calibri"/>
          <w:color w:val="000000" w:themeColor="text1"/>
        </w:rPr>
        <w:t xml:space="preserve"> are</w:t>
      </w:r>
      <w:r w:rsidRPr="00246D61">
        <w:rPr>
          <w:rFonts w:eastAsia="Calibri"/>
          <w:color w:val="000000" w:themeColor="text1"/>
        </w:rPr>
        <w:t xml:space="preserve"> based on an average pharmaceutical industry loaded wage rate of $85.00 per hour for </w:t>
      </w:r>
      <w:r w:rsidRPr="00246D61" w:rsidR="00993146">
        <w:rPr>
          <w:rFonts w:eastAsia="Calibri"/>
          <w:color w:val="000000" w:themeColor="text1"/>
        </w:rPr>
        <w:t>compiling</w:t>
      </w:r>
      <w:r w:rsidRPr="00246D61">
        <w:rPr>
          <w:rFonts w:eastAsia="Calibri"/>
          <w:color w:val="000000" w:themeColor="text1"/>
        </w:rPr>
        <w:t xml:space="preserve"> and submitting the requests.  </w:t>
      </w:r>
      <w:r w:rsidRPr="00246D61" w:rsidR="001A0D6B">
        <w:rPr>
          <w:rFonts w:eastAsia="Calibri"/>
          <w:color w:val="000000" w:themeColor="text1"/>
        </w:rPr>
        <w:t>When we m</w:t>
      </w:r>
      <w:r w:rsidRPr="00246D61">
        <w:rPr>
          <w:rFonts w:eastAsia="Calibri"/>
          <w:color w:val="000000" w:themeColor="text1"/>
        </w:rPr>
        <w:t>ultipl</w:t>
      </w:r>
      <w:r w:rsidRPr="00246D61" w:rsidR="001A0D6B">
        <w:rPr>
          <w:rFonts w:eastAsia="Calibri"/>
          <w:color w:val="000000" w:themeColor="text1"/>
        </w:rPr>
        <w:t>y</w:t>
      </w:r>
      <w:r w:rsidRPr="00246D61">
        <w:rPr>
          <w:rFonts w:eastAsia="Calibri"/>
          <w:color w:val="000000" w:themeColor="text1"/>
        </w:rPr>
        <w:t xml:space="preserve"> the total </w:t>
      </w:r>
      <w:r w:rsidRPr="00246D61" w:rsidR="001A0D6B">
        <w:rPr>
          <w:rFonts w:eastAsia="Calibri"/>
          <w:color w:val="000000" w:themeColor="text1"/>
        </w:rPr>
        <w:t xml:space="preserve">burden </w:t>
      </w:r>
      <w:r w:rsidRPr="00246D61">
        <w:rPr>
          <w:rFonts w:eastAsia="Calibri"/>
          <w:color w:val="000000" w:themeColor="text1"/>
        </w:rPr>
        <w:t>hour</w:t>
      </w:r>
      <w:r w:rsidRPr="00246D61" w:rsidR="001A0D6B">
        <w:rPr>
          <w:rFonts w:eastAsia="Calibri"/>
          <w:color w:val="000000" w:themeColor="text1"/>
        </w:rPr>
        <w:t>s</w:t>
      </w:r>
      <w:r w:rsidRPr="00246D61">
        <w:rPr>
          <w:rFonts w:eastAsia="Calibri"/>
          <w:color w:val="000000" w:themeColor="text1"/>
        </w:rPr>
        <w:t xml:space="preserve"> estimated above</w:t>
      </w:r>
      <w:r w:rsidRPr="00246D61" w:rsidR="00993146">
        <w:rPr>
          <w:rFonts w:eastAsia="Calibri"/>
          <w:color w:val="000000" w:themeColor="text1"/>
        </w:rPr>
        <w:t xml:space="preserve"> (</w:t>
      </w:r>
      <w:r w:rsidRPr="00246D61" w:rsidR="00FE7E02">
        <w:rPr>
          <w:rFonts w:eastAsia="Calibri"/>
          <w:color w:val="000000" w:themeColor="text1"/>
        </w:rPr>
        <w:t>79,070 hours</w:t>
      </w:r>
      <w:r w:rsidRPr="00246D61" w:rsidR="00F0472D">
        <w:rPr>
          <w:rFonts w:eastAsia="Calibri"/>
          <w:color w:val="000000" w:themeColor="text1"/>
        </w:rPr>
        <w:t xml:space="preserve">) by $85/hour, </w:t>
      </w:r>
      <w:r w:rsidRPr="00246D61" w:rsidR="001A0D6B">
        <w:rPr>
          <w:rFonts w:eastAsia="Calibri"/>
          <w:color w:val="000000" w:themeColor="text1"/>
        </w:rPr>
        <w:t>we</w:t>
      </w:r>
      <w:r w:rsidRPr="00246D61" w:rsidR="00BB0174">
        <w:rPr>
          <w:rFonts w:eastAsia="Calibri"/>
          <w:color w:val="000000" w:themeColor="text1"/>
        </w:rPr>
        <w:t xml:space="preserve"> assume a </w:t>
      </w:r>
      <w:r w:rsidRPr="00246D61">
        <w:rPr>
          <w:rFonts w:eastAsia="Calibri"/>
          <w:color w:val="000000" w:themeColor="text1"/>
        </w:rPr>
        <w:t>total cost to respondents for these expedited programs for serious conditions</w:t>
      </w:r>
      <w:r w:rsidRPr="00246D61" w:rsidR="00BB0174">
        <w:rPr>
          <w:rFonts w:eastAsia="Calibri"/>
          <w:color w:val="000000" w:themeColor="text1"/>
        </w:rPr>
        <w:t xml:space="preserve"> of</w:t>
      </w:r>
      <w:r w:rsidRPr="00246D61">
        <w:rPr>
          <w:rFonts w:eastAsia="Calibri"/>
          <w:color w:val="000000" w:themeColor="text1"/>
        </w:rPr>
        <w:t xml:space="preserve"> $</w:t>
      </w:r>
      <w:r w:rsidRPr="00246D61" w:rsidR="00FE7E02">
        <w:rPr>
          <w:rFonts w:eastAsia="Calibri"/>
          <w:color w:val="000000" w:themeColor="text1"/>
        </w:rPr>
        <w:t>6,720,950</w:t>
      </w:r>
      <w:r w:rsidRPr="00246D61" w:rsidR="00F0472D">
        <w:rPr>
          <w:rFonts w:eastAsia="Calibri"/>
          <w:color w:val="000000" w:themeColor="text1"/>
        </w:rPr>
        <w:t>.</w:t>
      </w:r>
    </w:p>
    <w:p w:rsidR="000D1B52" w:rsidRPr="00246D61" w:rsidP="007C4E2E" w14:paraId="34544782" w14:textId="77777777">
      <w:pPr>
        <w:rPr>
          <w:rFonts w:eastAsia="Calibri"/>
          <w:color w:val="000000" w:themeColor="text1"/>
        </w:rPr>
      </w:pPr>
    </w:p>
    <w:p w:rsidR="00357C8A" w:rsidRPr="007C4E2E" w:rsidP="007C4E2E" w14:paraId="204820E4" w14:textId="1F3B62B5">
      <w:pPr>
        <w:numPr>
          <w:ilvl w:val="0"/>
          <w:numId w:val="6"/>
        </w:numPr>
        <w:ind w:left="0"/>
        <w:rPr>
          <w:rFonts w:eastAsia="Calibri"/>
          <w:color w:val="000000" w:themeColor="text1"/>
        </w:rPr>
      </w:pPr>
      <w:r w:rsidRPr="00246D61">
        <w:rPr>
          <w:rFonts w:eastAsia="Calibri"/>
          <w:color w:val="000000" w:themeColor="text1"/>
          <w:u w:val="single"/>
        </w:rPr>
        <w:t xml:space="preserve">Estimates of Other Total Annual Costs </w:t>
      </w:r>
      <w:r w:rsidRPr="00246D61" w:rsidR="00590E90">
        <w:rPr>
          <w:rFonts w:eastAsia="Calibri"/>
          <w:color w:val="000000" w:themeColor="text1"/>
          <w:u w:val="single"/>
        </w:rPr>
        <w:t xml:space="preserve">to Respondents/Recordkeepers or </w:t>
      </w:r>
      <w:r w:rsidRPr="00246D61">
        <w:rPr>
          <w:rFonts w:eastAsia="Calibri"/>
          <w:color w:val="000000" w:themeColor="text1"/>
          <w:u w:val="single"/>
        </w:rPr>
        <w:t xml:space="preserve">Capital Costs </w:t>
      </w:r>
    </w:p>
    <w:p w:rsidR="007C4E2E" w:rsidRPr="00246D61" w:rsidP="007C4E2E" w14:paraId="4446715A" w14:textId="77777777">
      <w:pPr>
        <w:rPr>
          <w:rFonts w:eastAsia="Calibri"/>
          <w:color w:val="000000" w:themeColor="text1"/>
        </w:rPr>
      </w:pPr>
    </w:p>
    <w:p w:rsidR="003E33FB" w:rsidRPr="00246D61" w:rsidP="007C4E2E" w14:paraId="793B57D8" w14:textId="57326B9C">
      <w:pPr>
        <w:pStyle w:val="BodyText"/>
        <w:spacing w:after="0"/>
        <w:rPr>
          <w:color w:val="000000" w:themeColor="text1"/>
        </w:rPr>
      </w:pPr>
      <w:r w:rsidRPr="00246D61">
        <w:rPr>
          <w:color w:val="000000" w:themeColor="text1"/>
        </w:rPr>
        <w:t>There are no capital, start up, operating or maintenance costs associated with this information collection.</w:t>
      </w:r>
    </w:p>
    <w:p w:rsidR="00F0472D" w:rsidRPr="00246D61" w:rsidP="007C4E2E" w14:paraId="442532C1" w14:textId="77777777">
      <w:pPr>
        <w:pStyle w:val="BodyText"/>
        <w:spacing w:after="0"/>
        <w:rPr>
          <w:color w:val="000000" w:themeColor="text1"/>
        </w:rPr>
      </w:pPr>
    </w:p>
    <w:p w:rsidR="00357C8A" w:rsidP="007C4E2E" w14:paraId="6CD7D404" w14:textId="5D775AFE">
      <w:pPr>
        <w:numPr>
          <w:ilvl w:val="0"/>
          <w:numId w:val="6"/>
        </w:numPr>
        <w:ind w:left="0"/>
        <w:rPr>
          <w:rFonts w:eastAsia="Calibri"/>
          <w:color w:val="000000" w:themeColor="text1"/>
          <w:u w:val="single"/>
        </w:rPr>
      </w:pPr>
      <w:r w:rsidRPr="00246D61">
        <w:rPr>
          <w:rFonts w:eastAsia="Calibri"/>
          <w:color w:val="000000" w:themeColor="text1"/>
          <w:u w:val="single"/>
        </w:rPr>
        <w:t>Annualized Cost to the Federal Government</w:t>
      </w:r>
    </w:p>
    <w:p w:rsidR="007C4E2E" w:rsidRPr="00246D61" w:rsidP="007C4E2E" w14:paraId="46EA9F2F" w14:textId="77777777">
      <w:pPr>
        <w:rPr>
          <w:rFonts w:eastAsia="Calibri"/>
          <w:color w:val="000000" w:themeColor="text1"/>
          <w:u w:val="single"/>
        </w:rPr>
      </w:pPr>
    </w:p>
    <w:p w:rsidR="00D8400B" w:rsidRPr="00246D61" w:rsidP="007C4E2E" w14:paraId="6D5517AF" w14:textId="4CB689A8">
      <w:pPr>
        <w:rPr>
          <w:color w:val="000000" w:themeColor="text1"/>
        </w:rPr>
      </w:pPr>
      <w:r w:rsidRPr="00246D61">
        <w:rPr>
          <w:color w:val="000000" w:themeColor="text1"/>
        </w:rPr>
        <w:t xml:space="preserve">FDA has allocated </w:t>
      </w:r>
      <w:r w:rsidRPr="00246D61" w:rsidR="00797D1C">
        <w:rPr>
          <w:color w:val="000000" w:themeColor="text1"/>
        </w:rPr>
        <w:t xml:space="preserve">approximately </w:t>
      </w:r>
      <w:r w:rsidRPr="00246D61">
        <w:rPr>
          <w:color w:val="000000" w:themeColor="text1"/>
        </w:rPr>
        <w:t xml:space="preserve">5 FTEs to reviewing </w:t>
      </w:r>
      <w:r w:rsidRPr="00246D61" w:rsidR="00FE7E02">
        <w:rPr>
          <w:color w:val="000000" w:themeColor="text1"/>
        </w:rPr>
        <w:t xml:space="preserve">drug and biologic </w:t>
      </w:r>
      <w:r w:rsidRPr="00246D61">
        <w:rPr>
          <w:color w:val="000000" w:themeColor="text1"/>
        </w:rPr>
        <w:t xml:space="preserve">submissions under </w:t>
      </w:r>
      <w:r w:rsidRPr="00246D61" w:rsidR="00797D1C">
        <w:rPr>
          <w:color w:val="000000" w:themeColor="text1"/>
        </w:rPr>
        <w:t xml:space="preserve">the </w:t>
      </w:r>
      <w:r w:rsidRPr="00246D61" w:rsidR="00FE7E02">
        <w:rPr>
          <w:color w:val="000000" w:themeColor="text1"/>
        </w:rPr>
        <w:t>e</w:t>
      </w:r>
      <w:r w:rsidRPr="00246D61" w:rsidR="00797D1C">
        <w:rPr>
          <w:color w:val="000000" w:themeColor="text1"/>
        </w:rPr>
        <w:t xml:space="preserve">xpedited programs for </w:t>
      </w:r>
      <w:r w:rsidRPr="00246D61" w:rsidR="00FE7E02">
        <w:rPr>
          <w:color w:val="000000" w:themeColor="text1"/>
        </w:rPr>
        <w:t>s</w:t>
      </w:r>
      <w:r w:rsidRPr="00246D61" w:rsidR="00797D1C">
        <w:rPr>
          <w:color w:val="000000" w:themeColor="text1"/>
        </w:rPr>
        <w:t>erious conditions</w:t>
      </w:r>
      <w:r w:rsidRPr="00246D61" w:rsidR="00FE7E02">
        <w:rPr>
          <w:color w:val="000000" w:themeColor="text1"/>
        </w:rPr>
        <w:t>.</w:t>
      </w:r>
      <w:r w:rsidRPr="00246D61">
        <w:rPr>
          <w:color w:val="000000" w:themeColor="text1"/>
        </w:rPr>
        <w:t xml:space="preserve">  Where the cost of each FTE is approximately $325,348 (fully-loaded), the total cost burden to the Federal Government is estimated at $</w:t>
      </w:r>
      <w:r w:rsidRPr="00246D61" w:rsidR="00797D1C">
        <w:rPr>
          <w:color w:val="000000" w:themeColor="text1"/>
        </w:rPr>
        <w:t>1,626,740</w:t>
      </w:r>
      <w:r w:rsidRPr="00246D61">
        <w:rPr>
          <w:color w:val="000000" w:themeColor="text1"/>
        </w:rPr>
        <w:t>.  These costs are supplemented by industry submission of application and program user fees for prescription</w:t>
      </w:r>
      <w:r w:rsidRPr="00246D61" w:rsidR="00797D1C">
        <w:rPr>
          <w:color w:val="000000" w:themeColor="text1"/>
        </w:rPr>
        <w:t xml:space="preserve"> drug, biologic,</w:t>
      </w:r>
      <w:r w:rsidRPr="00246D61">
        <w:rPr>
          <w:color w:val="000000" w:themeColor="text1"/>
        </w:rPr>
        <w:t xml:space="preserve"> and generic drug </w:t>
      </w:r>
      <w:r w:rsidRPr="00246D61" w:rsidR="00797D1C">
        <w:rPr>
          <w:color w:val="000000" w:themeColor="text1"/>
        </w:rPr>
        <w:t>products</w:t>
      </w:r>
      <w:r w:rsidRPr="00246D61">
        <w:rPr>
          <w:color w:val="000000" w:themeColor="text1"/>
        </w:rPr>
        <w:t>.</w:t>
      </w:r>
    </w:p>
    <w:p w:rsidR="00F0472D" w:rsidRPr="00246D61" w:rsidP="007C4E2E" w14:paraId="7072840E" w14:textId="77777777">
      <w:pPr>
        <w:pStyle w:val="BodyText"/>
        <w:spacing w:after="0"/>
        <w:rPr>
          <w:color w:val="000000" w:themeColor="text1"/>
        </w:rPr>
      </w:pPr>
    </w:p>
    <w:p w:rsidR="00433902" w:rsidP="00433902" w14:paraId="3349A113" w14:textId="1BEF2DBE">
      <w:pPr>
        <w:numPr>
          <w:ilvl w:val="0"/>
          <w:numId w:val="6"/>
        </w:numPr>
        <w:ind w:left="0"/>
        <w:rPr>
          <w:rFonts w:eastAsia="Calibri"/>
          <w:color w:val="000000" w:themeColor="text1"/>
          <w:u w:val="single"/>
        </w:rPr>
      </w:pPr>
      <w:r w:rsidRPr="00246D61">
        <w:rPr>
          <w:rFonts w:eastAsia="Calibri"/>
          <w:color w:val="000000" w:themeColor="text1"/>
          <w:u w:val="single"/>
        </w:rPr>
        <w:t>Explanation for Program Changes or Adjustments</w:t>
      </w:r>
    </w:p>
    <w:p w:rsidR="00433902" w:rsidP="00433902" w14:paraId="41BA9935" w14:textId="2E944F29">
      <w:pPr>
        <w:rPr>
          <w:rFonts w:eastAsia="Calibri"/>
          <w:color w:val="000000" w:themeColor="text1"/>
          <w:u w:val="single"/>
        </w:rPr>
      </w:pPr>
    </w:p>
    <w:p w:rsidR="00433902" w:rsidP="00433902" w14:paraId="43043C6E" w14:textId="321742FA">
      <w:pPr>
        <w:pStyle w:val="BodyText"/>
        <w:spacing w:after="0"/>
        <w:rPr>
          <w:color w:val="000000" w:themeColor="text1"/>
        </w:rPr>
      </w:pPr>
      <w:r w:rsidRPr="00246D61">
        <w:rPr>
          <w:color w:val="000000" w:themeColor="text1"/>
        </w:rPr>
        <w:t>Based on a review of the information collection since our last request for OMB approval, we have increased our burden estimate by 14</w:t>
      </w:r>
      <w:r>
        <w:rPr>
          <w:color w:val="000000" w:themeColor="text1"/>
        </w:rPr>
        <w:t>3</w:t>
      </w:r>
      <w:r w:rsidRPr="00246D61">
        <w:rPr>
          <w:color w:val="000000" w:themeColor="text1"/>
        </w:rPr>
        <w:t xml:space="preserve"> responses and </w:t>
      </w:r>
      <w:r>
        <w:rPr>
          <w:color w:val="000000" w:themeColor="text1"/>
        </w:rPr>
        <w:t>10,350</w:t>
      </w:r>
      <w:r w:rsidRPr="00246D61">
        <w:rPr>
          <w:color w:val="000000" w:themeColor="text1"/>
        </w:rPr>
        <w:t xml:space="preserve"> hours to reflect actual submissions we have received.</w:t>
      </w:r>
      <w:r w:rsidR="004B31E8">
        <w:rPr>
          <w:color w:val="000000" w:themeColor="text1"/>
        </w:rPr>
        <w:t xml:space="preserve"> </w:t>
      </w:r>
      <w:r w:rsidR="000E7DBB">
        <w:rPr>
          <w:color w:val="000000" w:themeColor="text1"/>
        </w:rPr>
        <w:t>Also, w</w:t>
      </w:r>
      <w:r w:rsidR="008C337A">
        <w:rPr>
          <w:color w:val="000000" w:themeColor="text1"/>
        </w:rPr>
        <w:t xml:space="preserve">e have </w:t>
      </w:r>
      <w:r w:rsidR="000E7DBB">
        <w:rPr>
          <w:color w:val="000000" w:themeColor="text1"/>
        </w:rPr>
        <w:t xml:space="preserve">added the </w:t>
      </w:r>
      <w:r w:rsidR="000E7DBB">
        <w:rPr>
          <w:rFonts w:eastAsia="Calibri"/>
          <w:color w:val="000000" w:themeColor="text1"/>
        </w:rPr>
        <w:t>Regenerative Medicine Therapies for Serious Conditions</w:t>
      </w:r>
      <w:r w:rsidR="008C337A">
        <w:rPr>
          <w:color w:val="000000" w:themeColor="text1"/>
        </w:rPr>
        <w:t xml:space="preserve"> </w:t>
      </w:r>
      <w:r w:rsidR="000E7DBB">
        <w:rPr>
          <w:color w:val="000000" w:themeColor="text1"/>
        </w:rPr>
        <w:t xml:space="preserve">program </w:t>
      </w:r>
      <w:r w:rsidR="008C337A">
        <w:rPr>
          <w:color w:val="000000" w:themeColor="text1"/>
        </w:rPr>
        <w:t xml:space="preserve">to this information </w:t>
      </w:r>
      <w:r w:rsidR="000E7DBB">
        <w:rPr>
          <w:color w:val="000000" w:themeColor="text1"/>
        </w:rPr>
        <w:t>collection as another expedited program.  There is</w:t>
      </w:r>
      <w:r w:rsidRPr="00246D61">
        <w:rPr>
          <w:color w:val="000000" w:themeColor="text1"/>
        </w:rPr>
        <w:t xml:space="preserve"> increased interest in the expedited programs</w:t>
      </w:r>
      <w:r w:rsidR="000E7DBB">
        <w:rPr>
          <w:color w:val="000000" w:themeColor="text1"/>
        </w:rPr>
        <w:t xml:space="preserve"> and accelerated approval designations</w:t>
      </w:r>
      <w:r w:rsidRPr="00246D61">
        <w:rPr>
          <w:color w:val="000000" w:themeColor="text1"/>
        </w:rPr>
        <w:t>.</w:t>
      </w:r>
    </w:p>
    <w:p w:rsidR="00433902" w:rsidP="00433902" w14:paraId="7FB6CE94" w14:textId="77777777">
      <w:pPr>
        <w:rPr>
          <w:rFonts w:eastAsia="Calibri"/>
          <w:color w:val="000000" w:themeColor="text1"/>
          <w:u w:val="single"/>
        </w:rPr>
      </w:pPr>
    </w:p>
    <w:p w:rsidR="00433902" w:rsidP="00433902" w14:paraId="7FDBF50E" w14:textId="66CCEE62">
      <w:pPr>
        <w:numPr>
          <w:ilvl w:val="0"/>
          <w:numId w:val="6"/>
        </w:numPr>
        <w:ind w:left="0"/>
        <w:rPr>
          <w:rFonts w:eastAsia="Calibri"/>
          <w:color w:val="000000" w:themeColor="text1"/>
          <w:u w:val="single"/>
        </w:rPr>
      </w:pPr>
      <w:r w:rsidRPr="00433902">
        <w:rPr>
          <w:rFonts w:eastAsia="Calibri"/>
          <w:color w:val="000000" w:themeColor="text1"/>
          <w:u w:val="single"/>
        </w:rPr>
        <w:t>Plans for Tabulation and Publication and Project Time Schedule</w:t>
      </w:r>
    </w:p>
    <w:p w:rsidR="00433902" w:rsidP="00433902" w14:paraId="419F92B0" w14:textId="77777777">
      <w:pPr>
        <w:pStyle w:val="BodyText"/>
        <w:spacing w:after="0"/>
        <w:rPr>
          <w:color w:val="000000" w:themeColor="text1"/>
        </w:rPr>
      </w:pPr>
    </w:p>
    <w:p w:rsidR="00433902" w:rsidP="00433902" w14:paraId="5EE211DF" w14:textId="21CB45E0">
      <w:pPr>
        <w:pStyle w:val="BodyText"/>
        <w:spacing w:after="0"/>
        <w:rPr>
          <w:rFonts w:eastAsia="Calibri"/>
          <w:color w:val="000000" w:themeColor="text1"/>
          <w:u w:val="single"/>
        </w:rPr>
      </w:pPr>
      <w:r w:rsidRPr="00246D61">
        <w:rPr>
          <w:color w:val="000000" w:themeColor="text1"/>
        </w:rPr>
        <w:t>There are no tabulated results to publish for this information collection.</w:t>
      </w:r>
    </w:p>
    <w:p w:rsidR="00433902" w:rsidP="00433902" w14:paraId="29B01ABA" w14:textId="77777777">
      <w:pPr>
        <w:rPr>
          <w:rFonts w:eastAsia="Calibri"/>
          <w:color w:val="000000" w:themeColor="text1"/>
          <w:u w:val="single"/>
        </w:rPr>
      </w:pPr>
    </w:p>
    <w:p w:rsidR="00433902" w:rsidP="00433902" w14:paraId="47538DE5" w14:textId="57C600C6">
      <w:pPr>
        <w:numPr>
          <w:ilvl w:val="0"/>
          <w:numId w:val="6"/>
        </w:numPr>
        <w:ind w:left="0"/>
        <w:rPr>
          <w:rFonts w:eastAsia="Calibri"/>
          <w:color w:val="000000" w:themeColor="text1"/>
          <w:u w:val="single"/>
        </w:rPr>
      </w:pPr>
      <w:r>
        <w:rPr>
          <w:rFonts w:eastAsia="Calibri"/>
          <w:color w:val="000000" w:themeColor="text1"/>
          <w:u w:val="single"/>
        </w:rPr>
        <w:t>Reason(s) Display of OMB Expiration Date</w:t>
      </w:r>
    </w:p>
    <w:p w:rsidR="00433902" w:rsidP="00433902" w14:paraId="1FC3E719" w14:textId="77777777"/>
    <w:p w:rsidR="00433902" w:rsidP="00433902" w14:paraId="62188F22" w14:textId="1C3F1B7B">
      <w:pPr>
        <w:rPr>
          <w:rFonts w:eastAsia="Calibri"/>
          <w:color w:val="000000" w:themeColor="text1"/>
          <w:u w:val="single"/>
        </w:rPr>
      </w:pPr>
      <w:r>
        <w:t xml:space="preserve">Consistent with established practice FDA will publish a </w:t>
      </w:r>
      <w:r w:rsidRPr="00433902">
        <w:rPr>
          <w:i/>
          <w:iCs/>
        </w:rPr>
        <w:t>Federal Register</w:t>
      </w:r>
      <w:r>
        <w:t xml:space="preserve"> notice announcing OMB approval of the information collection associated with this guidance document and will display in that notice both the OMB control number and its current expiration </w:t>
      </w:r>
      <w:r w:rsidRPr="00302F2E">
        <w:t xml:space="preserve">date. In addition, the OMB control number will be displayed on the guidance document cover page and include a link to </w:t>
      </w:r>
      <w:hyperlink r:id="rId9" w:history="1">
        <w:r w:rsidRPr="00302F2E">
          <w:rPr>
            <w:rStyle w:val="Hyperlink"/>
          </w:rPr>
          <w:t>www.reginfo.gov</w:t>
        </w:r>
      </w:hyperlink>
      <w:r w:rsidRPr="00302F2E">
        <w:t xml:space="preserve"> to identify the current expiration date. </w:t>
      </w:r>
    </w:p>
    <w:p w:rsidR="00433902" w:rsidP="00433902" w14:paraId="674BB42A" w14:textId="77777777">
      <w:pPr>
        <w:pStyle w:val="ListParagraph"/>
        <w:rPr>
          <w:rFonts w:eastAsia="Calibri"/>
          <w:color w:val="000000" w:themeColor="text1"/>
          <w:u w:val="single"/>
        </w:rPr>
      </w:pPr>
    </w:p>
    <w:p w:rsidR="00433902" w:rsidRPr="00433902" w:rsidP="00433902" w14:paraId="267B67D9" w14:textId="35545CDA">
      <w:pPr>
        <w:numPr>
          <w:ilvl w:val="0"/>
          <w:numId w:val="6"/>
        </w:numPr>
        <w:ind w:left="0"/>
        <w:rPr>
          <w:rFonts w:eastAsia="Calibri"/>
          <w:color w:val="000000" w:themeColor="text1"/>
          <w:u w:val="single"/>
        </w:rPr>
      </w:pPr>
      <w:r>
        <w:rPr>
          <w:rFonts w:eastAsia="Calibri"/>
          <w:color w:val="000000" w:themeColor="text1"/>
          <w:u w:val="single"/>
        </w:rPr>
        <w:t xml:space="preserve">Exceptions to </w:t>
      </w:r>
      <w:r w:rsidRPr="00246D61">
        <w:rPr>
          <w:color w:val="000000" w:themeColor="text1"/>
          <w:u w:val="single" w:color="000000"/>
        </w:rPr>
        <w:t>Certification for Paperwork Reduction Act Submissions</w:t>
      </w:r>
    </w:p>
    <w:p w:rsidR="00433902" w:rsidP="00433902" w14:paraId="0835AFAB" w14:textId="77777777">
      <w:pPr>
        <w:pStyle w:val="ListParagraph"/>
        <w:rPr>
          <w:rFonts w:eastAsia="Calibri"/>
          <w:color w:val="000000" w:themeColor="text1"/>
          <w:u w:val="single"/>
        </w:rPr>
      </w:pPr>
    </w:p>
    <w:p w:rsidR="00433902" w:rsidRPr="00433902" w:rsidP="00433902" w14:paraId="007AF5D5" w14:textId="573F09F9">
      <w:pPr>
        <w:rPr>
          <w:rFonts w:eastAsia="Calibri"/>
          <w:color w:val="000000" w:themeColor="text1"/>
        </w:rPr>
      </w:pPr>
      <w:r>
        <w:rPr>
          <w:rFonts w:eastAsia="Calibri"/>
          <w:color w:val="000000" w:themeColor="text1"/>
        </w:rPr>
        <w:t xml:space="preserve">There are no exceptions to the certification. </w:t>
      </w:r>
    </w:p>
    <w:p w:rsidR="00433902" w:rsidRPr="00246D61" w:rsidP="00433902" w14:paraId="5F8B0BFC" w14:textId="2041FDBF">
      <w:pPr>
        <w:pStyle w:val="BodyText"/>
        <w:widowControl w:val="0"/>
        <w:tabs>
          <w:tab w:val="left" w:pos="540"/>
        </w:tabs>
        <w:spacing w:after="0"/>
        <w:ind w:left="360"/>
        <w:rPr>
          <w:color w:val="000000" w:themeColor="text1"/>
        </w:rPr>
      </w:pPr>
    </w:p>
    <w:p w:rsidR="00544138" w:rsidRPr="00246D61" w:rsidP="000D1B52" w14:paraId="2454B526" w14:textId="77777777">
      <w:pPr>
        <w:rPr>
          <w:rFonts w:eastAsia="Calibri"/>
          <w:color w:val="000000" w:themeColor="text1"/>
        </w:rPr>
      </w:pPr>
    </w:p>
    <w:sectPr w:rsidSect="00E74F10">
      <w:footerReference w:type="even" r:id="rId10"/>
      <w:footerReference w:type="default" r:id="rId11"/>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B52" w:rsidP="003F3DF5" w14:paraId="7B0A3E16" w14:textId="17893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522D">
      <w:rPr>
        <w:rStyle w:val="PageNumber"/>
        <w:noProof/>
      </w:rPr>
      <w:t>2</w:t>
    </w:r>
    <w:r>
      <w:rPr>
        <w:rStyle w:val="PageNumber"/>
      </w:rPr>
      <w:fldChar w:fldCharType="end"/>
    </w:r>
  </w:p>
  <w:p w:rsidR="000D1B52" w14:paraId="52FCCE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F10" w14:paraId="1E4453AC" w14:textId="77777777">
    <w:pPr>
      <w:pStyle w:val="Footer"/>
    </w:pPr>
  </w:p>
  <w:p w:rsidR="00E74F10" w:rsidP="00E74F10" w14:paraId="3E4A9F9D" w14:textId="77777777">
    <w:pPr>
      <w:pStyle w:val="Footer"/>
      <w:framePr w:wrap="around" w:vAnchor="text" w:hAnchor="margin" w:xAlign="center" w:y="8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E74F10" w14:paraId="4FDA115E" w14:textId="77777777">
    <w:pPr>
      <w:pStyle w:val="Footer"/>
    </w:pPr>
  </w:p>
  <w:p w:rsidR="00E74F10" w14:paraId="7BD919F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67B4D"/>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AF61D4B"/>
    <w:multiLevelType w:val="hybridMultilevel"/>
    <w:tmpl w:val="54023FCE"/>
    <w:lvl w:ilvl="0">
      <w:start w:val="1"/>
      <w:numFmt w:val="decimal"/>
      <w:lvlText w:val="%1."/>
      <w:lvlJc w:val="left"/>
      <w:pPr>
        <w:ind w:left="456" w:hanging="360"/>
      </w:pPr>
      <w:rPr>
        <w:rFonts w:hint="default"/>
      </w:rPr>
    </w:lvl>
    <w:lvl w:ilvl="1" w:tentative="1">
      <w:start w:val="1"/>
      <w:numFmt w:val="lowerLetter"/>
      <w:lvlText w:val="%2."/>
      <w:lvlJc w:val="left"/>
      <w:pPr>
        <w:ind w:left="1176" w:hanging="360"/>
      </w:pPr>
    </w:lvl>
    <w:lvl w:ilvl="2" w:tentative="1">
      <w:start w:val="1"/>
      <w:numFmt w:val="lowerRoman"/>
      <w:lvlText w:val="%3."/>
      <w:lvlJc w:val="right"/>
      <w:pPr>
        <w:ind w:left="1896" w:hanging="180"/>
      </w:pPr>
    </w:lvl>
    <w:lvl w:ilvl="3" w:tentative="1">
      <w:start w:val="1"/>
      <w:numFmt w:val="decimal"/>
      <w:lvlText w:val="%4."/>
      <w:lvlJc w:val="left"/>
      <w:pPr>
        <w:ind w:left="2616" w:hanging="360"/>
      </w:pPr>
    </w:lvl>
    <w:lvl w:ilvl="4" w:tentative="1">
      <w:start w:val="1"/>
      <w:numFmt w:val="lowerLetter"/>
      <w:lvlText w:val="%5."/>
      <w:lvlJc w:val="left"/>
      <w:pPr>
        <w:ind w:left="3336" w:hanging="360"/>
      </w:pPr>
    </w:lvl>
    <w:lvl w:ilvl="5" w:tentative="1">
      <w:start w:val="1"/>
      <w:numFmt w:val="lowerRoman"/>
      <w:lvlText w:val="%6."/>
      <w:lvlJc w:val="right"/>
      <w:pPr>
        <w:ind w:left="4056" w:hanging="180"/>
      </w:pPr>
    </w:lvl>
    <w:lvl w:ilvl="6" w:tentative="1">
      <w:start w:val="1"/>
      <w:numFmt w:val="decimal"/>
      <w:lvlText w:val="%7."/>
      <w:lvlJc w:val="left"/>
      <w:pPr>
        <w:ind w:left="4776" w:hanging="360"/>
      </w:pPr>
    </w:lvl>
    <w:lvl w:ilvl="7" w:tentative="1">
      <w:start w:val="1"/>
      <w:numFmt w:val="lowerLetter"/>
      <w:lvlText w:val="%8."/>
      <w:lvlJc w:val="left"/>
      <w:pPr>
        <w:ind w:left="5496" w:hanging="360"/>
      </w:pPr>
    </w:lvl>
    <w:lvl w:ilvl="8" w:tentative="1">
      <w:start w:val="1"/>
      <w:numFmt w:val="lowerRoman"/>
      <w:lvlText w:val="%9."/>
      <w:lvlJc w:val="right"/>
      <w:pPr>
        <w:ind w:left="6216" w:hanging="180"/>
      </w:p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44F38E3"/>
    <w:multiLevelType w:val="hybridMultilevel"/>
    <w:tmpl w:val="37A4004C"/>
    <w:lvl w:ilvl="0">
      <w:start w:val="1"/>
      <w:numFmt w:val="decimal"/>
      <w:lvlText w:val="%1."/>
      <w:lvlJc w:val="left"/>
      <w:pPr>
        <w:ind w:left="120" w:hanging="241"/>
      </w:pPr>
      <w:rPr>
        <w:rFonts w:ascii="Times New Roman" w:eastAsia="Times New Roman" w:hAnsi="Times New Roman" w:hint="default"/>
        <w:sz w:val="24"/>
        <w:szCs w:val="24"/>
      </w:rPr>
    </w:lvl>
    <w:lvl w:ilvl="1">
      <w:start w:val="1"/>
      <w:numFmt w:val="bullet"/>
      <w:lvlText w:val="•"/>
      <w:lvlJc w:val="left"/>
      <w:pPr>
        <w:ind w:left="1066" w:hanging="241"/>
      </w:pPr>
      <w:rPr>
        <w:rFonts w:hint="default"/>
      </w:rPr>
    </w:lvl>
    <w:lvl w:ilvl="2">
      <w:start w:val="1"/>
      <w:numFmt w:val="bullet"/>
      <w:lvlText w:val="•"/>
      <w:lvlJc w:val="left"/>
      <w:pPr>
        <w:ind w:left="2012" w:hanging="241"/>
      </w:pPr>
      <w:rPr>
        <w:rFonts w:hint="default"/>
      </w:rPr>
    </w:lvl>
    <w:lvl w:ilvl="3">
      <w:start w:val="1"/>
      <w:numFmt w:val="bullet"/>
      <w:lvlText w:val="•"/>
      <w:lvlJc w:val="left"/>
      <w:pPr>
        <w:ind w:left="2958" w:hanging="241"/>
      </w:pPr>
      <w:rPr>
        <w:rFonts w:hint="default"/>
      </w:rPr>
    </w:lvl>
    <w:lvl w:ilvl="4">
      <w:start w:val="1"/>
      <w:numFmt w:val="bullet"/>
      <w:lvlText w:val="•"/>
      <w:lvlJc w:val="left"/>
      <w:pPr>
        <w:ind w:left="3904" w:hanging="241"/>
      </w:pPr>
      <w:rPr>
        <w:rFonts w:hint="default"/>
      </w:rPr>
    </w:lvl>
    <w:lvl w:ilvl="5">
      <w:start w:val="1"/>
      <w:numFmt w:val="bullet"/>
      <w:lvlText w:val="•"/>
      <w:lvlJc w:val="left"/>
      <w:pPr>
        <w:ind w:left="4850" w:hanging="241"/>
      </w:pPr>
      <w:rPr>
        <w:rFonts w:hint="default"/>
      </w:rPr>
    </w:lvl>
    <w:lvl w:ilvl="6">
      <w:start w:val="1"/>
      <w:numFmt w:val="bullet"/>
      <w:lvlText w:val="•"/>
      <w:lvlJc w:val="left"/>
      <w:pPr>
        <w:ind w:left="5796" w:hanging="241"/>
      </w:pPr>
      <w:rPr>
        <w:rFonts w:hint="default"/>
      </w:rPr>
    </w:lvl>
    <w:lvl w:ilvl="7">
      <w:start w:val="1"/>
      <w:numFmt w:val="bullet"/>
      <w:lvlText w:val="•"/>
      <w:lvlJc w:val="left"/>
      <w:pPr>
        <w:ind w:left="6742" w:hanging="241"/>
      </w:pPr>
      <w:rPr>
        <w:rFonts w:hint="default"/>
      </w:rPr>
    </w:lvl>
    <w:lvl w:ilvl="8">
      <w:start w:val="1"/>
      <w:numFmt w:val="bullet"/>
      <w:lvlText w:val="•"/>
      <w:lvlJc w:val="left"/>
      <w:pPr>
        <w:ind w:left="7688" w:hanging="241"/>
      </w:pPr>
      <w:rPr>
        <w:rFonts w:hint="default"/>
      </w:rPr>
    </w:lvl>
  </w:abstractNum>
  <w:abstractNum w:abstractNumId="10">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C186908"/>
    <w:multiLevelType w:val="hybridMultilevel"/>
    <w:tmpl w:val="36D02396"/>
    <w:lvl w:ilvl="0">
      <w:start w:val="1"/>
      <w:numFmt w:val="decimal"/>
      <w:lvlText w:val="%1."/>
      <w:lvlJc w:val="left"/>
      <w:pPr>
        <w:ind w:left="456" w:hanging="360"/>
      </w:pPr>
      <w:rPr>
        <w:rFonts w:hint="default"/>
      </w:rPr>
    </w:lvl>
    <w:lvl w:ilvl="1" w:tentative="1">
      <w:start w:val="1"/>
      <w:numFmt w:val="lowerLetter"/>
      <w:lvlText w:val="%2."/>
      <w:lvlJc w:val="left"/>
      <w:pPr>
        <w:ind w:left="1176" w:hanging="360"/>
      </w:pPr>
    </w:lvl>
    <w:lvl w:ilvl="2" w:tentative="1">
      <w:start w:val="1"/>
      <w:numFmt w:val="lowerRoman"/>
      <w:lvlText w:val="%3."/>
      <w:lvlJc w:val="right"/>
      <w:pPr>
        <w:ind w:left="1896" w:hanging="180"/>
      </w:pPr>
    </w:lvl>
    <w:lvl w:ilvl="3" w:tentative="1">
      <w:start w:val="1"/>
      <w:numFmt w:val="decimal"/>
      <w:lvlText w:val="%4."/>
      <w:lvlJc w:val="left"/>
      <w:pPr>
        <w:ind w:left="2616" w:hanging="360"/>
      </w:pPr>
    </w:lvl>
    <w:lvl w:ilvl="4" w:tentative="1">
      <w:start w:val="1"/>
      <w:numFmt w:val="lowerLetter"/>
      <w:lvlText w:val="%5."/>
      <w:lvlJc w:val="left"/>
      <w:pPr>
        <w:ind w:left="3336" w:hanging="360"/>
      </w:pPr>
    </w:lvl>
    <w:lvl w:ilvl="5" w:tentative="1">
      <w:start w:val="1"/>
      <w:numFmt w:val="lowerRoman"/>
      <w:lvlText w:val="%6."/>
      <w:lvlJc w:val="right"/>
      <w:pPr>
        <w:ind w:left="4056" w:hanging="180"/>
      </w:pPr>
    </w:lvl>
    <w:lvl w:ilvl="6" w:tentative="1">
      <w:start w:val="1"/>
      <w:numFmt w:val="decimal"/>
      <w:lvlText w:val="%7."/>
      <w:lvlJc w:val="left"/>
      <w:pPr>
        <w:ind w:left="4776" w:hanging="360"/>
      </w:pPr>
    </w:lvl>
    <w:lvl w:ilvl="7" w:tentative="1">
      <w:start w:val="1"/>
      <w:numFmt w:val="lowerLetter"/>
      <w:lvlText w:val="%8."/>
      <w:lvlJc w:val="left"/>
      <w:pPr>
        <w:ind w:left="5496" w:hanging="360"/>
      </w:pPr>
    </w:lvl>
    <w:lvl w:ilvl="8" w:tentative="1">
      <w:start w:val="1"/>
      <w:numFmt w:val="lowerRoman"/>
      <w:lvlText w:val="%9."/>
      <w:lvlJc w:val="right"/>
      <w:pPr>
        <w:ind w:left="6216" w:hanging="180"/>
      </w:pPr>
    </w:lvl>
  </w:abstractNum>
  <w:num w:numId="1" w16cid:durableId="110756439">
    <w:abstractNumId w:val="7"/>
  </w:num>
  <w:num w:numId="2" w16cid:durableId="1599295761">
    <w:abstractNumId w:val="2"/>
  </w:num>
  <w:num w:numId="3" w16cid:durableId="1237016798">
    <w:abstractNumId w:val="8"/>
  </w:num>
  <w:num w:numId="4" w16cid:durableId="695811455">
    <w:abstractNumId w:val="5"/>
  </w:num>
  <w:num w:numId="5" w16cid:durableId="1553039342">
    <w:abstractNumId w:val="10"/>
  </w:num>
  <w:num w:numId="6" w16cid:durableId="1238973652">
    <w:abstractNumId w:val="1"/>
  </w:num>
  <w:num w:numId="7" w16cid:durableId="2126390250">
    <w:abstractNumId w:val="3"/>
  </w:num>
  <w:num w:numId="8" w16cid:durableId="552622921">
    <w:abstractNumId w:val="6"/>
  </w:num>
  <w:num w:numId="9" w16cid:durableId="1985232805">
    <w:abstractNumId w:val="9"/>
  </w:num>
  <w:num w:numId="10" w16cid:durableId="599335363">
    <w:abstractNumId w:val="4"/>
  </w:num>
  <w:num w:numId="11" w16cid:durableId="339309308">
    <w:abstractNumId w:val="11"/>
  </w:num>
  <w:num w:numId="12" w16cid:durableId="6326396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695"/>
    <w:rsid w:val="0002592F"/>
    <w:rsid w:val="00031448"/>
    <w:rsid w:val="00031A2C"/>
    <w:rsid w:val="00042B93"/>
    <w:rsid w:val="00043C7F"/>
    <w:rsid w:val="000467A8"/>
    <w:rsid w:val="00063398"/>
    <w:rsid w:val="0006570F"/>
    <w:rsid w:val="00075DE8"/>
    <w:rsid w:val="00087439"/>
    <w:rsid w:val="000C1260"/>
    <w:rsid w:val="000C560C"/>
    <w:rsid w:val="000D032A"/>
    <w:rsid w:val="000D080B"/>
    <w:rsid w:val="000D1B52"/>
    <w:rsid w:val="000D48FD"/>
    <w:rsid w:val="000D79CC"/>
    <w:rsid w:val="000E1C64"/>
    <w:rsid w:val="000E7DBB"/>
    <w:rsid w:val="000F7119"/>
    <w:rsid w:val="00100739"/>
    <w:rsid w:val="001046E6"/>
    <w:rsid w:val="0010493E"/>
    <w:rsid w:val="001075D3"/>
    <w:rsid w:val="00107885"/>
    <w:rsid w:val="00114FC4"/>
    <w:rsid w:val="0012329C"/>
    <w:rsid w:val="00133518"/>
    <w:rsid w:val="00134FA7"/>
    <w:rsid w:val="00137950"/>
    <w:rsid w:val="00152F29"/>
    <w:rsid w:val="00154DE6"/>
    <w:rsid w:val="00161B9C"/>
    <w:rsid w:val="001701FD"/>
    <w:rsid w:val="00174D54"/>
    <w:rsid w:val="0017702C"/>
    <w:rsid w:val="00185270"/>
    <w:rsid w:val="001A0D6B"/>
    <w:rsid w:val="001A3B5A"/>
    <w:rsid w:val="001B7CE9"/>
    <w:rsid w:val="001D29DF"/>
    <w:rsid w:val="001D495A"/>
    <w:rsid w:val="001E244C"/>
    <w:rsid w:val="001F1437"/>
    <w:rsid w:val="00206799"/>
    <w:rsid w:val="002074FE"/>
    <w:rsid w:val="00212F17"/>
    <w:rsid w:val="00220E98"/>
    <w:rsid w:val="00220EA8"/>
    <w:rsid w:val="0022425B"/>
    <w:rsid w:val="002259EF"/>
    <w:rsid w:val="00242ED1"/>
    <w:rsid w:val="002444BB"/>
    <w:rsid w:val="00246D61"/>
    <w:rsid w:val="002523E0"/>
    <w:rsid w:val="00254069"/>
    <w:rsid w:val="00255C40"/>
    <w:rsid w:val="00262C66"/>
    <w:rsid w:val="00270748"/>
    <w:rsid w:val="002734E5"/>
    <w:rsid w:val="00273BEC"/>
    <w:rsid w:val="002746DB"/>
    <w:rsid w:val="00280CAF"/>
    <w:rsid w:val="00282F09"/>
    <w:rsid w:val="00285994"/>
    <w:rsid w:val="00291810"/>
    <w:rsid w:val="00294D62"/>
    <w:rsid w:val="00297532"/>
    <w:rsid w:val="00297FFD"/>
    <w:rsid w:val="002A1210"/>
    <w:rsid w:val="002A47D2"/>
    <w:rsid w:val="002A7FB5"/>
    <w:rsid w:val="002B2074"/>
    <w:rsid w:val="002D14D8"/>
    <w:rsid w:val="002D3F79"/>
    <w:rsid w:val="002D4799"/>
    <w:rsid w:val="002E3FA4"/>
    <w:rsid w:val="002E53A5"/>
    <w:rsid w:val="002E64B8"/>
    <w:rsid w:val="002E6834"/>
    <w:rsid w:val="00302F2E"/>
    <w:rsid w:val="003055AA"/>
    <w:rsid w:val="00307D0D"/>
    <w:rsid w:val="003113FF"/>
    <w:rsid w:val="00312622"/>
    <w:rsid w:val="0032277F"/>
    <w:rsid w:val="00325C71"/>
    <w:rsid w:val="00336B69"/>
    <w:rsid w:val="00342438"/>
    <w:rsid w:val="0034302B"/>
    <w:rsid w:val="00347D82"/>
    <w:rsid w:val="00350523"/>
    <w:rsid w:val="0035189D"/>
    <w:rsid w:val="00355B62"/>
    <w:rsid w:val="00357C8A"/>
    <w:rsid w:val="003722AA"/>
    <w:rsid w:val="003740BC"/>
    <w:rsid w:val="0037456B"/>
    <w:rsid w:val="003801A3"/>
    <w:rsid w:val="00383D90"/>
    <w:rsid w:val="003870AE"/>
    <w:rsid w:val="003A1A27"/>
    <w:rsid w:val="003A50CC"/>
    <w:rsid w:val="003B42B3"/>
    <w:rsid w:val="003B6384"/>
    <w:rsid w:val="003C0FE2"/>
    <w:rsid w:val="003C4EBB"/>
    <w:rsid w:val="003D1531"/>
    <w:rsid w:val="003E33FB"/>
    <w:rsid w:val="003E4EC6"/>
    <w:rsid w:val="003E527E"/>
    <w:rsid w:val="003E553E"/>
    <w:rsid w:val="003E7078"/>
    <w:rsid w:val="003F3DF5"/>
    <w:rsid w:val="003F73B8"/>
    <w:rsid w:val="00400E5D"/>
    <w:rsid w:val="0040297E"/>
    <w:rsid w:val="00411D11"/>
    <w:rsid w:val="00414494"/>
    <w:rsid w:val="00415E23"/>
    <w:rsid w:val="0041670D"/>
    <w:rsid w:val="00423272"/>
    <w:rsid w:val="00424061"/>
    <w:rsid w:val="00433902"/>
    <w:rsid w:val="0044004F"/>
    <w:rsid w:val="00442A3C"/>
    <w:rsid w:val="00443969"/>
    <w:rsid w:val="00447D74"/>
    <w:rsid w:val="00450A74"/>
    <w:rsid w:val="004546BF"/>
    <w:rsid w:val="00465350"/>
    <w:rsid w:val="00476B91"/>
    <w:rsid w:val="004846BF"/>
    <w:rsid w:val="00486DA3"/>
    <w:rsid w:val="00493165"/>
    <w:rsid w:val="00494912"/>
    <w:rsid w:val="004A5323"/>
    <w:rsid w:val="004A5A99"/>
    <w:rsid w:val="004B31E8"/>
    <w:rsid w:val="004C0305"/>
    <w:rsid w:val="004C23E5"/>
    <w:rsid w:val="004C6452"/>
    <w:rsid w:val="004C6979"/>
    <w:rsid w:val="004D13A2"/>
    <w:rsid w:val="004D3E7A"/>
    <w:rsid w:val="004D7D36"/>
    <w:rsid w:val="004E4275"/>
    <w:rsid w:val="004F58DE"/>
    <w:rsid w:val="004F594B"/>
    <w:rsid w:val="004F61E1"/>
    <w:rsid w:val="005019DD"/>
    <w:rsid w:val="0053380B"/>
    <w:rsid w:val="00543194"/>
    <w:rsid w:val="00544138"/>
    <w:rsid w:val="00551A4E"/>
    <w:rsid w:val="00554E34"/>
    <w:rsid w:val="00556E75"/>
    <w:rsid w:val="005741FB"/>
    <w:rsid w:val="00576232"/>
    <w:rsid w:val="00577986"/>
    <w:rsid w:val="00584583"/>
    <w:rsid w:val="00590E90"/>
    <w:rsid w:val="00590EEB"/>
    <w:rsid w:val="005A4099"/>
    <w:rsid w:val="005C38B2"/>
    <w:rsid w:val="005C5029"/>
    <w:rsid w:val="005C55C2"/>
    <w:rsid w:val="005C71CA"/>
    <w:rsid w:val="005C745C"/>
    <w:rsid w:val="005D4DF5"/>
    <w:rsid w:val="005E42BA"/>
    <w:rsid w:val="005F30C2"/>
    <w:rsid w:val="005F7D17"/>
    <w:rsid w:val="006016FF"/>
    <w:rsid w:val="00604BAC"/>
    <w:rsid w:val="00611D6B"/>
    <w:rsid w:val="00625CFD"/>
    <w:rsid w:val="006326EC"/>
    <w:rsid w:val="00646303"/>
    <w:rsid w:val="00647A11"/>
    <w:rsid w:val="00663A42"/>
    <w:rsid w:val="006641C7"/>
    <w:rsid w:val="006705EA"/>
    <w:rsid w:val="00670BE2"/>
    <w:rsid w:val="006822BF"/>
    <w:rsid w:val="006916D9"/>
    <w:rsid w:val="006A0E05"/>
    <w:rsid w:val="006A1F59"/>
    <w:rsid w:val="006A26C6"/>
    <w:rsid w:val="006A465A"/>
    <w:rsid w:val="006A7D5D"/>
    <w:rsid w:val="006D0C12"/>
    <w:rsid w:val="006D5D57"/>
    <w:rsid w:val="006E2538"/>
    <w:rsid w:val="006E302F"/>
    <w:rsid w:val="006F22F0"/>
    <w:rsid w:val="006F4D6D"/>
    <w:rsid w:val="00705086"/>
    <w:rsid w:val="00722001"/>
    <w:rsid w:val="00751E66"/>
    <w:rsid w:val="00754497"/>
    <w:rsid w:val="00787C39"/>
    <w:rsid w:val="00792947"/>
    <w:rsid w:val="00795DF3"/>
    <w:rsid w:val="00797D1C"/>
    <w:rsid w:val="007A373C"/>
    <w:rsid w:val="007A6092"/>
    <w:rsid w:val="007B225C"/>
    <w:rsid w:val="007C4E2E"/>
    <w:rsid w:val="007C75B1"/>
    <w:rsid w:val="007D3DFC"/>
    <w:rsid w:val="007E2F07"/>
    <w:rsid w:val="007E59A8"/>
    <w:rsid w:val="007F40EE"/>
    <w:rsid w:val="0080776D"/>
    <w:rsid w:val="00810145"/>
    <w:rsid w:val="008108FA"/>
    <w:rsid w:val="00810FF1"/>
    <w:rsid w:val="00813F60"/>
    <w:rsid w:val="00822336"/>
    <w:rsid w:val="00823DFA"/>
    <w:rsid w:val="00842DB7"/>
    <w:rsid w:val="00843752"/>
    <w:rsid w:val="0084479F"/>
    <w:rsid w:val="0085725E"/>
    <w:rsid w:val="008636EA"/>
    <w:rsid w:val="00873D4F"/>
    <w:rsid w:val="0087509F"/>
    <w:rsid w:val="008807D2"/>
    <w:rsid w:val="00885B09"/>
    <w:rsid w:val="00892400"/>
    <w:rsid w:val="008A209D"/>
    <w:rsid w:val="008A22BB"/>
    <w:rsid w:val="008B035D"/>
    <w:rsid w:val="008B0E29"/>
    <w:rsid w:val="008B0EFA"/>
    <w:rsid w:val="008B30AB"/>
    <w:rsid w:val="008B57E5"/>
    <w:rsid w:val="008C337A"/>
    <w:rsid w:val="008C3BB8"/>
    <w:rsid w:val="008C4B65"/>
    <w:rsid w:val="008E5F55"/>
    <w:rsid w:val="009009E7"/>
    <w:rsid w:val="00905DEF"/>
    <w:rsid w:val="00906056"/>
    <w:rsid w:val="009122AE"/>
    <w:rsid w:val="00913B43"/>
    <w:rsid w:val="00930203"/>
    <w:rsid w:val="009311D2"/>
    <w:rsid w:val="009311E6"/>
    <w:rsid w:val="00931275"/>
    <w:rsid w:val="00936AC7"/>
    <w:rsid w:val="0094721A"/>
    <w:rsid w:val="00953B64"/>
    <w:rsid w:val="009646A7"/>
    <w:rsid w:val="00970A88"/>
    <w:rsid w:val="009818A1"/>
    <w:rsid w:val="00985972"/>
    <w:rsid w:val="00993146"/>
    <w:rsid w:val="009A1674"/>
    <w:rsid w:val="009B38BE"/>
    <w:rsid w:val="009B4419"/>
    <w:rsid w:val="009B4DF2"/>
    <w:rsid w:val="009C684F"/>
    <w:rsid w:val="009D074C"/>
    <w:rsid w:val="009D6E73"/>
    <w:rsid w:val="009D73C2"/>
    <w:rsid w:val="009F1F1D"/>
    <w:rsid w:val="009F2B4F"/>
    <w:rsid w:val="009F3C63"/>
    <w:rsid w:val="009F66B5"/>
    <w:rsid w:val="00A02F10"/>
    <w:rsid w:val="00A1060C"/>
    <w:rsid w:val="00A11E9C"/>
    <w:rsid w:val="00A16221"/>
    <w:rsid w:val="00A20A7D"/>
    <w:rsid w:val="00A35D42"/>
    <w:rsid w:val="00A44AD5"/>
    <w:rsid w:val="00A46CCF"/>
    <w:rsid w:val="00A506DE"/>
    <w:rsid w:val="00A53451"/>
    <w:rsid w:val="00A63758"/>
    <w:rsid w:val="00A70426"/>
    <w:rsid w:val="00A707CC"/>
    <w:rsid w:val="00A71410"/>
    <w:rsid w:val="00A76762"/>
    <w:rsid w:val="00A84FDE"/>
    <w:rsid w:val="00A91E9A"/>
    <w:rsid w:val="00A93ED9"/>
    <w:rsid w:val="00A96221"/>
    <w:rsid w:val="00AC2A44"/>
    <w:rsid w:val="00AC2DBB"/>
    <w:rsid w:val="00AC6A99"/>
    <w:rsid w:val="00AD6048"/>
    <w:rsid w:val="00AE6ADC"/>
    <w:rsid w:val="00B055EF"/>
    <w:rsid w:val="00B06B5B"/>
    <w:rsid w:val="00B23769"/>
    <w:rsid w:val="00B41789"/>
    <w:rsid w:val="00B47EE7"/>
    <w:rsid w:val="00B65DA1"/>
    <w:rsid w:val="00B81808"/>
    <w:rsid w:val="00B818CC"/>
    <w:rsid w:val="00B86DFA"/>
    <w:rsid w:val="00B936D0"/>
    <w:rsid w:val="00BA7492"/>
    <w:rsid w:val="00BB0174"/>
    <w:rsid w:val="00BB15FB"/>
    <w:rsid w:val="00BD3D5B"/>
    <w:rsid w:val="00BE3600"/>
    <w:rsid w:val="00BF6949"/>
    <w:rsid w:val="00C01F6F"/>
    <w:rsid w:val="00C041EA"/>
    <w:rsid w:val="00C13BBD"/>
    <w:rsid w:val="00C149AB"/>
    <w:rsid w:val="00C16929"/>
    <w:rsid w:val="00C20690"/>
    <w:rsid w:val="00C24450"/>
    <w:rsid w:val="00C34972"/>
    <w:rsid w:val="00C36020"/>
    <w:rsid w:val="00C40694"/>
    <w:rsid w:val="00C42ACF"/>
    <w:rsid w:val="00C446BB"/>
    <w:rsid w:val="00C44916"/>
    <w:rsid w:val="00C46A00"/>
    <w:rsid w:val="00C479BF"/>
    <w:rsid w:val="00C5124B"/>
    <w:rsid w:val="00C57BAE"/>
    <w:rsid w:val="00C60B3E"/>
    <w:rsid w:val="00C70542"/>
    <w:rsid w:val="00C75CBF"/>
    <w:rsid w:val="00C8522D"/>
    <w:rsid w:val="00C91E27"/>
    <w:rsid w:val="00C933A1"/>
    <w:rsid w:val="00CA1B86"/>
    <w:rsid w:val="00CA75DE"/>
    <w:rsid w:val="00CC2894"/>
    <w:rsid w:val="00CD77C3"/>
    <w:rsid w:val="00CE112C"/>
    <w:rsid w:val="00CF55D4"/>
    <w:rsid w:val="00D05F12"/>
    <w:rsid w:val="00D608DA"/>
    <w:rsid w:val="00D730BF"/>
    <w:rsid w:val="00D76475"/>
    <w:rsid w:val="00D8400B"/>
    <w:rsid w:val="00D852F4"/>
    <w:rsid w:val="00DA2909"/>
    <w:rsid w:val="00DB1110"/>
    <w:rsid w:val="00DB3730"/>
    <w:rsid w:val="00DC371B"/>
    <w:rsid w:val="00DC3788"/>
    <w:rsid w:val="00DC76C7"/>
    <w:rsid w:val="00DD09F5"/>
    <w:rsid w:val="00DD0E02"/>
    <w:rsid w:val="00DD4201"/>
    <w:rsid w:val="00DD5E9F"/>
    <w:rsid w:val="00DE5711"/>
    <w:rsid w:val="00E00EA0"/>
    <w:rsid w:val="00E021CB"/>
    <w:rsid w:val="00E03F87"/>
    <w:rsid w:val="00E12482"/>
    <w:rsid w:val="00E138F1"/>
    <w:rsid w:val="00E2309D"/>
    <w:rsid w:val="00E26758"/>
    <w:rsid w:val="00E35317"/>
    <w:rsid w:val="00E4357B"/>
    <w:rsid w:val="00E443A7"/>
    <w:rsid w:val="00E45904"/>
    <w:rsid w:val="00E63DE5"/>
    <w:rsid w:val="00E647AF"/>
    <w:rsid w:val="00E647C7"/>
    <w:rsid w:val="00E65A37"/>
    <w:rsid w:val="00E65EF7"/>
    <w:rsid w:val="00E74F10"/>
    <w:rsid w:val="00E77889"/>
    <w:rsid w:val="00E77B48"/>
    <w:rsid w:val="00E857FB"/>
    <w:rsid w:val="00E91799"/>
    <w:rsid w:val="00E97DF8"/>
    <w:rsid w:val="00EA21FE"/>
    <w:rsid w:val="00EA34E3"/>
    <w:rsid w:val="00EB50C2"/>
    <w:rsid w:val="00EB5BD7"/>
    <w:rsid w:val="00EB7538"/>
    <w:rsid w:val="00EC1868"/>
    <w:rsid w:val="00EE6468"/>
    <w:rsid w:val="00EF180C"/>
    <w:rsid w:val="00F0472D"/>
    <w:rsid w:val="00F05D46"/>
    <w:rsid w:val="00F07433"/>
    <w:rsid w:val="00F1299B"/>
    <w:rsid w:val="00F207A4"/>
    <w:rsid w:val="00F2259E"/>
    <w:rsid w:val="00F25173"/>
    <w:rsid w:val="00F355AC"/>
    <w:rsid w:val="00F40CF7"/>
    <w:rsid w:val="00F44194"/>
    <w:rsid w:val="00F71A5A"/>
    <w:rsid w:val="00F73A1A"/>
    <w:rsid w:val="00F769E0"/>
    <w:rsid w:val="00FA4A46"/>
    <w:rsid w:val="00FA75FE"/>
    <w:rsid w:val="00FB1032"/>
    <w:rsid w:val="00FB39BC"/>
    <w:rsid w:val="00FB6A53"/>
    <w:rsid w:val="00FC11CA"/>
    <w:rsid w:val="00FC6BDE"/>
    <w:rsid w:val="00FE7E02"/>
    <w:rsid w:val="00FF6138"/>
    <w:rsid w:val="00FF62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1637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0D1B52"/>
    <w:pPr>
      <w:spacing w:after="120"/>
    </w:pPr>
  </w:style>
  <w:style w:type="character" w:customStyle="1" w:styleId="BodyTextChar">
    <w:name w:val="Body Text Char"/>
    <w:link w:val="BodyText"/>
    <w:rsid w:val="000D1B52"/>
    <w:rPr>
      <w:sz w:val="24"/>
      <w:szCs w:val="24"/>
    </w:rPr>
  </w:style>
  <w:style w:type="paragraph" w:styleId="FootnoteText">
    <w:name w:val="footnote text"/>
    <w:basedOn w:val="Normal"/>
    <w:link w:val="FootnoteTextChar"/>
    <w:rsid w:val="000D1B52"/>
    <w:rPr>
      <w:sz w:val="20"/>
      <w:szCs w:val="20"/>
    </w:rPr>
  </w:style>
  <w:style w:type="character" w:customStyle="1" w:styleId="FootnoteTextChar">
    <w:name w:val="Footnote Text Char"/>
    <w:basedOn w:val="DefaultParagraphFont"/>
    <w:link w:val="FootnoteText"/>
    <w:rsid w:val="000D1B52"/>
  </w:style>
  <w:style w:type="character" w:styleId="FootnoteReference">
    <w:name w:val="footnote reference"/>
    <w:rsid w:val="000D1B52"/>
    <w:rPr>
      <w:vertAlign w:val="superscript"/>
    </w:rPr>
  </w:style>
  <w:style w:type="character" w:styleId="CommentReference">
    <w:name w:val="annotation reference"/>
    <w:basedOn w:val="DefaultParagraphFont"/>
    <w:rsid w:val="005019DD"/>
    <w:rPr>
      <w:sz w:val="16"/>
      <w:szCs w:val="16"/>
    </w:rPr>
  </w:style>
  <w:style w:type="paragraph" w:styleId="CommentText">
    <w:name w:val="annotation text"/>
    <w:basedOn w:val="Normal"/>
    <w:link w:val="CommentTextChar"/>
    <w:rsid w:val="005019DD"/>
    <w:rPr>
      <w:sz w:val="20"/>
      <w:szCs w:val="20"/>
    </w:rPr>
  </w:style>
  <w:style w:type="character" w:customStyle="1" w:styleId="CommentTextChar">
    <w:name w:val="Comment Text Char"/>
    <w:basedOn w:val="DefaultParagraphFont"/>
    <w:link w:val="CommentText"/>
    <w:rsid w:val="005019DD"/>
  </w:style>
  <w:style w:type="paragraph" w:styleId="CommentSubject">
    <w:name w:val="annotation subject"/>
    <w:basedOn w:val="CommentText"/>
    <w:next w:val="CommentText"/>
    <w:link w:val="CommentSubjectChar"/>
    <w:rsid w:val="005019DD"/>
    <w:rPr>
      <w:b/>
      <w:bCs/>
    </w:rPr>
  </w:style>
  <w:style w:type="character" w:customStyle="1" w:styleId="CommentSubjectChar">
    <w:name w:val="Comment Subject Char"/>
    <w:basedOn w:val="CommentTextChar"/>
    <w:link w:val="CommentSubject"/>
    <w:rsid w:val="005019DD"/>
    <w:rPr>
      <w:b/>
      <w:bCs/>
    </w:rPr>
  </w:style>
  <w:style w:type="paragraph" w:styleId="Revision">
    <w:name w:val="Revision"/>
    <w:hidden/>
    <w:uiPriority w:val="99"/>
    <w:semiHidden/>
    <w:rsid w:val="007A60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fda.gov/drugs/GuidanceComplianceRegulatoryInformation/Guidances/default.htm" TargetMode="External" /><Relationship Id="rId9" Type="http://schemas.openxmlformats.org/officeDocument/2006/relationships/hyperlink" Target="http://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6" ma:contentTypeDescription="Create a new document." ma:contentTypeScope="" ma:versionID="0ad82e6c61050319f0b9d7f2bb9ab5ec">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221ff915e18be2c6ab617a58e3ad801a"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1EB6B0-CA75-4F31-BEEA-D867AB7D6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3A1DD-4E86-479E-91DE-BB66E28B47F9}">
  <ds:schemaRefs>
    <ds:schemaRef ds:uri="http://schemas.openxmlformats.org/officeDocument/2006/bibliography"/>
  </ds:schemaRefs>
</ds:datastoreItem>
</file>

<file path=customXml/itemProps3.xml><?xml version="1.0" encoding="utf-8"?>
<ds:datastoreItem xmlns:ds="http://schemas.openxmlformats.org/officeDocument/2006/customXml" ds:itemID="{7F99E529-7FBB-429A-87C3-410B5AF8B680}">
  <ds:schemaRefs>
    <ds:schemaRef ds:uri="http://schemas.microsoft.com/sharepoint/v3/contenttype/forms"/>
  </ds:schemaRefs>
</ds:datastoreItem>
</file>

<file path=customXml/itemProps4.xml><?xml version="1.0" encoding="utf-8"?>
<ds:datastoreItem xmlns:ds="http://schemas.openxmlformats.org/officeDocument/2006/customXml" ds:itemID="{0F730837-9CEE-4031-B8EF-AABE2B10317D}">
  <ds:schemaRefs>
    <ds:schemaRef ds:uri="http://schemas.microsoft.com/office/2006/metadata/properties"/>
    <ds:schemaRef ds:uri="http://schemas.microsoft.com/office/infopath/2007/PartnerControls"/>
    <ds:schemaRef ds:uri="http://schemas.microsoft.com/sharepoint/v3"/>
    <ds:schemaRef ds:uri="514c19e2-07bf-48e3-9638-5047d7891ec3"/>
    <ds:schemaRef ds:uri="b5022a83-871b-4d85-bad2-b5228c1d40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2238</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2024-08-01T17:23:00Z</dcterms:created>
  <dcterms:modified xsi:type="dcterms:W3CDTF">2024-08-01T17:28:00Z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ies>
</file>