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B34" w:rsidP="00B003E3" w14:paraId="5894371E" w14:textId="77777777">
      <w:pPr>
        <w:jc w:val="center"/>
        <w:rPr>
          <w:color w:val="000000" w:themeColor="text1"/>
        </w:rPr>
      </w:pPr>
      <w:r>
        <w:rPr>
          <w:color w:val="000000" w:themeColor="text1"/>
        </w:rPr>
        <w:t xml:space="preserve">UNITED STATES FOOD </w:t>
      </w:r>
      <w:r>
        <w:rPr>
          <w:color w:val="000000" w:themeColor="text1"/>
        </w:rPr>
        <w:t xml:space="preserve">&amp; </w:t>
      </w:r>
      <w:r>
        <w:rPr>
          <w:color w:val="000000" w:themeColor="text1"/>
        </w:rPr>
        <w:t>DRUG ADMINISTRATION</w:t>
      </w:r>
    </w:p>
    <w:p w:rsidR="00D85B34" w:rsidP="00B003E3" w14:paraId="06A85E04" w14:textId="77777777">
      <w:pPr>
        <w:jc w:val="center"/>
        <w:rPr>
          <w:color w:val="000000" w:themeColor="text1"/>
        </w:rPr>
      </w:pPr>
    </w:p>
    <w:p w:rsidR="007B5C4F" w:rsidP="00B003E3" w14:paraId="2512AD47" w14:textId="49135B74">
      <w:pPr>
        <w:jc w:val="center"/>
        <w:rPr>
          <w:color w:val="000000" w:themeColor="text1"/>
        </w:rPr>
      </w:pPr>
      <w:r w:rsidRPr="00087E4E">
        <w:rPr>
          <w:color w:val="000000" w:themeColor="text1"/>
        </w:rPr>
        <w:t xml:space="preserve">Biosimilar User Fee </w:t>
      </w:r>
      <w:r>
        <w:rPr>
          <w:color w:val="000000" w:themeColor="text1"/>
        </w:rPr>
        <w:t>Program</w:t>
      </w:r>
    </w:p>
    <w:p w:rsidR="00D85B34" w:rsidP="00B003E3" w14:paraId="1174CB2E" w14:textId="77777777">
      <w:pPr>
        <w:ind w:firstLine="720"/>
        <w:jc w:val="center"/>
        <w:rPr>
          <w:color w:val="000000" w:themeColor="text1"/>
        </w:rPr>
      </w:pPr>
    </w:p>
    <w:p w:rsidR="00186BA1" w:rsidP="00B003E3" w14:paraId="588E30B8" w14:textId="042B7003">
      <w:pPr>
        <w:ind w:firstLine="720"/>
        <w:jc w:val="center"/>
        <w:rPr>
          <w:color w:val="000000" w:themeColor="text1"/>
        </w:rPr>
      </w:pPr>
      <w:r w:rsidRPr="00D85B34">
        <w:rPr>
          <w:color w:val="000000" w:themeColor="text1"/>
          <w:u w:val="single"/>
        </w:rPr>
        <w:t xml:space="preserve">OMB Control Number </w:t>
      </w:r>
      <w:r w:rsidRPr="00D85B34" w:rsidR="00AA76ED">
        <w:rPr>
          <w:color w:val="000000" w:themeColor="text1"/>
          <w:u w:val="single"/>
        </w:rPr>
        <w:t>0910-0718</w:t>
      </w:r>
      <w:r w:rsidR="004B257A">
        <w:rPr>
          <w:color w:val="000000" w:themeColor="text1"/>
        </w:rPr>
        <w:t xml:space="preserve"> </w:t>
      </w:r>
      <w:r w:rsidR="00396C85">
        <w:rPr>
          <w:color w:val="000000" w:themeColor="text1"/>
        </w:rPr>
        <w:t>–</w:t>
      </w:r>
      <w:r w:rsidR="004B257A">
        <w:rPr>
          <w:color w:val="000000" w:themeColor="text1"/>
        </w:rPr>
        <w:t xml:space="preserve"> REVISION</w:t>
      </w:r>
    </w:p>
    <w:p w:rsidR="00396C85" w:rsidRPr="00087E4E" w:rsidP="00B003E3" w14:paraId="61EFD7F6" w14:textId="77777777">
      <w:pPr>
        <w:ind w:firstLine="720"/>
        <w:jc w:val="center"/>
        <w:rPr>
          <w:color w:val="000000" w:themeColor="text1"/>
        </w:rPr>
      </w:pPr>
    </w:p>
    <w:p w:rsidR="00961A9A" w:rsidP="00B003E3" w14:paraId="493CDF65" w14:textId="77777777">
      <w:pPr>
        <w:jc w:val="center"/>
        <w:rPr>
          <w:color w:val="000000" w:themeColor="text1"/>
        </w:rPr>
      </w:pPr>
    </w:p>
    <w:p w:rsidR="00643DD5" w:rsidP="00B003E3" w14:paraId="3F52F62A" w14:textId="2DD37C38">
      <w:pPr>
        <w:rPr>
          <w:color w:val="000000" w:themeColor="text1"/>
        </w:rPr>
      </w:pPr>
      <w:r w:rsidRPr="00087E4E">
        <w:rPr>
          <w:color w:val="000000" w:themeColor="text1"/>
        </w:rPr>
        <w:t>SUPPORTING STATEMENT</w:t>
      </w:r>
      <w:r w:rsidR="00961A9A">
        <w:rPr>
          <w:color w:val="000000" w:themeColor="text1"/>
        </w:rPr>
        <w:t xml:space="preserve"> </w:t>
      </w:r>
      <w:r w:rsidR="00D85B34">
        <w:rPr>
          <w:color w:val="000000" w:themeColor="text1"/>
        </w:rPr>
        <w:t xml:space="preserve">– </w:t>
      </w:r>
      <w:r w:rsidR="00961A9A">
        <w:rPr>
          <w:b/>
          <w:bCs/>
          <w:color w:val="000000" w:themeColor="text1"/>
        </w:rPr>
        <w:t xml:space="preserve">Part A:  </w:t>
      </w:r>
      <w:r w:rsidRPr="00087E4E">
        <w:rPr>
          <w:b/>
          <w:bCs/>
          <w:color w:val="000000" w:themeColor="text1"/>
        </w:rPr>
        <w:t>Justification</w:t>
      </w:r>
    </w:p>
    <w:p w:rsidR="00643DD5" w:rsidP="00B003E3" w14:paraId="6CBA863E" w14:textId="77777777">
      <w:pPr>
        <w:rPr>
          <w:color w:val="000000" w:themeColor="text1"/>
        </w:rPr>
      </w:pPr>
    </w:p>
    <w:p w:rsidR="00643DD5" w:rsidP="00B003E3" w14:paraId="4ABCE252" w14:textId="77777777">
      <w:pPr>
        <w:rPr>
          <w:color w:val="000000" w:themeColor="text1"/>
        </w:rPr>
      </w:pPr>
      <w:r>
        <w:rPr>
          <w:color w:val="000000" w:themeColor="text1"/>
        </w:rPr>
        <w:t xml:space="preserve">1.  </w:t>
      </w:r>
      <w:r w:rsidRPr="00087E4E" w:rsidR="00EB7538">
        <w:rPr>
          <w:color w:val="000000" w:themeColor="text1"/>
          <w:u w:val="single"/>
        </w:rPr>
        <w:t>Circumstances Making the Collection of Information Necessary</w:t>
      </w:r>
    </w:p>
    <w:p w:rsidR="00643DD5" w:rsidP="00B003E3" w14:paraId="4B434FE9" w14:textId="77777777">
      <w:pPr>
        <w:rPr>
          <w:color w:val="000000" w:themeColor="text1"/>
        </w:rPr>
      </w:pPr>
    </w:p>
    <w:p w:rsidR="00060C86" w:rsidRPr="00D85B34" w:rsidP="00B003E3" w14:paraId="7A8496D8" w14:textId="2261119C">
      <w:pPr>
        <w:rPr>
          <w:color w:val="000000" w:themeColor="text1"/>
        </w:rPr>
      </w:pPr>
      <w:r w:rsidRPr="00D87EDF">
        <w:rPr>
          <w:color w:val="000000" w:themeColor="text1"/>
        </w:rPr>
        <w:t>This information collection supports the Food and Drug Administration’s (FDA, us or we) Biosimilars User Fee Program</w:t>
      </w:r>
      <w:r w:rsidR="00D85B34">
        <w:rPr>
          <w:color w:val="000000" w:themeColor="text1"/>
        </w:rPr>
        <w:t xml:space="preserve"> </w:t>
      </w:r>
      <w:r w:rsidR="0098565B">
        <w:rPr>
          <w:color w:val="000000" w:themeColor="text1"/>
        </w:rPr>
        <w:t xml:space="preserve">(BsUFA) </w:t>
      </w:r>
      <w:r w:rsidR="00D85B34">
        <w:rPr>
          <w:color w:val="000000" w:themeColor="text1"/>
        </w:rPr>
        <w:t xml:space="preserve">and implementation of the </w:t>
      </w:r>
      <w:r w:rsidRPr="00D87EDF">
        <w:rPr>
          <w:color w:val="000000" w:themeColor="text1"/>
        </w:rPr>
        <w:t>Biologics Price Competition and Innovation Act of 2009 (BPCI Act)</w:t>
      </w:r>
      <w:r w:rsidR="00D85B34">
        <w:rPr>
          <w:color w:val="000000" w:themeColor="text1"/>
        </w:rPr>
        <w:t>.  The BPCI Act</w:t>
      </w:r>
      <w:r w:rsidRPr="00D87EDF">
        <w:rPr>
          <w:color w:val="000000" w:themeColor="text1"/>
        </w:rPr>
        <w:t xml:space="preserve"> amended the Public Health Service Act (PHS Act) by adding section 351(k) (42 U.S.C. 262(k)) to create an abbreviated approval pathway for biological products shown to be biosimilar to or interchangeable with an FDA-licensed reference biological product.  </w:t>
      </w:r>
      <w:r w:rsidRPr="00D85B34" w:rsidR="00D85B34">
        <w:rPr>
          <w:color w:val="000000" w:themeColor="text1"/>
        </w:rPr>
        <w:t>Section 351(k) defines biosimilarity to mean “</w:t>
      </w:r>
      <w:r w:rsidRPr="00D85B34" w:rsidR="00D85B34">
        <w:rPr>
          <w:i/>
          <w:iCs/>
          <w:color w:val="000000" w:themeColor="text1"/>
        </w:rPr>
        <w:t>that the biological product is highly similar to the reference product notwithstanding minor differences in clinically inactive components</w:t>
      </w:r>
      <w:r w:rsidRPr="00D85B34" w:rsidR="00D85B34">
        <w:rPr>
          <w:color w:val="000000" w:themeColor="text1"/>
        </w:rPr>
        <w:t>” and that “</w:t>
      </w:r>
      <w:r w:rsidRPr="00D85B34" w:rsidR="00D85B34">
        <w:rPr>
          <w:i/>
          <w:iCs/>
          <w:color w:val="000000" w:themeColor="text1"/>
        </w:rPr>
        <w:t>there are no clinically meaningful differences between the biological product and the reference product in terms of the safety, purity, and potency of the product</w:t>
      </w:r>
      <w:r w:rsidRPr="00D85B34" w:rsidR="00D85B34">
        <w:rPr>
          <w:color w:val="000000" w:themeColor="text1"/>
        </w:rPr>
        <w:t>.”</w:t>
      </w:r>
      <w:r w:rsidR="00110DA8">
        <w:rPr>
          <w:color w:val="000000" w:themeColor="text1"/>
        </w:rPr>
        <w:t xml:space="preserve">  </w:t>
      </w:r>
      <w:r w:rsidRPr="00D85B34" w:rsidR="00D85B34">
        <w:rPr>
          <w:color w:val="000000" w:themeColor="text1"/>
        </w:rPr>
        <w:t>A 351(k) application must contain, among other things, information demonstrating that the biological product is biosimilar to a reference product based upon data derived from analytical studies, animal studies, and clinical studies, unless FDA determines, in its discretion, that certain studies are unnecessary in a 351(k) application.  Section 351(k) of the PHS Act (42 U.S.C. 262(k)), sets forth the requirements for an application for a proposed biosimilar product and an application or a supplement for a proposed interchangeable product.</w:t>
      </w:r>
      <w:r w:rsidR="0035272E">
        <w:rPr>
          <w:color w:val="000000" w:themeColor="text1"/>
        </w:rPr>
        <w:t xml:space="preserve">  </w:t>
      </w:r>
      <w:r>
        <w:rPr>
          <w:color w:val="000000" w:themeColor="text1"/>
        </w:rPr>
        <w:t xml:space="preserve">We </w:t>
      </w:r>
      <w:r w:rsidRPr="00060C86">
        <w:rPr>
          <w:color w:val="000000" w:themeColor="text1"/>
        </w:rPr>
        <w:t xml:space="preserve">maintain information on our website at </w:t>
      </w:r>
      <w:hyperlink r:id="rId5" w:history="1">
        <w:r w:rsidRPr="00060C86">
          <w:rPr>
            <w:rStyle w:val="Hyperlink"/>
          </w:rPr>
          <w:t>https://www.fda.gov/industry/fda-user-fee-programs/biosimilar-user-fee-amendments</w:t>
        </w:r>
      </w:hyperlink>
      <w:r w:rsidRPr="00060C86">
        <w:rPr>
          <w:color w:val="000000" w:themeColor="text1"/>
        </w:rPr>
        <w:t xml:space="preserve"> regarding </w:t>
      </w:r>
      <w:r w:rsidR="0035272E">
        <w:rPr>
          <w:color w:val="000000" w:themeColor="text1"/>
        </w:rPr>
        <w:t xml:space="preserve">our </w:t>
      </w:r>
      <w:r w:rsidRPr="00060C86">
        <w:rPr>
          <w:color w:val="000000" w:themeColor="text1"/>
        </w:rPr>
        <w:t xml:space="preserve">BsUFA program </w:t>
      </w:r>
      <w:r w:rsidR="00F542FA">
        <w:rPr>
          <w:color w:val="000000" w:themeColor="text1"/>
        </w:rPr>
        <w:t xml:space="preserve">to </w:t>
      </w:r>
      <w:r w:rsidRPr="00060C86">
        <w:rPr>
          <w:color w:val="000000" w:themeColor="text1"/>
        </w:rPr>
        <w:t xml:space="preserve">provide interested persons with updates on related deliverables and activities.  </w:t>
      </w:r>
      <w:r w:rsidR="00F542FA">
        <w:rPr>
          <w:color w:val="000000" w:themeColor="text1"/>
        </w:rPr>
        <w:t xml:space="preserve">We also communicate </w:t>
      </w:r>
      <w:r w:rsidRPr="00060C86">
        <w:rPr>
          <w:color w:val="000000" w:themeColor="text1"/>
        </w:rPr>
        <w:t xml:space="preserve">key actions </w:t>
      </w:r>
      <w:r w:rsidR="00F542FA">
        <w:rPr>
          <w:color w:val="000000" w:themeColor="text1"/>
        </w:rPr>
        <w:t xml:space="preserve">the agency is </w:t>
      </w:r>
      <w:r w:rsidRPr="00060C86">
        <w:rPr>
          <w:color w:val="000000" w:themeColor="text1"/>
        </w:rPr>
        <w:t xml:space="preserve">taking to encourage innovation, development, and competition among biologics and the development of biosimilars, and builds on progress in implementing the approval pathway for biosimilar and interchangeable products.  </w:t>
      </w:r>
    </w:p>
    <w:p w:rsidR="00643DD5" w:rsidP="00B003E3" w14:paraId="4D5BBA9B" w14:textId="77777777">
      <w:pPr>
        <w:rPr>
          <w:color w:val="000000" w:themeColor="text1"/>
        </w:rPr>
      </w:pPr>
    </w:p>
    <w:p w:rsidR="00FF0656" w:rsidP="00B003E3" w14:paraId="7D7F1ACD" w14:textId="77777777">
      <w:pPr>
        <w:rPr>
          <w:color w:val="000000" w:themeColor="text1"/>
        </w:rPr>
      </w:pPr>
      <w:r w:rsidRPr="00256F5F">
        <w:rPr>
          <w:color w:val="000000" w:themeColor="text1"/>
        </w:rPr>
        <w:t>We have revised the information collection to reflect the currently agreed-upon performance goals established and captured in the latest reauthorization document entitled, “</w:t>
      </w:r>
      <w:r w:rsidRPr="00256F5F">
        <w:rPr>
          <w:i/>
          <w:iCs/>
          <w:color w:val="000000" w:themeColor="text1"/>
        </w:rPr>
        <w:t xml:space="preserve">Biosimilar Biological Product Reauthorization Performance Goals and Procedures Fiscal Years 2023 Through 2027” </w:t>
      </w:r>
      <w:r w:rsidRPr="00256F5F">
        <w:rPr>
          <w:color w:val="000000" w:themeColor="text1"/>
        </w:rPr>
        <w:t xml:space="preserve">(BsUFA Commitment Letter).  The BsUFA Commitment Letter is available for download from our website at </w:t>
      </w:r>
      <w:hyperlink r:id="rId6" w:history="1">
        <w:r w:rsidRPr="00BF4582">
          <w:rPr>
            <w:rStyle w:val="Hyperlink"/>
          </w:rPr>
          <w:t>https://www.fda.gov/media/152279/download?attachment</w:t>
        </w:r>
      </w:hyperlink>
      <w:r>
        <w:rPr>
          <w:color w:val="000000" w:themeColor="text1"/>
        </w:rPr>
        <w:t xml:space="preserve">.  </w:t>
      </w:r>
      <w:r w:rsidRPr="00256F5F">
        <w:rPr>
          <w:color w:val="000000" w:themeColor="text1"/>
        </w:rPr>
        <w:t>The BsUFA Commitment Letter outlines current program goals, including information technology goals, discusses program effectiveness considerations, and discusses user fee resource management.</w:t>
      </w:r>
    </w:p>
    <w:p w:rsidR="00FF0656" w:rsidP="00B003E3" w14:paraId="3B47CCC0" w14:textId="77777777">
      <w:pPr>
        <w:rPr>
          <w:color w:val="000000" w:themeColor="text1"/>
        </w:rPr>
      </w:pPr>
    </w:p>
    <w:p w:rsidR="00E42570" w:rsidP="00E42570" w14:paraId="0161823A" w14:textId="4E28DF20">
      <w:pPr>
        <w:rPr>
          <w:color w:val="000000" w:themeColor="text1"/>
        </w:rPr>
      </w:pPr>
      <w:r>
        <w:rPr>
          <w:color w:val="000000" w:themeColor="text1"/>
        </w:rPr>
        <w:t xml:space="preserve">The information collection </w:t>
      </w:r>
      <w:r w:rsidR="00826477">
        <w:rPr>
          <w:color w:val="000000" w:themeColor="text1"/>
        </w:rPr>
        <w:t xml:space="preserve">utilizes agency forms.  </w:t>
      </w:r>
      <w:r w:rsidR="00D85B34">
        <w:rPr>
          <w:color w:val="000000" w:themeColor="text1"/>
        </w:rPr>
        <w:t xml:space="preserve">FDA is authorized to </w:t>
      </w:r>
      <w:r w:rsidRPr="00D87EDF" w:rsidR="00D87EDF">
        <w:rPr>
          <w:color w:val="000000" w:themeColor="text1"/>
        </w:rPr>
        <w:t>assess</w:t>
      </w:r>
      <w:r w:rsidR="00812B7D">
        <w:rPr>
          <w:color w:val="000000" w:themeColor="text1"/>
        </w:rPr>
        <w:t xml:space="preserve"> and </w:t>
      </w:r>
      <w:r w:rsidRPr="00D87EDF" w:rsidR="00D87EDF">
        <w:rPr>
          <w:color w:val="000000" w:themeColor="text1"/>
        </w:rPr>
        <w:t xml:space="preserve">collect </w:t>
      </w:r>
      <w:r w:rsidR="00D85B34">
        <w:rPr>
          <w:color w:val="000000" w:themeColor="text1"/>
        </w:rPr>
        <w:t xml:space="preserve">Biosimilar </w:t>
      </w:r>
      <w:r w:rsidR="004906FC">
        <w:rPr>
          <w:color w:val="000000" w:themeColor="text1"/>
        </w:rPr>
        <w:t xml:space="preserve">Biological Product Fees under </w:t>
      </w:r>
      <w:r w:rsidR="00D85B34">
        <w:rPr>
          <w:color w:val="000000" w:themeColor="text1"/>
        </w:rPr>
        <w:t>section 744H of the F</w:t>
      </w:r>
      <w:r w:rsidR="00206797">
        <w:rPr>
          <w:color w:val="000000" w:themeColor="text1"/>
        </w:rPr>
        <w:t xml:space="preserve">ederal </w:t>
      </w:r>
      <w:r w:rsidR="00D85B34">
        <w:rPr>
          <w:color w:val="000000" w:themeColor="text1"/>
        </w:rPr>
        <w:t>F</w:t>
      </w:r>
      <w:r w:rsidR="00206797">
        <w:rPr>
          <w:color w:val="000000" w:themeColor="text1"/>
        </w:rPr>
        <w:t xml:space="preserve">ood, </w:t>
      </w:r>
      <w:r w:rsidR="00D85B34">
        <w:rPr>
          <w:color w:val="000000" w:themeColor="text1"/>
        </w:rPr>
        <w:t>D</w:t>
      </w:r>
      <w:r w:rsidR="00206797">
        <w:rPr>
          <w:color w:val="000000" w:themeColor="text1"/>
        </w:rPr>
        <w:t xml:space="preserve">rug, and </w:t>
      </w:r>
      <w:r w:rsidR="00D85B34">
        <w:rPr>
          <w:color w:val="000000" w:themeColor="text1"/>
        </w:rPr>
        <w:t>C</w:t>
      </w:r>
      <w:r w:rsidR="00206797">
        <w:rPr>
          <w:color w:val="000000" w:themeColor="text1"/>
        </w:rPr>
        <w:t xml:space="preserve">osmetic </w:t>
      </w:r>
      <w:r w:rsidR="00D85B34">
        <w:rPr>
          <w:color w:val="000000" w:themeColor="text1"/>
        </w:rPr>
        <w:t>A</w:t>
      </w:r>
      <w:r w:rsidR="00206797">
        <w:rPr>
          <w:color w:val="000000" w:themeColor="text1"/>
        </w:rPr>
        <w:t>ct (FFDCA)</w:t>
      </w:r>
      <w:r w:rsidR="00D85B34">
        <w:rPr>
          <w:color w:val="000000" w:themeColor="text1"/>
        </w:rPr>
        <w:t xml:space="preserve"> and</w:t>
      </w:r>
      <w:r w:rsidR="00812B7D">
        <w:rPr>
          <w:color w:val="000000" w:themeColor="text1"/>
        </w:rPr>
        <w:t xml:space="preserve"> in</w:t>
      </w:r>
      <w:r w:rsidR="00D85B34">
        <w:rPr>
          <w:color w:val="000000" w:themeColor="text1"/>
        </w:rPr>
        <w:t xml:space="preserve"> </w:t>
      </w:r>
      <w:r w:rsidRPr="00D87EDF" w:rsidR="00D87EDF">
        <w:rPr>
          <w:color w:val="000000" w:themeColor="text1"/>
        </w:rPr>
        <w:t>connection with biosimilar biological product development (BPD).</w:t>
      </w:r>
      <w:r w:rsidR="004906FC">
        <w:rPr>
          <w:color w:val="000000" w:themeColor="text1"/>
        </w:rPr>
        <w:t xml:space="preserve">  </w:t>
      </w:r>
      <w:r w:rsidR="00D87EDF">
        <w:rPr>
          <w:color w:val="000000" w:themeColor="text1"/>
        </w:rPr>
        <w:t>Form FDA 3792, entitled “</w:t>
      </w:r>
      <w:r w:rsidRPr="00D87EDF" w:rsidR="00D87EDF">
        <w:rPr>
          <w:i/>
          <w:color w:val="000000" w:themeColor="text1"/>
        </w:rPr>
        <w:t>Biosimilars User Fee Cover Sheet</w:t>
      </w:r>
      <w:r w:rsidR="00D87EDF">
        <w:rPr>
          <w:color w:val="000000" w:themeColor="text1"/>
        </w:rPr>
        <w:t>,”</w:t>
      </w:r>
      <w:r w:rsidRPr="00D87EDF" w:rsidR="00D87EDF">
        <w:rPr>
          <w:color w:val="000000" w:themeColor="text1"/>
        </w:rPr>
        <w:t xml:space="preserve"> is submitted by </w:t>
      </w:r>
      <w:r w:rsidR="00110DA8">
        <w:rPr>
          <w:color w:val="000000" w:themeColor="text1"/>
        </w:rPr>
        <w:t xml:space="preserve">respondents and </w:t>
      </w:r>
      <w:r w:rsidRPr="00D87EDF" w:rsidR="00D87EDF">
        <w:rPr>
          <w:color w:val="000000" w:themeColor="text1"/>
        </w:rPr>
        <w:t xml:space="preserve">requests the minimum </w:t>
      </w:r>
      <w:r w:rsidR="00110DA8">
        <w:rPr>
          <w:color w:val="000000" w:themeColor="text1"/>
        </w:rPr>
        <w:t xml:space="preserve">necessary </w:t>
      </w:r>
      <w:r w:rsidRPr="00D87EDF" w:rsidR="00D87EDF">
        <w:rPr>
          <w:color w:val="000000" w:themeColor="text1"/>
        </w:rPr>
        <w:t>information to identify the request and determine the amount of the fee to be assessed, and to account for and track user fees.  The form provides a cross-reference of the fees submitted for an activity with the actual submission or activity by using a unique number tracking system.</w:t>
      </w:r>
      <w:r w:rsidR="008C4731">
        <w:rPr>
          <w:color w:val="000000" w:themeColor="text1"/>
        </w:rPr>
        <w:t xml:space="preserve">  </w:t>
      </w:r>
      <w:r w:rsidRPr="00F0112B">
        <w:rPr>
          <w:color w:val="000000" w:themeColor="text1"/>
        </w:rPr>
        <w:t>Form FDA 3971 (Small Business Waiver and Refund Request), currently approved in OMB control no. 0910-0297, may also be utilized</w:t>
      </w:r>
      <w:r w:rsidR="009D3845">
        <w:rPr>
          <w:color w:val="000000" w:themeColor="text1"/>
        </w:rPr>
        <w:t xml:space="preserve"> in this collection of information</w:t>
      </w:r>
      <w:r w:rsidRPr="00F0112B">
        <w:rPr>
          <w:color w:val="000000" w:themeColor="text1"/>
        </w:rPr>
        <w:t xml:space="preserve">.  As instructed on our BsUFA webpage, respondents should submit Form FDA 3971 by e-mail to </w:t>
      </w:r>
      <w:hyperlink r:id="rId7" w:history="1">
        <w:r w:rsidRPr="007F2430">
          <w:rPr>
            <w:rStyle w:val="Hyperlink"/>
          </w:rPr>
          <w:t>CDERCollections@fda.hhs.gov</w:t>
        </w:r>
      </w:hyperlink>
      <w:r w:rsidRPr="00F0112B">
        <w:rPr>
          <w:color w:val="000000" w:themeColor="text1"/>
        </w:rPr>
        <w:t xml:space="preserve"> at least four months prior to the submission of the application to see if they qualify for a small business waiver.  Finally, user fee refund and transfer requests, currently approved in OMB control no. 0910-0805, may be submitted to FDA using Forms FDA 3913 and FDA 3914, respectively.</w:t>
      </w:r>
    </w:p>
    <w:p w:rsidR="00871155" w:rsidP="00E42570" w14:paraId="221E24EA" w14:textId="77777777">
      <w:pPr>
        <w:rPr>
          <w:color w:val="000000" w:themeColor="text1"/>
        </w:rPr>
      </w:pPr>
    </w:p>
    <w:p w:rsidR="00871155" w:rsidP="00871155" w14:paraId="51C0BDD4" w14:textId="16BA2A05">
      <w:pPr>
        <w:rPr>
          <w:color w:val="000000" w:themeColor="text1"/>
        </w:rPr>
      </w:pPr>
      <w:r w:rsidRPr="6BA3DD70">
        <w:rPr>
          <w:color w:val="000000" w:themeColor="text1"/>
        </w:rPr>
        <w:t>Patent infringement notifications are also included in the scope of collection activity.</w:t>
      </w:r>
      <w:r w:rsidR="00BC2A95">
        <w:rPr>
          <w:color w:val="000000" w:themeColor="text1"/>
        </w:rPr>
        <w:t xml:space="preserve">  </w:t>
      </w:r>
      <w:r w:rsidRPr="6BA3DD70">
        <w:rPr>
          <w:color w:val="000000" w:themeColor="text1"/>
        </w:rPr>
        <w:t>Section 351(l) of the PHS Act (42 U.S.C. 242(l)) provides for the exchange of patent information and resolution of patent disputes between a 351(k) biosimilar applicant and the holder of the 351(a) BLA reference product.</w:t>
      </w:r>
      <w:r w:rsidR="00BC2A95">
        <w:rPr>
          <w:color w:val="000000" w:themeColor="text1"/>
        </w:rPr>
        <w:t xml:space="preserve">  </w:t>
      </w:r>
      <w:r w:rsidRPr="6BA3DD70">
        <w:rPr>
          <w:color w:val="000000" w:themeColor="text1"/>
        </w:rPr>
        <w:t xml:space="preserve">If a biosimilar applicant is served with a complaint in an action for a patent infringement as described in section 351(l)(6) of the PHS Act, the biosimilar applicant is required to provide the Secretary of HHS with notice and a copy of the complaint within 30 days of service.  FDA is required to publish notice of a complaint received under section 351(l)(6)(C) of the PHS Act in the </w:t>
      </w:r>
      <w:r w:rsidRPr="00BE04A8">
        <w:rPr>
          <w:color w:val="000000" w:themeColor="text1"/>
          <w:u w:val="single"/>
        </w:rPr>
        <w:t>Federal Register</w:t>
      </w:r>
      <w:r w:rsidRPr="6BA3DD70">
        <w:rPr>
          <w:color w:val="000000" w:themeColor="text1"/>
        </w:rPr>
        <w:t>.</w:t>
      </w:r>
    </w:p>
    <w:p w:rsidR="00871155" w:rsidP="00E42570" w14:paraId="7DDA84A6" w14:textId="77777777">
      <w:pPr>
        <w:rPr>
          <w:color w:val="000000" w:themeColor="text1"/>
        </w:rPr>
      </w:pPr>
    </w:p>
    <w:p w:rsidR="00933E9D" w:rsidRPr="00F0112B" w:rsidP="00933E9D" w14:paraId="35DEE051" w14:textId="77777777">
      <w:pPr>
        <w:rPr>
          <w:color w:val="000000" w:themeColor="text1"/>
        </w:rPr>
      </w:pPr>
      <w:r w:rsidRPr="6BA3DD70">
        <w:rPr>
          <w:color w:val="000000" w:themeColor="text1"/>
        </w:rPr>
        <w:t>Relevant information regarding applicable statutory requirements is discussed in topical guidance documents, issued consistent with our BsUFA Commitment Letter and Agency Good Guidance Practice regulations in 21 CFR 10.115, which provide for public comment at any time.  The following draft and final guidance documents include instructional and procedural information on communicating with FDA regarding the BsUFA program:</w:t>
      </w:r>
    </w:p>
    <w:p w:rsidR="00933E9D" w:rsidP="00933E9D" w14:paraId="4250668E" w14:textId="77777777">
      <w:pPr>
        <w:rPr>
          <w:color w:val="000000" w:themeColor="text1"/>
        </w:rPr>
      </w:pPr>
    </w:p>
    <w:p w:rsidR="00933E9D" w:rsidRPr="00FC1A0B" w:rsidP="00933E9D" w14:paraId="217B3B57" w14:textId="77777777">
      <w:pPr>
        <w:pStyle w:val="ListParagraph"/>
        <w:numPr>
          <w:ilvl w:val="0"/>
          <w:numId w:val="44"/>
        </w:numPr>
        <w:rPr>
          <w:sz w:val="24"/>
          <w:szCs w:val="24"/>
        </w:rPr>
      </w:pPr>
      <w:r w:rsidRPr="00573496">
        <w:rPr>
          <w:iCs/>
          <w:sz w:val="24"/>
          <w:szCs w:val="24"/>
        </w:rPr>
        <w:t>“Assessing User Fees Under the Biosimilar User Fee Amendments</w:t>
      </w:r>
      <w:r w:rsidRPr="00FC1A0B">
        <w:rPr>
          <w:i/>
          <w:sz w:val="24"/>
          <w:szCs w:val="24"/>
        </w:rPr>
        <w:t xml:space="preserve"> </w:t>
      </w:r>
      <w:r w:rsidRPr="00FC1A0B">
        <w:rPr>
          <w:sz w:val="24"/>
          <w:szCs w:val="24"/>
        </w:rPr>
        <w:t>of 2022</w:t>
      </w:r>
      <w:r>
        <w:rPr>
          <w:sz w:val="24"/>
          <w:szCs w:val="24"/>
        </w:rPr>
        <w:t>”</w:t>
      </w:r>
      <w:r w:rsidRPr="00FC1A0B">
        <w:rPr>
          <w:sz w:val="24"/>
          <w:szCs w:val="24"/>
        </w:rPr>
        <w:t xml:space="preserve"> (July 2023), available at </w:t>
      </w:r>
      <w:r w:rsidRPr="00FC1A0B">
        <w:rPr>
          <w:color w:val="0070C0"/>
          <w:sz w:val="24"/>
          <w:szCs w:val="24"/>
          <w:u w:val="single"/>
        </w:rPr>
        <w:t>https://www.fda.gov/regulatory-information/search-fda-guidance-documents/assessing-user-fees-under-biosimilar-user-fee-amendments-2022.</w:t>
      </w:r>
      <w:r w:rsidRPr="00FC1A0B">
        <w:rPr>
          <w:color w:val="0070C0"/>
          <w:sz w:val="24"/>
          <w:szCs w:val="24"/>
        </w:rPr>
        <w:t xml:space="preserve">  </w:t>
      </w:r>
      <w:r w:rsidRPr="00FC1A0B">
        <w:rPr>
          <w:sz w:val="24"/>
          <w:szCs w:val="24"/>
        </w:rPr>
        <w:t>The</w:t>
      </w:r>
      <w:r>
        <w:rPr>
          <w:sz w:val="24"/>
          <w:szCs w:val="24"/>
        </w:rPr>
        <w:t xml:space="preserve"> </w:t>
      </w:r>
      <w:r w:rsidRPr="00FC1A0B">
        <w:rPr>
          <w:sz w:val="24"/>
          <w:szCs w:val="24"/>
        </w:rPr>
        <w:t>guidance document instructs respondents on requesting discontinuation from the BPD program, as well as requesting to move products to the discontinued section of</w:t>
      </w:r>
    </w:p>
    <w:p w:rsidR="00933E9D" w:rsidP="00933E9D" w14:paraId="0FA045B6" w14:textId="77777777">
      <w:pPr>
        <w:pStyle w:val="ListParagraph"/>
        <w:ind w:left="1080"/>
        <w:rPr>
          <w:sz w:val="24"/>
          <w:szCs w:val="24"/>
        </w:rPr>
      </w:pPr>
      <w:r w:rsidRPr="00FC1A0B">
        <w:rPr>
          <w:sz w:val="24"/>
          <w:szCs w:val="24"/>
        </w:rPr>
        <w:t xml:space="preserve">the biosimilar list.  The guidance document also provides information on the consequences of failing to pay BsUFA III fees as well as processes for submitting reconsideration and appeal requests. </w:t>
      </w:r>
    </w:p>
    <w:p w:rsidR="00933E9D" w:rsidRPr="00FC1A0B" w:rsidP="00933E9D" w14:paraId="129F0713" w14:textId="77777777">
      <w:pPr>
        <w:pStyle w:val="ListParagraph"/>
        <w:ind w:left="1080"/>
        <w:rPr>
          <w:sz w:val="24"/>
          <w:szCs w:val="24"/>
        </w:rPr>
      </w:pPr>
    </w:p>
    <w:p w:rsidR="00933E9D" w:rsidP="00933E9D" w14:paraId="79DF20F7" w14:textId="77777777">
      <w:pPr>
        <w:pStyle w:val="ListParagraph"/>
        <w:numPr>
          <w:ilvl w:val="0"/>
          <w:numId w:val="44"/>
        </w:numPr>
        <w:rPr>
          <w:sz w:val="24"/>
          <w:szCs w:val="24"/>
        </w:rPr>
      </w:pPr>
      <w:r>
        <w:rPr>
          <w:sz w:val="24"/>
          <w:szCs w:val="24"/>
        </w:rPr>
        <w:t>“</w:t>
      </w:r>
      <w:r w:rsidRPr="00573496">
        <w:rPr>
          <w:sz w:val="24"/>
          <w:szCs w:val="24"/>
        </w:rPr>
        <w:t>Formal Meetings Between the FDA and Sponsors or Applicants of BsUFA Products</w:t>
      </w:r>
      <w:r>
        <w:rPr>
          <w:sz w:val="24"/>
          <w:szCs w:val="24"/>
        </w:rPr>
        <w:t xml:space="preserve">” </w:t>
      </w:r>
      <w:r w:rsidRPr="00FC1A0B">
        <w:rPr>
          <w:sz w:val="24"/>
          <w:szCs w:val="24"/>
        </w:rPr>
        <w:t xml:space="preserve">(August 2023), available at:  </w:t>
      </w:r>
      <w:hyperlink r:id="rId8" w:history="1">
        <w:r w:rsidRPr="00FC1A0B">
          <w:rPr>
            <w:rStyle w:val="Hyperlink"/>
            <w:sz w:val="24"/>
            <w:szCs w:val="24"/>
          </w:rPr>
          <w:t>https://www.fda.gov/regulatory-information/search-fda-guidance-documents/formal-meetings-between-fda-and-sponsors-or-applicants-bsufa-products-guidance-industry</w:t>
        </w:r>
      </w:hyperlink>
      <w:r w:rsidRPr="00FC1A0B">
        <w:rPr>
          <w:sz w:val="24"/>
          <w:szCs w:val="24"/>
        </w:rPr>
        <w:t>.  The guidance document explains standardized procedures for requesting, preparing, scheduling, conducting, and documenting formal meetings with FDA, and discusses good meeting management practices.</w:t>
      </w:r>
    </w:p>
    <w:p w:rsidR="00933E9D" w:rsidP="00933E9D" w14:paraId="0000A55C" w14:textId="77777777">
      <w:pPr>
        <w:pStyle w:val="ListParagraph"/>
        <w:ind w:left="1080"/>
        <w:rPr>
          <w:sz w:val="24"/>
          <w:szCs w:val="24"/>
        </w:rPr>
      </w:pPr>
    </w:p>
    <w:p w:rsidR="00933E9D" w:rsidP="00933E9D" w14:paraId="33D47731" w14:textId="77777777">
      <w:pPr>
        <w:pStyle w:val="ListParagraph"/>
        <w:numPr>
          <w:ilvl w:val="0"/>
          <w:numId w:val="44"/>
        </w:numPr>
        <w:rPr>
          <w:sz w:val="24"/>
          <w:szCs w:val="24"/>
        </w:rPr>
      </w:pPr>
      <w:r w:rsidRPr="6BA3DD70">
        <w:rPr>
          <w:sz w:val="24"/>
          <w:szCs w:val="24"/>
        </w:rPr>
        <w:t xml:space="preserve">As listed on our CDER 2023 and </w:t>
      </w:r>
      <w:hyperlink r:id="rId9">
        <w:r w:rsidRPr="6BA3DD70">
          <w:rPr>
            <w:rStyle w:val="Hyperlink"/>
            <w:sz w:val="24"/>
            <w:szCs w:val="24"/>
          </w:rPr>
          <w:t>2024 Annual Guidance</w:t>
        </w:r>
      </w:hyperlink>
      <w:r w:rsidRPr="6BA3DD70">
        <w:rPr>
          <w:sz w:val="24"/>
          <w:szCs w:val="24"/>
        </w:rPr>
        <w:t xml:space="preserve"> agenda</w:t>
      </w:r>
      <w:r>
        <w:rPr>
          <w:sz w:val="24"/>
          <w:szCs w:val="24"/>
        </w:rPr>
        <w:t>s</w:t>
      </w:r>
      <w:r w:rsidRPr="6BA3DD70">
        <w:rPr>
          <w:sz w:val="24"/>
          <w:szCs w:val="24"/>
        </w:rPr>
        <w:t xml:space="preserve">, we are planning to issue a draft guidance for industry entitled “Pediatric Study Plans for Biosimilar Products,” to help implement provisions of the Pediatric Research Equity Act </w:t>
      </w:r>
      <w:r w:rsidRPr="6BA3DD70">
        <w:rPr>
          <w:sz w:val="24"/>
          <w:szCs w:val="24"/>
        </w:rPr>
        <w:t xml:space="preserve">(PREA), codified in section 505B of the FD&amp;C Act (21 USC 355c).  For more information regarding FDA guidance documents, including ways to participate, please visit  </w:t>
      </w:r>
      <w:hyperlink r:id="rId10">
        <w:r w:rsidRPr="6BA3DD70">
          <w:rPr>
            <w:rStyle w:val="Hyperlink"/>
            <w:sz w:val="24"/>
            <w:szCs w:val="24"/>
          </w:rPr>
          <w:t>https://www.fda.gov/drugs/guidance-compliance-regulatory-information/guidances-drugs</w:t>
        </w:r>
      </w:hyperlink>
      <w:r w:rsidRPr="6BA3DD70">
        <w:rPr>
          <w:sz w:val="24"/>
          <w:szCs w:val="24"/>
        </w:rPr>
        <w:t>.</w:t>
      </w:r>
    </w:p>
    <w:p w:rsidR="00933E9D" w:rsidP="00B003E3" w14:paraId="4866C29A" w14:textId="77777777">
      <w:pPr>
        <w:rPr>
          <w:color w:val="000000" w:themeColor="text1"/>
        </w:rPr>
      </w:pPr>
    </w:p>
    <w:p w:rsidR="00833D17" w:rsidRPr="003D7976" w:rsidP="00B003E3" w14:paraId="5171505A" w14:textId="49344B11">
      <w:r>
        <w:t xml:space="preserve">We therefore request OMB approval of the information collection </w:t>
      </w:r>
      <w:r w:rsidR="003A15C3">
        <w:t xml:space="preserve">provisions authorized under the </w:t>
      </w:r>
      <w:r>
        <w:t xml:space="preserve">Biosimilar User Fee </w:t>
      </w:r>
      <w:r w:rsidR="003A15C3">
        <w:t>provisions of the F</w:t>
      </w:r>
      <w:r w:rsidR="001603C0">
        <w:t>F</w:t>
      </w:r>
      <w:r w:rsidR="003A15C3">
        <w:t>D</w:t>
      </w:r>
      <w:r w:rsidR="001603C0">
        <w:t>CA</w:t>
      </w:r>
      <w:r w:rsidR="00CF60C7">
        <w:t>, Form FDA 3792,</w:t>
      </w:r>
      <w:r w:rsidR="00C00196">
        <w:t xml:space="preserve"> and information collection discussed in the referenced guidance documents</w:t>
      </w:r>
      <w:r w:rsidR="00242FC2">
        <w:t xml:space="preserve"> included </w:t>
      </w:r>
      <w:r w:rsidR="00C00196">
        <w:t>in this supporting statement.</w:t>
      </w:r>
    </w:p>
    <w:p w:rsidR="00643DD5" w:rsidP="00B003E3" w14:paraId="654FE75E" w14:textId="77777777">
      <w:pPr>
        <w:rPr>
          <w:color w:val="000000" w:themeColor="text1"/>
        </w:rPr>
      </w:pPr>
    </w:p>
    <w:p w:rsidR="00643DD5" w:rsidP="00B003E3" w14:paraId="456BE5B4" w14:textId="77777777">
      <w:pPr>
        <w:rPr>
          <w:color w:val="000000" w:themeColor="text1"/>
        </w:rPr>
      </w:pPr>
      <w:r>
        <w:rPr>
          <w:color w:val="000000" w:themeColor="text1"/>
        </w:rPr>
        <w:t xml:space="preserve">2.  </w:t>
      </w:r>
      <w:r w:rsidRPr="00087E4E" w:rsidR="00EB7538">
        <w:rPr>
          <w:color w:val="000000" w:themeColor="text1"/>
          <w:u w:val="single"/>
        </w:rPr>
        <w:t>Purpose and Use of the Information Collection</w:t>
      </w:r>
    </w:p>
    <w:p w:rsidR="00643DD5" w:rsidP="00B003E3" w14:paraId="5757FB16" w14:textId="77777777">
      <w:pPr>
        <w:rPr>
          <w:color w:val="000000" w:themeColor="text1"/>
        </w:rPr>
      </w:pPr>
    </w:p>
    <w:p w:rsidR="00643DD5" w:rsidP="00B003E3" w14:paraId="65486CE2" w14:textId="4C05BB4B">
      <w:pPr>
        <w:rPr>
          <w:color w:val="000000" w:themeColor="text1"/>
        </w:rPr>
      </w:pPr>
      <w:r>
        <w:rPr>
          <w:color w:val="000000" w:themeColor="text1"/>
        </w:rPr>
        <w:t xml:space="preserve">The information collection is used to support FDA’s </w:t>
      </w:r>
      <w:r w:rsidR="00CD288B">
        <w:rPr>
          <w:color w:val="000000" w:themeColor="text1"/>
        </w:rPr>
        <w:t xml:space="preserve">BsUFA </w:t>
      </w:r>
      <w:r>
        <w:rPr>
          <w:color w:val="000000" w:themeColor="text1"/>
        </w:rPr>
        <w:t xml:space="preserve">program, whereby user accounts are established, fees are assessed, monitored, tracked, and refunded as appropriate.  The program fulfills our Congressional mandate to administer and maintain provisions set forth under </w:t>
      </w:r>
      <w:r w:rsidR="00B56D65">
        <w:rPr>
          <w:color w:val="000000" w:themeColor="text1"/>
        </w:rPr>
        <w:t xml:space="preserve">the BPCI Act as well as the most reauthorization </w:t>
      </w:r>
      <w:r w:rsidR="00E120AA">
        <w:rPr>
          <w:color w:val="000000" w:themeColor="text1"/>
        </w:rPr>
        <w:t xml:space="preserve">for BsUFA II.  </w:t>
      </w:r>
      <w:r w:rsidR="00B56D65">
        <w:rPr>
          <w:color w:val="000000" w:themeColor="text1"/>
        </w:rPr>
        <w:t>Respondents to</w:t>
      </w:r>
      <w:r w:rsidR="006C1B48">
        <w:rPr>
          <w:color w:val="000000" w:themeColor="text1"/>
        </w:rPr>
        <w:t xml:space="preserve"> the information collection are sponsors</w:t>
      </w:r>
      <w:r w:rsidR="00B56D65">
        <w:rPr>
          <w:color w:val="000000" w:themeColor="text1"/>
        </w:rPr>
        <w:t xml:space="preserve"> </w:t>
      </w:r>
      <w:r w:rsidRPr="006C1B48" w:rsidR="006C1B48">
        <w:rPr>
          <w:color w:val="000000" w:themeColor="text1"/>
        </w:rPr>
        <w:t>and</w:t>
      </w:r>
      <w:r w:rsidR="00B30DF8">
        <w:rPr>
          <w:color w:val="000000" w:themeColor="text1"/>
        </w:rPr>
        <w:t>/or</w:t>
      </w:r>
      <w:r w:rsidRPr="006C1B48" w:rsidR="006C1B48">
        <w:rPr>
          <w:color w:val="000000" w:themeColor="text1"/>
        </w:rPr>
        <w:t xml:space="preserve"> applicants who have </w:t>
      </w:r>
      <w:r w:rsidR="006C1B48">
        <w:rPr>
          <w:color w:val="000000" w:themeColor="text1"/>
        </w:rPr>
        <w:t>submitted</w:t>
      </w:r>
      <w:r w:rsidR="0008399A">
        <w:rPr>
          <w:color w:val="000000" w:themeColor="text1"/>
        </w:rPr>
        <w:t xml:space="preserve">, </w:t>
      </w:r>
      <w:r w:rsidRPr="006C1B48" w:rsidR="006C1B48">
        <w:rPr>
          <w:color w:val="000000" w:themeColor="text1"/>
        </w:rPr>
        <w:t>or intend to submit</w:t>
      </w:r>
      <w:r w:rsidR="0008399A">
        <w:rPr>
          <w:color w:val="000000" w:themeColor="text1"/>
        </w:rPr>
        <w:t>,</w:t>
      </w:r>
      <w:r w:rsidRPr="006C1B48" w:rsidR="006C1B48">
        <w:rPr>
          <w:color w:val="000000" w:themeColor="text1"/>
        </w:rPr>
        <w:t xml:space="preserve"> an application for a biosimilar product for licensure under section 351(k) of the PHS Act</w:t>
      </w:r>
      <w:r w:rsidR="0008399A">
        <w:rPr>
          <w:color w:val="000000" w:themeColor="text1"/>
        </w:rPr>
        <w:t>,</w:t>
      </w:r>
      <w:r w:rsidRPr="006C1B48" w:rsidR="006C1B48">
        <w:rPr>
          <w:color w:val="000000" w:themeColor="text1"/>
        </w:rPr>
        <w:t xml:space="preserve"> or who intend to submit an iPSP as described in section 505B(e) for those products intended to be licensed under section 351(k) of the Public Health Service Act</w:t>
      </w:r>
      <w:r w:rsidR="00880E6E">
        <w:rPr>
          <w:color w:val="000000" w:themeColor="text1"/>
        </w:rPr>
        <w:t>.</w:t>
      </w:r>
    </w:p>
    <w:p w:rsidR="00643DD5" w:rsidP="00B003E3" w14:paraId="2685F78A" w14:textId="77777777">
      <w:pPr>
        <w:rPr>
          <w:color w:val="000000" w:themeColor="text1"/>
        </w:rPr>
      </w:pPr>
    </w:p>
    <w:p w:rsidR="002746DB" w:rsidRPr="00643DD5" w:rsidP="00B003E3" w14:paraId="7C763003" w14:textId="77777777">
      <w:pPr>
        <w:rPr>
          <w:color w:val="000000" w:themeColor="text1"/>
        </w:rPr>
      </w:pPr>
      <w:r>
        <w:rPr>
          <w:color w:val="000000" w:themeColor="text1"/>
        </w:rPr>
        <w:t xml:space="preserve">3.  </w:t>
      </w:r>
      <w:r w:rsidRPr="00087E4E" w:rsidR="00EB7538">
        <w:rPr>
          <w:color w:val="000000" w:themeColor="text1"/>
          <w:u w:val="single"/>
        </w:rPr>
        <w:t xml:space="preserve">Use of Improved Information Technology and Burden Reduction </w:t>
      </w:r>
    </w:p>
    <w:p w:rsidR="00643DD5" w:rsidP="00B003E3" w14:paraId="5D1CDCD9" w14:textId="77777777">
      <w:pPr>
        <w:rPr>
          <w:color w:val="000000" w:themeColor="text1"/>
        </w:rPr>
      </w:pPr>
    </w:p>
    <w:p w:rsidR="00643DD5" w:rsidP="00B003E3" w14:paraId="3751511E" w14:textId="77777777">
      <w:pPr>
        <w:rPr>
          <w:color w:val="000000" w:themeColor="text1"/>
        </w:rPr>
      </w:pPr>
      <w:r w:rsidRPr="00087E4E">
        <w:rPr>
          <w:color w:val="000000" w:themeColor="text1"/>
        </w:rPr>
        <w:t>Electronic submissions are encouraged through</w:t>
      </w:r>
      <w:r w:rsidR="00FA7E6D">
        <w:rPr>
          <w:color w:val="000000" w:themeColor="text1"/>
        </w:rPr>
        <w:t xml:space="preserve">out FDA </w:t>
      </w:r>
      <w:r w:rsidRPr="00087E4E">
        <w:rPr>
          <w:color w:val="000000" w:themeColor="text1"/>
        </w:rPr>
        <w:t xml:space="preserve">and BsUFA II development participants are required to electronically file their applications.  </w:t>
      </w:r>
      <w:r w:rsidR="00B56D65">
        <w:rPr>
          <w:color w:val="000000" w:themeColor="text1"/>
        </w:rPr>
        <w:t>We estimate</w:t>
      </w:r>
      <w:r w:rsidRPr="00087E4E">
        <w:rPr>
          <w:color w:val="000000" w:themeColor="text1"/>
        </w:rPr>
        <w:t xml:space="preserve"> that 99% of the respondents will use electronic means to fulfill the </w:t>
      </w:r>
      <w:r w:rsidR="00B56D65">
        <w:rPr>
          <w:color w:val="000000" w:themeColor="text1"/>
        </w:rPr>
        <w:t xml:space="preserve">regulatory </w:t>
      </w:r>
      <w:r w:rsidRPr="00ED5AED">
        <w:rPr>
          <w:color w:val="000000" w:themeColor="text1"/>
        </w:rPr>
        <w:t xml:space="preserve">requirements </w:t>
      </w:r>
      <w:r w:rsidR="00B56D65">
        <w:rPr>
          <w:color w:val="000000" w:themeColor="text1"/>
        </w:rPr>
        <w:t xml:space="preserve">and information </w:t>
      </w:r>
      <w:r w:rsidRPr="00ED5AED">
        <w:rPr>
          <w:color w:val="000000" w:themeColor="text1"/>
        </w:rPr>
        <w:t xml:space="preserve">requests.  Fee payments are collected </w:t>
      </w:r>
      <w:r w:rsidRPr="00ED5AED" w:rsidR="005B4E76">
        <w:rPr>
          <w:color w:val="000000" w:themeColor="text1"/>
        </w:rPr>
        <w:t xml:space="preserve">and recorded </w:t>
      </w:r>
      <w:r w:rsidRPr="00ED5AED">
        <w:rPr>
          <w:color w:val="000000" w:themeColor="text1"/>
        </w:rPr>
        <w:t>electronically</w:t>
      </w:r>
      <w:r w:rsidRPr="00ED5AED" w:rsidR="00ED5AED">
        <w:rPr>
          <w:color w:val="000000" w:themeColor="text1"/>
        </w:rPr>
        <w:t>.</w:t>
      </w:r>
    </w:p>
    <w:p w:rsidR="00643DD5" w:rsidP="00B003E3" w14:paraId="45A1AF09" w14:textId="77777777">
      <w:pPr>
        <w:rPr>
          <w:color w:val="000000" w:themeColor="text1"/>
        </w:rPr>
      </w:pPr>
    </w:p>
    <w:p w:rsidR="002746DB" w:rsidRPr="00643DD5" w:rsidP="00B003E3" w14:paraId="66C4BC84" w14:textId="77777777">
      <w:pPr>
        <w:rPr>
          <w:color w:val="000000" w:themeColor="text1"/>
        </w:rPr>
      </w:pPr>
      <w:r>
        <w:rPr>
          <w:color w:val="000000" w:themeColor="text1"/>
        </w:rPr>
        <w:t xml:space="preserve">4.  </w:t>
      </w:r>
      <w:r w:rsidRPr="00ED5AED" w:rsidR="00EB7538">
        <w:rPr>
          <w:color w:val="000000" w:themeColor="text1"/>
          <w:u w:val="single"/>
        </w:rPr>
        <w:t xml:space="preserve">Efforts to Identify Duplication and Use of Similar Information </w:t>
      </w:r>
    </w:p>
    <w:p w:rsidR="00643DD5" w:rsidP="00B003E3" w14:paraId="24810266" w14:textId="77777777">
      <w:pPr>
        <w:rPr>
          <w:color w:val="000000" w:themeColor="text1"/>
        </w:rPr>
      </w:pPr>
    </w:p>
    <w:p w:rsidR="00643DD5" w:rsidP="00B003E3" w14:paraId="05B6E032" w14:textId="49C000AC">
      <w:pPr>
        <w:rPr>
          <w:color w:val="000000" w:themeColor="text1"/>
        </w:rPr>
      </w:pPr>
      <w:r>
        <w:rPr>
          <w:color w:val="000000" w:themeColor="text1"/>
        </w:rPr>
        <w:t>We are unaware of duplicative information collection.</w:t>
      </w:r>
    </w:p>
    <w:p w:rsidR="00DE28B4" w:rsidP="00B003E3" w14:paraId="57A5F526" w14:textId="77777777">
      <w:pPr>
        <w:rPr>
          <w:color w:val="000000" w:themeColor="text1"/>
        </w:rPr>
      </w:pPr>
    </w:p>
    <w:p w:rsidR="002746DB" w:rsidRPr="00643DD5" w:rsidP="00B003E3" w14:paraId="53C3A053" w14:textId="77777777">
      <w:pPr>
        <w:rPr>
          <w:color w:val="000000" w:themeColor="text1"/>
        </w:rPr>
      </w:pPr>
      <w:r>
        <w:rPr>
          <w:color w:val="000000" w:themeColor="text1"/>
        </w:rPr>
        <w:t xml:space="preserve">5.  </w:t>
      </w:r>
      <w:r w:rsidRPr="00087E4E" w:rsidR="00EB7538">
        <w:rPr>
          <w:color w:val="000000" w:themeColor="text1"/>
          <w:u w:val="single"/>
        </w:rPr>
        <w:t>Impact on Small Businesses or Other Small Entities</w:t>
      </w:r>
    </w:p>
    <w:p w:rsidR="00643DD5" w:rsidP="00B003E3" w14:paraId="12EA78E8" w14:textId="77777777">
      <w:pPr>
        <w:rPr>
          <w:color w:val="000000" w:themeColor="text1"/>
        </w:rPr>
      </w:pPr>
    </w:p>
    <w:p w:rsidR="003D4F1D" w:rsidP="00B003E3" w14:paraId="482D0D36" w14:textId="6EAD346F">
      <w:pPr>
        <w:rPr>
          <w:color w:val="000000" w:themeColor="text1"/>
        </w:rPr>
      </w:pPr>
      <w:r>
        <w:rPr>
          <w:color w:val="000000" w:themeColor="text1"/>
        </w:rPr>
        <w:t>We believe t</w:t>
      </w:r>
      <w:r w:rsidR="00CF0866">
        <w:rPr>
          <w:color w:val="000000" w:themeColor="text1"/>
        </w:rPr>
        <w:t xml:space="preserve">he information collection imposes no undue burden on small entities.  Fees are assessed in accordance with schedules established by statute and certain small business waivers may apply.  </w:t>
      </w:r>
      <w:r w:rsidRPr="003D4F1D">
        <w:rPr>
          <w:color w:val="000000" w:themeColor="text1"/>
        </w:rPr>
        <w:t>At the same time, we provide assistance to small business</w:t>
      </w:r>
      <w:r>
        <w:rPr>
          <w:color w:val="000000" w:themeColor="text1"/>
        </w:rPr>
        <w:t>es</w:t>
      </w:r>
      <w:r w:rsidRPr="003D4F1D">
        <w:rPr>
          <w:color w:val="000000" w:themeColor="text1"/>
        </w:rPr>
        <w:t xml:space="preserve"> through </w:t>
      </w:r>
      <w:r>
        <w:rPr>
          <w:color w:val="000000" w:themeColor="text1"/>
        </w:rPr>
        <w:t xml:space="preserve">our </w:t>
      </w:r>
      <w:r w:rsidRPr="003D4F1D">
        <w:rPr>
          <w:color w:val="000000" w:themeColor="text1"/>
        </w:rPr>
        <w:t>Center for Biologics Evaluation and Research (CBER</w:t>
      </w:r>
      <w:r>
        <w:rPr>
          <w:color w:val="000000" w:themeColor="text1"/>
        </w:rPr>
        <w:t>)</w:t>
      </w:r>
      <w:r w:rsidRPr="003D4F1D">
        <w:rPr>
          <w:color w:val="000000" w:themeColor="text1"/>
        </w:rPr>
        <w:t xml:space="preserve"> Office of Communications, Outreach and Development, Division of Manufac</w:t>
      </w:r>
      <w:r>
        <w:rPr>
          <w:color w:val="000000" w:themeColor="text1"/>
        </w:rPr>
        <w:t xml:space="preserve">turer’s Assistance and Training; and our </w:t>
      </w:r>
      <w:r w:rsidRPr="003D4F1D">
        <w:rPr>
          <w:color w:val="000000" w:themeColor="text1"/>
        </w:rPr>
        <w:t xml:space="preserve">Center for Drug </w:t>
      </w:r>
      <w:r>
        <w:rPr>
          <w:color w:val="000000" w:themeColor="text1"/>
        </w:rPr>
        <w:t xml:space="preserve">Evaluation and Research (CDER) </w:t>
      </w:r>
      <w:r w:rsidRPr="003D4F1D">
        <w:rPr>
          <w:color w:val="000000" w:themeColor="text1"/>
        </w:rPr>
        <w:t>Office of Communication, Division of Drug Information</w:t>
      </w:r>
      <w:r>
        <w:rPr>
          <w:color w:val="000000" w:themeColor="text1"/>
        </w:rPr>
        <w:t>.</w:t>
      </w:r>
    </w:p>
    <w:p w:rsidR="00643DD5" w:rsidP="00B003E3" w14:paraId="03609B8D" w14:textId="77777777">
      <w:pPr>
        <w:rPr>
          <w:color w:val="000000" w:themeColor="text1"/>
        </w:rPr>
      </w:pPr>
    </w:p>
    <w:p w:rsidR="007F2138" w:rsidRPr="00643DD5" w:rsidP="00B003E3" w14:paraId="2C3C15EA" w14:textId="77777777">
      <w:pPr>
        <w:rPr>
          <w:color w:val="000000" w:themeColor="text1"/>
        </w:rPr>
      </w:pPr>
      <w:r>
        <w:rPr>
          <w:color w:val="000000" w:themeColor="text1"/>
        </w:rPr>
        <w:t xml:space="preserve">6.  </w:t>
      </w:r>
      <w:r w:rsidRPr="00087E4E" w:rsidR="00EB7538">
        <w:rPr>
          <w:color w:val="000000" w:themeColor="text1"/>
          <w:u w:val="single"/>
        </w:rPr>
        <w:t>Consequences of Collecting the Information Less Frequently</w:t>
      </w:r>
    </w:p>
    <w:p w:rsidR="00643DD5" w:rsidP="00B003E3" w14:paraId="1821737F" w14:textId="77777777">
      <w:pPr>
        <w:rPr>
          <w:color w:val="000000" w:themeColor="text1"/>
        </w:rPr>
      </w:pPr>
    </w:p>
    <w:p w:rsidR="00643DD5" w:rsidP="00B003E3" w14:paraId="440FACF0" w14:textId="0C773785">
      <w:pPr>
        <w:rPr>
          <w:color w:val="000000" w:themeColor="text1"/>
        </w:rPr>
      </w:pPr>
      <w:r>
        <w:rPr>
          <w:color w:val="000000" w:themeColor="text1"/>
        </w:rPr>
        <w:t>The information collection schedule is consistent with</w:t>
      </w:r>
      <w:r w:rsidR="00952C67">
        <w:rPr>
          <w:color w:val="000000" w:themeColor="text1"/>
        </w:rPr>
        <w:t xml:space="preserve"> applicable</w:t>
      </w:r>
      <w:r>
        <w:rPr>
          <w:color w:val="000000" w:themeColor="text1"/>
        </w:rPr>
        <w:t xml:space="preserve"> statutory and regulatory requirements</w:t>
      </w:r>
      <w:r w:rsidR="000F2DE5">
        <w:rPr>
          <w:color w:val="000000" w:themeColor="text1"/>
        </w:rPr>
        <w:t>, as well as agreed upon performance goals negotiated with respondents.  Application submissions are made at the initiation of respondents.  There are no legal obstacles to reducing burden.</w:t>
      </w:r>
    </w:p>
    <w:p w:rsidR="00F022D4" w:rsidP="00B003E3" w14:paraId="24A7D228" w14:textId="77777777">
      <w:pPr>
        <w:rPr>
          <w:color w:val="000000" w:themeColor="text1"/>
        </w:rPr>
      </w:pPr>
    </w:p>
    <w:p w:rsidR="00CD77C3" w:rsidRPr="00643DD5" w:rsidP="00B003E3" w14:paraId="286A5EF0" w14:textId="65E6AF3B">
      <w:pPr>
        <w:rPr>
          <w:color w:val="000000" w:themeColor="text1"/>
        </w:rPr>
      </w:pPr>
      <w:r>
        <w:rPr>
          <w:color w:val="000000" w:themeColor="text1"/>
        </w:rPr>
        <w:t xml:space="preserve">7.  </w:t>
      </w:r>
      <w:r w:rsidRPr="00087E4E" w:rsidR="00EB7538">
        <w:rPr>
          <w:color w:val="000000" w:themeColor="text1"/>
          <w:u w:val="single"/>
        </w:rPr>
        <w:t>Special Circumstances Relating to the Guidelines of 5 CFR 1320.5</w:t>
      </w:r>
    </w:p>
    <w:p w:rsidR="00643DD5" w:rsidP="00B003E3" w14:paraId="13C8D84F" w14:textId="77777777">
      <w:pPr>
        <w:rPr>
          <w:color w:val="000000" w:themeColor="text1"/>
        </w:rPr>
      </w:pPr>
    </w:p>
    <w:p w:rsidR="00643DD5" w:rsidP="00B003E3" w14:paraId="1B1F0E3E" w14:textId="77777777">
      <w:pPr>
        <w:rPr>
          <w:color w:val="000000" w:themeColor="text1"/>
        </w:rPr>
      </w:pPr>
      <w:r w:rsidRPr="00087E4E">
        <w:rPr>
          <w:color w:val="000000" w:themeColor="text1"/>
        </w:rPr>
        <w:t>There are no special circumstances for this collection of information.</w:t>
      </w:r>
    </w:p>
    <w:p w:rsidR="00643DD5" w:rsidP="00B003E3" w14:paraId="11721534" w14:textId="77777777">
      <w:pPr>
        <w:rPr>
          <w:color w:val="000000" w:themeColor="text1"/>
        </w:rPr>
      </w:pPr>
    </w:p>
    <w:p w:rsidR="00CD77C3" w:rsidRPr="00643DD5" w:rsidP="00B003E3" w14:paraId="60A4139A" w14:textId="77777777">
      <w:pPr>
        <w:rPr>
          <w:color w:val="000000" w:themeColor="text1"/>
        </w:rPr>
      </w:pPr>
      <w:r>
        <w:rPr>
          <w:color w:val="000000" w:themeColor="text1"/>
        </w:rPr>
        <w:t xml:space="preserve">8.  </w:t>
      </w:r>
      <w:r w:rsidRPr="00087E4E" w:rsidR="00EB7538">
        <w:rPr>
          <w:color w:val="000000" w:themeColor="text1"/>
          <w:u w:val="single"/>
        </w:rPr>
        <w:t>Comments in Response to the Federal Register Notice and Efforts to Consult Outside the Agency</w:t>
      </w:r>
    </w:p>
    <w:p w:rsidR="00643DD5" w:rsidP="00B003E3" w14:paraId="1190DF21" w14:textId="77777777">
      <w:pPr>
        <w:rPr>
          <w:color w:val="000000" w:themeColor="text1"/>
        </w:rPr>
      </w:pPr>
    </w:p>
    <w:p w:rsidR="00643DD5" w:rsidP="001F3300" w14:paraId="2E90189A" w14:textId="5BA3227F">
      <w:pPr>
        <w:rPr>
          <w:color w:val="000000" w:themeColor="text1"/>
        </w:rPr>
      </w:pPr>
      <w:r w:rsidRPr="00F23844">
        <w:rPr>
          <w:rFonts w:eastAsia="Calibri"/>
        </w:rPr>
        <w:t xml:space="preserve">In </w:t>
      </w:r>
      <w:r w:rsidR="00B8009A">
        <w:rPr>
          <w:rFonts w:eastAsia="Calibri"/>
        </w:rPr>
        <w:t xml:space="preserve">accordance with 5 CFR 1320.8(d), we published a </w:t>
      </w:r>
      <w:r w:rsidR="00A700F0">
        <w:rPr>
          <w:rFonts w:eastAsia="Calibri"/>
        </w:rPr>
        <w:t xml:space="preserve">60-day </w:t>
      </w:r>
      <w:r w:rsidR="00B8009A">
        <w:rPr>
          <w:rFonts w:eastAsia="Calibri"/>
        </w:rPr>
        <w:t xml:space="preserve">notice in </w:t>
      </w:r>
      <w:r w:rsidRPr="00F23844">
        <w:rPr>
          <w:rFonts w:eastAsia="Calibri"/>
        </w:rPr>
        <w:t xml:space="preserve">the </w:t>
      </w:r>
      <w:r w:rsidRPr="00F23844">
        <w:rPr>
          <w:rFonts w:eastAsia="Calibri"/>
          <w:i/>
          <w:iCs/>
        </w:rPr>
        <w:t>Federal Register</w:t>
      </w:r>
      <w:r w:rsidRPr="00F23844">
        <w:rPr>
          <w:rFonts w:eastAsia="Calibri"/>
        </w:rPr>
        <w:t xml:space="preserve"> of September </w:t>
      </w:r>
      <w:r w:rsidR="00E84103">
        <w:rPr>
          <w:rFonts w:eastAsia="Calibri"/>
        </w:rPr>
        <w:t>23</w:t>
      </w:r>
      <w:r w:rsidRPr="00F23844">
        <w:rPr>
          <w:rFonts w:eastAsia="Calibri"/>
        </w:rPr>
        <w:t xml:space="preserve">, 2024 (89 FR </w:t>
      </w:r>
      <w:r w:rsidR="001F6CF3">
        <w:rPr>
          <w:rFonts w:eastAsia="Calibri"/>
        </w:rPr>
        <w:t>77531</w:t>
      </w:r>
      <w:r w:rsidRPr="00F23844">
        <w:rPr>
          <w:rFonts w:eastAsia="Calibri"/>
        </w:rPr>
        <w:t xml:space="preserve">), requesting public comment on the proposed collection of information.  </w:t>
      </w:r>
      <w:r w:rsidR="00E97466">
        <w:rPr>
          <w:rFonts w:eastAsia="Calibri"/>
        </w:rPr>
        <w:t xml:space="preserve">No </w:t>
      </w:r>
      <w:r w:rsidRPr="00F23844">
        <w:rPr>
          <w:rFonts w:eastAsia="Calibri"/>
        </w:rPr>
        <w:t>comments were received</w:t>
      </w:r>
      <w:r w:rsidR="00356AAE">
        <w:rPr>
          <w:rFonts w:eastAsia="Calibri"/>
        </w:rPr>
        <w:t xml:space="preserve">.  </w:t>
      </w:r>
      <w:r w:rsidR="00E05565">
        <w:rPr>
          <w:rFonts w:eastAsia="Calibri"/>
        </w:rPr>
        <w:t>In accordance with 5 CFR 1320.</w:t>
      </w:r>
      <w:r w:rsidR="0098127A">
        <w:rPr>
          <w:rFonts w:eastAsia="Calibri"/>
        </w:rPr>
        <w:t>5(a)(1)(</w:t>
      </w:r>
      <w:r w:rsidR="00A700F0">
        <w:rPr>
          <w:rFonts w:eastAsia="Calibri"/>
        </w:rPr>
        <w:t xml:space="preserve">vi), a 30-day notice </w:t>
      </w:r>
      <w:r w:rsidR="00E05565">
        <w:rPr>
          <w:rFonts w:eastAsia="Calibri"/>
        </w:rPr>
        <w:t xml:space="preserve">is scheduled </w:t>
      </w:r>
      <w:r w:rsidRPr="00BE164D" w:rsidR="00E05565">
        <w:rPr>
          <w:rFonts w:eastAsia="Calibri"/>
        </w:rPr>
        <w:t>for public</w:t>
      </w:r>
      <w:r w:rsidR="00E05565">
        <w:rPr>
          <w:rFonts w:eastAsia="Calibri"/>
        </w:rPr>
        <w:t xml:space="preserve">ation in </w:t>
      </w:r>
      <w:r w:rsidRPr="00BE164D" w:rsidR="00E05565">
        <w:rPr>
          <w:rFonts w:eastAsia="Calibri"/>
        </w:rPr>
        <w:t xml:space="preserve">the </w:t>
      </w:r>
      <w:r w:rsidRPr="00BE164D" w:rsidR="00E05565">
        <w:rPr>
          <w:rFonts w:eastAsia="Calibri"/>
          <w:i/>
          <w:iCs/>
        </w:rPr>
        <w:t>Federal Register</w:t>
      </w:r>
      <w:r w:rsidR="00E05565">
        <w:rPr>
          <w:rFonts w:eastAsia="Calibri"/>
        </w:rPr>
        <w:t xml:space="preserve"> on February 3, 2025, having been inadvertently delayed due to unforeseen circumstances.  Because the information collection activit</w:t>
      </w:r>
      <w:r w:rsidR="0008148B">
        <w:rPr>
          <w:rFonts w:eastAsia="Calibri"/>
        </w:rPr>
        <w:t>y</w:t>
      </w:r>
      <w:r w:rsidR="00E05565">
        <w:rPr>
          <w:rFonts w:eastAsia="Calibri"/>
        </w:rPr>
        <w:t xml:space="preserve"> cover</w:t>
      </w:r>
      <w:r w:rsidR="0008148B">
        <w:rPr>
          <w:rFonts w:eastAsia="Calibri"/>
        </w:rPr>
        <w:t>s</w:t>
      </w:r>
      <w:r w:rsidR="00E05565">
        <w:rPr>
          <w:rFonts w:eastAsia="Calibri"/>
        </w:rPr>
        <w:t xml:space="preserve"> a </w:t>
      </w:r>
      <w:r w:rsidR="00627ACF">
        <w:rPr>
          <w:rFonts w:eastAsia="Calibri"/>
        </w:rPr>
        <w:t xml:space="preserve">statutory </w:t>
      </w:r>
      <w:r w:rsidR="00E05565">
        <w:rPr>
          <w:rFonts w:eastAsia="Calibri"/>
        </w:rPr>
        <w:t xml:space="preserve">critical public health </w:t>
      </w:r>
      <w:r w:rsidR="00627ACF">
        <w:rPr>
          <w:rFonts w:eastAsia="Calibri"/>
        </w:rPr>
        <w:t>program</w:t>
      </w:r>
      <w:r w:rsidR="0019429D">
        <w:rPr>
          <w:rFonts w:eastAsia="Calibri"/>
        </w:rPr>
        <w:t>,</w:t>
      </w:r>
      <w:r w:rsidR="00E05565">
        <w:rPr>
          <w:rFonts w:eastAsia="Calibri"/>
        </w:rPr>
        <w:t xml:space="preserve"> we obtained OMB permission to submit the ICR in advance of this date.  </w:t>
      </w:r>
      <w:r w:rsidRPr="001D5121" w:rsidR="001D5121">
        <w:rPr>
          <w:rFonts w:eastAsia="Calibri"/>
        </w:rPr>
        <w:t xml:space="preserve">OMB has not waived </w:t>
      </w:r>
      <w:r w:rsidR="003C7ADB">
        <w:rPr>
          <w:rFonts w:eastAsia="Calibri"/>
        </w:rPr>
        <w:t xml:space="preserve">publication </w:t>
      </w:r>
      <w:r w:rsidRPr="001D5121" w:rsidR="001D5121">
        <w:rPr>
          <w:rFonts w:eastAsia="Calibri"/>
        </w:rPr>
        <w:t>requirements under 5 CFR 1320.5(a)(1)(iv).</w:t>
      </w:r>
    </w:p>
    <w:p w:rsidR="00A603F8" w:rsidP="00B003E3" w14:paraId="1E473F56" w14:textId="77777777">
      <w:pPr>
        <w:rPr>
          <w:color w:val="000000" w:themeColor="text1"/>
        </w:rPr>
      </w:pPr>
    </w:p>
    <w:p w:rsidR="00CD77C3" w:rsidRPr="00643DD5" w:rsidP="00B003E3" w14:paraId="690CA795" w14:textId="77777777">
      <w:pPr>
        <w:rPr>
          <w:color w:val="000000" w:themeColor="text1"/>
        </w:rPr>
      </w:pPr>
      <w:r>
        <w:rPr>
          <w:color w:val="000000" w:themeColor="text1"/>
        </w:rPr>
        <w:t xml:space="preserve">9.  </w:t>
      </w:r>
      <w:r w:rsidRPr="00087E4E" w:rsidR="00EB7538">
        <w:rPr>
          <w:color w:val="000000" w:themeColor="text1"/>
          <w:u w:val="single"/>
        </w:rPr>
        <w:t>Explanation of Any Payment or Gift to Respondents</w:t>
      </w:r>
    </w:p>
    <w:p w:rsidR="00643DD5" w:rsidP="00B003E3" w14:paraId="2585DE97" w14:textId="487B4296">
      <w:pPr>
        <w:rPr>
          <w:color w:val="000000" w:themeColor="text1"/>
        </w:rPr>
      </w:pPr>
      <w:r>
        <w:rPr>
          <w:color w:val="000000" w:themeColor="text1"/>
        </w:rPr>
        <w:tab/>
      </w:r>
    </w:p>
    <w:p w:rsidR="00643DD5" w:rsidP="00B003E3" w14:paraId="1BB90A12" w14:textId="77777777">
      <w:pPr>
        <w:rPr>
          <w:color w:val="000000" w:themeColor="text1"/>
        </w:rPr>
      </w:pPr>
      <w:r>
        <w:rPr>
          <w:color w:val="000000" w:themeColor="text1"/>
        </w:rPr>
        <w:t>No gifts or payments are provided to respondents.</w:t>
      </w:r>
    </w:p>
    <w:p w:rsidR="00643DD5" w:rsidP="00B003E3" w14:paraId="24C40565" w14:textId="77777777">
      <w:pPr>
        <w:rPr>
          <w:color w:val="000000" w:themeColor="text1"/>
        </w:rPr>
      </w:pPr>
    </w:p>
    <w:p w:rsidR="00CD77C3" w:rsidRPr="00643DD5" w:rsidP="00B003E3" w14:paraId="0F0FB7A8" w14:textId="77777777">
      <w:pPr>
        <w:rPr>
          <w:color w:val="000000" w:themeColor="text1"/>
        </w:rPr>
      </w:pPr>
      <w:r>
        <w:rPr>
          <w:color w:val="000000" w:themeColor="text1"/>
        </w:rPr>
        <w:t xml:space="preserve">10.  </w:t>
      </w:r>
      <w:r w:rsidRPr="00087E4E" w:rsidR="00EB7538">
        <w:rPr>
          <w:color w:val="000000" w:themeColor="text1"/>
          <w:u w:val="single"/>
        </w:rPr>
        <w:t>Assurance of Confidentiality Provided to Respondents</w:t>
      </w:r>
    </w:p>
    <w:p w:rsidR="00643DD5" w:rsidP="00B003E3" w14:paraId="690551D7" w14:textId="77777777">
      <w:pPr>
        <w:rPr>
          <w:color w:val="000000" w:themeColor="text1"/>
        </w:rPr>
      </w:pPr>
    </w:p>
    <w:p w:rsidR="00EC2E9E" w:rsidRPr="00213C01" w:rsidP="00EC2E9E" w14:paraId="71857C10" w14:textId="77777777">
      <w:pPr>
        <w:rPr>
          <w:i/>
          <w:iCs/>
        </w:rPr>
      </w:pPr>
      <w:r w:rsidRPr="00213C01">
        <w:rPr>
          <w:i/>
          <w:iCs/>
        </w:rPr>
        <w:t>The Privacy Act of 1974</w:t>
      </w:r>
    </w:p>
    <w:p w:rsidR="00EC2E9E" w:rsidP="00EC2E9E" w14:paraId="497F5FFB" w14:textId="77777777"/>
    <w:p w:rsidR="00EC2E9E" w:rsidP="00EC2E9E" w14:paraId="28F556AB" w14:textId="4CA0A24E">
      <w:r w:rsidRPr="002A0B1C">
        <w:t xml:space="preserve">In preparing this </w:t>
      </w:r>
      <w:r>
        <w:t>s</w:t>
      </w:r>
      <w:r w:rsidRPr="002A0B1C">
        <w:t xml:space="preserve">upporting </w:t>
      </w:r>
      <w:r>
        <w:t>s</w:t>
      </w:r>
      <w:r w:rsidRPr="002A0B1C">
        <w:t xml:space="preserve">tatement, we consulted </w:t>
      </w:r>
      <w:r>
        <w:t xml:space="preserve">FDA’s </w:t>
      </w:r>
      <w:r w:rsidRPr="002A0B1C">
        <w:t>Privacy Office to ensure appropriate identification and handling of information collected.</w:t>
      </w:r>
      <w:r>
        <w:t xml:space="preserve">  Although t</w:t>
      </w:r>
      <w:r w:rsidRPr="002A0B1C">
        <w:t>his ICR collects personally identifiable information (PII)</w:t>
      </w:r>
      <w:r>
        <w:t xml:space="preserve">, it is </w:t>
      </w:r>
      <w:r w:rsidRPr="002A0B1C">
        <w:t>collected in the context of the subject individuals’ professional capacity and the FDA-related work perform</w:t>
      </w:r>
      <w:r>
        <w:t>ed</w:t>
      </w:r>
      <w:r w:rsidRPr="002A0B1C">
        <w:t xml:space="preserve"> for their employer (e.g., point of contact at a regulated entity).  The PII submitted via </w:t>
      </w:r>
      <w:r w:rsidRPr="00213C01">
        <w:rPr>
          <w:b/>
          <w:bCs/>
        </w:rPr>
        <w:t>Form FDA 3792</w:t>
      </w:r>
      <w:r w:rsidRPr="002A0B1C">
        <w:t xml:space="preserve"> (Biosimilar User Fee Cover Sheet) is business point of contact name, business address, business telephone number, and business email address.</w:t>
      </w:r>
      <w:r>
        <w:t xml:space="preserve">  We have </w:t>
      </w:r>
      <w:r w:rsidRPr="002A0B1C">
        <w:t xml:space="preserve">determined that although PII is collected, the collection is not subject to the Privacy Act of 1974 and the particular notice and other requirements of the </w:t>
      </w:r>
      <w:r>
        <w:t xml:space="preserve">Privacy </w:t>
      </w:r>
      <w:r w:rsidRPr="002A0B1C">
        <w:t>Act do not apply.</w:t>
      </w:r>
      <w:r>
        <w:t xml:space="preserve">  </w:t>
      </w:r>
      <w:r w:rsidRPr="002A0B1C">
        <w:t>Specifically, the contractor or FDA does not use name or any other personal identifier to retrieve records from the information collected.</w:t>
      </w:r>
      <w:r>
        <w:t xml:space="preserve">  </w:t>
      </w:r>
      <w:r w:rsidRPr="002A0B1C">
        <w:t>Through appropriate form and webpage design, FDA limited submission fields and minimized the PII collected to protect the privacy of the individuals.</w:t>
      </w:r>
    </w:p>
    <w:p w:rsidR="00EC2E9E" w:rsidRPr="002A0B1C" w:rsidP="00EC2E9E" w14:paraId="16FB4355" w14:textId="77777777"/>
    <w:p w:rsidR="00EC2E9E" w:rsidRPr="00213C01" w:rsidP="00EC2E9E" w14:paraId="670AA47A" w14:textId="77777777">
      <w:pPr>
        <w:rPr>
          <w:i/>
          <w:iCs/>
        </w:rPr>
      </w:pPr>
      <w:r w:rsidRPr="00213C01">
        <w:rPr>
          <w:i/>
          <w:iCs/>
        </w:rPr>
        <w:t>The Freedom of Information Act (FOIA)</w:t>
      </w:r>
    </w:p>
    <w:p w:rsidR="00EC2E9E" w:rsidP="00EC2E9E" w14:paraId="1601780D" w14:textId="77777777"/>
    <w:p w:rsidR="00EC2E9E" w:rsidP="00EC2E9E" w14:paraId="36160F73" w14:textId="115F7468">
      <w:pPr>
        <w:rPr>
          <w:color w:val="000000" w:themeColor="text1"/>
        </w:rPr>
      </w:pPr>
      <w:r>
        <w:t xml:space="preserve">Under FOIA </w:t>
      </w:r>
      <w:r w:rsidRPr="002A0B1C">
        <w:t>(5 U.S.C. 552), the public has broad access to government documents. However, FOIA provides certain exemptions from mandatory public disclosure of government records (5 U.S.C. 552(b)(1-9)).  FDA make</w:t>
      </w:r>
      <w:r>
        <w:t>s</w:t>
      </w:r>
      <w:r w:rsidRPr="002A0B1C">
        <w:t xml:space="preserve"> the fullest possible disclosure of records to the public, consistent with the rights of individuals to privacy, the property rights of persons in trade and confidential commercial or financial information</w:t>
      </w:r>
      <w:r>
        <w:t>.</w:t>
      </w:r>
    </w:p>
    <w:p w:rsidR="00643DD5" w:rsidP="00B003E3" w14:paraId="7E1B040C" w14:textId="77777777">
      <w:pPr>
        <w:rPr>
          <w:color w:val="000000" w:themeColor="text1"/>
        </w:rPr>
      </w:pPr>
    </w:p>
    <w:p w:rsidR="00643DD5" w:rsidP="00B003E3" w14:paraId="6D772AFB" w14:textId="1B201F06">
      <w:pPr>
        <w:rPr>
          <w:color w:val="000000" w:themeColor="text1"/>
        </w:rPr>
      </w:pPr>
      <w:r>
        <w:rPr>
          <w:color w:val="000000" w:themeColor="text1"/>
        </w:rPr>
        <w:t xml:space="preserve">11.  </w:t>
      </w:r>
      <w:r w:rsidRPr="00087E4E" w:rsidR="00EB7538">
        <w:rPr>
          <w:color w:val="000000" w:themeColor="text1"/>
          <w:u w:val="single"/>
        </w:rPr>
        <w:t>Justification for Sensitive Questions</w:t>
      </w:r>
    </w:p>
    <w:p w:rsidR="00643DD5" w:rsidP="00B003E3" w14:paraId="0FB8CB4F" w14:textId="77777777">
      <w:pPr>
        <w:rPr>
          <w:color w:val="000000" w:themeColor="text1"/>
        </w:rPr>
      </w:pPr>
    </w:p>
    <w:p w:rsidR="00643DD5" w:rsidP="00B003E3" w14:paraId="3F5C4D5F" w14:textId="77777777">
      <w:pPr>
        <w:rPr>
          <w:color w:val="000000" w:themeColor="text1"/>
        </w:rPr>
      </w:pPr>
      <w:r w:rsidRPr="00087E4E">
        <w:rPr>
          <w:color w:val="000000" w:themeColor="text1"/>
        </w:rPr>
        <w:t>There are no questions of a sensitive nature</w:t>
      </w:r>
      <w:r w:rsidR="00BC76B9">
        <w:rPr>
          <w:color w:val="000000" w:themeColor="text1"/>
        </w:rPr>
        <w:t xml:space="preserve"> applicable to this collection of information</w:t>
      </w:r>
      <w:r w:rsidRPr="00087E4E">
        <w:rPr>
          <w:color w:val="000000" w:themeColor="text1"/>
        </w:rPr>
        <w:t>.</w:t>
      </w:r>
    </w:p>
    <w:p w:rsidR="00643DD5" w:rsidP="00B003E3" w14:paraId="53110DC7" w14:textId="77777777">
      <w:pPr>
        <w:rPr>
          <w:color w:val="000000" w:themeColor="text1"/>
        </w:rPr>
      </w:pPr>
    </w:p>
    <w:p w:rsidR="00643DD5" w:rsidP="00B003E3" w14:paraId="504A6415" w14:textId="1DDC7F17">
      <w:pPr>
        <w:rPr>
          <w:color w:val="000000" w:themeColor="text1"/>
        </w:rPr>
      </w:pPr>
      <w:r>
        <w:rPr>
          <w:color w:val="000000" w:themeColor="text1"/>
        </w:rPr>
        <w:t xml:space="preserve">12.  </w:t>
      </w:r>
      <w:r w:rsidRPr="00087E4E" w:rsidR="00EB7538">
        <w:rPr>
          <w:color w:val="000000" w:themeColor="text1"/>
          <w:u w:val="single"/>
        </w:rPr>
        <w:t>Estimates of Annualized Burden Hours and Costs</w:t>
      </w:r>
    </w:p>
    <w:p w:rsidR="00643DD5" w:rsidP="00B003E3" w14:paraId="50EE5CD5" w14:textId="77777777">
      <w:pPr>
        <w:rPr>
          <w:color w:val="000000" w:themeColor="text1"/>
        </w:rPr>
      </w:pPr>
    </w:p>
    <w:p w:rsidR="00192958" w:rsidP="00B003E3" w14:paraId="636C4419" w14:textId="77777777">
      <w:pPr>
        <w:rPr>
          <w:color w:val="000000" w:themeColor="text1"/>
        </w:rPr>
      </w:pPr>
      <w:r>
        <w:rPr>
          <w:color w:val="000000" w:themeColor="text1"/>
        </w:rPr>
        <w:tab/>
      </w:r>
      <w:r w:rsidRPr="00643DD5" w:rsidR="00643DD5">
        <w:rPr>
          <w:i/>
          <w:color w:val="000000" w:themeColor="text1"/>
        </w:rPr>
        <w:t>12</w:t>
      </w:r>
      <w:r w:rsidRPr="00643DD5" w:rsidR="008B0E29">
        <w:rPr>
          <w:i/>
          <w:color w:val="000000" w:themeColor="text1"/>
        </w:rPr>
        <w:t xml:space="preserve">a. </w:t>
      </w:r>
      <w:r w:rsidRPr="00643DD5" w:rsidR="00411D11">
        <w:rPr>
          <w:i/>
          <w:color w:val="000000" w:themeColor="text1"/>
        </w:rPr>
        <w:t xml:space="preserve">Annualized </w:t>
      </w:r>
      <w:r w:rsidRPr="00643DD5" w:rsidR="004C6979">
        <w:rPr>
          <w:i/>
          <w:color w:val="000000" w:themeColor="text1"/>
        </w:rPr>
        <w:t>Hour Burden Estimate</w:t>
      </w:r>
    </w:p>
    <w:p w:rsidR="00192958" w:rsidRPr="00192958" w:rsidP="00B003E3" w14:paraId="4B7D626D" w14:textId="77777777">
      <w:pPr>
        <w:rPr>
          <w:color w:val="000000" w:themeColor="text1"/>
        </w:rPr>
      </w:pPr>
    </w:p>
    <w:p w:rsidR="00AB653E" w:rsidRPr="00AB653E" w:rsidP="00AB653E" w14:paraId="1EC6DD79" w14:textId="77777777">
      <w:pPr>
        <w:contextualSpacing/>
        <w:jc w:val="center"/>
        <w:rPr>
          <w:sz w:val="20"/>
          <w:szCs w:val="20"/>
        </w:rPr>
      </w:pPr>
      <w:r w:rsidRPr="00AB653E">
        <w:rPr>
          <w:sz w:val="20"/>
          <w:szCs w:val="20"/>
        </w:rPr>
        <w:t xml:space="preserve">Table 1.--Estimated Annual Reporting Burden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5"/>
        <w:gridCol w:w="1239"/>
        <w:gridCol w:w="1426"/>
        <w:gridCol w:w="1079"/>
        <w:gridCol w:w="1246"/>
        <w:gridCol w:w="1235"/>
      </w:tblGrid>
      <w:tr w14:paraId="033BA611" w14:textId="77777777" w:rsidTr="008752C6">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3405" w:type="dxa"/>
            <w:shd w:val="clear" w:color="auto" w:fill="auto"/>
          </w:tcPr>
          <w:p w:rsidR="00AB653E" w:rsidRPr="00AB653E" w:rsidP="00AB653E" w14:paraId="4E2B3822" w14:textId="77777777">
            <w:pPr>
              <w:jc w:val="center"/>
              <w:rPr>
                <w:sz w:val="20"/>
                <w:szCs w:val="20"/>
              </w:rPr>
            </w:pPr>
            <w:r w:rsidRPr="00AB653E">
              <w:rPr>
                <w:sz w:val="20"/>
                <w:szCs w:val="20"/>
              </w:rPr>
              <w:t>FDA Form; Survey</w:t>
            </w:r>
          </w:p>
        </w:tc>
        <w:tc>
          <w:tcPr>
            <w:tcW w:w="1239" w:type="dxa"/>
            <w:shd w:val="clear" w:color="auto" w:fill="auto"/>
          </w:tcPr>
          <w:p w:rsidR="00AB653E" w:rsidRPr="00AB653E" w:rsidP="00AB653E" w14:paraId="6B154DA3" w14:textId="77777777">
            <w:pPr>
              <w:jc w:val="center"/>
              <w:rPr>
                <w:sz w:val="20"/>
                <w:szCs w:val="20"/>
              </w:rPr>
            </w:pPr>
            <w:r w:rsidRPr="00AB653E">
              <w:rPr>
                <w:sz w:val="20"/>
                <w:szCs w:val="20"/>
              </w:rPr>
              <w:t>No. of Respondents</w:t>
            </w:r>
          </w:p>
        </w:tc>
        <w:tc>
          <w:tcPr>
            <w:tcW w:w="1426" w:type="dxa"/>
            <w:shd w:val="clear" w:color="auto" w:fill="auto"/>
          </w:tcPr>
          <w:p w:rsidR="00AB653E" w:rsidRPr="00AB653E" w:rsidP="00AB653E" w14:paraId="2B504586" w14:textId="77777777">
            <w:pPr>
              <w:jc w:val="center"/>
              <w:rPr>
                <w:sz w:val="20"/>
                <w:szCs w:val="20"/>
              </w:rPr>
            </w:pPr>
            <w:r w:rsidRPr="00AB653E">
              <w:rPr>
                <w:bCs/>
                <w:sz w:val="20"/>
                <w:szCs w:val="20"/>
              </w:rPr>
              <w:t>No. of Responses per Respondent</w:t>
            </w:r>
          </w:p>
        </w:tc>
        <w:tc>
          <w:tcPr>
            <w:tcW w:w="1079" w:type="dxa"/>
            <w:shd w:val="clear" w:color="auto" w:fill="auto"/>
          </w:tcPr>
          <w:p w:rsidR="00AB653E" w:rsidRPr="00AB653E" w:rsidP="00AB653E" w14:paraId="41880151" w14:textId="77777777">
            <w:pPr>
              <w:jc w:val="center"/>
              <w:rPr>
                <w:sz w:val="20"/>
                <w:szCs w:val="20"/>
              </w:rPr>
            </w:pPr>
            <w:r w:rsidRPr="00AB653E">
              <w:rPr>
                <w:sz w:val="20"/>
                <w:szCs w:val="20"/>
              </w:rPr>
              <w:t>Total Annual Responses</w:t>
            </w:r>
          </w:p>
        </w:tc>
        <w:tc>
          <w:tcPr>
            <w:tcW w:w="1246" w:type="dxa"/>
            <w:shd w:val="clear" w:color="auto" w:fill="auto"/>
          </w:tcPr>
          <w:p w:rsidR="00AB653E" w:rsidRPr="00AB653E" w:rsidP="00AB653E" w14:paraId="19A75FE3" w14:textId="77777777">
            <w:pPr>
              <w:jc w:val="center"/>
              <w:rPr>
                <w:sz w:val="20"/>
                <w:szCs w:val="20"/>
              </w:rPr>
            </w:pPr>
            <w:r w:rsidRPr="00AB653E">
              <w:rPr>
                <w:bCs/>
                <w:sz w:val="20"/>
                <w:szCs w:val="20"/>
              </w:rPr>
              <w:t>Average Burden per Response</w:t>
            </w:r>
          </w:p>
        </w:tc>
        <w:tc>
          <w:tcPr>
            <w:tcW w:w="1235" w:type="dxa"/>
            <w:shd w:val="clear" w:color="auto" w:fill="auto"/>
          </w:tcPr>
          <w:p w:rsidR="00AB653E" w:rsidRPr="00AB653E" w:rsidP="00AB653E" w14:paraId="45164AAD" w14:textId="77777777">
            <w:pPr>
              <w:jc w:val="center"/>
              <w:rPr>
                <w:sz w:val="20"/>
                <w:szCs w:val="20"/>
              </w:rPr>
            </w:pPr>
            <w:r w:rsidRPr="00AB653E">
              <w:rPr>
                <w:sz w:val="20"/>
                <w:szCs w:val="20"/>
              </w:rPr>
              <w:t>Total Hours</w:t>
            </w:r>
          </w:p>
        </w:tc>
      </w:tr>
      <w:tr w14:paraId="40032C77" w14:textId="77777777" w:rsidTr="008752C6">
        <w:tblPrEx>
          <w:tblW w:w="9630" w:type="dxa"/>
          <w:tblInd w:w="-5" w:type="dxa"/>
          <w:tblLook w:val="01E0"/>
        </w:tblPrEx>
        <w:trPr>
          <w:cantSplit/>
          <w:trHeight w:val="20"/>
        </w:trPr>
        <w:tc>
          <w:tcPr>
            <w:tcW w:w="3405" w:type="dxa"/>
            <w:shd w:val="clear" w:color="auto" w:fill="auto"/>
          </w:tcPr>
          <w:p w:rsidR="00AB653E" w:rsidRPr="00AB653E" w:rsidP="00AB653E" w14:paraId="225E9E23" w14:textId="77777777">
            <w:pPr>
              <w:rPr>
                <w:sz w:val="20"/>
                <w:szCs w:val="20"/>
              </w:rPr>
            </w:pPr>
            <w:r w:rsidRPr="00AB653E">
              <w:rPr>
                <w:sz w:val="20"/>
                <w:szCs w:val="20"/>
              </w:rPr>
              <w:t>Biosimilar User Fee Cover Sheet (Form FDA 3792)</w:t>
            </w:r>
          </w:p>
        </w:tc>
        <w:tc>
          <w:tcPr>
            <w:tcW w:w="1239" w:type="dxa"/>
            <w:shd w:val="clear" w:color="auto" w:fill="auto"/>
          </w:tcPr>
          <w:p w:rsidR="00AB653E" w:rsidRPr="00AB653E" w:rsidP="00AB653E" w14:paraId="22E574E4" w14:textId="77777777">
            <w:pPr>
              <w:jc w:val="right"/>
              <w:rPr>
                <w:sz w:val="20"/>
                <w:szCs w:val="20"/>
              </w:rPr>
            </w:pPr>
            <w:r w:rsidRPr="00AB653E">
              <w:rPr>
                <w:sz w:val="20"/>
                <w:szCs w:val="20"/>
              </w:rPr>
              <w:t>30</w:t>
            </w:r>
          </w:p>
        </w:tc>
        <w:tc>
          <w:tcPr>
            <w:tcW w:w="1426" w:type="dxa"/>
            <w:shd w:val="clear" w:color="auto" w:fill="auto"/>
          </w:tcPr>
          <w:p w:rsidR="00AB653E" w:rsidRPr="00AB653E" w:rsidP="00AB653E" w14:paraId="57C226F1" w14:textId="77777777">
            <w:pPr>
              <w:jc w:val="right"/>
              <w:rPr>
                <w:sz w:val="20"/>
                <w:szCs w:val="20"/>
              </w:rPr>
            </w:pPr>
            <w:r w:rsidRPr="00AB653E">
              <w:rPr>
                <w:sz w:val="20"/>
                <w:szCs w:val="20"/>
              </w:rPr>
              <w:t>2</w:t>
            </w:r>
          </w:p>
        </w:tc>
        <w:tc>
          <w:tcPr>
            <w:tcW w:w="1079" w:type="dxa"/>
            <w:shd w:val="clear" w:color="auto" w:fill="auto"/>
          </w:tcPr>
          <w:p w:rsidR="00AB653E" w:rsidRPr="00AB653E" w:rsidP="00AB653E" w14:paraId="4E5CDCC4" w14:textId="77777777">
            <w:pPr>
              <w:jc w:val="right"/>
              <w:rPr>
                <w:sz w:val="20"/>
                <w:szCs w:val="20"/>
              </w:rPr>
            </w:pPr>
            <w:r w:rsidRPr="00AB653E">
              <w:rPr>
                <w:sz w:val="20"/>
                <w:szCs w:val="20"/>
              </w:rPr>
              <w:t>60</w:t>
            </w:r>
          </w:p>
        </w:tc>
        <w:tc>
          <w:tcPr>
            <w:tcW w:w="1246" w:type="dxa"/>
            <w:shd w:val="clear" w:color="auto" w:fill="auto"/>
          </w:tcPr>
          <w:p w:rsidR="00AB653E" w:rsidRPr="00AB653E" w:rsidP="00AB653E" w14:paraId="5B8E36A6" w14:textId="77777777">
            <w:pPr>
              <w:jc w:val="right"/>
              <w:rPr>
                <w:sz w:val="20"/>
                <w:szCs w:val="20"/>
              </w:rPr>
            </w:pPr>
            <w:r w:rsidRPr="00AB653E">
              <w:rPr>
                <w:sz w:val="20"/>
                <w:szCs w:val="20"/>
              </w:rPr>
              <w:t xml:space="preserve">0.5 </w:t>
            </w:r>
          </w:p>
          <w:p w:rsidR="00AB653E" w:rsidRPr="00AB653E" w:rsidP="00AB653E" w14:paraId="79D36A46" w14:textId="77777777">
            <w:pPr>
              <w:jc w:val="right"/>
              <w:rPr>
                <w:sz w:val="20"/>
                <w:szCs w:val="20"/>
              </w:rPr>
            </w:pPr>
            <w:r w:rsidRPr="00AB653E">
              <w:rPr>
                <w:sz w:val="20"/>
                <w:szCs w:val="20"/>
              </w:rPr>
              <w:t>(30 minutes)</w:t>
            </w:r>
          </w:p>
        </w:tc>
        <w:tc>
          <w:tcPr>
            <w:tcW w:w="1235" w:type="dxa"/>
            <w:shd w:val="clear" w:color="auto" w:fill="auto"/>
          </w:tcPr>
          <w:p w:rsidR="00AB653E" w:rsidRPr="00AB653E" w:rsidP="00AB653E" w14:paraId="3EA0F5D1" w14:textId="77777777">
            <w:pPr>
              <w:jc w:val="right"/>
              <w:rPr>
                <w:sz w:val="20"/>
                <w:szCs w:val="20"/>
              </w:rPr>
            </w:pPr>
            <w:r w:rsidRPr="00AB653E">
              <w:rPr>
                <w:sz w:val="20"/>
                <w:szCs w:val="20"/>
              </w:rPr>
              <w:t>30</w:t>
            </w:r>
          </w:p>
        </w:tc>
      </w:tr>
      <w:tr w14:paraId="2EC4A1CB" w14:textId="77777777" w:rsidTr="008752C6">
        <w:tblPrEx>
          <w:tblW w:w="9630" w:type="dxa"/>
          <w:tblInd w:w="-5" w:type="dxa"/>
          <w:tblLook w:val="01E0"/>
        </w:tblPrEx>
        <w:trPr>
          <w:cantSplit/>
          <w:trHeight w:val="20"/>
        </w:trPr>
        <w:tc>
          <w:tcPr>
            <w:tcW w:w="3405" w:type="dxa"/>
            <w:shd w:val="clear" w:color="auto" w:fill="auto"/>
          </w:tcPr>
          <w:p w:rsidR="00AB653E" w:rsidRPr="00AB653E" w:rsidP="00AB653E" w14:paraId="54CDAD64" w14:textId="77777777">
            <w:pPr>
              <w:rPr>
                <w:sz w:val="20"/>
                <w:szCs w:val="20"/>
              </w:rPr>
            </w:pPr>
            <w:r w:rsidRPr="00AB653E">
              <w:rPr>
                <w:sz w:val="20"/>
                <w:szCs w:val="20"/>
              </w:rPr>
              <w:t>Request for discontinuation from BPD program or to move products to discontinued section of Biosimilar List</w:t>
            </w:r>
          </w:p>
        </w:tc>
        <w:tc>
          <w:tcPr>
            <w:tcW w:w="1239" w:type="dxa"/>
            <w:shd w:val="clear" w:color="auto" w:fill="auto"/>
          </w:tcPr>
          <w:p w:rsidR="00AB653E" w:rsidRPr="00AB653E" w:rsidP="00AB653E" w14:paraId="7181BF33" w14:textId="77777777">
            <w:pPr>
              <w:jc w:val="right"/>
              <w:rPr>
                <w:sz w:val="20"/>
                <w:szCs w:val="20"/>
              </w:rPr>
            </w:pPr>
            <w:r w:rsidRPr="00AB653E">
              <w:rPr>
                <w:sz w:val="20"/>
                <w:szCs w:val="20"/>
              </w:rPr>
              <w:t>6</w:t>
            </w:r>
          </w:p>
        </w:tc>
        <w:tc>
          <w:tcPr>
            <w:tcW w:w="1426" w:type="dxa"/>
            <w:shd w:val="clear" w:color="auto" w:fill="auto"/>
          </w:tcPr>
          <w:p w:rsidR="00AB653E" w:rsidRPr="00AB653E" w:rsidP="00AB653E" w14:paraId="1990FA9F" w14:textId="77777777">
            <w:pPr>
              <w:jc w:val="right"/>
              <w:rPr>
                <w:sz w:val="20"/>
                <w:szCs w:val="20"/>
              </w:rPr>
            </w:pPr>
            <w:r w:rsidRPr="00AB653E">
              <w:rPr>
                <w:sz w:val="20"/>
                <w:szCs w:val="20"/>
              </w:rPr>
              <w:t>1</w:t>
            </w:r>
          </w:p>
        </w:tc>
        <w:tc>
          <w:tcPr>
            <w:tcW w:w="1079" w:type="dxa"/>
            <w:shd w:val="clear" w:color="auto" w:fill="auto"/>
          </w:tcPr>
          <w:p w:rsidR="00AB653E" w:rsidRPr="00AB653E" w:rsidP="00AB653E" w14:paraId="69EB593C" w14:textId="77777777">
            <w:pPr>
              <w:jc w:val="right"/>
              <w:rPr>
                <w:sz w:val="20"/>
                <w:szCs w:val="20"/>
              </w:rPr>
            </w:pPr>
            <w:r w:rsidRPr="00AB653E">
              <w:rPr>
                <w:sz w:val="20"/>
                <w:szCs w:val="20"/>
              </w:rPr>
              <w:t>6</w:t>
            </w:r>
          </w:p>
        </w:tc>
        <w:tc>
          <w:tcPr>
            <w:tcW w:w="1246" w:type="dxa"/>
            <w:shd w:val="clear" w:color="auto" w:fill="auto"/>
          </w:tcPr>
          <w:p w:rsidR="00AB653E" w:rsidRPr="00AB653E" w:rsidP="00AB653E" w14:paraId="04CB4AD6" w14:textId="77777777">
            <w:pPr>
              <w:jc w:val="right"/>
              <w:rPr>
                <w:sz w:val="20"/>
                <w:szCs w:val="20"/>
              </w:rPr>
            </w:pPr>
            <w:r w:rsidRPr="00AB653E">
              <w:rPr>
                <w:sz w:val="20"/>
                <w:szCs w:val="20"/>
              </w:rPr>
              <w:t>1</w:t>
            </w:r>
          </w:p>
        </w:tc>
        <w:tc>
          <w:tcPr>
            <w:tcW w:w="1235" w:type="dxa"/>
            <w:shd w:val="clear" w:color="auto" w:fill="auto"/>
          </w:tcPr>
          <w:p w:rsidR="00AB653E" w:rsidRPr="00AB653E" w:rsidP="00AB653E" w14:paraId="0602A6C6" w14:textId="77777777">
            <w:pPr>
              <w:jc w:val="right"/>
              <w:rPr>
                <w:sz w:val="20"/>
                <w:szCs w:val="20"/>
              </w:rPr>
            </w:pPr>
            <w:r w:rsidRPr="00AB653E">
              <w:rPr>
                <w:sz w:val="20"/>
                <w:szCs w:val="20"/>
              </w:rPr>
              <w:t>6</w:t>
            </w:r>
          </w:p>
        </w:tc>
      </w:tr>
      <w:tr w14:paraId="4B17CBDB" w14:textId="77777777" w:rsidTr="008752C6">
        <w:tblPrEx>
          <w:tblW w:w="9630" w:type="dxa"/>
          <w:tblInd w:w="-5" w:type="dxa"/>
          <w:tblLook w:val="01E0"/>
        </w:tblPrEx>
        <w:trPr>
          <w:cantSplit/>
          <w:trHeight w:val="20"/>
        </w:trPr>
        <w:tc>
          <w:tcPr>
            <w:tcW w:w="3405" w:type="dxa"/>
            <w:shd w:val="clear" w:color="auto" w:fill="auto"/>
          </w:tcPr>
          <w:p w:rsidR="00AB653E" w:rsidRPr="00AB653E" w:rsidP="00AB653E" w14:paraId="487FB480" w14:textId="77777777">
            <w:pPr>
              <w:rPr>
                <w:sz w:val="20"/>
                <w:szCs w:val="20"/>
              </w:rPr>
            </w:pPr>
            <w:r w:rsidRPr="00AB653E">
              <w:rPr>
                <w:sz w:val="20"/>
                <w:szCs w:val="20"/>
              </w:rPr>
              <w:t>Biosimilar product &amp; interchangeable product applications (351(k)); patent infringement notifications (351(l))</w:t>
            </w:r>
          </w:p>
        </w:tc>
        <w:tc>
          <w:tcPr>
            <w:tcW w:w="1239" w:type="dxa"/>
            <w:shd w:val="clear" w:color="auto" w:fill="auto"/>
          </w:tcPr>
          <w:p w:rsidR="00AB653E" w:rsidRPr="00AB653E" w:rsidP="00AB653E" w14:paraId="663C5E7A" w14:textId="77777777">
            <w:pPr>
              <w:jc w:val="right"/>
              <w:rPr>
                <w:sz w:val="20"/>
                <w:szCs w:val="20"/>
              </w:rPr>
            </w:pPr>
            <w:r w:rsidRPr="00AB653E">
              <w:rPr>
                <w:sz w:val="20"/>
                <w:szCs w:val="20"/>
              </w:rPr>
              <w:t>16</w:t>
            </w:r>
          </w:p>
        </w:tc>
        <w:tc>
          <w:tcPr>
            <w:tcW w:w="1426" w:type="dxa"/>
            <w:shd w:val="clear" w:color="auto" w:fill="auto"/>
          </w:tcPr>
          <w:p w:rsidR="00AB653E" w:rsidRPr="00AB653E" w:rsidP="00AB653E" w14:paraId="35014F34" w14:textId="77777777">
            <w:pPr>
              <w:jc w:val="right"/>
              <w:rPr>
                <w:sz w:val="20"/>
                <w:szCs w:val="20"/>
              </w:rPr>
            </w:pPr>
            <w:r w:rsidRPr="00AB653E">
              <w:rPr>
                <w:sz w:val="20"/>
                <w:szCs w:val="20"/>
              </w:rPr>
              <w:t>1.94</w:t>
            </w:r>
          </w:p>
        </w:tc>
        <w:tc>
          <w:tcPr>
            <w:tcW w:w="1079" w:type="dxa"/>
            <w:shd w:val="clear" w:color="auto" w:fill="auto"/>
          </w:tcPr>
          <w:p w:rsidR="00AB653E" w:rsidRPr="00AB653E" w:rsidP="00AB653E" w14:paraId="0E48526A" w14:textId="77777777">
            <w:pPr>
              <w:jc w:val="right"/>
              <w:rPr>
                <w:sz w:val="20"/>
                <w:szCs w:val="20"/>
              </w:rPr>
            </w:pPr>
            <w:r w:rsidRPr="00AB653E">
              <w:rPr>
                <w:sz w:val="20"/>
                <w:szCs w:val="20"/>
              </w:rPr>
              <w:t>31</w:t>
            </w:r>
          </w:p>
        </w:tc>
        <w:tc>
          <w:tcPr>
            <w:tcW w:w="1246" w:type="dxa"/>
            <w:shd w:val="clear" w:color="auto" w:fill="auto"/>
          </w:tcPr>
          <w:p w:rsidR="00AB653E" w:rsidRPr="00AB653E" w:rsidP="00AB653E" w14:paraId="078E5BCB" w14:textId="77777777">
            <w:pPr>
              <w:jc w:val="right"/>
              <w:rPr>
                <w:sz w:val="20"/>
                <w:szCs w:val="20"/>
              </w:rPr>
            </w:pPr>
            <w:r w:rsidRPr="00AB653E">
              <w:rPr>
                <w:sz w:val="20"/>
                <w:szCs w:val="20"/>
              </w:rPr>
              <w:t>610.90</w:t>
            </w:r>
          </w:p>
        </w:tc>
        <w:tc>
          <w:tcPr>
            <w:tcW w:w="1235" w:type="dxa"/>
            <w:shd w:val="clear" w:color="auto" w:fill="auto"/>
          </w:tcPr>
          <w:p w:rsidR="00AB653E" w:rsidRPr="00AB653E" w:rsidP="00AB653E" w14:paraId="7B641F75" w14:textId="77777777">
            <w:pPr>
              <w:jc w:val="right"/>
              <w:rPr>
                <w:sz w:val="20"/>
                <w:szCs w:val="20"/>
              </w:rPr>
            </w:pPr>
            <w:r w:rsidRPr="00AB653E">
              <w:rPr>
                <w:sz w:val="20"/>
                <w:szCs w:val="20"/>
              </w:rPr>
              <w:t>18,938</w:t>
            </w:r>
          </w:p>
        </w:tc>
      </w:tr>
      <w:tr w14:paraId="4374D841" w14:textId="77777777" w:rsidTr="008752C6">
        <w:tblPrEx>
          <w:tblW w:w="9630" w:type="dxa"/>
          <w:tblInd w:w="-5" w:type="dxa"/>
          <w:tblLook w:val="01E0"/>
        </w:tblPrEx>
        <w:trPr>
          <w:cantSplit/>
          <w:trHeight w:val="20"/>
        </w:trPr>
        <w:tc>
          <w:tcPr>
            <w:tcW w:w="3405" w:type="dxa"/>
            <w:shd w:val="clear" w:color="auto" w:fill="auto"/>
          </w:tcPr>
          <w:p w:rsidR="00AB653E" w:rsidRPr="00AB653E" w:rsidP="00AB653E" w14:paraId="6AF4703D" w14:textId="77777777">
            <w:pPr>
              <w:rPr>
                <w:sz w:val="20"/>
                <w:szCs w:val="20"/>
              </w:rPr>
            </w:pPr>
            <w:r w:rsidRPr="00AB653E">
              <w:rPr>
                <w:sz w:val="20"/>
                <w:szCs w:val="20"/>
              </w:rPr>
              <w:t>Formal meeting requests as recommended in FDA guidance</w:t>
            </w:r>
          </w:p>
        </w:tc>
        <w:tc>
          <w:tcPr>
            <w:tcW w:w="1239" w:type="dxa"/>
            <w:shd w:val="clear" w:color="auto" w:fill="auto"/>
          </w:tcPr>
          <w:p w:rsidR="00AB653E" w:rsidRPr="00AB653E" w:rsidP="00AB653E" w14:paraId="3E82D2A4" w14:textId="77777777">
            <w:pPr>
              <w:jc w:val="right"/>
              <w:rPr>
                <w:sz w:val="20"/>
                <w:szCs w:val="20"/>
              </w:rPr>
            </w:pPr>
            <w:r w:rsidRPr="00AB653E">
              <w:rPr>
                <w:sz w:val="20"/>
                <w:szCs w:val="20"/>
              </w:rPr>
              <w:t>135</w:t>
            </w:r>
          </w:p>
        </w:tc>
        <w:tc>
          <w:tcPr>
            <w:tcW w:w="1426" w:type="dxa"/>
            <w:shd w:val="clear" w:color="auto" w:fill="auto"/>
          </w:tcPr>
          <w:p w:rsidR="00AB653E" w:rsidRPr="00AB653E" w:rsidP="00AB653E" w14:paraId="3BD7A86F" w14:textId="77777777">
            <w:pPr>
              <w:jc w:val="right"/>
              <w:rPr>
                <w:sz w:val="20"/>
                <w:szCs w:val="20"/>
              </w:rPr>
            </w:pPr>
            <w:r w:rsidRPr="00AB653E">
              <w:rPr>
                <w:sz w:val="20"/>
                <w:szCs w:val="20"/>
              </w:rPr>
              <w:t>2.30</w:t>
            </w:r>
          </w:p>
        </w:tc>
        <w:tc>
          <w:tcPr>
            <w:tcW w:w="1079" w:type="dxa"/>
            <w:shd w:val="clear" w:color="auto" w:fill="auto"/>
          </w:tcPr>
          <w:p w:rsidR="00AB653E" w:rsidRPr="00AB653E" w:rsidP="00AB653E" w14:paraId="5B656F68" w14:textId="77777777">
            <w:pPr>
              <w:jc w:val="right"/>
              <w:rPr>
                <w:sz w:val="20"/>
                <w:szCs w:val="20"/>
              </w:rPr>
            </w:pPr>
            <w:r w:rsidRPr="00AB653E">
              <w:rPr>
                <w:sz w:val="20"/>
                <w:szCs w:val="20"/>
              </w:rPr>
              <w:t>311</w:t>
            </w:r>
          </w:p>
        </w:tc>
        <w:tc>
          <w:tcPr>
            <w:tcW w:w="1246" w:type="dxa"/>
            <w:shd w:val="clear" w:color="auto" w:fill="auto"/>
          </w:tcPr>
          <w:p w:rsidR="00AB653E" w:rsidRPr="00AB653E" w:rsidP="00AB653E" w14:paraId="5D6FD4C0" w14:textId="77777777">
            <w:pPr>
              <w:jc w:val="right"/>
              <w:rPr>
                <w:sz w:val="20"/>
                <w:szCs w:val="20"/>
              </w:rPr>
            </w:pPr>
            <w:r w:rsidRPr="00AB653E">
              <w:rPr>
                <w:sz w:val="20"/>
                <w:szCs w:val="20"/>
              </w:rPr>
              <w:t>21.42</w:t>
            </w:r>
          </w:p>
        </w:tc>
        <w:tc>
          <w:tcPr>
            <w:tcW w:w="1235" w:type="dxa"/>
            <w:shd w:val="clear" w:color="auto" w:fill="auto"/>
          </w:tcPr>
          <w:p w:rsidR="00AB653E" w:rsidRPr="00AB653E" w:rsidP="00AB653E" w14:paraId="2641C023" w14:textId="77777777">
            <w:pPr>
              <w:jc w:val="right"/>
              <w:rPr>
                <w:sz w:val="20"/>
                <w:szCs w:val="20"/>
              </w:rPr>
            </w:pPr>
            <w:r w:rsidRPr="00AB653E">
              <w:rPr>
                <w:sz w:val="20"/>
                <w:szCs w:val="20"/>
              </w:rPr>
              <w:t>6,661</w:t>
            </w:r>
          </w:p>
        </w:tc>
      </w:tr>
      <w:tr w14:paraId="50BBE6BB" w14:textId="77777777" w:rsidTr="008752C6">
        <w:tblPrEx>
          <w:tblW w:w="9630" w:type="dxa"/>
          <w:tblInd w:w="-5" w:type="dxa"/>
          <w:tblLook w:val="01E0"/>
        </w:tblPrEx>
        <w:trPr>
          <w:cantSplit/>
          <w:trHeight w:val="20"/>
        </w:trPr>
        <w:tc>
          <w:tcPr>
            <w:tcW w:w="3405" w:type="dxa"/>
            <w:shd w:val="clear" w:color="auto" w:fill="auto"/>
          </w:tcPr>
          <w:p w:rsidR="00AB653E" w:rsidRPr="00AB653E" w:rsidP="00AB653E" w14:paraId="749911C6" w14:textId="77777777">
            <w:pPr>
              <w:rPr>
                <w:sz w:val="20"/>
                <w:szCs w:val="20"/>
              </w:rPr>
            </w:pPr>
            <w:r w:rsidRPr="00AB653E">
              <w:rPr>
                <w:sz w:val="20"/>
                <w:szCs w:val="20"/>
              </w:rPr>
              <w:t>Submission of Pediatric Assessment; iPSP template information, including deferrals of pediatric assessments for proposed biosimilar products; iPSP amendments as recommended in FDA guidance</w:t>
            </w:r>
          </w:p>
        </w:tc>
        <w:tc>
          <w:tcPr>
            <w:tcW w:w="1239" w:type="dxa"/>
            <w:shd w:val="clear" w:color="auto" w:fill="auto"/>
          </w:tcPr>
          <w:p w:rsidR="00AB653E" w:rsidRPr="00AB653E" w:rsidP="00AB653E" w14:paraId="2F4BC2CE" w14:textId="77777777">
            <w:pPr>
              <w:jc w:val="right"/>
              <w:rPr>
                <w:sz w:val="20"/>
                <w:szCs w:val="20"/>
              </w:rPr>
            </w:pPr>
            <w:r w:rsidRPr="00AB653E">
              <w:rPr>
                <w:sz w:val="20"/>
                <w:szCs w:val="20"/>
              </w:rPr>
              <w:t>11</w:t>
            </w:r>
          </w:p>
        </w:tc>
        <w:tc>
          <w:tcPr>
            <w:tcW w:w="1426" w:type="dxa"/>
            <w:shd w:val="clear" w:color="auto" w:fill="auto"/>
          </w:tcPr>
          <w:p w:rsidR="00AB653E" w:rsidRPr="00AB653E" w:rsidP="00AB653E" w14:paraId="087D25A4" w14:textId="77777777">
            <w:pPr>
              <w:jc w:val="right"/>
              <w:rPr>
                <w:sz w:val="20"/>
                <w:szCs w:val="20"/>
              </w:rPr>
            </w:pPr>
            <w:r w:rsidRPr="00AB653E">
              <w:rPr>
                <w:sz w:val="20"/>
                <w:szCs w:val="20"/>
              </w:rPr>
              <w:t>1</w:t>
            </w:r>
          </w:p>
        </w:tc>
        <w:tc>
          <w:tcPr>
            <w:tcW w:w="1079" w:type="dxa"/>
            <w:shd w:val="clear" w:color="auto" w:fill="auto"/>
          </w:tcPr>
          <w:p w:rsidR="00AB653E" w:rsidRPr="00AB653E" w:rsidP="00AB653E" w14:paraId="4419BF06" w14:textId="77777777">
            <w:pPr>
              <w:jc w:val="right"/>
              <w:rPr>
                <w:sz w:val="20"/>
                <w:szCs w:val="20"/>
              </w:rPr>
            </w:pPr>
            <w:r w:rsidRPr="00AB653E">
              <w:rPr>
                <w:sz w:val="20"/>
                <w:szCs w:val="20"/>
              </w:rPr>
              <w:t>11</w:t>
            </w:r>
          </w:p>
        </w:tc>
        <w:tc>
          <w:tcPr>
            <w:tcW w:w="1246" w:type="dxa"/>
            <w:shd w:val="clear" w:color="auto" w:fill="auto"/>
          </w:tcPr>
          <w:p w:rsidR="00AB653E" w:rsidRPr="00AB653E" w:rsidP="00AB653E" w14:paraId="2AC216BB" w14:textId="77777777">
            <w:pPr>
              <w:jc w:val="right"/>
              <w:rPr>
                <w:sz w:val="20"/>
                <w:szCs w:val="20"/>
              </w:rPr>
            </w:pPr>
            <w:r w:rsidRPr="00AB653E">
              <w:rPr>
                <w:sz w:val="20"/>
                <w:szCs w:val="20"/>
              </w:rPr>
              <w:t>38.18</w:t>
            </w:r>
          </w:p>
        </w:tc>
        <w:tc>
          <w:tcPr>
            <w:tcW w:w="1235" w:type="dxa"/>
            <w:shd w:val="clear" w:color="auto" w:fill="auto"/>
          </w:tcPr>
          <w:p w:rsidR="00AB653E" w:rsidRPr="00AB653E" w:rsidP="00AB653E" w14:paraId="72EEDDB2" w14:textId="77777777">
            <w:pPr>
              <w:jc w:val="right"/>
              <w:rPr>
                <w:sz w:val="20"/>
                <w:szCs w:val="20"/>
              </w:rPr>
            </w:pPr>
            <w:r w:rsidRPr="00AB653E">
              <w:rPr>
                <w:sz w:val="20"/>
                <w:szCs w:val="20"/>
              </w:rPr>
              <w:t>420</w:t>
            </w:r>
          </w:p>
        </w:tc>
      </w:tr>
      <w:tr w14:paraId="37F4082D" w14:textId="77777777" w:rsidTr="008752C6">
        <w:tblPrEx>
          <w:tblW w:w="9630" w:type="dxa"/>
          <w:tblInd w:w="-5" w:type="dxa"/>
          <w:tblLook w:val="01E0"/>
        </w:tblPrEx>
        <w:trPr>
          <w:cantSplit/>
          <w:trHeight w:val="20"/>
        </w:trPr>
        <w:tc>
          <w:tcPr>
            <w:tcW w:w="3405" w:type="dxa"/>
            <w:shd w:val="clear" w:color="auto" w:fill="auto"/>
          </w:tcPr>
          <w:p w:rsidR="00AB653E" w:rsidRPr="00AB653E" w:rsidP="00AB653E" w14:paraId="538F7185" w14:textId="77777777">
            <w:pPr>
              <w:rPr>
                <w:sz w:val="20"/>
                <w:szCs w:val="20"/>
              </w:rPr>
            </w:pPr>
            <w:r w:rsidRPr="00AB653E">
              <w:rPr>
                <w:sz w:val="20"/>
                <w:szCs w:val="20"/>
              </w:rPr>
              <w:t>Total</w:t>
            </w:r>
          </w:p>
        </w:tc>
        <w:tc>
          <w:tcPr>
            <w:tcW w:w="1239" w:type="dxa"/>
            <w:shd w:val="clear" w:color="auto" w:fill="auto"/>
          </w:tcPr>
          <w:p w:rsidR="00AB653E" w:rsidRPr="00AB653E" w:rsidP="00AB653E" w14:paraId="4102D023" w14:textId="77777777">
            <w:pPr>
              <w:jc w:val="right"/>
              <w:rPr>
                <w:sz w:val="20"/>
                <w:szCs w:val="20"/>
              </w:rPr>
            </w:pPr>
          </w:p>
        </w:tc>
        <w:tc>
          <w:tcPr>
            <w:tcW w:w="1426" w:type="dxa"/>
            <w:shd w:val="clear" w:color="auto" w:fill="auto"/>
          </w:tcPr>
          <w:p w:rsidR="00AB653E" w:rsidRPr="00AB653E" w:rsidP="00AB653E" w14:paraId="23F799DF" w14:textId="77777777">
            <w:pPr>
              <w:jc w:val="right"/>
              <w:rPr>
                <w:sz w:val="20"/>
                <w:szCs w:val="20"/>
              </w:rPr>
            </w:pPr>
          </w:p>
        </w:tc>
        <w:tc>
          <w:tcPr>
            <w:tcW w:w="1079" w:type="dxa"/>
            <w:shd w:val="clear" w:color="auto" w:fill="auto"/>
          </w:tcPr>
          <w:p w:rsidR="00AB653E" w:rsidRPr="00AB653E" w:rsidP="00AB653E" w14:paraId="6CD6BA9A" w14:textId="77777777">
            <w:pPr>
              <w:jc w:val="right"/>
              <w:rPr>
                <w:sz w:val="20"/>
                <w:szCs w:val="20"/>
              </w:rPr>
            </w:pPr>
            <w:r w:rsidRPr="00AB653E">
              <w:rPr>
                <w:sz w:val="20"/>
                <w:szCs w:val="20"/>
              </w:rPr>
              <w:fldChar w:fldCharType="begin"/>
            </w:r>
            <w:r w:rsidRPr="00AB653E">
              <w:rPr>
                <w:sz w:val="20"/>
                <w:szCs w:val="20"/>
              </w:rPr>
              <w:instrText xml:space="preserve"> =SUM(ABOVE) </w:instrText>
            </w:r>
            <w:r w:rsidRPr="00AB653E">
              <w:rPr>
                <w:sz w:val="20"/>
                <w:szCs w:val="20"/>
              </w:rPr>
              <w:fldChar w:fldCharType="separate"/>
            </w:r>
            <w:r w:rsidRPr="00AB653E">
              <w:rPr>
                <w:noProof/>
                <w:sz w:val="20"/>
                <w:szCs w:val="20"/>
              </w:rPr>
              <w:t>419</w:t>
            </w:r>
            <w:r w:rsidRPr="00AB653E">
              <w:rPr>
                <w:sz w:val="20"/>
                <w:szCs w:val="20"/>
              </w:rPr>
              <w:fldChar w:fldCharType="end"/>
            </w:r>
          </w:p>
        </w:tc>
        <w:tc>
          <w:tcPr>
            <w:tcW w:w="1246" w:type="dxa"/>
            <w:shd w:val="clear" w:color="auto" w:fill="auto"/>
          </w:tcPr>
          <w:p w:rsidR="00AB653E" w:rsidRPr="00AB653E" w:rsidP="00AB653E" w14:paraId="04C1A7CD" w14:textId="77777777">
            <w:pPr>
              <w:jc w:val="right"/>
              <w:rPr>
                <w:sz w:val="20"/>
                <w:szCs w:val="20"/>
              </w:rPr>
            </w:pPr>
          </w:p>
        </w:tc>
        <w:tc>
          <w:tcPr>
            <w:tcW w:w="1235" w:type="dxa"/>
            <w:shd w:val="clear" w:color="auto" w:fill="auto"/>
          </w:tcPr>
          <w:p w:rsidR="00AB653E" w:rsidRPr="00AB653E" w:rsidP="00AB653E" w14:paraId="144F0EB6" w14:textId="77777777">
            <w:pPr>
              <w:jc w:val="right"/>
              <w:rPr>
                <w:sz w:val="20"/>
                <w:szCs w:val="20"/>
              </w:rPr>
            </w:pPr>
            <w:r w:rsidRPr="00AB653E">
              <w:rPr>
                <w:sz w:val="20"/>
                <w:szCs w:val="20"/>
              </w:rPr>
              <w:fldChar w:fldCharType="begin"/>
            </w:r>
            <w:r w:rsidRPr="00AB653E">
              <w:rPr>
                <w:sz w:val="20"/>
                <w:szCs w:val="20"/>
              </w:rPr>
              <w:instrText xml:space="preserve"> =SUM(ABOVE) </w:instrText>
            </w:r>
            <w:r w:rsidR="00000000">
              <w:rPr>
                <w:sz w:val="20"/>
                <w:szCs w:val="20"/>
              </w:rPr>
              <w:fldChar w:fldCharType="separate"/>
            </w:r>
            <w:r w:rsidRPr="00AB653E">
              <w:rPr>
                <w:sz w:val="20"/>
                <w:szCs w:val="20"/>
              </w:rPr>
              <w:fldChar w:fldCharType="end"/>
            </w:r>
            <w:r w:rsidRPr="00AB653E">
              <w:rPr>
                <w:sz w:val="20"/>
                <w:szCs w:val="20"/>
              </w:rPr>
              <w:fldChar w:fldCharType="begin"/>
            </w:r>
            <w:r w:rsidRPr="00AB653E">
              <w:rPr>
                <w:sz w:val="20"/>
                <w:szCs w:val="20"/>
              </w:rPr>
              <w:instrText xml:space="preserve"> =SUM(ABOVE) </w:instrText>
            </w:r>
            <w:r w:rsidRPr="00AB653E">
              <w:rPr>
                <w:sz w:val="20"/>
                <w:szCs w:val="20"/>
              </w:rPr>
              <w:fldChar w:fldCharType="separate"/>
            </w:r>
            <w:r w:rsidRPr="00AB653E">
              <w:rPr>
                <w:noProof/>
                <w:sz w:val="20"/>
                <w:szCs w:val="20"/>
              </w:rPr>
              <w:t>26,055</w:t>
            </w:r>
            <w:r w:rsidRPr="00AB653E">
              <w:rPr>
                <w:sz w:val="20"/>
                <w:szCs w:val="20"/>
              </w:rPr>
              <w:fldChar w:fldCharType="end"/>
            </w:r>
          </w:p>
        </w:tc>
      </w:tr>
    </w:tbl>
    <w:p w:rsidR="005E0B2A" w:rsidRPr="00192958" w:rsidP="00B003E3" w14:paraId="2084AC60" w14:textId="77777777">
      <w:pPr>
        <w:rPr>
          <w:color w:val="000000" w:themeColor="text1"/>
        </w:rPr>
      </w:pPr>
    </w:p>
    <w:p w:rsidR="00016314" w:rsidRPr="00192958" w:rsidP="00B003E3" w14:paraId="3BC21988" w14:textId="77777777">
      <w:pPr>
        <w:rPr>
          <w:i/>
          <w:color w:val="000000" w:themeColor="text1"/>
        </w:rPr>
      </w:pPr>
      <w:r>
        <w:rPr>
          <w:i/>
          <w:color w:val="000000" w:themeColor="text1"/>
        </w:rPr>
        <w:tab/>
      </w:r>
      <w:r w:rsidRPr="00643DD5" w:rsidR="00A93ED9">
        <w:rPr>
          <w:i/>
          <w:color w:val="000000" w:themeColor="text1"/>
        </w:rPr>
        <w:t xml:space="preserve">12b. </w:t>
      </w:r>
      <w:r w:rsidRPr="00643DD5" w:rsidR="00411D11">
        <w:rPr>
          <w:i/>
          <w:color w:val="000000" w:themeColor="text1"/>
        </w:rPr>
        <w:t>Annualized Cost Burden Estimate</w:t>
      </w:r>
    </w:p>
    <w:p w:rsidR="00016314" w:rsidP="00B003E3" w14:paraId="205A52F2" w14:textId="77777777">
      <w:pPr>
        <w:pStyle w:val="BodyText2"/>
        <w:ind w:left="360"/>
        <w:rPr>
          <w:color w:val="000000" w:themeColor="text1"/>
        </w:rPr>
      </w:pPr>
    </w:p>
    <w:p w:rsidR="00862F18" w:rsidRPr="00432C1C" w:rsidP="00432C1C" w14:paraId="442CCDE7" w14:textId="54F93A91">
      <w:pPr>
        <w:pStyle w:val="BodyText2"/>
        <w:ind w:firstLine="630"/>
        <w:rPr>
          <w:i/>
          <w:iCs/>
          <w:color w:val="000000" w:themeColor="text1"/>
        </w:rPr>
      </w:pPr>
      <w:r>
        <w:rPr>
          <w:color w:val="000000" w:themeColor="text1"/>
        </w:rPr>
        <w:t xml:space="preserve">Our </w:t>
      </w:r>
      <w:r w:rsidRPr="00432C1C">
        <w:rPr>
          <w:color w:val="000000" w:themeColor="text1"/>
        </w:rPr>
        <w:t xml:space="preserve">cost estimate </w:t>
      </w:r>
      <w:r w:rsidR="001F7036">
        <w:rPr>
          <w:color w:val="000000" w:themeColor="text1"/>
        </w:rPr>
        <w:t xml:space="preserve">assumes </w:t>
      </w:r>
      <w:r w:rsidR="001C0AF7">
        <w:rPr>
          <w:color w:val="000000" w:themeColor="text1"/>
        </w:rPr>
        <w:t xml:space="preserve">the </w:t>
      </w:r>
      <w:r w:rsidR="001F7036">
        <w:rPr>
          <w:color w:val="000000" w:themeColor="text1"/>
        </w:rPr>
        <w:t xml:space="preserve">hourly wage rate for </w:t>
      </w:r>
      <w:r w:rsidRPr="00432C1C">
        <w:rPr>
          <w:color w:val="000000" w:themeColor="text1"/>
        </w:rPr>
        <w:t xml:space="preserve">a </w:t>
      </w:r>
      <w:r w:rsidRPr="00432C1C">
        <w:rPr>
          <w:i/>
          <w:iCs/>
          <w:color w:val="000000" w:themeColor="text1"/>
        </w:rPr>
        <w:t>regulatory affairs specialist</w:t>
      </w:r>
      <w:r w:rsidRPr="00432C1C">
        <w:rPr>
          <w:color w:val="000000" w:themeColor="text1"/>
        </w:rPr>
        <w:t xml:space="preserve"> </w:t>
      </w:r>
      <w:r w:rsidR="001C0AF7">
        <w:rPr>
          <w:color w:val="000000" w:themeColor="text1"/>
        </w:rPr>
        <w:t xml:space="preserve">of </w:t>
      </w:r>
      <w:r w:rsidRPr="00432C1C">
        <w:rPr>
          <w:color w:val="000000" w:themeColor="text1"/>
        </w:rPr>
        <w:t xml:space="preserve">$90.70/hour </w:t>
      </w:r>
      <w:r w:rsidR="001C0AF7">
        <w:rPr>
          <w:color w:val="000000" w:themeColor="text1"/>
        </w:rPr>
        <w:t>based on</w:t>
      </w:r>
      <w:r w:rsidR="00B0110D">
        <w:rPr>
          <w:color w:val="000000" w:themeColor="text1"/>
        </w:rPr>
        <w:t xml:space="preserve"> data found in</w:t>
      </w:r>
      <w:r w:rsidR="001C0AF7">
        <w:rPr>
          <w:color w:val="000000" w:themeColor="text1"/>
        </w:rPr>
        <w:t xml:space="preserve"> </w:t>
      </w:r>
      <w:r w:rsidR="00B0110D">
        <w:rPr>
          <w:color w:val="000000" w:themeColor="text1"/>
        </w:rPr>
        <w:t xml:space="preserve">the Department of Labor’s </w:t>
      </w:r>
      <w:r w:rsidRPr="00432C1C">
        <w:rPr>
          <w:color w:val="000000" w:themeColor="text1"/>
        </w:rPr>
        <w:t>National Industry-Specific Occupational Employment and Wage Estimates for Pharmaceutical and Medicine Manufacturing (NAICS, code 325400)</w:t>
      </w:r>
      <w:r w:rsidR="006C5D63">
        <w:rPr>
          <w:color w:val="000000" w:themeColor="text1"/>
        </w:rPr>
        <w:t xml:space="preserve"> category.  </w:t>
      </w:r>
      <w:r w:rsidR="007E748D">
        <w:rPr>
          <w:color w:val="000000" w:themeColor="text1"/>
        </w:rPr>
        <w:t xml:space="preserve">We assume no </w:t>
      </w:r>
      <w:r w:rsidRPr="00432C1C">
        <w:rPr>
          <w:color w:val="000000" w:themeColor="text1"/>
        </w:rPr>
        <w:t>overhead costs</w:t>
      </w:r>
      <w:r w:rsidR="007E748D">
        <w:rPr>
          <w:color w:val="000000" w:themeColor="text1"/>
        </w:rPr>
        <w:t xml:space="preserve">, and multiply the </w:t>
      </w:r>
      <w:r w:rsidRPr="00432C1C">
        <w:rPr>
          <w:color w:val="000000" w:themeColor="text1"/>
        </w:rPr>
        <w:t xml:space="preserve">total annual number of burden hours (26,055), </w:t>
      </w:r>
      <w:r w:rsidR="007E748D">
        <w:rPr>
          <w:color w:val="000000" w:themeColor="text1"/>
        </w:rPr>
        <w:t xml:space="preserve">to </w:t>
      </w:r>
      <w:r w:rsidRPr="00432C1C">
        <w:rPr>
          <w:color w:val="000000" w:themeColor="text1"/>
        </w:rPr>
        <w:t>calculate a</w:t>
      </w:r>
      <w:r w:rsidR="007E748D">
        <w:rPr>
          <w:color w:val="000000" w:themeColor="text1"/>
        </w:rPr>
        <w:t>n annual</w:t>
      </w:r>
      <w:r w:rsidRPr="00432C1C">
        <w:rPr>
          <w:color w:val="000000" w:themeColor="text1"/>
        </w:rPr>
        <w:t xml:space="preserve"> cost of $2,368,188.50</w:t>
      </w:r>
      <w:r w:rsidRPr="00087E4E" w:rsidR="00DE5637">
        <w:rPr>
          <w:color w:val="000000" w:themeColor="text1"/>
        </w:rPr>
        <w:t>.</w:t>
      </w:r>
    </w:p>
    <w:p w:rsidR="00643DD5" w:rsidP="00B003E3" w14:paraId="05E3F568" w14:textId="77777777">
      <w:pPr>
        <w:spacing w:before="100" w:beforeAutospacing="1" w:after="100" w:afterAutospacing="1"/>
        <w:ind w:left="90"/>
        <w:rPr>
          <w:color w:val="000000" w:themeColor="text1"/>
        </w:rPr>
      </w:pPr>
      <w:r>
        <w:rPr>
          <w:color w:val="000000" w:themeColor="text1"/>
        </w:rPr>
        <w:t xml:space="preserve">13.  </w:t>
      </w:r>
      <w:r w:rsidRPr="00087E4E" w:rsidR="00EB7538">
        <w:rPr>
          <w:color w:val="000000" w:themeColor="text1"/>
          <w:u w:val="single"/>
        </w:rPr>
        <w:t>Estimates of Other Total Annual Cost</w:t>
      </w:r>
      <w:r w:rsidRPr="00087E4E" w:rsidR="007C75B1">
        <w:rPr>
          <w:color w:val="000000" w:themeColor="text1"/>
          <w:u w:val="single"/>
        </w:rPr>
        <w:t>s</w:t>
      </w:r>
      <w:r w:rsidRPr="00087E4E" w:rsidR="00EB7538">
        <w:rPr>
          <w:color w:val="000000" w:themeColor="text1"/>
          <w:u w:val="single"/>
        </w:rPr>
        <w:t xml:space="preserve"> to Respondents and</w:t>
      </w:r>
      <w:r w:rsidRPr="00087E4E" w:rsidR="00350523">
        <w:rPr>
          <w:color w:val="000000" w:themeColor="text1"/>
          <w:u w:val="single"/>
        </w:rPr>
        <w:t>/or Recordkeepers/Capital Costs</w:t>
      </w:r>
    </w:p>
    <w:p w:rsidR="00862F18" w:rsidRPr="00643DD5" w:rsidP="00B003E3" w14:paraId="154A4C22" w14:textId="77777777">
      <w:pPr>
        <w:spacing w:before="100" w:beforeAutospacing="1" w:after="100" w:afterAutospacing="1"/>
        <w:ind w:left="90"/>
        <w:rPr>
          <w:color w:val="000000" w:themeColor="text1"/>
          <w:u w:val="single"/>
        </w:rPr>
      </w:pPr>
      <w:r w:rsidRPr="00087E4E">
        <w:rPr>
          <w:color w:val="000000" w:themeColor="text1"/>
        </w:rPr>
        <w:t>There are no capital costs or operating and maintenance costs associated with this collection of information.</w:t>
      </w:r>
    </w:p>
    <w:p w:rsidR="00643DD5" w:rsidP="00B003E3" w14:paraId="5E57746A" w14:textId="77777777">
      <w:pPr>
        <w:spacing w:before="100" w:beforeAutospacing="1" w:after="100" w:afterAutospacing="1"/>
        <w:ind w:left="90"/>
        <w:rPr>
          <w:color w:val="000000" w:themeColor="text1"/>
        </w:rPr>
      </w:pPr>
      <w:r>
        <w:rPr>
          <w:color w:val="000000" w:themeColor="text1"/>
        </w:rPr>
        <w:t xml:space="preserve">14.  </w:t>
      </w:r>
      <w:r w:rsidRPr="00087E4E" w:rsidR="00EB7538">
        <w:rPr>
          <w:color w:val="000000" w:themeColor="text1"/>
          <w:u w:val="single"/>
        </w:rPr>
        <w:t>Annualized Cost to the Federal Government</w:t>
      </w:r>
    </w:p>
    <w:p w:rsidR="009C1612" w:rsidRPr="00087E4E" w:rsidP="009C1612" w14:paraId="6BA60856" w14:textId="72B9191C">
      <w:pPr>
        <w:spacing w:before="100" w:beforeAutospacing="1" w:after="100" w:afterAutospacing="1"/>
        <w:ind w:left="90"/>
        <w:rPr>
          <w:color w:val="000000"/>
        </w:rPr>
      </w:pPr>
      <w:r>
        <w:rPr>
          <w:color w:val="000000"/>
        </w:rPr>
        <w:t xml:space="preserve">We </w:t>
      </w:r>
      <w:r w:rsidR="000C32C4">
        <w:rPr>
          <w:color w:val="000000"/>
        </w:rPr>
        <w:t xml:space="preserve">assume an allocation of </w:t>
      </w:r>
      <w:r w:rsidRPr="00B6171F" w:rsidR="00B6171F">
        <w:rPr>
          <w:color w:val="000000"/>
        </w:rPr>
        <w:t xml:space="preserve">4.1 FTEs to </w:t>
      </w:r>
      <w:r w:rsidR="000D7CE4">
        <w:rPr>
          <w:color w:val="000000"/>
        </w:rPr>
        <w:t xml:space="preserve">cover issuing </w:t>
      </w:r>
      <w:r w:rsidRPr="00B6171F" w:rsidR="00B6171F">
        <w:rPr>
          <w:color w:val="000000"/>
        </w:rPr>
        <w:t xml:space="preserve">invoices and to the review of and response to requests for waivers, reductions, and refunds for biosimilars.  </w:t>
      </w:r>
      <w:r w:rsidR="000D7CE4">
        <w:rPr>
          <w:color w:val="000000"/>
        </w:rPr>
        <w:t xml:space="preserve">We </w:t>
      </w:r>
      <w:r w:rsidR="001A4246">
        <w:rPr>
          <w:color w:val="000000"/>
        </w:rPr>
        <w:t xml:space="preserve">exclude costs covered by program fees from our calculations.  </w:t>
      </w:r>
      <w:r w:rsidRPr="00B6171F" w:rsidR="00B6171F">
        <w:rPr>
          <w:color w:val="000000"/>
        </w:rPr>
        <w:t>Assuming each FTE costs $336,269, (including overhead)</w:t>
      </w:r>
      <w:r w:rsidR="00992E40">
        <w:rPr>
          <w:color w:val="000000"/>
        </w:rPr>
        <w:t xml:space="preserve">, we calculate </w:t>
      </w:r>
      <w:r w:rsidR="001A2246">
        <w:rPr>
          <w:color w:val="000000"/>
        </w:rPr>
        <w:t>a</w:t>
      </w:r>
      <w:r w:rsidR="00992E40">
        <w:rPr>
          <w:color w:val="000000"/>
        </w:rPr>
        <w:t xml:space="preserve"> </w:t>
      </w:r>
      <w:r w:rsidRPr="00B6171F" w:rsidR="00B6171F">
        <w:rPr>
          <w:color w:val="000000"/>
        </w:rPr>
        <w:t xml:space="preserve">cost to the Federal Government </w:t>
      </w:r>
      <w:r w:rsidR="00992E40">
        <w:rPr>
          <w:color w:val="000000"/>
        </w:rPr>
        <w:t xml:space="preserve">of </w:t>
      </w:r>
      <w:r w:rsidRPr="00B6171F" w:rsidR="00B6171F">
        <w:rPr>
          <w:color w:val="000000"/>
        </w:rPr>
        <w:t>$1,378,703.</w:t>
      </w:r>
    </w:p>
    <w:p w:rsidR="00087E4E" w:rsidP="00B003E3" w14:paraId="5C19EBF6" w14:textId="335AD980">
      <w:pPr>
        <w:spacing w:before="100" w:beforeAutospacing="1" w:after="100" w:afterAutospacing="1"/>
        <w:ind w:left="90"/>
        <w:rPr>
          <w:color w:val="000000" w:themeColor="text1"/>
          <w:u w:val="single"/>
        </w:rPr>
      </w:pPr>
      <w:r w:rsidRPr="00087E4E">
        <w:rPr>
          <w:color w:val="000000"/>
        </w:rPr>
        <w:t>.</w:t>
      </w:r>
    </w:p>
    <w:p w:rsidR="00643DD5" w:rsidP="009A4FE8" w14:paraId="24D084CF" w14:textId="164541DE">
      <w:pPr>
        <w:rPr>
          <w:color w:val="000000" w:themeColor="text1"/>
        </w:rPr>
      </w:pPr>
      <w:r>
        <w:rPr>
          <w:color w:val="000000" w:themeColor="text1"/>
        </w:rPr>
        <w:t xml:space="preserve">15.  </w:t>
      </w:r>
      <w:r w:rsidRPr="00087E4E" w:rsidR="00EB7538">
        <w:rPr>
          <w:color w:val="000000" w:themeColor="text1"/>
          <w:u w:val="single"/>
        </w:rPr>
        <w:t>Explanation for Program Changes or Adjustments</w:t>
      </w:r>
    </w:p>
    <w:p w:rsidR="00643DD5" w:rsidP="00B003E3" w14:paraId="6E83B4C4" w14:textId="7F49A824">
      <w:pPr>
        <w:ind w:left="90"/>
        <w:rPr>
          <w:color w:val="000000" w:themeColor="text1"/>
        </w:rPr>
      </w:pPr>
    </w:p>
    <w:p w:rsidR="008E04E3" w:rsidP="0000310C" w14:paraId="47C462F1" w14:textId="0682E3ED">
      <w:pPr>
        <w:ind w:left="90"/>
        <w:rPr>
          <w:color w:val="000000" w:themeColor="text1"/>
        </w:rPr>
      </w:pPr>
      <w:r>
        <w:rPr>
          <w:color w:val="000000" w:themeColor="text1"/>
        </w:rPr>
        <w:t xml:space="preserve">The information collection reflects </w:t>
      </w:r>
      <w:r w:rsidRPr="00A256AD" w:rsidR="00A256AD">
        <w:rPr>
          <w:color w:val="000000" w:themeColor="text1"/>
        </w:rPr>
        <w:t xml:space="preserve">an increase of 13,069 hours and 105 responses annually.  Although part of the increase </w:t>
      </w:r>
      <w:r w:rsidR="00090D64">
        <w:rPr>
          <w:color w:val="000000" w:themeColor="text1"/>
        </w:rPr>
        <w:t>account</w:t>
      </w:r>
      <w:r w:rsidR="00C60E3B">
        <w:rPr>
          <w:color w:val="000000" w:themeColor="text1"/>
        </w:rPr>
        <w:t>s</w:t>
      </w:r>
      <w:r w:rsidR="00090D64">
        <w:rPr>
          <w:color w:val="000000" w:themeColor="text1"/>
        </w:rPr>
        <w:t xml:space="preserve"> for </w:t>
      </w:r>
      <w:r w:rsidRPr="00A256AD" w:rsidR="00A256AD">
        <w:rPr>
          <w:color w:val="000000" w:themeColor="text1"/>
        </w:rPr>
        <w:t xml:space="preserve">burden associated with </w:t>
      </w:r>
      <w:r w:rsidR="00090D64">
        <w:rPr>
          <w:color w:val="000000" w:themeColor="text1"/>
        </w:rPr>
        <w:t xml:space="preserve">respondents including the </w:t>
      </w:r>
      <w:r w:rsidRPr="00A256AD" w:rsidR="00A256AD">
        <w:rPr>
          <w:color w:val="000000" w:themeColor="text1"/>
        </w:rPr>
        <w:t>submission of pediatric study plan</w:t>
      </w:r>
      <w:r w:rsidR="00C60E3B">
        <w:rPr>
          <w:color w:val="000000" w:themeColor="text1"/>
        </w:rPr>
        <w:t xml:space="preserve"> information</w:t>
      </w:r>
      <w:r w:rsidRPr="00A256AD" w:rsidR="00A256AD">
        <w:rPr>
          <w:color w:val="000000" w:themeColor="text1"/>
        </w:rPr>
        <w:t>, the majority of adjustments correspond with an increase in submissions we are receiving</w:t>
      </w:r>
      <w:r w:rsidR="00C60E3B">
        <w:rPr>
          <w:color w:val="000000" w:themeColor="text1"/>
        </w:rPr>
        <w:t xml:space="preserve"> under BsUFA</w:t>
      </w:r>
      <w:r w:rsidR="00E61514">
        <w:rPr>
          <w:color w:val="000000" w:themeColor="text1"/>
        </w:rPr>
        <w:t>.</w:t>
      </w:r>
    </w:p>
    <w:p w:rsidR="00643DD5" w:rsidP="00B003E3" w14:paraId="0D7A860D" w14:textId="77777777">
      <w:pPr>
        <w:spacing w:before="100" w:beforeAutospacing="1" w:after="100" w:afterAutospacing="1"/>
        <w:ind w:left="90"/>
        <w:rPr>
          <w:color w:val="000000" w:themeColor="text1"/>
        </w:rPr>
      </w:pPr>
      <w:r>
        <w:rPr>
          <w:color w:val="000000" w:themeColor="text1"/>
        </w:rPr>
        <w:t xml:space="preserve">16.  </w:t>
      </w:r>
      <w:r w:rsidRPr="00087E4E" w:rsidR="00EB7538">
        <w:rPr>
          <w:color w:val="000000" w:themeColor="text1"/>
          <w:u w:val="single"/>
        </w:rPr>
        <w:t>Plans for Tabulation and Publication and Project Time Schedule</w:t>
      </w:r>
    </w:p>
    <w:p w:rsidR="00D10C45" w:rsidRPr="00643DD5" w:rsidP="00B003E3" w14:paraId="3075589F" w14:textId="77777777">
      <w:pPr>
        <w:spacing w:before="100" w:beforeAutospacing="1" w:after="100" w:afterAutospacing="1"/>
        <w:ind w:left="90"/>
        <w:rPr>
          <w:color w:val="000000" w:themeColor="text1"/>
          <w:u w:val="single"/>
        </w:rPr>
      </w:pPr>
      <w:r>
        <w:rPr>
          <w:color w:val="000000" w:themeColor="text1"/>
        </w:rPr>
        <w:t xml:space="preserve">We do </w:t>
      </w:r>
      <w:r w:rsidRPr="00087E4E">
        <w:rPr>
          <w:color w:val="000000" w:themeColor="text1"/>
        </w:rPr>
        <w:t>not intend to publish tabulated results of these information collection requirements.</w:t>
      </w:r>
    </w:p>
    <w:p w:rsidR="00643DD5" w:rsidP="00B003E3" w14:paraId="20D59292" w14:textId="77777777">
      <w:pPr>
        <w:spacing w:before="100" w:beforeAutospacing="1" w:after="100" w:afterAutospacing="1"/>
        <w:ind w:left="90"/>
        <w:rPr>
          <w:color w:val="000000" w:themeColor="text1"/>
        </w:rPr>
      </w:pPr>
      <w:r>
        <w:rPr>
          <w:color w:val="000000" w:themeColor="text1"/>
        </w:rPr>
        <w:t xml:space="preserve">17.  </w:t>
      </w:r>
      <w:r w:rsidRPr="00087E4E" w:rsidR="00EB7538">
        <w:rPr>
          <w:color w:val="000000" w:themeColor="text1"/>
          <w:u w:val="single"/>
        </w:rPr>
        <w:t>Reason(s) Display of OMB Expiration Date is Inappropriate</w:t>
      </w:r>
    </w:p>
    <w:p w:rsidR="002A7DCD" w:rsidRPr="00643DD5" w:rsidP="00B003E3" w14:paraId="3C64B777" w14:textId="77DEE30B">
      <w:pPr>
        <w:spacing w:before="100" w:beforeAutospacing="1" w:after="100" w:afterAutospacing="1"/>
        <w:ind w:left="90"/>
        <w:rPr>
          <w:color w:val="000000" w:themeColor="text1"/>
          <w:u w:val="single"/>
        </w:rPr>
      </w:pPr>
      <w:r w:rsidRPr="00F94DAF">
        <w:rPr>
          <w:color w:val="000000" w:themeColor="text1"/>
        </w:rPr>
        <w:t>As required by the PRA and consistent with established agency practice, FDA will publish a notice in the Federal Register announcing OMB approval of information collection associated with guidance documents included in this information collection.  The notice will inform respondents of the OMB control number and current expiration date.  However, because agency guidance documents are more frequently being accessed electronically, we are making technological updates to display the expiration date by linking to approval information found at https://www.reginfo.gov/public/.  We intend to include the OMB control number and expiration date on the guidance document landing page, allowing those who download the document an easily identifiable option to view this information.  This also allows the agency to more easily update the expiration date upon renewal and/or revision of OMB approval of associated information collection.  We are taking this approach to improve compatibility with current website platforms utilized by FDA.</w:t>
      </w:r>
    </w:p>
    <w:p w:rsidR="00643DD5" w:rsidP="00B003E3" w14:paraId="7EDF348E" w14:textId="77777777">
      <w:pPr>
        <w:spacing w:before="100" w:beforeAutospacing="1" w:after="100" w:afterAutospacing="1"/>
        <w:ind w:left="90"/>
        <w:rPr>
          <w:color w:val="000000" w:themeColor="text1"/>
        </w:rPr>
      </w:pPr>
      <w:r>
        <w:rPr>
          <w:color w:val="000000" w:themeColor="text1"/>
        </w:rPr>
        <w:t xml:space="preserve">18.  </w:t>
      </w:r>
      <w:r w:rsidRPr="00087E4E" w:rsidR="00EB7538">
        <w:rPr>
          <w:color w:val="000000" w:themeColor="text1"/>
          <w:u w:val="single"/>
        </w:rPr>
        <w:t>Exceptions to Certification for Paperwork Reduction Act Submissions</w:t>
      </w:r>
    </w:p>
    <w:p w:rsidR="002746DB" w:rsidRPr="00643DD5" w:rsidP="00B003E3" w14:paraId="53F0341B" w14:textId="35253AEB">
      <w:pPr>
        <w:spacing w:before="100" w:beforeAutospacing="1" w:after="100" w:afterAutospacing="1"/>
        <w:ind w:left="90"/>
        <w:rPr>
          <w:color w:val="000000" w:themeColor="text1"/>
          <w:u w:val="single"/>
        </w:rPr>
      </w:pPr>
      <w:r w:rsidRPr="00087E4E">
        <w:rPr>
          <w:color w:val="000000" w:themeColor="text1"/>
        </w:rPr>
        <w:t>T</w:t>
      </w:r>
      <w:r w:rsidRPr="00087E4E" w:rsidR="00754497">
        <w:rPr>
          <w:color w:val="000000" w:themeColor="text1"/>
        </w:rPr>
        <w:t>here are no exceptions</w:t>
      </w:r>
      <w:r w:rsidRPr="00087E4E">
        <w:rPr>
          <w:color w:val="000000" w:themeColor="text1"/>
        </w:rPr>
        <w:t xml:space="preserve"> to the certification.</w:t>
      </w:r>
    </w:p>
    <w:sectPr w:rsidSect="00626F15">
      <w:footerReference w:type="default" r:id="rId11"/>
      <w:headerReference w:type="firs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5911307"/>
      <w:docPartObj>
        <w:docPartGallery w:val="Page Numbers (Bottom of Page)"/>
        <w:docPartUnique/>
      </w:docPartObj>
    </w:sdtPr>
    <w:sdtEndPr>
      <w:rPr>
        <w:noProof/>
      </w:rPr>
    </w:sdtEndPr>
    <w:sdtContent>
      <w:p w:rsidR="00075528" w14:paraId="6E7738B8" w14:textId="02A00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5528" w14:paraId="3AE7F0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528" w14:paraId="4EBB7B29" w14:textId="1D4A2117">
    <w:pPr>
      <w:pStyle w:val="Header"/>
      <w:jc w:val="right"/>
    </w:pPr>
  </w:p>
  <w:p w:rsidR="00075528" w14:paraId="54B959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4CD53C3"/>
    <w:multiLevelType w:val="hybridMultilevel"/>
    <w:tmpl w:val="1F686276"/>
    <w:lvl w:ilvl="0">
      <w:start w:val="16"/>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9">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2EB2B32"/>
    <w:multiLevelType w:val="hybridMultilevel"/>
    <w:tmpl w:val="BC42DA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99D09AB"/>
    <w:multiLevelType w:val="multilevel"/>
    <w:tmpl w:val="2478635E"/>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5">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6D517FD"/>
    <w:multiLevelType w:val="hybridMultilevel"/>
    <w:tmpl w:val="071C06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027171355">
    <w:abstractNumId w:val="14"/>
  </w:num>
  <w:num w:numId="2" w16cid:durableId="381903282">
    <w:abstractNumId w:val="20"/>
  </w:num>
  <w:num w:numId="3" w16cid:durableId="41711447">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624728713">
    <w:abstractNumId w:val="26"/>
  </w:num>
  <w:num w:numId="5" w16cid:durableId="489908680">
    <w:abstractNumId w:val="9"/>
  </w:num>
  <w:num w:numId="6" w16cid:durableId="1817844321">
    <w:abstractNumId w:val="29"/>
  </w:num>
  <w:num w:numId="7" w16cid:durableId="1413241154">
    <w:abstractNumId w:val="37"/>
  </w:num>
  <w:num w:numId="8" w16cid:durableId="1533179167">
    <w:abstractNumId w:val="6"/>
  </w:num>
  <w:num w:numId="9" w16cid:durableId="527910863">
    <w:abstractNumId w:val="30"/>
  </w:num>
  <w:num w:numId="10" w16cid:durableId="1357928262">
    <w:abstractNumId w:val="25"/>
  </w:num>
  <w:num w:numId="11" w16cid:durableId="847401536">
    <w:abstractNumId w:val="11"/>
  </w:num>
  <w:num w:numId="12" w16cid:durableId="1801918144">
    <w:abstractNumId w:val="42"/>
  </w:num>
  <w:num w:numId="13" w16cid:durableId="1092778211">
    <w:abstractNumId w:val="23"/>
  </w:num>
  <w:num w:numId="14" w16cid:durableId="2142530955">
    <w:abstractNumId w:val="10"/>
  </w:num>
  <w:num w:numId="15" w16cid:durableId="1164974684">
    <w:abstractNumId w:val="19"/>
  </w:num>
  <w:num w:numId="16" w16cid:durableId="105388698">
    <w:abstractNumId w:val="18"/>
  </w:num>
  <w:num w:numId="17" w16cid:durableId="1134371487">
    <w:abstractNumId w:val="36"/>
  </w:num>
  <w:num w:numId="18" w16cid:durableId="2705206">
    <w:abstractNumId w:val="41"/>
  </w:num>
  <w:num w:numId="19" w16cid:durableId="1748459925">
    <w:abstractNumId w:val="38"/>
  </w:num>
  <w:num w:numId="20" w16cid:durableId="269819742">
    <w:abstractNumId w:val="22"/>
  </w:num>
  <w:num w:numId="21" w16cid:durableId="657003066">
    <w:abstractNumId w:val="17"/>
  </w:num>
  <w:num w:numId="22" w16cid:durableId="1136682273">
    <w:abstractNumId w:val="5"/>
  </w:num>
  <w:num w:numId="23" w16cid:durableId="1126193467">
    <w:abstractNumId w:val="33"/>
  </w:num>
  <w:num w:numId="24" w16cid:durableId="217977255">
    <w:abstractNumId w:val="27"/>
  </w:num>
  <w:num w:numId="25" w16cid:durableId="371004190">
    <w:abstractNumId w:val="15"/>
  </w:num>
  <w:num w:numId="26" w16cid:durableId="158473337">
    <w:abstractNumId w:val="8"/>
  </w:num>
  <w:num w:numId="27" w16cid:durableId="2073692029">
    <w:abstractNumId w:val="43"/>
  </w:num>
  <w:num w:numId="28" w16cid:durableId="1315642613">
    <w:abstractNumId w:val="34"/>
  </w:num>
  <w:num w:numId="29" w16cid:durableId="1397513686">
    <w:abstractNumId w:val="7"/>
  </w:num>
  <w:num w:numId="30" w16cid:durableId="1703901854">
    <w:abstractNumId w:val="21"/>
  </w:num>
  <w:num w:numId="31" w16cid:durableId="374891990">
    <w:abstractNumId w:val="4"/>
  </w:num>
  <w:num w:numId="32" w16cid:durableId="1475292160">
    <w:abstractNumId w:val="1"/>
  </w:num>
  <w:num w:numId="33" w16cid:durableId="554238805">
    <w:abstractNumId w:val="24"/>
  </w:num>
  <w:num w:numId="34" w16cid:durableId="767433169">
    <w:abstractNumId w:val="39"/>
  </w:num>
  <w:num w:numId="35" w16cid:durableId="576282690">
    <w:abstractNumId w:val="16"/>
  </w:num>
  <w:num w:numId="36" w16cid:durableId="1425109095">
    <w:abstractNumId w:val="31"/>
  </w:num>
  <w:num w:numId="37" w16cid:durableId="633416042">
    <w:abstractNumId w:val="13"/>
  </w:num>
  <w:num w:numId="38" w16cid:durableId="1995178782">
    <w:abstractNumId w:val="28"/>
  </w:num>
  <w:num w:numId="39" w16cid:durableId="312681309">
    <w:abstractNumId w:val="32"/>
  </w:num>
  <w:num w:numId="40" w16cid:durableId="1768109549">
    <w:abstractNumId w:val="3"/>
  </w:num>
  <w:num w:numId="41" w16cid:durableId="1845436132">
    <w:abstractNumId w:val="35"/>
  </w:num>
  <w:num w:numId="42" w16cid:durableId="827593204">
    <w:abstractNumId w:val="2"/>
  </w:num>
  <w:num w:numId="43" w16cid:durableId="1202671986">
    <w:abstractNumId w:val="40"/>
  </w:num>
  <w:num w:numId="44" w16cid:durableId="146292221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10C"/>
    <w:rsid w:val="00016314"/>
    <w:rsid w:val="0002176C"/>
    <w:rsid w:val="00025B51"/>
    <w:rsid w:val="00031A2C"/>
    <w:rsid w:val="000327BA"/>
    <w:rsid w:val="00043C7F"/>
    <w:rsid w:val="00044FDF"/>
    <w:rsid w:val="00060C86"/>
    <w:rsid w:val="000624F2"/>
    <w:rsid w:val="0006570F"/>
    <w:rsid w:val="00075528"/>
    <w:rsid w:val="00075DE8"/>
    <w:rsid w:val="00081275"/>
    <w:rsid w:val="0008148B"/>
    <w:rsid w:val="0008399A"/>
    <w:rsid w:val="00086489"/>
    <w:rsid w:val="00087E4E"/>
    <w:rsid w:val="0009096A"/>
    <w:rsid w:val="00090D64"/>
    <w:rsid w:val="00093635"/>
    <w:rsid w:val="000C32C4"/>
    <w:rsid w:val="000C560C"/>
    <w:rsid w:val="000C7BE5"/>
    <w:rsid w:val="000D31A4"/>
    <w:rsid w:val="000D48FD"/>
    <w:rsid w:val="000D7CE4"/>
    <w:rsid w:val="000E1C64"/>
    <w:rsid w:val="000F2DE5"/>
    <w:rsid w:val="000F7119"/>
    <w:rsid w:val="00100739"/>
    <w:rsid w:val="00107885"/>
    <w:rsid w:val="00110DA8"/>
    <w:rsid w:val="00114FC4"/>
    <w:rsid w:val="0012329C"/>
    <w:rsid w:val="00134731"/>
    <w:rsid w:val="00134FA7"/>
    <w:rsid w:val="00137950"/>
    <w:rsid w:val="001437A8"/>
    <w:rsid w:val="00152F29"/>
    <w:rsid w:val="001603C0"/>
    <w:rsid w:val="00174D54"/>
    <w:rsid w:val="00185270"/>
    <w:rsid w:val="00186BA1"/>
    <w:rsid w:val="00191637"/>
    <w:rsid w:val="00192958"/>
    <w:rsid w:val="0019429D"/>
    <w:rsid w:val="001A0A65"/>
    <w:rsid w:val="001A2246"/>
    <w:rsid w:val="001A3B5A"/>
    <w:rsid w:val="001A4246"/>
    <w:rsid w:val="001B7CE9"/>
    <w:rsid w:val="001C0AF7"/>
    <w:rsid w:val="001C49C7"/>
    <w:rsid w:val="001D495A"/>
    <w:rsid w:val="001D5121"/>
    <w:rsid w:val="001D7BB5"/>
    <w:rsid w:val="001E244C"/>
    <w:rsid w:val="001F1437"/>
    <w:rsid w:val="001F3300"/>
    <w:rsid w:val="001F6CF3"/>
    <w:rsid w:val="001F7036"/>
    <w:rsid w:val="001F75BF"/>
    <w:rsid w:val="00206797"/>
    <w:rsid w:val="002103F0"/>
    <w:rsid w:val="00213C01"/>
    <w:rsid w:val="002259EF"/>
    <w:rsid w:val="00242ED1"/>
    <w:rsid w:val="00242FC2"/>
    <w:rsid w:val="002444BB"/>
    <w:rsid w:val="00254069"/>
    <w:rsid w:val="00256F5F"/>
    <w:rsid w:val="00270748"/>
    <w:rsid w:val="002734E5"/>
    <w:rsid w:val="002746DB"/>
    <w:rsid w:val="00280CAF"/>
    <w:rsid w:val="00282F09"/>
    <w:rsid w:val="00297532"/>
    <w:rsid w:val="002A0B1C"/>
    <w:rsid w:val="002A1210"/>
    <w:rsid w:val="002A7DCD"/>
    <w:rsid w:val="002B2074"/>
    <w:rsid w:val="002C7F3E"/>
    <w:rsid w:val="002D14D8"/>
    <w:rsid w:val="002D4799"/>
    <w:rsid w:val="002E3FA4"/>
    <w:rsid w:val="002E53A5"/>
    <w:rsid w:val="002E6AA4"/>
    <w:rsid w:val="003113FF"/>
    <w:rsid w:val="0032277F"/>
    <w:rsid w:val="00335820"/>
    <w:rsid w:val="0034361C"/>
    <w:rsid w:val="00350523"/>
    <w:rsid w:val="0035189D"/>
    <w:rsid w:val="0035217C"/>
    <w:rsid w:val="0035272E"/>
    <w:rsid w:val="00356AAE"/>
    <w:rsid w:val="00360E50"/>
    <w:rsid w:val="00366247"/>
    <w:rsid w:val="00370D70"/>
    <w:rsid w:val="003740BC"/>
    <w:rsid w:val="003801A3"/>
    <w:rsid w:val="00383D90"/>
    <w:rsid w:val="00387934"/>
    <w:rsid w:val="00396C85"/>
    <w:rsid w:val="003A15C3"/>
    <w:rsid w:val="003A1A27"/>
    <w:rsid w:val="003A50CC"/>
    <w:rsid w:val="003B42B3"/>
    <w:rsid w:val="003B6384"/>
    <w:rsid w:val="003C4160"/>
    <w:rsid w:val="003C4EBB"/>
    <w:rsid w:val="003C7419"/>
    <w:rsid w:val="003C7ADB"/>
    <w:rsid w:val="003D1531"/>
    <w:rsid w:val="003D4F1D"/>
    <w:rsid w:val="003D7976"/>
    <w:rsid w:val="003E4EC6"/>
    <w:rsid w:val="003E527E"/>
    <w:rsid w:val="003E553E"/>
    <w:rsid w:val="003E7078"/>
    <w:rsid w:val="003F049F"/>
    <w:rsid w:val="003F3DF5"/>
    <w:rsid w:val="00402FDE"/>
    <w:rsid w:val="00411D11"/>
    <w:rsid w:val="00415E23"/>
    <w:rsid w:val="0041670D"/>
    <w:rsid w:val="00420D8E"/>
    <w:rsid w:val="00424061"/>
    <w:rsid w:val="00432C1C"/>
    <w:rsid w:val="00442A3C"/>
    <w:rsid w:val="00443969"/>
    <w:rsid w:val="00447D74"/>
    <w:rsid w:val="00450A74"/>
    <w:rsid w:val="00451C8A"/>
    <w:rsid w:val="004546BF"/>
    <w:rsid w:val="00461E9E"/>
    <w:rsid w:val="00465350"/>
    <w:rsid w:val="00474E7D"/>
    <w:rsid w:val="004846BF"/>
    <w:rsid w:val="004906A8"/>
    <w:rsid w:val="004906FC"/>
    <w:rsid w:val="00496E79"/>
    <w:rsid w:val="004A552D"/>
    <w:rsid w:val="004B257A"/>
    <w:rsid w:val="004B39D0"/>
    <w:rsid w:val="004C6979"/>
    <w:rsid w:val="004D13A2"/>
    <w:rsid w:val="004D3E7A"/>
    <w:rsid w:val="004E5F73"/>
    <w:rsid w:val="004F594B"/>
    <w:rsid w:val="004F61E1"/>
    <w:rsid w:val="00536088"/>
    <w:rsid w:val="00544138"/>
    <w:rsid w:val="00573496"/>
    <w:rsid w:val="0057751C"/>
    <w:rsid w:val="00584583"/>
    <w:rsid w:val="00590EEB"/>
    <w:rsid w:val="005A1E0A"/>
    <w:rsid w:val="005A4099"/>
    <w:rsid w:val="005B4E76"/>
    <w:rsid w:val="005B528E"/>
    <w:rsid w:val="005C38B2"/>
    <w:rsid w:val="005C5029"/>
    <w:rsid w:val="005C55C2"/>
    <w:rsid w:val="005C745C"/>
    <w:rsid w:val="005D3534"/>
    <w:rsid w:val="005D4DF5"/>
    <w:rsid w:val="005E0B2A"/>
    <w:rsid w:val="00611D6B"/>
    <w:rsid w:val="00626F15"/>
    <w:rsid w:val="00627ACF"/>
    <w:rsid w:val="006326EC"/>
    <w:rsid w:val="00643940"/>
    <w:rsid w:val="00643DD5"/>
    <w:rsid w:val="006462DE"/>
    <w:rsid w:val="0065330F"/>
    <w:rsid w:val="00655143"/>
    <w:rsid w:val="00663A42"/>
    <w:rsid w:val="006641C7"/>
    <w:rsid w:val="00670BE2"/>
    <w:rsid w:val="00693D12"/>
    <w:rsid w:val="006A0367"/>
    <w:rsid w:val="006A26C6"/>
    <w:rsid w:val="006A58A4"/>
    <w:rsid w:val="006A7D5D"/>
    <w:rsid w:val="006C1B48"/>
    <w:rsid w:val="006C5D63"/>
    <w:rsid w:val="006D5D57"/>
    <w:rsid w:val="006D6FB1"/>
    <w:rsid w:val="006D76DD"/>
    <w:rsid w:val="006E52D9"/>
    <w:rsid w:val="006E6AA7"/>
    <w:rsid w:val="006F0E7B"/>
    <w:rsid w:val="006F1970"/>
    <w:rsid w:val="006F4494"/>
    <w:rsid w:val="006F4D6D"/>
    <w:rsid w:val="00705086"/>
    <w:rsid w:val="00751E66"/>
    <w:rsid w:val="00754497"/>
    <w:rsid w:val="00754E24"/>
    <w:rsid w:val="00787C39"/>
    <w:rsid w:val="00795DF3"/>
    <w:rsid w:val="007A373C"/>
    <w:rsid w:val="007B225C"/>
    <w:rsid w:val="007B5C4F"/>
    <w:rsid w:val="007C75B1"/>
    <w:rsid w:val="007D3DFC"/>
    <w:rsid w:val="007E2F07"/>
    <w:rsid w:val="007E748D"/>
    <w:rsid w:val="007F2138"/>
    <w:rsid w:val="007F2430"/>
    <w:rsid w:val="007F77A9"/>
    <w:rsid w:val="007F7DA5"/>
    <w:rsid w:val="00800A88"/>
    <w:rsid w:val="0080776D"/>
    <w:rsid w:val="00810145"/>
    <w:rsid w:val="008108FA"/>
    <w:rsid w:val="00810FF1"/>
    <w:rsid w:val="00812B7D"/>
    <w:rsid w:val="00822336"/>
    <w:rsid w:val="00823DFA"/>
    <w:rsid w:val="00826477"/>
    <w:rsid w:val="00833D17"/>
    <w:rsid w:val="00843752"/>
    <w:rsid w:val="0084479F"/>
    <w:rsid w:val="00850CC5"/>
    <w:rsid w:val="0085725E"/>
    <w:rsid w:val="00861CA8"/>
    <w:rsid w:val="00862F18"/>
    <w:rsid w:val="0087085D"/>
    <w:rsid w:val="00871155"/>
    <w:rsid w:val="008752C6"/>
    <w:rsid w:val="00880E6E"/>
    <w:rsid w:val="00885B09"/>
    <w:rsid w:val="00892400"/>
    <w:rsid w:val="008A209D"/>
    <w:rsid w:val="008A22BB"/>
    <w:rsid w:val="008B0E29"/>
    <w:rsid w:val="008B0EFA"/>
    <w:rsid w:val="008B30AB"/>
    <w:rsid w:val="008C4731"/>
    <w:rsid w:val="008C60B9"/>
    <w:rsid w:val="008E04E3"/>
    <w:rsid w:val="008E5F55"/>
    <w:rsid w:val="00905DEF"/>
    <w:rsid w:val="00913B43"/>
    <w:rsid w:val="00914F80"/>
    <w:rsid w:val="00930203"/>
    <w:rsid w:val="009311D2"/>
    <w:rsid w:val="009311E6"/>
    <w:rsid w:val="00931275"/>
    <w:rsid w:val="00933E9D"/>
    <w:rsid w:val="00935FDE"/>
    <w:rsid w:val="00936AC7"/>
    <w:rsid w:val="00952C67"/>
    <w:rsid w:val="00953B64"/>
    <w:rsid w:val="00961A9A"/>
    <w:rsid w:val="00970A88"/>
    <w:rsid w:val="0098127A"/>
    <w:rsid w:val="0098565B"/>
    <w:rsid w:val="00992CA6"/>
    <w:rsid w:val="00992E40"/>
    <w:rsid w:val="00994F99"/>
    <w:rsid w:val="009A1674"/>
    <w:rsid w:val="009A1C8B"/>
    <w:rsid w:val="009A4FE8"/>
    <w:rsid w:val="009B0C6B"/>
    <w:rsid w:val="009C1612"/>
    <w:rsid w:val="009C684F"/>
    <w:rsid w:val="009D074C"/>
    <w:rsid w:val="009D3845"/>
    <w:rsid w:val="009F1F1D"/>
    <w:rsid w:val="009F2B4F"/>
    <w:rsid w:val="009F66B5"/>
    <w:rsid w:val="00A0055F"/>
    <w:rsid w:val="00A16221"/>
    <w:rsid w:val="00A20A7D"/>
    <w:rsid w:val="00A256AD"/>
    <w:rsid w:val="00A27F97"/>
    <w:rsid w:val="00A32FE9"/>
    <w:rsid w:val="00A34315"/>
    <w:rsid w:val="00A35D42"/>
    <w:rsid w:val="00A419D3"/>
    <w:rsid w:val="00A46CCF"/>
    <w:rsid w:val="00A53451"/>
    <w:rsid w:val="00A603F8"/>
    <w:rsid w:val="00A700F0"/>
    <w:rsid w:val="00A70426"/>
    <w:rsid w:val="00A70A1E"/>
    <w:rsid w:val="00A91E9A"/>
    <w:rsid w:val="00A93ED9"/>
    <w:rsid w:val="00A96221"/>
    <w:rsid w:val="00AA76ED"/>
    <w:rsid w:val="00AB36D4"/>
    <w:rsid w:val="00AB653E"/>
    <w:rsid w:val="00AC6A99"/>
    <w:rsid w:val="00AD5856"/>
    <w:rsid w:val="00AE6CFD"/>
    <w:rsid w:val="00B003E3"/>
    <w:rsid w:val="00B005DB"/>
    <w:rsid w:val="00B0110D"/>
    <w:rsid w:val="00B02E11"/>
    <w:rsid w:val="00B055EF"/>
    <w:rsid w:val="00B06B5B"/>
    <w:rsid w:val="00B12BDE"/>
    <w:rsid w:val="00B229BA"/>
    <w:rsid w:val="00B23769"/>
    <w:rsid w:val="00B30DF8"/>
    <w:rsid w:val="00B33703"/>
    <w:rsid w:val="00B56D65"/>
    <w:rsid w:val="00B6171F"/>
    <w:rsid w:val="00B8009A"/>
    <w:rsid w:val="00B80D8B"/>
    <w:rsid w:val="00B81808"/>
    <w:rsid w:val="00B86DFA"/>
    <w:rsid w:val="00B936D0"/>
    <w:rsid w:val="00BA6CCD"/>
    <w:rsid w:val="00BA7E2E"/>
    <w:rsid w:val="00BB6BC6"/>
    <w:rsid w:val="00BC2A95"/>
    <w:rsid w:val="00BC76B9"/>
    <w:rsid w:val="00BD3D5B"/>
    <w:rsid w:val="00BE04A8"/>
    <w:rsid w:val="00BE164D"/>
    <w:rsid w:val="00BE3600"/>
    <w:rsid w:val="00BF4582"/>
    <w:rsid w:val="00C00196"/>
    <w:rsid w:val="00C002D0"/>
    <w:rsid w:val="00C01F6F"/>
    <w:rsid w:val="00C148B7"/>
    <w:rsid w:val="00C149AB"/>
    <w:rsid w:val="00C36020"/>
    <w:rsid w:val="00C40694"/>
    <w:rsid w:val="00C52B94"/>
    <w:rsid w:val="00C60E3B"/>
    <w:rsid w:val="00C70542"/>
    <w:rsid w:val="00C75CBF"/>
    <w:rsid w:val="00CB78F9"/>
    <w:rsid w:val="00CC2894"/>
    <w:rsid w:val="00CD288B"/>
    <w:rsid w:val="00CD5C0B"/>
    <w:rsid w:val="00CD77C3"/>
    <w:rsid w:val="00CE112C"/>
    <w:rsid w:val="00CE6E63"/>
    <w:rsid w:val="00CF0866"/>
    <w:rsid w:val="00CF1B81"/>
    <w:rsid w:val="00CF55D4"/>
    <w:rsid w:val="00CF60C7"/>
    <w:rsid w:val="00CF7D28"/>
    <w:rsid w:val="00D10C45"/>
    <w:rsid w:val="00D2404A"/>
    <w:rsid w:val="00D52247"/>
    <w:rsid w:val="00D608DA"/>
    <w:rsid w:val="00D730BF"/>
    <w:rsid w:val="00D74FA3"/>
    <w:rsid w:val="00D75000"/>
    <w:rsid w:val="00D85B34"/>
    <w:rsid w:val="00D87EDF"/>
    <w:rsid w:val="00D979C3"/>
    <w:rsid w:val="00DB1110"/>
    <w:rsid w:val="00DC3788"/>
    <w:rsid w:val="00DC57F5"/>
    <w:rsid w:val="00DC76C7"/>
    <w:rsid w:val="00DD09F5"/>
    <w:rsid w:val="00DD3463"/>
    <w:rsid w:val="00DD4201"/>
    <w:rsid w:val="00DD5E9F"/>
    <w:rsid w:val="00DE28B4"/>
    <w:rsid w:val="00DE5637"/>
    <w:rsid w:val="00DE5711"/>
    <w:rsid w:val="00DE7F70"/>
    <w:rsid w:val="00DF7B57"/>
    <w:rsid w:val="00E00EA0"/>
    <w:rsid w:val="00E04A8A"/>
    <w:rsid w:val="00E05565"/>
    <w:rsid w:val="00E109EA"/>
    <w:rsid w:val="00E11B69"/>
    <w:rsid w:val="00E120AA"/>
    <w:rsid w:val="00E138F1"/>
    <w:rsid w:val="00E17187"/>
    <w:rsid w:val="00E2309D"/>
    <w:rsid w:val="00E26758"/>
    <w:rsid w:val="00E32570"/>
    <w:rsid w:val="00E40F42"/>
    <w:rsid w:val="00E42570"/>
    <w:rsid w:val="00E4357B"/>
    <w:rsid w:val="00E61514"/>
    <w:rsid w:val="00E63DE5"/>
    <w:rsid w:val="00E65A37"/>
    <w:rsid w:val="00E65EF7"/>
    <w:rsid w:val="00E719DD"/>
    <w:rsid w:val="00E77B48"/>
    <w:rsid w:val="00E84103"/>
    <w:rsid w:val="00E857FB"/>
    <w:rsid w:val="00E868A8"/>
    <w:rsid w:val="00E91799"/>
    <w:rsid w:val="00E963B0"/>
    <w:rsid w:val="00E97466"/>
    <w:rsid w:val="00EA21FE"/>
    <w:rsid w:val="00EA34E3"/>
    <w:rsid w:val="00EA45B3"/>
    <w:rsid w:val="00EB7538"/>
    <w:rsid w:val="00EC2E9E"/>
    <w:rsid w:val="00ED01A7"/>
    <w:rsid w:val="00ED5855"/>
    <w:rsid w:val="00ED5AED"/>
    <w:rsid w:val="00ED6005"/>
    <w:rsid w:val="00ED7AEF"/>
    <w:rsid w:val="00EE4E96"/>
    <w:rsid w:val="00EE6468"/>
    <w:rsid w:val="00F0112B"/>
    <w:rsid w:val="00F022D4"/>
    <w:rsid w:val="00F03FA5"/>
    <w:rsid w:val="00F1299B"/>
    <w:rsid w:val="00F14215"/>
    <w:rsid w:val="00F207A4"/>
    <w:rsid w:val="00F23844"/>
    <w:rsid w:val="00F355AC"/>
    <w:rsid w:val="00F542FA"/>
    <w:rsid w:val="00F71A5A"/>
    <w:rsid w:val="00F769E0"/>
    <w:rsid w:val="00F810D3"/>
    <w:rsid w:val="00F84A36"/>
    <w:rsid w:val="00F94DAF"/>
    <w:rsid w:val="00F96A0D"/>
    <w:rsid w:val="00FA1F8E"/>
    <w:rsid w:val="00FA75FE"/>
    <w:rsid w:val="00FA7E6D"/>
    <w:rsid w:val="00FB1032"/>
    <w:rsid w:val="00FC1A0B"/>
    <w:rsid w:val="00FC6BDE"/>
    <w:rsid w:val="00FF0656"/>
    <w:rsid w:val="00FF44EA"/>
    <w:rsid w:val="00FF49F8"/>
    <w:rsid w:val="6BA3D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3EA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7F7DA5"/>
    <w:pPr>
      <w:ind w:left="720"/>
      <w:contextualSpacing/>
    </w:pPr>
    <w:rPr>
      <w:sz w:val="20"/>
      <w:szCs w:val="20"/>
    </w:rPr>
  </w:style>
  <w:style w:type="paragraph" w:styleId="BodyText">
    <w:name w:val="Body Text"/>
    <w:basedOn w:val="Normal"/>
    <w:link w:val="BodyTextChar"/>
    <w:rsid w:val="00DE5637"/>
    <w:pPr>
      <w:spacing w:after="120"/>
    </w:pPr>
  </w:style>
  <w:style w:type="character" w:customStyle="1" w:styleId="BodyTextChar">
    <w:name w:val="Body Text Char"/>
    <w:basedOn w:val="DefaultParagraphFont"/>
    <w:link w:val="BodyText"/>
    <w:rsid w:val="00DE5637"/>
    <w:rPr>
      <w:sz w:val="24"/>
      <w:szCs w:val="24"/>
    </w:rPr>
  </w:style>
  <w:style w:type="paragraph" w:styleId="Header">
    <w:name w:val="header"/>
    <w:basedOn w:val="Normal"/>
    <w:link w:val="HeaderChar"/>
    <w:uiPriority w:val="99"/>
    <w:rsid w:val="00AD5856"/>
    <w:pPr>
      <w:tabs>
        <w:tab w:val="center" w:pos="4680"/>
        <w:tab w:val="right" w:pos="9360"/>
      </w:tabs>
    </w:pPr>
  </w:style>
  <w:style w:type="character" w:customStyle="1" w:styleId="HeaderChar">
    <w:name w:val="Header Char"/>
    <w:basedOn w:val="DefaultParagraphFont"/>
    <w:link w:val="Header"/>
    <w:uiPriority w:val="99"/>
    <w:rsid w:val="00AD5856"/>
    <w:rPr>
      <w:sz w:val="24"/>
      <w:szCs w:val="24"/>
    </w:rPr>
  </w:style>
  <w:style w:type="character" w:styleId="CommentReference">
    <w:name w:val="annotation reference"/>
    <w:basedOn w:val="DefaultParagraphFont"/>
    <w:rsid w:val="00E40F42"/>
    <w:rPr>
      <w:sz w:val="16"/>
      <w:szCs w:val="16"/>
    </w:rPr>
  </w:style>
  <w:style w:type="paragraph" w:styleId="CommentText">
    <w:name w:val="annotation text"/>
    <w:basedOn w:val="Normal"/>
    <w:link w:val="CommentTextChar"/>
    <w:rsid w:val="00E40F42"/>
    <w:rPr>
      <w:sz w:val="20"/>
      <w:szCs w:val="20"/>
    </w:rPr>
  </w:style>
  <w:style w:type="character" w:customStyle="1" w:styleId="CommentTextChar">
    <w:name w:val="Comment Text Char"/>
    <w:basedOn w:val="DefaultParagraphFont"/>
    <w:link w:val="CommentText"/>
    <w:rsid w:val="00E40F42"/>
  </w:style>
  <w:style w:type="paragraph" w:styleId="CommentSubject">
    <w:name w:val="annotation subject"/>
    <w:basedOn w:val="CommentText"/>
    <w:next w:val="CommentText"/>
    <w:link w:val="CommentSubjectChar"/>
    <w:rsid w:val="00E40F42"/>
    <w:rPr>
      <w:b/>
      <w:bCs/>
    </w:rPr>
  </w:style>
  <w:style w:type="character" w:customStyle="1" w:styleId="CommentSubjectChar">
    <w:name w:val="Comment Subject Char"/>
    <w:basedOn w:val="CommentTextChar"/>
    <w:link w:val="CommentSubject"/>
    <w:rsid w:val="00E40F42"/>
    <w:rPr>
      <w:b/>
      <w:bCs/>
    </w:rPr>
  </w:style>
  <w:style w:type="paragraph" w:styleId="FootnoteText">
    <w:name w:val="footnote text"/>
    <w:basedOn w:val="Normal"/>
    <w:link w:val="FootnoteTextChar"/>
    <w:rsid w:val="009B0C6B"/>
    <w:rPr>
      <w:sz w:val="20"/>
      <w:szCs w:val="20"/>
    </w:rPr>
  </w:style>
  <w:style w:type="character" w:customStyle="1" w:styleId="FootnoteTextChar">
    <w:name w:val="Footnote Text Char"/>
    <w:basedOn w:val="DefaultParagraphFont"/>
    <w:link w:val="FootnoteText"/>
    <w:rsid w:val="009B0C6B"/>
  </w:style>
  <w:style w:type="character" w:styleId="FootnoteReference">
    <w:name w:val="footnote reference"/>
    <w:basedOn w:val="DefaultParagraphFont"/>
    <w:rsid w:val="009B0C6B"/>
    <w:rPr>
      <w:vertAlign w:val="superscript"/>
    </w:rPr>
  </w:style>
  <w:style w:type="character" w:styleId="Hyperlink">
    <w:name w:val="Hyperlink"/>
    <w:basedOn w:val="DefaultParagraphFont"/>
    <w:uiPriority w:val="99"/>
    <w:rsid w:val="00D87EDF"/>
    <w:rPr>
      <w:color w:val="0563C1" w:themeColor="hyperlink"/>
      <w:u w:val="single"/>
    </w:rPr>
  </w:style>
  <w:style w:type="character" w:styleId="UnresolvedMention">
    <w:name w:val="Unresolved Mention"/>
    <w:basedOn w:val="DefaultParagraphFont"/>
    <w:uiPriority w:val="99"/>
    <w:semiHidden/>
    <w:unhideWhenUsed/>
    <w:rsid w:val="00D87EDF"/>
    <w:rPr>
      <w:color w:val="808080"/>
      <w:shd w:val="clear" w:color="auto" w:fill="E6E6E6"/>
    </w:rPr>
  </w:style>
  <w:style w:type="character" w:customStyle="1" w:styleId="FooterChar">
    <w:name w:val="Footer Char"/>
    <w:basedOn w:val="DefaultParagraphFont"/>
    <w:link w:val="Footer"/>
    <w:uiPriority w:val="99"/>
    <w:rsid w:val="00075528"/>
    <w:rPr>
      <w:sz w:val="24"/>
      <w:szCs w:val="24"/>
    </w:rPr>
  </w:style>
  <w:style w:type="character" w:styleId="FollowedHyperlink">
    <w:name w:val="FollowedHyperlink"/>
    <w:basedOn w:val="DefaultParagraphFont"/>
    <w:rsid w:val="006E52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drugs/guidance-compliance-regulatory-information/guidances-drugs"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industry/fda-user-fee-programs/biosimilar-user-fee-amendments" TargetMode="External" /><Relationship Id="rId6" Type="http://schemas.openxmlformats.org/officeDocument/2006/relationships/hyperlink" Target="https://www.fda.gov/media/152279/download?attachment" TargetMode="External" /><Relationship Id="rId7" Type="http://schemas.openxmlformats.org/officeDocument/2006/relationships/hyperlink" Target="mailto:CDERCollections@fda.hhs.gov" TargetMode="External" /><Relationship Id="rId8" Type="http://schemas.openxmlformats.org/officeDocument/2006/relationships/hyperlink" Target="https://www.fda.gov/regulatory-information/search-fda-guidance-documents/formal-meetings-between-fda-and-sponsors-or-applicants-bsufa-products-guidance-industry" TargetMode="External" /><Relationship Id="rId9" Type="http://schemas.openxmlformats.org/officeDocument/2006/relationships/hyperlink" Target="https://www.fda.gov/media/134778/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6569-6BF8-4EC6-8625-37EED20BCC0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2025-01-30T22:17:00Z</dcterms:created>
  <dcterms:modified xsi:type="dcterms:W3CDTF">2025-01-30T22:38:00Z</dcterms:modified>
</cp:coreProperties>
</file>