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66261B" w14:paraId="752E3C48" w14:textId="7416484E">
      <w:pPr>
        <w:jc w:val="center"/>
        <w:rPr>
          <w:rFonts w:eastAsia="Calibri"/>
        </w:rPr>
      </w:pPr>
      <w:r w:rsidRPr="00357C8A">
        <w:rPr>
          <w:rFonts w:eastAsia="Calibri"/>
        </w:rPr>
        <w:t xml:space="preserve">UNITED STATES FOOD </w:t>
      </w:r>
      <w:r>
        <w:rPr>
          <w:rFonts w:eastAsia="Calibri"/>
        </w:rPr>
        <w:t xml:space="preserve">&amp; </w:t>
      </w:r>
      <w:r w:rsidRPr="00357C8A">
        <w:rPr>
          <w:rFonts w:eastAsia="Calibri"/>
        </w:rPr>
        <w:t>DRUG ADMINISTRATION</w:t>
      </w:r>
    </w:p>
    <w:p w:rsidR="00357C8A" w:rsidP="0066261B" w14:paraId="09CB82CE" w14:textId="77777777">
      <w:pPr>
        <w:jc w:val="center"/>
        <w:rPr>
          <w:rFonts w:eastAsia="Calibri"/>
        </w:rPr>
      </w:pPr>
    </w:p>
    <w:p w:rsidR="00166DF7" w:rsidP="0066261B" w14:paraId="5F65DAFF" w14:textId="77777777">
      <w:pPr>
        <w:jc w:val="center"/>
        <w:rPr>
          <w:rFonts w:eastAsia="Calibri"/>
        </w:rPr>
      </w:pPr>
      <w:r w:rsidRPr="00514141">
        <w:rPr>
          <w:rFonts w:eastAsia="Calibri"/>
        </w:rPr>
        <w:t>Labeling Requirements for Prescription Drugs</w:t>
      </w:r>
    </w:p>
    <w:p w:rsidR="00514141" w:rsidP="0066261B" w14:paraId="618F5162" w14:textId="77777777">
      <w:pPr>
        <w:jc w:val="center"/>
        <w:rPr>
          <w:rFonts w:eastAsia="Calibri"/>
        </w:rPr>
      </w:pPr>
    </w:p>
    <w:p w:rsidR="00F20524" w:rsidP="0066261B" w14:paraId="319F75A4" w14:textId="77777777">
      <w:pPr>
        <w:jc w:val="center"/>
        <w:rPr>
          <w:rFonts w:eastAsia="Calibri"/>
        </w:rPr>
      </w:pPr>
    </w:p>
    <w:p w:rsidR="00357C8A" w:rsidRPr="00E73C2B" w:rsidP="0066261B" w14:paraId="52321A41" w14:textId="55C68DCD">
      <w:pPr>
        <w:jc w:val="center"/>
        <w:rPr>
          <w:rFonts w:eastAsia="Calibri"/>
        </w:rPr>
      </w:pPr>
      <w:r w:rsidRPr="0066261B">
        <w:rPr>
          <w:rFonts w:eastAsia="Calibri"/>
          <w:u w:val="single"/>
        </w:rPr>
        <w:t>OMB Control N</w:t>
      </w:r>
      <w:r w:rsidRPr="0066261B" w:rsidR="00D23B7A">
        <w:rPr>
          <w:rFonts w:eastAsia="Calibri"/>
          <w:u w:val="single"/>
        </w:rPr>
        <w:t>umber</w:t>
      </w:r>
      <w:r w:rsidRPr="0066261B">
        <w:rPr>
          <w:rFonts w:eastAsia="Calibri"/>
          <w:u w:val="single"/>
        </w:rPr>
        <w:t xml:space="preserve"> 0910-</w:t>
      </w:r>
      <w:r w:rsidRPr="0066261B" w:rsidR="00824913">
        <w:rPr>
          <w:rFonts w:eastAsia="Calibri"/>
          <w:u w:val="single"/>
        </w:rPr>
        <w:t>0572</w:t>
      </w:r>
      <w:r w:rsidR="00E73C2B">
        <w:rPr>
          <w:rFonts w:eastAsia="Calibri"/>
        </w:rPr>
        <w:t xml:space="preserve"> - Revision</w:t>
      </w:r>
    </w:p>
    <w:p w:rsidR="00357C8A" w:rsidP="0066261B" w14:paraId="672620E7" w14:textId="77777777">
      <w:pPr>
        <w:jc w:val="center"/>
        <w:rPr>
          <w:rFonts w:eastAsia="Calibri"/>
        </w:rPr>
      </w:pPr>
    </w:p>
    <w:p w:rsidR="00AC1963" w:rsidP="0066261B" w14:paraId="6A93EC39" w14:textId="77777777">
      <w:pPr>
        <w:rPr>
          <w:rFonts w:eastAsia="Calibri"/>
        </w:rPr>
      </w:pPr>
    </w:p>
    <w:p w:rsidR="00F20524" w:rsidP="0066261B" w14:paraId="4BE50D9A" w14:textId="77777777">
      <w:pPr>
        <w:rPr>
          <w:rFonts w:eastAsia="Calibri"/>
        </w:rPr>
      </w:pPr>
    </w:p>
    <w:p w:rsidR="00357C8A" w:rsidP="0066261B" w14:paraId="075704E6" w14:textId="314F57B8">
      <w:pPr>
        <w:rPr>
          <w:rFonts w:eastAsia="Calibri"/>
        </w:rPr>
      </w:pPr>
      <w:r w:rsidRPr="00357C8A">
        <w:rPr>
          <w:rFonts w:eastAsia="Calibri"/>
        </w:rPr>
        <w:t>SUPPORTING STATEMENT</w:t>
      </w:r>
      <w:r w:rsidR="0066261B">
        <w:rPr>
          <w:rFonts w:eastAsia="Calibri"/>
        </w:rPr>
        <w:t xml:space="preserve"> – </w:t>
      </w:r>
      <w:r w:rsidRPr="0066261B" w:rsidR="0066261B">
        <w:rPr>
          <w:rFonts w:eastAsia="Calibri"/>
          <w:b/>
          <w:bCs/>
        </w:rPr>
        <w:t xml:space="preserve">Part A:  </w:t>
      </w:r>
      <w:r w:rsidRPr="0066261B">
        <w:rPr>
          <w:rFonts w:eastAsia="Calibri"/>
          <w:b/>
          <w:bCs/>
        </w:rPr>
        <w:t>Justification</w:t>
      </w:r>
    </w:p>
    <w:p w:rsidR="000D79CC" w:rsidRPr="00357C8A" w:rsidP="0066261B" w14:paraId="3063B31D" w14:textId="77777777">
      <w:pPr>
        <w:rPr>
          <w:rFonts w:eastAsia="Calibri"/>
        </w:rPr>
      </w:pPr>
    </w:p>
    <w:p w:rsidR="00A720FA" w:rsidP="0003193C" w14:paraId="7BDB24EA" w14:textId="77777777">
      <w:pPr>
        <w:numPr>
          <w:ilvl w:val="0"/>
          <w:numId w:val="6"/>
        </w:numPr>
        <w:spacing w:after="200"/>
        <w:rPr>
          <w:rFonts w:eastAsia="Calibri"/>
        </w:rPr>
      </w:pPr>
      <w:r w:rsidRPr="00357C8A">
        <w:rPr>
          <w:rFonts w:eastAsia="Calibri"/>
          <w:u w:val="single"/>
        </w:rPr>
        <w:t>Circumstances Making the Collection of Information Necessary</w:t>
      </w:r>
    </w:p>
    <w:p w:rsidR="008F6FBD" w:rsidP="0066261B" w14:paraId="6F33463E" w14:textId="6A16EC8A">
      <w:r w:rsidRPr="00F527B0">
        <w:t>This information collection</w:t>
      </w:r>
      <w:r w:rsidR="00050FD7">
        <w:t xml:space="preserve"> helps</w:t>
      </w:r>
      <w:r w:rsidRPr="00F527B0">
        <w:t xml:space="preserve"> </w:t>
      </w:r>
      <w:r w:rsidR="00050FD7">
        <w:t xml:space="preserve">the </w:t>
      </w:r>
      <w:r w:rsidR="00537C48">
        <w:t>Food and Drug Administration (</w:t>
      </w:r>
      <w:r w:rsidRPr="00F527B0">
        <w:t>FDA</w:t>
      </w:r>
      <w:r w:rsidR="00537C48">
        <w:t>, the agency)</w:t>
      </w:r>
      <w:r w:rsidRPr="00F527B0">
        <w:t xml:space="preserve"> </w:t>
      </w:r>
      <w:r w:rsidR="00CA41DC">
        <w:t>implement</w:t>
      </w:r>
      <w:r w:rsidR="00050FD7">
        <w:t xml:space="preserve"> </w:t>
      </w:r>
      <w:r w:rsidR="00CA41DC">
        <w:t xml:space="preserve">statutory and </w:t>
      </w:r>
      <w:r w:rsidRPr="00F527B0">
        <w:t>regulat</w:t>
      </w:r>
      <w:r w:rsidR="00CA41DC">
        <w:t>ory requirements</w:t>
      </w:r>
      <w:r w:rsidRPr="00F527B0">
        <w:t xml:space="preserve"> </w:t>
      </w:r>
      <w:r w:rsidR="00710D50">
        <w:t xml:space="preserve">that </w:t>
      </w:r>
      <w:r w:rsidRPr="00F527B0">
        <w:t>gover</w:t>
      </w:r>
      <w:r w:rsidR="00710D50">
        <w:t>n</w:t>
      </w:r>
      <w:r w:rsidRPr="00F527B0">
        <w:t xml:space="preserve"> the labeling of prescription drugs.</w:t>
      </w:r>
      <w:r>
        <w:t xml:space="preserve">  </w:t>
      </w:r>
      <w:r w:rsidRPr="008F6FBD">
        <w:t xml:space="preserve">Respondents to the information collection are sponsors of product labeling subject to applicable requirements.  We characterize the information collection activities as recordkeeping, consistent with 5 CFR 1320.3(m), noting that a recordkeeping requirement means a requirement to maintain specified records, including the requirement to </w:t>
      </w:r>
      <w:r w:rsidRPr="0088180A">
        <w:rPr>
          <w:i/>
          <w:iCs/>
        </w:rPr>
        <w:t>retain, notify third parties, the Federal government, or the public</w:t>
      </w:r>
      <w:r w:rsidRPr="008F6FBD">
        <w:t xml:space="preserve"> regarding such records.</w:t>
      </w:r>
      <w:r w:rsidR="00D803F2">
        <w:t xml:space="preserve">  FDA r</w:t>
      </w:r>
      <w:r w:rsidRPr="008F6FBD">
        <w:t xml:space="preserve">egulations in </w:t>
      </w:r>
      <w:r w:rsidR="00D803F2">
        <w:t xml:space="preserve">21 CFR </w:t>
      </w:r>
      <w:r w:rsidRPr="008F6FBD">
        <w:t>part 201 govern the statement of ingredients and declaration of net quantity of contents with regard to prescription drug product labeling</w:t>
      </w:r>
      <w:r w:rsidR="0089183A">
        <w:t xml:space="preserve">.  </w:t>
      </w:r>
      <w:r w:rsidRPr="008F6FBD">
        <w:t>The regulations require that firms identify bulk or transport containers with the name of the product contained therein and that containers be accompanied by documentation that identifies the product as meeting applicable compendial standards.  New drug product and biological product applicants must: (1) design and create prescription drug labeling containing “</w:t>
      </w:r>
      <w:r w:rsidRPr="0089183A">
        <w:rPr>
          <w:i/>
          <w:iCs/>
        </w:rPr>
        <w:t>Highlights</w:t>
      </w:r>
      <w:r w:rsidRPr="008F6FBD">
        <w:t>,” “</w:t>
      </w:r>
      <w:r w:rsidRPr="0089183A">
        <w:rPr>
          <w:i/>
          <w:iCs/>
        </w:rPr>
        <w:t>Contents</w:t>
      </w:r>
      <w:r w:rsidRPr="008F6FBD">
        <w:t>,” and “</w:t>
      </w:r>
      <w:r w:rsidRPr="0089183A">
        <w:rPr>
          <w:i/>
          <w:iCs/>
        </w:rPr>
        <w:t>Full Prescribing Information</w:t>
      </w:r>
      <w:r w:rsidRPr="008F6FBD">
        <w:t>;” (2) test the designed labeling (for example, to ensure that the designed labeling fits into carton-enclosed products); and (3) submit it to FDA for approval.</w:t>
      </w:r>
    </w:p>
    <w:p w:rsidR="00AD2B96" w:rsidP="0066261B" w14:paraId="429BD475" w14:textId="77777777"/>
    <w:p w:rsidR="003973A9" w:rsidP="0066261B" w14:paraId="19CC1DCC" w14:textId="5A20E0B1">
      <w:r>
        <w:t xml:space="preserve">In addition to </w:t>
      </w:r>
      <w:r w:rsidR="0046069B">
        <w:t>incorporating general labeling provisions in 21 CFR 201, subpart A</w:t>
      </w:r>
      <w:r w:rsidR="004B4B00">
        <w:t>, a</w:t>
      </w:r>
      <w:r w:rsidR="00DC06F6">
        <w:t xml:space="preserve">gency </w:t>
      </w:r>
      <w:r w:rsidRPr="00F527B0" w:rsidR="00A720FA">
        <w:t xml:space="preserve">regulations in 21 CFR part 201, </w:t>
      </w:r>
      <w:r w:rsidRPr="003B3FA8" w:rsidR="00A720FA">
        <w:rPr>
          <w:b/>
          <w:bCs/>
          <w:u w:val="single"/>
        </w:rPr>
        <w:t>subpart B</w:t>
      </w:r>
      <w:r w:rsidRPr="00F527B0" w:rsidR="00A720FA">
        <w:t xml:space="preserve"> </w:t>
      </w:r>
      <w:r w:rsidRPr="00D06707" w:rsidR="00A720FA">
        <w:t>(21 CFR 201.50 through 201.58)</w:t>
      </w:r>
      <w:r w:rsidRPr="00F527B0" w:rsidR="00A720FA">
        <w:t xml:space="preserve"> </w:t>
      </w:r>
      <w:r w:rsidR="003B3FA8">
        <w:t xml:space="preserve">set </w:t>
      </w:r>
      <w:r w:rsidRPr="00F527B0" w:rsidR="00A720FA">
        <w:t xml:space="preserve">forth </w:t>
      </w:r>
      <w:r w:rsidR="00B65F02">
        <w:t xml:space="preserve">specific </w:t>
      </w:r>
      <w:r w:rsidR="00DD6652">
        <w:t xml:space="preserve">content and format </w:t>
      </w:r>
      <w:r w:rsidR="00B65F02">
        <w:t xml:space="preserve">requirements </w:t>
      </w:r>
      <w:r w:rsidR="00A31D54">
        <w:t xml:space="preserve">applicable to </w:t>
      </w:r>
      <w:r w:rsidR="00B23A6D">
        <w:t>prescription drug (and</w:t>
      </w:r>
      <w:r w:rsidR="00960BCE">
        <w:t>/or</w:t>
      </w:r>
      <w:r w:rsidR="00B23A6D">
        <w:t xml:space="preserve"> insulin</w:t>
      </w:r>
      <w:r w:rsidR="00960BCE">
        <w:t>)</w:t>
      </w:r>
      <w:r w:rsidRPr="00F527B0" w:rsidR="00A720FA">
        <w:t xml:space="preserve"> </w:t>
      </w:r>
      <w:r w:rsidR="000C433F">
        <w:t>labeling</w:t>
      </w:r>
      <w:r w:rsidRPr="00F527B0" w:rsidR="00A720FA">
        <w:t>.  The regulations also provide for requesting waiver from any labeling requirement</w:t>
      </w:r>
      <w:r w:rsidR="00A955CF">
        <w:t>,</w:t>
      </w:r>
      <w:r w:rsidR="00844204">
        <w:softHyphen/>
      </w:r>
      <w:r w:rsidR="00844204">
        <w:softHyphen/>
      </w:r>
      <w:r w:rsidRPr="00F527B0" w:rsidR="00A720FA">
        <w:t xml:space="preserve"> and do not apply to biological products that are subject to the requirements of section 351 of the Public Health Service Act.</w:t>
      </w:r>
      <w:r w:rsidR="00E32E2C">
        <w:t xml:space="preserve">  Also included in the scope of activity is information collection </w:t>
      </w:r>
      <w:r w:rsidRPr="00DF2266" w:rsidR="00DF2266">
        <w:t>provided for under 21 CFR § 201.25(d), requiring that manufacturers submit a written request for exemption from applicable bar code requirements, and for tasks provided for under 21 CFR 201.26 relating to exceptions or alternatives to the labeling requirements of the Strategic National Stockpile (SNS).</w:t>
      </w:r>
      <w:r w:rsidR="00CC1A9D">
        <w:t xml:space="preserve">  Finally, </w:t>
      </w:r>
      <w:r w:rsidR="000C716E">
        <w:t>c</w:t>
      </w:r>
      <w:r w:rsidRPr="000C716E" w:rsidR="000C716E">
        <w:t xml:space="preserve">onsistent with statutory authority under the Consolidated Appropriations Act, 2017 (Pub. L. 115-31), </w:t>
      </w:r>
      <w:r w:rsidRPr="003973A9">
        <w:t xml:space="preserve">medical gas containers must meet labeling requirements </w:t>
      </w:r>
      <w:r w:rsidR="00AF7665">
        <w:t xml:space="preserve">found </w:t>
      </w:r>
      <w:r w:rsidRPr="003973A9">
        <w:t xml:space="preserve">in </w:t>
      </w:r>
      <w:r w:rsidR="002913A1">
        <w:t>§</w:t>
      </w:r>
      <w:r w:rsidRPr="003973A9">
        <w:t>§</w:t>
      </w:r>
      <w:r w:rsidR="000C716E">
        <w:t> </w:t>
      </w:r>
      <w:r w:rsidRPr="003973A9">
        <w:t>201.</w:t>
      </w:r>
      <w:r w:rsidR="002913A1">
        <w:t>161</w:t>
      </w:r>
      <w:r w:rsidR="00216A3E">
        <w:t xml:space="preserve"> and 201.</w:t>
      </w:r>
      <w:r w:rsidRPr="003973A9">
        <w:t>328</w:t>
      </w:r>
      <w:r w:rsidR="00216A3E">
        <w:t xml:space="preserve">, </w:t>
      </w:r>
      <w:r w:rsidRPr="003973A9">
        <w:t xml:space="preserve">established by final rule in the </w:t>
      </w:r>
      <w:r w:rsidRPr="003973A9">
        <w:rPr>
          <w:i/>
          <w:iCs/>
        </w:rPr>
        <w:t>Federal Register</w:t>
      </w:r>
      <w:r w:rsidRPr="003973A9">
        <w:t xml:space="preserve"> of June 18, 2024 (89 FR 51738).</w:t>
      </w:r>
    </w:p>
    <w:p w:rsidR="003973A9" w:rsidP="0066261B" w14:paraId="7FECB24F" w14:textId="77777777"/>
    <w:p w:rsidR="000E21F4" w:rsidP="000E21F4" w14:paraId="4BBFD670" w14:textId="42FBEEC8">
      <w:r>
        <w:t xml:space="preserve">Because </w:t>
      </w:r>
      <w:r w:rsidR="00EC5F3F">
        <w:t xml:space="preserve">product </w:t>
      </w:r>
      <w:r>
        <w:t xml:space="preserve">labeling </w:t>
      </w:r>
      <w:r w:rsidR="00922713">
        <w:t xml:space="preserve">information </w:t>
      </w:r>
      <w:r w:rsidR="003C7926">
        <w:t xml:space="preserve">is a requisite element </w:t>
      </w:r>
      <w:r w:rsidR="00BD43E0">
        <w:t xml:space="preserve">included in </w:t>
      </w:r>
      <w:r w:rsidR="003C7926">
        <w:t xml:space="preserve">new drug application submissions, we issue </w:t>
      </w:r>
      <w:r w:rsidRPr="00F136F5">
        <w:t xml:space="preserve">topic-specific guidance documents consistent with </w:t>
      </w:r>
      <w:r w:rsidR="00BC57F0">
        <w:t xml:space="preserve">our </w:t>
      </w:r>
      <w:r w:rsidR="00731F76">
        <w:t xml:space="preserve">regulations in </w:t>
      </w:r>
      <w:r w:rsidRPr="00F136F5">
        <w:t xml:space="preserve">21 CFR 314.445, 21 CFR 601.29 (guidance documents), and 21 CFR 10.115, </w:t>
      </w:r>
      <w:r w:rsidR="00583297">
        <w:t xml:space="preserve">intended to </w:t>
      </w:r>
      <w:r w:rsidR="00DD411F">
        <w:t xml:space="preserve">enhance respondents’ understanding of </w:t>
      </w:r>
      <w:r w:rsidR="00B7247D">
        <w:t>applicable requirements</w:t>
      </w:r>
      <w:r w:rsidRPr="00F136F5">
        <w:t xml:space="preserve">.  The following guidance documents </w:t>
      </w:r>
      <w:r w:rsidR="00CE334F">
        <w:t>communicate relevant</w:t>
      </w:r>
      <w:r w:rsidR="0020498A">
        <w:t xml:space="preserve"> information regarding the scope of </w:t>
      </w:r>
      <w:r w:rsidRPr="00F136F5">
        <w:t>activi</w:t>
      </w:r>
      <w:r w:rsidR="0020498A">
        <w:t>ty covered by the</w:t>
      </w:r>
      <w:r w:rsidR="00817014">
        <w:t xml:space="preserve"> collection:</w:t>
      </w:r>
    </w:p>
    <w:p w:rsidR="00550EE7" w:rsidRPr="00F136F5" w:rsidP="000E21F4" w14:paraId="31DE64A5" w14:textId="77777777"/>
    <w:p w:rsidR="000E21F4" w:rsidP="000E21F4" w14:paraId="19925ECE" w14:textId="77777777">
      <w:pPr>
        <w:ind w:left="720"/>
      </w:pPr>
      <w:r w:rsidRPr="00F136F5">
        <w:rPr>
          <w:i/>
          <w:iCs/>
        </w:rPr>
        <w:t xml:space="preserve">“Safety Labeling Changes--Implementation of Section 505(o)(4) of the Federal Food, Drug, and Cosmetic Act,” </w:t>
      </w:r>
      <w:r w:rsidRPr="00F136F5">
        <w:t>(July 2013).  The guidance document includes instruction on communicating with FDA regarding labeling changes required under section 505(o)(4) (</w:t>
      </w:r>
      <w:r w:rsidRPr="00F136F5">
        <w:rPr>
          <w:i/>
          <w:iCs/>
        </w:rPr>
        <w:t>Section IV – Procedures</w:t>
      </w:r>
      <w:r w:rsidRPr="00F136F5">
        <w:t xml:space="preserve">) and is available for download from our website at </w:t>
      </w:r>
      <w:hyperlink r:id="rId4" w:history="1">
        <w:r w:rsidRPr="00F136F5">
          <w:rPr>
            <w:rStyle w:val="Hyperlink"/>
          </w:rPr>
          <w:t>https://www.fda.gov/regulatory-information/search-fda-guidance-documents/safety-labeling-changes-implementation-section-505o4-federal-food-drug-and-cosmetic-act</w:t>
        </w:r>
      </w:hyperlink>
      <w:r w:rsidRPr="00F136F5">
        <w:t xml:space="preserve">. </w:t>
      </w:r>
    </w:p>
    <w:p w:rsidR="000E21F4" w:rsidRPr="00F136F5" w:rsidP="000E21F4" w14:paraId="1F4BCFB1" w14:textId="77777777">
      <w:pPr>
        <w:ind w:firstLine="720"/>
      </w:pPr>
    </w:p>
    <w:p w:rsidR="000E21F4" w:rsidP="000E21F4" w14:paraId="3A6B7E63" w14:textId="77777777">
      <w:pPr>
        <w:ind w:left="720"/>
      </w:pPr>
      <w:r w:rsidRPr="00F136F5">
        <w:rPr>
          <w:i/>
          <w:iCs/>
        </w:rPr>
        <w:t xml:space="preserve">“Guidance for Industry on Hypertension Indication: Drug Labeling for Cardiovascular Outcome Claims,” </w:t>
      </w:r>
      <w:r w:rsidRPr="00F136F5">
        <w:t xml:space="preserve">(March 2011).  The guidance document is intended to help respondents with developing labeling for cardiovascular outcome claims for drugs that are indicated to treat hypertension.  The guidance document is available for download from our website at </w:t>
      </w:r>
      <w:hyperlink r:id="rId5" w:history="1">
        <w:r w:rsidRPr="00F136F5">
          <w:rPr>
            <w:rStyle w:val="Hyperlink"/>
          </w:rPr>
          <w:t>https://www.fda.gov/regulatory-information/search-fda-guidance-documents/hypertension-indication-drug-labeling-cardiovascular-outcome-claims</w:t>
        </w:r>
      </w:hyperlink>
      <w:r>
        <w:t xml:space="preserve">. </w:t>
      </w:r>
    </w:p>
    <w:p w:rsidR="00933F6C" w:rsidRPr="00933F6C" w:rsidP="0066261B" w14:paraId="2F62E686" w14:textId="77777777"/>
    <w:p w:rsidR="00423272" w:rsidP="0066261B" w14:paraId="77398FD2" w14:textId="4B2CFAFD">
      <w:pPr>
        <w:rPr>
          <w:rFonts w:eastAsia="Calibri"/>
        </w:rPr>
      </w:pPr>
      <w:r w:rsidRPr="00824913">
        <w:rPr>
          <w:rFonts w:eastAsia="Calibri"/>
        </w:rPr>
        <w:t>We therefore request OMB approval for the information collection provisions found in 21 CFR part 20</w:t>
      </w:r>
      <w:r w:rsidR="00C02B6B">
        <w:rPr>
          <w:rFonts w:eastAsia="Calibri"/>
        </w:rPr>
        <w:t>1</w:t>
      </w:r>
      <w:r w:rsidR="00C6116E">
        <w:rPr>
          <w:rFonts w:eastAsia="Calibri"/>
        </w:rPr>
        <w:t xml:space="preserve"> pertaining to prescription drug labeling, </w:t>
      </w:r>
      <w:r w:rsidR="00596872">
        <w:t xml:space="preserve">and </w:t>
      </w:r>
      <w:r w:rsidR="008A70BF">
        <w:t>activity attributable to</w:t>
      </w:r>
      <w:r w:rsidR="00030C0B">
        <w:t xml:space="preserve"> recommendations found in </w:t>
      </w:r>
      <w:r w:rsidR="008A70BF">
        <w:t xml:space="preserve">the referenced guidance documents, </w:t>
      </w:r>
      <w:r w:rsidR="00163926">
        <w:t xml:space="preserve">as </w:t>
      </w:r>
      <w:r w:rsidR="00D75931">
        <w:t>discussed in this supporting statement.</w:t>
      </w:r>
    </w:p>
    <w:p w:rsidR="00166DF7" w:rsidRPr="00423272" w:rsidP="0066261B" w14:paraId="764F5D2D" w14:textId="77777777">
      <w:pPr>
        <w:rPr>
          <w:rFonts w:eastAsia="Calibri"/>
          <w:i/>
        </w:rPr>
      </w:pPr>
    </w:p>
    <w:p w:rsidR="00357C8A" w:rsidRPr="00357C8A" w:rsidP="0066261B" w14:paraId="5DB68B25" w14:textId="77777777">
      <w:pPr>
        <w:numPr>
          <w:ilvl w:val="0"/>
          <w:numId w:val="6"/>
        </w:numPr>
        <w:spacing w:after="200"/>
        <w:rPr>
          <w:rFonts w:eastAsia="Calibri"/>
          <w:u w:val="single"/>
        </w:rPr>
      </w:pPr>
      <w:r w:rsidRPr="00357C8A">
        <w:rPr>
          <w:rFonts w:eastAsia="Calibri"/>
          <w:u w:val="single"/>
        </w:rPr>
        <w:t xml:space="preserve">Purpose and Use of the Information Collection </w:t>
      </w:r>
    </w:p>
    <w:p w:rsidR="00357C8A" w:rsidRPr="001F1BD6" w:rsidP="0066261B" w14:paraId="3F04F7C3" w14:textId="77777777">
      <w:pPr>
        <w:spacing w:after="200"/>
        <w:rPr>
          <w:rFonts w:eastAsia="Calibri"/>
        </w:rPr>
      </w:pPr>
      <w:r w:rsidRPr="00C02B6B">
        <w:rPr>
          <w:rFonts w:eastAsia="Calibri"/>
        </w:rPr>
        <w:t xml:space="preserve">The labeling regulations discussed in this supporting statement are part of FDA’s strategic initiative to manage the risks of medical product use and reduce adverse events involving the products that </w:t>
      </w:r>
      <w:r>
        <w:rPr>
          <w:rFonts w:eastAsia="Calibri"/>
        </w:rPr>
        <w:t>we</w:t>
      </w:r>
      <w:r w:rsidRPr="00C02B6B">
        <w:rPr>
          <w:rFonts w:eastAsia="Calibri"/>
        </w:rPr>
        <w:t xml:space="preserve"> regulate.  We intend </w:t>
      </w:r>
      <w:r>
        <w:rPr>
          <w:rFonts w:eastAsia="Calibri"/>
        </w:rPr>
        <w:t xml:space="preserve">for </w:t>
      </w:r>
      <w:r w:rsidRPr="00C02B6B">
        <w:rPr>
          <w:rFonts w:eastAsia="Calibri"/>
        </w:rPr>
        <w:t xml:space="preserve">the regulations on the content and format of labeling to make it easier for health care practitioners to access, read, and use information in prescription drug labeling, thereby increasing the extent to which they rely on labeling to obtain information. We believe compliance with the regulations will enhance the safe and effective use of prescription drug products, and in turn, reduce the number of adverse reactions resulting from medication errors due to misunderstood or incorrectly applied drug information.  The requirements are important to the success of other initiatives aimed at improving patient care and decreasing the likelihood of medication errors.  For example, the </w:t>
      </w:r>
      <w:r w:rsidRPr="00C02B6B">
        <w:rPr>
          <w:rFonts w:eastAsia="Calibri"/>
        </w:rPr>
        <w:t>DailyMed</w:t>
      </w:r>
      <w:r w:rsidRPr="00C02B6B">
        <w:rPr>
          <w:rFonts w:eastAsia="Calibri"/>
        </w:rPr>
        <w:t>, a collaboration</w:t>
      </w:r>
      <w:r>
        <w:rPr>
          <w:rFonts w:eastAsia="Calibri"/>
        </w:rPr>
        <w:t xml:space="preserve"> </w:t>
      </w:r>
      <w:r w:rsidRPr="00C02B6B">
        <w:rPr>
          <w:rFonts w:eastAsia="Calibri"/>
        </w:rPr>
        <w:t xml:space="preserve">between FDA and the National Library of Medicine will be an innovative means of </w:t>
      </w:r>
      <w:r>
        <w:rPr>
          <w:rFonts w:eastAsia="Calibri"/>
        </w:rPr>
        <w:t xml:space="preserve">electronically </w:t>
      </w:r>
      <w:r w:rsidRPr="00C02B6B">
        <w:rPr>
          <w:rFonts w:eastAsia="Calibri"/>
        </w:rPr>
        <w:t xml:space="preserve">disseminating up-to-date and comprehensive medication information </w:t>
      </w:r>
      <w:r w:rsidR="007D31AC">
        <w:rPr>
          <w:rFonts w:eastAsia="Calibri"/>
        </w:rPr>
        <w:t>to</w:t>
      </w:r>
      <w:r w:rsidRPr="00C02B6B">
        <w:rPr>
          <w:rFonts w:eastAsia="Calibri"/>
        </w:rPr>
        <w:t xml:space="preserve"> use in information systems that support patient care. </w:t>
      </w:r>
      <w:r w:rsidR="007D31AC">
        <w:rPr>
          <w:rFonts w:eastAsia="Calibri"/>
        </w:rPr>
        <w:t xml:space="preserve"> </w:t>
      </w:r>
      <w:r w:rsidRPr="00C02B6B">
        <w:rPr>
          <w:rFonts w:eastAsia="Calibri"/>
        </w:rPr>
        <w:t xml:space="preserve">The </w:t>
      </w:r>
      <w:r w:rsidRPr="00C02B6B">
        <w:rPr>
          <w:rFonts w:eastAsia="Calibri"/>
        </w:rPr>
        <w:t>DailyMed</w:t>
      </w:r>
      <w:r w:rsidRPr="00C02B6B">
        <w:rPr>
          <w:rFonts w:eastAsia="Calibri"/>
        </w:rPr>
        <w:t xml:space="preserve"> make</w:t>
      </w:r>
      <w:r w:rsidR="007D31AC">
        <w:rPr>
          <w:rFonts w:eastAsia="Calibri"/>
        </w:rPr>
        <w:t>s</w:t>
      </w:r>
      <w:r w:rsidRPr="00C02B6B">
        <w:rPr>
          <w:rFonts w:eastAsia="Calibri"/>
        </w:rPr>
        <w:t xml:space="preserve"> current information</w:t>
      </w:r>
      <w:r>
        <w:rPr>
          <w:rFonts w:eastAsia="Calibri"/>
        </w:rPr>
        <w:t xml:space="preserve"> </w:t>
      </w:r>
      <w:r w:rsidRPr="00C02B6B">
        <w:rPr>
          <w:rFonts w:eastAsia="Calibri"/>
        </w:rPr>
        <w:t xml:space="preserve">about FDA-regulated products readily available to physicians, other health care practitioners, and patients.  In addition, </w:t>
      </w:r>
      <w:r w:rsidR="007D31AC">
        <w:rPr>
          <w:rFonts w:eastAsia="Calibri"/>
        </w:rPr>
        <w:t xml:space="preserve">manufacturers can use the new format for </w:t>
      </w:r>
      <w:r w:rsidRPr="00C02B6B">
        <w:rPr>
          <w:rFonts w:eastAsia="Calibri"/>
        </w:rPr>
        <w:t>prescription drug labeling with electronic prescribing systems under development</w:t>
      </w:r>
      <w:r w:rsidRPr="001F1BD6">
        <w:rPr>
          <w:rFonts w:eastAsia="Calibri"/>
        </w:rPr>
        <w:t>.</w:t>
      </w:r>
    </w:p>
    <w:p w:rsidR="00357C8A" w:rsidRPr="00357C8A" w:rsidP="0066261B" w14:paraId="3CA1CE34" w14:textId="77777777">
      <w:pPr>
        <w:numPr>
          <w:ilvl w:val="0"/>
          <w:numId w:val="6"/>
        </w:numPr>
        <w:spacing w:after="200"/>
        <w:rPr>
          <w:rFonts w:eastAsia="Calibri"/>
          <w:u w:val="single"/>
        </w:rPr>
      </w:pPr>
      <w:r w:rsidRPr="00357C8A">
        <w:rPr>
          <w:rFonts w:eastAsia="Calibri"/>
          <w:u w:val="single"/>
        </w:rPr>
        <w:t>Use of Improved Information Technology and Burden Reduction</w:t>
      </w:r>
    </w:p>
    <w:p w:rsidR="007D31AC" w:rsidP="0066261B" w14:paraId="26707CFB" w14:textId="16B77C93">
      <w:pPr>
        <w:autoSpaceDE w:val="0"/>
        <w:autoSpaceDN w:val="0"/>
        <w:adjustRightInd w:val="0"/>
        <w:rPr>
          <w:rFonts w:eastAsia="Calibri"/>
        </w:rPr>
      </w:pPr>
      <w:r>
        <w:rPr>
          <w:rFonts w:eastAsia="Calibri"/>
        </w:rPr>
        <w:t>Manufacturers submit d</w:t>
      </w:r>
      <w:r w:rsidRPr="007D31AC">
        <w:rPr>
          <w:rFonts w:eastAsia="Calibri"/>
        </w:rPr>
        <w:t xml:space="preserve">rug product labeling to FDA for approval as part of a new drug application (NDA), an abbreviated new drug application (ANDA), a biologics license application (BLA), or a supplement to an application.  </w:t>
      </w:r>
      <w:r>
        <w:rPr>
          <w:rFonts w:eastAsia="Calibri"/>
        </w:rPr>
        <w:t xml:space="preserve">Manufacturers </w:t>
      </w:r>
      <w:r w:rsidRPr="007D31AC">
        <w:rPr>
          <w:rFonts w:eastAsia="Calibri"/>
        </w:rPr>
        <w:t>electronically</w:t>
      </w:r>
      <w:r>
        <w:rPr>
          <w:rFonts w:eastAsia="Calibri"/>
        </w:rPr>
        <w:t xml:space="preserve"> report t</w:t>
      </w:r>
      <w:r w:rsidRPr="007D31AC">
        <w:rPr>
          <w:rFonts w:eastAsia="Calibri"/>
        </w:rPr>
        <w:t xml:space="preserve">hese applications and associated submissions.  </w:t>
      </w:r>
    </w:p>
    <w:p w:rsidR="007D31AC" w:rsidP="0066261B" w14:paraId="447765BA" w14:textId="77777777">
      <w:pPr>
        <w:rPr>
          <w:rFonts w:eastAsia="Calibri"/>
        </w:rPr>
      </w:pPr>
    </w:p>
    <w:p w:rsidR="00F20524" w14:paraId="7D6973B7" w14:textId="77777777">
      <w:pPr>
        <w:rPr>
          <w:rFonts w:eastAsia="Calibri"/>
          <w:u w:val="single"/>
        </w:rPr>
      </w:pPr>
      <w:r>
        <w:rPr>
          <w:rFonts w:eastAsia="Calibri"/>
          <w:u w:val="single"/>
        </w:rPr>
        <w:br w:type="page"/>
      </w:r>
    </w:p>
    <w:p w:rsidR="00357C8A" w:rsidRPr="00357C8A" w:rsidP="0066261B" w14:paraId="3386616B" w14:textId="4D70DA09">
      <w:pPr>
        <w:numPr>
          <w:ilvl w:val="0"/>
          <w:numId w:val="6"/>
        </w:numPr>
        <w:spacing w:after="200"/>
        <w:rPr>
          <w:rFonts w:eastAsia="Calibri"/>
        </w:rPr>
      </w:pPr>
      <w:r w:rsidRPr="00357C8A">
        <w:rPr>
          <w:rFonts w:eastAsia="Calibri"/>
          <w:u w:val="single"/>
        </w:rPr>
        <w:t xml:space="preserve">Efforts to Identify Duplication and Use of Similar Information </w:t>
      </w:r>
    </w:p>
    <w:p w:rsidR="00BE164D" w:rsidP="0066261B" w14:paraId="45541F56" w14:textId="518A78F9">
      <w:pPr>
        <w:spacing w:after="200"/>
      </w:pPr>
      <w:r>
        <w:t>We are unaware of duplicative information collection, although we have established information collection</w:t>
      </w:r>
      <w:r w:rsidR="00E62640">
        <w:t xml:space="preserve"> in </w:t>
      </w:r>
      <w:r w:rsidR="00066B44">
        <w:t>control no.</w:t>
      </w:r>
      <w:r>
        <w:t xml:space="preserve"> 0910-0340 </w:t>
      </w:r>
      <w:r w:rsidR="00066B44">
        <w:t xml:space="preserve">to account for burden attributable to </w:t>
      </w:r>
      <w:r>
        <w:t>over-the-counter labeling</w:t>
      </w:r>
      <w:r w:rsidR="00066B44">
        <w:t xml:space="preserve"> requirements</w:t>
      </w:r>
      <w:r w:rsidR="00E715A0">
        <w:t>.</w:t>
      </w:r>
      <w:r w:rsidR="00BB3E3F">
        <w:t xml:space="preserve">  Additionally, labeling requirements are found in a number of FDA regulations</w:t>
      </w:r>
      <w:r w:rsidR="002B1CEC">
        <w:t>.</w:t>
      </w:r>
      <w:r>
        <w:t xml:space="preserve"> </w:t>
      </w:r>
    </w:p>
    <w:p w:rsidR="00357C8A" w:rsidRPr="00357C8A" w:rsidP="0066261B" w14:paraId="4742FB6F" w14:textId="77777777">
      <w:pPr>
        <w:numPr>
          <w:ilvl w:val="0"/>
          <w:numId w:val="6"/>
        </w:numPr>
        <w:spacing w:after="200"/>
        <w:rPr>
          <w:rFonts w:eastAsia="Calibri"/>
        </w:rPr>
      </w:pPr>
      <w:r w:rsidRPr="00357C8A">
        <w:rPr>
          <w:rFonts w:eastAsia="Calibri"/>
          <w:u w:val="single"/>
        </w:rPr>
        <w:t>Impact on Small Businesses or Other Small Entities</w:t>
      </w:r>
    </w:p>
    <w:p w:rsidR="00357C8A" w:rsidP="0066261B" w14:paraId="6FB4BF51" w14:textId="6B88A02E">
      <w:pPr>
        <w:rPr>
          <w:rFonts w:eastAsia="Calibri"/>
        </w:rPr>
      </w:pPr>
      <w:r>
        <w:rPr>
          <w:rFonts w:eastAsia="Calibri"/>
        </w:rPr>
        <w:t xml:space="preserve">We do not </w:t>
      </w:r>
      <w:r w:rsidR="00866EAC">
        <w:rPr>
          <w:rFonts w:eastAsia="Calibri"/>
        </w:rPr>
        <w:t xml:space="preserve">believe the </w:t>
      </w:r>
      <w:r w:rsidRPr="00FC52D9" w:rsidR="00FC52D9">
        <w:rPr>
          <w:rFonts w:eastAsia="Calibri"/>
        </w:rPr>
        <w:t>information collection impose</w:t>
      </w:r>
      <w:r w:rsidR="00866EAC">
        <w:rPr>
          <w:rFonts w:eastAsia="Calibri"/>
        </w:rPr>
        <w:t>s</w:t>
      </w:r>
      <w:r w:rsidRPr="00FC52D9" w:rsidR="00FC52D9">
        <w:rPr>
          <w:rFonts w:eastAsia="Calibri"/>
        </w:rPr>
        <w:t xml:space="preserve"> undue burden on small entities. </w:t>
      </w:r>
      <w:r w:rsidR="00FC52D9">
        <w:rPr>
          <w:rFonts w:eastAsia="Calibri"/>
        </w:rPr>
        <w:t xml:space="preserve"> Manufacturers</w:t>
      </w:r>
      <w:r w:rsidRPr="00FC52D9" w:rsidR="00FC52D9">
        <w:rPr>
          <w:rFonts w:eastAsia="Calibri"/>
        </w:rPr>
        <w:t xml:space="preserve"> provide labeling information to FDA as part of the </w:t>
      </w:r>
      <w:r w:rsidR="00FC52D9">
        <w:rPr>
          <w:rFonts w:eastAsia="Calibri"/>
        </w:rPr>
        <w:t xml:space="preserve">review for </w:t>
      </w:r>
      <w:r w:rsidRPr="00FC52D9" w:rsidR="00FC52D9">
        <w:rPr>
          <w:rFonts w:eastAsia="Calibri"/>
        </w:rPr>
        <w:t>drug</w:t>
      </w:r>
      <w:r w:rsidR="00FC52D9">
        <w:rPr>
          <w:rFonts w:eastAsia="Calibri"/>
        </w:rPr>
        <w:t>s</w:t>
      </w:r>
      <w:r w:rsidRPr="00FC52D9" w:rsidR="00FC52D9">
        <w:rPr>
          <w:rFonts w:eastAsia="Calibri"/>
        </w:rPr>
        <w:t xml:space="preserve"> and biological product</w:t>
      </w:r>
      <w:r w:rsidR="00FC52D9">
        <w:rPr>
          <w:rFonts w:eastAsia="Calibri"/>
        </w:rPr>
        <w:t>s</w:t>
      </w:r>
      <w:r w:rsidRPr="00FC52D9" w:rsidR="00FC52D9">
        <w:rPr>
          <w:rFonts w:eastAsia="Calibri"/>
        </w:rPr>
        <w:t xml:space="preserve"> application review process.</w:t>
      </w:r>
    </w:p>
    <w:p w:rsidR="00FC52D9" w:rsidRPr="00357C8A" w:rsidP="0066261B" w14:paraId="041C7925" w14:textId="77777777">
      <w:pPr>
        <w:rPr>
          <w:rFonts w:eastAsia="Calibri"/>
        </w:rPr>
      </w:pPr>
    </w:p>
    <w:p w:rsidR="00357C8A" w:rsidRPr="00357C8A" w:rsidP="0066261B" w14:paraId="53603783" w14:textId="77777777">
      <w:pPr>
        <w:numPr>
          <w:ilvl w:val="0"/>
          <w:numId w:val="6"/>
        </w:numPr>
        <w:spacing w:after="200"/>
        <w:rPr>
          <w:rFonts w:eastAsia="Calibri"/>
          <w:u w:val="single"/>
        </w:rPr>
      </w:pPr>
      <w:r w:rsidRPr="00357C8A">
        <w:rPr>
          <w:rFonts w:eastAsia="Calibri"/>
          <w:u w:val="single"/>
        </w:rPr>
        <w:t>Consequences of Collecting the Information Less Frequently</w:t>
      </w:r>
    </w:p>
    <w:p w:rsidR="00357C8A" w:rsidP="0066261B" w14:paraId="2D3E89D6" w14:textId="53123218">
      <w:pPr>
        <w:spacing w:after="200"/>
        <w:rPr>
          <w:rFonts w:eastAsia="Calibri"/>
        </w:rPr>
      </w:pPr>
      <w:r w:rsidRPr="006C1864">
        <w:rPr>
          <w:rFonts w:eastAsia="Calibri"/>
        </w:rPr>
        <w:t>Th</w:t>
      </w:r>
      <w:r w:rsidR="001F1BD6">
        <w:rPr>
          <w:rFonts w:eastAsia="Calibri"/>
        </w:rPr>
        <w:t>is</w:t>
      </w:r>
      <w:r w:rsidRPr="006C1864">
        <w:rPr>
          <w:rFonts w:eastAsia="Calibri"/>
        </w:rPr>
        <w:t xml:space="preserve"> information collection schedule is consistent with the statutory and regulatory</w:t>
      </w:r>
      <w:r w:rsidR="00E715A0">
        <w:rPr>
          <w:rFonts w:eastAsia="Calibri"/>
        </w:rPr>
        <w:t xml:space="preserve"> requirements</w:t>
      </w:r>
      <w:r w:rsidRPr="006C1864">
        <w:rPr>
          <w:rFonts w:eastAsia="Calibri"/>
        </w:rPr>
        <w:t>.</w:t>
      </w:r>
      <w:r w:rsidR="007C31F5">
        <w:rPr>
          <w:rFonts w:eastAsia="Calibri"/>
        </w:rPr>
        <w:t xml:space="preserve">  There are no legal obstacles to reducing </w:t>
      </w:r>
      <w:r w:rsidR="00FD64E3">
        <w:rPr>
          <w:rFonts w:eastAsia="Calibri"/>
        </w:rPr>
        <w:t>burden.  Respondents initiate submission and include labeling information as part of product marketing applications.</w:t>
      </w:r>
    </w:p>
    <w:p w:rsidR="00357C8A" w:rsidRPr="00357C8A" w:rsidP="0066261B" w14:paraId="533AAA23" w14:textId="77777777">
      <w:pPr>
        <w:numPr>
          <w:ilvl w:val="0"/>
          <w:numId w:val="6"/>
        </w:numPr>
        <w:spacing w:after="200"/>
        <w:rPr>
          <w:rFonts w:eastAsia="Calibri"/>
        </w:rPr>
      </w:pPr>
      <w:r w:rsidRPr="00357C8A">
        <w:rPr>
          <w:rFonts w:eastAsia="Calibri"/>
          <w:u w:val="single"/>
        </w:rPr>
        <w:t>Special Circumstances Relating to the Guidelines of 5 CFR 1320.5</w:t>
      </w:r>
    </w:p>
    <w:p w:rsidR="006C1864" w:rsidP="0066261B" w14:paraId="0C9DE0ED" w14:textId="77777777">
      <w:pPr>
        <w:spacing w:after="200"/>
        <w:rPr>
          <w:rFonts w:eastAsia="Calibri"/>
        </w:rPr>
      </w:pPr>
      <w:r>
        <w:rPr>
          <w:rFonts w:eastAsia="Calibri"/>
        </w:rPr>
        <w:t xml:space="preserve">No </w:t>
      </w:r>
      <w:r w:rsidRPr="006C1864">
        <w:rPr>
          <w:rFonts w:eastAsia="Calibri"/>
        </w:rPr>
        <w:t xml:space="preserve">special circumstances </w:t>
      </w:r>
      <w:r>
        <w:rPr>
          <w:rFonts w:eastAsia="Calibri"/>
        </w:rPr>
        <w:t>apply to this</w:t>
      </w:r>
      <w:r w:rsidRPr="006C1864">
        <w:rPr>
          <w:rFonts w:eastAsia="Calibri"/>
        </w:rPr>
        <w:t xml:space="preserve"> collection of information.</w:t>
      </w:r>
    </w:p>
    <w:p w:rsidR="00357C8A" w:rsidRPr="006C1864" w:rsidP="0066261B" w14:paraId="1FCAA044" w14:textId="77777777">
      <w:pPr>
        <w:numPr>
          <w:ilvl w:val="0"/>
          <w:numId w:val="6"/>
        </w:numPr>
        <w:spacing w:after="200"/>
        <w:rPr>
          <w:rFonts w:eastAsia="Calibri"/>
        </w:rPr>
      </w:pPr>
      <w:r w:rsidRPr="00357C8A">
        <w:rPr>
          <w:rFonts w:eastAsia="Calibri"/>
          <w:u w:val="single"/>
        </w:rPr>
        <w:t>Comments in Response to the Federal Register Notice and Efforts to Consult Outside the Agency</w:t>
      </w:r>
    </w:p>
    <w:p w:rsidR="00E063AE" w:rsidP="00E063AE" w14:paraId="152BB9B9" w14:textId="77777777">
      <w:pPr>
        <w:spacing w:after="200"/>
        <w:rPr>
          <w:color w:val="000000" w:themeColor="text1"/>
        </w:rPr>
      </w:pPr>
      <w:r w:rsidRPr="00F23844">
        <w:rPr>
          <w:rFonts w:eastAsia="Calibri"/>
        </w:rPr>
        <w:t xml:space="preserve">In </w:t>
      </w:r>
      <w:r>
        <w:rPr>
          <w:rFonts w:eastAsia="Calibri"/>
        </w:rPr>
        <w:t xml:space="preserve">accordance with 5 CFR 1320.8(d), we published a 60-day notice in </w:t>
      </w:r>
      <w:r w:rsidRPr="00F23844">
        <w:rPr>
          <w:rFonts w:eastAsia="Calibri"/>
        </w:rPr>
        <w:t xml:space="preserve">the </w:t>
      </w:r>
      <w:r w:rsidRPr="00F23844">
        <w:rPr>
          <w:rFonts w:eastAsia="Calibri"/>
          <w:i/>
          <w:iCs/>
        </w:rPr>
        <w:t>Federal Register</w:t>
      </w:r>
      <w:r w:rsidRPr="00F23844">
        <w:rPr>
          <w:rFonts w:eastAsia="Calibri"/>
        </w:rPr>
        <w:t xml:space="preserve"> of September 19, 2024 (89 FR 76853), requesting public comment on the proposed collection of information.  Although two comments were received, they were not responsive to the four collection of information topics solicited.  </w:t>
      </w:r>
      <w:r>
        <w:rPr>
          <w:rFonts w:eastAsia="Calibri"/>
        </w:rPr>
        <w:t xml:space="preserve">In accordance with 5 CFR 1320.5(a)(1)(vi), a 30-day notice is scheduled </w:t>
      </w:r>
      <w:r w:rsidRPr="00BE164D">
        <w:rPr>
          <w:rFonts w:eastAsia="Calibri"/>
        </w:rPr>
        <w:t>for public</w:t>
      </w:r>
      <w:r>
        <w:rPr>
          <w:rFonts w:eastAsia="Calibri"/>
        </w:rPr>
        <w:t xml:space="preserve">ation in </w:t>
      </w:r>
      <w:r w:rsidRPr="00BE164D">
        <w:rPr>
          <w:rFonts w:eastAsia="Calibri"/>
        </w:rPr>
        <w:t xml:space="preserve">the </w:t>
      </w:r>
      <w:r w:rsidRPr="00BE164D">
        <w:rPr>
          <w:rFonts w:eastAsia="Calibri"/>
          <w:i/>
          <w:iCs/>
        </w:rPr>
        <w:t>Federal Register</w:t>
      </w:r>
      <w:r>
        <w:rPr>
          <w:rFonts w:eastAsia="Calibri"/>
        </w:rPr>
        <w:t xml:space="preserve"> on February 3, 2025, having been inadvertently delayed due to unforeseen circumstances.  Because the information collection activities cover a range of critical public health programs, we obtained OMB permission to submit the ICR in advance of this date.  </w:t>
      </w:r>
      <w:r w:rsidRPr="001D5121">
        <w:rPr>
          <w:rFonts w:eastAsia="Calibri"/>
        </w:rPr>
        <w:t xml:space="preserve">OMB has not waived </w:t>
      </w:r>
      <w:r>
        <w:rPr>
          <w:rFonts w:eastAsia="Calibri"/>
        </w:rPr>
        <w:t xml:space="preserve">publication </w:t>
      </w:r>
      <w:r w:rsidRPr="001D5121">
        <w:rPr>
          <w:rFonts w:eastAsia="Calibri"/>
        </w:rPr>
        <w:t>requirements under 5 CFR 1320.5(a)(1)(iv).</w:t>
      </w:r>
    </w:p>
    <w:p w:rsidR="00357C8A" w:rsidRPr="00357C8A" w:rsidP="0066261B" w14:paraId="4B62119C" w14:textId="77777777">
      <w:pPr>
        <w:numPr>
          <w:ilvl w:val="0"/>
          <w:numId w:val="6"/>
        </w:numPr>
        <w:spacing w:after="200"/>
        <w:rPr>
          <w:rFonts w:eastAsia="Calibri"/>
        </w:rPr>
      </w:pPr>
      <w:r w:rsidRPr="00357C8A">
        <w:rPr>
          <w:rFonts w:eastAsia="Calibri"/>
          <w:u w:val="single"/>
        </w:rPr>
        <w:t>Explanation of Any Payment or Gift to Respondents</w:t>
      </w:r>
    </w:p>
    <w:p w:rsidR="00357C8A" w:rsidRPr="001F1BD6" w:rsidP="0066261B" w14:paraId="0C4A60FF" w14:textId="77777777">
      <w:pPr>
        <w:spacing w:after="200"/>
        <w:rPr>
          <w:rFonts w:eastAsia="Calibri"/>
        </w:rPr>
      </w:pPr>
      <w:r>
        <w:rPr>
          <w:rFonts w:eastAsia="Calibri"/>
        </w:rPr>
        <w:t xml:space="preserve">We do not provide </w:t>
      </w:r>
      <w:r w:rsidRPr="006C1864" w:rsidR="006C1864">
        <w:rPr>
          <w:rFonts w:eastAsia="Calibri"/>
        </w:rPr>
        <w:t>payment</w:t>
      </w:r>
      <w:r>
        <w:rPr>
          <w:rFonts w:eastAsia="Calibri"/>
        </w:rPr>
        <w:t>s</w:t>
      </w:r>
      <w:r w:rsidRPr="006C1864" w:rsidR="006C1864">
        <w:rPr>
          <w:rFonts w:eastAsia="Calibri"/>
        </w:rPr>
        <w:t xml:space="preserve"> or gift</w:t>
      </w:r>
      <w:r>
        <w:rPr>
          <w:rFonts w:eastAsia="Calibri"/>
        </w:rPr>
        <w:t>s</w:t>
      </w:r>
      <w:r w:rsidRPr="006C1864" w:rsidR="006C1864">
        <w:rPr>
          <w:rFonts w:eastAsia="Calibri"/>
        </w:rPr>
        <w:t xml:space="preserve"> </w:t>
      </w:r>
      <w:r>
        <w:rPr>
          <w:rFonts w:eastAsia="Calibri"/>
        </w:rPr>
        <w:t>t</w:t>
      </w:r>
      <w:r w:rsidRPr="006C1864" w:rsidR="006C1864">
        <w:rPr>
          <w:rFonts w:eastAsia="Calibri"/>
        </w:rPr>
        <w:t>o respondents.</w:t>
      </w:r>
    </w:p>
    <w:p w:rsidR="00357C8A" w:rsidRPr="00357C8A" w:rsidP="0066261B" w14:paraId="1C77C984" w14:textId="77777777">
      <w:pPr>
        <w:numPr>
          <w:ilvl w:val="0"/>
          <w:numId w:val="6"/>
        </w:numPr>
        <w:spacing w:after="200"/>
        <w:rPr>
          <w:rFonts w:eastAsia="Calibri"/>
        </w:rPr>
      </w:pPr>
      <w:r w:rsidRPr="00357C8A">
        <w:rPr>
          <w:rFonts w:eastAsia="Calibri"/>
          <w:u w:val="single"/>
        </w:rPr>
        <w:t>Assurance of Confidentiality Provided to Respondents</w:t>
      </w:r>
    </w:p>
    <w:p w:rsidR="002B1CEC" w:rsidRPr="00CE09DC" w:rsidP="0066261B" w14:paraId="2417C6CC" w14:textId="77777777">
      <w:pPr>
        <w:rPr>
          <w:rFonts w:eastAsia="Calibri"/>
          <w:i/>
          <w:iCs/>
        </w:rPr>
      </w:pPr>
      <w:r w:rsidRPr="00CE09DC">
        <w:rPr>
          <w:rFonts w:eastAsia="Calibri"/>
          <w:i/>
          <w:iCs/>
        </w:rPr>
        <w:t>The Privacy Act of 1974</w:t>
      </w:r>
    </w:p>
    <w:p w:rsidR="002B1CEC" w:rsidP="0066261B" w14:paraId="09839306" w14:textId="77777777">
      <w:pPr>
        <w:rPr>
          <w:rFonts w:eastAsia="Calibri"/>
        </w:rPr>
      </w:pPr>
    </w:p>
    <w:p w:rsidR="001F1BD6" w:rsidRPr="001F1BD6" w:rsidP="0066261B" w14:paraId="2A33469A" w14:textId="3F3258C0">
      <w:pPr>
        <w:rPr>
          <w:rFonts w:eastAsia="Calibri"/>
        </w:rPr>
      </w:pPr>
      <w:r w:rsidRPr="001F1BD6">
        <w:rPr>
          <w:rFonts w:eastAsia="Calibri"/>
        </w:rPr>
        <w:t xml:space="preserve">In preparing this </w:t>
      </w:r>
      <w:r w:rsidR="00653717">
        <w:rPr>
          <w:rFonts w:eastAsia="Calibri"/>
        </w:rPr>
        <w:t>s</w:t>
      </w:r>
      <w:r w:rsidRPr="001F1BD6">
        <w:rPr>
          <w:rFonts w:eastAsia="Calibri"/>
        </w:rPr>
        <w:t xml:space="preserve">upporting </w:t>
      </w:r>
      <w:r w:rsidR="00653717">
        <w:rPr>
          <w:rFonts w:eastAsia="Calibri"/>
        </w:rPr>
        <w:t>s</w:t>
      </w:r>
      <w:r w:rsidRPr="001F1BD6">
        <w:rPr>
          <w:rFonts w:eastAsia="Calibri"/>
        </w:rPr>
        <w:t xml:space="preserve">tatement, we consulted </w:t>
      </w:r>
      <w:r w:rsidR="00653717">
        <w:rPr>
          <w:rFonts w:eastAsia="Calibri"/>
        </w:rPr>
        <w:t xml:space="preserve">our </w:t>
      </w:r>
      <w:r w:rsidRPr="001F1BD6">
        <w:rPr>
          <w:rFonts w:eastAsia="Calibri"/>
        </w:rPr>
        <w:t xml:space="preserve">Privacy Office to ensure </w:t>
      </w:r>
      <w:r>
        <w:rPr>
          <w:rFonts w:eastAsia="Calibri"/>
        </w:rPr>
        <w:t xml:space="preserve">the </w:t>
      </w:r>
      <w:r w:rsidRPr="001F1BD6">
        <w:rPr>
          <w:rFonts w:eastAsia="Calibri"/>
        </w:rPr>
        <w:t xml:space="preserve">appropriate identification and handling of </w:t>
      </w:r>
      <w:r>
        <w:rPr>
          <w:rFonts w:eastAsia="Calibri"/>
        </w:rPr>
        <w:t xml:space="preserve">the </w:t>
      </w:r>
      <w:r w:rsidRPr="001F1BD6">
        <w:rPr>
          <w:rFonts w:eastAsia="Calibri"/>
        </w:rPr>
        <w:t xml:space="preserve">information </w:t>
      </w:r>
      <w:r>
        <w:rPr>
          <w:rFonts w:eastAsia="Calibri"/>
        </w:rPr>
        <w:t xml:space="preserve">FDA is </w:t>
      </w:r>
      <w:r w:rsidRPr="001F1BD6">
        <w:rPr>
          <w:rFonts w:eastAsia="Calibri"/>
        </w:rPr>
        <w:t>collect</w:t>
      </w:r>
      <w:r>
        <w:rPr>
          <w:rFonts w:eastAsia="Calibri"/>
        </w:rPr>
        <w:t>ing</w:t>
      </w:r>
      <w:r w:rsidRPr="001F1BD6">
        <w:rPr>
          <w:rFonts w:eastAsia="Calibri"/>
        </w:rPr>
        <w:t>.</w:t>
      </w:r>
      <w:r w:rsidR="00653717">
        <w:rPr>
          <w:rFonts w:eastAsia="Calibri"/>
        </w:rPr>
        <w:t xml:space="preserve">  </w:t>
      </w:r>
      <w:r w:rsidR="00516F70">
        <w:rPr>
          <w:rFonts w:eastAsia="Calibri"/>
        </w:rPr>
        <w:t xml:space="preserve">We conclude that </w:t>
      </w:r>
      <w:r w:rsidRPr="001F1BD6">
        <w:rPr>
          <w:rFonts w:eastAsia="Calibri"/>
        </w:rPr>
        <w:t xml:space="preserve">personally identifiable information (PII) </w:t>
      </w:r>
      <w:r w:rsidR="00653717">
        <w:rPr>
          <w:rFonts w:eastAsia="Calibri"/>
        </w:rPr>
        <w:t xml:space="preserve">is collected </w:t>
      </w:r>
      <w:r w:rsidRPr="001F1BD6">
        <w:rPr>
          <w:rFonts w:eastAsia="Calibri"/>
        </w:rPr>
        <w:t>in the context of the subject individuals’ professional capacity and the FDA-related work perform</w:t>
      </w:r>
      <w:r w:rsidR="00516F70">
        <w:rPr>
          <w:rFonts w:eastAsia="Calibri"/>
        </w:rPr>
        <w:t>ed</w:t>
      </w:r>
      <w:r w:rsidRPr="001F1BD6">
        <w:rPr>
          <w:rFonts w:eastAsia="Calibri"/>
        </w:rPr>
        <w:t xml:space="preserve"> for their employer (for example, </w:t>
      </w:r>
      <w:r>
        <w:rPr>
          <w:rFonts w:eastAsia="Calibri"/>
        </w:rPr>
        <w:t xml:space="preserve">the </w:t>
      </w:r>
      <w:r w:rsidRPr="001F1BD6">
        <w:rPr>
          <w:rFonts w:eastAsia="Calibri"/>
        </w:rPr>
        <w:t>point of contact at a regulated entity).</w:t>
      </w:r>
      <w:r w:rsidR="00516F70">
        <w:rPr>
          <w:rFonts w:eastAsia="Calibri"/>
        </w:rPr>
        <w:t xml:space="preserve">  </w:t>
      </w:r>
      <w:r w:rsidRPr="001F1BD6">
        <w:rPr>
          <w:rFonts w:eastAsia="Calibri"/>
        </w:rPr>
        <w:t xml:space="preserve">The PII </w:t>
      </w:r>
      <w:r w:rsidR="00516F70">
        <w:rPr>
          <w:rFonts w:eastAsia="Calibri"/>
        </w:rPr>
        <w:t xml:space="preserve">is </w:t>
      </w:r>
      <w:r w:rsidRPr="001F1BD6">
        <w:rPr>
          <w:rFonts w:eastAsia="Calibri"/>
        </w:rPr>
        <w:t xml:space="preserve">submitted </w:t>
      </w:r>
      <w:r w:rsidR="004F77F7">
        <w:rPr>
          <w:rFonts w:eastAsia="Calibri"/>
        </w:rPr>
        <w:t>using</w:t>
      </w:r>
      <w:r w:rsidRPr="001F1BD6">
        <w:rPr>
          <w:rFonts w:eastAsia="Calibri"/>
        </w:rPr>
        <w:t xml:space="preserve"> Form </w:t>
      </w:r>
      <w:r w:rsidR="00BD2B71">
        <w:rPr>
          <w:rFonts w:eastAsia="Calibri"/>
        </w:rPr>
        <w:t xml:space="preserve">FDA </w:t>
      </w:r>
      <w:r w:rsidRPr="001F1BD6">
        <w:rPr>
          <w:rFonts w:eastAsia="Calibri"/>
        </w:rPr>
        <w:t>356h</w:t>
      </w:r>
      <w:r w:rsidR="00BD2B71">
        <w:rPr>
          <w:rFonts w:eastAsia="Calibri"/>
        </w:rPr>
        <w:t xml:space="preserve"> (</w:t>
      </w:r>
      <w:r w:rsidRPr="001F1BD6">
        <w:rPr>
          <w:rFonts w:eastAsia="Calibri"/>
        </w:rPr>
        <w:t>Application to Market a New or Abbreviated New Drug for Human Use</w:t>
      </w:r>
      <w:r w:rsidR="00BD2B71">
        <w:rPr>
          <w:rFonts w:eastAsia="Calibri"/>
        </w:rPr>
        <w:t xml:space="preserve"> </w:t>
      </w:r>
      <w:hyperlink r:id="rId6" w:history="1">
        <w:r w:rsidRPr="00556299" w:rsidR="004F77F7">
          <w:rPr>
            <w:rStyle w:val="Hyperlink"/>
            <w:rFonts w:eastAsia="Calibri"/>
          </w:rPr>
          <w:t>https://www.fda.gov/media/86080/download</w:t>
        </w:r>
      </w:hyperlink>
      <w:r w:rsidR="004F77F7">
        <w:rPr>
          <w:rFonts w:eastAsia="Calibri"/>
        </w:rPr>
        <w:t>)</w:t>
      </w:r>
      <w:r>
        <w:rPr>
          <w:rFonts w:eastAsia="Calibri"/>
        </w:rPr>
        <w:t>,</w:t>
      </w:r>
      <w:r w:rsidRPr="001F1BD6">
        <w:rPr>
          <w:rFonts w:eastAsia="Calibri"/>
        </w:rPr>
        <w:t xml:space="preserve"> </w:t>
      </w:r>
      <w:r w:rsidR="00BD2B71">
        <w:rPr>
          <w:rFonts w:eastAsia="Calibri"/>
        </w:rPr>
        <w:t xml:space="preserve">and </w:t>
      </w:r>
      <w:r w:rsidR="006D4043">
        <w:rPr>
          <w:rFonts w:eastAsia="Calibri"/>
        </w:rPr>
        <w:t xml:space="preserve">includes </w:t>
      </w:r>
      <w:r w:rsidR="004F77F7">
        <w:rPr>
          <w:rFonts w:eastAsia="Calibri"/>
        </w:rPr>
        <w:t xml:space="preserve">the </w:t>
      </w:r>
      <w:r w:rsidRPr="001F1BD6">
        <w:rPr>
          <w:rFonts w:eastAsia="Calibri"/>
        </w:rPr>
        <w:t>name, work email address, work telephone numbers, work address</w:t>
      </w:r>
      <w:r>
        <w:rPr>
          <w:rFonts w:eastAsia="Calibri"/>
        </w:rPr>
        <w:t>,</w:t>
      </w:r>
      <w:r w:rsidRPr="001F1BD6">
        <w:rPr>
          <w:rFonts w:eastAsia="Calibri"/>
        </w:rPr>
        <w:t xml:space="preserve"> and work fax telephone number for the primary contact at a business.  Other information FDA receives through Form 356h includes potentially identifying work information including job title, credentials, and the country of the contact.</w:t>
      </w:r>
    </w:p>
    <w:p w:rsidR="001F1BD6" w:rsidRPr="001F1BD6" w:rsidP="0066261B" w14:paraId="0C2853D8" w14:textId="77777777">
      <w:pPr>
        <w:rPr>
          <w:rFonts w:eastAsia="Calibri"/>
        </w:rPr>
      </w:pPr>
    </w:p>
    <w:p w:rsidR="00CE09DC" w:rsidP="0066261B" w14:paraId="3D43EA5B" w14:textId="76A46C4C">
      <w:pPr>
        <w:rPr>
          <w:rFonts w:eastAsia="Calibri"/>
        </w:rPr>
      </w:pPr>
      <w:r w:rsidRPr="00CE09DC">
        <w:rPr>
          <w:rFonts w:eastAsia="Calibri"/>
          <w:i/>
          <w:iCs/>
        </w:rPr>
        <w:t>T</w:t>
      </w:r>
      <w:r w:rsidRPr="00CE09DC" w:rsidR="001F1BD6">
        <w:rPr>
          <w:rFonts w:eastAsia="Calibri"/>
          <w:i/>
          <w:iCs/>
        </w:rPr>
        <w:t xml:space="preserve">he Freedom of Information Act (FOIA) </w:t>
      </w:r>
    </w:p>
    <w:p w:rsidR="00AC1963" w:rsidP="0066261B" w14:paraId="4CA9E8AB" w14:textId="77777777">
      <w:pPr>
        <w:rPr>
          <w:rFonts w:eastAsia="Calibri"/>
        </w:rPr>
      </w:pPr>
    </w:p>
    <w:p w:rsidR="001F1BD6" w:rsidRPr="00CE09DC" w:rsidP="0066261B" w14:paraId="02254D67" w14:textId="756F5F5A">
      <w:pPr>
        <w:rPr>
          <w:rFonts w:eastAsia="Calibri"/>
          <w:i/>
          <w:iCs/>
        </w:rPr>
      </w:pPr>
      <w:r>
        <w:rPr>
          <w:rFonts w:eastAsia="Calibri"/>
        </w:rPr>
        <w:t xml:space="preserve">Under FOIA </w:t>
      </w:r>
      <w:r w:rsidRPr="001F1BD6">
        <w:rPr>
          <w:rFonts w:eastAsia="Calibri"/>
        </w:rPr>
        <w:t>(5 U.S.C. 552), the public has broad access to government documents. However, FOIA provides certain exemptions from mandatory public disclosure of government records (5 U.S.C. 552(b)(1</w:t>
      </w:r>
      <w:r>
        <w:rPr>
          <w:rFonts w:eastAsia="Calibri"/>
        </w:rPr>
        <w:t xml:space="preserve"> to </w:t>
      </w:r>
      <w:r w:rsidRPr="001F1BD6">
        <w:rPr>
          <w:rFonts w:eastAsia="Calibri"/>
        </w:rPr>
        <w:t xml:space="preserve">9)).  FDA will make the fullest possible disclosure of records to the public, consistent with the rights of individuals to privacy, the property rights of persons in trade and confidential commercial or financial information. </w:t>
      </w:r>
    </w:p>
    <w:p w:rsidR="001F1BD6" w:rsidP="0066261B" w14:paraId="6C172A47" w14:textId="77777777">
      <w:pPr>
        <w:rPr>
          <w:rFonts w:eastAsia="Calibri"/>
        </w:rPr>
      </w:pPr>
      <w:r w:rsidRPr="001F1BD6">
        <w:rPr>
          <w:rFonts w:eastAsia="Calibri"/>
        </w:rPr>
        <w:t>Confidentiality of the information submitted under these regulations is protected under 21 CFR 314.430, 21 CFR 601, and 21 CFR part 20.  The unauthorized use or disclosure of trade secrets required in applications is specifically prohibited under section 301(j) of the Federal Food, Drug, and Cosmetic Act (21 U.S.C. 331(j)).</w:t>
      </w:r>
    </w:p>
    <w:p w:rsidR="001075D3" w:rsidRPr="001075D3" w:rsidP="0066261B" w14:paraId="4FBDD909" w14:textId="77777777">
      <w:pPr>
        <w:ind w:left="720"/>
      </w:pPr>
    </w:p>
    <w:p w:rsidR="00357C8A" w:rsidRPr="00357C8A" w:rsidP="0066261B" w14:paraId="413C06C3" w14:textId="77777777">
      <w:pPr>
        <w:numPr>
          <w:ilvl w:val="0"/>
          <w:numId w:val="6"/>
        </w:numPr>
        <w:spacing w:after="200"/>
        <w:rPr>
          <w:rFonts w:eastAsia="Calibri"/>
        </w:rPr>
      </w:pPr>
      <w:r w:rsidRPr="00357C8A">
        <w:rPr>
          <w:rFonts w:eastAsia="Calibri"/>
          <w:u w:val="single"/>
        </w:rPr>
        <w:t>Justification for Sensitive Questions</w:t>
      </w:r>
    </w:p>
    <w:p w:rsidR="001773D5" w:rsidP="0066261B" w14:paraId="36DC2E2C" w14:textId="77777777">
      <w:pPr>
        <w:spacing w:after="200"/>
        <w:rPr>
          <w:rFonts w:eastAsia="Calibri"/>
        </w:rPr>
      </w:pPr>
      <w:r>
        <w:rPr>
          <w:rFonts w:eastAsia="Calibri"/>
        </w:rPr>
        <w:t xml:space="preserve">No </w:t>
      </w:r>
      <w:r w:rsidRPr="001F1BD6" w:rsidR="001F1BD6">
        <w:rPr>
          <w:rFonts w:eastAsia="Calibri"/>
        </w:rPr>
        <w:t xml:space="preserve">questions of a sensitive nature </w:t>
      </w:r>
      <w:r>
        <w:rPr>
          <w:rFonts w:eastAsia="Calibri"/>
        </w:rPr>
        <w:t xml:space="preserve">are </w:t>
      </w:r>
      <w:r w:rsidRPr="001F1BD6" w:rsidR="001F1BD6">
        <w:rPr>
          <w:rFonts w:eastAsia="Calibri"/>
        </w:rPr>
        <w:t>included in the information collection.</w:t>
      </w:r>
    </w:p>
    <w:p w:rsidR="00357C8A" w:rsidRPr="00357C8A" w:rsidP="0066261B" w14:paraId="37E424D4" w14:textId="77777777">
      <w:pPr>
        <w:numPr>
          <w:ilvl w:val="0"/>
          <w:numId w:val="6"/>
        </w:numPr>
        <w:spacing w:after="200"/>
        <w:rPr>
          <w:rFonts w:eastAsia="Calibri"/>
          <w:u w:val="single"/>
        </w:rPr>
      </w:pPr>
      <w:r w:rsidRPr="00357C8A">
        <w:rPr>
          <w:rFonts w:eastAsia="Calibri"/>
          <w:u w:val="single"/>
        </w:rPr>
        <w:t>Estimates of Annualized Burden Hours and Cost</w:t>
      </w:r>
    </w:p>
    <w:p w:rsidR="00855496" w:rsidP="0066261B" w14:paraId="43CB0CEA" w14:textId="23239CD5">
      <w:r>
        <w:tab/>
      </w:r>
      <w:r w:rsidRPr="000A1472">
        <w:rPr>
          <w:i/>
          <w:iCs/>
        </w:rPr>
        <w:t>12a.  Annualized Hourly Burden Estimate</w:t>
      </w:r>
      <w:r>
        <w:t>.</w:t>
      </w:r>
    </w:p>
    <w:p w:rsidR="00474EB6" w:rsidP="00474EB6" w14:paraId="449ADBCB" w14:textId="77777777">
      <w:pPr>
        <w:jc w:val="center"/>
      </w:pPr>
    </w:p>
    <w:p w:rsidR="00474EB6" w:rsidP="00474EB6" w14:paraId="03EED830" w14:textId="77777777">
      <w:pPr>
        <w:jc w:val="center"/>
      </w:pPr>
      <w:r>
        <w:t>Tale 1.--Estimated Annual Recordkeeping Burden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5"/>
        <w:gridCol w:w="1239"/>
        <w:gridCol w:w="1411"/>
        <w:gridCol w:w="1078"/>
        <w:gridCol w:w="1186"/>
        <w:gridCol w:w="1016"/>
      </w:tblGrid>
      <w:tr w14:paraId="4DFF7BAA" w14:textId="77777777" w:rsidTr="00633A70">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rPr>
        <w:tc>
          <w:tcPr>
            <w:tcW w:w="3425" w:type="dxa"/>
            <w:shd w:val="clear" w:color="auto" w:fill="auto"/>
          </w:tcPr>
          <w:p w:rsidR="00474EB6" w:rsidRPr="00A720FA" w:rsidP="00C16B4B" w14:paraId="7CE849F4" w14:textId="77777777">
            <w:pPr>
              <w:rPr>
                <w:sz w:val="20"/>
                <w:szCs w:val="20"/>
              </w:rPr>
            </w:pPr>
            <w:r w:rsidRPr="00A720FA">
              <w:rPr>
                <w:sz w:val="20"/>
                <w:szCs w:val="20"/>
              </w:rPr>
              <w:t>Activity/21 CFR Section</w:t>
            </w:r>
          </w:p>
        </w:tc>
        <w:tc>
          <w:tcPr>
            <w:tcW w:w="1239" w:type="dxa"/>
            <w:shd w:val="clear" w:color="auto" w:fill="auto"/>
          </w:tcPr>
          <w:p w:rsidR="00474EB6" w:rsidRPr="00A720FA" w:rsidP="00C16B4B" w14:paraId="766A0F65" w14:textId="77777777">
            <w:pPr>
              <w:jc w:val="center"/>
              <w:rPr>
                <w:sz w:val="20"/>
                <w:szCs w:val="20"/>
              </w:rPr>
            </w:pPr>
            <w:r w:rsidRPr="00A720FA">
              <w:rPr>
                <w:sz w:val="20"/>
                <w:szCs w:val="20"/>
              </w:rPr>
              <w:t>No. of Respondents</w:t>
            </w:r>
          </w:p>
        </w:tc>
        <w:tc>
          <w:tcPr>
            <w:tcW w:w="1411" w:type="dxa"/>
            <w:shd w:val="clear" w:color="auto" w:fill="auto"/>
          </w:tcPr>
          <w:p w:rsidR="00474EB6" w:rsidRPr="00A720FA" w:rsidP="00C16B4B" w14:paraId="5DDD9C56" w14:textId="77777777">
            <w:pPr>
              <w:jc w:val="center"/>
              <w:rPr>
                <w:sz w:val="20"/>
                <w:szCs w:val="20"/>
              </w:rPr>
            </w:pPr>
            <w:r w:rsidRPr="00A720FA">
              <w:rPr>
                <w:bCs/>
                <w:sz w:val="20"/>
                <w:szCs w:val="20"/>
              </w:rPr>
              <w:t>No. of Responses per Respondent</w:t>
            </w:r>
          </w:p>
        </w:tc>
        <w:tc>
          <w:tcPr>
            <w:tcW w:w="1078" w:type="dxa"/>
            <w:shd w:val="clear" w:color="auto" w:fill="auto"/>
          </w:tcPr>
          <w:p w:rsidR="00474EB6" w:rsidRPr="00A720FA" w:rsidP="00C16B4B" w14:paraId="19C378D2" w14:textId="77777777">
            <w:pPr>
              <w:jc w:val="center"/>
              <w:rPr>
                <w:sz w:val="20"/>
                <w:szCs w:val="20"/>
              </w:rPr>
            </w:pPr>
            <w:r w:rsidRPr="00A720FA">
              <w:rPr>
                <w:sz w:val="20"/>
                <w:szCs w:val="20"/>
              </w:rPr>
              <w:t>Total Annual Responses</w:t>
            </w:r>
          </w:p>
        </w:tc>
        <w:tc>
          <w:tcPr>
            <w:tcW w:w="1186" w:type="dxa"/>
            <w:shd w:val="clear" w:color="auto" w:fill="auto"/>
          </w:tcPr>
          <w:p w:rsidR="00474EB6" w:rsidRPr="00A720FA" w:rsidP="00C16B4B" w14:paraId="7AFEC124" w14:textId="77777777">
            <w:pPr>
              <w:jc w:val="center"/>
              <w:rPr>
                <w:sz w:val="20"/>
                <w:szCs w:val="20"/>
              </w:rPr>
            </w:pPr>
            <w:r w:rsidRPr="00A720FA">
              <w:rPr>
                <w:bCs/>
                <w:sz w:val="20"/>
                <w:szCs w:val="20"/>
              </w:rPr>
              <w:t>Average Burden per Response</w:t>
            </w:r>
          </w:p>
        </w:tc>
        <w:tc>
          <w:tcPr>
            <w:tcW w:w="0" w:type="auto"/>
            <w:shd w:val="clear" w:color="auto" w:fill="auto"/>
          </w:tcPr>
          <w:p w:rsidR="00474EB6" w:rsidRPr="00A720FA" w:rsidP="00C16B4B" w14:paraId="1A446C67" w14:textId="77777777">
            <w:pPr>
              <w:jc w:val="center"/>
              <w:rPr>
                <w:sz w:val="20"/>
                <w:szCs w:val="20"/>
              </w:rPr>
            </w:pPr>
            <w:r w:rsidRPr="00A720FA">
              <w:rPr>
                <w:sz w:val="20"/>
                <w:szCs w:val="20"/>
              </w:rPr>
              <w:t>Total Hours</w:t>
            </w:r>
          </w:p>
        </w:tc>
      </w:tr>
      <w:tr w14:paraId="452F03AA" w14:textId="77777777" w:rsidTr="00633A70">
        <w:tblPrEx>
          <w:tblW w:w="0" w:type="auto"/>
          <w:tblInd w:w="-5" w:type="dxa"/>
          <w:tblLook w:val="01E0"/>
        </w:tblPrEx>
        <w:trPr>
          <w:cantSplit/>
          <w:trHeight w:val="20"/>
        </w:trPr>
        <w:tc>
          <w:tcPr>
            <w:tcW w:w="3425" w:type="dxa"/>
            <w:shd w:val="clear" w:color="auto" w:fill="auto"/>
          </w:tcPr>
          <w:p w:rsidR="00474EB6" w:rsidRPr="00A720FA" w:rsidP="00C16B4B" w14:paraId="5D381733" w14:textId="77777777">
            <w:pPr>
              <w:rPr>
                <w:sz w:val="20"/>
                <w:szCs w:val="20"/>
              </w:rPr>
            </w:pPr>
            <w:r w:rsidRPr="00A720FA">
              <w:rPr>
                <w:sz w:val="20"/>
                <w:szCs w:val="20"/>
              </w:rPr>
              <w:t>Labeling requirements for prescription drugs; §§ 201.56 and 201.57</w:t>
            </w:r>
          </w:p>
        </w:tc>
        <w:tc>
          <w:tcPr>
            <w:tcW w:w="1239" w:type="dxa"/>
            <w:shd w:val="clear" w:color="auto" w:fill="auto"/>
          </w:tcPr>
          <w:p w:rsidR="00474EB6" w:rsidRPr="00A720FA" w:rsidP="00C16B4B" w14:paraId="4BDEF5B0" w14:textId="77777777">
            <w:pPr>
              <w:jc w:val="right"/>
              <w:rPr>
                <w:sz w:val="20"/>
                <w:szCs w:val="20"/>
              </w:rPr>
            </w:pPr>
            <w:r w:rsidRPr="00A720FA">
              <w:rPr>
                <w:sz w:val="20"/>
                <w:szCs w:val="20"/>
              </w:rPr>
              <w:t>414</w:t>
            </w:r>
          </w:p>
        </w:tc>
        <w:tc>
          <w:tcPr>
            <w:tcW w:w="1411" w:type="dxa"/>
            <w:shd w:val="clear" w:color="auto" w:fill="auto"/>
          </w:tcPr>
          <w:p w:rsidR="00474EB6" w:rsidRPr="00A720FA" w:rsidP="00C16B4B" w14:paraId="43844BEF" w14:textId="77777777">
            <w:pPr>
              <w:jc w:val="right"/>
              <w:rPr>
                <w:sz w:val="20"/>
                <w:szCs w:val="20"/>
              </w:rPr>
            </w:pPr>
            <w:r w:rsidRPr="00A720FA">
              <w:rPr>
                <w:sz w:val="20"/>
                <w:szCs w:val="20"/>
              </w:rPr>
              <w:t>1.326</w:t>
            </w:r>
          </w:p>
        </w:tc>
        <w:tc>
          <w:tcPr>
            <w:tcW w:w="1078" w:type="dxa"/>
            <w:shd w:val="clear" w:color="auto" w:fill="auto"/>
          </w:tcPr>
          <w:p w:rsidR="00474EB6" w:rsidRPr="00A720FA" w:rsidP="00C16B4B" w14:paraId="4561F859" w14:textId="77777777">
            <w:pPr>
              <w:jc w:val="right"/>
              <w:rPr>
                <w:sz w:val="20"/>
                <w:szCs w:val="20"/>
              </w:rPr>
            </w:pPr>
            <w:r w:rsidRPr="00A720FA">
              <w:rPr>
                <w:sz w:val="20"/>
                <w:szCs w:val="20"/>
              </w:rPr>
              <w:t>549</w:t>
            </w:r>
          </w:p>
        </w:tc>
        <w:tc>
          <w:tcPr>
            <w:tcW w:w="1186" w:type="dxa"/>
            <w:shd w:val="clear" w:color="auto" w:fill="auto"/>
          </w:tcPr>
          <w:p w:rsidR="00474EB6" w:rsidRPr="00A720FA" w:rsidP="00C16B4B" w14:paraId="5A815715" w14:textId="77777777">
            <w:pPr>
              <w:jc w:val="right"/>
              <w:rPr>
                <w:sz w:val="20"/>
                <w:szCs w:val="20"/>
              </w:rPr>
            </w:pPr>
            <w:r w:rsidRPr="00A720FA">
              <w:rPr>
                <w:sz w:val="20"/>
                <w:szCs w:val="20"/>
              </w:rPr>
              <w:t>3,349</w:t>
            </w:r>
          </w:p>
        </w:tc>
        <w:tc>
          <w:tcPr>
            <w:tcW w:w="0" w:type="auto"/>
            <w:shd w:val="clear" w:color="auto" w:fill="auto"/>
          </w:tcPr>
          <w:p w:rsidR="00474EB6" w:rsidRPr="00A720FA" w:rsidP="00C16B4B" w14:paraId="2EF697EC" w14:textId="77777777">
            <w:pPr>
              <w:jc w:val="right"/>
              <w:rPr>
                <w:sz w:val="20"/>
                <w:szCs w:val="20"/>
              </w:rPr>
            </w:pPr>
            <w:r w:rsidRPr="00A720FA">
              <w:rPr>
                <w:sz w:val="20"/>
                <w:szCs w:val="20"/>
              </w:rPr>
              <w:t>1,838,601</w:t>
            </w:r>
          </w:p>
        </w:tc>
      </w:tr>
      <w:tr w14:paraId="7A35D91A" w14:textId="77777777" w:rsidTr="00633A70">
        <w:tblPrEx>
          <w:tblW w:w="0" w:type="auto"/>
          <w:tblInd w:w="-5" w:type="dxa"/>
          <w:tblLook w:val="01E0"/>
        </w:tblPrEx>
        <w:trPr>
          <w:cantSplit/>
          <w:trHeight w:val="20"/>
        </w:trPr>
        <w:tc>
          <w:tcPr>
            <w:tcW w:w="3425" w:type="dxa"/>
            <w:shd w:val="clear" w:color="auto" w:fill="auto"/>
          </w:tcPr>
          <w:p w:rsidR="00474EB6" w:rsidRPr="00A720FA" w:rsidP="00C16B4B" w14:paraId="37AC5CD0" w14:textId="77777777">
            <w:pPr>
              <w:rPr>
                <w:sz w:val="20"/>
                <w:szCs w:val="20"/>
              </w:rPr>
            </w:pPr>
            <w:r w:rsidRPr="00A720FA">
              <w:rPr>
                <w:sz w:val="20"/>
                <w:szCs w:val="20"/>
              </w:rPr>
              <w:t xml:space="preserve">Labeling </w:t>
            </w:r>
            <w:r>
              <w:rPr>
                <w:sz w:val="20"/>
                <w:szCs w:val="20"/>
              </w:rPr>
              <w:t xml:space="preserve">applicable to </w:t>
            </w:r>
            <w:r w:rsidRPr="00A720FA">
              <w:rPr>
                <w:sz w:val="20"/>
                <w:szCs w:val="20"/>
              </w:rPr>
              <w:t xml:space="preserve">medical gas containers; </w:t>
            </w:r>
            <w:r>
              <w:rPr>
                <w:sz w:val="20"/>
                <w:szCs w:val="20"/>
              </w:rPr>
              <w:t xml:space="preserve">§§ 201.161(b); </w:t>
            </w:r>
            <w:r w:rsidRPr="00A720FA">
              <w:rPr>
                <w:sz w:val="20"/>
                <w:szCs w:val="20"/>
              </w:rPr>
              <w:t>201.328</w:t>
            </w:r>
          </w:p>
        </w:tc>
        <w:tc>
          <w:tcPr>
            <w:tcW w:w="1239" w:type="dxa"/>
            <w:shd w:val="clear" w:color="auto" w:fill="auto"/>
          </w:tcPr>
          <w:p w:rsidR="00474EB6" w:rsidRPr="00A720FA" w:rsidP="00C16B4B" w14:paraId="6A71590C" w14:textId="77777777">
            <w:pPr>
              <w:jc w:val="right"/>
              <w:rPr>
                <w:sz w:val="20"/>
                <w:szCs w:val="20"/>
              </w:rPr>
            </w:pPr>
            <w:r w:rsidRPr="00A720FA">
              <w:rPr>
                <w:sz w:val="20"/>
                <w:szCs w:val="20"/>
              </w:rPr>
              <w:t>260</w:t>
            </w:r>
          </w:p>
        </w:tc>
        <w:tc>
          <w:tcPr>
            <w:tcW w:w="1411" w:type="dxa"/>
            <w:shd w:val="clear" w:color="auto" w:fill="auto"/>
          </w:tcPr>
          <w:p w:rsidR="00474EB6" w:rsidRPr="00A720FA" w:rsidP="00C16B4B" w14:paraId="19721820" w14:textId="77777777">
            <w:pPr>
              <w:jc w:val="right"/>
              <w:rPr>
                <w:sz w:val="20"/>
                <w:szCs w:val="20"/>
              </w:rPr>
            </w:pPr>
            <w:r w:rsidRPr="00A720FA">
              <w:rPr>
                <w:sz w:val="20"/>
                <w:szCs w:val="20"/>
              </w:rPr>
              <w:t>1,663</w:t>
            </w:r>
          </w:p>
        </w:tc>
        <w:tc>
          <w:tcPr>
            <w:tcW w:w="1078" w:type="dxa"/>
            <w:shd w:val="clear" w:color="auto" w:fill="auto"/>
          </w:tcPr>
          <w:p w:rsidR="00474EB6" w:rsidRPr="00A720FA" w:rsidP="00C16B4B" w14:paraId="49143347" w14:textId="77777777">
            <w:pPr>
              <w:jc w:val="right"/>
              <w:rPr>
                <w:sz w:val="20"/>
                <w:szCs w:val="20"/>
              </w:rPr>
            </w:pPr>
            <w:r w:rsidRPr="00A720FA">
              <w:rPr>
                <w:sz w:val="20"/>
                <w:szCs w:val="20"/>
              </w:rPr>
              <w:t>432,380</w:t>
            </w:r>
          </w:p>
        </w:tc>
        <w:tc>
          <w:tcPr>
            <w:tcW w:w="1186" w:type="dxa"/>
            <w:shd w:val="clear" w:color="auto" w:fill="auto"/>
          </w:tcPr>
          <w:p w:rsidR="00474EB6" w:rsidP="00C16B4B" w14:paraId="270018B7" w14:textId="77777777">
            <w:pPr>
              <w:jc w:val="right"/>
              <w:rPr>
                <w:sz w:val="20"/>
                <w:szCs w:val="20"/>
              </w:rPr>
            </w:pPr>
            <w:r w:rsidRPr="00A720FA">
              <w:rPr>
                <w:sz w:val="20"/>
                <w:szCs w:val="20"/>
              </w:rPr>
              <w:t>0.17</w:t>
            </w:r>
          </w:p>
          <w:p w:rsidR="00474EB6" w:rsidRPr="00A720FA" w:rsidP="00C16B4B" w14:paraId="49C0E9DD" w14:textId="77777777">
            <w:pPr>
              <w:jc w:val="right"/>
              <w:rPr>
                <w:sz w:val="20"/>
                <w:szCs w:val="20"/>
              </w:rPr>
            </w:pPr>
            <w:r w:rsidRPr="00A720FA">
              <w:rPr>
                <w:sz w:val="20"/>
                <w:szCs w:val="20"/>
              </w:rPr>
              <w:t>(10 min</w:t>
            </w:r>
            <w:r>
              <w:rPr>
                <w:sz w:val="20"/>
                <w:szCs w:val="20"/>
              </w:rPr>
              <w:t>s.</w:t>
            </w:r>
            <w:r w:rsidRPr="00A720FA">
              <w:rPr>
                <w:sz w:val="20"/>
                <w:szCs w:val="20"/>
              </w:rPr>
              <w:t>)</w:t>
            </w:r>
          </w:p>
        </w:tc>
        <w:tc>
          <w:tcPr>
            <w:tcW w:w="0" w:type="auto"/>
            <w:shd w:val="clear" w:color="auto" w:fill="auto"/>
          </w:tcPr>
          <w:p w:rsidR="00474EB6" w:rsidRPr="00A720FA" w:rsidP="00C16B4B" w14:paraId="08D8A4C5" w14:textId="77777777">
            <w:pPr>
              <w:jc w:val="right"/>
              <w:rPr>
                <w:sz w:val="20"/>
                <w:szCs w:val="20"/>
              </w:rPr>
            </w:pPr>
            <w:r w:rsidRPr="00A720FA">
              <w:rPr>
                <w:sz w:val="20"/>
                <w:szCs w:val="20"/>
              </w:rPr>
              <w:t>73,505</w:t>
            </w:r>
          </w:p>
        </w:tc>
      </w:tr>
      <w:tr w14:paraId="47033F34" w14:textId="77777777" w:rsidTr="00633A70">
        <w:tblPrEx>
          <w:tblW w:w="0" w:type="auto"/>
          <w:tblInd w:w="-5" w:type="dxa"/>
          <w:tblLook w:val="01E0"/>
        </w:tblPrEx>
        <w:trPr>
          <w:cantSplit/>
          <w:trHeight w:val="20"/>
        </w:trPr>
        <w:tc>
          <w:tcPr>
            <w:tcW w:w="3425" w:type="dxa"/>
            <w:shd w:val="clear" w:color="auto" w:fill="auto"/>
          </w:tcPr>
          <w:p w:rsidR="00474EB6" w:rsidRPr="00A720FA" w:rsidP="00C16B4B" w14:paraId="7ED6BBD8" w14:textId="77777777">
            <w:pPr>
              <w:rPr>
                <w:sz w:val="20"/>
                <w:szCs w:val="20"/>
              </w:rPr>
            </w:pPr>
            <w:r>
              <w:rPr>
                <w:sz w:val="20"/>
                <w:szCs w:val="20"/>
              </w:rPr>
              <w:t>Exemption from barcode requirements § 201.25(d)</w:t>
            </w:r>
          </w:p>
        </w:tc>
        <w:tc>
          <w:tcPr>
            <w:tcW w:w="1239" w:type="dxa"/>
            <w:shd w:val="clear" w:color="auto" w:fill="auto"/>
          </w:tcPr>
          <w:p w:rsidR="00474EB6" w:rsidRPr="00A720FA" w:rsidP="00C16B4B" w14:paraId="0EF141FC" w14:textId="77777777">
            <w:pPr>
              <w:jc w:val="right"/>
              <w:rPr>
                <w:sz w:val="20"/>
                <w:szCs w:val="20"/>
              </w:rPr>
            </w:pPr>
            <w:r>
              <w:rPr>
                <w:sz w:val="20"/>
                <w:szCs w:val="20"/>
              </w:rPr>
              <w:t>2</w:t>
            </w:r>
          </w:p>
        </w:tc>
        <w:tc>
          <w:tcPr>
            <w:tcW w:w="1411" w:type="dxa"/>
            <w:shd w:val="clear" w:color="auto" w:fill="auto"/>
          </w:tcPr>
          <w:p w:rsidR="00474EB6" w:rsidRPr="00A720FA" w:rsidP="00C16B4B" w14:paraId="587D2568" w14:textId="77777777">
            <w:pPr>
              <w:jc w:val="right"/>
              <w:rPr>
                <w:sz w:val="20"/>
                <w:szCs w:val="20"/>
              </w:rPr>
            </w:pPr>
            <w:r>
              <w:rPr>
                <w:sz w:val="20"/>
                <w:szCs w:val="20"/>
              </w:rPr>
              <w:t>1</w:t>
            </w:r>
          </w:p>
        </w:tc>
        <w:tc>
          <w:tcPr>
            <w:tcW w:w="1078" w:type="dxa"/>
            <w:shd w:val="clear" w:color="auto" w:fill="auto"/>
          </w:tcPr>
          <w:p w:rsidR="00474EB6" w:rsidRPr="00A720FA" w:rsidP="00C16B4B" w14:paraId="5410DDD9" w14:textId="77777777">
            <w:pPr>
              <w:jc w:val="right"/>
              <w:rPr>
                <w:sz w:val="20"/>
                <w:szCs w:val="20"/>
              </w:rPr>
            </w:pPr>
            <w:r>
              <w:rPr>
                <w:sz w:val="20"/>
                <w:szCs w:val="20"/>
              </w:rPr>
              <w:t>2</w:t>
            </w:r>
          </w:p>
        </w:tc>
        <w:tc>
          <w:tcPr>
            <w:tcW w:w="1186" w:type="dxa"/>
            <w:shd w:val="clear" w:color="auto" w:fill="auto"/>
          </w:tcPr>
          <w:p w:rsidR="00474EB6" w:rsidRPr="00A720FA" w:rsidP="00C16B4B" w14:paraId="261BAA38" w14:textId="77777777">
            <w:pPr>
              <w:jc w:val="right"/>
              <w:rPr>
                <w:sz w:val="20"/>
                <w:szCs w:val="20"/>
              </w:rPr>
            </w:pPr>
            <w:r>
              <w:rPr>
                <w:sz w:val="20"/>
                <w:szCs w:val="20"/>
              </w:rPr>
              <w:t>24</w:t>
            </w:r>
          </w:p>
        </w:tc>
        <w:tc>
          <w:tcPr>
            <w:tcW w:w="0" w:type="auto"/>
            <w:shd w:val="clear" w:color="auto" w:fill="auto"/>
          </w:tcPr>
          <w:p w:rsidR="00474EB6" w:rsidRPr="00A720FA" w:rsidP="00C16B4B" w14:paraId="0E5DFEC3" w14:textId="77777777">
            <w:pPr>
              <w:jc w:val="right"/>
              <w:rPr>
                <w:sz w:val="20"/>
                <w:szCs w:val="20"/>
              </w:rPr>
            </w:pPr>
            <w:r>
              <w:rPr>
                <w:sz w:val="20"/>
                <w:szCs w:val="20"/>
              </w:rPr>
              <w:t>48</w:t>
            </w:r>
          </w:p>
        </w:tc>
      </w:tr>
      <w:tr w14:paraId="39C27BD3" w14:textId="77777777" w:rsidTr="00633A70">
        <w:tblPrEx>
          <w:tblW w:w="0" w:type="auto"/>
          <w:tblInd w:w="-5" w:type="dxa"/>
          <w:tblLook w:val="01E0"/>
        </w:tblPrEx>
        <w:trPr>
          <w:cantSplit/>
          <w:trHeight w:val="20"/>
        </w:trPr>
        <w:tc>
          <w:tcPr>
            <w:tcW w:w="3425" w:type="dxa"/>
            <w:shd w:val="clear" w:color="auto" w:fill="auto"/>
          </w:tcPr>
          <w:p w:rsidR="00474EB6" w:rsidRPr="00A720FA" w:rsidP="00C16B4B" w14:paraId="629C88DA" w14:textId="77777777">
            <w:pPr>
              <w:rPr>
                <w:sz w:val="20"/>
                <w:szCs w:val="20"/>
              </w:rPr>
            </w:pPr>
            <w:r>
              <w:rPr>
                <w:sz w:val="20"/>
                <w:szCs w:val="20"/>
              </w:rPr>
              <w:t>Safety labeling required under FFDCA sec. 505(o)(4), and rebuttal statement</w:t>
            </w:r>
          </w:p>
        </w:tc>
        <w:tc>
          <w:tcPr>
            <w:tcW w:w="1239" w:type="dxa"/>
            <w:shd w:val="clear" w:color="auto" w:fill="auto"/>
          </w:tcPr>
          <w:p w:rsidR="00474EB6" w:rsidRPr="00A720FA" w:rsidP="00C16B4B" w14:paraId="2A3B00AB" w14:textId="77777777">
            <w:pPr>
              <w:jc w:val="right"/>
              <w:rPr>
                <w:sz w:val="20"/>
                <w:szCs w:val="20"/>
              </w:rPr>
            </w:pPr>
            <w:r>
              <w:rPr>
                <w:sz w:val="20"/>
                <w:szCs w:val="20"/>
              </w:rPr>
              <w:t>36</w:t>
            </w:r>
          </w:p>
        </w:tc>
        <w:tc>
          <w:tcPr>
            <w:tcW w:w="1411" w:type="dxa"/>
            <w:shd w:val="clear" w:color="auto" w:fill="auto"/>
          </w:tcPr>
          <w:p w:rsidR="00474EB6" w:rsidRPr="00A720FA" w:rsidP="00C16B4B" w14:paraId="3495620F" w14:textId="77777777">
            <w:pPr>
              <w:jc w:val="right"/>
              <w:rPr>
                <w:sz w:val="20"/>
                <w:szCs w:val="20"/>
              </w:rPr>
            </w:pPr>
            <w:r>
              <w:rPr>
                <w:sz w:val="20"/>
                <w:szCs w:val="20"/>
              </w:rPr>
              <w:t>1</w:t>
            </w:r>
          </w:p>
        </w:tc>
        <w:tc>
          <w:tcPr>
            <w:tcW w:w="1078" w:type="dxa"/>
            <w:shd w:val="clear" w:color="auto" w:fill="auto"/>
          </w:tcPr>
          <w:p w:rsidR="00474EB6" w:rsidRPr="00A720FA" w:rsidP="00C16B4B" w14:paraId="61DFAD4B" w14:textId="77777777">
            <w:pPr>
              <w:jc w:val="right"/>
              <w:rPr>
                <w:sz w:val="20"/>
                <w:szCs w:val="20"/>
              </w:rPr>
            </w:pPr>
            <w:r>
              <w:rPr>
                <w:sz w:val="20"/>
                <w:szCs w:val="20"/>
              </w:rPr>
              <w:t>36</w:t>
            </w:r>
          </w:p>
        </w:tc>
        <w:tc>
          <w:tcPr>
            <w:tcW w:w="1186" w:type="dxa"/>
            <w:shd w:val="clear" w:color="auto" w:fill="auto"/>
          </w:tcPr>
          <w:p w:rsidR="00474EB6" w:rsidRPr="00A720FA" w:rsidP="00C16B4B" w14:paraId="5D07F9E6" w14:textId="77777777">
            <w:pPr>
              <w:jc w:val="right"/>
              <w:rPr>
                <w:sz w:val="20"/>
                <w:szCs w:val="20"/>
              </w:rPr>
            </w:pPr>
            <w:r>
              <w:rPr>
                <w:sz w:val="20"/>
                <w:szCs w:val="20"/>
              </w:rPr>
              <w:t>6</w:t>
            </w:r>
          </w:p>
        </w:tc>
        <w:tc>
          <w:tcPr>
            <w:tcW w:w="0" w:type="auto"/>
            <w:shd w:val="clear" w:color="auto" w:fill="auto"/>
          </w:tcPr>
          <w:p w:rsidR="00474EB6" w:rsidRPr="00A720FA" w:rsidP="00C16B4B" w14:paraId="160ADCBA" w14:textId="77777777">
            <w:pPr>
              <w:jc w:val="right"/>
              <w:rPr>
                <w:sz w:val="20"/>
                <w:szCs w:val="20"/>
              </w:rPr>
            </w:pPr>
            <w:r>
              <w:rPr>
                <w:sz w:val="20"/>
                <w:szCs w:val="20"/>
              </w:rPr>
              <w:t>216</w:t>
            </w:r>
          </w:p>
        </w:tc>
      </w:tr>
      <w:tr w14:paraId="7FBBD04D" w14:textId="77777777" w:rsidTr="00633A70">
        <w:tblPrEx>
          <w:tblW w:w="0" w:type="auto"/>
          <w:tblInd w:w="-5" w:type="dxa"/>
          <w:tblLook w:val="01E0"/>
        </w:tblPrEx>
        <w:trPr>
          <w:cantSplit/>
          <w:trHeight w:val="20"/>
        </w:trPr>
        <w:tc>
          <w:tcPr>
            <w:tcW w:w="3425" w:type="dxa"/>
            <w:shd w:val="clear" w:color="auto" w:fill="auto"/>
          </w:tcPr>
          <w:p w:rsidR="00474EB6" w:rsidRPr="00A720FA" w:rsidP="00C16B4B" w14:paraId="75152697" w14:textId="77777777">
            <w:pPr>
              <w:rPr>
                <w:sz w:val="20"/>
                <w:szCs w:val="20"/>
              </w:rPr>
            </w:pPr>
            <w:r>
              <w:rPr>
                <w:sz w:val="20"/>
                <w:szCs w:val="20"/>
              </w:rPr>
              <w:t>Safety labeling changes; posting approved letter on applicable holder’s website</w:t>
            </w:r>
          </w:p>
        </w:tc>
        <w:tc>
          <w:tcPr>
            <w:tcW w:w="1239" w:type="dxa"/>
            <w:shd w:val="clear" w:color="auto" w:fill="auto"/>
          </w:tcPr>
          <w:p w:rsidR="00474EB6" w:rsidRPr="00A720FA" w:rsidP="00C16B4B" w14:paraId="47765FFF" w14:textId="77777777">
            <w:pPr>
              <w:jc w:val="right"/>
              <w:rPr>
                <w:sz w:val="20"/>
                <w:szCs w:val="20"/>
              </w:rPr>
            </w:pPr>
            <w:r>
              <w:rPr>
                <w:sz w:val="20"/>
                <w:szCs w:val="20"/>
              </w:rPr>
              <w:t>351</w:t>
            </w:r>
          </w:p>
        </w:tc>
        <w:tc>
          <w:tcPr>
            <w:tcW w:w="1411" w:type="dxa"/>
            <w:shd w:val="clear" w:color="auto" w:fill="auto"/>
          </w:tcPr>
          <w:p w:rsidR="00474EB6" w:rsidRPr="00A720FA" w:rsidP="00C16B4B" w14:paraId="234D9E44" w14:textId="77777777">
            <w:pPr>
              <w:jc w:val="right"/>
              <w:rPr>
                <w:sz w:val="20"/>
                <w:szCs w:val="20"/>
              </w:rPr>
            </w:pPr>
            <w:r>
              <w:rPr>
                <w:sz w:val="20"/>
                <w:szCs w:val="20"/>
              </w:rPr>
              <w:t>1</w:t>
            </w:r>
          </w:p>
        </w:tc>
        <w:tc>
          <w:tcPr>
            <w:tcW w:w="1078" w:type="dxa"/>
            <w:shd w:val="clear" w:color="auto" w:fill="auto"/>
          </w:tcPr>
          <w:p w:rsidR="00474EB6" w:rsidRPr="00A720FA" w:rsidP="00C16B4B" w14:paraId="73BD6E5E" w14:textId="77777777">
            <w:pPr>
              <w:jc w:val="right"/>
              <w:rPr>
                <w:sz w:val="20"/>
                <w:szCs w:val="20"/>
              </w:rPr>
            </w:pPr>
            <w:r>
              <w:rPr>
                <w:sz w:val="20"/>
                <w:szCs w:val="20"/>
              </w:rPr>
              <w:t>351</w:t>
            </w:r>
          </w:p>
        </w:tc>
        <w:tc>
          <w:tcPr>
            <w:tcW w:w="1186" w:type="dxa"/>
            <w:shd w:val="clear" w:color="auto" w:fill="auto"/>
          </w:tcPr>
          <w:p w:rsidR="00474EB6" w:rsidRPr="00A720FA" w:rsidP="00C16B4B" w14:paraId="453FF9EB" w14:textId="77777777">
            <w:pPr>
              <w:jc w:val="right"/>
              <w:rPr>
                <w:sz w:val="20"/>
                <w:szCs w:val="20"/>
              </w:rPr>
            </w:pPr>
            <w:r>
              <w:rPr>
                <w:sz w:val="20"/>
                <w:szCs w:val="20"/>
              </w:rPr>
              <w:t>4</w:t>
            </w:r>
          </w:p>
        </w:tc>
        <w:tc>
          <w:tcPr>
            <w:tcW w:w="0" w:type="auto"/>
            <w:shd w:val="clear" w:color="auto" w:fill="auto"/>
          </w:tcPr>
          <w:p w:rsidR="00474EB6" w:rsidRPr="00A720FA" w:rsidP="00C16B4B" w14:paraId="42638A42" w14:textId="77777777">
            <w:pPr>
              <w:jc w:val="right"/>
              <w:rPr>
                <w:sz w:val="20"/>
                <w:szCs w:val="20"/>
              </w:rPr>
            </w:pPr>
            <w:r>
              <w:rPr>
                <w:sz w:val="20"/>
                <w:szCs w:val="20"/>
              </w:rPr>
              <w:t>1,404</w:t>
            </w:r>
          </w:p>
        </w:tc>
      </w:tr>
      <w:tr w14:paraId="46A47860" w14:textId="77777777" w:rsidTr="00633A70">
        <w:tblPrEx>
          <w:tblW w:w="0" w:type="auto"/>
          <w:tblInd w:w="-5" w:type="dxa"/>
          <w:tblLook w:val="01E0"/>
        </w:tblPrEx>
        <w:trPr>
          <w:cantSplit/>
          <w:trHeight w:val="20"/>
        </w:trPr>
        <w:tc>
          <w:tcPr>
            <w:tcW w:w="3425" w:type="dxa"/>
            <w:shd w:val="clear" w:color="auto" w:fill="auto"/>
          </w:tcPr>
          <w:p w:rsidR="00474EB6" w:rsidRPr="00A720FA" w:rsidP="00C16B4B" w14:paraId="6333215E" w14:textId="77777777">
            <w:pPr>
              <w:rPr>
                <w:sz w:val="20"/>
                <w:szCs w:val="20"/>
              </w:rPr>
            </w:pPr>
            <w:r>
              <w:rPr>
                <w:sz w:val="20"/>
                <w:szCs w:val="20"/>
              </w:rPr>
              <w:t>Exceptions or alternatives to labeling requirements for human drug product held by the SNS; § 201.26</w:t>
            </w:r>
          </w:p>
        </w:tc>
        <w:tc>
          <w:tcPr>
            <w:tcW w:w="1239" w:type="dxa"/>
            <w:shd w:val="clear" w:color="auto" w:fill="auto"/>
          </w:tcPr>
          <w:p w:rsidR="00474EB6" w:rsidRPr="00A720FA" w:rsidP="00C16B4B" w14:paraId="3B93F5AE" w14:textId="77777777">
            <w:pPr>
              <w:jc w:val="right"/>
              <w:rPr>
                <w:sz w:val="20"/>
                <w:szCs w:val="20"/>
              </w:rPr>
            </w:pPr>
            <w:r>
              <w:rPr>
                <w:sz w:val="20"/>
                <w:szCs w:val="20"/>
              </w:rPr>
              <w:t>1</w:t>
            </w:r>
          </w:p>
        </w:tc>
        <w:tc>
          <w:tcPr>
            <w:tcW w:w="1411" w:type="dxa"/>
            <w:shd w:val="clear" w:color="auto" w:fill="auto"/>
          </w:tcPr>
          <w:p w:rsidR="00474EB6" w:rsidRPr="00A720FA" w:rsidP="00C16B4B" w14:paraId="3644E895" w14:textId="77777777">
            <w:pPr>
              <w:jc w:val="right"/>
              <w:rPr>
                <w:sz w:val="20"/>
                <w:szCs w:val="20"/>
              </w:rPr>
            </w:pPr>
            <w:r>
              <w:rPr>
                <w:sz w:val="20"/>
                <w:szCs w:val="20"/>
              </w:rPr>
              <w:t>1</w:t>
            </w:r>
          </w:p>
        </w:tc>
        <w:tc>
          <w:tcPr>
            <w:tcW w:w="1078" w:type="dxa"/>
            <w:shd w:val="clear" w:color="auto" w:fill="auto"/>
          </w:tcPr>
          <w:p w:rsidR="00474EB6" w:rsidRPr="00A720FA" w:rsidP="00C16B4B" w14:paraId="0C9B63D7" w14:textId="77777777">
            <w:pPr>
              <w:jc w:val="right"/>
              <w:rPr>
                <w:sz w:val="20"/>
                <w:szCs w:val="20"/>
              </w:rPr>
            </w:pPr>
            <w:r>
              <w:rPr>
                <w:sz w:val="20"/>
                <w:szCs w:val="20"/>
              </w:rPr>
              <w:t>1</w:t>
            </w:r>
          </w:p>
        </w:tc>
        <w:tc>
          <w:tcPr>
            <w:tcW w:w="1186" w:type="dxa"/>
            <w:shd w:val="clear" w:color="auto" w:fill="auto"/>
          </w:tcPr>
          <w:p w:rsidR="00474EB6" w:rsidRPr="00A720FA" w:rsidP="00C16B4B" w14:paraId="4051DC10" w14:textId="77777777">
            <w:pPr>
              <w:jc w:val="right"/>
              <w:rPr>
                <w:sz w:val="20"/>
                <w:szCs w:val="20"/>
              </w:rPr>
            </w:pPr>
            <w:r>
              <w:rPr>
                <w:sz w:val="20"/>
                <w:szCs w:val="20"/>
              </w:rPr>
              <w:t>32</w:t>
            </w:r>
          </w:p>
        </w:tc>
        <w:tc>
          <w:tcPr>
            <w:tcW w:w="0" w:type="auto"/>
            <w:shd w:val="clear" w:color="auto" w:fill="auto"/>
          </w:tcPr>
          <w:p w:rsidR="00474EB6" w:rsidRPr="00A720FA" w:rsidP="00C16B4B" w14:paraId="1F742B0E" w14:textId="77777777">
            <w:pPr>
              <w:jc w:val="right"/>
              <w:rPr>
                <w:sz w:val="20"/>
                <w:szCs w:val="20"/>
              </w:rPr>
            </w:pPr>
            <w:r>
              <w:rPr>
                <w:sz w:val="20"/>
                <w:szCs w:val="20"/>
              </w:rPr>
              <w:t>32</w:t>
            </w:r>
          </w:p>
        </w:tc>
      </w:tr>
      <w:tr w14:paraId="5E16F211" w14:textId="77777777" w:rsidTr="00633A70">
        <w:tblPrEx>
          <w:tblW w:w="0" w:type="auto"/>
          <w:tblInd w:w="-5" w:type="dxa"/>
          <w:tblLook w:val="01E0"/>
        </w:tblPrEx>
        <w:trPr>
          <w:cantSplit/>
          <w:trHeight w:val="20"/>
        </w:trPr>
        <w:tc>
          <w:tcPr>
            <w:tcW w:w="3425" w:type="dxa"/>
            <w:shd w:val="clear" w:color="auto" w:fill="auto"/>
          </w:tcPr>
          <w:p w:rsidR="00474EB6" w:rsidP="00C16B4B" w14:paraId="2EAACEDF" w14:textId="77777777">
            <w:pPr>
              <w:rPr>
                <w:sz w:val="20"/>
                <w:szCs w:val="20"/>
              </w:rPr>
            </w:pPr>
            <w:r>
              <w:rPr>
                <w:sz w:val="20"/>
                <w:szCs w:val="20"/>
              </w:rPr>
              <w:t>Hypertension claims; recommend labeling considerations</w:t>
            </w:r>
          </w:p>
        </w:tc>
        <w:tc>
          <w:tcPr>
            <w:tcW w:w="1239" w:type="dxa"/>
            <w:shd w:val="clear" w:color="auto" w:fill="auto"/>
          </w:tcPr>
          <w:p w:rsidR="00474EB6" w:rsidP="00C16B4B" w14:paraId="69CF0C3D" w14:textId="77777777">
            <w:pPr>
              <w:jc w:val="right"/>
              <w:rPr>
                <w:sz w:val="20"/>
                <w:szCs w:val="20"/>
              </w:rPr>
            </w:pPr>
            <w:r>
              <w:rPr>
                <w:sz w:val="20"/>
                <w:szCs w:val="20"/>
              </w:rPr>
              <w:t>5</w:t>
            </w:r>
          </w:p>
        </w:tc>
        <w:tc>
          <w:tcPr>
            <w:tcW w:w="1411" w:type="dxa"/>
            <w:shd w:val="clear" w:color="auto" w:fill="auto"/>
          </w:tcPr>
          <w:p w:rsidR="00474EB6" w:rsidP="00C16B4B" w14:paraId="47156816" w14:textId="77777777">
            <w:pPr>
              <w:jc w:val="right"/>
              <w:rPr>
                <w:sz w:val="20"/>
                <w:szCs w:val="20"/>
              </w:rPr>
            </w:pPr>
            <w:r>
              <w:rPr>
                <w:sz w:val="20"/>
                <w:szCs w:val="20"/>
              </w:rPr>
              <w:t>1</w:t>
            </w:r>
          </w:p>
        </w:tc>
        <w:tc>
          <w:tcPr>
            <w:tcW w:w="1078" w:type="dxa"/>
            <w:shd w:val="clear" w:color="auto" w:fill="auto"/>
          </w:tcPr>
          <w:p w:rsidR="00474EB6" w:rsidP="00C16B4B" w14:paraId="1B46EB5C" w14:textId="77777777">
            <w:pPr>
              <w:jc w:val="right"/>
              <w:rPr>
                <w:sz w:val="20"/>
                <w:szCs w:val="20"/>
              </w:rPr>
            </w:pPr>
            <w:r>
              <w:rPr>
                <w:sz w:val="20"/>
                <w:szCs w:val="20"/>
              </w:rPr>
              <w:t>5</w:t>
            </w:r>
          </w:p>
        </w:tc>
        <w:tc>
          <w:tcPr>
            <w:tcW w:w="1186" w:type="dxa"/>
            <w:shd w:val="clear" w:color="auto" w:fill="auto"/>
          </w:tcPr>
          <w:p w:rsidR="00474EB6" w:rsidP="00C16B4B" w14:paraId="0ABFFA52" w14:textId="77777777">
            <w:pPr>
              <w:jc w:val="right"/>
              <w:rPr>
                <w:sz w:val="20"/>
                <w:szCs w:val="20"/>
              </w:rPr>
            </w:pPr>
            <w:r>
              <w:rPr>
                <w:sz w:val="20"/>
                <w:szCs w:val="20"/>
              </w:rPr>
              <w:t>18</w:t>
            </w:r>
          </w:p>
        </w:tc>
        <w:tc>
          <w:tcPr>
            <w:tcW w:w="0" w:type="auto"/>
            <w:shd w:val="clear" w:color="auto" w:fill="auto"/>
          </w:tcPr>
          <w:p w:rsidR="00474EB6" w:rsidP="00C16B4B" w14:paraId="01F2E3B9" w14:textId="77777777">
            <w:pPr>
              <w:jc w:val="right"/>
              <w:rPr>
                <w:sz w:val="20"/>
                <w:szCs w:val="20"/>
              </w:rPr>
            </w:pPr>
            <w:r>
              <w:rPr>
                <w:sz w:val="20"/>
                <w:szCs w:val="20"/>
              </w:rPr>
              <w:t>90</w:t>
            </w:r>
          </w:p>
        </w:tc>
      </w:tr>
      <w:tr w14:paraId="1EF7C947" w14:textId="77777777" w:rsidTr="00633A70">
        <w:tblPrEx>
          <w:tblW w:w="0" w:type="auto"/>
          <w:tblInd w:w="-5" w:type="dxa"/>
          <w:tblLook w:val="01E0"/>
        </w:tblPrEx>
        <w:trPr>
          <w:cantSplit/>
          <w:trHeight w:val="20"/>
        </w:trPr>
        <w:tc>
          <w:tcPr>
            <w:tcW w:w="3425" w:type="dxa"/>
            <w:shd w:val="clear" w:color="auto" w:fill="auto"/>
          </w:tcPr>
          <w:p w:rsidR="00474EB6" w:rsidRPr="00A720FA" w:rsidP="00C16B4B" w14:paraId="3151696B" w14:textId="77777777">
            <w:pPr>
              <w:rPr>
                <w:sz w:val="20"/>
                <w:szCs w:val="20"/>
              </w:rPr>
            </w:pPr>
            <w:r w:rsidRPr="00A720FA">
              <w:rPr>
                <w:sz w:val="20"/>
                <w:szCs w:val="20"/>
              </w:rPr>
              <w:t>Total</w:t>
            </w:r>
          </w:p>
        </w:tc>
        <w:tc>
          <w:tcPr>
            <w:tcW w:w="1239" w:type="dxa"/>
            <w:shd w:val="clear" w:color="auto" w:fill="auto"/>
          </w:tcPr>
          <w:p w:rsidR="00474EB6" w:rsidRPr="00A720FA" w:rsidP="00C16B4B" w14:paraId="1B46064A" w14:textId="77777777">
            <w:pPr>
              <w:jc w:val="right"/>
              <w:rPr>
                <w:sz w:val="20"/>
                <w:szCs w:val="20"/>
              </w:rPr>
            </w:pPr>
          </w:p>
        </w:tc>
        <w:tc>
          <w:tcPr>
            <w:tcW w:w="1411" w:type="dxa"/>
            <w:shd w:val="clear" w:color="auto" w:fill="auto"/>
          </w:tcPr>
          <w:p w:rsidR="00474EB6" w:rsidRPr="00A720FA" w:rsidP="00C16B4B" w14:paraId="686C053E" w14:textId="77777777">
            <w:pPr>
              <w:jc w:val="right"/>
              <w:rPr>
                <w:sz w:val="20"/>
                <w:szCs w:val="20"/>
              </w:rPr>
            </w:pPr>
          </w:p>
        </w:tc>
        <w:tc>
          <w:tcPr>
            <w:tcW w:w="1078" w:type="dxa"/>
            <w:shd w:val="clear" w:color="auto" w:fill="auto"/>
          </w:tcPr>
          <w:p w:rsidR="00474EB6" w:rsidRPr="00A720FA" w:rsidP="00C16B4B" w14:paraId="13121CDA" w14:textId="77777777">
            <w:pPr>
              <w:jc w:val="right"/>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433,324</w:t>
            </w:r>
            <w:r>
              <w:rPr>
                <w:sz w:val="20"/>
                <w:szCs w:val="20"/>
              </w:rPr>
              <w:fldChar w:fldCharType="end"/>
            </w:r>
          </w:p>
        </w:tc>
        <w:tc>
          <w:tcPr>
            <w:tcW w:w="1186" w:type="dxa"/>
            <w:shd w:val="clear" w:color="auto" w:fill="auto"/>
          </w:tcPr>
          <w:p w:rsidR="00474EB6" w:rsidRPr="00A720FA" w:rsidP="00C16B4B" w14:paraId="38E99E4E" w14:textId="77777777">
            <w:pPr>
              <w:jc w:val="right"/>
              <w:rPr>
                <w:sz w:val="20"/>
                <w:szCs w:val="20"/>
              </w:rPr>
            </w:pPr>
          </w:p>
        </w:tc>
        <w:tc>
          <w:tcPr>
            <w:tcW w:w="0" w:type="auto"/>
            <w:shd w:val="clear" w:color="auto" w:fill="auto"/>
          </w:tcPr>
          <w:p w:rsidR="00474EB6" w:rsidRPr="00A720FA" w:rsidP="00C16B4B" w14:paraId="756AD845" w14:textId="77777777">
            <w:pPr>
              <w:jc w:val="right"/>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1,913,896</w:t>
            </w:r>
            <w:r>
              <w:rPr>
                <w:sz w:val="20"/>
                <w:szCs w:val="20"/>
              </w:rPr>
              <w:fldChar w:fldCharType="end"/>
            </w:r>
          </w:p>
        </w:tc>
      </w:tr>
    </w:tbl>
    <w:p w:rsidR="00C6618E" w:rsidP="00C5334F" w14:paraId="166240C3" w14:textId="77777777">
      <w:pPr>
        <w:contextualSpacing/>
      </w:pPr>
    </w:p>
    <w:p w:rsidR="00C5334F" w:rsidRPr="00C5334F" w:rsidP="00C5334F" w14:paraId="1A50E2E9" w14:textId="2CD22F03">
      <w:pPr>
        <w:contextualSpacing/>
      </w:pPr>
      <w:r w:rsidRPr="00C5334F">
        <w:t xml:space="preserve">Based on our evaluation, we have retained the currently approved estimate that 414 applicants will prepare an average of 549 prescription drug labels annually, and assume it will require 3,349 </w:t>
      </w:r>
      <w:r w:rsidRPr="00C5334F">
        <w:t xml:space="preserve">hours to design, test, and submit to FDA as part of a new drug application or a biologics license application.  </w:t>
      </w:r>
    </w:p>
    <w:p w:rsidR="00633A70" w:rsidP="00C5334F" w14:paraId="34A2CABF" w14:textId="77777777">
      <w:pPr>
        <w:contextualSpacing/>
      </w:pPr>
    </w:p>
    <w:p w:rsidR="00C5334F" w:rsidRPr="00C5334F" w:rsidP="00C5334F" w14:paraId="2C1DBB45" w14:textId="4B86261C">
      <w:pPr>
        <w:contextualSpacing/>
      </w:pPr>
      <w:r w:rsidRPr="00C5334F">
        <w:t xml:space="preserve">New medical gas containers must meet applicable requirements found in </w:t>
      </w:r>
      <w:r w:rsidR="00057D3B">
        <w:t xml:space="preserve">new </w:t>
      </w:r>
      <w:r w:rsidRPr="00C5334F">
        <w:t>21 CFR part</w:t>
      </w:r>
      <w:r w:rsidR="00057D3B">
        <w:t>s</w:t>
      </w:r>
      <w:r w:rsidRPr="00C5334F">
        <w:t xml:space="preserve"> </w:t>
      </w:r>
      <w:r w:rsidR="00057D3B">
        <w:t xml:space="preserve">210, </w:t>
      </w:r>
      <w:r w:rsidRPr="00C5334F">
        <w:t>211, as well as specific labeling requirements in § 201.328.</w:t>
      </w:r>
      <w:r w:rsidR="00C6618E">
        <w:t xml:space="preserve">  </w:t>
      </w:r>
      <w:r w:rsidRPr="00C5334F">
        <w:t xml:space="preserve">We estimate 260 respondents will incur burden for the design, testing, production, and submission of labeling for new medical gas containers as established in § 201.328 and assume an average of 10 minutes (0.17) is required for these activities.  </w:t>
      </w:r>
      <w:r w:rsidR="0004605E">
        <w:t xml:space="preserve">However, FDA issued rulemaking </w:t>
      </w:r>
      <w:r w:rsidR="00E27432">
        <w:t>(0910-</w:t>
      </w:r>
      <w:r w:rsidR="009240B7">
        <w:t xml:space="preserve">AH96) </w:t>
      </w:r>
      <w:r w:rsidR="0004605E">
        <w:t xml:space="preserve">applicable to compressed medical gases effective </w:t>
      </w:r>
      <w:r w:rsidR="00A9184D">
        <w:t>December 18, 202</w:t>
      </w:r>
      <w:r w:rsidR="00AF504B">
        <w:t>5</w:t>
      </w:r>
      <w:r w:rsidR="00850F3D">
        <w:t>,</w:t>
      </w:r>
      <w:r w:rsidR="00AF504B">
        <w:t xml:space="preserve"> and will evaluate the impact of burden </w:t>
      </w:r>
      <w:r w:rsidR="00E27432">
        <w:t xml:space="preserve">that may result upon implementation of </w:t>
      </w:r>
      <w:r w:rsidR="00AF504B">
        <w:t>the new requirements</w:t>
      </w:r>
      <w:r w:rsidR="00E27432">
        <w:t>.</w:t>
      </w:r>
    </w:p>
    <w:p w:rsidR="00633A70" w:rsidP="00C5334F" w14:paraId="5987F7D2" w14:textId="77777777">
      <w:pPr>
        <w:contextualSpacing/>
      </w:pPr>
    </w:p>
    <w:p w:rsidR="00C5334F" w:rsidRPr="00C5334F" w:rsidP="00C5334F" w14:paraId="0BA60981" w14:textId="6448D7B4">
      <w:pPr>
        <w:contextualSpacing/>
      </w:pPr>
      <w:r w:rsidRPr="00C5334F">
        <w:t>Based on our evaluation, few requests for exemption from barcode requirements are received and we have therefore made no changes to the currently approved estimate for this activity.  Likewise, we have also retained the currently approved estimate for information collection activities associated with safety labeling requirements established in 505(o)(4) of the Act.  Similarly, we retain the currently approved estimate for exceptions to labeling under § 201.26, however this activity was previously approved in OMB control number 0910-0614 and is a new element to the collection, adding 1 response and 32 hours annually.</w:t>
      </w:r>
    </w:p>
    <w:p w:rsidR="00633A70" w:rsidP="00C5334F" w14:paraId="04AA1A35" w14:textId="77777777">
      <w:pPr>
        <w:contextualSpacing/>
      </w:pPr>
    </w:p>
    <w:p w:rsidR="009B04BF" w:rsidP="00627ED6" w14:paraId="72BCCAEB" w14:textId="79F6AA5C">
      <w:pPr>
        <w:contextualSpacing/>
      </w:pPr>
      <w:r w:rsidRPr="00C5334F">
        <w:t>Finally, we have combined activity elements associated with labeling recommendations regarding drugs products that include a hypertension indication as discussed in the applicable March 2011 guidance referenced above, reducing the overall estimate for this element by 4 hours annually.</w:t>
      </w:r>
    </w:p>
    <w:p w:rsidR="00627ED6" w:rsidRPr="00627ED6" w:rsidP="00627ED6" w14:paraId="22422688" w14:textId="77777777">
      <w:pPr>
        <w:contextualSpacing/>
      </w:pPr>
    </w:p>
    <w:p w:rsidR="00357C8A" w:rsidRPr="000A1472" w:rsidP="0066261B" w14:paraId="7D0881AB" w14:textId="6201DB1A">
      <w:pPr>
        <w:spacing w:after="200"/>
        <w:ind w:left="360"/>
        <w:rPr>
          <w:rFonts w:eastAsia="Calibri"/>
          <w:i/>
          <w:iCs/>
        </w:rPr>
      </w:pPr>
      <w:r w:rsidRPr="000A1472">
        <w:rPr>
          <w:rFonts w:eastAsia="Calibri"/>
          <w:i/>
          <w:iCs/>
        </w:rPr>
        <w:t>12b.  Annualized Cost Burden Estimate</w:t>
      </w:r>
      <w:r w:rsidR="000A1472">
        <w:rPr>
          <w:rFonts w:eastAsia="Calibri"/>
          <w:i/>
          <w:iCs/>
        </w:rPr>
        <w:t>.</w:t>
      </w:r>
    </w:p>
    <w:p w:rsidR="00357C8A" w:rsidP="00633A70" w14:paraId="4A63759B" w14:textId="77777777">
      <w:pPr>
        <w:ind w:firstLine="360"/>
        <w:rPr>
          <w:rFonts w:eastAsia="Calibri"/>
        </w:rPr>
      </w:pPr>
      <w:r>
        <w:rPr>
          <w:rFonts w:eastAsia="Calibri"/>
        </w:rPr>
        <w:t>We a</w:t>
      </w:r>
      <w:r w:rsidRPr="0058544D">
        <w:rPr>
          <w:rFonts w:eastAsia="Calibri"/>
        </w:rPr>
        <w:t>ssum</w:t>
      </w:r>
      <w:r>
        <w:rPr>
          <w:rFonts w:eastAsia="Calibri"/>
        </w:rPr>
        <w:t xml:space="preserve">e </w:t>
      </w:r>
      <w:r w:rsidRPr="0058544D">
        <w:rPr>
          <w:rFonts w:eastAsia="Calibri"/>
        </w:rPr>
        <w:t xml:space="preserve">an average pharmaceutical industry wage rate of $75.00 per hour </w:t>
      </w:r>
      <w:r>
        <w:rPr>
          <w:rFonts w:eastAsia="Calibri"/>
        </w:rPr>
        <w:t>to prepare and submit</w:t>
      </w:r>
      <w:r w:rsidRPr="0058544D">
        <w:rPr>
          <w:rFonts w:eastAsia="Calibri"/>
        </w:rPr>
        <w:t xml:space="preserve"> </w:t>
      </w:r>
      <w:r w:rsidR="00BE164D">
        <w:rPr>
          <w:rFonts w:eastAsia="Calibri"/>
        </w:rPr>
        <w:t xml:space="preserve">to FDA </w:t>
      </w:r>
      <w:r w:rsidRPr="0058544D">
        <w:rPr>
          <w:rFonts w:eastAsia="Calibri"/>
        </w:rPr>
        <w:t>the required information</w:t>
      </w:r>
      <w:r>
        <w:rPr>
          <w:rFonts w:eastAsia="Calibri"/>
        </w:rPr>
        <w:t xml:space="preserve">. </w:t>
      </w:r>
      <w:r w:rsidR="00BE164D">
        <w:rPr>
          <w:rFonts w:eastAsia="Calibri"/>
        </w:rPr>
        <w:t xml:space="preserve"> </w:t>
      </w:r>
      <w:r>
        <w:rPr>
          <w:rFonts w:eastAsia="Calibri"/>
        </w:rPr>
        <w:t xml:space="preserve">We multiplied $75.00 by </w:t>
      </w:r>
      <w:r w:rsidRPr="0058544D">
        <w:rPr>
          <w:rFonts w:eastAsia="Calibri"/>
        </w:rPr>
        <w:t>the total burden hours</w:t>
      </w:r>
      <w:r w:rsidR="008F4554">
        <w:rPr>
          <w:rFonts w:eastAsia="Calibri"/>
        </w:rPr>
        <w:t xml:space="preserve"> </w:t>
      </w:r>
      <w:r w:rsidR="00BE164D">
        <w:rPr>
          <w:rFonts w:eastAsia="Calibri"/>
        </w:rPr>
        <w:t xml:space="preserve">above </w:t>
      </w:r>
      <w:r w:rsidR="00855496">
        <w:rPr>
          <w:rFonts w:eastAsia="Calibri"/>
        </w:rPr>
        <w:t>1,</w:t>
      </w:r>
      <w:r w:rsidR="00A720FA">
        <w:rPr>
          <w:rFonts w:eastAsia="Calibri"/>
        </w:rPr>
        <w:t>912,106</w:t>
      </w:r>
      <w:r w:rsidR="00BE164D">
        <w:rPr>
          <w:rFonts w:eastAsia="Calibri"/>
        </w:rPr>
        <w:t xml:space="preserve"> and </w:t>
      </w:r>
      <w:r w:rsidRPr="0058544D">
        <w:rPr>
          <w:rFonts w:eastAsia="Calibri"/>
        </w:rPr>
        <w:t>estimate a cost to respondents of $</w:t>
      </w:r>
      <w:r w:rsidR="00A720FA">
        <w:rPr>
          <w:rFonts w:eastAsia="Calibri"/>
        </w:rPr>
        <w:t>143,407,950</w:t>
      </w:r>
      <w:r w:rsidR="008F4554">
        <w:rPr>
          <w:rFonts w:eastAsia="Calibri"/>
        </w:rPr>
        <w:t>.</w:t>
      </w:r>
    </w:p>
    <w:p w:rsidR="0058544D" w:rsidRPr="00357C8A" w:rsidP="0066261B" w14:paraId="64A39825" w14:textId="77777777">
      <w:pPr>
        <w:rPr>
          <w:rFonts w:eastAsia="Calibri"/>
        </w:rPr>
      </w:pPr>
    </w:p>
    <w:p w:rsidR="00357C8A" w:rsidRPr="00357C8A" w:rsidP="0066261B" w14:paraId="73109F4D" w14:textId="403B6CFB">
      <w:pPr>
        <w:numPr>
          <w:ilvl w:val="0"/>
          <w:numId w:val="9"/>
        </w:numPr>
        <w:spacing w:after="200"/>
        <w:ind w:left="360"/>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1773D5" w:rsidP="0066261B" w14:paraId="54235D87" w14:textId="706F40A3">
      <w:pPr>
        <w:rPr>
          <w:rFonts w:eastAsia="Calibri"/>
        </w:rPr>
      </w:pPr>
      <w:r>
        <w:rPr>
          <w:rFonts w:eastAsia="Calibri"/>
        </w:rPr>
        <w:t xml:space="preserve">There are no </w:t>
      </w:r>
      <w:r w:rsidR="00F5768E">
        <w:rPr>
          <w:rFonts w:eastAsia="Calibri"/>
        </w:rPr>
        <w:t>capital or operating and maintenance costs associated with the information collection.</w:t>
      </w:r>
    </w:p>
    <w:p w:rsidR="00F5768E" w:rsidP="0066261B" w14:paraId="770FA2ED" w14:textId="77777777">
      <w:pPr>
        <w:rPr>
          <w:rFonts w:eastAsia="Calibri"/>
        </w:rPr>
      </w:pPr>
    </w:p>
    <w:p w:rsidR="00357C8A" w:rsidRPr="00357C8A" w:rsidP="0066261B" w14:paraId="6BC7E359" w14:textId="77777777">
      <w:pPr>
        <w:numPr>
          <w:ilvl w:val="0"/>
          <w:numId w:val="9"/>
        </w:numPr>
        <w:spacing w:after="200"/>
        <w:ind w:left="360"/>
        <w:rPr>
          <w:rFonts w:eastAsia="Calibri"/>
          <w:u w:val="single"/>
        </w:rPr>
      </w:pPr>
      <w:r w:rsidRPr="00357C8A">
        <w:rPr>
          <w:rFonts w:eastAsia="Calibri"/>
          <w:u w:val="single"/>
        </w:rPr>
        <w:t>Annualized Cost to the Federal Government</w:t>
      </w:r>
    </w:p>
    <w:p w:rsidR="001773D5" w:rsidP="009876C6" w14:paraId="6C43CF69" w14:textId="1E9CBF23">
      <w:pPr>
        <w:pStyle w:val="BodyText"/>
        <w:spacing w:before="69"/>
        <w:ind w:right="21"/>
        <w:rPr>
          <w:spacing w:val="-1"/>
          <w:sz w:val="24"/>
          <w:szCs w:val="24"/>
        </w:rPr>
      </w:pPr>
      <w:r w:rsidRPr="001773D5">
        <w:rPr>
          <w:spacing w:val="-1"/>
          <w:sz w:val="24"/>
          <w:szCs w:val="24"/>
        </w:rPr>
        <w:t>Compliance</w:t>
      </w:r>
      <w:r w:rsidRPr="001773D5">
        <w:rPr>
          <w:sz w:val="24"/>
          <w:szCs w:val="24"/>
        </w:rPr>
        <w:t xml:space="preserve"> with </w:t>
      </w:r>
      <w:r w:rsidRPr="001773D5">
        <w:rPr>
          <w:spacing w:val="-1"/>
          <w:sz w:val="24"/>
          <w:szCs w:val="24"/>
        </w:rPr>
        <w:t xml:space="preserve">requirements </w:t>
      </w:r>
      <w:r w:rsidRPr="001773D5">
        <w:rPr>
          <w:sz w:val="24"/>
          <w:szCs w:val="24"/>
        </w:rPr>
        <w:t xml:space="preserve">is reviewed on a </w:t>
      </w:r>
      <w:r w:rsidRPr="001773D5">
        <w:rPr>
          <w:spacing w:val="-1"/>
          <w:sz w:val="24"/>
          <w:szCs w:val="24"/>
        </w:rPr>
        <w:t>product-by-product</w:t>
      </w:r>
      <w:r w:rsidRPr="001773D5">
        <w:rPr>
          <w:sz w:val="24"/>
          <w:szCs w:val="24"/>
        </w:rPr>
        <w:t xml:space="preserve"> </w:t>
      </w:r>
      <w:r w:rsidRPr="001773D5" w:rsidR="004F77F7">
        <w:rPr>
          <w:sz w:val="24"/>
          <w:szCs w:val="24"/>
        </w:rPr>
        <w:t>basis</w:t>
      </w:r>
      <w:r w:rsidRPr="001773D5" w:rsidR="004F77F7">
        <w:rPr>
          <w:spacing w:val="-1"/>
          <w:sz w:val="24"/>
          <w:szCs w:val="24"/>
        </w:rPr>
        <w:t xml:space="preserve"> contemporaneously</w:t>
      </w:r>
      <w:r w:rsidRPr="001773D5">
        <w:rPr>
          <w:spacing w:val="101"/>
          <w:sz w:val="24"/>
          <w:szCs w:val="24"/>
        </w:rPr>
        <w:t xml:space="preserve"> </w:t>
      </w:r>
      <w:r w:rsidRPr="001773D5">
        <w:rPr>
          <w:spacing w:val="-1"/>
          <w:sz w:val="24"/>
          <w:szCs w:val="24"/>
        </w:rPr>
        <w:t xml:space="preserve">with the review of </w:t>
      </w:r>
      <w:r w:rsidR="00A0620C">
        <w:rPr>
          <w:spacing w:val="-1"/>
          <w:sz w:val="24"/>
          <w:szCs w:val="24"/>
        </w:rPr>
        <w:t>product application submissions</w:t>
      </w:r>
      <w:r w:rsidR="003E2304">
        <w:rPr>
          <w:spacing w:val="-1"/>
          <w:sz w:val="24"/>
          <w:szCs w:val="24"/>
        </w:rPr>
        <w:t xml:space="preserve">.  </w:t>
      </w:r>
      <w:r w:rsidR="006236C1">
        <w:rPr>
          <w:spacing w:val="-1"/>
          <w:sz w:val="24"/>
          <w:szCs w:val="24"/>
        </w:rPr>
        <w:t xml:space="preserve">Assuming labeling costs reflect </w:t>
      </w:r>
      <w:r w:rsidR="002D1451">
        <w:rPr>
          <w:spacing w:val="-1"/>
          <w:sz w:val="24"/>
          <w:szCs w:val="24"/>
        </w:rPr>
        <w:t>15% of</w:t>
      </w:r>
      <w:r w:rsidR="00084923">
        <w:rPr>
          <w:spacing w:val="-1"/>
          <w:sz w:val="24"/>
          <w:szCs w:val="24"/>
        </w:rPr>
        <w:t xml:space="preserve"> total administrative costs for product application submissions and using currently approved costs in 0910-0001</w:t>
      </w:r>
      <w:r w:rsidR="004C72E0">
        <w:rPr>
          <w:spacing w:val="-1"/>
          <w:sz w:val="24"/>
          <w:szCs w:val="24"/>
        </w:rPr>
        <w:t xml:space="preserve"> (new drug applications NDAs) and 0910-0338 (biologics licensing applications)</w:t>
      </w:r>
      <w:r w:rsidR="00663E08">
        <w:rPr>
          <w:spacing w:val="-1"/>
          <w:sz w:val="24"/>
          <w:szCs w:val="24"/>
        </w:rPr>
        <w:t xml:space="preserve"> for such costs, we estimate annual costs to the government </w:t>
      </w:r>
      <w:r w:rsidR="00301758">
        <w:rPr>
          <w:spacing w:val="-1"/>
          <w:sz w:val="24"/>
          <w:szCs w:val="24"/>
        </w:rPr>
        <w:t xml:space="preserve">for review of prescription drug labels to be </w:t>
      </w:r>
      <w:r w:rsidR="00D14E0B">
        <w:rPr>
          <w:spacing w:val="-1"/>
          <w:sz w:val="24"/>
          <w:szCs w:val="24"/>
        </w:rPr>
        <w:t>$</w:t>
      </w:r>
      <w:r w:rsidR="00CD1A75">
        <w:rPr>
          <w:spacing w:val="-1"/>
          <w:sz w:val="24"/>
          <w:szCs w:val="24"/>
        </w:rPr>
        <w:t>41,785,141</w:t>
      </w:r>
      <w:r w:rsidR="00301758">
        <w:rPr>
          <w:spacing w:val="-1"/>
          <w:sz w:val="24"/>
          <w:szCs w:val="24"/>
        </w:rPr>
        <w:t>.</w:t>
      </w:r>
    </w:p>
    <w:p w:rsidR="009876C6" w:rsidRPr="009876C6" w:rsidP="009876C6" w14:paraId="5EB69DAB" w14:textId="77777777">
      <w:pPr>
        <w:pStyle w:val="BodyText"/>
        <w:spacing w:before="69"/>
        <w:ind w:right="21"/>
        <w:rPr>
          <w:sz w:val="24"/>
          <w:szCs w:val="24"/>
        </w:rPr>
      </w:pPr>
    </w:p>
    <w:p w:rsidR="00D51112" w14:paraId="76AB550F" w14:textId="77777777">
      <w:pPr>
        <w:rPr>
          <w:rFonts w:eastAsia="Calibri"/>
          <w:u w:val="single"/>
        </w:rPr>
      </w:pPr>
      <w:r>
        <w:rPr>
          <w:rFonts w:eastAsia="Calibri"/>
          <w:u w:val="single"/>
        </w:rPr>
        <w:br w:type="page"/>
      </w:r>
    </w:p>
    <w:p w:rsidR="006F7B6A" w:rsidRPr="00D9013E" w:rsidP="0066261B" w14:paraId="7861EEED" w14:textId="718AD8C8">
      <w:pPr>
        <w:numPr>
          <w:ilvl w:val="0"/>
          <w:numId w:val="9"/>
        </w:numPr>
        <w:ind w:left="360"/>
        <w:rPr>
          <w:rFonts w:eastAsia="Calibri"/>
          <w:u w:val="single"/>
        </w:rPr>
      </w:pPr>
      <w:r w:rsidRPr="00357C8A">
        <w:rPr>
          <w:rFonts w:eastAsia="Calibri"/>
          <w:u w:val="single"/>
        </w:rPr>
        <w:t>Explanation for Program Changes or Adjustments</w:t>
      </w:r>
    </w:p>
    <w:p w:rsidR="00A720FA" w:rsidP="0066261B" w14:paraId="0627BB86" w14:textId="06578D08">
      <w:pPr>
        <w:rPr>
          <w:rFonts w:eastAsia="Calibri"/>
        </w:rPr>
      </w:pPr>
    </w:p>
    <w:p w:rsidR="00DA74ED" w:rsidP="0066261B" w14:paraId="67CA1125" w14:textId="1C73E2D5">
      <w:pPr>
        <w:rPr>
          <w:rFonts w:eastAsia="Calibri"/>
        </w:rPr>
      </w:pPr>
      <w:r>
        <w:rPr>
          <w:rFonts w:eastAsia="Calibri"/>
        </w:rPr>
        <w:t xml:space="preserve">The </w:t>
      </w:r>
      <w:r w:rsidR="00D60785">
        <w:rPr>
          <w:rFonts w:eastAsia="Calibri"/>
        </w:rPr>
        <w:t xml:space="preserve">information collection reflects </w:t>
      </w:r>
      <w:r w:rsidR="00B406E0">
        <w:rPr>
          <w:rFonts w:eastAsia="Calibri"/>
        </w:rPr>
        <w:t xml:space="preserve">nominal </w:t>
      </w:r>
      <w:r w:rsidR="00D60785">
        <w:rPr>
          <w:rFonts w:eastAsia="Calibri"/>
        </w:rPr>
        <w:t>adjustment</w:t>
      </w:r>
      <w:r w:rsidR="00CE3F37">
        <w:rPr>
          <w:rFonts w:eastAsia="Calibri"/>
        </w:rPr>
        <w:t>s that include the addition of one response</w:t>
      </w:r>
      <w:r w:rsidR="008B593E">
        <w:rPr>
          <w:rFonts w:eastAsia="Calibri"/>
        </w:rPr>
        <w:t xml:space="preserve"> and 32 hours annually, and we have removed costs previously attributable to respondent</w:t>
      </w:r>
      <w:r w:rsidR="00745D9B">
        <w:rPr>
          <w:rFonts w:eastAsia="Calibri"/>
        </w:rPr>
        <w:t>s</w:t>
      </w:r>
      <w:r w:rsidR="008B593E">
        <w:rPr>
          <w:rFonts w:eastAsia="Calibri"/>
        </w:rPr>
        <w:t xml:space="preserve"> </w:t>
      </w:r>
      <w:r w:rsidR="001951B3">
        <w:rPr>
          <w:rFonts w:eastAsia="Calibri"/>
        </w:rPr>
        <w:t xml:space="preserve">publicly </w:t>
      </w:r>
      <w:r w:rsidR="008B593E">
        <w:rPr>
          <w:rFonts w:eastAsia="Calibri"/>
        </w:rPr>
        <w:t>posting safety labeling changes</w:t>
      </w:r>
      <w:r w:rsidR="001F6FCD">
        <w:rPr>
          <w:rFonts w:eastAsia="Calibri"/>
        </w:rPr>
        <w:t xml:space="preserve"> which we believe is now usual and customary practice</w:t>
      </w:r>
      <w:r w:rsidR="00641310">
        <w:rPr>
          <w:rFonts w:eastAsia="Calibri"/>
        </w:rPr>
        <w:t xml:space="preserve">.  At the same time, we have clarified the </w:t>
      </w:r>
      <w:r w:rsidR="00EC24DE">
        <w:rPr>
          <w:rFonts w:eastAsia="Calibri"/>
        </w:rPr>
        <w:t>scope of activity</w:t>
      </w:r>
      <w:r w:rsidR="00641310">
        <w:rPr>
          <w:rFonts w:eastAsia="Calibri"/>
        </w:rPr>
        <w:t xml:space="preserve"> announcing in our </w:t>
      </w:r>
      <w:r w:rsidR="00AC1963">
        <w:rPr>
          <w:rFonts w:eastAsia="Calibri"/>
        </w:rPr>
        <w:t xml:space="preserve">notice </w:t>
      </w:r>
      <w:r w:rsidR="00D60785">
        <w:rPr>
          <w:rFonts w:eastAsia="Calibri"/>
        </w:rPr>
        <w:t>OMB</w:t>
      </w:r>
      <w:r w:rsidR="00D27A82">
        <w:rPr>
          <w:rFonts w:eastAsia="Calibri"/>
        </w:rPr>
        <w:t xml:space="preserve"> approved-modifications since last review (changes approving the addition of </w:t>
      </w:r>
      <w:r w:rsidR="00A059B6">
        <w:rPr>
          <w:rFonts w:eastAsia="Calibri"/>
        </w:rPr>
        <w:t xml:space="preserve">recommendations found in guidance; burden associated with Strategic National Stockpile labeling; </w:t>
      </w:r>
      <w:r w:rsidR="00FB69A9">
        <w:rPr>
          <w:rFonts w:eastAsia="Calibri"/>
        </w:rPr>
        <w:t xml:space="preserve">bar code exemptions; </w:t>
      </w:r>
      <w:r w:rsidR="00A059B6">
        <w:rPr>
          <w:rFonts w:eastAsia="Calibri"/>
        </w:rPr>
        <w:t xml:space="preserve">and </w:t>
      </w:r>
      <w:r w:rsidR="00FB69A9">
        <w:rPr>
          <w:rFonts w:eastAsia="Calibri"/>
        </w:rPr>
        <w:t xml:space="preserve">hypertension claims) </w:t>
      </w:r>
      <w:r w:rsidR="00AC1963">
        <w:rPr>
          <w:rFonts w:eastAsia="Calibri"/>
        </w:rPr>
        <w:t>and invited public comment</w:t>
      </w:r>
      <w:r w:rsidR="00F645D4">
        <w:rPr>
          <w:rFonts w:eastAsia="Calibri"/>
        </w:rPr>
        <w:t xml:space="preserve">.  Although no comments were received </w:t>
      </w:r>
      <w:r w:rsidR="0057653E">
        <w:rPr>
          <w:rFonts w:eastAsia="Calibri"/>
        </w:rPr>
        <w:t xml:space="preserve">as discussed in Q-8, </w:t>
      </w:r>
      <w:r w:rsidR="00AC1963">
        <w:rPr>
          <w:rFonts w:eastAsia="Calibri"/>
        </w:rPr>
        <w:t>w</w:t>
      </w:r>
      <w:r w:rsidR="00FB69A9">
        <w:rPr>
          <w:rFonts w:eastAsia="Calibri"/>
        </w:rPr>
        <w:t xml:space="preserve">e characterized </w:t>
      </w:r>
      <w:r w:rsidR="00D1699A">
        <w:rPr>
          <w:rFonts w:eastAsia="Calibri"/>
        </w:rPr>
        <w:t xml:space="preserve">the renewal request </w:t>
      </w:r>
      <w:r w:rsidR="00FB69A9">
        <w:rPr>
          <w:rFonts w:eastAsia="Calibri"/>
        </w:rPr>
        <w:t>as a revision</w:t>
      </w:r>
      <w:r w:rsidR="006D5F63">
        <w:rPr>
          <w:rFonts w:eastAsia="Calibri"/>
        </w:rPr>
        <w:t>.</w:t>
      </w:r>
    </w:p>
    <w:p w:rsidR="000F07EB" w:rsidRPr="00D9013E" w:rsidP="0066261B" w14:paraId="56A7CB25" w14:textId="77777777">
      <w:pPr>
        <w:rPr>
          <w:rFonts w:eastAsia="Calibri"/>
        </w:rPr>
      </w:pPr>
    </w:p>
    <w:p w:rsidR="001773D5" w:rsidRPr="001773D5" w:rsidP="0066261B" w14:paraId="3D51A506" w14:textId="3707F287">
      <w:pPr>
        <w:numPr>
          <w:ilvl w:val="0"/>
          <w:numId w:val="9"/>
        </w:numPr>
        <w:spacing w:after="200"/>
        <w:ind w:left="360"/>
        <w:rPr>
          <w:rFonts w:eastAsia="Calibri"/>
          <w:u w:val="single"/>
        </w:rPr>
      </w:pPr>
      <w:r w:rsidRPr="001773D5">
        <w:rPr>
          <w:rFonts w:eastAsia="Calibri"/>
          <w:u w:val="single"/>
        </w:rPr>
        <w:t>Plans for Tabulation and Publication and Project Time Schedule</w:t>
      </w:r>
    </w:p>
    <w:p w:rsidR="001773D5" w:rsidP="0066261B" w14:paraId="0034AA81" w14:textId="77777777">
      <w:pPr>
        <w:rPr>
          <w:rFonts w:eastAsia="Calibri"/>
        </w:rPr>
      </w:pPr>
      <w:r w:rsidRPr="00EC6237">
        <w:rPr>
          <w:rFonts w:eastAsia="Calibri"/>
        </w:rPr>
        <w:t>We do not intend to publish tabulated results of the information collection.</w:t>
      </w:r>
    </w:p>
    <w:p w:rsidR="00EC6237" w:rsidRPr="00EC6237" w:rsidP="0066261B" w14:paraId="7F7DC9BC" w14:textId="77777777">
      <w:pPr>
        <w:ind w:left="360"/>
        <w:rPr>
          <w:rFonts w:eastAsia="Calibri"/>
        </w:rPr>
      </w:pPr>
    </w:p>
    <w:p w:rsidR="001773D5" w:rsidRPr="001773D5" w:rsidP="0066261B" w14:paraId="17B13E51" w14:textId="7889E9F4">
      <w:pPr>
        <w:numPr>
          <w:ilvl w:val="0"/>
          <w:numId w:val="9"/>
        </w:numPr>
        <w:spacing w:after="200"/>
        <w:ind w:left="360"/>
        <w:rPr>
          <w:rFonts w:eastAsia="Calibri"/>
          <w:u w:val="single"/>
        </w:rPr>
      </w:pPr>
      <w:r w:rsidRPr="001773D5">
        <w:rPr>
          <w:rFonts w:eastAsia="Calibri"/>
          <w:u w:val="single"/>
        </w:rPr>
        <w:t>Reason(s) Display of OMB Expiration Date is Inappropriate</w:t>
      </w:r>
    </w:p>
    <w:p w:rsidR="001773D5" w:rsidP="0066261B" w14:paraId="05B06572" w14:textId="77777777">
      <w:pPr>
        <w:rPr>
          <w:rFonts w:eastAsia="Calibri"/>
        </w:rPr>
      </w:pPr>
      <w:r w:rsidRPr="00EC6237">
        <w:rPr>
          <w:rFonts w:eastAsia="Calibri"/>
        </w:rPr>
        <w:t>We will display the OMB expiration date as required by 5 CFR 1320.5.</w:t>
      </w:r>
    </w:p>
    <w:p w:rsidR="00EC6237" w:rsidRPr="00EC6237" w:rsidP="0066261B" w14:paraId="5B308CD8" w14:textId="77777777">
      <w:pPr>
        <w:ind w:left="360"/>
        <w:rPr>
          <w:rFonts w:eastAsia="Calibri"/>
        </w:rPr>
      </w:pPr>
    </w:p>
    <w:p w:rsidR="001773D5" w:rsidRPr="001773D5" w:rsidP="0066261B" w14:paraId="709830C7" w14:textId="5ECCF3E4">
      <w:pPr>
        <w:numPr>
          <w:ilvl w:val="0"/>
          <w:numId w:val="9"/>
        </w:numPr>
        <w:spacing w:after="200"/>
        <w:ind w:left="360"/>
        <w:rPr>
          <w:rFonts w:eastAsia="Calibri"/>
          <w:u w:val="single"/>
        </w:rPr>
      </w:pPr>
      <w:r w:rsidRPr="001773D5">
        <w:rPr>
          <w:rFonts w:eastAsia="Calibri"/>
          <w:u w:val="single"/>
        </w:rPr>
        <w:t>Exceptions to Certification for Paperwork Reduction Act Submissions</w:t>
      </w:r>
    </w:p>
    <w:p w:rsidR="00544138" w:rsidRPr="00EC6237" w:rsidP="0066261B" w14:paraId="19943B3B" w14:textId="77777777">
      <w:pPr>
        <w:rPr>
          <w:rFonts w:eastAsia="Calibri"/>
        </w:rPr>
      </w:pPr>
      <w:r w:rsidRPr="00EC6237">
        <w:rPr>
          <w:rFonts w:eastAsia="Calibri"/>
        </w:rPr>
        <w:t>No exceptions to the certification are associated with</w:t>
      </w:r>
      <w:r w:rsidR="00EC6237">
        <w:rPr>
          <w:rFonts w:eastAsia="Calibri"/>
        </w:rPr>
        <w:t xml:space="preserve"> this information collection</w:t>
      </w:r>
      <w:r w:rsidRPr="00EC6237">
        <w:rPr>
          <w:rFonts w:eastAsia="Calibri"/>
        </w:rPr>
        <w:t>.</w:t>
      </w:r>
    </w:p>
    <w:sectPr w:rsidSect="00550EE7">
      <w:footerReference w:type="even" r:id="rId7"/>
      <w:footerReference w:type="default" r:id="rId8"/>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4913" w:rsidP="003F3DF5" w14:paraId="2BB159F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24913" w14:paraId="4DD49DC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4913" w:rsidP="003F3DF5" w14:paraId="6F3B90A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824913" w14:paraId="5B2915D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26E448B2"/>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78F1CF0"/>
    <w:multiLevelType w:val="hybridMultilevel"/>
    <w:tmpl w:val="4CBEA54C"/>
    <w:lvl w:ilvl="0">
      <w:start w:val="13"/>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81631715">
    <w:abstractNumId w:val="6"/>
  </w:num>
  <w:num w:numId="2" w16cid:durableId="540090945">
    <w:abstractNumId w:val="1"/>
  </w:num>
  <w:num w:numId="3" w16cid:durableId="1233084293">
    <w:abstractNumId w:val="7"/>
  </w:num>
  <w:num w:numId="4" w16cid:durableId="996155051">
    <w:abstractNumId w:val="3"/>
  </w:num>
  <w:num w:numId="5" w16cid:durableId="1789198658">
    <w:abstractNumId w:val="8"/>
  </w:num>
  <w:num w:numId="6" w16cid:durableId="927542491">
    <w:abstractNumId w:val="0"/>
  </w:num>
  <w:num w:numId="7" w16cid:durableId="689525324">
    <w:abstractNumId w:val="2"/>
  </w:num>
  <w:num w:numId="8" w16cid:durableId="141700579">
    <w:abstractNumId w:val="4"/>
  </w:num>
  <w:num w:numId="9" w16cid:durableId="152131442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4DE9"/>
    <w:rsid w:val="00013034"/>
    <w:rsid w:val="00030C0B"/>
    <w:rsid w:val="0003193C"/>
    <w:rsid w:val="00031A2C"/>
    <w:rsid w:val="00042B93"/>
    <w:rsid w:val="00043C7F"/>
    <w:rsid w:val="0004605E"/>
    <w:rsid w:val="000467A8"/>
    <w:rsid w:val="00050FD7"/>
    <w:rsid w:val="00057D3B"/>
    <w:rsid w:val="00065274"/>
    <w:rsid w:val="0006570F"/>
    <w:rsid w:val="00065B36"/>
    <w:rsid w:val="00066B44"/>
    <w:rsid w:val="00075DE8"/>
    <w:rsid w:val="00084923"/>
    <w:rsid w:val="00087439"/>
    <w:rsid w:val="000A1472"/>
    <w:rsid w:val="000C1260"/>
    <w:rsid w:val="000C433F"/>
    <w:rsid w:val="000C560C"/>
    <w:rsid w:val="000C716E"/>
    <w:rsid w:val="000D080B"/>
    <w:rsid w:val="000D48FD"/>
    <w:rsid w:val="000D79CC"/>
    <w:rsid w:val="000E1C64"/>
    <w:rsid w:val="000E21F4"/>
    <w:rsid w:val="000F005C"/>
    <w:rsid w:val="000F07EB"/>
    <w:rsid w:val="000F323F"/>
    <w:rsid w:val="000F7119"/>
    <w:rsid w:val="00100739"/>
    <w:rsid w:val="0010493E"/>
    <w:rsid w:val="001075D3"/>
    <w:rsid w:val="00107885"/>
    <w:rsid w:val="00114FC4"/>
    <w:rsid w:val="0012329C"/>
    <w:rsid w:val="00134CFD"/>
    <w:rsid w:val="00134FA7"/>
    <w:rsid w:val="00137950"/>
    <w:rsid w:val="00146097"/>
    <w:rsid w:val="00152F29"/>
    <w:rsid w:val="00154C48"/>
    <w:rsid w:val="00163926"/>
    <w:rsid w:val="00166DF7"/>
    <w:rsid w:val="00167A20"/>
    <w:rsid w:val="00174D54"/>
    <w:rsid w:val="0017702C"/>
    <w:rsid w:val="001773D5"/>
    <w:rsid w:val="00185270"/>
    <w:rsid w:val="00193362"/>
    <w:rsid w:val="001951B3"/>
    <w:rsid w:val="001A3B5A"/>
    <w:rsid w:val="001B7CE9"/>
    <w:rsid w:val="001D495A"/>
    <w:rsid w:val="001D5121"/>
    <w:rsid w:val="001E244C"/>
    <w:rsid w:val="001E706A"/>
    <w:rsid w:val="001F1437"/>
    <w:rsid w:val="001F1BD6"/>
    <w:rsid w:val="001F6FCD"/>
    <w:rsid w:val="001F70F7"/>
    <w:rsid w:val="002042BE"/>
    <w:rsid w:val="0020498A"/>
    <w:rsid w:val="00206799"/>
    <w:rsid w:val="002074FE"/>
    <w:rsid w:val="00215A86"/>
    <w:rsid w:val="00216130"/>
    <w:rsid w:val="00216A3E"/>
    <w:rsid w:val="0022425B"/>
    <w:rsid w:val="002259EF"/>
    <w:rsid w:val="00242ED1"/>
    <w:rsid w:val="002444BB"/>
    <w:rsid w:val="00254069"/>
    <w:rsid w:val="00270748"/>
    <w:rsid w:val="002734E5"/>
    <w:rsid w:val="002746DB"/>
    <w:rsid w:val="00280CAF"/>
    <w:rsid w:val="00282F09"/>
    <w:rsid w:val="002913A1"/>
    <w:rsid w:val="00291810"/>
    <w:rsid w:val="00294D62"/>
    <w:rsid w:val="00297532"/>
    <w:rsid w:val="00297FFD"/>
    <w:rsid w:val="002A1210"/>
    <w:rsid w:val="002A47D2"/>
    <w:rsid w:val="002A539D"/>
    <w:rsid w:val="002A7FB5"/>
    <w:rsid w:val="002B1CEC"/>
    <w:rsid w:val="002B2074"/>
    <w:rsid w:val="002C7FAB"/>
    <w:rsid w:val="002D1451"/>
    <w:rsid w:val="002D14D8"/>
    <w:rsid w:val="002D4799"/>
    <w:rsid w:val="002E3FA4"/>
    <w:rsid w:val="002E53A5"/>
    <w:rsid w:val="002E64B8"/>
    <w:rsid w:val="002E6834"/>
    <w:rsid w:val="002E6BDF"/>
    <w:rsid w:val="002E70B8"/>
    <w:rsid w:val="002F2520"/>
    <w:rsid w:val="00301758"/>
    <w:rsid w:val="00303066"/>
    <w:rsid w:val="003113FF"/>
    <w:rsid w:val="00312622"/>
    <w:rsid w:val="0032277F"/>
    <w:rsid w:val="00336B69"/>
    <w:rsid w:val="0034302B"/>
    <w:rsid w:val="00350523"/>
    <w:rsid w:val="0035189D"/>
    <w:rsid w:val="00355B62"/>
    <w:rsid w:val="00357C8A"/>
    <w:rsid w:val="0036194E"/>
    <w:rsid w:val="003740BC"/>
    <w:rsid w:val="0037456B"/>
    <w:rsid w:val="003746B0"/>
    <w:rsid w:val="003801A3"/>
    <w:rsid w:val="00383D90"/>
    <w:rsid w:val="003870AE"/>
    <w:rsid w:val="003973A9"/>
    <w:rsid w:val="003A1A27"/>
    <w:rsid w:val="003A50CC"/>
    <w:rsid w:val="003B3FA8"/>
    <w:rsid w:val="003B42B3"/>
    <w:rsid w:val="003B6384"/>
    <w:rsid w:val="003C0FE2"/>
    <w:rsid w:val="003C4EBB"/>
    <w:rsid w:val="003C7926"/>
    <w:rsid w:val="003D1531"/>
    <w:rsid w:val="003D36F5"/>
    <w:rsid w:val="003E2304"/>
    <w:rsid w:val="003E4EC6"/>
    <w:rsid w:val="003E527E"/>
    <w:rsid w:val="003E553E"/>
    <w:rsid w:val="003E7078"/>
    <w:rsid w:val="003F128F"/>
    <w:rsid w:val="003F3DF5"/>
    <w:rsid w:val="003F73B8"/>
    <w:rsid w:val="0040297E"/>
    <w:rsid w:val="00411D11"/>
    <w:rsid w:val="00414494"/>
    <w:rsid w:val="00415E23"/>
    <w:rsid w:val="004166CE"/>
    <w:rsid w:val="0041670D"/>
    <w:rsid w:val="00423272"/>
    <w:rsid w:val="00424061"/>
    <w:rsid w:val="00426BB4"/>
    <w:rsid w:val="00442A3C"/>
    <w:rsid w:val="00443969"/>
    <w:rsid w:val="00446F8B"/>
    <w:rsid w:val="00447661"/>
    <w:rsid w:val="00447D74"/>
    <w:rsid w:val="00450A74"/>
    <w:rsid w:val="004546BF"/>
    <w:rsid w:val="0046069B"/>
    <w:rsid w:val="00465350"/>
    <w:rsid w:val="00474EB6"/>
    <w:rsid w:val="00476B91"/>
    <w:rsid w:val="004846BF"/>
    <w:rsid w:val="00494912"/>
    <w:rsid w:val="004A5323"/>
    <w:rsid w:val="004A5A99"/>
    <w:rsid w:val="004B1824"/>
    <w:rsid w:val="004B4B00"/>
    <w:rsid w:val="004C6979"/>
    <w:rsid w:val="004C72E0"/>
    <w:rsid w:val="004D13A2"/>
    <w:rsid w:val="004D3E7A"/>
    <w:rsid w:val="004F278F"/>
    <w:rsid w:val="004F594B"/>
    <w:rsid w:val="004F61E1"/>
    <w:rsid w:val="004F77F7"/>
    <w:rsid w:val="00514141"/>
    <w:rsid w:val="00515837"/>
    <w:rsid w:val="00516F70"/>
    <w:rsid w:val="00530FCC"/>
    <w:rsid w:val="0053380B"/>
    <w:rsid w:val="00537C48"/>
    <w:rsid w:val="00540524"/>
    <w:rsid w:val="00543194"/>
    <w:rsid w:val="00544138"/>
    <w:rsid w:val="00547E4E"/>
    <w:rsid w:val="00550EE7"/>
    <w:rsid w:val="00554E34"/>
    <w:rsid w:val="00556299"/>
    <w:rsid w:val="00562747"/>
    <w:rsid w:val="00573B46"/>
    <w:rsid w:val="0057653E"/>
    <w:rsid w:val="00583297"/>
    <w:rsid w:val="00584583"/>
    <w:rsid w:val="0058494E"/>
    <w:rsid w:val="0058544D"/>
    <w:rsid w:val="00590E90"/>
    <w:rsid w:val="00590EEB"/>
    <w:rsid w:val="00596872"/>
    <w:rsid w:val="005A233D"/>
    <w:rsid w:val="005A39CA"/>
    <w:rsid w:val="005A4099"/>
    <w:rsid w:val="005B5CEA"/>
    <w:rsid w:val="005C019A"/>
    <w:rsid w:val="005C38B2"/>
    <w:rsid w:val="005C5029"/>
    <w:rsid w:val="005C55C2"/>
    <w:rsid w:val="005C71CA"/>
    <w:rsid w:val="005C745C"/>
    <w:rsid w:val="005D4DF5"/>
    <w:rsid w:val="005E42BA"/>
    <w:rsid w:val="005E6193"/>
    <w:rsid w:val="0061067D"/>
    <w:rsid w:val="00611D6B"/>
    <w:rsid w:val="0061293D"/>
    <w:rsid w:val="006236C1"/>
    <w:rsid w:val="00625CFD"/>
    <w:rsid w:val="00627ED6"/>
    <w:rsid w:val="006326EC"/>
    <w:rsid w:val="00633A70"/>
    <w:rsid w:val="00641310"/>
    <w:rsid w:val="00653717"/>
    <w:rsid w:val="0066261B"/>
    <w:rsid w:val="00663A42"/>
    <w:rsid w:val="00663E08"/>
    <w:rsid w:val="006641C7"/>
    <w:rsid w:val="006705EA"/>
    <w:rsid w:val="00670BE2"/>
    <w:rsid w:val="006916D9"/>
    <w:rsid w:val="0069276B"/>
    <w:rsid w:val="006A0E05"/>
    <w:rsid w:val="006A26C6"/>
    <w:rsid w:val="006A465A"/>
    <w:rsid w:val="006A7D5D"/>
    <w:rsid w:val="006B2665"/>
    <w:rsid w:val="006B633F"/>
    <w:rsid w:val="006C1864"/>
    <w:rsid w:val="006C512E"/>
    <w:rsid w:val="006D0C12"/>
    <w:rsid w:val="006D4043"/>
    <w:rsid w:val="006D5D57"/>
    <w:rsid w:val="006D5F63"/>
    <w:rsid w:val="006D6951"/>
    <w:rsid w:val="006E2538"/>
    <w:rsid w:val="006E302F"/>
    <w:rsid w:val="006E3B7A"/>
    <w:rsid w:val="006F4D6D"/>
    <w:rsid w:val="006F7B6A"/>
    <w:rsid w:val="00705086"/>
    <w:rsid w:val="00710D50"/>
    <w:rsid w:val="007128A5"/>
    <w:rsid w:val="00722001"/>
    <w:rsid w:val="00731F76"/>
    <w:rsid w:val="007415F8"/>
    <w:rsid w:val="00745D9B"/>
    <w:rsid w:val="00751E66"/>
    <w:rsid w:val="00754497"/>
    <w:rsid w:val="0076204C"/>
    <w:rsid w:val="00787C39"/>
    <w:rsid w:val="00792947"/>
    <w:rsid w:val="00795DF3"/>
    <w:rsid w:val="007A373C"/>
    <w:rsid w:val="007B225C"/>
    <w:rsid w:val="007C31F5"/>
    <w:rsid w:val="007C75B1"/>
    <w:rsid w:val="007D31AC"/>
    <w:rsid w:val="007D3DFC"/>
    <w:rsid w:val="007E2F07"/>
    <w:rsid w:val="007E59A8"/>
    <w:rsid w:val="007F1D37"/>
    <w:rsid w:val="00801DFF"/>
    <w:rsid w:val="0080776D"/>
    <w:rsid w:val="00810145"/>
    <w:rsid w:val="008108FA"/>
    <w:rsid w:val="00810FF1"/>
    <w:rsid w:val="00811A97"/>
    <w:rsid w:val="00815749"/>
    <w:rsid w:val="00817014"/>
    <w:rsid w:val="00822336"/>
    <w:rsid w:val="00823DFA"/>
    <w:rsid w:val="00824913"/>
    <w:rsid w:val="008336D1"/>
    <w:rsid w:val="00842DB7"/>
    <w:rsid w:val="00843752"/>
    <w:rsid w:val="00844204"/>
    <w:rsid w:val="0084479F"/>
    <w:rsid w:val="00850F3D"/>
    <w:rsid w:val="00855496"/>
    <w:rsid w:val="0085725E"/>
    <w:rsid w:val="0086074F"/>
    <w:rsid w:val="00866EAC"/>
    <w:rsid w:val="00873D4F"/>
    <w:rsid w:val="0087508B"/>
    <w:rsid w:val="0087509F"/>
    <w:rsid w:val="0087683D"/>
    <w:rsid w:val="0088180A"/>
    <w:rsid w:val="00885B09"/>
    <w:rsid w:val="0089183A"/>
    <w:rsid w:val="00892400"/>
    <w:rsid w:val="00896BBB"/>
    <w:rsid w:val="008A209D"/>
    <w:rsid w:val="008A22BB"/>
    <w:rsid w:val="008A67BC"/>
    <w:rsid w:val="008A70BF"/>
    <w:rsid w:val="008B035D"/>
    <w:rsid w:val="008B0E29"/>
    <w:rsid w:val="008B0EFA"/>
    <w:rsid w:val="008B30AB"/>
    <w:rsid w:val="008B593E"/>
    <w:rsid w:val="008C3BB8"/>
    <w:rsid w:val="008C4B65"/>
    <w:rsid w:val="008E4A3A"/>
    <w:rsid w:val="008E5F55"/>
    <w:rsid w:val="008F208A"/>
    <w:rsid w:val="008F4554"/>
    <w:rsid w:val="008F6FBD"/>
    <w:rsid w:val="009009E7"/>
    <w:rsid w:val="00903C5D"/>
    <w:rsid w:val="00903F3D"/>
    <w:rsid w:val="00905DEF"/>
    <w:rsid w:val="00906056"/>
    <w:rsid w:val="009122AE"/>
    <w:rsid w:val="00913B43"/>
    <w:rsid w:val="00922713"/>
    <w:rsid w:val="009240B7"/>
    <w:rsid w:val="0092625A"/>
    <w:rsid w:val="00930203"/>
    <w:rsid w:val="009311D2"/>
    <w:rsid w:val="009311E6"/>
    <w:rsid w:val="00931275"/>
    <w:rsid w:val="00933F6C"/>
    <w:rsid w:val="00936AC7"/>
    <w:rsid w:val="00953B64"/>
    <w:rsid w:val="0095769A"/>
    <w:rsid w:val="00960BCE"/>
    <w:rsid w:val="009646A7"/>
    <w:rsid w:val="00970A88"/>
    <w:rsid w:val="00975ACB"/>
    <w:rsid w:val="009818A1"/>
    <w:rsid w:val="009876C6"/>
    <w:rsid w:val="00991233"/>
    <w:rsid w:val="009A1674"/>
    <w:rsid w:val="009B04BF"/>
    <w:rsid w:val="009B2989"/>
    <w:rsid w:val="009B38BE"/>
    <w:rsid w:val="009B4DF2"/>
    <w:rsid w:val="009C684F"/>
    <w:rsid w:val="009D074C"/>
    <w:rsid w:val="009D6E73"/>
    <w:rsid w:val="009F1F1D"/>
    <w:rsid w:val="009F2B4F"/>
    <w:rsid w:val="009F3C63"/>
    <w:rsid w:val="009F66B5"/>
    <w:rsid w:val="00A01055"/>
    <w:rsid w:val="00A02F10"/>
    <w:rsid w:val="00A059B6"/>
    <w:rsid w:val="00A0620C"/>
    <w:rsid w:val="00A1060C"/>
    <w:rsid w:val="00A16221"/>
    <w:rsid w:val="00A20A7D"/>
    <w:rsid w:val="00A31D54"/>
    <w:rsid w:val="00A35D42"/>
    <w:rsid w:val="00A41900"/>
    <w:rsid w:val="00A42CBD"/>
    <w:rsid w:val="00A455A3"/>
    <w:rsid w:val="00A46CCF"/>
    <w:rsid w:val="00A506DE"/>
    <w:rsid w:val="00A52EC6"/>
    <w:rsid w:val="00A53451"/>
    <w:rsid w:val="00A70426"/>
    <w:rsid w:val="00A707CC"/>
    <w:rsid w:val="00A71410"/>
    <w:rsid w:val="00A720FA"/>
    <w:rsid w:val="00A73B8E"/>
    <w:rsid w:val="00A75367"/>
    <w:rsid w:val="00A85476"/>
    <w:rsid w:val="00A900D6"/>
    <w:rsid w:val="00A9184D"/>
    <w:rsid w:val="00A91E9A"/>
    <w:rsid w:val="00A93ED9"/>
    <w:rsid w:val="00A955CF"/>
    <w:rsid w:val="00A96221"/>
    <w:rsid w:val="00AC1963"/>
    <w:rsid w:val="00AC2DBB"/>
    <w:rsid w:val="00AC6A99"/>
    <w:rsid w:val="00AD2B96"/>
    <w:rsid w:val="00AD6048"/>
    <w:rsid w:val="00AE09B2"/>
    <w:rsid w:val="00AF504B"/>
    <w:rsid w:val="00AF7665"/>
    <w:rsid w:val="00B055EF"/>
    <w:rsid w:val="00B06B5B"/>
    <w:rsid w:val="00B1075B"/>
    <w:rsid w:val="00B23769"/>
    <w:rsid w:val="00B23A6D"/>
    <w:rsid w:val="00B406E0"/>
    <w:rsid w:val="00B41789"/>
    <w:rsid w:val="00B65F02"/>
    <w:rsid w:val="00B7247D"/>
    <w:rsid w:val="00B81808"/>
    <w:rsid w:val="00B86A37"/>
    <w:rsid w:val="00B86DFA"/>
    <w:rsid w:val="00B9028E"/>
    <w:rsid w:val="00B936D0"/>
    <w:rsid w:val="00BA2490"/>
    <w:rsid w:val="00BB15FB"/>
    <w:rsid w:val="00BB3E3F"/>
    <w:rsid w:val="00BB7D57"/>
    <w:rsid w:val="00BC57F0"/>
    <w:rsid w:val="00BD2B71"/>
    <w:rsid w:val="00BD3D5B"/>
    <w:rsid w:val="00BD43E0"/>
    <w:rsid w:val="00BE164D"/>
    <w:rsid w:val="00BE3600"/>
    <w:rsid w:val="00BF7EF2"/>
    <w:rsid w:val="00C01F6F"/>
    <w:rsid w:val="00C020CC"/>
    <w:rsid w:val="00C02B6B"/>
    <w:rsid w:val="00C02E29"/>
    <w:rsid w:val="00C041EA"/>
    <w:rsid w:val="00C11C29"/>
    <w:rsid w:val="00C13BBD"/>
    <w:rsid w:val="00C149AB"/>
    <w:rsid w:val="00C16929"/>
    <w:rsid w:val="00C16B4B"/>
    <w:rsid w:val="00C20690"/>
    <w:rsid w:val="00C30361"/>
    <w:rsid w:val="00C36020"/>
    <w:rsid w:val="00C40694"/>
    <w:rsid w:val="00C479BF"/>
    <w:rsid w:val="00C5124B"/>
    <w:rsid w:val="00C5334F"/>
    <w:rsid w:val="00C6116E"/>
    <w:rsid w:val="00C6618E"/>
    <w:rsid w:val="00C70542"/>
    <w:rsid w:val="00C75CBF"/>
    <w:rsid w:val="00C90E04"/>
    <w:rsid w:val="00CA41DC"/>
    <w:rsid w:val="00CC1A9D"/>
    <w:rsid w:val="00CC2894"/>
    <w:rsid w:val="00CD1A75"/>
    <w:rsid w:val="00CD77C3"/>
    <w:rsid w:val="00CE09DC"/>
    <w:rsid w:val="00CE112C"/>
    <w:rsid w:val="00CE334F"/>
    <w:rsid w:val="00CE3F37"/>
    <w:rsid w:val="00CF55D4"/>
    <w:rsid w:val="00D06707"/>
    <w:rsid w:val="00D14E0B"/>
    <w:rsid w:val="00D1699A"/>
    <w:rsid w:val="00D173B1"/>
    <w:rsid w:val="00D23B7A"/>
    <w:rsid w:val="00D27A82"/>
    <w:rsid w:val="00D51112"/>
    <w:rsid w:val="00D552B4"/>
    <w:rsid w:val="00D60785"/>
    <w:rsid w:val="00D608DA"/>
    <w:rsid w:val="00D62581"/>
    <w:rsid w:val="00D626A2"/>
    <w:rsid w:val="00D730BF"/>
    <w:rsid w:val="00D75931"/>
    <w:rsid w:val="00D803F2"/>
    <w:rsid w:val="00D828BF"/>
    <w:rsid w:val="00D852F4"/>
    <w:rsid w:val="00D9013E"/>
    <w:rsid w:val="00D93219"/>
    <w:rsid w:val="00DA5475"/>
    <w:rsid w:val="00DA74ED"/>
    <w:rsid w:val="00DB1110"/>
    <w:rsid w:val="00DB3730"/>
    <w:rsid w:val="00DC00CE"/>
    <w:rsid w:val="00DC06F6"/>
    <w:rsid w:val="00DC371B"/>
    <w:rsid w:val="00DC3788"/>
    <w:rsid w:val="00DC76C7"/>
    <w:rsid w:val="00DD08FF"/>
    <w:rsid w:val="00DD09F5"/>
    <w:rsid w:val="00DD0E02"/>
    <w:rsid w:val="00DD411F"/>
    <w:rsid w:val="00DD4201"/>
    <w:rsid w:val="00DD5E9F"/>
    <w:rsid w:val="00DD6652"/>
    <w:rsid w:val="00DE000D"/>
    <w:rsid w:val="00DE4824"/>
    <w:rsid w:val="00DE5711"/>
    <w:rsid w:val="00DE69AF"/>
    <w:rsid w:val="00DF2266"/>
    <w:rsid w:val="00E00EA0"/>
    <w:rsid w:val="00E021CB"/>
    <w:rsid w:val="00E063AE"/>
    <w:rsid w:val="00E138F1"/>
    <w:rsid w:val="00E2309D"/>
    <w:rsid w:val="00E26758"/>
    <w:rsid w:val="00E27432"/>
    <w:rsid w:val="00E32E2C"/>
    <w:rsid w:val="00E37902"/>
    <w:rsid w:val="00E4357B"/>
    <w:rsid w:val="00E443A7"/>
    <w:rsid w:val="00E45904"/>
    <w:rsid w:val="00E62640"/>
    <w:rsid w:val="00E63DE5"/>
    <w:rsid w:val="00E647AF"/>
    <w:rsid w:val="00E647C7"/>
    <w:rsid w:val="00E65A37"/>
    <w:rsid w:val="00E65EF7"/>
    <w:rsid w:val="00E70999"/>
    <w:rsid w:val="00E715A0"/>
    <w:rsid w:val="00E73C2B"/>
    <w:rsid w:val="00E77B48"/>
    <w:rsid w:val="00E857FB"/>
    <w:rsid w:val="00E91799"/>
    <w:rsid w:val="00E97DF8"/>
    <w:rsid w:val="00EA21FE"/>
    <w:rsid w:val="00EA34E3"/>
    <w:rsid w:val="00EB7538"/>
    <w:rsid w:val="00EC1868"/>
    <w:rsid w:val="00EC24DE"/>
    <w:rsid w:val="00EC5F3F"/>
    <w:rsid w:val="00EC6237"/>
    <w:rsid w:val="00EE6468"/>
    <w:rsid w:val="00F1299B"/>
    <w:rsid w:val="00F136F5"/>
    <w:rsid w:val="00F16350"/>
    <w:rsid w:val="00F20524"/>
    <w:rsid w:val="00F207A4"/>
    <w:rsid w:val="00F23844"/>
    <w:rsid w:val="00F25173"/>
    <w:rsid w:val="00F355AC"/>
    <w:rsid w:val="00F40CF7"/>
    <w:rsid w:val="00F44194"/>
    <w:rsid w:val="00F527B0"/>
    <w:rsid w:val="00F5768E"/>
    <w:rsid w:val="00F645D4"/>
    <w:rsid w:val="00F71A5A"/>
    <w:rsid w:val="00F73A1A"/>
    <w:rsid w:val="00F768F8"/>
    <w:rsid w:val="00F769E0"/>
    <w:rsid w:val="00FA4A46"/>
    <w:rsid w:val="00FA75FE"/>
    <w:rsid w:val="00FB1032"/>
    <w:rsid w:val="00FB39BC"/>
    <w:rsid w:val="00FB69A9"/>
    <w:rsid w:val="00FB6A53"/>
    <w:rsid w:val="00FC11CA"/>
    <w:rsid w:val="00FC52D9"/>
    <w:rsid w:val="00FC6BDE"/>
    <w:rsid w:val="00FD64E3"/>
    <w:rsid w:val="00FE0E3B"/>
    <w:rsid w:val="00FF6138"/>
    <w:rsid w:val="00FF62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5A07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BodyText">
    <w:name w:val="Body Text"/>
    <w:basedOn w:val="Normal"/>
    <w:link w:val="BodyTextChar"/>
    <w:uiPriority w:val="1"/>
    <w:unhideWhenUsed/>
    <w:qFormat/>
    <w:rsid w:val="001F1BD6"/>
    <w:pPr>
      <w:spacing w:after="120"/>
    </w:pPr>
    <w:rPr>
      <w:sz w:val="20"/>
      <w:szCs w:val="20"/>
    </w:rPr>
  </w:style>
  <w:style w:type="character" w:customStyle="1" w:styleId="BodyTextChar">
    <w:name w:val="Body Text Char"/>
    <w:basedOn w:val="DefaultParagraphFont"/>
    <w:link w:val="BodyText"/>
    <w:uiPriority w:val="1"/>
    <w:rsid w:val="001F1BD6"/>
  </w:style>
  <w:style w:type="paragraph" w:customStyle="1" w:styleId="TableParagraph">
    <w:name w:val="Table Paragraph"/>
    <w:basedOn w:val="Normal"/>
    <w:uiPriority w:val="1"/>
    <w:qFormat/>
    <w:rsid w:val="001F1BD6"/>
    <w:pPr>
      <w:widowControl w:val="0"/>
    </w:pPr>
    <w:rPr>
      <w:rFonts w:ascii="Calibri" w:eastAsia="Calibri" w:hAnsi="Calibri"/>
      <w:sz w:val="22"/>
      <w:szCs w:val="22"/>
    </w:rPr>
  </w:style>
  <w:style w:type="character" w:styleId="CommentReference">
    <w:name w:val="annotation reference"/>
    <w:rsid w:val="0058544D"/>
    <w:rPr>
      <w:sz w:val="16"/>
      <w:szCs w:val="16"/>
    </w:rPr>
  </w:style>
  <w:style w:type="paragraph" w:styleId="CommentText">
    <w:name w:val="annotation text"/>
    <w:basedOn w:val="Normal"/>
    <w:link w:val="CommentTextChar"/>
    <w:rsid w:val="0058544D"/>
    <w:rPr>
      <w:sz w:val="20"/>
      <w:szCs w:val="20"/>
    </w:rPr>
  </w:style>
  <w:style w:type="character" w:customStyle="1" w:styleId="CommentTextChar">
    <w:name w:val="Comment Text Char"/>
    <w:basedOn w:val="DefaultParagraphFont"/>
    <w:link w:val="CommentText"/>
    <w:rsid w:val="0058544D"/>
  </w:style>
  <w:style w:type="paragraph" w:styleId="CommentSubject">
    <w:name w:val="annotation subject"/>
    <w:basedOn w:val="CommentText"/>
    <w:next w:val="CommentText"/>
    <w:link w:val="CommentSubjectChar"/>
    <w:rsid w:val="0058544D"/>
    <w:rPr>
      <w:b/>
      <w:bCs/>
    </w:rPr>
  </w:style>
  <w:style w:type="character" w:customStyle="1" w:styleId="CommentSubjectChar">
    <w:name w:val="Comment Subject Char"/>
    <w:link w:val="CommentSubject"/>
    <w:rsid w:val="005854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regulatory-information/search-fda-guidance-documents/safety-labeling-changes-implementation-section-505o4-federal-food-drug-and-cosmetic-act" TargetMode="External" /><Relationship Id="rId5" Type="http://schemas.openxmlformats.org/officeDocument/2006/relationships/hyperlink" Target="https://www.fda.gov/regulatory-information/search-fda-guidance-documents/hypertension-indication-drug-labeling-cardiovascular-outcome-claims" TargetMode="External" /><Relationship Id="rId6" Type="http://schemas.openxmlformats.org/officeDocument/2006/relationships/hyperlink" Target="https://www.fda.gov/media/86080/download"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2152</Words>
  <Characters>13461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2025-01-30T22:12:00Z</dcterms:created>
  <dcterms:modified xsi:type="dcterms:W3CDTF">2025-01-30T22:56:00Z</dcterms:modified>
</cp:coreProperties>
</file>