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39A1" w:rsidP="00357C8A" w14:paraId="49B740B2" w14:textId="77777777">
      <w:pPr>
        <w:jc w:val="center"/>
        <w:rPr>
          <w:rFonts w:eastAsia="Calibri"/>
        </w:rPr>
      </w:pPr>
      <w:r>
        <w:rPr>
          <w:rFonts w:eastAsia="Calibri"/>
        </w:rPr>
        <w:t>UNITED STATES FOOD &amp; DRUG ADMINISTRATION</w:t>
      </w:r>
    </w:p>
    <w:p w:rsidR="00C339A1" w:rsidP="00357C8A" w14:paraId="4210E512" w14:textId="77777777">
      <w:pPr>
        <w:jc w:val="center"/>
        <w:rPr>
          <w:rFonts w:eastAsia="Calibri"/>
        </w:rPr>
      </w:pPr>
    </w:p>
    <w:p w:rsidR="001757D5" w:rsidP="001757D5" w14:paraId="52AEC645" w14:textId="77777777">
      <w:pPr>
        <w:jc w:val="center"/>
        <w:rPr>
          <w:rFonts w:eastAsia="Calibri"/>
        </w:rPr>
      </w:pPr>
      <w:r w:rsidRPr="002F6ABB">
        <w:rPr>
          <w:rFonts w:eastAsia="Calibri"/>
        </w:rPr>
        <w:t>Interstate Shellfish Dealer’s Certificate</w:t>
      </w:r>
      <w:r>
        <w:t xml:space="preserve"> and</w:t>
      </w:r>
      <w:r>
        <w:rPr>
          <w:rFonts w:eastAsia="Calibri"/>
        </w:rPr>
        <w:t xml:space="preserve"> </w:t>
      </w:r>
      <w:r w:rsidRPr="00135451" w:rsidR="00135451">
        <w:rPr>
          <w:rFonts w:eastAsia="Calibri"/>
        </w:rPr>
        <w:t xml:space="preserve">Participation in the </w:t>
      </w:r>
    </w:p>
    <w:p w:rsidR="00357C8A" w:rsidP="001757D5" w14:paraId="52A6AD3E" w14:textId="483C7705">
      <w:pPr>
        <w:jc w:val="center"/>
        <w:rPr>
          <w:rFonts w:eastAsia="Calibri"/>
        </w:rPr>
      </w:pPr>
      <w:r w:rsidRPr="00135451">
        <w:rPr>
          <w:rFonts w:eastAsia="Calibri"/>
        </w:rPr>
        <w:t>National Shellfish Sanitary Program</w:t>
      </w:r>
    </w:p>
    <w:p w:rsidR="00AD6ADD" w:rsidP="00700956" w14:paraId="22905037" w14:textId="77777777">
      <w:pPr>
        <w:rPr>
          <w:rFonts w:eastAsia="Calibri"/>
        </w:rPr>
      </w:pPr>
    </w:p>
    <w:p w:rsidR="00357C8A" w:rsidRPr="00A679CD" w:rsidP="00357C8A" w14:paraId="5F50FBF0" w14:textId="0322CE4B">
      <w:pPr>
        <w:jc w:val="center"/>
        <w:rPr>
          <w:rFonts w:eastAsia="Calibri"/>
        </w:rPr>
      </w:pPr>
      <w:r w:rsidRPr="009053F7">
        <w:rPr>
          <w:rFonts w:eastAsia="Calibri"/>
          <w:u w:val="single"/>
        </w:rPr>
        <w:t>OMB Control No. 0910-</w:t>
      </w:r>
      <w:r w:rsidRPr="009053F7" w:rsidR="002F6ABB">
        <w:rPr>
          <w:rFonts w:eastAsia="Calibri"/>
          <w:u w:val="single"/>
        </w:rPr>
        <w:t>0021</w:t>
      </w:r>
      <w:r w:rsidR="009053F7">
        <w:rPr>
          <w:rFonts w:eastAsia="Calibri"/>
        </w:rPr>
        <w:t xml:space="preserve"> - Revision</w:t>
      </w:r>
    </w:p>
    <w:p w:rsidR="00357C8A" w:rsidP="00357C8A" w14:paraId="40DE0CEA" w14:textId="77777777">
      <w:pPr>
        <w:jc w:val="center"/>
        <w:rPr>
          <w:rFonts w:eastAsia="Calibri"/>
        </w:rPr>
      </w:pPr>
    </w:p>
    <w:p w:rsidR="00AD6ADD" w:rsidP="000D79CC" w14:paraId="2ED4ABB0" w14:textId="77777777">
      <w:pPr>
        <w:rPr>
          <w:rFonts w:eastAsia="Calibri"/>
        </w:rPr>
      </w:pPr>
    </w:p>
    <w:p w:rsidR="00357C8A" w:rsidP="000D79CC" w14:paraId="635E1364" w14:textId="6D74A46C">
      <w:pPr>
        <w:rPr>
          <w:rFonts w:eastAsia="Calibri"/>
        </w:rPr>
      </w:pPr>
      <w:r w:rsidRPr="00357C8A">
        <w:rPr>
          <w:rFonts w:eastAsia="Calibri"/>
        </w:rPr>
        <w:t>SUPPORTING STATEMENT</w:t>
      </w:r>
      <w:r w:rsidR="00AD6ADD">
        <w:rPr>
          <w:rFonts w:eastAsia="Calibri"/>
        </w:rPr>
        <w:t xml:space="preserve"> – </w:t>
      </w:r>
      <w:r w:rsidRPr="00357C8A">
        <w:rPr>
          <w:rFonts w:eastAsia="Calibri"/>
          <w:b/>
        </w:rPr>
        <w:t>Part A:  Justification</w:t>
      </w:r>
      <w:r w:rsidRPr="00357C8A">
        <w:rPr>
          <w:rFonts w:eastAsia="Calibri"/>
        </w:rPr>
        <w:t>:</w:t>
      </w:r>
    </w:p>
    <w:p w:rsidR="000D79CC" w:rsidRPr="00357C8A" w:rsidP="000D79CC" w14:paraId="2B1AD37F" w14:textId="77777777">
      <w:pPr>
        <w:rPr>
          <w:rFonts w:eastAsia="Calibri"/>
        </w:rPr>
      </w:pPr>
    </w:p>
    <w:p w:rsidR="00357C8A" w:rsidRPr="00357C8A" w:rsidP="006705EA" w14:paraId="3F3085C1"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2F6ABB" w:rsidRPr="002F6ABB" w:rsidP="00BF7CDA" w14:paraId="4388160E" w14:textId="22CDA021">
      <w:pPr>
        <w:rPr>
          <w:rFonts w:eastAsia="Calibri"/>
        </w:rPr>
      </w:pPr>
      <w:r w:rsidRPr="002F6ABB">
        <w:rPr>
          <w:rFonts w:eastAsia="Calibri"/>
        </w:rPr>
        <w:t>This information collection supports the Food and Drug Administration’s (</w:t>
      </w:r>
      <w:r w:rsidRPr="002F6ABB">
        <w:rPr>
          <w:rFonts w:eastAsia="Calibri"/>
        </w:rPr>
        <w:t>FDA</w:t>
      </w:r>
      <w:r w:rsidR="00E67CBC">
        <w:rPr>
          <w:rFonts w:eastAsia="Calibri"/>
        </w:rPr>
        <w:t>’s</w:t>
      </w:r>
      <w:r w:rsidRPr="002F6ABB">
        <w:rPr>
          <w:rFonts w:eastAsia="Calibri"/>
        </w:rPr>
        <w:t xml:space="preserve">) Interstate Shellfish Dealer’s Certificate program.  Under section 243 of the Public Health Service Act </w:t>
      </w:r>
      <w:r w:rsidRPr="003722E9" w:rsidR="003722E9">
        <w:rPr>
          <w:rFonts w:eastAsia="Calibri"/>
        </w:rPr>
        <w:t>(</w:t>
      </w:r>
      <w:r w:rsidRPr="003722E9" w:rsidR="003722E9">
        <w:rPr>
          <w:rFonts w:eastAsia="Calibri"/>
        </w:rPr>
        <w:t xml:space="preserve">PHS Act) </w:t>
      </w:r>
      <w:r w:rsidRPr="002F6ABB">
        <w:rPr>
          <w:rFonts w:eastAsia="Calibri"/>
        </w:rPr>
        <w:t>(</w:t>
      </w:r>
      <w:r w:rsidRPr="002F6ABB">
        <w:rPr>
          <w:rFonts w:eastAsia="Calibri"/>
        </w:rPr>
        <w:t>42 U.S.C. 243), we are required to cooperate with and aid State and local authorities in the enforcement of their health regulations and are authorized to assist States in the prevention and suppression of communicable diseases.  Under this authority, we participate with State regulatory agencies, some foreign nations, and the U.S. bivalve molluscan shellfish industry in the National Shellfish Sanitation Program (NSSP).</w:t>
      </w:r>
    </w:p>
    <w:p w:rsidR="002F6ABB" w:rsidRPr="002F6ABB" w:rsidP="00BF7CDA" w14:paraId="56C2E1DD" w14:textId="77777777">
      <w:pPr>
        <w:rPr>
          <w:rFonts w:eastAsia="Calibri"/>
        </w:rPr>
      </w:pPr>
    </w:p>
    <w:p w:rsidR="002F6ABB" w:rsidRPr="002F6ABB" w:rsidP="00BF7CDA" w14:paraId="0D5FBFC4" w14:textId="62496E2C">
      <w:pPr>
        <w:rPr>
          <w:rFonts w:eastAsia="Calibri"/>
        </w:rPr>
      </w:pPr>
      <w:r w:rsidRPr="002F6ABB">
        <w:rPr>
          <w:rFonts w:eastAsia="Calibri"/>
        </w:rPr>
        <w:t>Molluscan shellfish consumed fresh (raw) and fresh frozen poses unique public health concerns.  The safety of molluscan shellfish directly reflects the cleanliness of the waters where they are grown.  Molluscan shellfish are sessile, filter</w:t>
      </w:r>
      <w:r w:rsidR="00C665CB">
        <w:rPr>
          <w:rFonts w:eastAsia="Calibri"/>
        </w:rPr>
        <w:t>-</w:t>
      </w:r>
      <w:r w:rsidRPr="002F6ABB">
        <w:rPr>
          <w:rFonts w:eastAsia="Calibri"/>
        </w:rPr>
        <w:t>feeding organisms that pump large quantities of water through their bodies during their normal feeding process.  The relationship between shellfish harvesting waters that are contaminated with sewage and other forms of pollution and food safety concerns has been demonstrated often.  Additionally, bivalve molluscan shellfish must be held, packed, and shipped under sanitary conditions to prevent contamination subsequent to harvest and prior to delivery to the consumer.</w:t>
      </w:r>
    </w:p>
    <w:p w:rsidR="002F6ABB" w:rsidRPr="002F6ABB" w:rsidP="00BF7CDA" w14:paraId="2D4C8BEF" w14:textId="77777777">
      <w:pPr>
        <w:rPr>
          <w:rFonts w:eastAsia="Calibri"/>
        </w:rPr>
      </w:pPr>
    </w:p>
    <w:p w:rsidR="00087CCE" w:rsidP="00087CCE" w14:paraId="11FDB0A9" w14:textId="4FB9B44A">
      <w:pPr>
        <w:rPr>
          <w:rFonts w:eastAsia="Calibri"/>
        </w:rPr>
      </w:pPr>
      <w:r w:rsidRPr="002F6ABB">
        <w:rPr>
          <w:rFonts w:eastAsia="Calibri"/>
        </w:rPr>
        <w:t xml:space="preserve">The NSSP is a voluntary cooperative program to promote the safety of molluscan shellfish by providing for the classification and patrol of shellfish growing waters and for the inspection and certification of shellfish dealers.  Each participating State and foreign nation monitor its molluscan shellfish production and issues certificates for those dealers that meet the State or foreign shellfish control authority’s criteria.  Each participating State and nation provide a certificate of its certified shellfish dealers </w:t>
      </w:r>
      <w:r w:rsidR="00A679CD">
        <w:rPr>
          <w:rFonts w:eastAsia="Calibri"/>
        </w:rPr>
        <w:t xml:space="preserve">using </w:t>
      </w:r>
      <w:r w:rsidRPr="00A679CD">
        <w:rPr>
          <w:rFonts w:eastAsia="Calibri"/>
          <w:b/>
        </w:rPr>
        <w:t>Form FDA 3038</w:t>
      </w:r>
      <w:r w:rsidRPr="002F6ABB">
        <w:rPr>
          <w:rFonts w:eastAsia="Calibri"/>
        </w:rPr>
        <w:t>, “</w:t>
      </w:r>
      <w:r w:rsidRPr="008B66FE">
        <w:rPr>
          <w:rFonts w:eastAsia="Calibri"/>
          <w:i/>
          <w:iCs/>
        </w:rPr>
        <w:t>Interstate Shellfish Dealer’s Certificate</w:t>
      </w:r>
      <w:r w:rsidRPr="002F6ABB">
        <w:rPr>
          <w:rFonts w:eastAsia="Calibri"/>
        </w:rPr>
        <w:t>” available</w:t>
      </w:r>
      <w:r w:rsidR="000D04A3">
        <w:rPr>
          <w:rFonts w:eastAsia="Calibri"/>
        </w:rPr>
        <w:t xml:space="preserve"> </w:t>
      </w:r>
      <w:r w:rsidR="000D04A3">
        <w:rPr>
          <w:rFonts w:eastAsia="Calibri"/>
        </w:rPr>
        <w:t>for download</w:t>
      </w:r>
      <w:r w:rsidRPr="002F6ABB">
        <w:rPr>
          <w:rFonts w:eastAsia="Calibri"/>
        </w:rPr>
        <w:t xml:space="preserve"> </w:t>
      </w:r>
      <w:r w:rsidRPr="002F6ABB">
        <w:rPr>
          <w:rFonts w:eastAsia="Calibri"/>
        </w:rPr>
        <w:t xml:space="preserve">at </w:t>
      </w:r>
      <w:hyperlink r:id="rId4" w:history="1">
        <w:r w:rsidRPr="00087CCE">
          <w:rPr>
            <w:rStyle w:val="Hyperlink"/>
            <w:rFonts w:eastAsia="Calibri"/>
          </w:rPr>
          <w:t>https://www.fda.gov/media/72094/download</w:t>
        </w:r>
      </w:hyperlink>
      <w:r w:rsidRPr="002F6ABB">
        <w:rPr>
          <w:rFonts w:eastAsia="Calibri"/>
        </w:rPr>
        <w:t xml:space="preserve">.  </w:t>
      </w:r>
      <w:r w:rsidRPr="002F6ABB">
        <w:rPr>
          <w:rFonts w:eastAsia="Calibri"/>
        </w:rPr>
        <w:t>We use this information to publish the “</w:t>
      </w:r>
      <w:r w:rsidRPr="008B66FE">
        <w:rPr>
          <w:rFonts w:eastAsia="Calibri"/>
          <w:i/>
          <w:iCs/>
        </w:rPr>
        <w:t>Interstate Certified Shellfish Shippers List (ICSSL)</w:t>
      </w:r>
      <w:r w:rsidRPr="002F6ABB">
        <w:rPr>
          <w:rFonts w:eastAsia="Calibri"/>
        </w:rPr>
        <w:t xml:space="preserve">,” a monthly comprehensive listing of all molluscan shellfish dealers certified under the cooperative program, which is available at </w:t>
      </w:r>
      <w:hyperlink r:id="rId5" w:history="1">
        <w:r w:rsidRPr="00087CCE">
          <w:rPr>
            <w:rStyle w:val="Hyperlink"/>
            <w:rFonts w:eastAsia="Calibri"/>
          </w:rPr>
          <w:t>https://www.fda.gov/food/federalstate-food-programs/interstate-certified-shellfish-shippers-list</w:t>
        </w:r>
      </w:hyperlink>
      <w:r w:rsidRPr="002F6ABB">
        <w:rPr>
          <w:rFonts w:eastAsia="Calibri"/>
        </w:rPr>
        <w:t>.</w:t>
      </w:r>
      <w:r>
        <w:rPr>
          <w:rFonts w:eastAsia="Calibri"/>
        </w:rPr>
        <w:t xml:space="preserve">  </w:t>
      </w:r>
      <w:r w:rsidRPr="00087CCE">
        <w:rPr>
          <w:rFonts w:eastAsia="Calibri"/>
        </w:rPr>
        <w:t>We also</w:t>
      </w:r>
      <w:r>
        <w:rPr>
          <w:rFonts w:eastAsia="Calibri"/>
        </w:rPr>
        <w:t xml:space="preserve"> </w:t>
      </w:r>
      <w:r w:rsidRPr="00087CCE">
        <w:rPr>
          <w:rFonts w:eastAsia="Calibri"/>
        </w:rPr>
        <w:t>provide information on our website at</w:t>
      </w:r>
      <w:r>
        <w:rPr>
          <w:rFonts w:eastAsia="Calibri"/>
        </w:rPr>
        <w:t xml:space="preserve"> </w:t>
      </w:r>
      <w:hyperlink r:id="rId6" w:history="1">
        <w:r w:rsidRPr="008B66FE" w:rsidR="008B66FE">
          <w:rPr>
            <w:rStyle w:val="Hyperlink"/>
            <w:rFonts w:eastAsia="Calibri"/>
          </w:rPr>
          <w:t>https://www.fda.gov/federal-state-local-tribal-and-territorial-officials/state-cooperative-programs/fda-national-shellfish-sanitation-program</w:t>
        </w:r>
      </w:hyperlink>
      <w:r w:rsidRPr="00087CCE">
        <w:rPr>
          <w:rFonts w:eastAsia="Calibri"/>
        </w:rPr>
        <w:t>, which</w:t>
      </w:r>
      <w:r>
        <w:rPr>
          <w:rFonts w:eastAsia="Calibri"/>
        </w:rPr>
        <w:t xml:space="preserve"> </w:t>
      </w:r>
      <w:r w:rsidRPr="00087CCE">
        <w:rPr>
          <w:rFonts w:eastAsia="Calibri"/>
        </w:rPr>
        <w:t>may serve as a helpful resource to</w:t>
      </w:r>
      <w:r>
        <w:rPr>
          <w:rFonts w:eastAsia="Calibri"/>
        </w:rPr>
        <w:t xml:space="preserve"> </w:t>
      </w:r>
      <w:r w:rsidRPr="00087CCE">
        <w:rPr>
          <w:rFonts w:eastAsia="Calibri"/>
        </w:rPr>
        <w:t>respondents.</w:t>
      </w:r>
    </w:p>
    <w:p w:rsidR="009F19FD" w:rsidP="00087CCE" w14:paraId="72FEADEA" w14:textId="77777777">
      <w:pPr>
        <w:rPr>
          <w:rFonts w:eastAsia="Calibri"/>
        </w:rPr>
      </w:pPr>
    </w:p>
    <w:p w:rsidR="009F19FD" w:rsidP="009F19FD" w14:paraId="3607BD5E" w14:textId="77777777">
      <w:pPr>
        <w:rPr>
          <w:rFonts w:eastAsia="Calibri"/>
        </w:rPr>
      </w:pPr>
      <w:r w:rsidRPr="00087CCE">
        <w:rPr>
          <w:rFonts w:eastAsia="Calibri"/>
        </w:rPr>
        <w:t>Form FDA 3038 may be submitted on</w:t>
      </w:r>
      <w:r>
        <w:rPr>
          <w:rFonts w:eastAsia="Calibri"/>
        </w:rPr>
        <w:t xml:space="preserve"> </w:t>
      </w:r>
      <w:r w:rsidRPr="00087CCE">
        <w:rPr>
          <w:rFonts w:eastAsia="Calibri"/>
        </w:rPr>
        <w:t>paper or submitted electronically by</w:t>
      </w:r>
      <w:r>
        <w:rPr>
          <w:rFonts w:eastAsia="Calibri"/>
        </w:rPr>
        <w:t xml:space="preserve"> </w:t>
      </w:r>
      <w:r w:rsidRPr="00087CCE">
        <w:rPr>
          <w:rFonts w:eastAsia="Calibri"/>
        </w:rPr>
        <w:t xml:space="preserve">State or international officials. </w:t>
      </w:r>
      <w:r>
        <w:rPr>
          <w:rFonts w:eastAsia="Calibri"/>
        </w:rPr>
        <w:t xml:space="preserve"> </w:t>
      </w:r>
      <w:r w:rsidRPr="00087CCE">
        <w:rPr>
          <w:rFonts w:eastAsia="Calibri"/>
        </w:rPr>
        <w:t>These</w:t>
      </w:r>
      <w:r>
        <w:rPr>
          <w:rFonts w:eastAsia="Calibri"/>
        </w:rPr>
        <w:t xml:space="preserve"> </w:t>
      </w:r>
      <w:r w:rsidRPr="00087CCE">
        <w:rPr>
          <w:rFonts w:eastAsia="Calibri"/>
        </w:rPr>
        <w:t>officials securely log into a shellfish</w:t>
      </w:r>
      <w:r>
        <w:rPr>
          <w:rFonts w:eastAsia="Calibri"/>
        </w:rPr>
        <w:t xml:space="preserve"> </w:t>
      </w:r>
      <w:r w:rsidRPr="00087CCE">
        <w:rPr>
          <w:rFonts w:eastAsia="Calibri"/>
        </w:rPr>
        <w:t>shippers account to fill out Form FDA</w:t>
      </w:r>
      <w:r>
        <w:rPr>
          <w:rFonts w:eastAsia="Calibri"/>
        </w:rPr>
        <w:t xml:space="preserve"> </w:t>
      </w:r>
      <w:r w:rsidRPr="00087CCE">
        <w:rPr>
          <w:rFonts w:eastAsia="Calibri"/>
        </w:rPr>
        <w:t xml:space="preserve">3038 electronically. </w:t>
      </w:r>
      <w:r>
        <w:rPr>
          <w:rFonts w:eastAsia="Calibri"/>
        </w:rPr>
        <w:t xml:space="preserve"> </w:t>
      </w:r>
      <w:r w:rsidRPr="00087CCE">
        <w:rPr>
          <w:rFonts w:eastAsia="Calibri"/>
        </w:rPr>
        <w:t>The information</w:t>
      </w:r>
      <w:r>
        <w:rPr>
          <w:rFonts w:eastAsia="Calibri"/>
        </w:rPr>
        <w:t xml:space="preserve"> </w:t>
      </w:r>
      <w:r w:rsidRPr="00087CCE">
        <w:rPr>
          <w:rFonts w:eastAsia="Calibri"/>
        </w:rPr>
        <w:t>obtained from the form has been</w:t>
      </w:r>
      <w:r>
        <w:rPr>
          <w:rFonts w:eastAsia="Calibri"/>
        </w:rPr>
        <w:t xml:space="preserve"> </w:t>
      </w:r>
      <w:r w:rsidRPr="00087CCE">
        <w:rPr>
          <w:rFonts w:eastAsia="Calibri"/>
        </w:rPr>
        <w:t xml:space="preserve">entirely automated. </w:t>
      </w:r>
      <w:r>
        <w:rPr>
          <w:rFonts w:eastAsia="Calibri"/>
        </w:rPr>
        <w:t xml:space="preserve"> </w:t>
      </w:r>
      <w:r w:rsidRPr="00087CCE">
        <w:rPr>
          <w:rFonts w:eastAsia="Calibri"/>
        </w:rPr>
        <w:t xml:space="preserve">The </w:t>
      </w:r>
      <w:r w:rsidRPr="00087CCE">
        <w:rPr>
          <w:rFonts w:eastAsia="Calibri"/>
        </w:rPr>
        <w:t>forms</w:t>
      </w:r>
      <w:r>
        <w:rPr>
          <w:rFonts w:eastAsia="Calibri"/>
        </w:rPr>
        <w:t xml:space="preserve"> </w:t>
      </w:r>
      <w:r w:rsidRPr="00087CCE">
        <w:rPr>
          <w:rFonts w:eastAsia="Calibri"/>
        </w:rPr>
        <w:t>transmitted by the States, after approval</w:t>
      </w:r>
      <w:r>
        <w:rPr>
          <w:rFonts w:eastAsia="Calibri"/>
        </w:rPr>
        <w:t xml:space="preserve"> </w:t>
      </w:r>
      <w:r w:rsidRPr="00087CCE">
        <w:rPr>
          <w:rFonts w:eastAsia="Calibri"/>
        </w:rPr>
        <w:t>by an FDA official, are entered into an</w:t>
      </w:r>
      <w:r>
        <w:rPr>
          <w:rFonts w:eastAsia="Calibri"/>
        </w:rPr>
        <w:t xml:space="preserve"> </w:t>
      </w:r>
      <w:r w:rsidRPr="00087CCE">
        <w:rPr>
          <w:rFonts w:eastAsia="Calibri"/>
        </w:rPr>
        <w:t>FDA computer database program that</w:t>
      </w:r>
      <w:r>
        <w:rPr>
          <w:rFonts w:eastAsia="Calibri"/>
        </w:rPr>
        <w:t xml:space="preserve"> </w:t>
      </w:r>
      <w:r w:rsidRPr="00087CCE">
        <w:rPr>
          <w:rFonts w:eastAsia="Calibri"/>
        </w:rPr>
        <w:t>allows the addition, deletion, download,</w:t>
      </w:r>
      <w:r>
        <w:rPr>
          <w:rFonts w:eastAsia="Calibri"/>
        </w:rPr>
        <w:t xml:space="preserve"> </w:t>
      </w:r>
      <w:r w:rsidRPr="00087CCE">
        <w:rPr>
          <w:rFonts w:eastAsia="Calibri"/>
        </w:rPr>
        <w:t xml:space="preserve">and generation of the </w:t>
      </w:r>
      <w:r>
        <w:rPr>
          <w:rFonts w:eastAsia="Calibri"/>
        </w:rPr>
        <w:t>ICSSL</w:t>
      </w:r>
      <w:r w:rsidRPr="00087CCE">
        <w:rPr>
          <w:rFonts w:eastAsia="Calibri"/>
        </w:rPr>
        <w:t>, published</w:t>
      </w:r>
      <w:r>
        <w:rPr>
          <w:rFonts w:eastAsia="Calibri"/>
        </w:rPr>
        <w:t xml:space="preserve"> </w:t>
      </w:r>
      <w:r w:rsidRPr="00087CCE">
        <w:rPr>
          <w:rFonts w:eastAsia="Calibri"/>
        </w:rPr>
        <w:t>monthly in PDF format, and may be</w:t>
      </w:r>
      <w:r>
        <w:rPr>
          <w:rFonts w:eastAsia="Calibri"/>
        </w:rPr>
        <w:t xml:space="preserve"> </w:t>
      </w:r>
      <w:r w:rsidRPr="00087CCE">
        <w:rPr>
          <w:rFonts w:eastAsia="Calibri"/>
        </w:rPr>
        <w:t>updated daily when new data is</w:t>
      </w:r>
      <w:r>
        <w:rPr>
          <w:rFonts w:eastAsia="Calibri"/>
        </w:rPr>
        <w:t xml:space="preserve"> </w:t>
      </w:r>
      <w:r w:rsidRPr="00087CCE">
        <w:rPr>
          <w:rFonts w:eastAsia="Calibri"/>
        </w:rPr>
        <w:t>available.</w:t>
      </w:r>
    </w:p>
    <w:p w:rsidR="00087CCE" w:rsidRPr="00087CCE" w:rsidP="00087CCE" w14:paraId="58BC98F9" w14:textId="77777777">
      <w:pPr>
        <w:rPr>
          <w:rFonts w:eastAsia="Calibri"/>
        </w:rPr>
      </w:pPr>
    </w:p>
    <w:p w:rsidR="002F6ABB" w:rsidRPr="002F6ABB" w:rsidP="00087CCE" w14:paraId="6CA11F78" w14:textId="0091DA4E">
      <w:pPr>
        <w:rPr>
          <w:rFonts w:eastAsia="Calibri"/>
        </w:rPr>
      </w:pPr>
      <w:r w:rsidRPr="00087CCE">
        <w:rPr>
          <w:rFonts w:eastAsia="Calibri"/>
        </w:rPr>
        <w:t>Under the authority of section 243 of</w:t>
      </w:r>
      <w:r>
        <w:rPr>
          <w:rFonts w:eastAsia="Calibri"/>
        </w:rPr>
        <w:t xml:space="preserve"> </w:t>
      </w:r>
      <w:r w:rsidRPr="00087CCE">
        <w:rPr>
          <w:rFonts w:eastAsia="Calibri"/>
        </w:rPr>
        <w:t>the PHS Act, we are revising this</w:t>
      </w:r>
      <w:r>
        <w:rPr>
          <w:rFonts w:eastAsia="Calibri"/>
        </w:rPr>
        <w:t xml:space="preserve"> </w:t>
      </w:r>
      <w:r w:rsidRPr="00087CCE">
        <w:rPr>
          <w:rFonts w:eastAsia="Calibri"/>
        </w:rPr>
        <w:t>information collection to also collect</w:t>
      </w:r>
      <w:r>
        <w:rPr>
          <w:rFonts w:eastAsia="Calibri"/>
        </w:rPr>
        <w:t xml:space="preserve"> </w:t>
      </w:r>
      <w:r w:rsidRPr="00087CCE">
        <w:rPr>
          <w:rFonts w:eastAsia="Calibri"/>
        </w:rPr>
        <w:t>from State regulatory agencies samples</w:t>
      </w:r>
      <w:r>
        <w:rPr>
          <w:rFonts w:eastAsia="Calibri"/>
        </w:rPr>
        <w:t xml:space="preserve"> </w:t>
      </w:r>
      <w:r w:rsidRPr="00087CCE">
        <w:rPr>
          <w:rFonts w:eastAsia="Calibri"/>
        </w:rPr>
        <w:t xml:space="preserve">of shellfish, along with </w:t>
      </w:r>
      <w:r w:rsidR="00C53A2C">
        <w:rPr>
          <w:rFonts w:eastAsia="Calibri"/>
        </w:rPr>
        <w:t xml:space="preserve">associated sample </w:t>
      </w:r>
      <w:r w:rsidRPr="00087CCE">
        <w:rPr>
          <w:rFonts w:eastAsia="Calibri"/>
        </w:rPr>
        <w:t>metadata (date</w:t>
      </w:r>
      <w:r>
        <w:rPr>
          <w:rFonts w:eastAsia="Calibri"/>
        </w:rPr>
        <w:t xml:space="preserve"> </w:t>
      </w:r>
      <w:r w:rsidRPr="00087CCE">
        <w:rPr>
          <w:rFonts w:eastAsia="Calibri"/>
        </w:rPr>
        <w:t xml:space="preserve">collected, temperature, and location). </w:t>
      </w:r>
      <w:r>
        <w:rPr>
          <w:rFonts w:eastAsia="Calibri"/>
        </w:rPr>
        <w:t xml:space="preserve"> </w:t>
      </w:r>
      <w:r w:rsidRPr="00087CCE">
        <w:rPr>
          <w:rFonts w:eastAsia="Calibri"/>
        </w:rPr>
        <w:t>If</w:t>
      </w:r>
      <w:r>
        <w:rPr>
          <w:rFonts w:eastAsia="Calibri"/>
        </w:rPr>
        <w:t xml:space="preserve"> </w:t>
      </w:r>
      <w:r w:rsidRPr="00087CCE">
        <w:rPr>
          <w:rFonts w:eastAsia="Calibri"/>
        </w:rPr>
        <w:t>available, we are also collecting</w:t>
      </w:r>
      <w:r>
        <w:rPr>
          <w:rFonts w:eastAsia="Calibri"/>
        </w:rPr>
        <w:t xml:space="preserve"> </w:t>
      </w:r>
      <w:r w:rsidRPr="00087CCE">
        <w:rPr>
          <w:rFonts w:eastAsia="Calibri"/>
        </w:rPr>
        <w:t>analytical results needed to classify</w:t>
      </w:r>
      <w:r>
        <w:rPr>
          <w:rFonts w:eastAsia="Calibri"/>
        </w:rPr>
        <w:t xml:space="preserve"> </w:t>
      </w:r>
      <w:r w:rsidRPr="00087CCE">
        <w:rPr>
          <w:rFonts w:eastAsia="Calibri"/>
        </w:rPr>
        <w:t>growing area waters for existing and</w:t>
      </w:r>
      <w:r>
        <w:rPr>
          <w:rFonts w:eastAsia="Calibri"/>
        </w:rPr>
        <w:t xml:space="preserve"> </w:t>
      </w:r>
      <w:r w:rsidRPr="00087CCE">
        <w:rPr>
          <w:rFonts w:eastAsia="Calibri"/>
        </w:rPr>
        <w:t>emerging food safety hazards and to</w:t>
      </w:r>
      <w:r>
        <w:rPr>
          <w:rFonts w:eastAsia="Calibri"/>
        </w:rPr>
        <w:t xml:space="preserve"> </w:t>
      </w:r>
      <w:r w:rsidRPr="00087CCE">
        <w:rPr>
          <w:rFonts w:eastAsia="Calibri"/>
        </w:rPr>
        <w:t>ensure that shellfish products of dealers</w:t>
      </w:r>
      <w:r>
        <w:rPr>
          <w:rFonts w:eastAsia="Calibri"/>
        </w:rPr>
        <w:t xml:space="preserve"> </w:t>
      </w:r>
      <w:r w:rsidRPr="00087CCE">
        <w:rPr>
          <w:rFonts w:eastAsia="Calibri"/>
        </w:rPr>
        <w:t>listed on the ICSSL are safe.</w:t>
      </w:r>
      <w:r>
        <w:rPr>
          <w:rFonts w:eastAsia="Calibri"/>
        </w:rPr>
        <w:t xml:space="preserve">  </w:t>
      </w:r>
      <w:r w:rsidRPr="00087CCE">
        <w:rPr>
          <w:rFonts w:eastAsia="Calibri"/>
        </w:rPr>
        <w:t>Respondents will have already</w:t>
      </w:r>
      <w:r>
        <w:rPr>
          <w:rFonts w:eastAsia="Calibri"/>
        </w:rPr>
        <w:t xml:space="preserve"> </w:t>
      </w:r>
      <w:r w:rsidRPr="00087CCE">
        <w:rPr>
          <w:rFonts w:eastAsia="Calibri"/>
        </w:rPr>
        <w:t>independently collected samples at a</w:t>
      </w:r>
      <w:r>
        <w:rPr>
          <w:rFonts w:eastAsia="Calibri"/>
        </w:rPr>
        <w:t xml:space="preserve"> </w:t>
      </w:r>
      <w:r w:rsidRPr="00087CCE">
        <w:rPr>
          <w:rFonts w:eastAsia="Calibri"/>
        </w:rPr>
        <w:t>given location/time (our request is for</w:t>
      </w:r>
      <w:r>
        <w:rPr>
          <w:rFonts w:eastAsia="Calibri"/>
        </w:rPr>
        <w:t xml:space="preserve"> </w:t>
      </w:r>
      <w:r w:rsidRPr="00087CCE">
        <w:rPr>
          <w:rFonts w:eastAsia="Calibri"/>
        </w:rPr>
        <w:t>an additional sample to be collected and</w:t>
      </w:r>
      <w:r>
        <w:rPr>
          <w:rFonts w:eastAsia="Calibri"/>
        </w:rPr>
        <w:t xml:space="preserve"> </w:t>
      </w:r>
      <w:r w:rsidRPr="00087CCE">
        <w:rPr>
          <w:rFonts w:eastAsia="Calibri"/>
        </w:rPr>
        <w:t>sent to FDA for analysis) and, in some</w:t>
      </w:r>
      <w:r>
        <w:rPr>
          <w:rFonts w:eastAsia="Calibri"/>
        </w:rPr>
        <w:t xml:space="preserve"> </w:t>
      </w:r>
      <w:r w:rsidRPr="00087CCE">
        <w:rPr>
          <w:rFonts w:eastAsia="Calibri"/>
        </w:rPr>
        <w:t>cases (for requested existing analytical</w:t>
      </w:r>
      <w:r>
        <w:rPr>
          <w:rFonts w:eastAsia="Calibri"/>
        </w:rPr>
        <w:t xml:space="preserve"> </w:t>
      </w:r>
      <w:r w:rsidRPr="00087CCE">
        <w:rPr>
          <w:rFonts w:eastAsia="Calibri"/>
        </w:rPr>
        <w:t>results), conducted tests associated with</w:t>
      </w:r>
      <w:r>
        <w:rPr>
          <w:rFonts w:eastAsia="Calibri"/>
        </w:rPr>
        <w:t xml:space="preserve"> </w:t>
      </w:r>
      <w:r w:rsidRPr="00087CCE">
        <w:rPr>
          <w:rFonts w:eastAsia="Calibri"/>
        </w:rPr>
        <w:t>information submitted as part of</w:t>
      </w:r>
      <w:r>
        <w:rPr>
          <w:rFonts w:eastAsia="Calibri"/>
        </w:rPr>
        <w:t xml:space="preserve"> </w:t>
      </w:r>
      <w:r w:rsidRPr="00087CCE">
        <w:rPr>
          <w:rFonts w:eastAsia="Calibri"/>
        </w:rPr>
        <w:t>samples and analytical results.</w:t>
      </w:r>
      <w:r>
        <w:rPr>
          <w:rFonts w:eastAsia="Calibri"/>
        </w:rPr>
        <w:t xml:space="preserve">  </w:t>
      </w:r>
      <w:r w:rsidRPr="00087CCE">
        <w:rPr>
          <w:rFonts w:eastAsia="Calibri"/>
        </w:rPr>
        <w:t>Regarding the collection of samples,</w:t>
      </w:r>
      <w:r>
        <w:rPr>
          <w:rFonts w:eastAsia="Calibri"/>
        </w:rPr>
        <w:t xml:space="preserve"> </w:t>
      </w:r>
      <w:r w:rsidRPr="00087CCE">
        <w:rPr>
          <w:rFonts w:eastAsia="Calibri"/>
        </w:rPr>
        <w:t>FDA will provide shipping materials for</w:t>
      </w:r>
      <w:r>
        <w:rPr>
          <w:rFonts w:eastAsia="Calibri"/>
        </w:rPr>
        <w:t xml:space="preserve"> </w:t>
      </w:r>
      <w:r w:rsidRPr="00087CCE">
        <w:rPr>
          <w:rFonts w:eastAsia="Calibri"/>
        </w:rPr>
        <w:t>transport and will bear any shipping</w:t>
      </w:r>
      <w:r>
        <w:rPr>
          <w:rFonts w:eastAsia="Calibri"/>
        </w:rPr>
        <w:t xml:space="preserve"> </w:t>
      </w:r>
      <w:r w:rsidRPr="00087CCE">
        <w:rPr>
          <w:rFonts w:eastAsia="Calibri"/>
        </w:rPr>
        <w:t>costs.</w:t>
      </w:r>
    </w:p>
    <w:p w:rsidR="002F6ABB" w:rsidRPr="002F6ABB" w:rsidP="00BF7CDA" w14:paraId="7C414204" w14:textId="77777777">
      <w:pPr>
        <w:rPr>
          <w:rFonts w:eastAsia="Calibri"/>
        </w:rPr>
      </w:pPr>
    </w:p>
    <w:p w:rsidR="009F221C" w:rsidRPr="009F221C" w:rsidP="009F221C" w14:paraId="1B4AD597" w14:textId="4889ED85">
      <w:pPr>
        <w:rPr>
          <w:rFonts w:eastAsia="Calibri"/>
        </w:rPr>
      </w:pPr>
      <w:r w:rsidRPr="002F6ABB">
        <w:rPr>
          <w:rFonts w:eastAsia="Calibri"/>
        </w:rPr>
        <w:t xml:space="preserve">The information collection also includes </w:t>
      </w:r>
      <w:r w:rsidR="00087CCE">
        <w:rPr>
          <w:rFonts w:eastAsia="Calibri"/>
        </w:rPr>
        <w:t xml:space="preserve">respondents </w:t>
      </w:r>
      <w:r w:rsidRPr="002F6ABB">
        <w:rPr>
          <w:rFonts w:eastAsia="Calibri"/>
        </w:rPr>
        <w:t xml:space="preserve">providing </w:t>
      </w:r>
      <w:r w:rsidR="00087CCE">
        <w:rPr>
          <w:rFonts w:eastAsia="Calibri"/>
        </w:rPr>
        <w:t>to FDA</w:t>
      </w:r>
      <w:r w:rsidRPr="002F6ABB">
        <w:rPr>
          <w:rFonts w:eastAsia="Calibri"/>
        </w:rPr>
        <w:t xml:space="preserve"> documents demonstrating compliance with the NSSP</w:t>
      </w:r>
      <w:r w:rsidR="006834C7">
        <w:rPr>
          <w:rFonts w:eastAsia="Calibri"/>
        </w:rPr>
        <w:t xml:space="preserve"> requirements</w:t>
      </w:r>
      <w:r w:rsidRPr="002F6ABB">
        <w:rPr>
          <w:rFonts w:eastAsia="Calibri"/>
        </w:rPr>
        <w:t>.  When a competent authority in another country conducts an evaluation to determine whether the U.S. food safety control measures for bivalve molluscan shellfish are equivalent to its own system of controls, the competent authority may require FDA to provide information and records demonstrating compliance with the provisions of the NSSP.  Only those firms that comply with the NSSP would be permitted to export bivalve molluscan shellfish to a country whose competent authority determined that the U.S. system of controls is equivalent to their own controls.</w:t>
      </w:r>
      <w:r w:rsidR="006834C7">
        <w:rPr>
          <w:rFonts w:eastAsia="Calibri"/>
        </w:rPr>
        <w:t xml:space="preserve">  </w:t>
      </w:r>
      <w:r w:rsidRPr="009F221C">
        <w:rPr>
          <w:rFonts w:eastAsia="Calibri"/>
        </w:rPr>
        <w:t xml:space="preserve">For example, to implement the European Commission’s (EC) determination that the U.S. system of food safety controls for raw bivalve molluscan shellfish is equivalent to the European Union’s (EU) system of controls, the EC </w:t>
      </w:r>
      <w:r w:rsidRPr="009F221C">
        <w:rPr>
          <w:rFonts w:eastAsia="Calibri"/>
        </w:rPr>
        <w:t>requir</w:t>
      </w:r>
      <w:r w:rsidR="00496192">
        <w:rPr>
          <w:rFonts w:eastAsia="Calibri"/>
        </w:rPr>
        <w:t>es</w:t>
      </w:r>
      <w:r w:rsidRPr="009F221C">
        <w:rPr>
          <w:rFonts w:eastAsia="Calibri"/>
        </w:rPr>
        <w:t xml:space="preserve"> FDA to provide documentation collected from NSSP-participating shellfish control authorities for firms seeking to export raw molluscan shellfish to the EU.  This documentation includes, but is not limited to:</w:t>
      </w:r>
    </w:p>
    <w:p w:rsidR="009F221C" w:rsidRPr="009F221C" w:rsidP="009F221C" w14:paraId="20F0D434" w14:textId="77777777">
      <w:pPr>
        <w:rPr>
          <w:rFonts w:eastAsia="Calibri"/>
        </w:rPr>
      </w:pPr>
    </w:p>
    <w:p w:rsidR="009F221C" w:rsidRPr="009F221C" w:rsidP="00C359D8" w14:paraId="52099A45" w14:textId="43E39937">
      <w:pPr>
        <w:ind w:left="360"/>
        <w:rPr>
          <w:rFonts w:eastAsia="Calibri"/>
        </w:rPr>
      </w:pPr>
      <w:r w:rsidRPr="009F221C">
        <w:rPr>
          <w:rFonts w:eastAsia="Calibri"/>
        </w:rPr>
        <w:t>•</w:t>
      </w:r>
      <w:r w:rsidRPr="009F221C">
        <w:rPr>
          <w:rFonts w:eastAsia="Calibri"/>
        </w:rPr>
        <w:tab/>
      </w:r>
      <w:r w:rsidRPr="009F221C">
        <w:rPr>
          <w:rFonts w:eastAsia="Calibri"/>
        </w:rPr>
        <w:t xml:space="preserve">a list of growing areas with an </w:t>
      </w:r>
      <w:r w:rsidRPr="009F221C" w:rsidR="00C359D8">
        <w:rPr>
          <w:rFonts w:eastAsia="Calibri"/>
        </w:rPr>
        <w:t>approved</w:t>
      </w:r>
      <w:r w:rsidRPr="009F221C" w:rsidR="00900076">
        <w:rPr>
          <w:rFonts w:eastAsia="Calibri"/>
        </w:rPr>
        <w:t xml:space="preserve"> </w:t>
      </w:r>
      <w:r w:rsidRPr="009F221C">
        <w:rPr>
          <w:rFonts w:eastAsia="Calibri"/>
        </w:rPr>
        <w:t>classification;</w:t>
      </w:r>
    </w:p>
    <w:p w:rsidR="009F221C" w:rsidRPr="009F221C" w:rsidP="00C359D8" w14:paraId="55701890" w14:textId="43DA16A3">
      <w:pPr>
        <w:ind w:left="360"/>
        <w:rPr>
          <w:rFonts w:eastAsia="Calibri"/>
        </w:rPr>
      </w:pPr>
      <w:r w:rsidRPr="009F221C">
        <w:rPr>
          <w:rFonts w:eastAsia="Calibri"/>
        </w:rPr>
        <w:t>•</w:t>
      </w:r>
      <w:r w:rsidRPr="009F221C">
        <w:rPr>
          <w:rFonts w:eastAsia="Calibri"/>
        </w:rPr>
        <w:tab/>
      </w:r>
      <w:r w:rsidRPr="009F221C">
        <w:rPr>
          <w:rFonts w:eastAsia="Calibri"/>
        </w:rPr>
        <w:t xml:space="preserve">the most recent sanitary survey for each growing area with an </w:t>
      </w:r>
      <w:r w:rsidR="00CC131F">
        <w:rPr>
          <w:rFonts w:eastAsia="Calibri"/>
        </w:rPr>
        <w:t>a</w:t>
      </w:r>
      <w:r w:rsidRPr="009F221C" w:rsidR="00CC131F">
        <w:rPr>
          <w:rFonts w:eastAsia="Calibri"/>
        </w:rPr>
        <w:t>pproved</w:t>
      </w:r>
      <w:r w:rsidRPr="009F221C" w:rsidR="00CC131F">
        <w:rPr>
          <w:rFonts w:eastAsia="Calibri"/>
        </w:rPr>
        <w:t xml:space="preserve"> </w:t>
      </w:r>
      <w:r w:rsidRPr="009F221C">
        <w:rPr>
          <w:rFonts w:eastAsia="Calibri"/>
        </w:rPr>
        <w:t>classification;</w:t>
      </w:r>
      <w:r w:rsidR="00700956">
        <w:rPr>
          <w:rFonts w:eastAsia="Calibri"/>
        </w:rPr>
        <w:t xml:space="preserve"> </w:t>
      </w:r>
      <w:r w:rsidRPr="009F221C">
        <w:rPr>
          <w:rFonts w:eastAsia="Calibri"/>
        </w:rPr>
        <w:t>and</w:t>
      </w:r>
    </w:p>
    <w:p w:rsidR="009F221C" w:rsidRPr="009F221C" w:rsidP="00C359D8" w14:paraId="486B41CD" w14:textId="77777777">
      <w:pPr>
        <w:ind w:left="720" w:hanging="360"/>
        <w:rPr>
          <w:rFonts w:eastAsia="Calibri"/>
        </w:rPr>
      </w:pPr>
      <w:r w:rsidRPr="009F221C">
        <w:rPr>
          <w:rFonts w:eastAsia="Calibri"/>
        </w:rPr>
        <w:t>•</w:t>
      </w:r>
      <w:r w:rsidRPr="009F221C">
        <w:rPr>
          <w:rFonts w:eastAsia="Calibri"/>
        </w:rPr>
        <w:tab/>
      </w:r>
      <w:r w:rsidRPr="009F221C">
        <w:rPr>
          <w:rFonts w:eastAsia="Calibri"/>
        </w:rPr>
        <w:t>the most recent inspection report for each dealer seeking to export bivalve molluscan shellfish to the EU.</w:t>
      </w:r>
    </w:p>
    <w:p w:rsidR="009F221C" w:rsidRPr="009F221C" w:rsidP="009F221C" w14:paraId="55C8281E" w14:textId="77777777">
      <w:pPr>
        <w:rPr>
          <w:rFonts w:eastAsia="Calibri"/>
        </w:rPr>
      </w:pPr>
    </w:p>
    <w:p w:rsidR="009F221C" w:rsidRPr="009F221C" w:rsidP="009F221C" w14:paraId="7AB7EE25" w14:textId="6E69D829">
      <w:pPr>
        <w:rPr>
          <w:rFonts w:eastAsia="Calibri"/>
        </w:rPr>
      </w:pPr>
      <w:r w:rsidRPr="009F221C">
        <w:rPr>
          <w:rFonts w:eastAsia="Calibri"/>
        </w:rPr>
        <w:t>The examples above are illustrative.  Some competent authorities may require additional information to conduct an equivalence assessment or to implement an equivalence determination, or both.  We provide respondents with information about the specific documentation that is required for each equivalence assessment.  For those competent authorities that recognize the U.S. system as equivalent, additional documentation may be needed to implement that determination.</w:t>
      </w:r>
    </w:p>
    <w:p w:rsidR="00087CCE" w:rsidRPr="009F221C" w:rsidP="009F221C" w14:paraId="17904F36" w14:textId="77777777">
      <w:pPr>
        <w:rPr>
          <w:rFonts w:eastAsia="Calibri"/>
        </w:rPr>
      </w:pPr>
    </w:p>
    <w:p w:rsidR="00C52FCD" w:rsidP="009F221C" w14:paraId="70FA5AC1" w14:textId="14FA9D63">
      <w:pPr>
        <w:rPr>
          <w:rFonts w:eastAsia="Calibri"/>
        </w:rPr>
      </w:pPr>
      <w:r w:rsidRPr="009F221C">
        <w:rPr>
          <w:rFonts w:eastAsia="Calibri"/>
        </w:rPr>
        <w:t xml:space="preserve">We therefore request OMB approval of the information </w:t>
      </w:r>
      <w:r w:rsidRPr="00A96328" w:rsidR="00A96328">
        <w:rPr>
          <w:rFonts w:eastAsia="Calibri"/>
        </w:rPr>
        <w:t>collection</w:t>
      </w:r>
      <w:r w:rsidR="009D7A5C">
        <w:rPr>
          <w:rFonts w:eastAsia="Calibri"/>
        </w:rPr>
        <w:t>s supporting our</w:t>
      </w:r>
      <w:r w:rsidR="00C359D8">
        <w:rPr>
          <w:rFonts w:eastAsia="Calibri"/>
        </w:rPr>
        <w:t xml:space="preserve"> </w:t>
      </w:r>
      <w:r w:rsidRPr="009F221C">
        <w:rPr>
          <w:rFonts w:eastAsia="Calibri"/>
        </w:rPr>
        <w:t xml:space="preserve">Interstate Shellfish Dealer’s Certificate program, </w:t>
      </w:r>
      <w:r w:rsidRPr="000845A8">
        <w:rPr>
          <w:rFonts w:eastAsia="Calibri"/>
          <w:b/>
          <w:bCs/>
        </w:rPr>
        <w:t>Form FDA 3038</w:t>
      </w:r>
      <w:r w:rsidRPr="009F221C">
        <w:rPr>
          <w:rFonts w:eastAsia="Calibri"/>
        </w:rPr>
        <w:t xml:space="preserve">, </w:t>
      </w:r>
      <w:r w:rsidR="009C5530">
        <w:rPr>
          <w:rFonts w:eastAsia="Calibri"/>
        </w:rPr>
        <w:t xml:space="preserve">and </w:t>
      </w:r>
      <w:r w:rsidR="00C359D8">
        <w:rPr>
          <w:rFonts w:eastAsia="Calibri"/>
        </w:rPr>
        <w:t xml:space="preserve">the </w:t>
      </w:r>
      <w:r w:rsidR="009C5530">
        <w:rPr>
          <w:rFonts w:eastAsia="Calibri"/>
        </w:rPr>
        <w:t>collection of samples</w:t>
      </w:r>
      <w:r w:rsidR="00F96933">
        <w:rPr>
          <w:rFonts w:eastAsia="Calibri"/>
        </w:rPr>
        <w:t xml:space="preserve"> </w:t>
      </w:r>
      <w:r w:rsidR="000845A8">
        <w:rPr>
          <w:rFonts w:eastAsia="Calibri"/>
        </w:rPr>
        <w:t>and sample</w:t>
      </w:r>
      <w:r w:rsidR="00F96933">
        <w:rPr>
          <w:rFonts w:eastAsia="Calibri"/>
        </w:rPr>
        <w:t xml:space="preserve"> metadata</w:t>
      </w:r>
      <w:r w:rsidR="0018569F">
        <w:rPr>
          <w:rFonts w:eastAsia="Calibri"/>
        </w:rPr>
        <w:t>, as discussed in this supporting statement</w:t>
      </w:r>
      <w:r w:rsidRPr="009F221C">
        <w:rPr>
          <w:rFonts w:eastAsia="Calibri"/>
        </w:rPr>
        <w:t>.</w:t>
      </w:r>
    </w:p>
    <w:p w:rsidR="00357C8A" w:rsidRPr="00BF7CDA" w:rsidP="00BF7CDA" w14:paraId="728D6D9D" w14:textId="15EF9071">
      <w:pPr>
        <w:rPr>
          <w:rFonts w:eastAsia="Calibri"/>
          <w:color w:val="000000" w:themeColor="text1"/>
        </w:rPr>
      </w:pPr>
    </w:p>
    <w:p w:rsidR="00357C8A" w:rsidRPr="00357C8A" w:rsidP="006705EA" w14:paraId="36B327F5" w14:textId="52816FDD">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5B4284" w:rsidRPr="00EF393F" w:rsidP="005B4284" w14:paraId="2D1DB343" w14:textId="6DDCFF02">
      <w:pPr>
        <w:rPr>
          <w:rFonts w:eastAsia="Calibri"/>
        </w:rPr>
      </w:pPr>
      <w:r w:rsidRPr="00B57949">
        <w:rPr>
          <w:rFonts w:eastAsia="Calibri"/>
        </w:rPr>
        <w:t>FDA uses</w:t>
      </w:r>
      <w:r w:rsidR="00530F6A">
        <w:rPr>
          <w:rFonts w:eastAsia="Calibri"/>
        </w:rPr>
        <w:t xml:space="preserve"> collected</w:t>
      </w:r>
      <w:r w:rsidRPr="00B57949">
        <w:rPr>
          <w:rFonts w:eastAsia="Calibri"/>
        </w:rPr>
        <w:t xml:space="preserve"> information to </w:t>
      </w:r>
      <w:r w:rsidR="00530F6A">
        <w:rPr>
          <w:rFonts w:eastAsia="Calibri"/>
        </w:rPr>
        <w:t xml:space="preserve">facilitate </w:t>
      </w:r>
      <w:r w:rsidRPr="00B57949">
        <w:rPr>
          <w:rFonts w:eastAsia="Calibri"/>
        </w:rPr>
        <w:t xml:space="preserve">the export of U.S. bivalve molluscan shellfish to countries whose competent authorities have determined the U.S. system of food safety controls to be equivalent to their own system of controls by demonstrating that the exporter complies with the U.S. system of controls specified in the NSSP.  </w:t>
      </w:r>
      <w:r w:rsidRPr="009F221C" w:rsidR="009F221C">
        <w:rPr>
          <w:rFonts w:eastAsia="Calibri"/>
        </w:rPr>
        <w:t xml:space="preserve">We </w:t>
      </w:r>
      <w:r w:rsidR="00530F6A">
        <w:rPr>
          <w:rFonts w:eastAsia="Calibri"/>
        </w:rPr>
        <w:t xml:space="preserve">also </w:t>
      </w:r>
      <w:r w:rsidRPr="009F221C" w:rsidR="009F221C">
        <w:rPr>
          <w:rFonts w:eastAsia="Calibri"/>
        </w:rPr>
        <w:t>use</w:t>
      </w:r>
      <w:r w:rsidRPr="009F221C" w:rsidR="009F221C">
        <w:rPr>
          <w:rFonts w:eastAsia="Calibri"/>
        </w:rPr>
        <w:t xml:space="preserve"> information </w:t>
      </w:r>
      <w:r w:rsidRPr="009F221C" w:rsidR="009F221C">
        <w:rPr>
          <w:rFonts w:eastAsia="Calibri"/>
        </w:rPr>
        <w:t>submitted by respondents</w:t>
      </w:r>
      <w:r w:rsidRPr="009F221C" w:rsidR="009F221C">
        <w:rPr>
          <w:rFonts w:eastAsia="Calibri"/>
        </w:rPr>
        <w:t xml:space="preserve"> to publish the “</w:t>
      </w:r>
      <w:r w:rsidRPr="00BF7CDA" w:rsidR="009F221C">
        <w:rPr>
          <w:rFonts w:eastAsia="Calibri"/>
          <w:i/>
          <w:iCs/>
        </w:rPr>
        <w:t>Interstate Certified Shellfish Shippers List</w:t>
      </w:r>
      <w:r w:rsidRPr="009F221C" w:rsidR="009F221C">
        <w:rPr>
          <w:rFonts w:eastAsia="Calibri"/>
        </w:rPr>
        <w:t>,”</w:t>
      </w:r>
      <w:r w:rsidRPr="009F221C" w:rsidR="009F221C">
        <w:rPr>
          <w:rFonts w:eastAsia="Calibri"/>
        </w:rPr>
        <w:t xml:space="preserve"> a monthly comprehensive listing of all bivalve molluscan shellfish dealers certified under the cooperative program</w:t>
      </w:r>
      <w:r w:rsidRPr="009F221C" w:rsidR="009F221C">
        <w:rPr>
          <w:rFonts w:eastAsia="Calibri"/>
        </w:rPr>
        <w:t>.</w:t>
      </w:r>
      <w:r w:rsidRPr="00EF393F" w:rsidR="009F221C">
        <w:rPr>
          <w:rFonts w:eastAsia="Calibri"/>
        </w:rPr>
        <w:t xml:space="preserve">  </w:t>
      </w:r>
      <w:r w:rsidRPr="00EF393F">
        <w:rPr>
          <w:rFonts w:eastAsia="Calibri"/>
        </w:rPr>
        <w:t>In addition, we use the information to identify U.S. bivalve molluscan shellfish dealers eligible to obtain health certificates required for products to be shipped to certain countries or regions.</w:t>
      </w:r>
      <w:r>
        <w:rPr>
          <w:rFonts w:eastAsia="Calibri"/>
        </w:rPr>
        <w:t xml:space="preserve">  This notice includes the additional activity of collecting bivalve molluscan shellfish samples with metadata and analytical results which helps </w:t>
      </w:r>
      <w:r w:rsidRPr="00087CCE">
        <w:rPr>
          <w:rFonts w:eastAsia="Calibri"/>
        </w:rPr>
        <w:t>to</w:t>
      </w:r>
      <w:r>
        <w:rPr>
          <w:rFonts w:eastAsia="Calibri"/>
        </w:rPr>
        <w:t xml:space="preserve"> </w:t>
      </w:r>
      <w:r w:rsidRPr="00087CCE">
        <w:rPr>
          <w:rFonts w:eastAsia="Calibri"/>
        </w:rPr>
        <w:t>ensure that shellfish products of dealers</w:t>
      </w:r>
      <w:r>
        <w:rPr>
          <w:rFonts w:eastAsia="Calibri"/>
        </w:rPr>
        <w:t xml:space="preserve"> </w:t>
      </w:r>
      <w:r w:rsidRPr="00087CCE">
        <w:rPr>
          <w:rFonts w:eastAsia="Calibri"/>
        </w:rPr>
        <w:t>listed on the ICSSL are safe</w:t>
      </w:r>
      <w:r>
        <w:rPr>
          <w:rFonts w:eastAsia="Calibri"/>
        </w:rPr>
        <w:t>.</w:t>
      </w:r>
    </w:p>
    <w:p w:rsidR="005B4284" w:rsidP="00BF7CDA" w14:paraId="5B614100" w14:textId="77777777">
      <w:pPr>
        <w:rPr>
          <w:rFonts w:eastAsia="Calibri"/>
        </w:rPr>
      </w:pPr>
    </w:p>
    <w:p w:rsidR="009F221C" w:rsidP="00BF7CDA" w14:paraId="0C251EC1" w14:textId="0C343731">
      <w:pPr>
        <w:rPr>
          <w:rFonts w:eastAsia="Calibri"/>
        </w:rPr>
      </w:pPr>
      <w:r w:rsidRPr="00EF393F">
        <w:rPr>
          <w:rFonts w:eastAsia="Calibri"/>
        </w:rPr>
        <w:t xml:space="preserve">State and local food control officials and the food industry </w:t>
      </w:r>
      <w:r w:rsidR="00F1152B">
        <w:rPr>
          <w:rFonts w:eastAsia="Calibri"/>
        </w:rPr>
        <w:t xml:space="preserve">may also utilize </w:t>
      </w:r>
      <w:r w:rsidRPr="00EF393F">
        <w:rPr>
          <w:rFonts w:eastAsia="Calibri"/>
        </w:rPr>
        <w:t>the list to determine certified sources of bivalve molluscan shellfish.  Bivalve molluscan shellfish offered for sale that originate from non-listed dealers will be removed by State and local food control officials.  This procedure assists both FDA and individual states in assuring that shellfish are produced, packed and shipped under proper sanitary controls to protect the health of consumers of molluscan shellfish.</w:t>
      </w:r>
    </w:p>
    <w:p w:rsidR="00F1152B" w:rsidRPr="009F221C" w:rsidP="00BF7CDA" w14:paraId="1728519F" w14:textId="77777777">
      <w:pPr>
        <w:rPr>
          <w:rFonts w:eastAsia="Calibri"/>
        </w:rPr>
      </w:pPr>
    </w:p>
    <w:p w:rsidR="00357C8A" w:rsidRPr="00EF393F" w:rsidP="00BF7CDA" w14:paraId="24234040" w14:textId="1DF9ED32">
      <w:pPr>
        <w:rPr>
          <w:rFonts w:eastAsia="Calibri"/>
          <w:color w:val="000000" w:themeColor="text1"/>
        </w:rPr>
      </w:pPr>
      <w:r w:rsidRPr="00BF7CDA">
        <w:rPr>
          <w:rFonts w:eastAsia="Calibri"/>
          <w:i/>
          <w:iCs/>
        </w:rPr>
        <w:t>Description of Respondents</w:t>
      </w:r>
      <w:r w:rsidRPr="00EF393F">
        <w:rPr>
          <w:rFonts w:eastAsia="Calibri"/>
        </w:rPr>
        <w:t>:  Respondents to this information collection are participating State regulatory agencies and foreign nations</w:t>
      </w:r>
      <w:r w:rsidRPr="00EF393F">
        <w:rPr>
          <w:rFonts w:eastAsia="Calibri"/>
          <w:color w:val="000000" w:themeColor="text1"/>
        </w:rPr>
        <w:t>.</w:t>
      </w:r>
      <w:r w:rsidRPr="00BF7CDA">
        <w:rPr>
          <w:rFonts w:eastAsia="Calibri"/>
          <w:color w:val="000000" w:themeColor="text1"/>
        </w:rPr>
        <w:t xml:space="preserve">  </w:t>
      </w:r>
    </w:p>
    <w:p w:rsidR="00BF7CDA" w:rsidRPr="00EF393F" w:rsidP="00BF7CDA" w14:paraId="041B9D69" w14:textId="77777777">
      <w:pPr>
        <w:rPr>
          <w:rFonts w:eastAsia="Calibri"/>
          <w:color w:val="000000" w:themeColor="text1"/>
        </w:rPr>
      </w:pPr>
    </w:p>
    <w:p w:rsidR="00357C8A" w:rsidRPr="00357C8A" w:rsidP="006705EA" w14:paraId="77649D74"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P="00802114" w14:paraId="21BA3395" w14:textId="7AAEC6AD">
      <w:pPr>
        <w:rPr>
          <w:rFonts w:eastAsia="Calibri"/>
        </w:rPr>
      </w:pPr>
      <w:r w:rsidRPr="00EF393F">
        <w:rPr>
          <w:rFonts w:eastAsia="Calibri"/>
        </w:rPr>
        <w:t xml:space="preserve">The </w:t>
      </w:r>
      <w:r w:rsidRPr="00EF393F">
        <w:rPr>
          <w:rFonts w:eastAsia="Calibri"/>
          <w:i/>
          <w:iCs/>
        </w:rPr>
        <w:t xml:space="preserve">Interstate Shellfish </w:t>
      </w:r>
      <w:r w:rsidRPr="00EF393F">
        <w:rPr>
          <w:rFonts w:eastAsia="Calibri"/>
          <w:i/>
          <w:iCs/>
        </w:rPr>
        <w:t>Dealer</w:t>
      </w:r>
      <w:r w:rsidRPr="00EF393F" w:rsidR="00B516F4">
        <w:rPr>
          <w:rFonts w:eastAsia="Calibri"/>
          <w:i/>
          <w:iCs/>
        </w:rPr>
        <w:t>’</w:t>
      </w:r>
      <w:r w:rsidRPr="00EF393F">
        <w:rPr>
          <w:rFonts w:eastAsia="Calibri"/>
          <w:i/>
          <w:iCs/>
        </w:rPr>
        <w:t>s</w:t>
      </w:r>
      <w:r w:rsidRPr="00EF393F">
        <w:rPr>
          <w:rFonts w:eastAsia="Calibri"/>
          <w:i/>
          <w:iCs/>
        </w:rPr>
        <w:t xml:space="preserve"> Certificate</w:t>
      </w:r>
      <w:r w:rsidR="00EF393F">
        <w:rPr>
          <w:rFonts w:eastAsia="Calibri"/>
        </w:rPr>
        <w:t>,</w:t>
      </w:r>
      <w:r w:rsidRPr="00EF393F">
        <w:rPr>
          <w:rFonts w:eastAsia="Calibri"/>
        </w:rPr>
        <w:t xml:space="preserve"> </w:t>
      </w:r>
      <w:r w:rsidRPr="00EF393F">
        <w:rPr>
          <w:rFonts w:eastAsia="Calibri"/>
          <w:b/>
          <w:bCs/>
        </w:rPr>
        <w:t>Form FDA 3038</w:t>
      </w:r>
      <w:r w:rsidR="00EF393F">
        <w:rPr>
          <w:rFonts w:eastAsia="Calibri"/>
          <w:b/>
          <w:bCs/>
        </w:rPr>
        <w:t>,</w:t>
      </w:r>
      <w:r w:rsidRPr="00EF393F">
        <w:rPr>
          <w:rFonts w:eastAsia="Calibri"/>
        </w:rPr>
        <w:t xml:space="preserve"> may be submitted on paper or submitted electronically by state or international officials.  These officials securely log into a shellfish shippers account to </w:t>
      </w:r>
      <w:r w:rsidR="00FD7014">
        <w:rPr>
          <w:rFonts w:eastAsia="Calibri"/>
        </w:rPr>
        <w:t xml:space="preserve">complete the form </w:t>
      </w:r>
      <w:r w:rsidRPr="00EF393F">
        <w:rPr>
          <w:rFonts w:eastAsia="Calibri"/>
        </w:rPr>
        <w:t xml:space="preserve">electronically.  </w:t>
      </w:r>
      <w:r w:rsidR="00E6673F">
        <w:rPr>
          <w:rFonts w:eastAsia="Calibri"/>
        </w:rPr>
        <w:t xml:space="preserve">Information submitted is </w:t>
      </w:r>
      <w:r w:rsidR="009A0747">
        <w:rPr>
          <w:rFonts w:eastAsia="Calibri"/>
        </w:rPr>
        <w:t xml:space="preserve">used to produce the </w:t>
      </w:r>
      <w:r w:rsidRPr="00EF393F">
        <w:rPr>
          <w:rFonts w:eastAsia="Calibri"/>
        </w:rPr>
        <w:t>Interstate Certified Shellfish Shippers List, published monthly in PDF format, and may be updated daily</w:t>
      </w:r>
      <w:r w:rsidR="00802114">
        <w:rPr>
          <w:rFonts w:eastAsia="Calibri"/>
        </w:rPr>
        <w:t xml:space="preserve"> as</w:t>
      </w:r>
      <w:r w:rsidRPr="00EF393F">
        <w:rPr>
          <w:rFonts w:eastAsia="Calibri"/>
        </w:rPr>
        <w:t xml:space="preserve"> new data </w:t>
      </w:r>
      <w:r w:rsidR="00802114">
        <w:rPr>
          <w:rFonts w:eastAsia="Calibri"/>
        </w:rPr>
        <w:t xml:space="preserve">becomes </w:t>
      </w:r>
      <w:r w:rsidRPr="00EF393F">
        <w:rPr>
          <w:rFonts w:eastAsia="Calibri"/>
        </w:rPr>
        <w:t>available.</w:t>
      </w:r>
      <w:r w:rsidR="00802114">
        <w:rPr>
          <w:rFonts w:eastAsia="Calibri"/>
        </w:rPr>
        <w:t xml:space="preserve">  </w:t>
      </w:r>
      <w:r w:rsidRPr="00EF393F">
        <w:rPr>
          <w:rFonts w:eastAsia="Calibri"/>
        </w:rPr>
        <w:t>We estimate that one hundred percent (100%) of the respondents will use electronic means to submit Form FDA 3038 and the NSSP compliance documentation.</w:t>
      </w:r>
    </w:p>
    <w:p w:rsidR="00802114" w:rsidRPr="00802114" w:rsidP="00802114" w14:paraId="448D148A" w14:textId="77777777">
      <w:pPr>
        <w:rPr>
          <w:rFonts w:eastAsia="Calibri"/>
        </w:rPr>
      </w:pPr>
    </w:p>
    <w:p w:rsidR="00357C8A" w:rsidRPr="00357C8A" w:rsidP="006705EA" w14:paraId="7F5993EC"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BF7CDA" w:rsidP="0053380B" w14:paraId="739A51E2" w14:textId="5540D4A8">
      <w:pPr>
        <w:spacing w:after="200"/>
        <w:rPr>
          <w:rFonts w:eastAsia="Calibri"/>
          <w:color w:val="000000" w:themeColor="text1"/>
        </w:rPr>
      </w:pPr>
      <w:r w:rsidRPr="00EF393F">
        <w:t>We</w:t>
      </w:r>
      <w:r w:rsidRPr="00EF393F" w:rsidR="006E41FC">
        <w:t xml:space="preserve"> are unaware of duplicative information collection</w:t>
      </w:r>
      <w:r w:rsidR="00802114">
        <w:t>.</w:t>
      </w:r>
    </w:p>
    <w:p w:rsidR="00357C8A" w:rsidRPr="00357C8A" w:rsidP="006705EA" w14:paraId="02443AE6"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C52FCD" w:rsidRPr="00357C8A" w:rsidP="00357C8A" w14:paraId="60EB6058" w14:textId="2211E4AD">
      <w:pPr>
        <w:spacing w:after="200"/>
        <w:rPr>
          <w:rFonts w:eastAsia="Calibri"/>
        </w:rPr>
      </w:pPr>
      <w:r>
        <w:rPr>
          <w:rFonts w:eastAsia="Calibri"/>
        </w:rPr>
        <w:t xml:space="preserve">We do not believe the </w:t>
      </w:r>
      <w:r w:rsidRPr="006E41FC" w:rsidR="006E41FC">
        <w:rPr>
          <w:rFonts w:eastAsia="Calibri"/>
        </w:rPr>
        <w:t xml:space="preserve">information collection poses undue burden on small entities.  </w:t>
      </w:r>
      <w:r w:rsidRPr="00EF393F" w:rsidR="006E41FC">
        <w:rPr>
          <w:rFonts w:eastAsia="Calibri"/>
        </w:rPr>
        <w:t>Respondents are State and local regulatory agencies and foreign nations.</w:t>
      </w:r>
    </w:p>
    <w:p w:rsidR="00357C8A" w:rsidRPr="00357C8A" w:rsidP="006705EA" w14:paraId="23591EB9"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6E41FC" w:rsidP="00BF7CDA" w14:paraId="2C6302CD" w14:textId="1E382611">
      <w:pPr>
        <w:rPr>
          <w:rFonts w:eastAsia="Calibri"/>
        </w:rPr>
      </w:pPr>
      <w:r w:rsidRPr="00F23127">
        <w:rPr>
          <w:rFonts w:eastAsia="Calibri"/>
        </w:rPr>
        <w:t xml:space="preserve">The information </w:t>
      </w:r>
      <w:r w:rsidR="00802114">
        <w:rPr>
          <w:rFonts w:eastAsia="Calibri"/>
        </w:rPr>
        <w:t xml:space="preserve">is collected in accordance with applicable </w:t>
      </w:r>
      <w:r w:rsidR="00765C86">
        <w:rPr>
          <w:rFonts w:eastAsia="Calibri"/>
        </w:rPr>
        <w:t xml:space="preserve">statutory and regulatory submission schedules.  </w:t>
      </w:r>
      <w:r w:rsidRPr="00EF393F">
        <w:rPr>
          <w:rFonts w:eastAsia="Calibri"/>
        </w:rPr>
        <w:t xml:space="preserve">Respondents submit </w:t>
      </w:r>
      <w:r w:rsidR="003202A4">
        <w:rPr>
          <w:rFonts w:eastAsia="Calibri"/>
        </w:rPr>
        <w:t xml:space="preserve">requisite </w:t>
      </w:r>
      <w:r w:rsidRPr="00EF393F">
        <w:rPr>
          <w:rFonts w:eastAsia="Calibri"/>
        </w:rPr>
        <w:t>information</w:t>
      </w:r>
      <w:r w:rsidRPr="006E41FC">
        <w:rPr>
          <w:rFonts w:eastAsia="Calibri"/>
        </w:rPr>
        <w:t xml:space="preserve"> </w:t>
      </w:r>
      <w:r w:rsidR="0037775A">
        <w:rPr>
          <w:rFonts w:eastAsia="Calibri"/>
        </w:rPr>
        <w:t>for dealer’s certification</w:t>
      </w:r>
      <w:r w:rsidRPr="00EF393F" w:rsidR="0037775A">
        <w:rPr>
          <w:rFonts w:eastAsia="Calibri"/>
        </w:rPr>
        <w:t xml:space="preserve"> </w:t>
      </w:r>
      <w:r w:rsidR="003202A4">
        <w:rPr>
          <w:rFonts w:eastAsia="Calibri"/>
        </w:rPr>
        <w:t>annually</w:t>
      </w:r>
      <w:r w:rsidRPr="00EF393F">
        <w:rPr>
          <w:rFonts w:eastAsia="Calibri"/>
        </w:rPr>
        <w:t>, as determined by applicable State or foreign law.</w:t>
      </w:r>
      <w:r w:rsidR="00544F9B">
        <w:rPr>
          <w:rFonts w:eastAsia="Calibri"/>
        </w:rPr>
        <w:t xml:space="preserve">  </w:t>
      </w:r>
      <w:r w:rsidR="00AC6411">
        <w:rPr>
          <w:rFonts w:eastAsia="Calibri"/>
        </w:rPr>
        <w:t>State certifications are issued independently</w:t>
      </w:r>
      <w:r w:rsidR="005B3086">
        <w:rPr>
          <w:rFonts w:eastAsia="Calibri"/>
        </w:rPr>
        <w:t xml:space="preserve"> and </w:t>
      </w:r>
      <w:r w:rsidR="005B3086">
        <w:rPr>
          <w:rFonts w:eastAsia="Calibri"/>
        </w:rPr>
        <w:t xml:space="preserve">expire </w:t>
      </w:r>
      <w:r w:rsidR="007F46D2">
        <w:rPr>
          <w:rFonts w:eastAsia="Calibri"/>
        </w:rPr>
        <w:t>annually;</w:t>
      </w:r>
      <w:r w:rsidR="00544F9B">
        <w:rPr>
          <w:rFonts w:eastAsia="Calibri"/>
        </w:rPr>
        <w:t xml:space="preserve"> therefore</w:t>
      </w:r>
      <w:r w:rsidR="00AC6411">
        <w:rPr>
          <w:rFonts w:eastAsia="Calibri"/>
        </w:rPr>
        <w:t xml:space="preserve"> we</w:t>
      </w:r>
      <w:r w:rsidR="00544F9B">
        <w:rPr>
          <w:rFonts w:eastAsia="Calibri"/>
        </w:rPr>
        <w:t xml:space="preserve"> administer the collection </w:t>
      </w:r>
      <w:r w:rsidR="005B3086">
        <w:rPr>
          <w:rFonts w:eastAsia="Calibri"/>
        </w:rPr>
        <w:t xml:space="preserve">monthly </w:t>
      </w:r>
      <w:r w:rsidR="00544F9B">
        <w:rPr>
          <w:rFonts w:eastAsia="Calibri"/>
        </w:rPr>
        <w:t>to allow for individual submission</w:t>
      </w:r>
      <w:r w:rsidR="005B3086">
        <w:rPr>
          <w:rFonts w:eastAsia="Calibri"/>
        </w:rPr>
        <w:t xml:space="preserve"> schedules </w:t>
      </w:r>
      <w:r w:rsidR="00485B66">
        <w:rPr>
          <w:rFonts w:eastAsia="Calibri"/>
        </w:rPr>
        <w:t>by respondent</w:t>
      </w:r>
      <w:r w:rsidR="00F97584">
        <w:rPr>
          <w:rFonts w:eastAsia="Calibri"/>
        </w:rPr>
        <w:t>s.</w:t>
      </w:r>
      <w:r w:rsidR="00485B66">
        <w:rPr>
          <w:rFonts w:eastAsia="Calibri"/>
        </w:rPr>
        <w:t xml:space="preserve"> </w:t>
      </w:r>
    </w:p>
    <w:p w:rsidR="00F97584" w:rsidRPr="006E41FC" w:rsidP="00BF7CDA" w14:paraId="5473DF3B" w14:textId="77777777">
      <w:pPr>
        <w:rPr>
          <w:rFonts w:eastAsia="Calibri"/>
        </w:rPr>
      </w:pPr>
    </w:p>
    <w:p w:rsidR="00357C8A" w:rsidRPr="00357C8A" w:rsidP="006705EA" w14:paraId="52F78F49"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7E40C4EC" w14:textId="4F07691F">
      <w:pPr>
        <w:spacing w:after="200"/>
        <w:rPr>
          <w:rFonts w:eastAsia="Calibri"/>
        </w:rPr>
      </w:pPr>
      <w:r w:rsidRPr="00A55613">
        <w:rPr>
          <w:rFonts w:eastAsia="Calibri"/>
        </w:rPr>
        <w:t>There are no special circumstances associated with this collection of information.</w:t>
      </w:r>
    </w:p>
    <w:p w:rsidR="00357C8A" w:rsidRPr="00357C8A" w:rsidP="006705EA" w14:paraId="15CF9709"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BF7CDA" w:rsidP="00357C8A" w14:paraId="6E8788ED" w14:textId="72713F08">
      <w:pPr>
        <w:spacing w:after="200"/>
        <w:rPr>
          <w:rFonts w:eastAsia="Calibri"/>
          <w:color w:val="000000" w:themeColor="text1"/>
        </w:rPr>
      </w:pPr>
      <w:r w:rsidRPr="00A55613">
        <w:rPr>
          <w:rFonts w:eastAsia="Calibri"/>
        </w:rPr>
        <w:t xml:space="preserve">In accordance with 5 CFR 1320.8(d), we published a 60-day notice soliciting public comment in the </w:t>
      </w:r>
      <w:r w:rsidRPr="00A55613">
        <w:rPr>
          <w:rFonts w:eastAsia="Calibri"/>
          <w:i/>
        </w:rPr>
        <w:t>Federal Register</w:t>
      </w:r>
      <w:r w:rsidRPr="00A55613">
        <w:rPr>
          <w:rFonts w:eastAsia="Calibri"/>
        </w:rPr>
        <w:t xml:space="preserve"> of December 19, 2024 (89 FR 103832).  </w:t>
      </w:r>
      <w:r w:rsidR="000D18BD">
        <w:rPr>
          <w:rFonts w:eastAsia="Calibri"/>
        </w:rPr>
        <w:t xml:space="preserve">One </w:t>
      </w:r>
    </w:p>
    <w:p w:rsidR="00357C8A" w:rsidRPr="00357C8A" w:rsidP="006705EA" w14:paraId="609CED33"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BF7CDA" w:rsidP="00357C8A" w14:paraId="0541C4E5" w14:textId="3CD41E54">
      <w:pPr>
        <w:spacing w:after="200"/>
        <w:rPr>
          <w:rFonts w:eastAsia="Calibri"/>
          <w:color w:val="000000" w:themeColor="text1"/>
        </w:rPr>
      </w:pPr>
      <w:r w:rsidRPr="002074FE">
        <w:rPr>
          <w:rFonts w:eastAsia="Calibri"/>
        </w:rPr>
        <w:t>There are no incentives,</w:t>
      </w:r>
      <w:r w:rsidRPr="007F46D2">
        <w:rPr>
          <w:rFonts w:eastAsia="Calibri"/>
        </w:rPr>
        <w:t xml:space="preserve"> payments</w:t>
      </w:r>
      <w:r w:rsidR="00EC1A49">
        <w:rPr>
          <w:rFonts w:eastAsia="Calibri"/>
        </w:rPr>
        <w:t>,</w:t>
      </w:r>
      <w:r w:rsidRPr="007F46D2">
        <w:rPr>
          <w:rFonts w:eastAsia="Calibri"/>
        </w:rPr>
        <w:t xml:space="preserve"> or gifts </w:t>
      </w:r>
      <w:r w:rsidRPr="002074FE">
        <w:rPr>
          <w:rFonts w:eastAsia="Calibri"/>
        </w:rPr>
        <w:t>associated with this</w:t>
      </w:r>
      <w:r w:rsidRPr="007F46D2">
        <w:rPr>
          <w:rFonts w:eastAsia="Calibri"/>
        </w:rPr>
        <w:t xml:space="preserve"> information collection.</w:t>
      </w:r>
    </w:p>
    <w:p w:rsidR="00357C8A" w:rsidRPr="00357C8A" w:rsidP="006705EA" w14:paraId="472B2D94"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2949B9" w:rsidRPr="002949B9" w:rsidP="002949B9" w14:paraId="1B67ABFA" w14:textId="13CDA1AE">
      <w:pPr>
        <w:rPr>
          <w:rFonts w:eastAsia="Calibri"/>
          <w:i/>
          <w:iCs/>
        </w:rPr>
      </w:pPr>
      <w:bookmarkStart w:id="0" w:name="_Hlk191567720"/>
      <w:r w:rsidRPr="002949B9">
        <w:rPr>
          <w:rFonts w:eastAsia="Calibri"/>
          <w:i/>
          <w:iCs/>
        </w:rPr>
        <w:t>Privacy Act of 1974</w:t>
      </w:r>
    </w:p>
    <w:p w:rsidR="002949B9" w:rsidRPr="002949B9" w:rsidP="002949B9" w14:paraId="733D5475" w14:textId="77777777">
      <w:pPr>
        <w:rPr>
          <w:rFonts w:eastAsia="Calibri"/>
        </w:rPr>
      </w:pPr>
    </w:p>
    <w:bookmarkEnd w:id="0"/>
    <w:p w:rsidR="002949B9" w:rsidRPr="002949B9" w:rsidP="002949B9" w14:paraId="12DE0704" w14:textId="75571164">
      <w:pPr>
        <w:rPr>
          <w:rFonts w:eastAsia="Calibri"/>
        </w:rPr>
      </w:pPr>
      <w:r w:rsidRPr="002949B9">
        <w:rPr>
          <w:rFonts w:eastAsia="Calibri"/>
        </w:rPr>
        <w:t>In preparing this supporting statement, we consulted our Privacy Office to ensure appropriate identification and handling of information collected.  Although this ICR collects personally identifiable information (PII), it is collected in the context of the subject individuals’ professional capacity and the FDA-related work performed for their employer (e.g., point of contact at a regulated entity).  The PII submitted via Form FDA 3038 (Interstate Shellfish Dealer’s Certificate) is name, telephone number, email address, mailing address, username, and password.  We have determined that although PII is collected, the collection is not subject to the Privacy Act of 1974</w:t>
      </w:r>
      <w:r w:rsidR="003A17D2">
        <w:rPr>
          <w:rFonts w:eastAsia="Calibri"/>
        </w:rPr>
        <w:t xml:space="preserve"> </w:t>
      </w:r>
      <w:r w:rsidRPr="003A17D2" w:rsidR="003A17D2">
        <w:rPr>
          <w:rFonts w:eastAsia="Calibri"/>
        </w:rPr>
        <w:t>(5 U.S.C. 552a)</w:t>
      </w:r>
      <w:r w:rsidRPr="002949B9">
        <w:rPr>
          <w:rFonts w:eastAsia="Calibri"/>
        </w:rPr>
        <w:t xml:space="preserve"> and the particular notice and other requirements of the Privacy</w:t>
      </w:r>
      <w:r w:rsidRPr="002949B9">
        <w:rPr>
          <w:rFonts w:eastAsia="Calibri"/>
          <w:b/>
          <w:bCs/>
        </w:rPr>
        <w:t xml:space="preserve"> </w:t>
      </w:r>
      <w:r w:rsidRPr="002949B9">
        <w:rPr>
          <w:rFonts w:eastAsia="Calibri"/>
        </w:rPr>
        <w:t xml:space="preserve">Act do not apply. </w:t>
      </w:r>
      <w:r w:rsidR="00590502">
        <w:rPr>
          <w:rFonts w:eastAsia="Calibri"/>
        </w:rPr>
        <w:t xml:space="preserve"> </w:t>
      </w:r>
      <w:r w:rsidRPr="002949B9">
        <w:rPr>
          <w:rFonts w:eastAsia="Calibri"/>
        </w:rPr>
        <w:t>Specifically, FDA does not use name or any other personal identifier to retrieve records from the information collected.  Through appropriate form and/or webpage design, FDA limited submission fields and minimized the PII collected to protect the privacy of the individuals.</w:t>
      </w:r>
    </w:p>
    <w:p w:rsidR="002949B9" w:rsidRPr="002949B9" w:rsidP="002949B9" w14:paraId="6ABFD754" w14:textId="77777777">
      <w:pPr>
        <w:rPr>
          <w:rFonts w:eastAsia="Calibri"/>
        </w:rPr>
      </w:pPr>
    </w:p>
    <w:p w:rsidR="002949B9" w:rsidRPr="002949B9" w:rsidP="002949B9" w14:paraId="5CB4982A" w14:textId="6042ABAE">
      <w:pPr>
        <w:rPr>
          <w:rFonts w:eastAsia="Calibri"/>
          <w:i/>
          <w:iCs/>
        </w:rPr>
      </w:pPr>
      <w:r w:rsidRPr="002949B9">
        <w:rPr>
          <w:rFonts w:eastAsia="Calibri"/>
          <w:i/>
          <w:iCs/>
        </w:rPr>
        <w:t>Freedom of Information Act (FOIA)</w:t>
      </w:r>
    </w:p>
    <w:p w:rsidR="002949B9" w:rsidRPr="002949B9" w:rsidP="002949B9" w14:paraId="173E7D9E" w14:textId="77777777">
      <w:pPr>
        <w:rPr>
          <w:rFonts w:eastAsia="Calibri"/>
        </w:rPr>
      </w:pPr>
    </w:p>
    <w:p w:rsidR="00357C8A" w:rsidRPr="00BF7CDA" w:rsidP="002949B9" w14:paraId="4F1D90EE" w14:textId="480D5756">
      <w:pPr>
        <w:rPr>
          <w:rFonts w:eastAsia="Calibri"/>
          <w:color w:val="000000" w:themeColor="text1"/>
        </w:rPr>
      </w:pPr>
      <w:r w:rsidRPr="002949B9">
        <w:rPr>
          <w:rFonts w:eastAsia="Calibri"/>
        </w:rPr>
        <w:t>Under FOIA (5 U.S.C. 552), the public has broad access to government documents. However, FOIA provides certain exemptions from mandatory public disclosure of government records (5 U.S.C. 552(b)(1-9)).  FDA will make the fullest possible disclosure of records to the public (see 21 CFR 20), consistent with the rights of individuals to privacy, the property rights of persons in trade and confidential commercial or financial information</w:t>
      </w:r>
      <w:r w:rsidRPr="006E41FC" w:rsidR="006E41FC">
        <w:rPr>
          <w:rFonts w:eastAsia="Calibri"/>
        </w:rPr>
        <w:t xml:space="preserve">. </w:t>
      </w:r>
    </w:p>
    <w:p w:rsidR="001075D3" w:rsidRPr="001075D3" w:rsidP="007F46D2" w14:paraId="3C4DDCB1" w14:textId="77777777"/>
    <w:p w:rsidR="00357C8A" w:rsidRPr="00357C8A" w:rsidP="006705EA" w14:paraId="1218512A"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7F46D2" w:rsidP="0022425B" w14:paraId="5A689FD0" w14:textId="60194717">
      <w:pPr>
        <w:spacing w:after="200"/>
        <w:rPr>
          <w:rFonts w:eastAsia="Calibri"/>
          <w:color w:val="000000" w:themeColor="text1"/>
        </w:rPr>
      </w:pPr>
      <w:r w:rsidRPr="00BF7CDA">
        <w:rPr>
          <w:rFonts w:eastAsia="Calibri"/>
          <w:iCs/>
        </w:rPr>
        <w:t xml:space="preserve">The collection of </w:t>
      </w:r>
      <w:r w:rsidRPr="007F46D2">
        <w:rPr>
          <w:rFonts w:eastAsia="Calibri"/>
        </w:rPr>
        <w:t xml:space="preserve">information does not involve sensitive </w:t>
      </w:r>
      <w:r w:rsidRPr="00BF7CDA">
        <w:rPr>
          <w:rFonts w:eastAsia="Calibri"/>
          <w:iCs/>
        </w:rPr>
        <w:t>questions</w:t>
      </w:r>
      <w:r w:rsidRPr="007F46D2">
        <w:rPr>
          <w:rFonts w:eastAsia="Calibri"/>
        </w:rPr>
        <w:t>.</w:t>
      </w:r>
    </w:p>
    <w:p w:rsidR="007F46D2" w14:paraId="7146ADF0" w14:textId="77777777">
      <w:pPr>
        <w:rPr>
          <w:rFonts w:eastAsia="Calibri"/>
          <w:u w:val="single"/>
        </w:rPr>
      </w:pPr>
      <w:r>
        <w:rPr>
          <w:rFonts w:eastAsia="Calibri"/>
          <w:u w:val="single"/>
        </w:rPr>
        <w:br w:type="page"/>
      </w:r>
    </w:p>
    <w:p w:rsidR="00357C8A" w:rsidRPr="00357C8A" w:rsidP="006705EA" w14:paraId="7AC7D5E3" w14:textId="44C91565">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AC585B" w:rsidP="0022425B" w14:paraId="5F6551CF" w14:textId="77777777">
      <w:pPr>
        <w:spacing w:after="200"/>
        <w:ind w:left="360"/>
        <w:rPr>
          <w:rFonts w:eastAsia="Calibri"/>
          <w:i/>
          <w:iCs/>
        </w:rPr>
      </w:pPr>
      <w:r w:rsidRPr="00AC585B">
        <w:rPr>
          <w:rFonts w:eastAsia="Calibri"/>
          <w:i/>
          <w:iCs/>
        </w:rPr>
        <w:t>12a.  Annualized Hour Burden Estimate</w:t>
      </w:r>
    </w:p>
    <w:tbl>
      <w:tblPr>
        <w:tblW w:w="521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7"/>
        <w:gridCol w:w="960"/>
        <w:gridCol w:w="1239"/>
        <w:gridCol w:w="1596"/>
        <w:gridCol w:w="1243"/>
        <w:gridCol w:w="1512"/>
        <w:gridCol w:w="1048"/>
      </w:tblGrid>
      <w:tr w14:paraId="2667175B" w14:textId="77777777" w:rsidTr="00924B52">
        <w:tblPrEx>
          <w:tblW w:w="521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1106" w:type="pct"/>
            <w:tcBorders>
              <w:top w:val="nil"/>
              <w:left w:val="nil"/>
              <w:right w:val="nil"/>
            </w:tcBorders>
          </w:tcPr>
          <w:p w:rsidR="006E41FC" w:rsidRPr="00466695" w:rsidP="00FF0133" w14:paraId="0B872876" w14:textId="77777777">
            <w:pPr>
              <w:ind w:right="-7310"/>
              <w:jc w:val="center"/>
              <w:rPr>
                <w:sz w:val="20"/>
                <w:szCs w:val="20"/>
              </w:rPr>
            </w:pPr>
          </w:p>
        </w:tc>
        <w:tc>
          <w:tcPr>
            <w:tcW w:w="3894" w:type="pct"/>
            <w:gridSpan w:val="6"/>
            <w:tcBorders>
              <w:top w:val="nil"/>
              <w:left w:val="nil"/>
              <w:right w:val="nil"/>
            </w:tcBorders>
            <w:shd w:val="clear" w:color="auto" w:fill="auto"/>
          </w:tcPr>
          <w:p w:rsidR="006E41FC" w:rsidRPr="00466695" w:rsidP="00FF0133" w14:paraId="5B27F176" w14:textId="77777777">
            <w:pPr>
              <w:ind w:left="-2450"/>
              <w:jc w:val="center"/>
              <w:rPr>
                <w:sz w:val="20"/>
                <w:szCs w:val="20"/>
              </w:rPr>
            </w:pPr>
            <w:bookmarkStart w:id="1" w:name="_Hlk97558765"/>
            <w:r w:rsidRPr="00466695">
              <w:rPr>
                <w:sz w:val="20"/>
                <w:szCs w:val="20"/>
              </w:rPr>
              <w:t>Table 1.--Estimated Annual Reporting Burden</w:t>
            </w:r>
            <w:bookmarkEnd w:id="1"/>
            <w:r w:rsidRPr="00466695">
              <w:rPr>
                <w:sz w:val="20"/>
                <w:szCs w:val="20"/>
                <w:vertAlign w:val="superscript"/>
              </w:rPr>
              <w:t>1</w:t>
            </w:r>
          </w:p>
        </w:tc>
      </w:tr>
      <w:tr w14:paraId="1E18E2D0" w14:textId="77777777" w:rsidTr="00924B52">
        <w:tblPrEx>
          <w:tblW w:w="5211" w:type="pct"/>
          <w:tblInd w:w="90" w:type="dxa"/>
          <w:tblLook w:val="01E0"/>
        </w:tblPrEx>
        <w:trPr>
          <w:cantSplit/>
          <w:trHeight w:val="20"/>
        </w:trPr>
        <w:tc>
          <w:tcPr>
            <w:tcW w:w="1106" w:type="pct"/>
            <w:shd w:val="clear" w:color="auto" w:fill="auto"/>
          </w:tcPr>
          <w:p w:rsidR="006E41FC" w:rsidRPr="00466695" w:rsidP="00FF0133" w14:paraId="5BF7CF94" w14:textId="5F806AC6">
            <w:pPr>
              <w:jc w:val="center"/>
              <w:rPr>
                <w:sz w:val="20"/>
                <w:szCs w:val="20"/>
              </w:rPr>
            </w:pPr>
            <w:r>
              <w:rPr>
                <w:sz w:val="20"/>
                <w:szCs w:val="20"/>
              </w:rPr>
              <w:t xml:space="preserve">IC </w:t>
            </w:r>
            <w:r w:rsidRPr="00466695">
              <w:rPr>
                <w:sz w:val="20"/>
                <w:szCs w:val="20"/>
              </w:rPr>
              <w:t>Activity</w:t>
            </w:r>
          </w:p>
        </w:tc>
        <w:tc>
          <w:tcPr>
            <w:tcW w:w="492" w:type="pct"/>
          </w:tcPr>
          <w:p w:rsidR="006E41FC" w:rsidRPr="00466695" w:rsidP="00FF0133" w14:paraId="4CE35295" w14:textId="77777777">
            <w:pPr>
              <w:jc w:val="center"/>
              <w:rPr>
                <w:sz w:val="20"/>
                <w:szCs w:val="20"/>
              </w:rPr>
            </w:pPr>
            <w:r w:rsidRPr="00466695">
              <w:rPr>
                <w:sz w:val="20"/>
                <w:szCs w:val="20"/>
              </w:rPr>
              <w:t>FDA Form No.</w:t>
            </w:r>
          </w:p>
        </w:tc>
        <w:tc>
          <w:tcPr>
            <w:tcW w:w="635" w:type="pct"/>
            <w:shd w:val="clear" w:color="auto" w:fill="auto"/>
          </w:tcPr>
          <w:p w:rsidR="006E41FC" w:rsidRPr="00466695" w:rsidP="00FF0133" w14:paraId="47E3F499" w14:textId="77777777">
            <w:pPr>
              <w:jc w:val="center"/>
              <w:rPr>
                <w:sz w:val="20"/>
                <w:szCs w:val="20"/>
              </w:rPr>
            </w:pPr>
            <w:r w:rsidRPr="00466695">
              <w:rPr>
                <w:sz w:val="20"/>
                <w:szCs w:val="20"/>
              </w:rPr>
              <w:t>No. of Respondents</w:t>
            </w:r>
          </w:p>
        </w:tc>
        <w:tc>
          <w:tcPr>
            <w:tcW w:w="818" w:type="pct"/>
            <w:shd w:val="clear" w:color="auto" w:fill="auto"/>
          </w:tcPr>
          <w:p w:rsidR="006E41FC" w:rsidRPr="00466695" w:rsidP="00FF0133" w14:paraId="0F2B5C97" w14:textId="77777777">
            <w:pPr>
              <w:jc w:val="center"/>
              <w:rPr>
                <w:sz w:val="20"/>
                <w:szCs w:val="20"/>
              </w:rPr>
            </w:pPr>
            <w:r w:rsidRPr="00466695">
              <w:rPr>
                <w:bCs/>
                <w:sz w:val="20"/>
                <w:szCs w:val="20"/>
              </w:rPr>
              <w:t>No. of Responses per Respondent</w:t>
            </w:r>
          </w:p>
        </w:tc>
        <w:tc>
          <w:tcPr>
            <w:tcW w:w="637" w:type="pct"/>
            <w:shd w:val="clear" w:color="auto" w:fill="auto"/>
          </w:tcPr>
          <w:p w:rsidR="006E41FC" w:rsidRPr="00466695" w:rsidP="00FF0133" w14:paraId="0D8BB984" w14:textId="77777777">
            <w:pPr>
              <w:jc w:val="center"/>
              <w:rPr>
                <w:sz w:val="20"/>
                <w:szCs w:val="20"/>
              </w:rPr>
            </w:pPr>
            <w:r w:rsidRPr="00466695">
              <w:rPr>
                <w:sz w:val="20"/>
                <w:szCs w:val="20"/>
              </w:rPr>
              <w:t>Total Annual Responses</w:t>
            </w:r>
          </w:p>
        </w:tc>
        <w:tc>
          <w:tcPr>
            <w:tcW w:w="775" w:type="pct"/>
            <w:shd w:val="clear" w:color="auto" w:fill="auto"/>
          </w:tcPr>
          <w:p w:rsidR="006E41FC" w:rsidRPr="00466695" w:rsidP="00FF0133" w14:paraId="4458BA52" w14:textId="77777777">
            <w:pPr>
              <w:jc w:val="center"/>
              <w:rPr>
                <w:sz w:val="20"/>
                <w:szCs w:val="20"/>
              </w:rPr>
            </w:pPr>
            <w:r w:rsidRPr="00466695">
              <w:rPr>
                <w:bCs/>
                <w:sz w:val="20"/>
                <w:szCs w:val="20"/>
              </w:rPr>
              <w:t>Average Burden per Response</w:t>
            </w:r>
          </w:p>
        </w:tc>
        <w:tc>
          <w:tcPr>
            <w:tcW w:w="537" w:type="pct"/>
            <w:shd w:val="clear" w:color="auto" w:fill="auto"/>
          </w:tcPr>
          <w:p w:rsidR="006E41FC" w:rsidRPr="00466695" w:rsidP="00FF0133" w14:paraId="1AF0AC90" w14:textId="77777777">
            <w:pPr>
              <w:jc w:val="center"/>
              <w:rPr>
                <w:sz w:val="20"/>
                <w:szCs w:val="20"/>
              </w:rPr>
            </w:pPr>
            <w:r w:rsidRPr="00466695">
              <w:rPr>
                <w:sz w:val="20"/>
                <w:szCs w:val="20"/>
              </w:rPr>
              <w:t>Total Hours</w:t>
            </w:r>
          </w:p>
        </w:tc>
      </w:tr>
      <w:tr w14:paraId="53BC425E" w14:textId="77777777" w:rsidTr="00924B52">
        <w:tblPrEx>
          <w:tblW w:w="5211" w:type="pct"/>
          <w:tblInd w:w="90" w:type="dxa"/>
          <w:tblLook w:val="01E0"/>
        </w:tblPrEx>
        <w:trPr>
          <w:cantSplit/>
          <w:trHeight w:val="20"/>
        </w:trPr>
        <w:tc>
          <w:tcPr>
            <w:tcW w:w="1106" w:type="pct"/>
            <w:shd w:val="clear" w:color="auto" w:fill="auto"/>
          </w:tcPr>
          <w:p w:rsidR="006E41FC" w:rsidRPr="00466695" w:rsidP="00FF0133" w14:paraId="3BC1F884" w14:textId="77777777">
            <w:pPr>
              <w:rPr>
                <w:sz w:val="20"/>
                <w:szCs w:val="20"/>
              </w:rPr>
            </w:pPr>
            <w:r w:rsidRPr="00466695">
              <w:rPr>
                <w:sz w:val="20"/>
                <w:szCs w:val="20"/>
              </w:rPr>
              <w:t>Submission of Interstate Shellfish Dealer</w:t>
            </w:r>
            <w:r w:rsidRPr="00466695">
              <w:t>'</w:t>
            </w:r>
            <w:r w:rsidRPr="00466695">
              <w:rPr>
                <w:sz w:val="20"/>
                <w:szCs w:val="20"/>
              </w:rPr>
              <w:t>s Certificate</w:t>
            </w:r>
          </w:p>
        </w:tc>
        <w:tc>
          <w:tcPr>
            <w:tcW w:w="492" w:type="pct"/>
          </w:tcPr>
          <w:p w:rsidR="006E41FC" w:rsidRPr="00466695" w:rsidP="00FF0133" w14:paraId="1B67A736" w14:textId="77777777">
            <w:pPr>
              <w:jc w:val="center"/>
              <w:rPr>
                <w:sz w:val="20"/>
                <w:szCs w:val="20"/>
              </w:rPr>
            </w:pPr>
            <w:r w:rsidRPr="00466695">
              <w:rPr>
                <w:sz w:val="20"/>
                <w:szCs w:val="20"/>
              </w:rPr>
              <w:t>3038</w:t>
            </w:r>
          </w:p>
        </w:tc>
        <w:tc>
          <w:tcPr>
            <w:tcW w:w="635" w:type="pct"/>
            <w:shd w:val="clear" w:color="auto" w:fill="auto"/>
          </w:tcPr>
          <w:p w:rsidR="006E41FC" w:rsidRPr="00466695" w:rsidP="00FF0133" w14:paraId="7286927D" w14:textId="77777777">
            <w:pPr>
              <w:jc w:val="right"/>
              <w:rPr>
                <w:sz w:val="20"/>
                <w:szCs w:val="20"/>
              </w:rPr>
            </w:pPr>
            <w:r w:rsidRPr="00466695">
              <w:rPr>
                <w:sz w:val="20"/>
                <w:szCs w:val="20"/>
              </w:rPr>
              <w:t>40</w:t>
            </w:r>
          </w:p>
        </w:tc>
        <w:tc>
          <w:tcPr>
            <w:tcW w:w="818" w:type="pct"/>
            <w:shd w:val="clear" w:color="auto" w:fill="auto"/>
          </w:tcPr>
          <w:p w:rsidR="006E41FC" w:rsidRPr="00466695" w:rsidP="00FF0133" w14:paraId="2FAEB761" w14:textId="77777777">
            <w:pPr>
              <w:jc w:val="right"/>
              <w:rPr>
                <w:sz w:val="20"/>
                <w:szCs w:val="20"/>
              </w:rPr>
            </w:pPr>
            <w:r w:rsidRPr="00466695">
              <w:rPr>
                <w:sz w:val="20"/>
                <w:szCs w:val="20"/>
              </w:rPr>
              <w:t>57</w:t>
            </w:r>
          </w:p>
        </w:tc>
        <w:tc>
          <w:tcPr>
            <w:tcW w:w="637" w:type="pct"/>
            <w:shd w:val="clear" w:color="auto" w:fill="auto"/>
          </w:tcPr>
          <w:p w:rsidR="006E41FC" w:rsidRPr="00466695" w:rsidP="00FF0133" w14:paraId="5CBDC25A" w14:textId="77777777">
            <w:pPr>
              <w:jc w:val="right"/>
              <w:rPr>
                <w:sz w:val="20"/>
                <w:szCs w:val="20"/>
              </w:rPr>
            </w:pPr>
            <w:r w:rsidRPr="00466695">
              <w:rPr>
                <w:sz w:val="20"/>
                <w:szCs w:val="20"/>
              </w:rPr>
              <w:t>2,280</w:t>
            </w:r>
          </w:p>
        </w:tc>
        <w:tc>
          <w:tcPr>
            <w:tcW w:w="775" w:type="pct"/>
            <w:shd w:val="clear" w:color="auto" w:fill="auto"/>
          </w:tcPr>
          <w:p w:rsidR="006E41FC" w:rsidRPr="00466695" w:rsidP="00FF0133" w14:paraId="76D5E6C9" w14:textId="77777777">
            <w:pPr>
              <w:jc w:val="right"/>
              <w:rPr>
                <w:sz w:val="20"/>
                <w:szCs w:val="20"/>
              </w:rPr>
            </w:pPr>
            <w:r w:rsidRPr="00466695">
              <w:rPr>
                <w:sz w:val="20"/>
                <w:szCs w:val="20"/>
              </w:rPr>
              <w:t>0.10</w:t>
            </w:r>
          </w:p>
          <w:p w:rsidR="006E41FC" w:rsidRPr="00466695" w:rsidP="00FF0133" w14:paraId="0703A309" w14:textId="77777777">
            <w:pPr>
              <w:jc w:val="right"/>
              <w:rPr>
                <w:sz w:val="20"/>
                <w:szCs w:val="20"/>
              </w:rPr>
            </w:pPr>
            <w:r w:rsidRPr="00466695">
              <w:rPr>
                <w:sz w:val="20"/>
                <w:szCs w:val="20"/>
              </w:rPr>
              <w:t>(6 minutes)</w:t>
            </w:r>
          </w:p>
        </w:tc>
        <w:tc>
          <w:tcPr>
            <w:tcW w:w="537" w:type="pct"/>
            <w:shd w:val="clear" w:color="auto" w:fill="auto"/>
          </w:tcPr>
          <w:p w:rsidR="006E41FC" w:rsidRPr="00466695" w:rsidP="00FF0133" w14:paraId="3192470B" w14:textId="77777777">
            <w:pPr>
              <w:jc w:val="right"/>
              <w:rPr>
                <w:sz w:val="20"/>
                <w:szCs w:val="20"/>
              </w:rPr>
            </w:pPr>
            <w:r w:rsidRPr="00466695">
              <w:rPr>
                <w:sz w:val="20"/>
                <w:szCs w:val="20"/>
              </w:rPr>
              <w:t>228</w:t>
            </w:r>
          </w:p>
        </w:tc>
      </w:tr>
      <w:tr w14:paraId="4F90F05A" w14:textId="77777777" w:rsidTr="00924B52">
        <w:tblPrEx>
          <w:tblW w:w="5211" w:type="pct"/>
          <w:tblInd w:w="90" w:type="dxa"/>
          <w:tblLook w:val="01E0"/>
        </w:tblPrEx>
        <w:trPr>
          <w:cantSplit/>
          <w:trHeight w:val="20"/>
        </w:trPr>
        <w:tc>
          <w:tcPr>
            <w:tcW w:w="1106" w:type="pct"/>
            <w:shd w:val="clear" w:color="auto" w:fill="auto"/>
          </w:tcPr>
          <w:p w:rsidR="006E41FC" w:rsidRPr="00466695" w:rsidP="00FF0133" w14:paraId="784AF406" w14:textId="6590FA13">
            <w:pPr>
              <w:rPr>
                <w:sz w:val="20"/>
                <w:szCs w:val="20"/>
              </w:rPr>
            </w:pPr>
            <w:r w:rsidRPr="00466695">
              <w:rPr>
                <w:sz w:val="20"/>
                <w:szCs w:val="20"/>
              </w:rPr>
              <w:t xml:space="preserve">Submission of </w:t>
            </w:r>
            <w:r w:rsidR="007D5329">
              <w:rPr>
                <w:sz w:val="20"/>
                <w:szCs w:val="20"/>
              </w:rPr>
              <w:t>NSSP</w:t>
            </w:r>
            <w:r w:rsidR="007D5329">
              <w:rPr>
                <w:sz w:val="20"/>
                <w:szCs w:val="20"/>
              </w:rPr>
              <w:t xml:space="preserve"> Document</w:t>
            </w:r>
            <w:r w:rsidR="00600AD7">
              <w:rPr>
                <w:sz w:val="20"/>
                <w:szCs w:val="20"/>
              </w:rPr>
              <w:t>ation</w:t>
            </w:r>
          </w:p>
        </w:tc>
        <w:tc>
          <w:tcPr>
            <w:tcW w:w="492" w:type="pct"/>
          </w:tcPr>
          <w:p w:rsidR="006E41FC" w:rsidRPr="00466695" w:rsidP="00FF0133" w14:paraId="6E808F40" w14:textId="77777777">
            <w:pPr>
              <w:jc w:val="center"/>
              <w:rPr>
                <w:sz w:val="20"/>
                <w:szCs w:val="20"/>
              </w:rPr>
            </w:pPr>
            <w:r w:rsidRPr="00466695">
              <w:rPr>
                <w:sz w:val="20"/>
                <w:szCs w:val="20"/>
              </w:rPr>
              <w:t>N/A</w:t>
            </w:r>
          </w:p>
        </w:tc>
        <w:tc>
          <w:tcPr>
            <w:tcW w:w="635" w:type="pct"/>
            <w:shd w:val="clear" w:color="auto" w:fill="auto"/>
          </w:tcPr>
          <w:p w:rsidR="006E41FC" w:rsidRPr="00466695" w:rsidP="00FF0133" w14:paraId="55047ADE" w14:textId="77777777">
            <w:pPr>
              <w:jc w:val="right"/>
              <w:rPr>
                <w:sz w:val="20"/>
                <w:szCs w:val="20"/>
              </w:rPr>
            </w:pPr>
            <w:r w:rsidRPr="00466695">
              <w:rPr>
                <w:sz w:val="20"/>
                <w:szCs w:val="20"/>
              </w:rPr>
              <w:t>13</w:t>
            </w:r>
          </w:p>
        </w:tc>
        <w:tc>
          <w:tcPr>
            <w:tcW w:w="818" w:type="pct"/>
            <w:shd w:val="clear" w:color="auto" w:fill="auto"/>
          </w:tcPr>
          <w:p w:rsidR="006E41FC" w:rsidRPr="00466695" w:rsidP="00FF0133" w14:paraId="27EA70CA" w14:textId="77777777">
            <w:pPr>
              <w:jc w:val="right"/>
              <w:rPr>
                <w:sz w:val="20"/>
                <w:szCs w:val="20"/>
              </w:rPr>
            </w:pPr>
            <w:r w:rsidRPr="00466695">
              <w:rPr>
                <w:sz w:val="20"/>
                <w:szCs w:val="20"/>
              </w:rPr>
              <w:t>1</w:t>
            </w:r>
          </w:p>
        </w:tc>
        <w:tc>
          <w:tcPr>
            <w:tcW w:w="637" w:type="pct"/>
            <w:shd w:val="clear" w:color="auto" w:fill="auto"/>
          </w:tcPr>
          <w:p w:rsidR="006E41FC" w:rsidRPr="00466695" w:rsidP="00FF0133" w14:paraId="67F5BC90" w14:textId="77777777">
            <w:pPr>
              <w:jc w:val="right"/>
              <w:rPr>
                <w:sz w:val="20"/>
                <w:szCs w:val="20"/>
              </w:rPr>
            </w:pPr>
            <w:r w:rsidRPr="00466695">
              <w:rPr>
                <w:sz w:val="20"/>
                <w:szCs w:val="20"/>
              </w:rPr>
              <w:t>13</w:t>
            </w:r>
          </w:p>
        </w:tc>
        <w:tc>
          <w:tcPr>
            <w:tcW w:w="775" w:type="pct"/>
            <w:shd w:val="clear" w:color="auto" w:fill="auto"/>
          </w:tcPr>
          <w:p w:rsidR="006E41FC" w:rsidRPr="00466695" w:rsidP="00FF0133" w14:paraId="594FCF94" w14:textId="77777777">
            <w:pPr>
              <w:jc w:val="right"/>
              <w:rPr>
                <w:sz w:val="20"/>
                <w:szCs w:val="20"/>
              </w:rPr>
            </w:pPr>
            <w:r w:rsidRPr="00466695">
              <w:rPr>
                <w:sz w:val="20"/>
                <w:szCs w:val="20"/>
              </w:rPr>
              <w:t>0.25</w:t>
            </w:r>
          </w:p>
          <w:p w:rsidR="006E41FC" w:rsidRPr="00466695" w:rsidP="00FF0133" w14:paraId="65DB56DA" w14:textId="77777777">
            <w:pPr>
              <w:jc w:val="right"/>
              <w:rPr>
                <w:sz w:val="20"/>
                <w:szCs w:val="20"/>
              </w:rPr>
            </w:pPr>
            <w:r w:rsidRPr="00466695">
              <w:rPr>
                <w:sz w:val="20"/>
                <w:szCs w:val="20"/>
              </w:rPr>
              <w:t>(15 minutes)</w:t>
            </w:r>
          </w:p>
        </w:tc>
        <w:tc>
          <w:tcPr>
            <w:tcW w:w="537" w:type="pct"/>
            <w:shd w:val="clear" w:color="auto" w:fill="auto"/>
          </w:tcPr>
          <w:p w:rsidR="006E41FC" w:rsidRPr="00466695" w:rsidP="00FF0133" w14:paraId="2A9FCD3A" w14:textId="72D98145">
            <w:pPr>
              <w:jc w:val="right"/>
              <w:rPr>
                <w:sz w:val="20"/>
                <w:szCs w:val="20"/>
              </w:rPr>
            </w:pPr>
            <w:r w:rsidRPr="00466695">
              <w:rPr>
                <w:sz w:val="20"/>
                <w:szCs w:val="20"/>
              </w:rPr>
              <w:t>3</w:t>
            </w:r>
          </w:p>
        </w:tc>
      </w:tr>
      <w:tr w14:paraId="183E33CB" w14:textId="77777777" w:rsidTr="00924B52">
        <w:tblPrEx>
          <w:tblW w:w="5211" w:type="pct"/>
          <w:tblInd w:w="90" w:type="dxa"/>
          <w:tblLook w:val="01E0"/>
        </w:tblPrEx>
        <w:trPr>
          <w:cantSplit/>
          <w:trHeight w:val="20"/>
        </w:trPr>
        <w:tc>
          <w:tcPr>
            <w:tcW w:w="1106" w:type="pct"/>
            <w:shd w:val="clear" w:color="auto" w:fill="auto"/>
          </w:tcPr>
          <w:p w:rsidR="007D5329" w:rsidRPr="00466695" w:rsidP="00FF0133" w14:paraId="4AFE104F" w14:textId="54BDA23E">
            <w:pPr>
              <w:rPr>
                <w:sz w:val="20"/>
                <w:szCs w:val="20"/>
              </w:rPr>
            </w:pPr>
            <w:r>
              <w:rPr>
                <w:sz w:val="20"/>
                <w:szCs w:val="20"/>
              </w:rPr>
              <w:t>Submission of Samples and Analytical Results</w:t>
            </w:r>
          </w:p>
        </w:tc>
        <w:tc>
          <w:tcPr>
            <w:tcW w:w="492" w:type="pct"/>
          </w:tcPr>
          <w:p w:rsidR="007D5329" w:rsidRPr="00466695" w:rsidP="00FF0133" w14:paraId="0FC486E9" w14:textId="2269BC5A">
            <w:pPr>
              <w:jc w:val="center"/>
              <w:rPr>
                <w:sz w:val="20"/>
                <w:szCs w:val="20"/>
              </w:rPr>
            </w:pPr>
            <w:r>
              <w:rPr>
                <w:sz w:val="20"/>
                <w:szCs w:val="20"/>
              </w:rPr>
              <w:t>N/A</w:t>
            </w:r>
          </w:p>
        </w:tc>
        <w:tc>
          <w:tcPr>
            <w:tcW w:w="635" w:type="pct"/>
            <w:shd w:val="clear" w:color="auto" w:fill="auto"/>
          </w:tcPr>
          <w:p w:rsidR="007D5329" w:rsidRPr="00466695" w:rsidP="00FF0133" w14:paraId="017854D1" w14:textId="148C44DB">
            <w:pPr>
              <w:jc w:val="right"/>
              <w:rPr>
                <w:sz w:val="20"/>
                <w:szCs w:val="20"/>
              </w:rPr>
            </w:pPr>
            <w:r>
              <w:rPr>
                <w:sz w:val="20"/>
                <w:szCs w:val="20"/>
              </w:rPr>
              <w:t>35</w:t>
            </w:r>
          </w:p>
        </w:tc>
        <w:tc>
          <w:tcPr>
            <w:tcW w:w="818" w:type="pct"/>
            <w:shd w:val="clear" w:color="auto" w:fill="auto"/>
          </w:tcPr>
          <w:p w:rsidR="007D5329" w:rsidRPr="00466695" w:rsidP="00FF0133" w14:paraId="005A83F0" w14:textId="73927A87">
            <w:pPr>
              <w:jc w:val="right"/>
              <w:rPr>
                <w:sz w:val="20"/>
                <w:szCs w:val="20"/>
              </w:rPr>
            </w:pPr>
            <w:r>
              <w:rPr>
                <w:sz w:val="20"/>
                <w:szCs w:val="20"/>
              </w:rPr>
              <w:t>2</w:t>
            </w:r>
          </w:p>
        </w:tc>
        <w:tc>
          <w:tcPr>
            <w:tcW w:w="637" w:type="pct"/>
            <w:shd w:val="clear" w:color="auto" w:fill="auto"/>
          </w:tcPr>
          <w:p w:rsidR="007D5329" w:rsidRPr="00466695" w:rsidP="00FF0133" w14:paraId="2B842F89" w14:textId="11316578">
            <w:pPr>
              <w:jc w:val="right"/>
              <w:rPr>
                <w:sz w:val="20"/>
                <w:szCs w:val="20"/>
              </w:rPr>
            </w:pPr>
            <w:r>
              <w:rPr>
                <w:sz w:val="20"/>
                <w:szCs w:val="20"/>
              </w:rPr>
              <w:t>70</w:t>
            </w:r>
          </w:p>
        </w:tc>
        <w:tc>
          <w:tcPr>
            <w:tcW w:w="775" w:type="pct"/>
            <w:shd w:val="clear" w:color="auto" w:fill="auto"/>
          </w:tcPr>
          <w:p w:rsidR="007D5329" w:rsidP="00FF0133" w14:paraId="482E4A5D" w14:textId="77777777">
            <w:pPr>
              <w:jc w:val="right"/>
              <w:rPr>
                <w:sz w:val="20"/>
                <w:szCs w:val="20"/>
              </w:rPr>
            </w:pPr>
            <w:r>
              <w:rPr>
                <w:sz w:val="20"/>
                <w:szCs w:val="20"/>
              </w:rPr>
              <w:t>0.50</w:t>
            </w:r>
          </w:p>
          <w:p w:rsidR="007D5329" w:rsidRPr="00466695" w:rsidP="00FF0133" w14:paraId="0920533B" w14:textId="5B66CDAB">
            <w:pPr>
              <w:jc w:val="right"/>
              <w:rPr>
                <w:sz w:val="20"/>
                <w:szCs w:val="20"/>
              </w:rPr>
            </w:pPr>
            <w:r>
              <w:rPr>
                <w:sz w:val="20"/>
                <w:szCs w:val="20"/>
              </w:rPr>
              <w:t>(30 minutes)</w:t>
            </w:r>
          </w:p>
        </w:tc>
        <w:tc>
          <w:tcPr>
            <w:tcW w:w="537" w:type="pct"/>
            <w:shd w:val="clear" w:color="auto" w:fill="auto"/>
          </w:tcPr>
          <w:p w:rsidR="007D5329" w:rsidRPr="00466695" w:rsidP="00FF0133" w14:paraId="3825ABD7" w14:textId="498AAC0A">
            <w:pPr>
              <w:jc w:val="right"/>
              <w:rPr>
                <w:sz w:val="20"/>
                <w:szCs w:val="20"/>
              </w:rPr>
            </w:pPr>
            <w:r>
              <w:rPr>
                <w:sz w:val="20"/>
                <w:szCs w:val="20"/>
              </w:rPr>
              <w:t>35</w:t>
            </w:r>
          </w:p>
        </w:tc>
      </w:tr>
      <w:tr w14:paraId="21EF32EA" w14:textId="77777777" w:rsidTr="00924B52">
        <w:tblPrEx>
          <w:tblW w:w="5211" w:type="pct"/>
          <w:tblInd w:w="90" w:type="dxa"/>
          <w:tblLook w:val="01E0"/>
        </w:tblPrEx>
        <w:trPr>
          <w:cantSplit/>
          <w:trHeight w:val="20"/>
        </w:trPr>
        <w:tc>
          <w:tcPr>
            <w:tcW w:w="1106" w:type="pct"/>
            <w:shd w:val="clear" w:color="auto" w:fill="auto"/>
          </w:tcPr>
          <w:p w:rsidR="00924B52" w:rsidP="00FF0133" w14:paraId="67860E26" w14:textId="6A2AAE15">
            <w:pPr>
              <w:rPr>
                <w:sz w:val="20"/>
                <w:szCs w:val="20"/>
              </w:rPr>
            </w:pPr>
            <w:r>
              <w:rPr>
                <w:sz w:val="20"/>
                <w:szCs w:val="20"/>
              </w:rPr>
              <w:t>TOTAL</w:t>
            </w:r>
          </w:p>
        </w:tc>
        <w:tc>
          <w:tcPr>
            <w:tcW w:w="492" w:type="pct"/>
          </w:tcPr>
          <w:p w:rsidR="00924B52" w:rsidP="00FF0133" w14:paraId="1CD9C935" w14:textId="77777777">
            <w:pPr>
              <w:jc w:val="center"/>
              <w:rPr>
                <w:sz w:val="20"/>
                <w:szCs w:val="20"/>
              </w:rPr>
            </w:pPr>
          </w:p>
        </w:tc>
        <w:tc>
          <w:tcPr>
            <w:tcW w:w="635" w:type="pct"/>
            <w:shd w:val="clear" w:color="auto" w:fill="auto"/>
          </w:tcPr>
          <w:p w:rsidR="00924B52" w:rsidP="00FF0133" w14:paraId="6A08C454" w14:textId="77777777">
            <w:pPr>
              <w:jc w:val="right"/>
              <w:rPr>
                <w:sz w:val="20"/>
                <w:szCs w:val="20"/>
              </w:rPr>
            </w:pPr>
          </w:p>
        </w:tc>
        <w:tc>
          <w:tcPr>
            <w:tcW w:w="818" w:type="pct"/>
            <w:shd w:val="clear" w:color="auto" w:fill="auto"/>
          </w:tcPr>
          <w:p w:rsidR="00924B52" w:rsidP="00FF0133" w14:paraId="6D60AEB1" w14:textId="77777777">
            <w:pPr>
              <w:jc w:val="right"/>
              <w:rPr>
                <w:sz w:val="20"/>
                <w:szCs w:val="20"/>
              </w:rPr>
            </w:pPr>
          </w:p>
        </w:tc>
        <w:tc>
          <w:tcPr>
            <w:tcW w:w="637" w:type="pct"/>
            <w:shd w:val="clear" w:color="auto" w:fill="auto"/>
          </w:tcPr>
          <w:p w:rsidR="00924B52" w:rsidP="00FF0133" w14:paraId="311AB6E2" w14:textId="6CE0D280">
            <w:pPr>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2,363</w:t>
            </w:r>
            <w:r>
              <w:rPr>
                <w:sz w:val="20"/>
                <w:szCs w:val="20"/>
              </w:rPr>
              <w:fldChar w:fldCharType="end"/>
            </w:r>
          </w:p>
        </w:tc>
        <w:tc>
          <w:tcPr>
            <w:tcW w:w="775" w:type="pct"/>
            <w:shd w:val="clear" w:color="auto" w:fill="auto"/>
          </w:tcPr>
          <w:p w:rsidR="00924B52" w:rsidP="00FF0133" w14:paraId="68E6DC3B" w14:textId="77777777">
            <w:pPr>
              <w:jc w:val="right"/>
              <w:rPr>
                <w:sz w:val="20"/>
                <w:szCs w:val="20"/>
              </w:rPr>
            </w:pPr>
          </w:p>
        </w:tc>
        <w:tc>
          <w:tcPr>
            <w:tcW w:w="537" w:type="pct"/>
            <w:shd w:val="clear" w:color="auto" w:fill="auto"/>
          </w:tcPr>
          <w:p w:rsidR="00924B52" w:rsidP="00FF0133" w14:paraId="7B9BC55B" w14:textId="3C0BD087">
            <w:pPr>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266</w:t>
            </w:r>
            <w:r>
              <w:rPr>
                <w:sz w:val="20"/>
                <w:szCs w:val="20"/>
              </w:rPr>
              <w:fldChar w:fldCharType="end"/>
            </w:r>
          </w:p>
        </w:tc>
      </w:tr>
    </w:tbl>
    <w:p w:rsidR="006E41FC" w:rsidRPr="005C71CA" w:rsidP="006E41FC" w14:paraId="75EFAB9C" w14:textId="77777777">
      <w:pPr>
        <w:ind w:firstLine="360"/>
        <w:rPr>
          <w:rFonts w:eastAsia="Calibri"/>
          <w:i/>
        </w:rPr>
      </w:pPr>
      <w:r w:rsidRPr="00466695">
        <w:rPr>
          <w:sz w:val="20"/>
          <w:szCs w:val="20"/>
          <w:vertAlign w:val="superscript"/>
        </w:rPr>
        <w:t>1</w:t>
      </w:r>
      <w:r w:rsidRPr="00466695">
        <w:rPr>
          <w:sz w:val="20"/>
          <w:szCs w:val="20"/>
        </w:rPr>
        <w:t xml:space="preserve"> There are no capital costs or operating and maintenance costs associated with this collection of information.</w:t>
      </w:r>
    </w:p>
    <w:p w:rsidR="00AB2BD6" w:rsidP="00A55613" w14:paraId="45A58817" w14:textId="77777777">
      <w:pPr>
        <w:rPr>
          <w:rFonts w:eastAsia="Calibri"/>
        </w:rPr>
      </w:pPr>
    </w:p>
    <w:p w:rsidR="00357C8A" w:rsidRPr="00646149" w:rsidP="00DC371B" w14:paraId="0AFDCBEE" w14:textId="77777777">
      <w:pPr>
        <w:spacing w:after="200"/>
        <w:ind w:left="360"/>
        <w:rPr>
          <w:rFonts w:eastAsia="Calibri"/>
          <w:i/>
          <w:iCs/>
        </w:rPr>
      </w:pPr>
      <w:r w:rsidRPr="00AC585B">
        <w:rPr>
          <w:rFonts w:eastAsia="Calibri"/>
          <w:i/>
          <w:iCs/>
        </w:rPr>
        <w:t xml:space="preserve">12b.  </w:t>
      </w:r>
      <w:r w:rsidRPr="00646149">
        <w:rPr>
          <w:rFonts w:eastAsia="Calibri"/>
          <w:i/>
          <w:iCs/>
        </w:rPr>
        <w:t>Annualized Cost Burden Estimate</w:t>
      </w:r>
    </w:p>
    <w:p w:rsidR="00C52FCD" w:rsidRPr="007935EE" w:rsidP="00A55613" w14:paraId="66FE651A" w14:textId="55BDA860">
      <w:pPr>
        <w:ind w:firstLine="360"/>
        <w:rPr>
          <w:rFonts w:ascii="TimesNewRomanPSMT" w:hAnsi="TimesNewRomanPSMT"/>
        </w:rPr>
      </w:pPr>
      <w:r>
        <w:rPr>
          <w:rFonts w:ascii="TimesNewRomanPSMT" w:hAnsi="TimesNewRomanPSMT" w:cs="TimesNewRomanPSMT"/>
        </w:rPr>
        <w:t>We estimate the annualized burden hour cost to respondents for this collection of information to be $</w:t>
      </w:r>
      <w:bookmarkStart w:id="2" w:name="_Hlk192604020"/>
      <w:r w:rsidR="00ED17E9">
        <w:rPr>
          <w:rFonts w:ascii="TimesNewRomanPSMT" w:hAnsi="TimesNewRomanPSMT" w:cs="TimesNewRomanPSMT"/>
        </w:rPr>
        <w:t>1</w:t>
      </w:r>
      <w:r w:rsidR="00BB5732">
        <w:rPr>
          <w:rFonts w:ascii="TimesNewRomanPSMT" w:hAnsi="TimesNewRomanPSMT" w:cs="TimesNewRomanPSMT"/>
        </w:rPr>
        <w:t>1,76</w:t>
      </w:r>
      <w:r w:rsidR="00ED17E9">
        <w:rPr>
          <w:rFonts w:ascii="TimesNewRomanPSMT" w:hAnsi="TimesNewRomanPSMT" w:cs="TimesNewRomanPSMT"/>
        </w:rPr>
        <w:t>2.52</w:t>
      </w:r>
      <w:bookmarkEnd w:id="2"/>
      <w:r>
        <w:rPr>
          <w:rFonts w:ascii="TimesNewRomanPSMT" w:hAnsi="TimesNewRomanPSMT" w:cs="TimesNewRomanPSMT"/>
        </w:rPr>
        <w:t xml:space="preserve">.  </w:t>
      </w:r>
      <w:r w:rsidR="00AB2BD6">
        <w:rPr>
          <w:rFonts w:ascii="TimesNewRomanPSMT" w:hAnsi="TimesNewRomanPSMT" w:cs="TimesNewRomanPSMT"/>
        </w:rPr>
        <w:t>We assum</w:t>
      </w:r>
      <w:r w:rsidR="00646149">
        <w:rPr>
          <w:rFonts w:ascii="TimesNewRomanPSMT" w:hAnsi="TimesNewRomanPSMT" w:cs="TimesNewRomanPSMT"/>
        </w:rPr>
        <w:t>e</w:t>
      </w:r>
      <w:r w:rsidR="00AB2BD6">
        <w:rPr>
          <w:rFonts w:ascii="TimesNewRomanPSMT" w:hAnsi="TimesNewRomanPSMT" w:cs="TimesNewRomanPSMT"/>
        </w:rPr>
        <w:t xml:space="preserve"> </w:t>
      </w:r>
      <w:r>
        <w:rPr>
          <w:rFonts w:ascii="TimesNewRomanPSMT" w:hAnsi="TimesNewRomanPSMT" w:cs="TimesNewRomanPSMT"/>
        </w:rPr>
        <w:t xml:space="preserve">that certification information is prepared by an employee </w:t>
      </w:r>
      <w:r w:rsidR="007935EE">
        <w:rPr>
          <w:rFonts w:ascii="TimesNewRomanPSMT" w:hAnsi="TimesNewRomanPSMT" w:cs="TimesNewRomanPSMT"/>
        </w:rPr>
        <w:t xml:space="preserve">earning </w:t>
      </w:r>
      <w:r>
        <w:rPr>
          <w:rFonts w:ascii="TimesNewRomanPSMT" w:hAnsi="TimesNewRomanPSMT" w:cs="TimesNewRomanPSMT"/>
        </w:rPr>
        <w:t>wage</w:t>
      </w:r>
      <w:r w:rsidR="007935EE">
        <w:rPr>
          <w:rFonts w:ascii="TimesNewRomanPSMT" w:hAnsi="TimesNewRomanPSMT" w:cs="TimesNewRomanPSMT"/>
        </w:rPr>
        <w:t>s</w:t>
      </w:r>
      <w:r>
        <w:rPr>
          <w:rFonts w:ascii="TimesNewRomanPSMT" w:hAnsi="TimesNewRomanPSMT" w:cs="TimesNewRomanPSMT"/>
        </w:rPr>
        <w:t xml:space="preserve"> commensurate to that of a </w:t>
      </w:r>
      <w:r w:rsidR="006D1992">
        <w:rPr>
          <w:rFonts w:ascii="TimesNewRomanPSMT" w:hAnsi="TimesNewRomanPSMT" w:cs="TimesNewRomanPSMT"/>
        </w:rPr>
        <w:t>F</w:t>
      </w:r>
      <w:r w:rsidR="00387CC0">
        <w:rPr>
          <w:rFonts w:ascii="TimesNewRomanPSMT" w:hAnsi="TimesNewRomanPSMT" w:cs="TimesNewRomanPSMT"/>
        </w:rPr>
        <w:t>ederal</w:t>
      </w:r>
      <w:r>
        <w:rPr>
          <w:rFonts w:ascii="TimesNewRomanPSMT" w:hAnsi="TimesNewRomanPSMT" w:cs="TimesNewRomanPSMT"/>
        </w:rPr>
        <w:t xml:space="preserve"> government employee at the GS-5/Step-1 rate, in the Washington-Baltimore Locality Pay Area for the year 202</w:t>
      </w:r>
      <w:r w:rsidR="007D5329">
        <w:rPr>
          <w:rFonts w:ascii="TimesNewRomanPSMT" w:hAnsi="TimesNewRomanPSMT" w:cs="TimesNewRomanPSMT"/>
        </w:rPr>
        <w:t>5</w:t>
      </w:r>
      <w:r>
        <w:rPr>
          <w:rFonts w:ascii="TimesNewRomanPSMT" w:hAnsi="TimesNewRomanPSMT" w:cs="TimesNewRomanPSMT"/>
        </w:rPr>
        <w:t xml:space="preserve"> ($</w:t>
      </w:r>
      <w:r w:rsidR="007D5329">
        <w:rPr>
          <w:rFonts w:ascii="TimesNewRomanPSMT" w:hAnsi="TimesNewRomanPSMT" w:cs="TimesNewRomanPSMT"/>
        </w:rPr>
        <w:t>22</w:t>
      </w:r>
      <w:r>
        <w:rPr>
          <w:rFonts w:ascii="TimesNewRomanPSMT" w:hAnsi="TimesNewRomanPSMT" w:cs="TimesNewRomanPSMT"/>
        </w:rPr>
        <w:t>.</w:t>
      </w:r>
      <w:r w:rsidR="007D5329">
        <w:rPr>
          <w:rFonts w:ascii="TimesNewRomanPSMT" w:hAnsi="TimesNewRomanPSMT" w:cs="TimesNewRomanPSMT"/>
        </w:rPr>
        <w:t xml:space="preserve">11 </w:t>
      </w:r>
      <w:r>
        <w:rPr>
          <w:rFonts w:ascii="TimesNewRomanPSMT" w:hAnsi="TimesNewRomanPSMT" w:cs="TimesNewRomanPSMT"/>
        </w:rPr>
        <w:t>per hour).  To account for overhead, we double</w:t>
      </w:r>
      <w:r w:rsidR="00084CD8">
        <w:rPr>
          <w:rFonts w:ascii="TimesNewRomanPSMT" w:hAnsi="TimesNewRomanPSMT" w:cs="TimesNewRomanPSMT"/>
        </w:rPr>
        <w:t>d</w:t>
      </w:r>
      <w:r>
        <w:rPr>
          <w:rFonts w:ascii="TimesNewRomanPSMT" w:hAnsi="TimesNewRomanPSMT" w:cs="TimesNewRomanPSMT"/>
        </w:rPr>
        <w:t xml:space="preserve"> the rate to $</w:t>
      </w:r>
      <w:r w:rsidR="007D5329">
        <w:rPr>
          <w:rFonts w:ascii="TimesNewRomanPSMT" w:hAnsi="TimesNewRomanPSMT" w:cs="TimesNewRomanPSMT"/>
        </w:rPr>
        <w:t>44</w:t>
      </w:r>
      <w:r>
        <w:rPr>
          <w:rFonts w:ascii="TimesNewRomanPSMT" w:hAnsi="TimesNewRomanPSMT" w:cs="TimesNewRomanPSMT"/>
        </w:rPr>
        <w:t>.</w:t>
      </w:r>
      <w:r w:rsidR="007D5329">
        <w:rPr>
          <w:rFonts w:ascii="TimesNewRomanPSMT" w:hAnsi="TimesNewRomanPSMT" w:cs="TimesNewRomanPSMT"/>
        </w:rPr>
        <w:t xml:space="preserve">22 </w:t>
      </w:r>
      <w:r>
        <w:rPr>
          <w:rFonts w:ascii="TimesNewRomanPSMT" w:hAnsi="TimesNewRomanPSMT" w:cs="TimesNewRomanPSMT"/>
        </w:rPr>
        <w:t>per hour resulting in costs of $</w:t>
      </w:r>
      <w:r w:rsidR="00387CC0">
        <w:rPr>
          <w:rFonts w:ascii="TimesNewRomanPSMT" w:hAnsi="TimesNewRomanPSMT" w:cs="TimesNewRomanPSMT"/>
        </w:rPr>
        <w:t>10</w:t>
      </w:r>
      <w:r>
        <w:rPr>
          <w:rFonts w:ascii="TimesNewRomanPSMT" w:hAnsi="TimesNewRomanPSMT" w:cs="TimesNewRomanPSMT"/>
        </w:rPr>
        <w:t>,</w:t>
      </w:r>
      <w:r w:rsidR="00387CC0">
        <w:rPr>
          <w:rFonts w:ascii="TimesNewRomanPSMT" w:hAnsi="TimesNewRomanPSMT" w:cs="TimesNewRomanPSMT"/>
        </w:rPr>
        <w:t>082</w:t>
      </w:r>
      <w:r>
        <w:rPr>
          <w:rFonts w:ascii="TimesNewRomanPSMT" w:hAnsi="TimesNewRomanPSMT" w:cs="TimesNewRomanPSMT"/>
        </w:rPr>
        <w:t>.</w:t>
      </w:r>
      <w:r w:rsidR="00387CC0">
        <w:rPr>
          <w:rFonts w:ascii="TimesNewRomanPSMT" w:hAnsi="TimesNewRomanPSMT" w:cs="TimesNewRomanPSMT"/>
        </w:rPr>
        <w:t xml:space="preserve">16 </w:t>
      </w:r>
      <w:r>
        <w:rPr>
          <w:rFonts w:ascii="TimesNewRomanPSMT" w:hAnsi="TimesNewRomanPSMT" w:cs="TimesNewRomanPSMT"/>
        </w:rPr>
        <w:t>(228 hours x $</w:t>
      </w:r>
      <w:r w:rsidR="007D5329">
        <w:rPr>
          <w:rFonts w:ascii="TimesNewRomanPSMT" w:hAnsi="TimesNewRomanPSMT" w:cs="TimesNewRomanPSMT"/>
        </w:rPr>
        <w:t>44</w:t>
      </w:r>
      <w:r>
        <w:rPr>
          <w:rFonts w:ascii="TimesNewRomanPSMT" w:hAnsi="TimesNewRomanPSMT" w:cs="TimesNewRomanPSMT"/>
        </w:rPr>
        <w:t>.</w:t>
      </w:r>
      <w:r w:rsidR="007D5329">
        <w:rPr>
          <w:rFonts w:ascii="TimesNewRomanPSMT" w:hAnsi="TimesNewRomanPSMT" w:cs="TimesNewRomanPSMT"/>
        </w:rPr>
        <w:t xml:space="preserve">22 </w:t>
      </w:r>
      <w:r>
        <w:rPr>
          <w:rFonts w:ascii="TimesNewRomanPSMT" w:hAnsi="TimesNewRomanPSMT" w:cs="TimesNewRomanPSMT"/>
        </w:rPr>
        <w:t xml:space="preserve">per hour).  </w:t>
      </w:r>
      <w:r w:rsidR="00AB2BD6">
        <w:rPr>
          <w:rFonts w:ascii="TimesNewRomanPSMT" w:hAnsi="TimesNewRomanPSMT" w:cs="TimesNewRomanPSMT"/>
        </w:rPr>
        <w:t xml:space="preserve">We estimate the cost </w:t>
      </w:r>
      <w:r>
        <w:rPr>
          <w:rFonts w:ascii="TimesNewRomanPSMT" w:hAnsi="TimesNewRomanPSMT" w:cs="TimesNewRomanPSMT"/>
        </w:rPr>
        <w:t xml:space="preserve">for completion and submission of </w:t>
      </w:r>
      <w:bookmarkStart w:id="3" w:name="_Hlk97559153"/>
      <w:r>
        <w:rPr>
          <w:rFonts w:ascii="TimesNewRomanPSMT" w:hAnsi="TimesNewRomanPSMT" w:cs="TimesNewRomanPSMT"/>
        </w:rPr>
        <w:t>other records related to participation in the NSSP</w:t>
      </w:r>
      <w:bookmarkEnd w:id="3"/>
      <w:r w:rsidR="00AB2BD6">
        <w:rPr>
          <w:rFonts w:ascii="TimesNewRomanPSMT" w:hAnsi="TimesNewRomanPSMT" w:cs="TimesNewRomanPSMT"/>
        </w:rPr>
        <w:t xml:space="preserve"> will be </w:t>
      </w:r>
      <w:r>
        <w:rPr>
          <w:rFonts w:ascii="TimesNewRomanPSMT" w:hAnsi="TimesNewRomanPSMT" w:cs="TimesNewRomanPSMT"/>
        </w:rPr>
        <w:t>$</w:t>
      </w:r>
      <w:r w:rsidR="00387CC0">
        <w:rPr>
          <w:rFonts w:ascii="TimesNewRomanPSMT" w:hAnsi="TimesNewRomanPSMT" w:cs="TimesNewRomanPSMT"/>
        </w:rPr>
        <w:t>132</w:t>
      </w:r>
      <w:r>
        <w:rPr>
          <w:rFonts w:ascii="TimesNewRomanPSMT" w:hAnsi="TimesNewRomanPSMT" w:cs="TimesNewRomanPSMT"/>
        </w:rPr>
        <w:t>.</w:t>
      </w:r>
      <w:r w:rsidR="00387CC0">
        <w:rPr>
          <w:rFonts w:ascii="TimesNewRomanPSMT" w:hAnsi="TimesNewRomanPSMT" w:cs="TimesNewRomanPSMT"/>
        </w:rPr>
        <w:t xml:space="preserve">66 </w:t>
      </w:r>
      <w:r>
        <w:rPr>
          <w:rFonts w:ascii="TimesNewRomanPSMT" w:hAnsi="TimesNewRomanPSMT" w:cs="TimesNewRomanPSMT"/>
        </w:rPr>
        <w:t>(3 hours x $</w:t>
      </w:r>
      <w:r w:rsidR="00387CC0">
        <w:rPr>
          <w:rFonts w:ascii="TimesNewRomanPSMT" w:hAnsi="TimesNewRomanPSMT" w:cs="TimesNewRomanPSMT"/>
        </w:rPr>
        <w:t>44</w:t>
      </w:r>
      <w:r>
        <w:rPr>
          <w:rFonts w:ascii="TimesNewRomanPSMT" w:hAnsi="TimesNewRomanPSMT" w:cs="TimesNewRomanPSMT"/>
        </w:rPr>
        <w:t>.</w:t>
      </w:r>
      <w:r w:rsidR="00387CC0">
        <w:rPr>
          <w:rFonts w:ascii="TimesNewRomanPSMT" w:hAnsi="TimesNewRomanPSMT" w:cs="TimesNewRomanPSMT"/>
        </w:rPr>
        <w:t>22</w:t>
      </w:r>
      <w:r>
        <w:rPr>
          <w:rFonts w:ascii="TimesNewRomanPSMT" w:hAnsi="TimesNewRomanPSMT" w:cs="TimesNewRomanPSMT"/>
        </w:rPr>
        <w:t xml:space="preserve">).  </w:t>
      </w:r>
      <w:r w:rsidR="00AB2BD6">
        <w:rPr>
          <w:rFonts w:ascii="TimesNewRomanPSMT" w:hAnsi="TimesNewRomanPSMT" w:cs="TimesNewRomanPSMT"/>
        </w:rPr>
        <w:t xml:space="preserve">We also estimate the cost to respondents for </w:t>
      </w:r>
      <w:r w:rsidRPr="00387CC0" w:rsidR="00387CC0">
        <w:rPr>
          <w:rFonts w:ascii="TimesNewRomanPSMT" w:hAnsi="TimesNewRomanPSMT" w:cs="TimesNewRomanPSMT"/>
        </w:rPr>
        <w:t xml:space="preserve">submission of </w:t>
      </w:r>
      <w:r w:rsidR="00387CC0">
        <w:rPr>
          <w:rFonts w:ascii="TimesNewRomanPSMT" w:hAnsi="TimesNewRomanPSMT" w:cs="TimesNewRomanPSMT"/>
        </w:rPr>
        <w:t>samples and analytical results</w:t>
      </w:r>
      <w:r w:rsidR="00AB2BD6">
        <w:rPr>
          <w:rFonts w:ascii="TimesNewRomanPSMT" w:hAnsi="TimesNewRomanPSMT" w:cs="TimesNewRomanPSMT"/>
        </w:rPr>
        <w:t xml:space="preserve"> to be </w:t>
      </w:r>
      <w:r w:rsidRPr="00387CC0" w:rsidR="00387CC0">
        <w:rPr>
          <w:rFonts w:ascii="TimesNewRomanPSMT" w:hAnsi="TimesNewRomanPSMT" w:cs="TimesNewRomanPSMT"/>
        </w:rPr>
        <w:t>$1</w:t>
      </w:r>
      <w:r w:rsidR="00387CC0">
        <w:rPr>
          <w:rFonts w:ascii="TimesNewRomanPSMT" w:hAnsi="TimesNewRomanPSMT" w:cs="TimesNewRomanPSMT"/>
        </w:rPr>
        <w:t>,547.70</w:t>
      </w:r>
      <w:r w:rsidRPr="00387CC0" w:rsidR="00387CC0">
        <w:rPr>
          <w:rFonts w:ascii="TimesNewRomanPSMT" w:hAnsi="TimesNewRomanPSMT" w:cs="TimesNewRomanPSMT"/>
        </w:rPr>
        <w:t xml:space="preserve"> (</w:t>
      </w:r>
      <w:r w:rsidR="00387CC0">
        <w:rPr>
          <w:rFonts w:ascii="TimesNewRomanPSMT" w:hAnsi="TimesNewRomanPSMT" w:cs="TimesNewRomanPSMT"/>
        </w:rPr>
        <w:t>35</w:t>
      </w:r>
      <w:r w:rsidRPr="00387CC0" w:rsidR="00387CC0">
        <w:rPr>
          <w:rFonts w:ascii="TimesNewRomanPSMT" w:hAnsi="TimesNewRomanPSMT" w:cs="TimesNewRomanPSMT"/>
        </w:rPr>
        <w:t xml:space="preserve"> hours x $44.22).</w:t>
      </w:r>
      <w:r w:rsidR="00AB2BD6">
        <w:rPr>
          <w:rFonts w:ascii="TimesNewRomanPSMT" w:hAnsi="TimesNewRomanPSMT" w:cs="TimesNewRomanPSMT"/>
        </w:rPr>
        <w:t xml:space="preserve">  </w:t>
      </w:r>
      <w:r w:rsidR="002A357D">
        <w:rPr>
          <w:rFonts w:ascii="TimesNewRomanPSMT" w:hAnsi="TimesNewRomanPSMT" w:cs="TimesNewRomanPSMT"/>
        </w:rPr>
        <w:t xml:space="preserve">Thus, </w:t>
      </w:r>
      <w:r w:rsidR="00AB2BD6">
        <w:rPr>
          <w:rFonts w:ascii="TimesNewRomanPSMT" w:hAnsi="TimesNewRomanPSMT" w:cs="TimesNewRomanPSMT"/>
        </w:rPr>
        <w:t xml:space="preserve">the </w:t>
      </w:r>
      <w:r>
        <w:rPr>
          <w:rFonts w:ascii="TimesNewRomanPSMT" w:hAnsi="TimesNewRomanPSMT" w:cs="TimesNewRomanPSMT"/>
        </w:rPr>
        <w:t xml:space="preserve">total cost </w:t>
      </w:r>
      <w:r w:rsidR="00AB2BD6">
        <w:rPr>
          <w:rFonts w:ascii="TimesNewRomanPSMT" w:hAnsi="TimesNewRomanPSMT" w:cs="TimesNewRomanPSMT"/>
        </w:rPr>
        <w:t>to respondents is estimated to be</w:t>
      </w:r>
      <w:r>
        <w:rPr>
          <w:rFonts w:ascii="TimesNewRomanPSMT" w:hAnsi="TimesNewRomanPSMT" w:cs="TimesNewRomanPSMT"/>
        </w:rPr>
        <w:t xml:space="preserve"> $</w:t>
      </w:r>
      <w:r w:rsidRPr="00E75B46" w:rsidR="00E75B46">
        <w:rPr>
          <w:rFonts w:ascii="TimesNewRomanPSMT" w:hAnsi="TimesNewRomanPSMT" w:cs="TimesNewRomanPSMT"/>
        </w:rPr>
        <w:t>11,762.52</w:t>
      </w:r>
      <w:r>
        <w:rPr>
          <w:rFonts w:ascii="TimesNewRomanPSMT" w:hAnsi="TimesNewRomanPSMT" w:cs="TimesNewRomanPSMT"/>
        </w:rPr>
        <w:t xml:space="preserve"> ($</w:t>
      </w:r>
      <w:r w:rsidR="00387CC0">
        <w:rPr>
          <w:rFonts w:ascii="TimesNewRomanPSMT" w:hAnsi="TimesNewRomanPSMT" w:cs="TimesNewRomanPSMT"/>
        </w:rPr>
        <w:t>10,082.16</w:t>
      </w:r>
      <w:r>
        <w:rPr>
          <w:rFonts w:ascii="TimesNewRomanPSMT" w:hAnsi="TimesNewRomanPSMT" w:cs="TimesNewRomanPSMT"/>
        </w:rPr>
        <w:t xml:space="preserve"> + $</w:t>
      </w:r>
      <w:r w:rsidR="00387CC0">
        <w:rPr>
          <w:rFonts w:ascii="TimesNewRomanPSMT" w:hAnsi="TimesNewRomanPSMT" w:cs="TimesNewRomanPSMT"/>
        </w:rPr>
        <w:t>132.66</w:t>
      </w:r>
      <w:r>
        <w:rPr>
          <w:rFonts w:ascii="TimesNewRomanPSMT" w:hAnsi="TimesNewRomanPSMT" w:cs="TimesNewRomanPSMT"/>
        </w:rPr>
        <w:t xml:space="preserve"> + </w:t>
      </w:r>
      <w:r w:rsidR="00387CC0">
        <w:rPr>
          <w:rFonts w:ascii="TimesNewRomanPSMT" w:hAnsi="TimesNewRomanPSMT" w:cs="TimesNewRomanPSMT"/>
        </w:rPr>
        <w:t>$1,547.70</w:t>
      </w:r>
      <w:r>
        <w:rPr>
          <w:rFonts w:ascii="TimesNewRomanPSMT" w:hAnsi="TimesNewRomanPSMT" w:cs="TimesNewRomanPSMT"/>
        </w:rPr>
        <w:t>).</w:t>
      </w:r>
    </w:p>
    <w:p w:rsidR="006E41FC" w:rsidP="006E41FC" w14:paraId="028CBBF5" w14:textId="77777777">
      <w:pPr>
        <w:ind w:left="360"/>
        <w:rPr>
          <w:rFonts w:eastAsia="Calibri"/>
        </w:rPr>
      </w:pPr>
    </w:p>
    <w:p w:rsidR="006E41FC" w:rsidP="006E41FC" w14:paraId="6C134579" w14:textId="77777777">
      <w:pPr>
        <w:jc w:val="center"/>
        <w:rPr>
          <w:rFonts w:eastAsia="Calibri"/>
        </w:rPr>
      </w:pPr>
      <w:r w:rsidRPr="00466695">
        <w:rPr>
          <w:sz w:val="20"/>
          <w:szCs w:val="20"/>
        </w:rPr>
        <w:t xml:space="preserve">Table </w:t>
      </w:r>
      <w:r>
        <w:rPr>
          <w:sz w:val="20"/>
          <w:szCs w:val="20"/>
        </w:rPr>
        <w:t>2</w:t>
      </w:r>
      <w:r w:rsidRPr="00466695">
        <w:rPr>
          <w:sz w:val="20"/>
          <w:szCs w:val="20"/>
        </w:rPr>
        <w:t xml:space="preserve">.--Estimated Annual </w:t>
      </w:r>
      <w:r>
        <w:rPr>
          <w:sz w:val="20"/>
          <w:szCs w:val="20"/>
        </w:rPr>
        <w:t>Cost</w:t>
      </w:r>
      <w:r w:rsidRPr="00466695">
        <w:rPr>
          <w:sz w:val="20"/>
          <w:szCs w:val="20"/>
        </w:rPr>
        <w:t xml:space="preserve"> Burden</w:t>
      </w:r>
    </w:p>
    <w:tbl>
      <w:tblPr>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1440"/>
        <w:gridCol w:w="1620"/>
        <w:gridCol w:w="1800"/>
      </w:tblGrid>
      <w:tr w14:paraId="1F72861C" w14:textId="77777777" w:rsidTr="00173CB3">
        <w:tblPrEx>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860" w:type="dxa"/>
            <w:shd w:val="clear" w:color="auto" w:fill="auto"/>
          </w:tcPr>
          <w:p w:rsidR="006E41FC" w:rsidRPr="00A4064A" w:rsidP="00FF0133" w14:paraId="3A5D17E3" w14:textId="77777777">
            <w:pPr>
              <w:jc w:val="center"/>
              <w:rPr>
                <w:sz w:val="20"/>
                <w:szCs w:val="20"/>
              </w:rPr>
            </w:pPr>
            <w:r w:rsidRPr="00A4064A">
              <w:rPr>
                <w:sz w:val="20"/>
                <w:szCs w:val="20"/>
              </w:rPr>
              <w:t>Activity</w:t>
            </w:r>
          </w:p>
        </w:tc>
        <w:tc>
          <w:tcPr>
            <w:tcW w:w="1440" w:type="dxa"/>
            <w:shd w:val="clear" w:color="auto" w:fill="auto"/>
          </w:tcPr>
          <w:p w:rsidR="006E41FC" w:rsidRPr="00A4064A" w:rsidP="00FF0133" w14:paraId="206A43A5" w14:textId="77777777">
            <w:pPr>
              <w:jc w:val="center"/>
              <w:rPr>
                <w:sz w:val="20"/>
                <w:szCs w:val="20"/>
              </w:rPr>
            </w:pPr>
            <w:r w:rsidRPr="00A4064A">
              <w:rPr>
                <w:sz w:val="20"/>
                <w:szCs w:val="20"/>
              </w:rPr>
              <w:t>Total Burden Hours</w:t>
            </w:r>
          </w:p>
        </w:tc>
        <w:tc>
          <w:tcPr>
            <w:tcW w:w="1620" w:type="dxa"/>
            <w:shd w:val="clear" w:color="auto" w:fill="auto"/>
          </w:tcPr>
          <w:p w:rsidR="006E41FC" w:rsidRPr="00A4064A" w:rsidP="00FF0133" w14:paraId="27B1E52A" w14:textId="77777777">
            <w:pPr>
              <w:jc w:val="center"/>
              <w:rPr>
                <w:sz w:val="20"/>
                <w:szCs w:val="20"/>
              </w:rPr>
            </w:pPr>
            <w:r w:rsidRPr="00A4064A">
              <w:rPr>
                <w:sz w:val="20"/>
                <w:szCs w:val="20"/>
              </w:rPr>
              <w:t>Hourly Wage Rate</w:t>
            </w:r>
          </w:p>
        </w:tc>
        <w:tc>
          <w:tcPr>
            <w:tcW w:w="1800" w:type="dxa"/>
            <w:shd w:val="clear" w:color="auto" w:fill="auto"/>
          </w:tcPr>
          <w:p w:rsidR="006E41FC" w:rsidRPr="00A4064A" w:rsidP="00FF0133" w14:paraId="6EB13606" w14:textId="77777777">
            <w:pPr>
              <w:jc w:val="center"/>
              <w:rPr>
                <w:sz w:val="20"/>
                <w:szCs w:val="20"/>
              </w:rPr>
            </w:pPr>
            <w:r w:rsidRPr="00A4064A">
              <w:rPr>
                <w:sz w:val="20"/>
                <w:szCs w:val="20"/>
              </w:rPr>
              <w:t>Total Respondent Costs</w:t>
            </w:r>
          </w:p>
        </w:tc>
      </w:tr>
      <w:tr w14:paraId="7EA62D50" w14:textId="77777777" w:rsidTr="00173CB3">
        <w:tblPrEx>
          <w:tblW w:w="9720" w:type="dxa"/>
          <w:tblInd w:w="85" w:type="dxa"/>
          <w:tblLook w:val="01E0"/>
        </w:tblPrEx>
        <w:trPr>
          <w:trHeight w:val="431"/>
        </w:trPr>
        <w:tc>
          <w:tcPr>
            <w:tcW w:w="4860" w:type="dxa"/>
            <w:shd w:val="clear" w:color="auto" w:fill="auto"/>
          </w:tcPr>
          <w:p w:rsidR="006E41FC" w:rsidRPr="00A4064A" w:rsidP="00FF0133" w14:paraId="078F9274" w14:textId="77777777">
            <w:pPr>
              <w:rPr>
                <w:sz w:val="20"/>
                <w:szCs w:val="20"/>
              </w:rPr>
            </w:pPr>
            <w:r w:rsidRPr="002B0242">
              <w:rPr>
                <w:sz w:val="20"/>
                <w:szCs w:val="20"/>
              </w:rPr>
              <w:t xml:space="preserve">Preparation </w:t>
            </w:r>
            <w:r>
              <w:rPr>
                <w:sz w:val="20"/>
                <w:szCs w:val="20"/>
              </w:rPr>
              <w:t xml:space="preserve">of </w:t>
            </w:r>
            <w:r w:rsidRPr="002B0242">
              <w:rPr>
                <w:sz w:val="20"/>
                <w:szCs w:val="20"/>
              </w:rPr>
              <w:t xml:space="preserve">Interstate Shellfish Dealer's </w:t>
            </w:r>
            <w:r w:rsidRPr="00A4064A">
              <w:rPr>
                <w:sz w:val="20"/>
                <w:szCs w:val="20"/>
              </w:rPr>
              <w:t xml:space="preserve">Certificate </w:t>
            </w:r>
          </w:p>
        </w:tc>
        <w:tc>
          <w:tcPr>
            <w:tcW w:w="1440" w:type="dxa"/>
            <w:shd w:val="clear" w:color="auto" w:fill="auto"/>
          </w:tcPr>
          <w:p w:rsidR="006E41FC" w:rsidRPr="00A4064A" w:rsidP="00FF0133" w14:paraId="29F21B0C" w14:textId="77777777">
            <w:pPr>
              <w:jc w:val="right"/>
              <w:rPr>
                <w:sz w:val="20"/>
                <w:szCs w:val="20"/>
              </w:rPr>
            </w:pPr>
            <w:r w:rsidRPr="00A4064A">
              <w:rPr>
                <w:sz w:val="20"/>
                <w:szCs w:val="20"/>
              </w:rPr>
              <w:t>228</w:t>
            </w:r>
          </w:p>
        </w:tc>
        <w:tc>
          <w:tcPr>
            <w:tcW w:w="1620" w:type="dxa"/>
            <w:shd w:val="clear" w:color="auto" w:fill="auto"/>
          </w:tcPr>
          <w:p w:rsidR="006E41FC" w:rsidRPr="00A4064A" w:rsidP="00FF0133" w14:paraId="480469F6" w14:textId="49BC96A2">
            <w:pPr>
              <w:jc w:val="right"/>
              <w:rPr>
                <w:sz w:val="20"/>
                <w:szCs w:val="20"/>
              </w:rPr>
            </w:pPr>
            <w:r w:rsidRPr="00A4064A">
              <w:rPr>
                <w:sz w:val="20"/>
                <w:szCs w:val="20"/>
              </w:rPr>
              <w:t>$</w:t>
            </w:r>
            <w:r w:rsidR="00ED17E9">
              <w:rPr>
                <w:sz w:val="20"/>
                <w:szCs w:val="20"/>
              </w:rPr>
              <w:t>44.22</w:t>
            </w:r>
          </w:p>
        </w:tc>
        <w:tc>
          <w:tcPr>
            <w:tcW w:w="1800" w:type="dxa"/>
            <w:shd w:val="clear" w:color="auto" w:fill="auto"/>
          </w:tcPr>
          <w:p w:rsidR="006E41FC" w:rsidRPr="00A4064A" w:rsidP="00FF0133" w14:paraId="6C61CA98" w14:textId="6085604D">
            <w:pPr>
              <w:jc w:val="right"/>
              <w:rPr>
                <w:sz w:val="20"/>
                <w:szCs w:val="20"/>
              </w:rPr>
            </w:pPr>
            <w:r w:rsidRPr="00A4064A">
              <w:rPr>
                <w:sz w:val="20"/>
                <w:szCs w:val="20"/>
              </w:rPr>
              <w:t>$</w:t>
            </w:r>
            <w:r w:rsidRPr="00B3347B" w:rsidR="00B3347B">
              <w:rPr>
                <w:sz w:val="20"/>
                <w:szCs w:val="20"/>
              </w:rPr>
              <w:t>10,082.16</w:t>
            </w:r>
          </w:p>
        </w:tc>
      </w:tr>
      <w:tr w14:paraId="75B65CC5" w14:textId="77777777" w:rsidTr="00173CB3">
        <w:tblPrEx>
          <w:tblW w:w="9720" w:type="dxa"/>
          <w:tblInd w:w="85" w:type="dxa"/>
          <w:tblLook w:val="01E0"/>
        </w:tblPrEx>
        <w:trPr>
          <w:trHeight w:val="494"/>
        </w:trPr>
        <w:tc>
          <w:tcPr>
            <w:tcW w:w="4860" w:type="dxa"/>
            <w:shd w:val="clear" w:color="auto" w:fill="auto"/>
          </w:tcPr>
          <w:p w:rsidR="006E41FC" w:rsidRPr="00A4064A" w:rsidP="00FF0133" w14:paraId="48255F42" w14:textId="3E852826">
            <w:pPr>
              <w:rPr>
                <w:sz w:val="20"/>
                <w:szCs w:val="20"/>
              </w:rPr>
            </w:pPr>
            <w:r w:rsidRPr="00ED17E9">
              <w:rPr>
                <w:sz w:val="20"/>
                <w:szCs w:val="20"/>
              </w:rPr>
              <w:t>Submission of Other Records Related to Participation in the NSSP (NSSP Compliance Documents)</w:t>
            </w:r>
          </w:p>
        </w:tc>
        <w:tc>
          <w:tcPr>
            <w:tcW w:w="1440" w:type="dxa"/>
            <w:shd w:val="clear" w:color="auto" w:fill="auto"/>
          </w:tcPr>
          <w:p w:rsidR="006E41FC" w:rsidRPr="00A4064A" w:rsidP="00FF0133" w14:paraId="5CC430EE" w14:textId="1562100D">
            <w:pPr>
              <w:jc w:val="right"/>
              <w:rPr>
                <w:sz w:val="20"/>
                <w:szCs w:val="20"/>
              </w:rPr>
            </w:pPr>
            <w:r w:rsidRPr="00A4064A">
              <w:rPr>
                <w:sz w:val="20"/>
                <w:szCs w:val="20"/>
              </w:rPr>
              <w:t>3</w:t>
            </w:r>
          </w:p>
        </w:tc>
        <w:tc>
          <w:tcPr>
            <w:tcW w:w="1620" w:type="dxa"/>
            <w:shd w:val="clear" w:color="auto" w:fill="auto"/>
          </w:tcPr>
          <w:p w:rsidR="006E41FC" w:rsidRPr="00A4064A" w:rsidP="00FF0133" w14:paraId="6D95FF03" w14:textId="46F51331">
            <w:pPr>
              <w:jc w:val="right"/>
              <w:rPr>
                <w:sz w:val="20"/>
                <w:szCs w:val="20"/>
              </w:rPr>
            </w:pPr>
            <w:r w:rsidRPr="00A4064A">
              <w:rPr>
                <w:sz w:val="20"/>
                <w:szCs w:val="20"/>
              </w:rPr>
              <w:t>$</w:t>
            </w:r>
            <w:r w:rsidR="00ED17E9">
              <w:rPr>
                <w:sz w:val="20"/>
                <w:szCs w:val="20"/>
              </w:rPr>
              <w:t>44.22</w:t>
            </w:r>
          </w:p>
        </w:tc>
        <w:tc>
          <w:tcPr>
            <w:tcW w:w="1800" w:type="dxa"/>
            <w:shd w:val="clear" w:color="auto" w:fill="auto"/>
          </w:tcPr>
          <w:p w:rsidR="006E41FC" w:rsidRPr="00A4064A" w:rsidP="00FF0133" w14:paraId="2E650D27" w14:textId="77CC5BDC">
            <w:pPr>
              <w:jc w:val="right"/>
              <w:rPr>
                <w:sz w:val="20"/>
                <w:szCs w:val="20"/>
              </w:rPr>
            </w:pPr>
            <w:r w:rsidRPr="00A4064A">
              <w:rPr>
                <w:sz w:val="20"/>
                <w:szCs w:val="20"/>
              </w:rPr>
              <w:t>$</w:t>
            </w:r>
            <w:r w:rsidRPr="00E62C65" w:rsidR="00E62C65">
              <w:rPr>
                <w:sz w:val="20"/>
                <w:szCs w:val="20"/>
              </w:rPr>
              <w:t>132.66</w:t>
            </w:r>
          </w:p>
        </w:tc>
      </w:tr>
      <w:tr w14:paraId="5A98E409" w14:textId="77777777" w:rsidTr="00173CB3">
        <w:tblPrEx>
          <w:tblW w:w="9720" w:type="dxa"/>
          <w:tblInd w:w="85" w:type="dxa"/>
          <w:tblLook w:val="01E0"/>
        </w:tblPrEx>
        <w:trPr>
          <w:trHeight w:val="278"/>
        </w:trPr>
        <w:tc>
          <w:tcPr>
            <w:tcW w:w="4860" w:type="dxa"/>
            <w:shd w:val="clear" w:color="auto" w:fill="auto"/>
          </w:tcPr>
          <w:p w:rsidR="00ED17E9" w:rsidRPr="00A4064A" w:rsidP="00FF0133" w14:paraId="27F3A5D1" w14:textId="19F90ACD">
            <w:pPr>
              <w:rPr>
                <w:sz w:val="20"/>
                <w:szCs w:val="20"/>
              </w:rPr>
            </w:pPr>
            <w:r w:rsidRPr="00ED17E9">
              <w:rPr>
                <w:sz w:val="20"/>
                <w:szCs w:val="20"/>
              </w:rPr>
              <w:t>Submission of Samples and Analytical Results</w:t>
            </w:r>
          </w:p>
        </w:tc>
        <w:tc>
          <w:tcPr>
            <w:tcW w:w="1440" w:type="dxa"/>
            <w:shd w:val="clear" w:color="auto" w:fill="auto"/>
          </w:tcPr>
          <w:p w:rsidR="00ED17E9" w:rsidRPr="00A4064A" w:rsidP="00ED17E9" w14:paraId="492CFC78" w14:textId="0B2755E3">
            <w:pPr>
              <w:jc w:val="right"/>
              <w:rPr>
                <w:sz w:val="20"/>
                <w:szCs w:val="20"/>
              </w:rPr>
            </w:pPr>
            <w:r>
              <w:rPr>
                <w:sz w:val="20"/>
                <w:szCs w:val="20"/>
              </w:rPr>
              <w:t>35</w:t>
            </w:r>
          </w:p>
        </w:tc>
        <w:tc>
          <w:tcPr>
            <w:tcW w:w="1620" w:type="dxa"/>
            <w:shd w:val="clear" w:color="auto" w:fill="auto"/>
          </w:tcPr>
          <w:p w:rsidR="00ED17E9" w:rsidRPr="00A4064A" w:rsidP="00ED17E9" w14:paraId="5DDE749D" w14:textId="2B82678F">
            <w:pPr>
              <w:jc w:val="right"/>
              <w:rPr>
                <w:sz w:val="20"/>
                <w:szCs w:val="20"/>
              </w:rPr>
            </w:pPr>
            <w:r>
              <w:rPr>
                <w:sz w:val="20"/>
                <w:szCs w:val="20"/>
              </w:rPr>
              <w:t>$44.22</w:t>
            </w:r>
          </w:p>
        </w:tc>
        <w:tc>
          <w:tcPr>
            <w:tcW w:w="1800" w:type="dxa"/>
            <w:shd w:val="clear" w:color="auto" w:fill="auto"/>
          </w:tcPr>
          <w:p w:rsidR="00ED17E9" w:rsidRPr="00A4064A" w:rsidP="00FF0133" w14:paraId="3A2C8FE4" w14:textId="009B0412">
            <w:pPr>
              <w:jc w:val="right"/>
              <w:rPr>
                <w:sz w:val="20"/>
                <w:szCs w:val="20"/>
              </w:rPr>
            </w:pPr>
            <w:r>
              <w:rPr>
                <w:sz w:val="20"/>
                <w:szCs w:val="20"/>
              </w:rPr>
              <w:t>$1547.70</w:t>
            </w:r>
          </w:p>
        </w:tc>
      </w:tr>
      <w:tr w14:paraId="0F209D93" w14:textId="77777777" w:rsidTr="00173CB3">
        <w:tblPrEx>
          <w:tblW w:w="9720" w:type="dxa"/>
          <w:tblInd w:w="85" w:type="dxa"/>
          <w:tblLook w:val="01E0"/>
        </w:tblPrEx>
        <w:tc>
          <w:tcPr>
            <w:tcW w:w="7920" w:type="dxa"/>
            <w:gridSpan w:val="3"/>
            <w:shd w:val="clear" w:color="auto" w:fill="auto"/>
          </w:tcPr>
          <w:p w:rsidR="006E41FC" w:rsidRPr="00A4064A" w:rsidP="00FF0133" w14:paraId="29CE180F" w14:textId="77777777">
            <w:pPr>
              <w:rPr>
                <w:sz w:val="20"/>
                <w:szCs w:val="20"/>
              </w:rPr>
            </w:pPr>
            <w:r w:rsidRPr="00A4064A">
              <w:rPr>
                <w:sz w:val="20"/>
                <w:szCs w:val="20"/>
              </w:rPr>
              <w:t>Total</w:t>
            </w:r>
          </w:p>
        </w:tc>
        <w:tc>
          <w:tcPr>
            <w:tcW w:w="1800" w:type="dxa"/>
            <w:shd w:val="clear" w:color="auto" w:fill="auto"/>
          </w:tcPr>
          <w:p w:rsidR="006E41FC" w:rsidRPr="00A4064A" w:rsidP="00FF0133" w14:paraId="627DCCA4" w14:textId="6977F987">
            <w:pPr>
              <w:jc w:val="right"/>
              <w:rPr>
                <w:sz w:val="20"/>
                <w:szCs w:val="20"/>
              </w:rPr>
            </w:pPr>
            <w:r w:rsidRPr="00A4064A">
              <w:rPr>
                <w:sz w:val="20"/>
                <w:szCs w:val="20"/>
              </w:rPr>
              <w:t>$</w:t>
            </w:r>
            <w:r w:rsidR="00ED17E9">
              <w:rPr>
                <w:sz w:val="20"/>
                <w:szCs w:val="20"/>
              </w:rPr>
              <w:t>1</w:t>
            </w:r>
            <w:r w:rsidR="00394A87">
              <w:rPr>
                <w:sz w:val="20"/>
                <w:szCs w:val="20"/>
              </w:rPr>
              <w:t>1,</w:t>
            </w:r>
            <w:r w:rsidR="00BB5732">
              <w:rPr>
                <w:sz w:val="20"/>
                <w:szCs w:val="20"/>
              </w:rPr>
              <w:t>76</w:t>
            </w:r>
            <w:r w:rsidR="00ED17E9">
              <w:rPr>
                <w:sz w:val="20"/>
                <w:szCs w:val="20"/>
              </w:rPr>
              <w:t>2.52</w:t>
            </w:r>
          </w:p>
        </w:tc>
      </w:tr>
    </w:tbl>
    <w:p w:rsidR="00357C8A" w:rsidRPr="00357C8A" w:rsidP="00357C8A" w14:paraId="1F30E0C4" w14:textId="77777777">
      <w:pPr>
        <w:rPr>
          <w:rFonts w:eastAsia="Calibri"/>
        </w:rPr>
      </w:pPr>
    </w:p>
    <w:p w:rsidR="00357C8A" w:rsidRPr="00357C8A" w:rsidP="006705EA" w14:paraId="312B8AE2"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1EFEE453" w14:textId="02B35728">
      <w:pPr>
        <w:spacing w:after="200" w:line="276" w:lineRule="auto"/>
        <w:rPr>
          <w:rFonts w:eastAsia="Calibri"/>
          <w:u w:val="single"/>
        </w:rPr>
      </w:pPr>
      <w:r w:rsidRPr="00A55613">
        <w:rPr>
          <w:rFonts w:eastAsia="Calibri"/>
        </w:rPr>
        <w:t>There are no capital, start-up, operating, or maintenance costs associated with this collection.</w:t>
      </w:r>
      <w:r w:rsidRPr="00BF7CDA">
        <w:rPr>
          <w:rFonts w:eastAsia="Calibri"/>
        </w:rPr>
        <w:t xml:space="preserve"> </w:t>
      </w:r>
    </w:p>
    <w:p w:rsidR="00357C8A" w:rsidRPr="00357C8A" w:rsidP="006705EA" w14:paraId="338A18BF"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P="00A55613" w14:paraId="74ABAAF4" w14:textId="1A396ECD">
      <w:pPr>
        <w:rPr>
          <w:rFonts w:eastAsia="Calibri"/>
        </w:rPr>
      </w:pPr>
      <w:r w:rsidRPr="00A55613">
        <w:rPr>
          <w:rFonts w:eastAsia="Calibri"/>
        </w:rPr>
        <w:t xml:space="preserve">We receive approximately 2,280 responses from 40 respondents annually which include the States and some international countries.  We also estimate that we </w:t>
      </w:r>
      <w:r w:rsidRPr="00A55613" w:rsidR="00BC0536">
        <w:rPr>
          <w:rFonts w:eastAsia="Calibri"/>
        </w:rPr>
        <w:t>will receive</w:t>
      </w:r>
      <w:r w:rsidRPr="00A55613">
        <w:rPr>
          <w:rFonts w:eastAsia="Calibri"/>
        </w:rPr>
        <w:t xml:space="preserve"> 13 one-time annualized responses regarding other records related to participation in the NSSP from 13 </w:t>
      </w:r>
      <w:r w:rsidRPr="00A55613">
        <w:rPr>
          <w:rFonts w:eastAsia="Calibri"/>
        </w:rPr>
        <w:t>respondents</w:t>
      </w:r>
      <w:r w:rsidRPr="00A55613" w:rsidR="002021CC">
        <w:rPr>
          <w:rFonts w:eastAsia="Calibri"/>
        </w:rPr>
        <w:t xml:space="preserve"> and 70 responses related to submission of samples</w:t>
      </w:r>
      <w:r w:rsidRPr="00A55613" w:rsidR="00980DAA">
        <w:rPr>
          <w:rFonts w:eastAsia="Calibri"/>
        </w:rPr>
        <w:t xml:space="preserve"> with their metadata</w:t>
      </w:r>
      <w:r w:rsidRPr="00A55613" w:rsidR="002021CC">
        <w:rPr>
          <w:rFonts w:eastAsia="Calibri"/>
        </w:rPr>
        <w:t xml:space="preserve"> and analytical results from 35 respondents</w:t>
      </w:r>
      <w:r w:rsidRPr="00A55613">
        <w:rPr>
          <w:rFonts w:eastAsia="Calibri"/>
        </w:rPr>
        <w:t>.  We estimate that we expend $</w:t>
      </w:r>
      <w:r w:rsidRPr="00A55613" w:rsidR="001D6E23">
        <w:rPr>
          <w:rFonts w:eastAsia="Calibri"/>
        </w:rPr>
        <w:t>93,092.10</w:t>
      </w:r>
      <w:r w:rsidRPr="00A55613">
        <w:rPr>
          <w:rFonts w:eastAsia="Calibri"/>
        </w:rPr>
        <w:t xml:space="preserve"> in processing the data received in the forms</w:t>
      </w:r>
      <w:r w:rsidRPr="00A55613" w:rsidR="00980DAA">
        <w:rPr>
          <w:rFonts w:eastAsia="Calibri"/>
        </w:rPr>
        <w:t xml:space="preserve"> and records</w:t>
      </w:r>
      <w:r w:rsidRPr="00A55613">
        <w:rPr>
          <w:rFonts w:eastAsia="Calibri"/>
        </w:rPr>
        <w:t xml:space="preserve">.  </w:t>
      </w:r>
      <w:r w:rsidRPr="00A55613" w:rsidR="001B7671">
        <w:rPr>
          <w:rFonts w:eastAsia="Calibri"/>
        </w:rPr>
        <w:t>E</w:t>
      </w:r>
      <w:r w:rsidRPr="00A55613">
        <w:rPr>
          <w:rFonts w:eastAsia="Calibri"/>
        </w:rPr>
        <w:t xml:space="preserve">xpenses </w:t>
      </w:r>
      <w:r w:rsidRPr="00A55613" w:rsidR="001B7671">
        <w:rPr>
          <w:rFonts w:eastAsia="Calibri"/>
        </w:rPr>
        <w:t xml:space="preserve">for shipping </w:t>
      </w:r>
      <w:r w:rsidRPr="00A55613" w:rsidR="00865A2D">
        <w:rPr>
          <w:rFonts w:eastAsia="Calibri"/>
        </w:rPr>
        <w:t xml:space="preserve">samples and related materials </w:t>
      </w:r>
      <w:r w:rsidRPr="00A55613">
        <w:rPr>
          <w:rFonts w:eastAsia="Calibri"/>
        </w:rPr>
        <w:t>account for approximately $</w:t>
      </w:r>
      <w:r w:rsidRPr="00A55613" w:rsidR="002676E4">
        <w:rPr>
          <w:rFonts w:eastAsia="Calibri"/>
        </w:rPr>
        <w:t>3,975</w:t>
      </w:r>
      <w:r w:rsidRPr="00A55613">
        <w:rPr>
          <w:rFonts w:eastAsia="Calibri"/>
        </w:rPr>
        <w:t xml:space="preserve">, and </w:t>
      </w:r>
      <w:r w:rsidRPr="00A55613" w:rsidR="004357D1">
        <w:rPr>
          <w:rFonts w:eastAsia="Calibri"/>
        </w:rPr>
        <w:t xml:space="preserve">processing samples account for </w:t>
      </w:r>
      <w:r w:rsidRPr="00A55613" w:rsidR="00CC056F">
        <w:rPr>
          <w:rFonts w:eastAsia="Calibri"/>
        </w:rPr>
        <w:t xml:space="preserve">approximately </w:t>
      </w:r>
      <w:r w:rsidRPr="00A55613" w:rsidR="004357D1">
        <w:rPr>
          <w:rFonts w:eastAsia="Calibri"/>
        </w:rPr>
        <w:t>$7,000</w:t>
      </w:r>
      <w:r w:rsidRPr="00A55613">
        <w:rPr>
          <w:rFonts w:eastAsia="Calibri"/>
        </w:rPr>
        <w:t xml:space="preserve">.  We base our estimate </w:t>
      </w:r>
      <w:r w:rsidRPr="00A55613" w:rsidR="00434CA8">
        <w:rPr>
          <w:rFonts w:eastAsia="Calibri"/>
        </w:rPr>
        <w:t xml:space="preserve">for personnel costs </w:t>
      </w:r>
      <w:r w:rsidRPr="00A55613">
        <w:rPr>
          <w:rFonts w:eastAsia="Calibri"/>
        </w:rPr>
        <w:t>on the salary of one full-time employee at the GS-</w:t>
      </w:r>
      <w:r w:rsidRPr="00A55613" w:rsidR="00E478AF">
        <w:rPr>
          <w:rFonts w:eastAsia="Calibri"/>
        </w:rPr>
        <w:t>12</w:t>
      </w:r>
      <w:r w:rsidRPr="00A55613">
        <w:rPr>
          <w:rFonts w:eastAsia="Calibri"/>
        </w:rPr>
        <w:t>, Step 1 rate, in the Washington-Baltimore Locality Pay Area for the year 202</w:t>
      </w:r>
      <w:r w:rsidRPr="00A55613" w:rsidR="002021CC">
        <w:rPr>
          <w:rFonts w:eastAsia="Calibri"/>
        </w:rPr>
        <w:t>5</w:t>
      </w:r>
      <w:r w:rsidRPr="00A55613">
        <w:rPr>
          <w:rFonts w:eastAsia="Calibri"/>
        </w:rPr>
        <w:t xml:space="preserve"> who spends an estimated </w:t>
      </w:r>
      <w:r w:rsidRPr="00A55613" w:rsidR="008125F7">
        <w:rPr>
          <w:rFonts w:eastAsia="Calibri"/>
        </w:rPr>
        <w:t xml:space="preserve">845 </w:t>
      </w:r>
      <w:r w:rsidRPr="00A55613">
        <w:rPr>
          <w:rFonts w:eastAsia="Calibri"/>
        </w:rPr>
        <w:t>hours on this program (8</w:t>
      </w:r>
      <w:r w:rsidRPr="00A55613" w:rsidR="00556581">
        <w:rPr>
          <w:rFonts w:eastAsia="Calibri"/>
        </w:rPr>
        <w:t>4</w:t>
      </w:r>
      <w:r w:rsidRPr="00A55613" w:rsidR="00AB2BD6">
        <w:rPr>
          <w:rFonts w:eastAsia="Calibri"/>
        </w:rPr>
        <w:t>5</w:t>
      </w:r>
      <w:r w:rsidRPr="00A55613">
        <w:rPr>
          <w:rFonts w:eastAsia="Calibri"/>
        </w:rPr>
        <w:t xml:space="preserve"> hours x $</w:t>
      </w:r>
      <w:r w:rsidRPr="00A55613" w:rsidR="0001188C">
        <w:rPr>
          <w:rFonts w:eastAsia="Calibri"/>
        </w:rPr>
        <w:t>48.59</w:t>
      </w:r>
      <w:r w:rsidRPr="00A55613">
        <w:rPr>
          <w:rFonts w:eastAsia="Calibri"/>
        </w:rPr>
        <w:t>/hour = $</w:t>
      </w:r>
      <w:r w:rsidRPr="00A55613" w:rsidR="00870B09">
        <w:rPr>
          <w:rFonts w:eastAsia="Calibri"/>
        </w:rPr>
        <w:t>41,058</w:t>
      </w:r>
      <w:r w:rsidRPr="00A55613" w:rsidR="00FC354E">
        <w:rPr>
          <w:rFonts w:eastAsia="Calibri"/>
        </w:rPr>
        <w:t>.55</w:t>
      </w:r>
      <w:r w:rsidRPr="00A55613">
        <w:rPr>
          <w:rFonts w:eastAsia="Calibri"/>
        </w:rPr>
        <w:t>).  Allowing for overhead, the figure is doubled, for a total of $</w:t>
      </w:r>
      <w:r w:rsidRPr="00A55613" w:rsidR="00FC354E">
        <w:rPr>
          <w:rFonts w:eastAsia="Calibri"/>
        </w:rPr>
        <w:t>82,117.10</w:t>
      </w:r>
      <w:r w:rsidRPr="00A55613">
        <w:rPr>
          <w:rFonts w:eastAsia="Calibri"/>
        </w:rPr>
        <w:t xml:space="preserve">.  Thus, the total estimated cost to the Federal government is </w:t>
      </w:r>
      <w:r w:rsidRPr="00370705">
        <w:rPr>
          <w:rFonts w:eastAsia="Calibri"/>
          <w:b/>
          <w:bCs/>
        </w:rPr>
        <w:t>$</w:t>
      </w:r>
      <w:r w:rsidRPr="00370705" w:rsidR="003D2EAC">
        <w:rPr>
          <w:rFonts w:eastAsia="Calibri"/>
          <w:b/>
          <w:bCs/>
        </w:rPr>
        <w:t>93</w:t>
      </w:r>
      <w:r w:rsidRPr="00370705" w:rsidR="001D6E23">
        <w:rPr>
          <w:rFonts w:eastAsia="Calibri"/>
          <w:b/>
          <w:bCs/>
        </w:rPr>
        <w:t>,092.10</w:t>
      </w:r>
      <w:r w:rsidRPr="00A55613">
        <w:rPr>
          <w:rFonts w:eastAsia="Calibri"/>
        </w:rPr>
        <w:t xml:space="preserve"> ($</w:t>
      </w:r>
      <w:r w:rsidRPr="00A55613" w:rsidR="00FC354E">
        <w:rPr>
          <w:rFonts w:eastAsia="Calibri"/>
        </w:rPr>
        <w:t>82,117.10</w:t>
      </w:r>
      <w:r w:rsidRPr="00A55613">
        <w:rPr>
          <w:rFonts w:eastAsia="Calibri"/>
        </w:rPr>
        <w:t xml:space="preserve"> + $</w:t>
      </w:r>
      <w:r w:rsidRPr="00A55613" w:rsidR="00FA07B8">
        <w:rPr>
          <w:rFonts w:eastAsia="Calibri"/>
        </w:rPr>
        <w:t>3,975</w:t>
      </w:r>
      <w:r w:rsidRPr="00A55613" w:rsidR="004C5D7B">
        <w:rPr>
          <w:rFonts w:eastAsia="Calibri"/>
        </w:rPr>
        <w:t xml:space="preserve"> + $7,000</w:t>
      </w:r>
      <w:r w:rsidRPr="00A55613">
        <w:rPr>
          <w:rFonts w:eastAsia="Calibri"/>
        </w:rPr>
        <w:t>).</w:t>
      </w:r>
      <w:r w:rsidRPr="00BF7CDA">
        <w:rPr>
          <w:rFonts w:eastAsia="Calibri"/>
        </w:rPr>
        <w:t xml:space="preserve"> </w:t>
      </w:r>
    </w:p>
    <w:p w:rsidR="00A55613" w:rsidRPr="00357C8A" w:rsidP="00A55613" w14:paraId="380B2927" w14:textId="77777777">
      <w:pPr>
        <w:rPr>
          <w:rFonts w:eastAsia="Calibri"/>
        </w:rPr>
      </w:pPr>
    </w:p>
    <w:p w:rsidR="00357C8A" w:rsidP="006705EA" w14:paraId="78CA535D" w14:textId="102BDD69">
      <w:pPr>
        <w:numPr>
          <w:ilvl w:val="0"/>
          <w:numId w:val="6"/>
        </w:numPr>
        <w:spacing w:after="200" w:line="276" w:lineRule="auto"/>
        <w:rPr>
          <w:rFonts w:eastAsia="Calibri"/>
          <w:u w:val="single"/>
        </w:rPr>
      </w:pPr>
      <w:r w:rsidRPr="00357C8A">
        <w:rPr>
          <w:rFonts w:eastAsia="Calibri"/>
          <w:u w:val="single"/>
        </w:rPr>
        <w:t>Explanation for Program Changes or Adjustments</w:t>
      </w:r>
    </w:p>
    <w:p w:rsidR="00A55613" w:rsidP="00A55613" w14:paraId="367C5A55" w14:textId="77777777">
      <w:pPr>
        <w:rPr>
          <w:rFonts w:eastAsia="Calibri"/>
        </w:rPr>
      </w:pPr>
      <w:r>
        <w:rPr>
          <w:rFonts w:eastAsia="Calibri"/>
        </w:rPr>
        <w:t>The information collection reflects program changes.</w:t>
      </w:r>
      <w:r w:rsidR="00DD76EC">
        <w:rPr>
          <w:rFonts w:eastAsia="Calibri"/>
        </w:rPr>
        <w:t xml:space="preserve">  </w:t>
      </w:r>
      <w:r w:rsidR="00B25A7F">
        <w:rPr>
          <w:rFonts w:eastAsia="Calibri"/>
        </w:rPr>
        <w:t xml:space="preserve">We have added the </w:t>
      </w:r>
      <w:r w:rsidR="00AA647A">
        <w:rPr>
          <w:rFonts w:eastAsia="Calibri"/>
        </w:rPr>
        <w:t xml:space="preserve">submission of samples and associated information as a third element to the information </w:t>
      </w:r>
      <w:r w:rsidR="00DD76EC">
        <w:rPr>
          <w:rFonts w:eastAsia="Calibri"/>
        </w:rPr>
        <w:t>collection</w:t>
      </w:r>
      <w:r w:rsidR="00AA647A">
        <w:rPr>
          <w:rFonts w:eastAsia="Calibri"/>
        </w:rPr>
        <w:t xml:space="preserve"> and have therefore </w:t>
      </w:r>
      <w:r w:rsidRPr="007D5329" w:rsidR="007D5329">
        <w:rPr>
          <w:rFonts w:eastAsia="Calibri"/>
        </w:rPr>
        <w:t>increased our</w:t>
      </w:r>
      <w:r w:rsidR="007D5329">
        <w:rPr>
          <w:rFonts w:eastAsia="Calibri"/>
        </w:rPr>
        <w:t xml:space="preserve"> </w:t>
      </w:r>
      <w:r w:rsidRPr="007D5329" w:rsidR="007D5329">
        <w:rPr>
          <w:rFonts w:eastAsia="Calibri"/>
        </w:rPr>
        <w:t>burden estimate by 35 hours and 70</w:t>
      </w:r>
      <w:r w:rsidR="007D5329">
        <w:rPr>
          <w:rFonts w:eastAsia="Calibri"/>
        </w:rPr>
        <w:t xml:space="preserve"> </w:t>
      </w:r>
      <w:r w:rsidRPr="007D5329" w:rsidR="007D5329">
        <w:rPr>
          <w:rFonts w:eastAsia="Calibri"/>
        </w:rPr>
        <w:t xml:space="preserve">responses </w:t>
      </w:r>
      <w:r w:rsidR="00AA647A">
        <w:rPr>
          <w:rFonts w:eastAsia="Calibri"/>
        </w:rPr>
        <w:t>annually.  We have made no adjustments</w:t>
      </w:r>
      <w:r w:rsidR="007E08DA">
        <w:rPr>
          <w:rFonts w:eastAsia="Calibri"/>
        </w:rPr>
        <w:t xml:space="preserve"> to the remaining to collection elements.</w:t>
      </w:r>
    </w:p>
    <w:p w:rsidR="00357C8A" w:rsidRPr="00A55613" w:rsidP="00A55613" w14:paraId="77AB1A42" w14:textId="20A008BF">
      <w:pPr>
        <w:rPr>
          <w:rFonts w:eastAsia="Calibri"/>
          <w:color w:val="000000" w:themeColor="text1"/>
        </w:rPr>
      </w:pPr>
      <w:r>
        <w:rPr>
          <w:rFonts w:eastAsia="Calibri"/>
        </w:rPr>
        <w:t xml:space="preserve">  </w:t>
      </w:r>
    </w:p>
    <w:p w:rsidR="00357C8A" w:rsidRPr="00357C8A" w:rsidP="006705EA" w14:paraId="7A1B3D99"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BF7CDA" w:rsidP="00A55613" w14:paraId="70910C51" w14:textId="016B2166">
      <w:pPr>
        <w:spacing w:after="200"/>
        <w:rPr>
          <w:rFonts w:eastAsia="Calibri"/>
          <w:color w:val="000000" w:themeColor="text1"/>
        </w:rPr>
      </w:pPr>
      <w:r w:rsidRPr="00A55613">
        <w:t>We publish</w:t>
      </w:r>
      <w:r w:rsidRPr="00BF7CDA">
        <w:t xml:space="preserve"> </w:t>
      </w:r>
      <w:r w:rsidRPr="00A55613" w:rsidR="00CA0D75">
        <w:t>a</w:t>
      </w:r>
      <w:r w:rsidRPr="00A55613">
        <w:t xml:space="preserve"> monthly list entitled, “</w:t>
      </w:r>
      <w:r w:rsidRPr="00A55613">
        <w:rPr>
          <w:i/>
        </w:rPr>
        <w:t>Interstate Certified Shellfish Shippers List</w:t>
      </w:r>
      <w:r w:rsidRPr="00A55613">
        <w:t xml:space="preserve">,” which is available on our internet site at </w:t>
      </w:r>
      <w:hyperlink r:id="rId5" w:history="1">
        <w:r w:rsidRPr="00A55613">
          <w:rPr>
            <w:rStyle w:val="Hyperlink"/>
          </w:rPr>
          <w:t>https://www.fda.gov/food/federalstate-food-programs/interstate-certified-shellfish-shippers-list</w:t>
        </w:r>
      </w:hyperlink>
      <w:r w:rsidRPr="00A55613">
        <w:t>.</w:t>
      </w:r>
    </w:p>
    <w:p w:rsidR="00357C8A" w:rsidRPr="00357C8A" w:rsidP="006705EA" w14:paraId="07926C27"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BF7CDA" w:rsidP="00357C8A" w14:paraId="423776EB" w14:textId="1CB7C685">
      <w:pPr>
        <w:spacing w:after="200"/>
        <w:rPr>
          <w:rFonts w:eastAsia="Calibri"/>
          <w:color w:val="000000" w:themeColor="text1"/>
        </w:rPr>
      </w:pPr>
      <w:r w:rsidRPr="00BF7CDA">
        <w:rPr>
          <w:rFonts w:eastAsia="Calibri"/>
        </w:rPr>
        <w:t xml:space="preserve">Display of the OMB Expiration Date is appropriate. </w:t>
      </w:r>
    </w:p>
    <w:p w:rsidR="00357C8A" w:rsidRPr="00357C8A" w:rsidP="006705EA" w14:paraId="64D9DC67"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BF7CDA" w14:paraId="5EBED7FA" w14:textId="50F27A0D">
      <w:pPr>
        <w:spacing w:after="200"/>
        <w:rPr>
          <w:rFonts w:eastAsia="Calibri"/>
        </w:rPr>
      </w:pPr>
      <w:r w:rsidRPr="00BF7CDA">
        <w:rPr>
          <w:rFonts w:eastAsia="Calibri"/>
        </w:rPr>
        <w:t>There are no exceptions to the certification.</w:t>
      </w:r>
    </w:p>
    <w:sectPr w:rsidSect="00700956">
      <w:footerReference w:type="even" r:id="rId7"/>
      <w:footerReference w:type="default" r:id="rId8"/>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970E9A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BC000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92763B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17283FD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7EA4798"/>
    <w:multiLevelType w:val="hybridMultilevel"/>
    <w:tmpl w:val="CC92B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B461312"/>
    <w:multiLevelType w:val="hybridMultilevel"/>
    <w:tmpl w:val="39BA0EF0"/>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15254178">
    <w:abstractNumId w:val="7"/>
  </w:num>
  <w:num w:numId="2" w16cid:durableId="1166017722">
    <w:abstractNumId w:val="1"/>
  </w:num>
  <w:num w:numId="3" w16cid:durableId="36897928">
    <w:abstractNumId w:val="8"/>
  </w:num>
  <w:num w:numId="4" w16cid:durableId="177816178">
    <w:abstractNumId w:val="4"/>
  </w:num>
  <w:num w:numId="5" w16cid:durableId="1530072477">
    <w:abstractNumId w:val="9"/>
  </w:num>
  <w:num w:numId="6" w16cid:durableId="1986617403">
    <w:abstractNumId w:val="0"/>
  </w:num>
  <w:num w:numId="7" w16cid:durableId="259218243">
    <w:abstractNumId w:val="2"/>
  </w:num>
  <w:num w:numId="8" w16cid:durableId="1663773350">
    <w:abstractNumId w:val="6"/>
  </w:num>
  <w:num w:numId="9" w16cid:durableId="1917789159">
    <w:abstractNumId w:val="3"/>
  </w:num>
  <w:num w:numId="10" w16cid:durableId="82720849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B96"/>
    <w:rsid w:val="0001114A"/>
    <w:rsid w:val="0001188C"/>
    <w:rsid w:val="000205F3"/>
    <w:rsid w:val="00020E72"/>
    <w:rsid w:val="00022EE2"/>
    <w:rsid w:val="00031A2C"/>
    <w:rsid w:val="00037449"/>
    <w:rsid w:val="00042B93"/>
    <w:rsid w:val="00043C7F"/>
    <w:rsid w:val="00045FA5"/>
    <w:rsid w:val="000467A8"/>
    <w:rsid w:val="000478EA"/>
    <w:rsid w:val="0006124B"/>
    <w:rsid w:val="0006221E"/>
    <w:rsid w:val="0006570F"/>
    <w:rsid w:val="00071B6B"/>
    <w:rsid w:val="00075DE8"/>
    <w:rsid w:val="00080150"/>
    <w:rsid w:val="000845A8"/>
    <w:rsid w:val="00084CD8"/>
    <w:rsid w:val="00085576"/>
    <w:rsid w:val="00086518"/>
    <w:rsid w:val="0008651C"/>
    <w:rsid w:val="00087439"/>
    <w:rsid w:val="00087CCE"/>
    <w:rsid w:val="00091761"/>
    <w:rsid w:val="000A0B84"/>
    <w:rsid w:val="000A78CB"/>
    <w:rsid w:val="000B2E78"/>
    <w:rsid w:val="000C1260"/>
    <w:rsid w:val="000C19C5"/>
    <w:rsid w:val="000C43D5"/>
    <w:rsid w:val="000C560C"/>
    <w:rsid w:val="000C7580"/>
    <w:rsid w:val="000D04A3"/>
    <w:rsid w:val="000D080B"/>
    <w:rsid w:val="000D18BD"/>
    <w:rsid w:val="000D48FD"/>
    <w:rsid w:val="000D79CC"/>
    <w:rsid w:val="000E1C64"/>
    <w:rsid w:val="000E2B2A"/>
    <w:rsid w:val="000E3AFD"/>
    <w:rsid w:val="000E6716"/>
    <w:rsid w:val="000F099F"/>
    <w:rsid w:val="000F7119"/>
    <w:rsid w:val="00100739"/>
    <w:rsid w:val="0010493E"/>
    <w:rsid w:val="001075D3"/>
    <w:rsid w:val="00107885"/>
    <w:rsid w:val="0011264B"/>
    <w:rsid w:val="00114FC4"/>
    <w:rsid w:val="0012329C"/>
    <w:rsid w:val="00127ED2"/>
    <w:rsid w:val="0013307C"/>
    <w:rsid w:val="00134FA7"/>
    <w:rsid w:val="00135451"/>
    <w:rsid w:val="00137950"/>
    <w:rsid w:val="00137A2D"/>
    <w:rsid w:val="00152F29"/>
    <w:rsid w:val="00156029"/>
    <w:rsid w:val="00161629"/>
    <w:rsid w:val="00166653"/>
    <w:rsid w:val="001674BE"/>
    <w:rsid w:val="00173CB3"/>
    <w:rsid w:val="00174D54"/>
    <w:rsid w:val="001757D5"/>
    <w:rsid w:val="0017702C"/>
    <w:rsid w:val="001839E3"/>
    <w:rsid w:val="00185270"/>
    <w:rsid w:val="001855C1"/>
    <w:rsid w:val="0018569F"/>
    <w:rsid w:val="00196832"/>
    <w:rsid w:val="001A21B9"/>
    <w:rsid w:val="001A2A32"/>
    <w:rsid w:val="001A3B5A"/>
    <w:rsid w:val="001A458C"/>
    <w:rsid w:val="001B2183"/>
    <w:rsid w:val="001B66AE"/>
    <w:rsid w:val="001B7671"/>
    <w:rsid w:val="001B7CE9"/>
    <w:rsid w:val="001C2521"/>
    <w:rsid w:val="001D495A"/>
    <w:rsid w:val="001D6E23"/>
    <w:rsid w:val="001D785B"/>
    <w:rsid w:val="001E021E"/>
    <w:rsid w:val="001E244C"/>
    <w:rsid w:val="001E3626"/>
    <w:rsid w:val="001E63ED"/>
    <w:rsid w:val="001F1437"/>
    <w:rsid w:val="002021CC"/>
    <w:rsid w:val="00206799"/>
    <w:rsid w:val="002074FE"/>
    <w:rsid w:val="00222D2C"/>
    <w:rsid w:val="0022425B"/>
    <w:rsid w:val="002259EF"/>
    <w:rsid w:val="002265DF"/>
    <w:rsid w:val="00226F03"/>
    <w:rsid w:val="00232485"/>
    <w:rsid w:val="00242ED1"/>
    <w:rsid w:val="002444BB"/>
    <w:rsid w:val="00254069"/>
    <w:rsid w:val="00254715"/>
    <w:rsid w:val="002641BB"/>
    <w:rsid w:val="002676E4"/>
    <w:rsid w:val="00270748"/>
    <w:rsid w:val="002734E5"/>
    <w:rsid w:val="002746DB"/>
    <w:rsid w:val="00280CAF"/>
    <w:rsid w:val="00282F09"/>
    <w:rsid w:val="00287751"/>
    <w:rsid w:val="00291810"/>
    <w:rsid w:val="002949B9"/>
    <w:rsid w:val="00294D62"/>
    <w:rsid w:val="002955E5"/>
    <w:rsid w:val="00297532"/>
    <w:rsid w:val="00297FFD"/>
    <w:rsid w:val="002A1210"/>
    <w:rsid w:val="002A357D"/>
    <w:rsid w:val="002A47D2"/>
    <w:rsid w:val="002A7FB5"/>
    <w:rsid w:val="002B0242"/>
    <w:rsid w:val="002B2074"/>
    <w:rsid w:val="002C0F29"/>
    <w:rsid w:val="002C14C6"/>
    <w:rsid w:val="002C5048"/>
    <w:rsid w:val="002D14D8"/>
    <w:rsid w:val="002D1770"/>
    <w:rsid w:val="002D4799"/>
    <w:rsid w:val="002E1071"/>
    <w:rsid w:val="002E3FA4"/>
    <w:rsid w:val="002E53A5"/>
    <w:rsid w:val="002E64B8"/>
    <w:rsid w:val="002E6834"/>
    <w:rsid w:val="002F4F50"/>
    <w:rsid w:val="002F6ABB"/>
    <w:rsid w:val="00303E5D"/>
    <w:rsid w:val="003073D6"/>
    <w:rsid w:val="00307A05"/>
    <w:rsid w:val="003113FF"/>
    <w:rsid w:val="00312622"/>
    <w:rsid w:val="003202A4"/>
    <w:rsid w:val="0032277F"/>
    <w:rsid w:val="00327BE1"/>
    <w:rsid w:val="00332699"/>
    <w:rsid w:val="00336B69"/>
    <w:rsid w:val="00337DCB"/>
    <w:rsid w:val="0034302B"/>
    <w:rsid w:val="003464E4"/>
    <w:rsid w:val="00350523"/>
    <w:rsid w:val="0035189D"/>
    <w:rsid w:val="00355B62"/>
    <w:rsid w:val="00357C8A"/>
    <w:rsid w:val="00370705"/>
    <w:rsid w:val="003722E9"/>
    <w:rsid w:val="003740BC"/>
    <w:rsid w:val="0037456B"/>
    <w:rsid w:val="0037775A"/>
    <w:rsid w:val="003801A3"/>
    <w:rsid w:val="00381AD5"/>
    <w:rsid w:val="00383D90"/>
    <w:rsid w:val="00383DF7"/>
    <w:rsid w:val="00384F19"/>
    <w:rsid w:val="00385F2A"/>
    <w:rsid w:val="003870AE"/>
    <w:rsid w:val="00387CC0"/>
    <w:rsid w:val="00394A87"/>
    <w:rsid w:val="003974EB"/>
    <w:rsid w:val="003A17D2"/>
    <w:rsid w:val="003A1A27"/>
    <w:rsid w:val="003A50CC"/>
    <w:rsid w:val="003B25BC"/>
    <w:rsid w:val="003B33E2"/>
    <w:rsid w:val="003B42B3"/>
    <w:rsid w:val="003B6384"/>
    <w:rsid w:val="003B6F40"/>
    <w:rsid w:val="003C0FE2"/>
    <w:rsid w:val="003C49A8"/>
    <w:rsid w:val="003C4EBB"/>
    <w:rsid w:val="003D1531"/>
    <w:rsid w:val="003D2EAC"/>
    <w:rsid w:val="003D6E83"/>
    <w:rsid w:val="003E4EC6"/>
    <w:rsid w:val="003E527E"/>
    <w:rsid w:val="003E553E"/>
    <w:rsid w:val="003E6799"/>
    <w:rsid w:val="003E7078"/>
    <w:rsid w:val="003E7FE9"/>
    <w:rsid w:val="003F28A9"/>
    <w:rsid w:val="003F35EF"/>
    <w:rsid w:val="003F3DF5"/>
    <w:rsid w:val="003F73B8"/>
    <w:rsid w:val="00401986"/>
    <w:rsid w:val="0040297E"/>
    <w:rsid w:val="00411D11"/>
    <w:rsid w:val="00414494"/>
    <w:rsid w:val="00415E23"/>
    <w:rsid w:val="0041670D"/>
    <w:rsid w:val="00423272"/>
    <w:rsid w:val="00424061"/>
    <w:rsid w:val="00434CA8"/>
    <w:rsid w:val="004357D1"/>
    <w:rsid w:val="00436A84"/>
    <w:rsid w:val="00442A3C"/>
    <w:rsid w:val="00443969"/>
    <w:rsid w:val="00444BD9"/>
    <w:rsid w:val="00447D74"/>
    <w:rsid w:val="00450A74"/>
    <w:rsid w:val="00450C5E"/>
    <w:rsid w:val="00452327"/>
    <w:rsid w:val="004546BF"/>
    <w:rsid w:val="0046129F"/>
    <w:rsid w:val="00465350"/>
    <w:rsid w:val="00466695"/>
    <w:rsid w:val="00471210"/>
    <w:rsid w:val="00476B91"/>
    <w:rsid w:val="004816BB"/>
    <w:rsid w:val="004846BF"/>
    <w:rsid w:val="0048488D"/>
    <w:rsid w:val="00485B66"/>
    <w:rsid w:val="00486A6F"/>
    <w:rsid w:val="00493916"/>
    <w:rsid w:val="00494912"/>
    <w:rsid w:val="004959CC"/>
    <w:rsid w:val="00496015"/>
    <w:rsid w:val="00496192"/>
    <w:rsid w:val="004A5323"/>
    <w:rsid w:val="004A547B"/>
    <w:rsid w:val="004A5A99"/>
    <w:rsid w:val="004C33F3"/>
    <w:rsid w:val="004C56D1"/>
    <w:rsid w:val="004C5D7B"/>
    <w:rsid w:val="004C6979"/>
    <w:rsid w:val="004D13A2"/>
    <w:rsid w:val="004D3E7A"/>
    <w:rsid w:val="004D52BA"/>
    <w:rsid w:val="004E3DC4"/>
    <w:rsid w:val="004F3301"/>
    <w:rsid w:val="004F4F63"/>
    <w:rsid w:val="004F594B"/>
    <w:rsid w:val="004F61E1"/>
    <w:rsid w:val="00501859"/>
    <w:rsid w:val="00501BDF"/>
    <w:rsid w:val="00510189"/>
    <w:rsid w:val="005147E2"/>
    <w:rsid w:val="00514D83"/>
    <w:rsid w:val="005150BB"/>
    <w:rsid w:val="00530F6A"/>
    <w:rsid w:val="0053380B"/>
    <w:rsid w:val="00543194"/>
    <w:rsid w:val="00544138"/>
    <w:rsid w:val="00544F9B"/>
    <w:rsid w:val="00554E34"/>
    <w:rsid w:val="00556581"/>
    <w:rsid w:val="00584583"/>
    <w:rsid w:val="00590502"/>
    <w:rsid w:val="00590E90"/>
    <w:rsid w:val="00590EEB"/>
    <w:rsid w:val="005915D4"/>
    <w:rsid w:val="005979B1"/>
    <w:rsid w:val="00597D5A"/>
    <w:rsid w:val="005A1E7A"/>
    <w:rsid w:val="005A4099"/>
    <w:rsid w:val="005B3086"/>
    <w:rsid w:val="005B4284"/>
    <w:rsid w:val="005C38B2"/>
    <w:rsid w:val="005C5029"/>
    <w:rsid w:val="005C55C2"/>
    <w:rsid w:val="005C71CA"/>
    <w:rsid w:val="005C745C"/>
    <w:rsid w:val="005D4DF5"/>
    <w:rsid w:val="005E157C"/>
    <w:rsid w:val="005E42BA"/>
    <w:rsid w:val="005E6438"/>
    <w:rsid w:val="00600AD7"/>
    <w:rsid w:val="00602BB2"/>
    <w:rsid w:val="006074C1"/>
    <w:rsid w:val="006107FB"/>
    <w:rsid w:val="00611D6B"/>
    <w:rsid w:val="00625CFD"/>
    <w:rsid w:val="006326EC"/>
    <w:rsid w:val="0063418B"/>
    <w:rsid w:val="00637855"/>
    <w:rsid w:val="00637B10"/>
    <w:rsid w:val="00646149"/>
    <w:rsid w:val="00646224"/>
    <w:rsid w:val="00655637"/>
    <w:rsid w:val="006556FA"/>
    <w:rsid w:val="00663A42"/>
    <w:rsid w:val="006641C7"/>
    <w:rsid w:val="00666400"/>
    <w:rsid w:val="006676EB"/>
    <w:rsid w:val="006705EA"/>
    <w:rsid w:val="00670BE2"/>
    <w:rsid w:val="00673BE8"/>
    <w:rsid w:val="006834C7"/>
    <w:rsid w:val="00683834"/>
    <w:rsid w:val="00684EE4"/>
    <w:rsid w:val="006916D9"/>
    <w:rsid w:val="006942EB"/>
    <w:rsid w:val="00697F7C"/>
    <w:rsid w:val="006A0E05"/>
    <w:rsid w:val="006A26C6"/>
    <w:rsid w:val="006A465A"/>
    <w:rsid w:val="006A7D5D"/>
    <w:rsid w:val="006C5449"/>
    <w:rsid w:val="006C7361"/>
    <w:rsid w:val="006D0C12"/>
    <w:rsid w:val="006D1992"/>
    <w:rsid w:val="006D5D57"/>
    <w:rsid w:val="006E2538"/>
    <w:rsid w:val="006E302F"/>
    <w:rsid w:val="006E3053"/>
    <w:rsid w:val="006E41FC"/>
    <w:rsid w:val="006E76CD"/>
    <w:rsid w:val="006F05F9"/>
    <w:rsid w:val="006F4D6D"/>
    <w:rsid w:val="006F774B"/>
    <w:rsid w:val="00700956"/>
    <w:rsid w:val="00701ADB"/>
    <w:rsid w:val="00704231"/>
    <w:rsid w:val="00705086"/>
    <w:rsid w:val="00705D7A"/>
    <w:rsid w:val="00722001"/>
    <w:rsid w:val="007323EE"/>
    <w:rsid w:val="007336CD"/>
    <w:rsid w:val="007344DF"/>
    <w:rsid w:val="0073636D"/>
    <w:rsid w:val="00744525"/>
    <w:rsid w:val="0074491E"/>
    <w:rsid w:val="007455C3"/>
    <w:rsid w:val="00751E66"/>
    <w:rsid w:val="00754497"/>
    <w:rsid w:val="00762C63"/>
    <w:rsid w:val="00765A0B"/>
    <w:rsid w:val="00765C86"/>
    <w:rsid w:val="00770964"/>
    <w:rsid w:val="00773201"/>
    <w:rsid w:val="007774A5"/>
    <w:rsid w:val="007842E7"/>
    <w:rsid w:val="00786355"/>
    <w:rsid w:val="00787C39"/>
    <w:rsid w:val="00792947"/>
    <w:rsid w:val="007935EE"/>
    <w:rsid w:val="00793A82"/>
    <w:rsid w:val="0079570D"/>
    <w:rsid w:val="00795DF3"/>
    <w:rsid w:val="007A1F9A"/>
    <w:rsid w:val="007A373C"/>
    <w:rsid w:val="007B225C"/>
    <w:rsid w:val="007C75B1"/>
    <w:rsid w:val="007D3DFC"/>
    <w:rsid w:val="007D3EFC"/>
    <w:rsid w:val="007D5329"/>
    <w:rsid w:val="007D6422"/>
    <w:rsid w:val="007E08DA"/>
    <w:rsid w:val="007E0E83"/>
    <w:rsid w:val="007E2648"/>
    <w:rsid w:val="007E2F07"/>
    <w:rsid w:val="007E59A8"/>
    <w:rsid w:val="007F0578"/>
    <w:rsid w:val="007F46D2"/>
    <w:rsid w:val="00802114"/>
    <w:rsid w:val="0080776D"/>
    <w:rsid w:val="00810145"/>
    <w:rsid w:val="008108FA"/>
    <w:rsid w:val="00810FF1"/>
    <w:rsid w:val="008125F7"/>
    <w:rsid w:val="00814A5D"/>
    <w:rsid w:val="00822336"/>
    <w:rsid w:val="00822F69"/>
    <w:rsid w:val="00823DFA"/>
    <w:rsid w:val="00827F39"/>
    <w:rsid w:val="00834D5B"/>
    <w:rsid w:val="00835F05"/>
    <w:rsid w:val="008363B5"/>
    <w:rsid w:val="00837401"/>
    <w:rsid w:val="00842DB7"/>
    <w:rsid w:val="00843752"/>
    <w:rsid w:val="0084479F"/>
    <w:rsid w:val="008457A2"/>
    <w:rsid w:val="00845BFF"/>
    <w:rsid w:val="0085725E"/>
    <w:rsid w:val="00865A2D"/>
    <w:rsid w:val="00870B09"/>
    <w:rsid w:val="00873D4F"/>
    <w:rsid w:val="0087509F"/>
    <w:rsid w:val="00880224"/>
    <w:rsid w:val="0088102C"/>
    <w:rsid w:val="00885B09"/>
    <w:rsid w:val="00892400"/>
    <w:rsid w:val="008A209D"/>
    <w:rsid w:val="008A22BB"/>
    <w:rsid w:val="008A2C93"/>
    <w:rsid w:val="008B035D"/>
    <w:rsid w:val="008B0E29"/>
    <w:rsid w:val="008B0EFA"/>
    <w:rsid w:val="008B30AB"/>
    <w:rsid w:val="008B66FE"/>
    <w:rsid w:val="008C3BB8"/>
    <w:rsid w:val="008C4B65"/>
    <w:rsid w:val="008D48D3"/>
    <w:rsid w:val="008E3B8E"/>
    <w:rsid w:val="008E5F55"/>
    <w:rsid w:val="008E7BAA"/>
    <w:rsid w:val="00900076"/>
    <w:rsid w:val="009009E7"/>
    <w:rsid w:val="009036F2"/>
    <w:rsid w:val="009053F7"/>
    <w:rsid w:val="00905DEF"/>
    <w:rsid w:val="00906056"/>
    <w:rsid w:val="0090694E"/>
    <w:rsid w:val="009122AE"/>
    <w:rsid w:val="00913B43"/>
    <w:rsid w:val="00924B52"/>
    <w:rsid w:val="00930203"/>
    <w:rsid w:val="009311D2"/>
    <w:rsid w:val="009311E6"/>
    <w:rsid w:val="00931275"/>
    <w:rsid w:val="00933444"/>
    <w:rsid w:val="009357EC"/>
    <w:rsid w:val="00936AC7"/>
    <w:rsid w:val="009409B9"/>
    <w:rsid w:val="00947DCB"/>
    <w:rsid w:val="00953B64"/>
    <w:rsid w:val="0096454A"/>
    <w:rsid w:val="009646A7"/>
    <w:rsid w:val="00965EDE"/>
    <w:rsid w:val="00970A88"/>
    <w:rsid w:val="0097190F"/>
    <w:rsid w:val="009735ED"/>
    <w:rsid w:val="00973BD5"/>
    <w:rsid w:val="0097715C"/>
    <w:rsid w:val="00980DAA"/>
    <w:rsid w:val="00981507"/>
    <w:rsid w:val="009818A1"/>
    <w:rsid w:val="00982C20"/>
    <w:rsid w:val="00992BE1"/>
    <w:rsid w:val="009A0747"/>
    <w:rsid w:val="009A121D"/>
    <w:rsid w:val="009A1674"/>
    <w:rsid w:val="009A51D3"/>
    <w:rsid w:val="009A742F"/>
    <w:rsid w:val="009B38BE"/>
    <w:rsid w:val="009B4DF2"/>
    <w:rsid w:val="009C1B0C"/>
    <w:rsid w:val="009C40DF"/>
    <w:rsid w:val="009C5530"/>
    <w:rsid w:val="009C684F"/>
    <w:rsid w:val="009C7CFD"/>
    <w:rsid w:val="009D074C"/>
    <w:rsid w:val="009D3767"/>
    <w:rsid w:val="009D6E73"/>
    <w:rsid w:val="009D7A5C"/>
    <w:rsid w:val="009E58B6"/>
    <w:rsid w:val="009F015F"/>
    <w:rsid w:val="009F19FD"/>
    <w:rsid w:val="009F1F1D"/>
    <w:rsid w:val="009F1FA4"/>
    <w:rsid w:val="009F221C"/>
    <w:rsid w:val="009F2B4F"/>
    <w:rsid w:val="009F3C63"/>
    <w:rsid w:val="009F66B5"/>
    <w:rsid w:val="00A013FB"/>
    <w:rsid w:val="00A02F10"/>
    <w:rsid w:val="00A03513"/>
    <w:rsid w:val="00A03E89"/>
    <w:rsid w:val="00A05C0B"/>
    <w:rsid w:val="00A1060C"/>
    <w:rsid w:val="00A1354F"/>
    <w:rsid w:val="00A145B4"/>
    <w:rsid w:val="00A16221"/>
    <w:rsid w:val="00A20A7D"/>
    <w:rsid w:val="00A35D42"/>
    <w:rsid w:val="00A37EDD"/>
    <w:rsid w:val="00A4064A"/>
    <w:rsid w:val="00A46CCF"/>
    <w:rsid w:val="00A47FF5"/>
    <w:rsid w:val="00A506DE"/>
    <w:rsid w:val="00A50A98"/>
    <w:rsid w:val="00A53451"/>
    <w:rsid w:val="00A55613"/>
    <w:rsid w:val="00A679CD"/>
    <w:rsid w:val="00A70426"/>
    <w:rsid w:val="00A707CC"/>
    <w:rsid w:val="00A71410"/>
    <w:rsid w:val="00A8093E"/>
    <w:rsid w:val="00A84CBB"/>
    <w:rsid w:val="00A900D1"/>
    <w:rsid w:val="00A91E9A"/>
    <w:rsid w:val="00A93ED9"/>
    <w:rsid w:val="00A96221"/>
    <w:rsid w:val="00A96328"/>
    <w:rsid w:val="00A97ECD"/>
    <w:rsid w:val="00AA12C8"/>
    <w:rsid w:val="00AA647A"/>
    <w:rsid w:val="00AB25FD"/>
    <w:rsid w:val="00AB2BD6"/>
    <w:rsid w:val="00AC04AC"/>
    <w:rsid w:val="00AC2DBB"/>
    <w:rsid w:val="00AC585B"/>
    <w:rsid w:val="00AC6411"/>
    <w:rsid w:val="00AC64AE"/>
    <w:rsid w:val="00AC6A99"/>
    <w:rsid w:val="00AD6048"/>
    <w:rsid w:val="00AD6ADD"/>
    <w:rsid w:val="00AF32F3"/>
    <w:rsid w:val="00AF70B6"/>
    <w:rsid w:val="00B03716"/>
    <w:rsid w:val="00B055EF"/>
    <w:rsid w:val="00B06B5B"/>
    <w:rsid w:val="00B13CCF"/>
    <w:rsid w:val="00B148C9"/>
    <w:rsid w:val="00B23769"/>
    <w:rsid w:val="00B25A7F"/>
    <w:rsid w:val="00B25F54"/>
    <w:rsid w:val="00B26F84"/>
    <w:rsid w:val="00B27981"/>
    <w:rsid w:val="00B3347B"/>
    <w:rsid w:val="00B3746D"/>
    <w:rsid w:val="00B41789"/>
    <w:rsid w:val="00B516F4"/>
    <w:rsid w:val="00B55F54"/>
    <w:rsid w:val="00B57949"/>
    <w:rsid w:val="00B65D87"/>
    <w:rsid w:val="00B67DE5"/>
    <w:rsid w:val="00B7422D"/>
    <w:rsid w:val="00B81808"/>
    <w:rsid w:val="00B86DFA"/>
    <w:rsid w:val="00B936D0"/>
    <w:rsid w:val="00B941C0"/>
    <w:rsid w:val="00BB02C1"/>
    <w:rsid w:val="00BB15FB"/>
    <w:rsid w:val="00BB5732"/>
    <w:rsid w:val="00BB7AC6"/>
    <w:rsid w:val="00BC0536"/>
    <w:rsid w:val="00BC1898"/>
    <w:rsid w:val="00BD3D5B"/>
    <w:rsid w:val="00BD52ED"/>
    <w:rsid w:val="00BE3600"/>
    <w:rsid w:val="00BF2560"/>
    <w:rsid w:val="00BF7CDA"/>
    <w:rsid w:val="00C01F6F"/>
    <w:rsid w:val="00C03115"/>
    <w:rsid w:val="00C041EA"/>
    <w:rsid w:val="00C10E86"/>
    <w:rsid w:val="00C13BBD"/>
    <w:rsid w:val="00C149AB"/>
    <w:rsid w:val="00C16929"/>
    <w:rsid w:val="00C20690"/>
    <w:rsid w:val="00C25B94"/>
    <w:rsid w:val="00C26D18"/>
    <w:rsid w:val="00C325AA"/>
    <w:rsid w:val="00C339A1"/>
    <w:rsid w:val="00C359D8"/>
    <w:rsid w:val="00C36020"/>
    <w:rsid w:val="00C3647A"/>
    <w:rsid w:val="00C40694"/>
    <w:rsid w:val="00C43CD9"/>
    <w:rsid w:val="00C43E0D"/>
    <w:rsid w:val="00C440CC"/>
    <w:rsid w:val="00C441D6"/>
    <w:rsid w:val="00C4688B"/>
    <w:rsid w:val="00C479BF"/>
    <w:rsid w:val="00C5124B"/>
    <w:rsid w:val="00C52FCD"/>
    <w:rsid w:val="00C53A2C"/>
    <w:rsid w:val="00C54444"/>
    <w:rsid w:val="00C625DA"/>
    <w:rsid w:val="00C63CCA"/>
    <w:rsid w:val="00C665CB"/>
    <w:rsid w:val="00C67B31"/>
    <w:rsid w:val="00C70542"/>
    <w:rsid w:val="00C7316B"/>
    <w:rsid w:val="00C75CBF"/>
    <w:rsid w:val="00C767C9"/>
    <w:rsid w:val="00C8764E"/>
    <w:rsid w:val="00C91113"/>
    <w:rsid w:val="00C978C7"/>
    <w:rsid w:val="00CA0D75"/>
    <w:rsid w:val="00CB1FCA"/>
    <w:rsid w:val="00CC056F"/>
    <w:rsid w:val="00CC131F"/>
    <w:rsid w:val="00CC1B0B"/>
    <w:rsid w:val="00CC2894"/>
    <w:rsid w:val="00CC7172"/>
    <w:rsid w:val="00CC7BAE"/>
    <w:rsid w:val="00CD77C3"/>
    <w:rsid w:val="00CE112C"/>
    <w:rsid w:val="00CE3EDC"/>
    <w:rsid w:val="00CF55D4"/>
    <w:rsid w:val="00D06C73"/>
    <w:rsid w:val="00D143ED"/>
    <w:rsid w:val="00D20210"/>
    <w:rsid w:val="00D2180D"/>
    <w:rsid w:val="00D21B1A"/>
    <w:rsid w:val="00D4103B"/>
    <w:rsid w:val="00D45407"/>
    <w:rsid w:val="00D474C8"/>
    <w:rsid w:val="00D5001A"/>
    <w:rsid w:val="00D608DA"/>
    <w:rsid w:val="00D654A6"/>
    <w:rsid w:val="00D67A09"/>
    <w:rsid w:val="00D67A1B"/>
    <w:rsid w:val="00D7084E"/>
    <w:rsid w:val="00D730BF"/>
    <w:rsid w:val="00D73BE1"/>
    <w:rsid w:val="00D73CBE"/>
    <w:rsid w:val="00D7544B"/>
    <w:rsid w:val="00D852F4"/>
    <w:rsid w:val="00D922C5"/>
    <w:rsid w:val="00D92832"/>
    <w:rsid w:val="00D96CF9"/>
    <w:rsid w:val="00DA5EDD"/>
    <w:rsid w:val="00DB1110"/>
    <w:rsid w:val="00DB3730"/>
    <w:rsid w:val="00DB5B32"/>
    <w:rsid w:val="00DC082C"/>
    <w:rsid w:val="00DC371B"/>
    <w:rsid w:val="00DC3788"/>
    <w:rsid w:val="00DC76C7"/>
    <w:rsid w:val="00DD0753"/>
    <w:rsid w:val="00DD09F5"/>
    <w:rsid w:val="00DD0E02"/>
    <w:rsid w:val="00DD4201"/>
    <w:rsid w:val="00DD56C0"/>
    <w:rsid w:val="00DD5E9F"/>
    <w:rsid w:val="00DD76EC"/>
    <w:rsid w:val="00DD786A"/>
    <w:rsid w:val="00DE5711"/>
    <w:rsid w:val="00DF14CA"/>
    <w:rsid w:val="00DF319B"/>
    <w:rsid w:val="00E00EA0"/>
    <w:rsid w:val="00E021CB"/>
    <w:rsid w:val="00E109D8"/>
    <w:rsid w:val="00E138F1"/>
    <w:rsid w:val="00E2309D"/>
    <w:rsid w:val="00E23BB4"/>
    <w:rsid w:val="00E250A6"/>
    <w:rsid w:val="00E26758"/>
    <w:rsid w:val="00E35CDC"/>
    <w:rsid w:val="00E4357B"/>
    <w:rsid w:val="00E443A7"/>
    <w:rsid w:val="00E45904"/>
    <w:rsid w:val="00E47189"/>
    <w:rsid w:val="00E478AF"/>
    <w:rsid w:val="00E533C4"/>
    <w:rsid w:val="00E62C65"/>
    <w:rsid w:val="00E63DE5"/>
    <w:rsid w:val="00E647AF"/>
    <w:rsid w:val="00E647C7"/>
    <w:rsid w:val="00E65A37"/>
    <w:rsid w:val="00E65EF7"/>
    <w:rsid w:val="00E6673F"/>
    <w:rsid w:val="00E67CBC"/>
    <w:rsid w:val="00E7198F"/>
    <w:rsid w:val="00E75B46"/>
    <w:rsid w:val="00E77B48"/>
    <w:rsid w:val="00E82425"/>
    <w:rsid w:val="00E857FB"/>
    <w:rsid w:val="00E90181"/>
    <w:rsid w:val="00E911C9"/>
    <w:rsid w:val="00E91799"/>
    <w:rsid w:val="00E97932"/>
    <w:rsid w:val="00E97DF8"/>
    <w:rsid w:val="00EA21FE"/>
    <w:rsid w:val="00EA34E3"/>
    <w:rsid w:val="00EA6605"/>
    <w:rsid w:val="00EB669E"/>
    <w:rsid w:val="00EB7538"/>
    <w:rsid w:val="00EC0301"/>
    <w:rsid w:val="00EC1868"/>
    <w:rsid w:val="00EC1A49"/>
    <w:rsid w:val="00ED0693"/>
    <w:rsid w:val="00ED17E9"/>
    <w:rsid w:val="00ED7DDE"/>
    <w:rsid w:val="00EE6468"/>
    <w:rsid w:val="00EF38F4"/>
    <w:rsid w:val="00EF393F"/>
    <w:rsid w:val="00EF5746"/>
    <w:rsid w:val="00F06F78"/>
    <w:rsid w:val="00F1152B"/>
    <w:rsid w:val="00F1299B"/>
    <w:rsid w:val="00F207A4"/>
    <w:rsid w:val="00F21359"/>
    <w:rsid w:val="00F23127"/>
    <w:rsid w:val="00F25173"/>
    <w:rsid w:val="00F27B46"/>
    <w:rsid w:val="00F355AC"/>
    <w:rsid w:val="00F40CF7"/>
    <w:rsid w:val="00F40E18"/>
    <w:rsid w:val="00F434DB"/>
    <w:rsid w:val="00F44194"/>
    <w:rsid w:val="00F4642F"/>
    <w:rsid w:val="00F560FC"/>
    <w:rsid w:val="00F61EF5"/>
    <w:rsid w:val="00F6585D"/>
    <w:rsid w:val="00F71A5A"/>
    <w:rsid w:val="00F73A1A"/>
    <w:rsid w:val="00F767DE"/>
    <w:rsid w:val="00F769E0"/>
    <w:rsid w:val="00F94A87"/>
    <w:rsid w:val="00F96933"/>
    <w:rsid w:val="00F97584"/>
    <w:rsid w:val="00FA07B8"/>
    <w:rsid w:val="00FA31B2"/>
    <w:rsid w:val="00FA3F42"/>
    <w:rsid w:val="00FA4A46"/>
    <w:rsid w:val="00FA75FE"/>
    <w:rsid w:val="00FB1032"/>
    <w:rsid w:val="00FB39BC"/>
    <w:rsid w:val="00FB47CC"/>
    <w:rsid w:val="00FB6A53"/>
    <w:rsid w:val="00FB7289"/>
    <w:rsid w:val="00FC11CA"/>
    <w:rsid w:val="00FC1258"/>
    <w:rsid w:val="00FC354E"/>
    <w:rsid w:val="00FC6BDE"/>
    <w:rsid w:val="00FD152B"/>
    <w:rsid w:val="00FD1611"/>
    <w:rsid w:val="00FD2D4E"/>
    <w:rsid w:val="00FD33B3"/>
    <w:rsid w:val="00FD7014"/>
    <w:rsid w:val="00FD70D9"/>
    <w:rsid w:val="00FE2C22"/>
    <w:rsid w:val="00FE76A7"/>
    <w:rsid w:val="00FE7872"/>
    <w:rsid w:val="00FF0133"/>
    <w:rsid w:val="00FF1D6F"/>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730B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2F6ABB"/>
    <w:rPr>
      <w:sz w:val="24"/>
      <w:szCs w:val="24"/>
    </w:rPr>
  </w:style>
  <w:style w:type="character" w:styleId="CommentReference">
    <w:name w:val="annotation reference"/>
    <w:basedOn w:val="DefaultParagraphFont"/>
    <w:rsid w:val="0097715C"/>
    <w:rPr>
      <w:sz w:val="16"/>
      <w:szCs w:val="16"/>
    </w:rPr>
  </w:style>
  <w:style w:type="paragraph" w:styleId="CommentText">
    <w:name w:val="annotation text"/>
    <w:basedOn w:val="Normal"/>
    <w:link w:val="CommentTextChar"/>
    <w:rsid w:val="00834D5B"/>
    <w:rPr>
      <w:sz w:val="20"/>
      <w:szCs w:val="20"/>
    </w:rPr>
  </w:style>
  <w:style w:type="character" w:customStyle="1" w:styleId="CommentTextChar">
    <w:name w:val="Comment Text Char"/>
    <w:basedOn w:val="DefaultParagraphFont"/>
    <w:link w:val="CommentText"/>
    <w:rsid w:val="00834D5B"/>
  </w:style>
  <w:style w:type="paragraph" w:styleId="CommentSubject">
    <w:name w:val="annotation subject"/>
    <w:basedOn w:val="CommentText"/>
    <w:next w:val="CommentText"/>
    <w:link w:val="CommentSubjectChar"/>
    <w:rsid w:val="00834D5B"/>
    <w:rPr>
      <w:b/>
      <w:bCs/>
    </w:rPr>
  </w:style>
  <w:style w:type="character" w:customStyle="1" w:styleId="CommentSubjectChar">
    <w:name w:val="Comment Subject Char"/>
    <w:basedOn w:val="CommentTextChar"/>
    <w:link w:val="CommentSubject"/>
    <w:rsid w:val="00834D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media/72094/download" TargetMode="External" /><Relationship Id="rId5" Type="http://schemas.openxmlformats.org/officeDocument/2006/relationships/hyperlink" Target="https://www.fda.gov/food/federalstate-food-programs/interstate-certified-shellfish-shippers-list" TargetMode="External" /><Relationship Id="rId6" Type="http://schemas.openxmlformats.org/officeDocument/2006/relationships/hyperlink" Target="https://www.fda.gov/federal-state-local-tribal-and-territorial-officials/state-cooperative-programs/fda-national-shellfish-sanitation-progra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2448</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2025-06-26T13:12:00Z</dcterms:created>
  <dcterms:modified xsi:type="dcterms:W3CDTF">2025-06-26T13:41:00Z</dcterms:modified>
</cp:coreProperties>
</file>