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2DBE" w:rsidRPr="00E707C0" w14:paraId="52261623" w14:textId="77777777">
      <w:pPr>
        <w:rPr>
          <w:rFonts w:ascii="Arial" w:hAnsi="Arial" w:cs="Arial"/>
        </w:rPr>
      </w:pPr>
      <w:bookmarkStart w:id="0" w:name="_Toc337198071"/>
      <w:bookmarkStart w:id="1" w:name="_Toc423335421"/>
    </w:p>
    <w:p w:rsidR="00D9337C" w:rsidP="00117035" w14:paraId="3BCA58F2" w14:textId="795F73E4">
      <w:pPr>
        <w:pStyle w:val="Title"/>
        <w:rPr>
          <w:rFonts w:ascii="Cambria" w:hAnsi="Cambria"/>
          <w:color w:val="auto"/>
          <w:sz w:val="48"/>
          <w:szCs w:val="48"/>
        </w:rPr>
      </w:pPr>
      <w:r>
        <w:rPr>
          <w:rFonts w:ascii="Cambria" w:hAnsi="Cambria"/>
          <w:color w:val="auto"/>
          <w:sz w:val="48"/>
          <w:szCs w:val="48"/>
        </w:rPr>
        <w:t xml:space="preserve">National </w:t>
      </w:r>
      <w:r w:rsidRPr="00CD095B" w:rsidR="00117035">
        <w:rPr>
          <w:rFonts w:ascii="Cambria" w:hAnsi="Cambria"/>
          <w:color w:val="auto"/>
          <w:sz w:val="48"/>
          <w:szCs w:val="48"/>
        </w:rPr>
        <w:t>Amyotrophic</w:t>
      </w:r>
    </w:p>
    <w:p w:rsidR="00117035" w:rsidRPr="00CD095B" w:rsidP="00117035" w14:paraId="4EF501C0" w14:textId="089F5A5E">
      <w:pPr>
        <w:pStyle w:val="Title"/>
        <w:rPr>
          <w:rFonts w:ascii="Cambria" w:hAnsi="Cambria"/>
          <w:color w:val="auto"/>
          <w:sz w:val="48"/>
          <w:szCs w:val="48"/>
        </w:rPr>
      </w:pPr>
      <w:r w:rsidRPr="00CD095B">
        <w:rPr>
          <w:rFonts w:ascii="Cambria" w:hAnsi="Cambria"/>
          <w:color w:val="auto"/>
          <w:sz w:val="48"/>
          <w:szCs w:val="48"/>
        </w:rPr>
        <w:t xml:space="preserve">Lateral Sclerosis (ALS) Registry </w:t>
      </w:r>
    </w:p>
    <w:p w:rsidR="00117035" w:rsidRPr="00CD095B" w:rsidP="00117035" w14:paraId="2850FED7" w14:textId="0EFD2F4A">
      <w:pPr>
        <w:pStyle w:val="Subtitle"/>
        <w:rPr>
          <w:rFonts w:ascii="Cambria" w:hAnsi="Cambria"/>
          <w:color w:val="auto"/>
        </w:rPr>
      </w:pPr>
      <w:r w:rsidRPr="00CD095B">
        <w:rPr>
          <w:rFonts w:ascii="Cambria" w:hAnsi="Cambria"/>
          <w:color w:val="auto"/>
        </w:rPr>
        <w:t>OMB Control No</w:t>
      </w:r>
      <w:r w:rsidR="00EC67BE">
        <w:rPr>
          <w:rFonts w:ascii="Cambria" w:hAnsi="Cambria"/>
          <w:color w:val="auto"/>
        </w:rPr>
        <w:t xml:space="preserve">. 0923-0041 (Expiration Date: </w:t>
      </w:r>
      <w:r w:rsidR="00225872">
        <w:rPr>
          <w:rFonts w:ascii="Cambria" w:hAnsi="Cambria"/>
          <w:color w:val="auto"/>
        </w:rPr>
        <w:t>01</w:t>
      </w:r>
      <w:r w:rsidR="00EC67BE">
        <w:rPr>
          <w:rFonts w:ascii="Cambria" w:hAnsi="Cambria"/>
          <w:color w:val="auto"/>
        </w:rPr>
        <w:t>/3</w:t>
      </w:r>
      <w:r w:rsidR="00225872">
        <w:rPr>
          <w:rFonts w:ascii="Cambria" w:hAnsi="Cambria"/>
          <w:color w:val="auto"/>
        </w:rPr>
        <w:t>1</w:t>
      </w:r>
      <w:r w:rsidR="00EC67BE">
        <w:rPr>
          <w:rFonts w:ascii="Cambria" w:hAnsi="Cambria"/>
          <w:color w:val="auto"/>
        </w:rPr>
        <w:t>/20</w:t>
      </w:r>
      <w:r w:rsidR="00263297">
        <w:rPr>
          <w:rFonts w:ascii="Cambria" w:hAnsi="Cambria"/>
          <w:color w:val="auto"/>
        </w:rPr>
        <w:t>23</w:t>
      </w:r>
      <w:r w:rsidRPr="00CD095B">
        <w:rPr>
          <w:rFonts w:ascii="Cambria" w:hAnsi="Cambria"/>
          <w:color w:val="auto"/>
        </w:rPr>
        <w:t xml:space="preserve">) </w:t>
      </w:r>
    </w:p>
    <w:p w:rsidR="00117035" w:rsidRPr="00CD095B" w:rsidP="00117035" w14:paraId="464D3AA6" w14:textId="77777777">
      <w:pPr>
        <w:spacing w:after="200" w:line="276" w:lineRule="auto"/>
        <w:rPr>
          <w:rFonts w:ascii="Cambria" w:hAnsi="Cambria" w:cs="Arial"/>
          <w:sz w:val="36"/>
          <w:szCs w:val="36"/>
        </w:rPr>
      </w:pPr>
      <w:r w:rsidRPr="00CD095B">
        <w:rPr>
          <w:rFonts w:ascii="Cambria" w:hAnsi="Cambria" w:cs="Arial"/>
          <w:sz w:val="36"/>
          <w:szCs w:val="36"/>
        </w:rPr>
        <w:t>Revision</w:t>
      </w:r>
    </w:p>
    <w:p w:rsidR="00117035" w:rsidRPr="00CD095B" w:rsidP="00117035" w14:paraId="1BCFC328" w14:textId="47E48608">
      <w:pPr>
        <w:pStyle w:val="Subtitle"/>
        <w:rPr>
          <w:rFonts w:ascii="Cambria" w:hAnsi="Cambria"/>
          <w:color w:val="auto"/>
        </w:rPr>
      </w:pPr>
      <w:r w:rsidRPr="00CD095B">
        <w:rPr>
          <w:rFonts w:ascii="Cambria" w:hAnsi="Cambria"/>
          <w:color w:val="auto"/>
        </w:rPr>
        <w:t xml:space="preserve">Supporting Statement Part B – </w:t>
      </w:r>
    </w:p>
    <w:p w:rsidR="00117035" w:rsidRPr="00EC491F" w:rsidP="00117035" w14:paraId="440DEFD3" w14:textId="77777777">
      <w:pPr>
        <w:pStyle w:val="Subtitle"/>
        <w:rPr>
          <w:rFonts w:ascii="Cambria" w:hAnsi="Cambria"/>
          <w:color w:val="auto"/>
        </w:rPr>
      </w:pPr>
      <w:r w:rsidRPr="00EC491F">
        <w:rPr>
          <w:rFonts w:ascii="Cambria" w:hAnsi="Cambria"/>
          <w:color w:val="auto"/>
        </w:rPr>
        <w:t>Collections of Information Employing Statistical Methods</w:t>
      </w:r>
    </w:p>
    <w:p w:rsidR="00117035" w:rsidRPr="00CD095B" w:rsidP="00117035" w14:paraId="0C7E88A3" w14:textId="29051BF3">
      <w:pPr>
        <w:pStyle w:val="Subtitle"/>
        <w:rPr>
          <w:rFonts w:ascii="Cambria" w:hAnsi="Cambria"/>
          <w:color w:val="auto"/>
        </w:rPr>
      </w:pPr>
    </w:p>
    <w:p w:rsidR="00117035" w:rsidRPr="00CD095B" w:rsidP="00117035" w14:paraId="2B7287FE" w14:textId="77777777">
      <w:pPr>
        <w:pStyle w:val="Subtitle"/>
        <w:spacing w:after="0"/>
        <w:rPr>
          <w:rFonts w:ascii="Cambria" w:hAnsi="Cambria"/>
          <w:color w:val="auto"/>
        </w:rPr>
      </w:pPr>
    </w:p>
    <w:p w:rsidR="00117035" w:rsidRPr="00CD095B" w:rsidP="00117035" w14:paraId="63D7E7A0" w14:textId="77777777">
      <w:pPr>
        <w:pStyle w:val="Subtitle"/>
        <w:spacing w:after="0"/>
        <w:rPr>
          <w:rFonts w:ascii="Cambria" w:hAnsi="Cambria"/>
          <w:color w:val="auto"/>
        </w:rPr>
      </w:pPr>
    </w:p>
    <w:p w:rsidR="00117035" w:rsidRPr="00CD095B" w:rsidP="00117035" w14:paraId="6CDDC27C" w14:textId="77777777">
      <w:pPr>
        <w:pStyle w:val="Subtitle"/>
        <w:spacing w:after="0"/>
        <w:rPr>
          <w:rFonts w:ascii="Cambria" w:hAnsi="Cambria"/>
          <w:color w:val="auto"/>
        </w:rPr>
      </w:pPr>
    </w:p>
    <w:p w:rsidR="0063246A" w:rsidP="00117035" w14:paraId="7689679E" w14:textId="77777777">
      <w:pPr>
        <w:pStyle w:val="Subtitle"/>
        <w:spacing w:after="0"/>
        <w:rPr>
          <w:rFonts w:ascii="Cambria" w:hAnsi="Cambria"/>
          <w:color w:val="auto"/>
        </w:rPr>
      </w:pPr>
    </w:p>
    <w:p w:rsidR="0063246A" w:rsidP="00117035" w14:paraId="1059008D" w14:textId="77777777">
      <w:pPr>
        <w:pStyle w:val="Subtitle"/>
        <w:spacing w:after="0"/>
        <w:rPr>
          <w:rFonts w:ascii="Cambria" w:hAnsi="Cambria"/>
          <w:color w:val="auto"/>
        </w:rPr>
      </w:pPr>
    </w:p>
    <w:p w:rsidR="0063246A" w:rsidP="00117035" w14:paraId="4176E748" w14:textId="77777777">
      <w:pPr>
        <w:pStyle w:val="Subtitle"/>
        <w:spacing w:after="0"/>
        <w:rPr>
          <w:rFonts w:ascii="Cambria" w:hAnsi="Cambria"/>
          <w:color w:val="auto"/>
        </w:rPr>
      </w:pPr>
    </w:p>
    <w:p w:rsidR="0063246A" w:rsidP="00117035" w14:paraId="099388A1" w14:textId="77777777">
      <w:pPr>
        <w:pStyle w:val="Subtitle"/>
        <w:spacing w:after="0"/>
        <w:rPr>
          <w:rFonts w:ascii="Cambria" w:hAnsi="Cambria"/>
          <w:color w:val="auto"/>
        </w:rPr>
      </w:pPr>
    </w:p>
    <w:p w:rsidR="00117035" w:rsidRPr="00CD095B" w:rsidP="00117035" w14:paraId="127AF554" w14:textId="77777777">
      <w:pPr>
        <w:pStyle w:val="Subtitle"/>
        <w:spacing w:after="0"/>
        <w:rPr>
          <w:rFonts w:ascii="Cambria" w:hAnsi="Cambria"/>
          <w:color w:val="auto"/>
        </w:rPr>
      </w:pPr>
      <w:r w:rsidRPr="00CD095B">
        <w:rPr>
          <w:rFonts w:ascii="Cambria" w:hAnsi="Cambria"/>
          <w:color w:val="auto"/>
        </w:rPr>
        <w:t>Principal Investigator:</w:t>
      </w:r>
    </w:p>
    <w:p w:rsidR="00117035" w:rsidRPr="00CD095B" w:rsidP="00117035" w14:paraId="122248BF" w14:textId="77777777">
      <w:pPr>
        <w:pStyle w:val="Subtitle"/>
        <w:spacing w:after="0"/>
        <w:rPr>
          <w:rFonts w:ascii="Cambria" w:hAnsi="Cambria"/>
          <w:color w:val="auto"/>
        </w:rPr>
      </w:pPr>
      <w:r w:rsidRPr="00CD095B">
        <w:rPr>
          <w:rFonts w:ascii="Cambria" w:hAnsi="Cambria"/>
          <w:color w:val="auto"/>
        </w:rPr>
        <w:t>Paul Mehta, MD</w:t>
      </w:r>
    </w:p>
    <w:p w:rsidR="00117035" w:rsidRPr="00CD095B" w:rsidP="00117035" w14:paraId="484D87D3" w14:textId="77777777">
      <w:pPr>
        <w:pStyle w:val="Subtitle"/>
        <w:spacing w:after="0"/>
        <w:rPr>
          <w:rFonts w:ascii="Cambria" w:hAnsi="Cambria"/>
          <w:color w:val="auto"/>
        </w:rPr>
      </w:pPr>
      <w:r w:rsidRPr="00CD095B">
        <w:rPr>
          <w:rFonts w:ascii="Cambria" w:hAnsi="Cambria"/>
          <w:color w:val="auto"/>
        </w:rPr>
        <w:t xml:space="preserve">Agency for Toxic Substances and Disease Registry </w:t>
      </w:r>
    </w:p>
    <w:p w:rsidR="00117035" w:rsidRPr="00CD095B" w:rsidP="00117035" w14:paraId="61608B95" w14:textId="77777777">
      <w:pPr>
        <w:pStyle w:val="Subtitle"/>
        <w:spacing w:after="0"/>
        <w:rPr>
          <w:rFonts w:ascii="Cambria" w:hAnsi="Cambria"/>
          <w:color w:val="auto"/>
        </w:rPr>
      </w:pPr>
      <w:r w:rsidRPr="00CD095B">
        <w:rPr>
          <w:rFonts w:ascii="Cambria" w:hAnsi="Cambria"/>
          <w:color w:val="auto"/>
        </w:rPr>
        <w:t>4770 Buford Highway, MS F-57</w:t>
      </w:r>
    </w:p>
    <w:p w:rsidR="00117035" w:rsidRPr="00CD095B" w:rsidP="00117035" w14:paraId="4FD7BC7A" w14:textId="77777777">
      <w:pPr>
        <w:pStyle w:val="Subtitle"/>
        <w:spacing w:after="0"/>
        <w:rPr>
          <w:rFonts w:ascii="Cambria" w:hAnsi="Cambria"/>
          <w:color w:val="auto"/>
        </w:rPr>
      </w:pPr>
      <w:r w:rsidRPr="00CD095B">
        <w:rPr>
          <w:rFonts w:ascii="Cambria" w:hAnsi="Cambria"/>
          <w:color w:val="auto"/>
        </w:rPr>
        <w:t xml:space="preserve">Atlanta, GA 30341 </w:t>
      </w:r>
    </w:p>
    <w:p w:rsidR="00117035" w:rsidRPr="00CD095B" w:rsidP="00117035" w14:paraId="22667CFF" w14:textId="77777777">
      <w:pPr>
        <w:pStyle w:val="Subtitle"/>
        <w:spacing w:after="0"/>
        <w:rPr>
          <w:rFonts w:ascii="Cambria" w:hAnsi="Cambria"/>
          <w:color w:val="auto"/>
        </w:rPr>
      </w:pPr>
      <w:r w:rsidRPr="00CD095B">
        <w:rPr>
          <w:rFonts w:ascii="Cambria" w:hAnsi="Cambria"/>
          <w:color w:val="auto"/>
        </w:rPr>
        <w:t>Phone: 770-488-0556</w:t>
      </w:r>
    </w:p>
    <w:p w:rsidR="00117035" w:rsidRPr="00CD095B" w:rsidP="00117035" w14:paraId="50D612F6" w14:textId="77777777">
      <w:pPr>
        <w:pStyle w:val="Subtitle"/>
        <w:spacing w:after="0"/>
        <w:rPr>
          <w:rFonts w:ascii="Cambria" w:hAnsi="Cambria"/>
          <w:color w:val="auto"/>
        </w:rPr>
      </w:pPr>
      <w:r w:rsidRPr="00CD095B">
        <w:rPr>
          <w:rFonts w:ascii="Cambria" w:hAnsi="Cambria"/>
          <w:color w:val="auto"/>
        </w:rPr>
        <w:t>Fax:  770-488-1537</w:t>
      </w:r>
    </w:p>
    <w:p w:rsidR="00117035" w:rsidRPr="00CD095B" w:rsidP="00117035" w14:paraId="3FA2366B" w14:textId="7B9A0C96">
      <w:pPr>
        <w:pStyle w:val="Subtitle"/>
        <w:spacing w:after="0"/>
        <w:rPr>
          <w:rFonts w:ascii="Cambria" w:hAnsi="Cambria"/>
          <w:color w:val="auto"/>
        </w:rPr>
      </w:pPr>
      <w:r w:rsidRPr="00CD095B">
        <w:rPr>
          <w:rFonts w:ascii="Cambria" w:hAnsi="Cambria"/>
          <w:color w:val="auto"/>
        </w:rPr>
        <w:t xml:space="preserve">Email:  </w:t>
      </w:r>
      <w:hyperlink r:id="rId5" w:history="1">
        <w:r w:rsidRPr="00564AE8" w:rsidR="002D677D">
          <w:rPr>
            <w:rStyle w:val="Hyperlink"/>
            <w:rFonts w:ascii="Cambria" w:hAnsi="Cambria"/>
          </w:rPr>
          <w:t>pum4@cdc.gov</w:t>
        </w:r>
      </w:hyperlink>
    </w:p>
    <w:p w:rsidR="00117035" w:rsidRPr="00CD095B" w:rsidP="00117035" w14:paraId="4D0E728C" w14:textId="77777777">
      <w:pPr>
        <w:pStyle w:val="Subtitle"/>
        <w:spacing w:after="0"/>
        <w:rPr>
          <w:rFonts w:ascii="Cambria" w:hAnsi="Cambria"/>
          <w:color w:val="auto"/>
        </w:rPr>
      </w:pPr>
    </w:p>
    <w:p w:rsidR="00117035" w:rsidRPr="00CD095B" w:rsidP="00117035" w14:paraId="3E4D503B" w14:textId="4E1308F1">
      <w:pPr>
        <w:pStyle w:val="Subtitle"/>
        <w:spacing w:after="0"/>
        <w:rPr>
          <w:rFonts w:ascii="Cambria" w:hAnsi="Cambria"/>
          <w:color w:val="auto"/>
        </w:rPr>
      </w:pPr>
    </w:p>
    <w:p w:rsidR="00117035" w:rsidRPr="00CD095B" w:rsidP="00117035" w14:paraId="0AF7AEE6" w14:textId="66AD0F06">
      <w:pPr>
        <w:pStyle w:val="Subtitle"/>
        <w:spacing w:after="0"/>
        <w:rPr>
          <w:rFonts w:ascii="Cambria" w:hAnsi="Cambria"/>
          <w:color w:val="auto"/>
        </w:rPr>
      </w:pPr>
      <w:r w:rsidRPr="00CD095B">
        <w:rPr>
          <w:rFonts w:ascii="Cambria" w:hAnsi="Cambria"/>
          <w:color w:val="auto"/>
        </w:rPr>
        <w:t xml:space="preserve">Date: </w:t>
      </w:r>
      <w:r w:rsidR="00B202F6">
        <w:rPr>
          <w:rFonts w:ascii="Cambria" w:hAnsi="Cambria"/>
          <w:color w:val="auto"/>
        </w:rPr>
        <w:t xml:space="preserve">December </w:t>
      </w:r>
      <w:r w:rsidR="00BA138F">
        <w:rPr>
          <w:rFonts w:ascii="Cambria" w:hAnsi="Cambria"/>
          <w:color w:val="auto"/>
        </w:rPr>
        <w:t>13</w:t>
      </w:r>
      <w:r w:rsidR="00EC67BE">
        <w:rPr>
          <w:rFonts w:ascii="Cambria" w:hAnsi="Cambria"/>
          <w:color w:val="auto"/>
        </w:rPr>
        <w:t>, 20</w:t>
      </w:r>
      <w:r w:rsidR="00B202F6">
        <w:rPr>
          <w:rFonts w:ascii="Cambria" w:hAnsi="Cambria"/>
          <w:color w:val="auto"/>
        </w:rPr>
        <w:t>22</w:t>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E6282A" w14:paraId="0F533044" w14:textId="2B2390C2">
          <w:pPr>
            <w:pStyle w:val="TOC1"/>
            <w:tabs>
              <w:tab w:val="right" w:leader="dot" w:pos="9350"/>
            </w:tabs>
            <w:rPr>
              <w:noProof/>
              <w:sz w:val="22"/>
              <w:szCs w:val="22"/>
            </w:rPr>
          </w:pPr>
          <w:r w:rsidRPr="00D27566">
            <w:fldChar w:fldCharType="begin"/>
          </w:r>
          <w:r w:rsidRPr="00D27566">
            <w:instrText xml:space="preserve"> TOC \o "1-3" \h \z \u </w:instrText>
          </w:r>
          <w:r w:rsidRPr="00D27566">
            <w:fldChar w:fldCharType="separate"/>
          </w:r>
          <w:hyperlink w:anchor="_Toc121937002" w:history="1">
            <w:r w:rsidRPr="00E96FA2">
              <w:rPr>
                <w:rStyle w:val="Hyperlink"/>
                <w:rFonts w:ascii="Cambria" w:hAnsi="Cambria"/>
                <w:noProof/>
              </w:rPr>
              <w:t>B.1. Respondent Universe and Sampling Methods</w:t>
            </w:r>
            <w:r>
              <w:rPr>
                <w:noProof/>
                <w:webHidden/>
              </w:rPr>
              <w:tab/>
            </w:r>
            <w:r>
              <w:rPr>
                <w:noProof/>
                <w:webHidden/>
              </w:rPr>
              <w:fldChar w:fldCharType="begin"/>
            </w:r>
            <w:r>
              <w:rPr>
                <w:noProof/>
                <w:webHidden/>
              </w:rPr>
              <w:instrText xml:space="preserve"> PAGEREF _Toc121937002 \h </w:instrText>
            </w:r>
            <w:r>
              <w:rPr>
                <w:noProof/>
                <w:webHidden/>
              </w:rPr>
              <w:fldChar w:fldCharType="separate"/>
            </w:r>
            <w:r>
              <w:rPr>
                <w:noProof/>
                <w:webHidden/>
              </w:rPr>
              <w:t>3</w:t>
            </w:r>
            <w:r>
              <w:rPr>
                <w:noProof/>
                <w:webHidden/>
              </w:rPr>
              <w:fldChar w:fldCharType="end"/>
            </w:r>
          </w:hyperlink>
        </w:p>
        <w:p w:rsidR="00E6282A" w14:paraId="056F571B" w14:textId="31B60EA6">
          <w:pPr>
            <w:pStyle w:val="TOC1"/>
            <w:tabs>
              <w:tab w:val="right" w:leader="dot" w:pos="9350"/>
            </w:tabs>
            <w:rPr>
              <w:noProof/>
              <w:sz w:val="22"/>
              <w:szCs w:val="22"/>
            </w:rPr>
          </w:pPr>
          <w:hyperlink w:anchor="_Toc121937003" w:history="1">
            <w:r w:rsidRPr="00E96FA2">
              <w:rPr>
                <w:rStyle w:val="Hyperlink"/>
                <w:rFonts w:ascii="Cambria" w:hAnsi="Cambria"/>
                <w:noProof/>
              </w:rPr>
              <w:t>B.2. Procedures for the Collection of Information</w:t>
            </w:r>
            <w:r>
              <w:rPr>
                <w:noProof/>
                <w:webHidden/>
              </w:rPr>
              <w:tab/>
            </w:r>
            <w:r>
              <w:rPr>
                <w:noProof/>
                <w:webHidden/>
              </w:rPr>
              <w:fldChar w:fldCharType="begin"/>
            </w:r>
            <w:r>
              <w:rPr>
                <w:noProof/>
                <w:webHidden/>
              </w:rPr>
              <w:instrText xml:space="preserve"> PAGEREF _Toc121937003 \h </w:instrText>
            </w:r>
            <w:r>
              <w:rPr>
                <w:noProof/>
                <w:webHidden/>
              </w:rPr>
              <w:fldChar w:fldCharType="separate"/>
            </w:r>
            <w:r>
              <w:rPr>
                <w:noProof/>
                <w:webHidden/>
              </w:rPr>
              <w:t>8</w:t>
            </w:r>
            <w:r>
              <w:rPr>
                <w:noProof/>
                <w:webHidden/>
              </w:rPr>
              <w:fldChar w:fldCharType="end"/>
            </w:r>
          </w:hyperlink>
        </w:p>
        <w:p w:rsidR="00E6282A" w14:paraId="1B6D5557" w14:textId="658427A2">
          <w:pPr>
            <w:pStyle w:val="TOC1"/>
            <w:tabs>
              <w:tab w:val="left" w:pos="660"/>
              <w:tab w:val="right" w:leader="dot" w:pos="9350"/>
            </w:tabs>
            <w:rPr>
              <w:noProof/>
              <w:sz w:val="22"/>
              <w:szCs w:val="22"/>
            </w:rPr>
          </w:pPr>
          <w:hyperlink w:anchor="_Toc121937004" w:history="1">
            <w:r w:rsidRPr="00E96FA2">
              <w:rPr>
                <w:rStyle w:val="Hyperlink"/>
                <w:rFonts w:ascii="Cambria" w:hAnsi="Cambria"/>
                <w:noProof/>
              </w:rPr>
              <w:t>B.3.</w:t>
            </w:r>
            <w:r>
              <w:rPr>
                <w:noProof/>
                <w:sz w:val="22"/>
                <w:szCs w:val="22"/>
              </w:rPr>
              <w:tab/>
            </w:r>
            <w:r w:rsidRPr="00E96FA2">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_Toc121937004 \h </w:instrText>
            </w:r>
            <w:r>
              <w:rPr>
                <w:noProof/>
                <w:webHidden/>
              </w:rPr>
              <w:fldChar w:fldCharType="separate"/>
            </w:r>
            <w:r>
              <w:rPr>
                <w:noProof/>
                <w:webHidden/>
              </w:rPr>
              <w:t>9</w:t>
            </w:r>
            <w:r>
              <w:rPr>
                <w:noProof/>
                <w:webHidden/>
              </w:rPr>
              <w:fldChar w:fldCharType="end"/>
            </w:r>
          </w:hyperlink>
        </w:p>
        <w:p w:rsidR="00E6282A" w14:paraId="4C6FBCBA" w14:textId="0BA542BB">
          <w:pPr>
            <w:pStyle w:val="TOC1"/>
            <w:tabs>
              <w:tab w:val="right" w:leader="dot" w:pos="9350"/>
            </w:tabs>
            <w:rPr>
              <w:noProof/>
              <w:sz w:val="22"/>
              <w:szCs w:val="22"/>
            </w:rPr>
          </w:pPr>
          <w:hyperlink w:anchor="_Toc121937005" w:history="1">
            <w:r w:rsidRPr="00E96FA2">
              <w:rPr>
                <w:rStyle w:val="Hyperlink"/>
                <w:rFonts w:ascii="Cambria" w:hAnsi="Cambria"/>
                <w:noProof/>
              </w:rPr>
              <w:t>B.4.Test of Procedures or Methods to be Undertaken</w:t>
            </w:r>
            <w:r>
              <w:rPr>
                <w:noProof/>
                <w:webHidden/>
              </w:rPr>
              <w:tab/>
            </w:r>
            <w:r>
              <w:rPr>
                <w:noProof/>
                <w:webHidden/>
              </w:rPr>
              <w:fldChar w:fldCharType="begin"/>
            </w:r>
            <w:r>
              <w:rPr>
                <w:noProof/>
                <w:webHidden/>
              </w:rPr>
              <w:instrText xml:space="preserve"> PAGEREF _Toc121937005 \h </w:instrText>
            </w:r>
            <w:r>
              <w:rPr>
                <w:noProof/>
                <w:webHidden/>
              </w:rPr>
              <w:fldChar w:fldCharType="separate"/>
            </w:r>
            <w:r>
              <w:rPr>
                <w:noProof/>
                <w:webHidden/>
              </w:rPr>
              <w:t>11</w:t>
            </w:r>
            <w:r>
              <w:rPr>
                <w:noProof/>
                <w:webHidden/>
              </w:rPr>
              <w:fldChar w:fldCharType="end"/>
            </w:r>
          </w:hyperlink>
        </w:p>
        <w:p w:rsidR="00E6282A" w14:paraId="75A80867" w14:textId="240901F1">
          <w:pPr>
            <w:pStyle w:val="TOC1"/>
            <w:tabs>
              <w:tab w:val="right" w:leader="dot" w:pos="9350"/>
            </w:tabs>
            <w:rPr>
              <w:noProof/>
              <w:sz w:val="22"/>
              <w:szCs w:val="22"/>
            </w:rPr>
          </w:pPr>
          <w:hyperlink w:anchor="_Toc121937006" w:history="1">
            <w:r w:rsidRPr="00E96FA2">
              <w:rPr>
                <w:rStyle w:val="Hyperlink"/>
                <w:rFonts w:ascii="Cambria" w:hAnsi="Cambria"/>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_Toc121937006 \h </w:instrText>
            </w:r>
            <w:r>
              <w:rPr>
                <w:noProof/>
                <w:webHidden/>
              </w:rPr>
              <w:fldChar w:fldCharType="separate"/>
            </w:r>
            <w:r>
              <w:rPr>
                <w:noProof/>
                <w:webHidden/>
              </w:rPr>
              <w:t>11</w:t>
            </w:r>
            <w:r>
              <w:rPr>
                <w:noProof/>
                <w:webHidden/>
              </w:rPr>
              <w:fldChar w:fldCharType="end"/>
            </w:r>
          </w:hyperlink>
        </w:p>
        <w:p w:rsidR="00E6282A" w14:paraId="4A5759A5" w14:textId="5DECAFF2">
          <w:pPr>
            <w:pStyle w:val="TOC1"/>
            <w:tabs>
              <w:tab w:val="right" w:leader="dot" w:pos="9350"/>
            </w:tabs>
            <w:rPr>
              <w:noProof/>
              <w:sz w:val="22"/>
              <w:szCs w:val="22"/>
            </w:rPr>
          </w:pPr>
          <w:hyperlink w:anchor="_Toc121937007" w:history="1">
            <w:r w:rsidRPr="00E96FA2">
              <w:rPr>
                <w:rStyle w:val="Hyperlink"/>
                <w:rFonts w:ascii="Cambria" w:hAnsi="Cambria"/>
                <w:noProof/>
              </w:rPr>
              <w:t>References</w:t>
            </w:r>
            <w:r>
              <w:rPr>
                <w:noProof/>
                <w:webHidden/>
              </w:rPr>
              <w:tab/>
            </w:r>
            <w:r>
              <w:rPr>
                <w:noProof/>
                <w:webHidden/>
              </w:rPr>
              <w:fldChar w:fldCharType="begin"/>
            </w:r>
            <w:r>
              <w:rPr>
                <w:noProof/>
                <w:webHidden/>
              </w:rPr>
              <w:instrText xml:space="preserve"> PAGEREF _Toc121937007 \h </w:instrText>
            </w:r>
            <w:r>
              <w:rPr>
                <w:noProof/>
                <w:webHidden/>
              </w:rPr>
              <w:fldChar w:fldCharType="separate"/>
            </w:r>
            <w:r>
              <w:rPr>
                <w:noProof/>
                <w:webHidden/>
              </w:rPr>
              <w:t>12</w:t>
            </w:r>
            <w:r>
              <w:rPr>
                <w:noProof/>
                <w:webHidden/>
              </w:rPr>
              <w:fldChar w:fldCharType="end"/>
            </w:r>
          </w:hyperlink>
        </w:p>
        <w:p w:rsidR="00D33AE3" w:rsidRPr="00E707C0" w14:paraId="25E671BB" w14:textId="1416DD18">
          <w:r w:rsidRPr="00D27566">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F92495" w14:paraId="004195ED" w14:textId="77777777">
      <w:r>
        <w:br w:type="page"/>
      </w:r>
    </w:p>
    <w:p w:rsidR="00F92495" w:rsidRPr="00E707C0" w:rsidP="00F92495" w14:paraId="692674E7" w14:textId="636D2B36">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EF0B5A" w:rsidP="00225DA9" w14:paraId="3CF596FD" w14:textId="51A9F199">
      <w:pPr>
        <w:spacing w:line="276" w:lineRule="auto"/>
        <w:rPr>
          <w:sz w:val="24"/>
          <w:szCs w:val="24"/>
        </w:rPr>
      </w:pPr>
      <w:r>
        <w:rPr>
          <w:sz w:val="24"/>
          <w:szCs w:val="24"/>
        </w:rPr>
        <w:t xml:space="preserve">This data collection does not involve statistical </w:t>
      </w:r>
      <w:r w:rsidR="00A35DFF">
        <w:rPr>
          <w:sz w:val="24"/>
          <w:szCs w:val="24"/>
        </w:rPr>
        <w:t>methods;</w:t>
      </w:r>
      <w:r>
        <w:rPr>
          <w:sz w:val="24"/>
          <w:szCs w:val="24"/>
        </w:rPr>
        <w:t xml:space="preserve"> however we have described the respondents.  </w:t>
      </w:r>
      <w:r w:rsidR="00CD095B">
        <w:rPr>
          <w:sz w:val="24"/>
          <w:szCs w:val="24"/>
        </w:rPr>
        <w:t>There are no proposed changes to recruitment methods.</w:t>
      </w:r>
    </w:p>
    <w:p w:rsidR="00B45002" w:rsidRPr="00E707C0" w:rsidP="008D0F27" w14:paraId="371CCFBA" w14:textId="3D4BAA5F">
      <w:pPr>
        <w:pStyle w:val="Heading1"/>
        <w:pBdr>
          <w:bottom w:val="none" w:sz="0" w:space="0" w:color="auto"/>
        </w:pBdr>
        <w:rPr>
          <w:rFonts w:ascii="Cambria" w:hAnsi="Cambria"/>
          <w:color w:val="auto"/>
        </w:rPr>
      </w:pPr>
      <w:bookmarkStart w:id="2" w:name="_Toc121937002"/>
      <w:r w:rsidRPr="00E707C0">
        <w:rPr>
          <w:rFonts w:ascii="Cambria" w:hAnsi="Cambria"/>
          <w:color w:val="auto"/>
        </w:rPr>
        <w:t>B.</w:t>
      </w:r>
      <w:r w:rsidR="00482222">
        <w:rPr>
          <w:rFonts w:ascii="Cambria" w:hAnsi="Cambria"/>
          <w:color w:val="auto"/>
        </w:rPr>
        <w:t xml:space="preserve">1. </w:t>
      </w:r>
      <w:r w:rsidRPr="00E707C0">
        <w:rPr>
          <w:rFonts w:ascii="Cambria" w:hAnsi="Cambria"/>
          <w:color w:val="auto"/>
        </w:rPr>
        <w:t>Respondent Universe and Sampling Methods</w:t>
      </w:r>
      <w:bookmarkEnd w:id="2"/>
    </w:p>
    <w:p w:rsidR="00EF0B5A" w:rsidP="00A126DE" w14:paraId="34AE48A5" w14:textId="77777777">
      <w:pPr>
        <w:autoSpaceDE w:val="0"/>
        <w:autoSpaceDN w:val="0"/>
        <w:adjustRightInd w:val="0"/>
        <w:spacing w:line="240" w:lineRule="auto"/>
        <w:rPr>
          <w:rFonts w:cs="ITCFranklinGothicStd-Book"/>
          <w:sz w:val="24"/>
          <w:szCs w:val="24"/>
        </w:rPr>
      </w:pPr>
    </w:p>
    <w:p w:rsidR="00A97A5B" w:rsidP="00A97A5B" w14:paraId="22F1A57E" w14:textId="48BAE254">
      <w:pPr>
        <w:rPr>
          <w:rFonts w:cstheme="minorHAnsi"/>
          <w:sz w:val="24"/>
        </w:rPr>
      </w:pPr>
      <w:r w:rsidRPr="00A126DE">
        <w:rPr>
          <w:rFonts w:cs="ITCFranklinGothicStd-Book"/>
          <w:sz w:val="24"/>
          <w:szCs w:val="24"/>
        </w:rPr>
        <w:t>This activity is surveillance; respondents are not sampled.  Furthermore, no sample selection</w:t>
      </w:r>
      <w:r w:rsidR="00576193">
        <w:rPr>
          <w:rFonts w:cs="ITCFranklinGothicStd-Book"/>
          <w:sz w:val="24"/>
          <w:szCs w:val="24"/>
        </w:rPr>
        <w:t xml:space="preserve"> is involved in this registry. </w:t>
      </w:r>
      <w:r w:rsidRPr="00A126DE">
        <w:rPr>
          <w:rFonts w:cs="ITCFranklinGothicStd-Book"/>
          <w:sz w:val="24"/>
          <w:szCs w:val="24"/>
        </w:rPr>
        <w:t xml:space="preserve">The </w:t>
      </w:r>
      <w:r w:rsidR="00913E9F">
        <w:rPr>
          <w:rFonts w:cs="ITCFranklinGothicStd-Book"/>
          <w:sz w:val="24"/>
          <w:szCs w:val="24"/>
        </w:rPr>
        <w:t>R</w:t>
      </w:r>
      <w:r w:rsidRPr="00A126DE">
        <w:rPr>
          <w:rFonts w:cs="ITCFranklinGothicStd-Book"/>
          <w:sz w:val="24"/>
          <w:szCs w:val="24"/>
        </w:rPr>
        <w:t xml:space="preserve">egistry will pull in both individuals with ALS from existing administrative data and will allow cases to self-identify. </w:t>
      </w:r>
      <w:r w:rsidR="00001F13">
        <w:rPr>
          <w:rFonts w:cs="ITCFranklinGothicStd-Book"/>
          <w:sz w:val="24"/>
          <w:szCs w:val="24"/>
        </w:rPr>
        <w:t>However, there will be some selection for the biorepository component of the Registry</w:t>
      </w:r>
      <w:r w:rsidR="000D3C05">
        <w:rPr>
          <w:rFonts w:cs="ITCFranklinGothicStd-Book"/>
          <w:sz w:val="24"/>
          <w:szCs w:val="24"/>
        </w:rPr>
        <w:t xml:space="preserve"> due to budget constraints.</w:t>
      </w:r>
      <w:r w:rsidR="00001F13">
        <w:rPr>
          <w:rFonts w:cs="ITCFranklinGothicStd-Book"/>
          <w:sz w:val="24"/>
          <w:szCs w:val="24"/>
        </w:rPr>
        <w:t xml:space="preserve">  </w:t>
      </w:r>
      <w:r>
        <w:rPr>
          <w:rFonts w:cstheme="minorHAnsi"/>
          <w:sz w:val="24"/>
        </w:rPr>
        <w:t xml:space="preserve">Individuals asked to participate in the biorepository will be selected from PALS who enroll in the Registry and express and interest in learning more about the biorepository.  To better address the congressional mandate to examine genetic and environmental risk factors that may cluster by geographic area, we will select a convenience sample from those who are interested </w:t>
      </w:r>
      <w:r w:rsidRPr="00360A66">
        <w:rPr>
          <w:rFonts w:cstheme="minorHAnsi"/>
          <w:sz w:val="24"/>
          <w:szCs w:val="24"/>
        </w:rPr>
        <w:t>in the biorepository</w:t>
      </w:r>
      <w:r>
        <w:rPr>
          <w:rFonts w:cstheme="minorHAnsi"/>
          <w:sz w:val="24"/>
        </w:rPr>
        <w:t xml:space="preserve"> proportional to state population and with at least one person from each state. We will recruit from the harder to fill states, e.g., Wyoming, Rhode Island, first and then distribute the cases throughout the other states. Because recruitment tends to get individuals from the same town to enroll during the same time period, selection in states where we are recruiting multiple participants will be distributed across the states in any given month</w:t>
      </w:r>
      <w:r w:rsidR="006307F9">
        <w:rPr>
          <w:rFonts w:cstheme="minorHAnsi"/>
          <w:sz w:val="24"/>
        </w:rPr>
        <w:t xml:space="preserve"> </w:t>
      </w:r>
      <w:r w:rsidR="007A4D57">
        <w:rPr>
          <w:rFonts w:cstheme="minorHAnsi"/>
          <w:sz w:val="24"/>
        </w:rPr>
        <w:t>by stratify</w:t>
      </w:r>
      <w:r w:rsidR="00E0795C">
        <w:rPr>
          <w:rFonts w:cstheme="minorHAnsi"/>
          <w:sz w:val="24"/>
        </w:rPr>
        <w:t>ing</w:t>
      </w:r>
      <w:r w:rsidR="007A4D57">
        <w:rPr>
          <w:rFonts w:cstheme="minorHAnsi"/>
          <w:sz w:val="24"/>
        </w:rPr>
        <w:t xml:space="preserve"> those interested in participating in each state by</w:t>
      </w:r>
      <w:r w:rsidR="00E0795C">
        <w:rPr>
          <w:rFonts w:cstheme="minorHAnsi"/>
          <w:sz w:val="24"/>
        </w:rPr>
        <w:t xml:space="preserve"> city and taking</w:t>
      </w:r>
      <w:r w:rsidR="007A4D57">
        <w:rPr>
          <w:rFonts w:cstheme="minorHAnsi"/>
          <w:sz w:val="24"/>
        </w:rPr>
        <w:t xml:space="preserve"> a systematic sample from the different geographic areas. </w:t>
      </w:r>
    </w:p>
    <w:p w:rsidR="001F22D4" w:rsidP="00225DA9" w14:paraId="5A5900DB" w14:textId="36655B7B">
      <w:pPr>
        <w:autoSpaceDE w:val="0"/>
        <w:autoSpaceDN w:val="0"/>
        <w:adjustRightInd w:val="0"/>
        <w:spacing w:line="276" w:lineRule="auto"/>
        <w:rPr>
          <w:rFonts w:cs="ITCFranklinGothicStd-Book"/>
          <w:sz w:val="24"/>
          <w:szCs w:val="24"/>
        </w:rPr>
      </w:pPr>
      <w:r w:rsidRPr="00A126DE">
        <w:rPr>
          <w:rFonts w:cs="ITCFranklinGothicStd-Book"/>
          <w:sz w:val="24"/>
          <w:szCs w:val="24"/>
        </w:rPr>
        <w:t xml:space="preserve">The primary purpose of the </w:t>
      </w:r>
      <w:r w:rsidR="00913E9F">
        <w:rPr>
          <w:rFonts w:cs="ITCFranklinGothicStd-Book"/>
          <w:sz w:val="24"/>
          <w:szCs w:val="24"/>
        </w:rPr>
        <w:t>R</w:t>
      </w:r>
      <w:r w:rsidRPr="00A126DE">
        <w:rPr>
          <w:rFonts w:cs="ITCFranklinGothicStd-Book"/>
          <w:sz w:val="24"/>
          <w:szCs w:val="24"/>
        </w:rPr>
        <w:t xml:space="preserve">egistry is to improve estimates of likely prevalence of ALS and provide basic demographic information including, age, </w:t>
      </w:r>
      <w:r w:rsidR="00576193">
        <w:rPr>
          <w:rFonts w:cs="ITCFranklinGothicStd-Book"/>
          <w:sz w:val="24"/>
          <w:szCs w:val="24"/>
        </w:rPr>
        <w:t xml:space="preserve">race, sex and geographic area. </w:t>
      </w:r>
      <w:r w:rsidRPr="00A126DE">
        <w:rPr>
          <w:rFonts w:cs="ITCFranklinGothicStd-Book"/>
          <w:sz w:val="24"/>
          <w:szCs w:val="24"/>
        </w:rPr>
        <w:t>The tabulation of risk factor information required by Congress is for descr</w:t>
      </w:r>
      <w:r w:rsidR="00E7142F">
        <w:rPr>
          <w:rFonts w:cs="ITCFranklinGothicStd-Book"/>
          <w:sz w:val="24"/>
          <w:szCs w:val="24"/>
        </w:rPr>
        <w:t>iptive purposes only.</w:t>
      </w:r>
      <w:r>
        <w:rPr>
          <w:rFonts w:cs="ITCFranklinGothicStd-Book"/>
          <w:sz w:val="24"/>
          <w:szCs w:val="24"/>
        </w:rPr>
        <w:t xml:space="preserve">  The following table includes the distribution of selected risk factor data.</w:t>
      </w:r>
    </w:p>
    <w:p w:rsidR="005B7CD5" w:rsidP="001F22D4" w14:paraId="51615248" w14:textId="138DC199">
      <w:pPr>
        <w:autoSpaceDE w:val="0"/>
        <w:autoSpaceDN w:val="0"/>
        <w:adjustRightInd w:val="0"/>
        <w:spacing w:after="0" w:line="240" w:lineRule="auto"/>
        <w:rPr>
          <w:rFonts w:cs="ITCFranklinGothicStd-Book"/>
          <w:sz w:val="24"/>
          <w:szCs w:val="24"/>
        </w:rPr>
      </w:pPr>
    </w:p>
    <w:p w:rsidR="005120C6" w:rsidP="001F22D4" w14:paraId="4048D37D" w14:textId="44E63222">
      <w:pPr>
        <w:autoSpaceDE w:val="0"/>
        <w:autoSpaceDN w:val="0"/>
        <w:adjustRightInd w:val="0"/>
        <w:spacing w:after="0" w:line="240" w:lineRule="auto"/>
        <w:rPr>
          <w:rFonts w:cs="ITCFranklinGothicStd-Book"/>
          <w:sz w:val="24"/>
          <w:szCs w:val="24"/>
        </w:rPr>
      </w:pPr>
    </w:p>
    <w:p w:rsidR="005120C6" w:rsidP="001F22D4" w14:paraId="4E1E2661" w14:textId="75B343E2">
      <w:pPr>
        <w:autoSpaceDE w:val="0"/>
        <w:autoSpaceDN w:val="0"/>
        <w:adjustRightInd w:val="0"/>
        <w:spacing w:after="0" w:line="240" w:lineRule="auto"/>
        <w:rPr>
          <w:rFonts w:cs="ITCFranklinGothicStd-Book"/>
          <w:sz w:val="24"/>
          <w:szCs w:val="24"/>
        </w:rPr>
      </w:pPr>
    </w:p>
    <w:p w:rsidR="005120C6" w:rsidP="001F22D4" w14:paraId="79401D79" w14:textId="2BB7AC36">
      <w:pPr>
        <w:autoSpaceDE w:val="0"/>
        <w:autoSpaceDN w:val="0"/>
        <w:adjustRightInd w:val="0"/>
        <w:spacing w:after="0" w:line="240" w:lineRule="auto"/>
        <w:rPr>
          <w:rFonts w:cs="ITCFranklinGothicStd-Book"/>
          <w:sz w:val="24"/>
          <w:szCs w:val="24"/>
        </w:rPr>
      </w:pPr>
    </w:p>
    <w:p w:rsidR="005120C6" w:rsidP="001F22D4" w14:paraId="405653D5" w14:textId="4ADADF68">
      <w:pPr>
        <w:autoSpaceDE w:val="0"/>
        <w:autoSpaceDN w:val="0"/>
        <w:adjustRightInd w:val="0"/>
        <w:spacing w:after="0" w:line="240" w:lineRule="auto"/>
        <w:rPr>
          <w:rFonts w:cs="ITCFranklinGothicStd-Book"/>
          <w:sz w:val="24"/>
          <w:szCs w:val="24"/>
        </w:rPr>
      </w:pPr>
    </w:p>
    <w:p w:rsidR="005120C6" w:rsidP="001F22D4" w14:paraId="49B96821" w14:textId="68DCA189">
      <w:pPr>
        <w:autoSpaceDE w:val="0"/>
        <w:autoSpaceDN w:val="0"/>
        <w:adjustRightInd w:val="0"/>
        <w:spacing w:after="0" w:line="240" w:lineRule="auto"/>
        <w:rPr>
          <w:rFonts w:cs="ITCFranklinGothicStd-Book"/>
          <w:sz w:val="24"/>
          <w:szCs w:val="24"/>
        </w:rPr>
      </w:pPr>
    </w:p>
    <w:p w:rsidR="005120C6" w:rsidP="001F22D4" w14:paraId="732E0605" w14:textId="77777777">
      <w:pPr>
        <w:autoSpaceDE w:val="0"/>
        <w:autoSpaceDN w:val="0"/>
        <w:adjustRightInd w:val="0"/>
        <w:spacing w:after="0" w:line="240" w:lineRule="auto"/>
        <w:rPr>
          <w:rFonts w:cs="ITCFranklinGothicStd-Book"/>
          <w:sz w:val="24"/>
          <w:szCs w:val="24"/>
        </w:rPr>
      </w:pPr>
    </w:p>
    <w:p w:rsidR="001F22D4" w:rsidP="001F22D4" w14:paraId="13979766" w14:textId="3E256AD2">
      <w:pPr>
        <w:autoSpaceDE w:val="0"/>
        <w:autoSpaceDN w:val="0"/>
        <w:adjustRightInd w:val="0"/>
        <w:spacing w:after="0" w:line="240" w:lineRule="auto"/>
        <w:rPr>
          <w:rFonts w:cs="ITCFranklinGothicStd-Book"/>
          <w:sz w:val="24"/>
          <w:szCs w:val="24"/>
        </w:rPr>
      </w:pPr>
      <w:r>
        <w:rPr>
          <w:rFonts w:cs="ITCFranklinGothicStd-Book"/>
          <w:sz w:val="24"/>
          <w:szCs w:val="24"/>
        </w:rPr>
        <w:t>Tabulation of Selected Risk Factor Data, Octo</w:t>
      </w:r>
      <w:r w:rsidR="0047286C">
        <w:rPr>
          <w:rFonts w:cs="ITCFranklinGothicStd-Book"/>
          <w:sz w:val="24"/>
          <w:szCs w:val="24"/>
        </w:rPr>
        <w:t>ber 18, 2010 – December 31, 2017</w:t>
      </w:r>
    </w:p>
    <w:tbl>
      <w:tblPr>
        <w:tblW w:w="6820" w:type="dxa"/>
        <w:tblInd w:w="-10" w:type="dxa"/>
        <w:tblLook w:val="04A0"/>
      </w:tblPr>
      <w:tblGrid>
        <w:gridCol w:w="4900"/>
        <w:gridCol w:w="960"/>
        <w:gridCol w:w="960"/>
      </w:tblGrid>
      <w:tr w14:paraId="0A1BA678" w14:textId="77777777" w:rsidTr="00DA4ADD">
        <w:tblPrEx>
          <w:tblW w:w="6820" w:type="dxa"/>
          <w:tblInd w:w="-10" w:type="dxa"/>
          <w:tblLook w:val="04A0"/>
        </w:tblPrEx>
        <w:trPr>
          <w:trHeight w:val="315"/>
        </w:trPr>
        <w:tc>
          <w:tcPr>
            <w:tcW w:w="4900" w:type="dxa"/>
            <w:tcBorders>
              <w:top w:val="single" w:sz="8" w:space="0" w:color="auto"/>
              <w:left w:val="single" w:sz="8" w:space="0" w:color="auto"/>
              <w:bottom w:val="single" w:sz="8" w:space="0" w:color="auto"/>
              <w:right w:val="single" w:sz="8" w:space="0" w:color="auto"/>
            </w:tcBorders>
            <w:shd w:val="clear" w:color="auto" w:fill="auto"/>
            <w:noWrap/>
            <w:hideMark/>
          </w:tcPr>
          <w:p w:rsidR="00DA4ADD" w:rsidRPr="00DA4ADD" w:rsidP="00DA4ADD" w14:paraId="331348D0" w14:textId="77777777">
            <w:pPr>
              <w:spacing w:after="0" w:line="240" w:lineRule="auto"/>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noWrap/>
            <w:hideMark/>
          </w:tcPr>
          <w:p w:rsidR="00DA4ADD" w:rsidRPr="00DA4ADD" w:rsidP="00DA4ADD" w14:paraId="05DD2FA7" w14:textId="77777777">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No.</w:t>
            </w:r>
          </w:p>
        </w:tc>
        <w:tc>
          <w:tcPr>
            <w:tcW w:w="960" w:type="dxa"/>
            <w:tcBorders>
              <w:top w:val="single" w:sz="8" w:space="0" w:color="auto"/>
              <w:left w:val="nil"/>
              <w:bottom w:val="single" w:sz="8" w:space="0" w:color="auto"/>
              <w:right w:val="single" w:sz="8" w:space="0" w:color="auto"/>
            </w:tcBorders>
            <w:shd w:val="clear" w:color="auto" w:fill="auto"/>
            <w:noWrap/>
            <w:hideMark/>
          </w:tcPr>
          <w:p w:rsidR="00DA4ADD" w:rsidRPr="00DA4ADD" w:rsidP="00DA4ADD" w14:paraId="1179D637" w14:textId="77777777">
            <w:pPr>
              <w:spacing w:after="0" w:line="240" w:lineRule="auto"/>
              <w:jc w:val="center"/>
              <w:rPr>
                <w:rFonts w:ascii="Calibri" w:eastAsia="Times New Roman" w:hAnsi="Calibri" w:cs="Times New Roman"/>
                <w:color w:val="000000"/>
                <w:sz w:val="22"/>
                <w:szCs w:val="22"/>
              </w:rPr>
            </w:pPr>
            <w:r w:rsidRPr="00DA4ADD">
              <w:rPr>
                <w:rFonts w:ascii="Calibri" w:eastAsia="Times New Roman" w:hAnsi="Calibri" w:cs="Times New Roman"/>
                <w:color w:val="000000"/>
                <w:sz w:val="22"/>
                <w:szCs w:val="22"/>
              </w:rPr>
              <w:t>%</w:t>
            </w:r>
          </w:p>
        </w:tc>
      </w:tr>
      <w:tr w14:paraId="0A41ABF1" w14:textId="77777777" w:rsidTr="0047286C">
        <w:tblPrEx>
          <w:tblW w:w="6820" w:type="dxa"/>
          <w:tblInd w:w="-10" w:type="dxa"/>
          <w:tblLook w:val="04A0"/>
        </w:tblPrEx>
        <w:trPr>
          <w:trHeight w:val="360"/>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EC67BE" w:rsidRPr="00DA4ADD" w:rsidP="00EC67BE" w14:paraId="61CDFCB1" w14:textId="4A06797E">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Status</w:t>
            </w:r>
            <w:r>
              <w:rPr>
                <w:rFonts w:ascii="Calibri" w:hAnsi="Calibri" w:cs="Calibri"/>
                <w:b/>
                <w:bCs/>
                <w:color w:val="000000"/>
                <w:sz w:val="22"/>
                <w:szCs w:val="22"/>
                <w:vertAlign w:val="superscript"/>
              </w:rPr>
              <w:t>*</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36640DDC" w14:textId="56C0A0C3">
            <w:pPr>
              <w:spacing w:after="0" w:line="240" w:lineRule="auto"/>
              <w:jc w:val="center"/>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3774788E" w14:textId="6B4B10F3">
            <w:pPr>
              <w:spacing w:after="0" w:line="240" w:lineRule="auto"/>
              <w:jc w:val="center"/>
              <w:rPr>
                <w:rFonts w:ascii="Calibri" w:eastAsia="Times New Roman" w:hAnsi="Calibri" w:cs="Times New Roman"/>
                <w:color w:val="000000"/>
                <w:sz w:val="22"/>
                <w:szCs w:val="22"/>
              </w:rPr>
            </w:pPr>
            <w:r>
              <w:rPr>
                <w:rFonts w:ascii="Calibri" w:hAnsi="Calibri" w:cs="Calibri"/>
                <w:color w:val="000000"/>
                <w:sz w:val="22"/>
                <w:szCs w:val="22"/>
              </w:rPr>
              <w:t> </w:t>
            </w:r>
          </w:p>
        </w:tc>
      </w:tr>
      <w:tr w14:paraId="64A01D44"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120C6" w:rsidRPr="00DA4ADD" w:rsidP="005120C6" w14:paraId="146DF38D" w14:textId="68DF25D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Current Smoker</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59252823" w14:textId="1FD6A54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685</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01819E3C" w14:textId="5B7AE55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16.2</w:t>
            </w:r>
          </w:p>
        </w:tc>
      </w:tr>
      <w:tr w14:paraId="4682CF61"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120C6" w:rsidRPr="00DA4ADD" w:rsidP="005120C6" w14:paraId="6D8F9FC1" w14:textId="24F45C3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Former Smoker</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39F0A38D" w14:textId="207BF4C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3539</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5FBF3C8D" w14:textId="6023936D">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31.2</w:t>
            </w:r>
          </w:p>
        </w:tc>
      </w:tr>
      <w:tr w14:paraId="18EDA4B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120C6" w:rsidRPr="00DA4ADD" w:rsidP="005120C6" w14:paraId="235A9422" w14:textId="6325AAC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Nonsmoker</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64F1924C" w14:textId="3915569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4703</w:t>
            </w:r>
          </w:p>
        </w:tc>
        <w:tc>
          <w:tcPr>
            <w:tcW w:w="960" w:type="dxa"/>
            <w:tcBorders>
              <w:top w:val="nil"/>
              <w:left w:val="nil"/>
              <w:bottom w:val="single" w:sz="8" w:space="0" w:color="auto"/>
              <w:right w:val="single" w:sz="8" w:space="0" w:color="auto"/>
            </w:tcBorders>
            <w:shd w:val="clear" w:color="auto" w:fill="auto"/>
            <w:vAlign w:val="center"/>
            <w:hideMark/>
          </w:tcPr>
          <w:p w:rsidR="005120C6" w:rsidRPr="00DA4ADD" w:rsidP="005120C6" w14:paraId="2286656C" w14:textId="0E1C70B7">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52.6</w:t>
            </w:r>
          </w:p>
        </w:tc>
      </w:tr>
      <w:tr w14:paraId="5317190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5120C6" w:rsidRPr="00DA4ADD" w:rsidP="005120C6" w14:paraId="6FD5016E" w14:textId="5A9108EA">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Ever Smoker</w:t>
            </w:r>
          </w:p>
        </w:tc>
        <w:tc>
          <w:tcPr>
            <w:tcW w:w="960" w:type="dxa"/>
            <w:tcBorders>
              <w:top w:val="nil"/>
              <w:left w:val="nil"/>
              <w:bottom w:val="single" w:sz="8" w:space="0" w:color="auto"/>
              <w:right w:val="single" w:sz="8" w:space="0" w:color="auto"/>
            </w:tcBorders>
            <w:shd w:val="clear" w:color="auto" w:fill="auto"/>
            <w:noWrap/>
            <w:vAlign w:val="center"/>
            <w:hideMark/>
          </w:tcPr>
          <w:p w:rsidR="005120C6" w:rsidRPr="00DA4ADD" w:rsidP="005120C6" w14:paraId="59A4C9F4" w14:textId="0E82C84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4224</w:t>
            </w:r>
          </w:p>
        </w:tc>
        <w:tc>
          <w:tcPr>
            <w:tcW w:w="960" w:type="dxa"/>
            <w:tcBorders>
              <w:top w:val="nil"/>
              <w:left w:val="nil"/>
              <w:bottom w:val="single" w:sz="8" w:space="0" w:color="auto"/>
              <w:right w:val="single" w:sz="8" w:space="0" w:color="auto"/>
            </w:tcBorders>
            <w:shd w:val="clear" w:color="auto" w:fill="auto"/>
            <w:noWrap/>
            <w:vAlign w:val="center"/>
            <w:hideMark/>
          </w:tcPr>
          <w:p w:rsidR="005120C6" w:rsidRPr="00DA4ADD" w:rsidP="005120C6" w14:paraId="21E46C2F" w14:textId="17D21DB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47.4</w:t>
            </w:r>
          </w:p>
        </w:tc>
      </w:tr>
      <w:tr w14:paraId="0EBBFDFF"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EC67BE" w:rsidRPr="00DA4ADD" w:rsidP="00EC67BE" w14:paraId="3828B042" w14:textId="1320AC73">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Duration</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0BFEB816" w14:textId="6140E9AF">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45E8CAE1" w14:textId="677DC54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7C9BA6D0"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FA5881" w:rsidRPr="00DA4ADD" w:rsidP="00FA5881" w14:paraId="5D0BD476" w14:textId="61F0F2B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29E28EE1" w14:textId="431C10E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928</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739029AC" w14:textId="43EF716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22.2</w:t>
            </w:r>
          </w:p>
        </w:tc>
      </w:tr>
      <w:tr w14:paraId="118A8492"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FA5881" w:rsidRPr="00DA4ADD" w:rsidP="00FA5881" w14:paraId="7A5B792A" w14:textId="284E0BB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224426FD" w14:textId="3A0C791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1552</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2B986C96" w14:textId="736690C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37.1</w:t>
            </w:r>
          </w:p>
        </w:tc>
      </w:tr>
      <w:tr w14:paraId="4F02422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FA5881" w:rsidRPr="00DA4ADD" w:rsidP="00FA5881" w14:paraId="0A0C92DC" w14:textId="38FCBADB">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1F6AAFC8" w14:textId="7358A20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1098</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5AE6456D" w14:textId="549B879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26.3</w:t>
            </w:r>
          </w:p>
        </w:tc>
      </w:tr>
      <w:tr w14:paraId="678B539F"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FA5881" w:rsidRPr="00DA4ADD" w:rsidP="00FA5881" w14:paraId="24B0F763" w14:textId="1A1DAEF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340F584C" w14:textId="17F3BD2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604</w:t>
            </w:r>
          </w:p>
        </w:tc>
        <w:tc>
          <w:tcPr>
            <w:tcW w:w="960" w:type="dxa"/>
            <w:tcBorders>
              <w:top w:val="nil"/>
              <w:left w:val="nil"/>
              <w:bottom w:val="single" w:sz="8" w:space="0" w:color="auto"/>
              <w:right w:val="single" w:sz="8" w:space="0" w:color="auto"/>
            </w:tcBorders>
            <w:shd w:val="clear" w:color="auto" w:fill="auto"/>
            <w:vAlign w:val="center"/>
            <w:hideMark/>
          </w:tcPr>
          <w:p w:rsidR="00FA5881" w:rsidRPr="00DA4ADD" w:rsidP="00FA5881" w14:paraId="4BBB3273" w14:textId="54582C9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14.4</w:t>
            </w:r>
          </w:p>
        </w:tc>
      </w:tr>
      <w:tr w14:paraId="2C1C703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EC67BE" w:rsidRPr="00DA4ADD" w:rsidP="00EC67BE" w14:paraId="6713DF8A" w14:textId="7AE374FB">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Smoking Intensity</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007396BD" w14:textId="751DC3A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6D6A8FD2" w14:textId="25BF5D2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2F05020A"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D223A" w:rsidRPr="00DA4ADD" w:rsidP="006D223A" w14:paraId="5A09B5D6" w14:textId="5C17069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5 pack-years</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4191B400" w14:textId="3AE5FDB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921</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0DB33500" w14:textId="2DFA0397">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22.1</w:t>
            </w:r>
          </w:p>
        </w:tc>
      </w:tr>
      <w:tr w14:paraId="6DBB01D4"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D223A" w:rsidRPr="00DA4ADD" w:rsidP="006D223A" w14:paraId="6E2C0695" w14:textId="5D789D2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5 to &lt;15 pack-years</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2A0570E0" w14:textId="25C6EA0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1061</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2DC806D6" w14:textId="2FBC461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25.4</w:t>
            </w:r>
          </w:p>
        </w:tc>
      </w:tr>
      <w:tr w14:paraId="2B9ADE4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6D223A" w:rsidRPr="00DA4ADD" w:rsidP="006D223A" w14:paraId="3A4203CC" w14:textId="5A56336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15+ pack-years</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1198849A" w14:textId="25242BD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2195</w:t>
            </w:r>
          </w:p>
        </w:tc>
        <w:tc>
          <w:tcPr>
            <w:tcW w:w="960" w:type="dxa"/>
            <w:tcBorders>
              <w:top w:val="nil"/>
              <w:left w:val="nil"/>
              <w:bottom w:val="single" w:sz="8" w:space="0" w:color="auto"/>
              <w:right w:val="single" w:sz="8" w:space="0" w:color="auto"/>
            </w:tcBorders>
            <w:shd w:val="clear" w:color="auto" w:fill="auto"/>
            <w:vAlign w:val="center"/>
            <w:hideMark/>
          </w:tcPr>
          <w:p w:rsidR="006D223A" w:rsidRPr="00DA4ADD" w:rsidP="006D223A" w14:paraId="2323B31B" w14:textId="3816D03D">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52.5</w:t>
            </w:r>
          </w:p>
        </w:tc>
      </w:tr>
      <w:tr w14:paraId="0E27A540"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EC67BE" w:rsidRPr="00DA4ADD" w:rsidP="00EC67BE" w14:paraId="6F4D86CE" w14:textId="1E5C835D">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Alcohol Consumption Status</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0C397E35" w14:textId="47C0347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14AB63FD" w14:textId="1ECC0CC6">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7495928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21FB2E8A" w14:textId="0BF407B7">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Current Drinker</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3C353701" w14:textId="619A922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4105</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608BF728" w14:textId="4921902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46.1</w:t>
            </w:r>
          </w:p>
        </w:tc>
      </w:tr>
      <w:tr w14:paraId="257A011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2923D69C" w14:textId="2549A62C">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Former Drinker</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5EECD8BD" w14:textId="74485FD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3086</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3F43C219" w14:textId="78AD1E0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34.7</w:t>
            </w:r>
          </w:p>
        </w:tc>
      </w:tr>
      <w:tr w14:paraId="20927B8D"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5488982F" w14:textId="0AB3FFB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Nondrinker</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17433232" w14:textId="03B75E9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1710</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07E969F4" w14:textId="2FC96AA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19.2</w:t>
            </w:r>
          </w:p>
        </w:tc>
      </w:tr>
      <w:tr w14:paraId="0176271E"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2E9A95C2" w14:textId="25719DDB">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Ever Drinker</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7B6FFC87" w14:textId="73D4224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7191</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1237CB12" w14:textId="4C068A6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80.5</w:t>
            </w:r>
          </w:p>
        </w:tc>
      </w:tr>
      <w:tr w14:paraId="187DED7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2CC75881" w14:textId="66210837">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Drinking Duration</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769B25F4" w14:textId="1F8F7C06">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390BE5DC" w14:textId="2D85554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79C2181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320C693E" w14:textId="742B3F2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212E3608" w14:textId="034D20E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2426</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04DBA7D4" w14:textId="552ACB9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35.3</w:t>
            </w:r>
          </w:p>
        </w:tc>
      </w:tr>
      <w:tr w14:paraId="0FE7EE4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26237E1B" w14:textId="44DFB98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shd w:val="clear" w:color="auto" w:fill="auto"/>
            <w:noWrap/>
            <w:vAlign w:val="center"/>
            <w:hideMark/>
          </w:tcPr>
          <w:p w:rsidR="00405015" w:rsidRPr="00DA4ADD" w:rsidP="00405015" w14:paraId="3AA99193" w14:textId="105DF3A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1624</w:t>
            </w:r>
          </w:p>
        </w:tc>
        <w:tc>
          <w:tcPr>
            <w:tcW w:w="960" w:type="dxa"/>
            <w:tcBorders>
              <w:top w:val="nil"/>
              <w:left w:val="nil"/>
              <w:bottom w:val="single" w:sz="8" w:space="0" w:color="auto"/>
              <w:right w:val="single" w:sz="8" w:space="0" w:color="auto"/>
            </w:tcBorders>
            <w:shd w:val="clear" w:color="auto" w:fill="auto"/>
            <w:noWrap/>
            <w:vAlign w:val="center"/>
            <w:hideMark/>
          </w:tcPr>
          <w:p w:rsidR="00405015" w:rsidRPr="00DA4ADD" w:rsidP="00405015" w14:paraId="16427DFC" w14:textId="25377A3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23.3</w:t>
            </w:r>
          </w:p>
        </w:tc>
      </w:tr>
      <w:tr w14:paraId="66E475B4"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4FAC3F47" w14:textId="6D012912">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1E0476D0" w14:textId="27B4D5F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844</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2C4ED23F" w14:textId="0323A9D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12.3</w:t>
            </w:r>
          </w:p>
        </w:tc>
      </w:tr>
      <w:tr w14:paraId="44EC45C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05015" w:rsidRPr="00DA4ADD" w:rsidP="00405015" w14:paraId="65846AC8" w14:textId="39D060E8">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2401662E" w14:textId="72C2A02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2012</w:t>
            </w:r>
          </w:p>
        </w:tc>
        <w:tc>
          <w:tcPr>
            <w:tcW w:w="960" w:type="dxa"/>
            <w:tcBorders>
              <w:top w:val="nil"/>
              <w:left w:val="nil"/>
              <w:bottom w:val="single" w:sz="8" w:space="0" w:color="auto"/>
              <w:right w:val="single" w:sz="8" w:space="0" w:color="auto"/>
            </w:tcBorders>
            <w:shd w:val="clear" w:color="auto" w:fill="auto"/>
            <w:vAlign w:val="center"/>
            <w:hideMark/>
          </w:tcPr>
          <w:p w:rsidR="00405015" w:rsidRPr="00DA4ADD" w:rsidP="00405015" w14:paraId="64B9BF49" w14:textId="524FA38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29.1</w:t>
            </w:r>
          </w:p>
        </w:tc>
      </w:tr>
      <w:tr w14:paraId="55B79D1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noWrap/>
            <w:vAlign w:val="center"/>
            <w:hideMark/>
          </w:tcPr>
          <w:p w:rsidR="00EC67BE" w:rsidRPr="00DA4ADD" w:rsidP="00EC67BE" w14:paraId="373E09EF" w14:textId="3B503C59">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Drinking Intensity</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620FEE76" w14:textId="655E9F8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noWrap/>
            <w:vAlign w:val="center"/>
            <w:hideMark/>
          </w:tcPr>
          <w:p w:rsidR="00EC67BE" w:rsidRPr="00DA4ADD" w:rsidP="00EC67BE" w14:paraId="183C2080" w14:textId="1FA606C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7C219B02"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F014C" w:rsidRPr="00DA4ADD" w:rsidP="005F014C" w14:paraId="0012B6AE" w14:textId="200C0C0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Light Drinker</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68F6E895" w14:textId="026CBFA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5711</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63457EE2" w14:textId="6FDFDE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82.4</w:t>
            </w:r>
          </w:p>
        </w:tc>
      </w:tr>
      <w:tr w14:paraId="284B5668"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F014C" w:rsidRPr="00DA4ADD" w:rsidP="005F014C" w14:paraId="3044A60C" w14:textId="23689EA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Moderate Drinker</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54A2D9D3" w14:textId="5C135BE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980</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068B47BA" w14:textId="29B1C2A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14.1</w:t>
            </w:r>
          </w:p>
        </w:tc>
      </w:tr>
      <w:tr w14:paraId="1C1FFAB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F014C" w:rsidRPr="00DA4ADD" w:rsidP="005F014C" w14:paraId="6D3E9138" w14:textId="1356E582">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Heavy Drinker</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14560F73" w14:textId="426303D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240</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449B7D3A" w14:textId="29317FB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w:t>
            </w:r>
          </w:p>
        </w:tc>
      </w:tr>
      <w:tr w14:paraId="1659BD81"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11E2978D" w14:textId="537CE215">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Military Service History</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3CDCB7DE" w14:textId="2D2E8816">
            <w:pPr>
              <w:spacing w:after="0" w:line="240" w:lineRule="auto"/>
              <w:jc w:val="center"/>
              <w:rPr>
                <w:rFonts w:ascii="Calibri" w:eastAsia="Times New Roman" w:hAnsi="Calibri" w:cs="Times New Roman"/>
                <w:b/>
                <w:bCs/>
                <w:color w:val="000000"/>
                <w:sz w:val="22"/>
                <w:szCs w:val="22"/>
              </w:rPr>
            </w:pPr>
            <w:r>
              <w:rPr>
                <w:rFonts w:ascii="Calibri" w:hAnsi="Calibri" w:cs="Calibri"/>
                <w:b/>
                <w:bCs/>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7A868999" w14:textId="207641B1">
            <w:pPr>
              <w:spacing w:after="0" w:line="240" w:lineRule="auto"/>
              <w:jc w:val="center"/>
              <w:rPr>
                <w:rFonts w:ascii="Calibri" w:eastAsia="Times New Roman" w:hAnsi="Calibri" w:cs="Times New Roman"/>
                <w:b/>
                <w:bCs/>
                <w:color w:val="000000"/>
                <w:sz w:val="22"/>
                <w:szCs w:val="22"/>
              </w:rPr>
            </w:pPr>
            <w:r>
              <w:rPr>
                <w:rFonts w:ascii="Calibri" w:hAnsi="Calibri" w:cs="Calibri"/>
                <w:b/>
                <w:bCs/>
                <w:color w:val="000000"/>
                <w:sz w:val="22"/>
                <w:szCs w:val="22"/>
              </w:rPr>
              <w:t> </w:t>
            </w:r>
          </w:p>
        </w:tc>
      </w:tr>
      <w:tr w14:paraId="468F11F8"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F014C" w:rsidRPr="00DA4ADD" w:rsidP="005F014C" w14:paraId="0BC7A85A" w14:textId="187C368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Veterans</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059237CD" w14:textId="4BAD5C7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1867</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5573624D" w14:textId="0B7C7A1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20.6</w:t>
            </w:r>
          </w:p>
        </w:tc>
      </w:tr>
      <w:tr w14:paraId="5C38438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5F014C" w:rsidRPr="00DA4ADD" w:rsidP="005F014C" w14:paraId="79B12371" w14:textId="45F49ADF">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Nonveterans</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1BA9A9C7" w14:textId="517697E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7201</w:t>
            </w:r>
          </w:p>
        </w:tc>
        <w:tc>
          <w:tcPr>
            <w:tcW w:w="960" w:type="dxa"/>
            <w:tcBorders>
              <w:top w:val="nil"/>
              <w:left w:val="nil"/>
              <w:bottom w:val="single" w:sz="8" w:space="0" w:color="auto"/>
              <w:right w:val="single" w:sz="8" w:space="0" w:color="auto"/>
            </w:tcBorders>
            <w:shd w:val="clear" w:color="auto" w:fill="auto"/>
            <w:vAlign w:val="center"/>
            <w:hideMark/>
          </w:tcPr>
          <w:p w:rsidR="005F014C" w:rsidRPr="00DA4ADD" w:rsidP="005F014C" w14:paraId="56E2F75B" w14:textId="1FBB73B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79.4</w:t>
            </w:r>
          </w:p>
        </w:tc>
      </w:tr>
      <w:tr w14:paraId="0BD9E1A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7582D02E" w14:textId="5643312A">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Branch of Military Service</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36795B83" w14:textId="2DBC3765">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68B89285" w14:textId="7D75A35B">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65C51EB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40B31F6F" w14:textId="61143DC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Army</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32C9B5A6" w14:textId="093A9AB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760</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7F4A705A" w14:textId="7C3E1E1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36.9</w:t>
            </w:r>
          </w:p>
        </w:tc>
      </w:tr>
      <w:tr w14:paraId="4CF8202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5638FDD1" w14:textId="68509E5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Navy</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636E2DDD" w14:textId="30E6DE97">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451</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14E2698E" w14:textId="321DB7A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21.9</w:t>
            </w:r>
          </w:p>
        </w:tc>
      </w:tr>
      <w:tr w14:paraId="5C6DC321"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65F5B75A" w14:textId="04D4BAE8">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Marines</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1E87F354" w14:textId="17CF875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149</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608EAC1D" w14:textId="64EBB82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7.2</w:t>
            </w:r>
          </w:p>
        </w:tc>
      </w:tr>
      <w:tr w14:paraId="5F171406"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79E3A6B8" w14:textId="61E557F5">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Air Force</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2D7FE9F7" w14:textId="2437651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410</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1F3F6BCB" w14:textId="7B936E6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19.9</w:t>
            </w:r>
          </w:p>
        </w:tc>
      </w:tr>
      <w:tr w14:paraId="46D79A9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13681CC0" w14:textId="20DFFD4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Reserves</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1C239AD0" w14:textId="229620B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251</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1CF6E5B9" w14:textId="47E42DF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12.2</w:t>
            </w:r>
          </w:p>
        </w:tc>
      </w:tr>
      <w:tr w14:paraId="1C6AF571"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122B2" w:rsidRPr="00DA4ADD" w:rsidP="00A122B2" w14:paraId="5853398C" w14:textId="28F0427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Coast Guard</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0BD398C3" w14:textId="43503D8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39</w:t>
            </w:r>
          </w:p>
        </w:tc>
        <w:tc>
          <w:tcPr>
            <w:tcW w:w="960" w:type="dxa"/>
            <w:tcBorders>
              <w:top w:val="nil"/>
              <w:left w:val="nil"/>
              <w:bottom w:val="single" w:sz="8" w:space="0" w:color="auto"/>
              <w:right w:val="single" w:sz="8" w:space="0" w:color="auto"/>
            </w:tcBorders>
            <w:shd w:val="clear" w:color="auto" w:fill="auto"/>
            <w:vAlign w:val="center"/>
            <w:hideMark/>
          </w:tcPr>
          <w:p w:rsidR="00A122B2" w:rsidRPr="00DA4ADD" w:rsidP="00A122B2" w14:paraId="4F982FB4" w14:textId="7299A4D0">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w:t>
            </w:r>
          </w:p>
        </w:tc>
      </w:tr>
      <w:tr w14:paraId="04A6C9DA"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4E56BCDA" w14:textId="764A1C8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More than one branch of military service</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7097D800" w14:textId="4D0C055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0C466BEB" w14:textId="71DA4F8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w:t>
            </w:r>
          </w:p>
        </w:tc>
      </w:tr>
      <w:tr w14:paraId="075567DD"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0D9A5B82" w14:textId="42C5B5C1">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Deployment to a War Arena</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75B53D40" w14:textId="1CA022FF">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44FBB4D7" w14:textId="1BB0C341">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08B2ADD9"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C3582" w:rsidRPr="00DA4ADD" w:rsidP="004C3582" w14:paraId="727E2EE5" w14:textId="02C3004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Yes</w:t>
            </w:r>
          </w:p>
        </w:tc>
        <w:tc>
          <w:tcPr>
            <w:tcW w:w="960" w:type="dxa"/>
            <w:tcBorders>
              <w:top w:val="nil"/>
              <w:left w:val="nil"/>
              <w:bottom w:val="single" w:sz="8" w:space="0" w:color="auto"/>
              <w:right w:val="single" w:sz="8" w:space="0" w:color="auto"/>
            </w:tcBorders>
            <w:shd w:val="clear" w:color="auto" w:fill="auto"/>
            <w:vAlign w:val="center"/>
            <w:hideMark/>
          </w:tcPr>
          <w:p w:rsidR="004C3582" w:rsidRPr="00DA4ADD" w:rsidP="004C3582" w14:paraId="6DDA0E6F" w14:textId="0C1B47F0">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608</w:t>
            </w:r>
          </w:p>
        </w:tc>
        <w:tc>
          <w:tcPr>
            <w:tcW w:w="960" w:type="dxa"/>
            <w:tcBorders>
              <w:top w:val="nil"/>
              <w:left w:val="nil"/>
              <w:bottom w:val="single" w:sz="8" w:space="0" w:color="auto"/>
              <w:right w:val="single" w:sz="8" w:space="0" w:color="auto"/>
            </w:tcBorders>
            <w:shd w:val="clear" w:color="auto" w:fill="auto"/>
            <w:vAlign w:val="center"/>
            <w:hideMark/>
          </w:tcPr>
          <w:p w:rsidR="004C3582" w:rsidRPr="00DA4ADD" w:rsidP="004C3582" w14:paraId="6168B348" w14:textId="53EE4088">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32.7</w:t>
            </w:r>
          </w:p>
        </w:tc>
      </w:tr>
      <w:tr w14:paraId="603E79E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4C3582" w:rsidRPr="00DA4ADD" w:rsidP="004C3582" w14:paraId="49C40565" w14:textId="2540204F">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No</w:t>
            </w:r>
          </w:p>
        </w:tc>
        <w:tc>
          <w:tcPr>
            <w:tcW w:w="960" w:type="dxa"/>
            <w:tcBorders>
              <w:top w:val="nil"/>
              <w:left w:val="nil"/>
              <w:bottom w:val="single" w:sz="8" w:space="0" w:color="auto"/>
              <w:right w:val="single" w:sz="8" w:space="0" w:color="auto"/>
            </w:tcBorders>
            <w:shd w:val="clear" w:color="auto" w:fill="auto"/>
            <w:vAlign w:val="center"/>
            <w:hideMark/>
          </w:tcPr>
          <w:p w:rsidR="004C3582" w:rsidRPr="00DA4ADD" w:rsidP="004C3582" w14:paraId="000FC9F0" w14:textId="70D62A9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1253</w:t>
            </w:r>
          </w:p>
        </w:tc>
        <w:tc>
          <w:tcPr>
            <w:tcW w:w="960" w:type="dxa"/>
            <w:tcBorders>
              <w:top w:val="nil"/>
              <w:left w:val="nil"/>
              <w:bottom w:val="single" w:sz="8" w:space="0" w:color="auto"/>
              <w:right w:val="single" w:sz="8" w:space="0" w:color="auto"/>
            </w:tcBorders>
            <w:shd w:val="clear" w:color="auto" w:fill="auto"/>
            <w:vAlign w:val="center"/>
            <w:hideMark/>
          </w:tcPr>
          <w:p w:rsidR="004C3582" w:rsidRPr="00DA4ADD" w:rsidP="004C3582" w14:paraId="78C2B248" w14:textId="3064C6D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67.3</w:t>
            </w:r>
          </w:p>
        </w:tc>
      </w:tr>
      <w:tr w14:paraId="73ADE838"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57D7833C" w14:textId="16C4DD00">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Employment Status</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01D2795B" w14:textId="6B61F8F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02864266" w14:textId="3AC3CC8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46BC855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71B2A0C6" w14:textId="6850E35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Full-time employed</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6CCECEFA" w14:textId="64634EC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1832</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54E7412F" w14:textId="4280E0C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19.7</w:t>
            </w:r>
          </w:p>
        </w:tc>
      </w:tr>
      <w:tr w14:paraId="0BA637B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4954F9BB" w14:textId="4A120628">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Part-time employed</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5BFD5692" w14:textId="39D8734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20EEFE80" w14:textId="5FC4D67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w:t>
            </w:r>
          </w:p>
        </w:tc>
      </w:tr>
      <w:tr w14:paraId="59414A4A"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02B41856" w14:textId="1165C24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Retired</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52165F34" w14:textId="3E0763F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3637</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3F4F1E11" w14:textId="606EAD3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39.1</w:t>
            </w:r>
          </w:p>
        </w:tc>
      </w:tr>
      <w:tr w14:paraId="0E45A07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38CBEA1A" w14:textId="559AC40C">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Disabled</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01E0AC89" w14:textId="2905DACD">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2793</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2347A304" w14:textId="1F651FC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30</w:t>
            </w:r>
          </w:p>
        </w:tc>
      </w:tr>
      <w:tr w14:paraId="55CE7BD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202A58DD" w14:textId="3B3DC687">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Full-time student</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139FE962" w14:textId="249DC5D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78C918EF" w14:textId="4C6775E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0.1</w:t>
            </w:r>
          </w:p>
        </w:tc>
      </w:tr>
      <w:tr w14:paraId="0831FD6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6D71BA0C" w14:textId="1789FBA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Homemaker</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3EFB617C" w14:textId="43B0813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586</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4CD7A717" w14:textId="30C80EAD">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6.3</w:t>
            </w:r>
          </w:p>
        </w:tc>
      </w:tr>
      <w:tr w14:paraId="40FA1B9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00D3A01B" w14:textId="703A4F0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Unemployed</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51B1E20E" w14:textId="268F313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1832</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303A2069" w14:textId="193D0A2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19.7</w:t>
            </w:r>
          </w:p>
        </w:tc>
      </w:tr>
      <w:tr w14:paraId="18AAA38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A44404" w:rsidRPr="00DA4ADD" w:rsidP="00A44404" w14:paraId="560203BE" w14:textId="0AACC6C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Other</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26566239" w14:textId="73523C4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shd w:val="clear" w:color="auto" w:fill="auto"/>
            <w:vAlign w:val="center"/>
            <w:hideMark/>
          </w:tcPr>
          <w:p w:rsidR="00A44404" w:rsidRPr="00DA4ADD" w:rsidP="00A44404" w14:paraId="5B02E226" w14:textId="6DA113A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w:t>
            </w:r>
          </w:p>
        </w:tc>
      </w:tr>
      <w:tr w14:paraId="31D35F1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6551003B" w14:textId="7D8C13D1">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Job Title Held for the Longest Time (Top 10)</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6F82D77C" w14:textId="3862186C">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09919A26" w14:textId="5CD9FCA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545406DB"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14F32962" w14:textId="5B258872">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Teacher, professor or educator</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4F874109" w14:textId="50FB526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755</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12D6C519" w14:textId="24E6213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8.2</w:t>
            </w:r>
          </w:p>
        </w:tc>
      </w:tr>
      <w:tr w14:paraId="0B5EC3AF"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3697D0EE" w14:textId="640C720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Physician, nurse, dental or health care worker</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79371E56" w14:textId="27E6E9A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723</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5293CE50" w14:textId="18835BE0">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7.9</w:t>
            </w:r>
          </w:p>
        </w:tc>
      </w:tr>
      <w:tr w14:paraId="1790287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4D85C446" w14:textId="39F2FDFE">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Secretary, administrative assistant or receptionist</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1FC79802" w14:textId="76828E1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467</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471F51C1" w14:textId="33DA85E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5.1</w:t>
            </w:r>
          </w:p>
        </w:tc>
      </w:tr>
      <w:tr w14:paraId="7A184C3D"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106D1E6C" w14:textId="6C1CADD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Engineer, architect or draftsperson</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4534C9C2" w14:textId="62DA6E8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152CFDFB" w14:textId="650C150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4.9</w:t>
            </w:r>
          </w:p>
        </w:tc>
      </w:tr>
      <w:tr w14:paraId="374BD7F7"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1131B9FF" w14:textId="2955DAD8">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Retail salesperson, sales clerk, or sales representative</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3BB92C9A" w14:textId="58DCAC0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353</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49F0D5EE" w14:textId="65CF71B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3.9</w:t>
            </w:r>
          </w:p>
        </w:tc>
      </w:tr>
      <w:tr w14:paraId="3AD99DC0"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73A8E3A9" w14:textId="3A1484A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laborer, production worker, or assembler/fabricator</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3132CECB" w14:textId="6C341E9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328</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05341A17" w14:textId="0A8EF18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3.6</w:t>
            </w:r>
          </w:p>
        </w:tc>
      </w:tr>
      <w:tr w14:paraId="20D26CBF"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4985ADD5" w14:textId="469AF77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Accountant, auditor, or bookkeeper</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286AB17A" w14:textId="23363AF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305</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20275AC8" w14:textId="4D445B0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3.3</w:t>
            </w:r>
          </w:p>
        </w:tc>
      </w:tr>
      <w:tr w14:paraId="21B6E369"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43A296CE" w14:textId="25F0ADE0">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Supervisor or manager of financial or marketing workers</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4F80383F" w14:textId="6BD4B16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253</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04FAB9CF" w14:textId="76E23B4D">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w:t>
            </w:r>
          </w:p>
        </w:tc>
      </w:tr>
      <w:tr w14:paraId="7859C0C2"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003F093E" w14:textId="79901B4D">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Chief executive or owner</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0D5237B0" w14:textId="7994E5E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252</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262F1C34" w14:textId="660B1035">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2.9</w:t>
            </w:r>
          </w:p>
        </w:tc>
      </w:tr>
      <w:tr w14:paraId="246866D2"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953BE" w:rsidRPr="00DA4ADD" w:rsidP="007953BE" w14:paraId="2644C72E" w14:textId="21542F94">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Supervisor or manager of manufacturing or production workers</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3799F2C6" w14:textId="44EBAF1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215</w:t>
            </w:r>
          </w:p>
        </w:tc>
        <w:tc>
          <w:tcPr>
            <w:tcW w:w="960" w:type="dxa"/>
            <w:tcBorders>
              <w:top w:val="nil"/>
              <w:left w:val="nil"/>
              <w:bottom w:val="single" w:sz="8" w:space="0" w:color="auto"/>
              <w:right w:val="single" w:sz="8" w:space="0" w:color="auto"/>
            </w:tcBorders>
            <w:shd w:val="clear" w:color="auto" w:fill="auto"/>
            <w:vAlign w:val="center"/>
            <w:hideMark/>
          </w:tcPr>
          <w:p w:rsidR="007953BE" w:rsidRPr="00DA4ADD" w:rsidP="007953BE" w14:paraId="28035F36" w14:textId="19FA7560">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w:t>
            </w:r>
          </w:p>
        </w:tc>
      </w:tr>
      <w:tr w14:paraId="6B3D580F"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543D55B6" w14:textId="1D30F954">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Industry Worked in for the Longest Time (Top 10)</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500E15A3" w14:textId="0ED44433">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4760E4FB" w14:textId="0CA65C51">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4BA05ACD"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2B68205A" w14:textId="06BA4106">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Professional, Scientific, and Technical Services</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54ADDB8F" w14:textId="34CA32A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1104</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2CCCE600" w14:textId="76C80B4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12.2</w:t>
            </w:r>
          </w:p>
        </w:tc>
      </w:tr>
      <w:tr w14:paraId="751E3404"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61C84B47" w14:textId="7CC8D75B">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Health Care and Social Assistance</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5BFCD6B5" w14:textId="6814A94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1026</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0DC5B785" w14:textId="1BF7E77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11.7</w:t>
            </w:r>
          </w:p>
        </w:tc>
      </w:tr>
      <w:tr w14:paraId="692449D1"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2BE8154" w14:textId="32970186">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Educational Services</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0174415F" w14:textId="4053FF96">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922</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63FC826C" w14:textId="7E046DD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10.5</w:t>
            </w:r>
          </w:p>
        </w:tc>
      </w:tr>
      <w:tr w14:paraId="0EF35C72"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3030C166" w14:textId="7859A53B">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(Metal, Electrical, Transport, Professional)</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5978442A" w14:textId="67C683B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677</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75DBDE7D" w14:textId="4BEBB29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7.7</w:t>
            </w:r>
          </w:p>
        </w:tc>
      </w:tr>
      <w:tr w14:paraId="38ABBEE5"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92E3EC8" w14:textId="345FB977">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Other Services (except Public Administration)</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6E2B4F6D" w14:textId="0313174C">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593</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0E930176" w14:textId="2F2A3F1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6.7</w:t>
            </w:r>
          </w:p>
        </w:tc>
      </w:tr>
      <w:tr w14:paraId="2DC2E154"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FC7256B" w14:textId="065FF4EF">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Construction</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05F345A1" w14:textId="7E25699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570</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60C2D71A" w14:textId="7155B28E">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6.5</w:t>
            </w:r>
          </w:p>
        </w:tc>
      </w:tr>
      <w:tr w14:paraId="16EAF7FC"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84B2809" w14:textId="17DCCAD5">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Retail Trade I (Cars, Gas, Furniture, Electronics, Food-Beverage, Clothing)</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664BB6E9" w14:textId="1B7428C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512</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01B4FA17" w14:textId="028EC70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5.8</w:t>
            </w:r>
          </w:p>
        </w:tc>
      </w:tr>
      <w:tr w14:paraId="08B201C5"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4F3837CB" w14:textId="1A65FC27">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Finance and Insurance</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3AC14EE6" w14:textId="45A6E3F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482</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24FC9377" w14:textId="16B5831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5.5</w:t>
            </w:r>
          </w:p>
        </w:tc>
      </w:tr>
      <w:tr w14:paraId="57959465"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FFA8542" w14:textId="38ABE758">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Manufacturing - (Paper, Printing, Chemicals, Petroleum, Leather, Lumber, Stone)</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38D712A3" w14:textId="00CD542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378</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2DF2D301" w14:textId="2CBB15E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4.3</w:t>
            </w:r>
          </w:p>
        </w:tc>
      </w:tr>
      <w:tr w14:paraId="38949289" w14:textId="77777777" w:rsidTr="0047286C">
        <w:tblPrEx>
          <w:tblW w:w="6820" w:type="dxa"/>
          <w:tblInd w:w="-10" w:type="dxa"/>
          <w:tblLook w:val="04A0"/>
        </w:tblPrEx>
        <w:trPr>
          <w:trHeight w:val="6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3B4E09" w:rsidRPr="00DA4ADD" w:rsidP="003B4E09" w14:paraId="206AC807" w14:textId="61996DE7">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Transportation and Warehousing I (Air, Rail, Water, Ground, Pipeline)</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3B886625" w14:textId="54FC8D1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303</w:t>
            </w:r>
          </w:p>
        </w:tc>
        <w:tc>
          <w:tcPr>
            <w:tcW w:w="960" w:type="dxa"/>
            <w:tcBorders>
              <w:top w:val="nil"/>
              <w:left w:val="nil"/>
              <w:bottom w:val="single" w:sz="8" w:space="0" w:color="auto"/>
              <w:right w:val="single" w:sz="8" w:space="0" w:color="auto"/>
            </w:tcBorders>
            <w:shd w:val="clear" w:color="auto" w:fill="auto"/>
            <w:vAlign w:val="center"/>
            <w:hideMark/>
          </w:tcPr>
          <w:p w:rsidR="003B4E09" w:rsidRPr="00DA4ADD" w:rsidP="003B4E09" w14:paraId="7AC37CB8" w14:textId="49D48944">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3.5</w:t>
            </w:r>
          </w:p>
        </w:tc>
      </w:tr>
      <w:tr w14:paraId="523B7CF2"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EC67BE" w:rsidRPr="00DA4ADD" w:rsidP="00EC67BE" w14:paraId="36C656A1" w14:textId="1CA9811D">
            <w:pPr>
              <w:spacing w:after="0" w:line="240" w:lineRule="auto"/>
              <w:rPr>
                <w:rFonts w:ascii="Calibri" w:eastAsia="Times New Roman" w:hAnsi="Calibri" w:cs="Times New Roman"/>
                <w:b/>
                <w:bCs/>
                <w:color w:val="000000"/>
                <w:sz w:val="22"/>
                <w:szCs w:val="22"/>
              </w:rPr>
            </w:pPr>
            <w:r>
              <w:rPr>
                <w:rFonts w:ascii="Calibri" w:hAnsi="Calibri" w:cs="Calibri"/>
                <w:b/>
                <w:bCs/>
                <w:color w:val="000000"/>
                <w:sz w:val="22"/>
                <w:szCs w:val="22"/>
              </w:rPr>
              <w:t>Years of Employment at Longest Held Occupation</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71F6358D" w14:textId="602B3DC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EC67BE" w:rsidRPr="00DA4ADD" w:rsidP="00EC67BE" w14:paraId="0D7164FA" w14:textId="5401A59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 </w:t>
            </w:r>
          </w:p>
        </w:tc>
      </w:tr>
      <w:tr w14:paraId="4AE7DA1A"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15A75" w:rsidRPr="00DA4ADD" w:rsidP="00715A75" w14:paraId="4F353D9C" w14:textId="102EBCF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48896083" w14:textId="0F0AEDEF">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610</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59486F6F" w14:textId="6159561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26.8</w:t>
            </w:r>
          </w:p>
        </w:tc>
      </w:tr>
      <w:tr w14:paraId="3DE929DC"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15A75" w:rsidRPr="00DA4ADD" w:rsidP="00715A75" w14:paraId="3BA6FD0C" w14:textId="0AE489A9">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10 &lt; time &lt;= 20 years</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10469AE4" w14:textId="7CFB2ABA">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522</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7FB0D505" w14:textId="6F78D8EB">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22.9</w:t>
            </w:r>
          </w:p>
        </w:tc>
      </w:tr>
      <w:tr w14:paraId="2480DC87"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15A75" w:rsidRPr="00DA4ADD" w:rsidP="00715A75" w14:paraId="34F7BF4E" w14:textId="040EFFEC">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20 &lt; time &lt;=30 years</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1F72D9C5" w14:textId="06D1A742">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584</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14192A85" w14:textId="0781DAE1">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25.6</w:t>
            </w:r>
          </w:p>
        </w:tc>
      </w:tr>
      <w:tr w14:paraId="2D2359A3" w14:textId="77777777" w:rsidTr="0047286C">
        <w:tblPrEx>
          <w:tblW w:w="6820" w:type="dxa"/>
          <w:tblInd w:w="-10" w:type="dxa"/>
          <w:tblLook w:val="04A0"/>
        </w:tblPrEx>
        <w:trPr>
          <w:trHeight w:val="315"/>
        </w:trPr>
        <w:tc>
          <w:tcPr>
            <w:tcW w:w="4900" w:type="dxa"/>
            <w:tcBorders>
              <w:top w:val="nil"/>
              <w:left w:val="single" w:sz="8" w:space="0" w:color="auto"/>
              <w:bottom w:val="single" w:sz="8" w:space="0" w:color="auto"/>
              <w:right w:val="single" w:sz="8" w:space="0" w:color="auto"/>
            </w:tcBorders>
            <w:shd w:val="clear" w:color="auto" w:fill="auto"/>
            <w:vAlign w:val="center"/>
            <w:hideMark/>
          </w:tcPr>
          <w:p w:rsidR="00715A75" w:rsidRPr="00DA4ADD" w:rsidP="00715A75" w14:paraId="7E98E0F6" w14:textId="0E67A21A">
            <w:pPr>
              <w:spacing w:after="0" w:line="240" w:lineRule="auto"/>
              <w:rPr>
                <w:rFonts w:ascii="Calibri" w:eastAsia="Times New Roman" w:hAnsi="Calibri" w:cs="Times New Roman"/>
                <w:color w:val="000000"/>
                <w:sz w:val="22"/>
                <w:szCs w:val="22"/>
              </w:rPr>
            </w:pPr>
            <w:r>
              <w:rPr>
                <w:rFonts w:ascii="Calibri" w:hAnsi="Calibri" w:cs="Calibri"/>
                <w:color w:val="000000"/>
                <w:sz w:val="22"/>
                <w:szCs w:val="22"/>
              </w:rPr>
              <w:t>&gt; 30 years</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49FB26DE" w14:textId="46CB8363">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562</w:t>
            </w:r>
          </w:p>
        </w:tc>
        <w:tc>
          <w:tcPr>
            <w:tcW w:w="960" w:type="dxa"/>
            <w:tcBorders>
              <w:top w:val="nil"/>
              <w:left w:val="nil"/>
              <w:bottom w:val="single" w:sz="8" w:space="0" w:color="auto"/>
              <w:right w:val="single" w:sz="8" w:space="0" w:color="auto"/>
            </w:tcBorders>
            <w:shd w:val="clear" w:color="auto" w:fill="auto"/>
            <w:vAlign w:val="center"/>
            <w:hideMark/>
          </w:tcPr>
          <w:p w:rsidR="00715A75" w:rsidRPr="00DA4ADD" w:rsidP="00715A75" w14:paraId="430EE2E6" w14:textId="222844D9">
            <w:pPr>
              <w:spacing w:after="0" w:line="240" w:lineRule="auto"/>
              <w:jc w:val="right"/>
              <w:rPr>
                <w:rFonts w:ascii="Calibri" w:eastAsia="Times New Roman" w:hAnsi="Calibri" w:cs="Times New Roman"/>
                <w:color w:val="000000"/>
                <w:sz w:val="22"/>
                <w:szCs w:val="22"/>
              </w:rPr>
            </w:pPr>
            <w:r>
              <w:rPr>
                <w:rFonts w:ascii="Calibri" w:hAnsi="Calibri" w:cs="Calibri"/>
                <w:color w:val="000000"/>
                <w:sz w:val="22"/>
                <w:szCs w:val="22"/>
              </w:rPr>
              <w:t>24.7</w:t>
            </w:r>
          </w:p>
        </w:tc>
      </w:tr>
    </w:tbl>
    <w:p w:rsidR="001F22D4" w:rsidP="00225DA9" w14:paraId="695A7E2E" w14:textId="77777777">
      <w:pPr>
        <w:autoSpaceDE w:val="0"/>
        <w:autoSpaceDN w:val="0"/>
        <w:adjustRightInd w:val="0"/>
        <w:spacing w:line="276" w:lineRule="auto"/>
        <w:rPr>
          <w:rFonts w:cs="ITCFranklinGothicStd-Book"/>
          <w:sz w:val="24"/>
          <w:szCs w:val="24"/>
        </w:rPr>
      </w:pPr>
    </w:p>
    <w:p w:rsidR="00001F13" w:rsidRPr="00C67283" w:rsidP="00FA68CD" w14:paraId="342704EF" w14:textId="6A6205A1">
      <w:pPr>
        <w:autoSpaceDE w:val="0"/>
        <w:autoSpaceDN w:val="0"/>
        <w:adjustRightInd w:val="0"/>
        <w:spacing w:line="276" w:lineRule="auto"/>
        <w:rPr>
          <w:rFonts w:eastAsiaTheme="minorHAnsi" w:cs="Adobe Garamond Pro"/>
          <w:color w:val="000000"/>
          <w:sz w:val="24"/>
          <w:szCs w:val="24"/>
        </w:rPr>
      </w:pPr>
      <w:r>
        <w:rPr>
          <w:rFonts w:cs="ITCFranklinGothicStd-Book"/>
          <w:sz w:val="24"/>
          <w:szCs w:val="24"/>
        </w:rPr>
        <w:t xml:space="preserve"> </w:t>
      </w:r>
      <w:r w:rsidRPr="00A126DE" w:rsidR="00A126DE">
        <w:rPr>
          <w:rFonts w:cs="ITCFranklinGothicStd-Book"/>
          <w:sz w:val="24"/>
          <w:szCs w:val="24"/>
        </w:rPr>
        <w:t xml:space="preserve">As the </w:t>
      </w:r>
      <w:r w:rsidR="00913E9F">
        <w:rPr>
          <w:rFonts w:cs="ITCFranklinGothicStd-Book"/>
          <w:sz w:val="24"/>
          <w:szCs w:val="24"/>
        </w:rPr>
        <w:t>R</w:t>
      </w:r>
      <w:r w:rsidRPr="00A126DE" w:rsidR="00A126DE">
        <w:rPr>
          <w:rFonts w:cs="ITCFranklinGothicStd-Book"/>
          <w:sz w:val="24"/>
          <w:szCs w:val="24"/>
        </w:rPr>
        <w:t>egistry matures and more individuals self-register, the information could be used for research (i.e., hypothesis generation).  ATSDR allows approved researchers to provide registrants with information about ongoing studies for which they might be eligible.  ATSDR plans to compare those individuals who self-register with those identified in the administrative data.  ATSDR will then begin to analyze the data provided in the surveys.</w:t>
      </w:r>
      <w:r>
        <w:rPr>
          <w:rFonts w:cs="ITCFranklinGothicStd-Book"/>
          <w:sz w:val="24"/>
          <w:szCs w:val="24"/>
        </w:rPr>
        <w:t xml:space="preserve">  </w:t>
      </w:r>
      <w:r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w:t>
      </w:r>
      <w:r w:rsidR="00120831">
        <w:rPr>
          <w:rFonts w:eastAsiaTheme="minorHAnsi" w:cs="Adobe Garamond Pro"/>
          <w:color w:val="000000"/>
          <w:sz w:val="24"/>
          <w:szCs w:val="24"/>
        </w:rPr>
        <w:t>l</w:t>
      </w:r>
      <w:r w:rsidRPr="00C67283">
        <w:rPr>
          <w:rFonts w:eastAsiaTheme="minorHAnsi" w:cs="Adobe Garamond Pro"/>
          <w:color w:val="000000"/>
          <w:sz w:val="24"/>
          <w:szCs w:val="24"/>
        </w:rPr>
        <w:t>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CF1DC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w:t>
      </w:r>
      <w:r w:rsidRPr="00C67283">
        <w:rPr>
          <w:rFonts w:eastAsiaTheme="minorHAnsi" w:cs="Adobe Garamond Pro"/>
          <w:color w:val="000000"/>
          <w:sz w:val="24"/>
          <w:szCs w:val="24"/>
        </w:rPr>
        <w:t>als</w:t>
      </w:r>
      <w:r w:rsidRPr="00C67283">
        <w:rPr>
          <w:rFonts w:eastAsiaTheme="minorHAnsi" w:cs="Adobe Garamond Pro"/>
          <w:color w:val="000000"/>
          <w:sz w:val="24"/>
          <w:szCs w:val="24"/>
        </w:rPr>
        <w:t xml:space="preserve">) to identify cases that are not included in the national administrative databases. This approach allows patients to self-identify </w:t>
      </w:r>
      <w:r w:rsidRPr="00C67283">
        <w:rPr>
          <w:rFonts w:eastAsiaTheme="minorHAnsi" w:cs="Adobe Garamond Pro"/>
          <w:color w:val="000000"/>
          <w:sz w:val="24"/>
          <w:szCs w:val="24"/>
        </w:rPr>
        <w:t>and enroll in the National ALS Registry if screening criteria are met. An additional advantage of this approach is those who self-enroll in the Registry can take brief surveys that are used to evaluate possible risk factors for ALS.</w:t>
      </w:r>
      <w:r w:rsidR="00CF1DC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Information is merged into a single record for each person. Merging records for persons identified as having ALS from the administrative databases with those persons who enrolled in the National ALS Registry web portal creates a unique record after data are de-duplicated by using a combination of the last five digits of the person’s Social Security number, sex, month and year of birth, and first and last name. This process ensures that persons who are identified in both the administrative databases and the web portal, and those who have records in multiple years, are not counted twice. </w:t>
      </w:r>
    </w:p>
    <w:p w:rsidR="00001F13" w:rsidRPr="00C67283" w:rsidP="00FA68CD" w14:paraId="57F51346" w14:textId="77777777">
      <w:pPr>
        <w:autoSpaceDE w:val="0"/>
        <w:autoSpaceDN w:val="0"/>
        <w:adjustRightInd w:val="0"/>
        <w:spacing w:line="276" w:lineRule="auto"/>
        <w:rPr>
          <w:rFonts w:eastAsiaTheme="minorHAnsi" w:cs="Adobe Garamond Pro"/>
          <w:color w:val="000000"/>
          <w:sz w:val="24"/>
          <w:szCs w:val="24"/>
        </w:rPr>
      </w:pPr>
    </w:p>
    <w:p w:rsidR="00001F13" w:rsidRPr="00C67283" w:rsidP="00FA68CD" w14:paraId="6FF14516" w14:textId="166BBA90">
      <w:pPr>
        <w:autoSpaceDE w:val="0"/>
        <w:autoSpaceDN w:val="0"/>
        <w:adjustRightInd w:val="0"/>
        <w:spacing w:line="276" w:lineRule="auto"/>
        <w:rPr>
          <w:rFonts w:eastAsiaTheme="minorHAnsi" w:cs="Adobe Garamond Pro"/>
          <w:color w:val="000000"/>
          <w:sz w:val="24"/>
          <w:szCs w:val="24"/>
        </w:rPr>
      </w:pPr>
      <w:r w:rsidRPr="00264D5D">
        <w:rPr>
          <w:sz w:val="24"/>
          <w:szCs w:val="24"/>
        </w:rPr>
        <w:t>In April 2022, the sixth annual estimate of ALS prevalence for the entire United States was published in the Amyotrophic Lateral Sclerosis and Frontotemporal Degeneration journal (ALS FTD). The analysis shows that during January 1-December 31, 201</w:t>
      </w:r>
      <w:r>
        <w:rPr>
          <w:sz w:val="24"/>
          <w:szCs w:val="24"/>
        </w:rPr>
        <w:t>7</w:t>
      </w:r>
      <w:r w:rsidRPr="00264D5D">
        <w:rPr>
          <w:sz w:val="24"/>
          <w:szCs w:val="24"/>
        </w:rPr>
        <w:t xml:space="preserve">, a total of </w:t>
      </w:r>
      <w:r>
        <w:rPr>
          <w:sz w:val="24"/>
          <w:szCs w:val="24"/>
        </w:rPr>
        <w:t>17</w:t>
      </w:r>
      <w:r w:rsidRPr="00264D5D">
        <w:rPr>
          <w:sz w:val="24"/>
          <w:szCs w:val="24"/>
        </w:rPr>
        <w:t>,</w:t>
      </w:r>
      <w:r>
        <w:rPr>
          <w:sz w:val="24"/>
          <w:szCs w:val="24"/>
        </w:rPr>
        <w:t>800</w:t>
      </w:r>
      <w:r w:rsidRPr="00264D5D">
        <w:rPr>
          <w:sz w:val="24"/>
          <w:szCs w:val="24"/>
        </w:rPr>
        <w:t xml:space="preserve"> persons meeting the surveillance case definition of definite ALS were identified by the Registry, for a prevalence of 5.</w:t>
      </w:r>
      <w:r>
        <w:rPr>
          <w:sz w:val="24"/>
          <w:szCs w:val="24"/>
        </w:rPr>
        <w:t>5</w:t>
      </w:r>
      <w:r w:rsidRPr="00264D5D">
        <w:rPr>
          <w:sz w:val="24"/>
          <w:szCs w:val="24"/>
        </w:rPr>
        <w:t xml:space="preserve"> cases of ALS per 100,000 persons in the U.S. general population. </w:t>
      </w:r>
      <w:r>
        <w:rPr>
          <w:sz w:val="24"/>
          <w:szCs w:val="24"/>
        </w:rPr>
        <w:t xml:space="preserve">In addition to the Registry’s current data sources, the capture-recapture methodology was applied to this report. Capture-recapture is a well-established statistical methodology used to estimate the percentage of missing cases. Using this methodology, 24,821 additional ALS cases (prevalence of 7.7 per 100,000) were identified, leading to a total of 31,843 cases of ALS (prevalence of 9.9 per 100,000) in the United States in 2017. </w:t>
      </w:r>
      <w:r w:rsidRPr="0026468A">
        <w:rPr>
          <w:rFonts w:eastAsiaTheme="minorHAnsi" w:cs="Adobe Garamond Pro"/>
          <w:color w:val="000000"/>
          <w:sz w:val="24"/>
          <w:szCs w:val="24"/>
        </w:rPr>
        <w:t xml:space="preserve">Since the inception of the Registry, the pattern of characteristics (e.g., age, sex, and race/ethnicity) among persons with ALS have remained unchanged. Overall, ALS was more common among whites, males, and persons aged 60–69 years. The age groups with the lowest number of ALS cases were persons aged 18–39 years and those aged ≥80 years. Males had a higher prevalence rate of ALS than females overall and across all data sources. These findings remained consistent during October 2010–December </w:t>
      </w:r>
      <w:r w:rsidRPr="0026468A" w:rsidR="0026468A">
        <w:rPr>
          <w:rFonts w:eastAsiaTheme="minorHAnsi" w:cs="Adobe Garamond Pro"/>
          <w:color w:val="000000"/>
          <w:sz w:val="24"/>
          <w:szCs w:val="24"/>
        </w:rPr>
        <w:t>201</w:t>
      </w:r>
      <w:r w:rsidR="00062B4E">
        <w:rPr>
          <w:rFonts w:eastAsiaTheme="minorHAnsi" w:cs="Adobe Garamond Pro"/>
          <w:color w:val="000000"/>
          <w:sz w:val="24"/>
          <w:szCs w:val="24"/>
        </w:rPr>
        <w:t>7</w:t>
      </w:r>
      <w:r w:rsidRPr="0026468A" w:rsidR="0026468A">
        <w:rPr>
          <w:rFonts w:eastAsiaTheme="minorHAnsi" w:cs="Adobe Garamond Pro"/>
          <w:color w:val="000000"/>
          <w:sz w:val="24"/>
          <w:szCs w:val="24"/>
        </w:rPr>
        <w:t>.</w:t>
      </w:r>
    </w:p>
    <w:p w:rsidR="00001F13" w:rsidRPr="00C67283" w:rsidP="00FA68CD" w14:paraId="15F442F9" w14:textId="77777777">
      <w:pPr>
        <w:autoSpaceDE w:val="0"/>
        <w:autoSpaceDN w:val="0"/>
        <w:adjustRightInd w:val="0"/>
        <w:spacing w:line="276" w:lineRule="auto"/>
        <w:rPr>
          <w:rFonts w:eastAsiaTheme="minorHAnsi" w:cs="Adobe Garamond Pro"/>
          <w:color w:val="000000"/>
          <w:sz w:val="24"/>
          <w:szCs w:val="24"/>
        </w:rPr>
      </w:pPr>
    </w:p>
    <w:p w:rsidR="00001F13" w:rsidP="00FA68CD" w14:paraId="56BA062C" w14:textId="153DA462">
      <w:pPr>
        <w:autoSpaceDE w:val="0"/>
        <w:autoSpaceDN w:val="0"/>
        <w:adjustRightInd w:val="0"/>
        <w:spacing w:line="276" w:lineRule="auto"/>
        <w:rPr>
          <w:rFonts w:eastAsiaTheme="minorHAnsi" w:cs="Adobe Garamond Pro"/>
          <w:color w:val="000000"/>
          <w:sz w:val="24"/>
          <w:szCs w:val="24"/>
        </w:rPr>
      </w:pPr>
      <w:r w:rsidRPr="00C67283">
        <w:rPr>
          <w:rFonts w:eastAsiaTheme="minorHAnsi" w:cs="Adobe Garamond Pro"/>
          <w:color w:val="000000"/>
          <w:sz w:val="24"/>
          <w:szCs w:val="24"/>
        </w:rPr>
        <w:t>Per the terms of clearance, the following limitations were included in the MMWR:</w:t>
      </w:r>
    </w:p>
    <w:p w:rsidR="00D7227B" w:rsidRPr="00C67283" w:rsidP="00D7227B" w14:paraId="78D81160" w14:textId="1111D63C">
      <w:pPr>
        <w:autoSpaceDE w:val="0"/>
        <w:autoSpaceDN w:val="0"/>
        <w:adjustRightInd w:val="0"/>
        <w:spacing w:line="276" w:lineRule="auto"/>
        <w:ind w:left="720"/>
        <w:rPr>
          <w:rFonts w:eastAsiaTheme="minorHAnsi" w:cs="Adobe Garamond Pro"/>
          <w:color w:val="000000"/>
          <w:sz w:val="24"/>
          <w:szCs w:val="24"/>
        </w:rPr>
      </w:pPr>
      <w:r>
        <w:rPr>
          <w:rFonts w:eastAsiaTheme="minorHAnsi" w:cs="Adobe Garamond Pro"/>
          <w:color w:val="000000"/>
          <w:sz w:val="24"/>
          <w:szCs w:val="24"/>
        </w:rPr>
        <w:t>“</w:t>
      </w:r>
      <w:r w:rsidRPr="00D7227B">
        <w:rPr>
          <w:rFonts w:eastAsiaTheme="minorHAnsi" w:cs="Adobe Garamond Pro"/>
          <w:color w:val="000000"/>
          <w:sz w:val="24"/>
          <w:szCs w:val="24"/>
        </w:rPr>
        <w:t xml:space="preserve">The findings in this report are subject to at least three limitations. First, because ALS continues to be a non-notifiable disease, it is challenging to ensure that all newly diagnosed and prevalent ALS cases in the United States are captured in the Registry and, therefore, the possibility of under-ascertainment exists. Even with notifiable conditions such as communicable infections, under-ascertainment exists and, in general, even the </w:t>
      </w:r>
      <w:r w:rsidRPr="00D7227B">
        <w:rPr>
          <w:rFonts w:eastAsiaTheme="minorHAnsi" w:cs="Adobe Garamond Pro"/>
          <w:color w:val="000000"/>
          <w:sz w:val="24"/>
          <w:szCs w:val="24"/>
        </w:rPr>
        <w:t>best surveillance system will not be able to identify all cases. Second, although every attempt was made to de-duplicate the files using the established algorithm, differences in fields collected by the different sources, misspellings of names, and data entry errors could have prevented records from merging correctly. However, it is unlikely that this occurred in numbers sufficient to affect the overall conclusions or in a differential manner that affected conclusions. Finally, without personally identifiable information including name, date of birth, age, or sex, the Registry is currently unable to match cases from private insurance with national administrative datasets.</w:t>
      </w:r>
      <w:r>
        <w:rPr>
          <w:rFonts w:eastAsiaTheme="minorHAnsi" w:cs="Adobe Garamond Pro"/>
          <w:color w:val="000000"/>
          <w:sz w:val="24"/>
          <w:szCs w:val="24"/>
        </w:rPr>
        <w:t>”</w:t>
      </w:r>
    </w:p>
    <w:p w:rsidR="00EF0B5A" w:rsidP="00001F13" w14:paraId="1D25A887" w14:textId="2997E55B">
      <w:pPr>
        <w:pStyle w:val="Heading1"/>
        <w:pBdr>
          <w:bottom w:val="none" w:sz="0" w:space="0" w:color="auto"/>
        </w:pBdr>
      </w:pPr>
      <w:bookmarkStart w:id="3" w:name="_Toc121937003"/>
      <w:r w:rsidRPr="00E707C0">
        <w:rPr>
          <w:rFonts w:ascii="Cambria" w:hAnsi="Cambria"/>
          <w:color w:val="auto"/>
        </w:rPr>
        <w:t>B.</w:t>
      </w:r>
      <w:r w:rsidRPr="00E707C0" w:rsidR="00B45002">
        <w:rPr>
          <w:rFonts w:ascii="Cambria" w:hAnsi="Cambria"/>
          <w:color w:val="auto"/>
        </w:rPr>
        <w:t>2.</w:t>
      </w:r>
      <w:r w:rsidR="00482222">
        <w:rPr>
          <w:rFonts w:ascii="Cambria" w:hAnsi="Cambria"/>
          <w:color w:val="auto"/>
        </w:rPr>
        <w:t xml:space="preserve"> </w:t>
      </w:r>
      <w:r w:rsidRPr="00E707C0" w:rsidR="00B45002">
        <w:rPr>
          <w:rFonts w:ascii="Cambria" w:hAnsi="Cambria"/>
          <w:color w:val="auto"/>
        </w:rPr>
        <w:t>Procedures for the Collection of Information</w:t>
      </w:r>
      <w:bookmarkEnd w:id="3"/>
    </w:p>
    <w:p w:rsidR="00BE49B6" w:rsidRPr="00D22B20" w:rsidP="00225DA9" w14:paraId="5A454FB0" w14:textId="3B7E2E3E">
      <w:pPr>
        <w:spacing w:before="240" w:line="276" w:lineRule="auto"/>
        <w:rPr>
          <w:sz w:val="24"/>
          <w:szCs w:val="24"/>
        </w:rPr>
      </w:pPr>
      <w:r w:rsidRPr="00BE49B6">
        <w:rPr>
          <w:color w:val="000000"/>
          <w:sz w:val="24"/>
          <w:szCs w:val="24"/>
        </w:rPr>
        <w:t xml:space="preserve">ALS patients will be allowed to voluntarily register for the </w:t>
      </w:r>
      <w:r w:rsidR="00913E9F">
        <w:rPr>
          <w:color w:val="000000"/>
          <w:sz w:val="24"/>
          <w:szCs w:val="24"/>
        </w:rPr>
        <w:t>R</w:t>
      </w:r>
      <w:r w:rsidRPr="00BE49B6">
        <w:rPr>
          <w:color w:val="000000"/>
          <w:sz w:val="24"/>
          <w:szCs w:val="24"/>
        </w:rPr>
        <w:t xml:space="preserve">egistry. Case status will be validated using six questions standardized by the Veterans Administration and shown to correctly identify cases 93% of the </w:t>
      </w:r>
      <w:r w:rsidRPr="00D22B20">
        <w:rPr>
          <w:color w:val="000000"/>
          <w:sz w:val="24"/>
          <w:szCs w:val="24"/>
        </w:rPr>
        <w:t>time (</w:t>
      </w:r>
      <w:r w:rsidR="007E05B4">
        <w:rPr>
          <w:color w:val="000000"/>
          <w:sz w:val="24"/>
          <w:szCs w:val="24"/>
        </w:rPr>
        <w:t>Appendix B</w:t>
      </w:r>
      <w:r w:rsidRPr="00D22B20">
        <w:rPr>
          <w:color w:val="000000"/>
          <w:sz w:val="24"/>
          <w:szCs w:val="24"/>
        </w:rPr>
        <w:t>).  Once an individual passes validation, he will be permitted to register (</w:t>
      </w:r>
      <w:r w:rsidR="007E05B4">
        <w:rPr>
          <w:color w:val="000000"/>
          <w:sz w:val="24"/>
          <w:szCs w:val="24"/>
        </w:rPr>
        <w:t>Appendix C</w:t>
      </w:r>
      <w:r w:rsidRPr="00D22B20">
        <w:rPr>
          <w:color w:val="000000"/>
          <w:sz w:val="24"/>
          <w:szCs w:val="24"/>
        </w:rPr>
        <w:t xml:space="preserve">).  </w:t>
      </w:r>
      <w:r w:rsidRPr="00D22B20">
        <w:rPr>
          <w:sz w:val="24"/>
          <w:szCs w:val="24"/>
        </w:rPr>
        <w:t>To enable the collection of additional information from registr</w:t>
      </w:r>
      <w:r w:rsidRPr="00D22B20" w:rsidR="0083397B">
        <w:rPr>
          <w:sz w:val="24"/>
          <w:szCs w:val="24"/>
        </w:rPr>
        <w:t>ants who volunteer, a series of</w:t>
      </w:r>
      <w:r w:rsidRPr="00D22B20" w:rsidR="000B39C8">
        <w:rPr>
          <w:sz w:val="24"/>
          <w:szCs w:val="24"/>
        </w:rPr>
        <w:t xml:space="preserve"> </w:t>
      </w:r>
      <w:r w:rsidRPr="00D22B20">
        <w:rPr>
          <w:sz w:val="24"/>
          <w:szCs w:val="24"/>
        </w:rPr>
        <w:t xml:space="preserve">short </w:t>
      </w:r>
      <w:r w:rsidRPr="00D22B20" w:rsidR="00BF527E">
        <w:rPr>
          <w:sz w:val="24"/>
          <w:szCs w:val="24"/>
        </w:rPr>
        <w:t xml:space="preserve">voluntary </w:t>
      </w:r>
      <w:r w:rsidRPr="00D22B20">
        <w:rPr>
          <w:sz w:val="24"/>
          <w:szCs w:val="24"/>
        </w:rPr>
        <w:t>survey modules will be available for completion via a secure web portal (</w:t>
      </w:r>
      <w:r w:rsidR="007E05B4">
        <w:rPr>
          <w:sz w:val="24"/>
          <w:szCs w:val="24"/>
        </w:rPr>
        <w:t>Appendix E</w:t>
      </w:r>
      <w:r w:rsidRPr="00D22B20">
        <w:rPr>
          <w:sz w:val="24"/>
          <w:szCs w:val="24"/>
        </w:rPr>
        <w:t>).  All surveys are designed to be answered onl</w:t>
      </w:r>
      <w:r w:rsidRPr="00D22B20" w:rsidR="00BF527E">
        <w:rPr>
          <w:sz w:val="24"/>
          <w:szCs w:val="24"/>
        </w:rPr>
        <w:t>y once except for the disease progression s</w:t>
      </w:r>
      <w:r w:rsidRPr="00D22B20">
        <w:rPr>
          <w:sz w:val="24"/>
          <w:szCs w:val="24"/>
        </w:rPr>
        <w:t xml:space="preserve">urvey </w:t>
      </w:r>
      <w:r w:rsidRPr="00D22B20" w:rsidR="00BF527E">
        <w:rPr>
          <w:sz w:val="24"/>
          <w:szCs w:val="24"/>
        </w:rPr>
        <w:t>(</w:t>
      </w:r>
      <w:r w:rsidR="007E05B4">
        <w:rPr>
          <w:sz w:val="24"/>
          <w:szCs w:val="24"/>
        </w:rPr>
        <w:t xml:space="preserve">Appendix E2 </w:t>
      </w:r>
      <w:r w:rsidRPr="00D22B20" w:rsidR="00BF527E">
        <w:rPr>
          <w:sz w:val="24"/>
          <w:szCs w:val="24"/>
        </w:rPr>
        <w:t xml:space="preserve">– ALSFRS module only) </w:t>
      </w:r>
      <w:r w:rsidRPr="00D22B20">
        <w:rPr>
          <w:sz w:val="24"/>
          <w:szCs w:val="24"/>
        </w:rPr>
        <w:t xml:space="preserve">which can be answered </w:t>
      </w:r>
      <w:r w:rsidRPr="00D22B20" w:rsidR="00286C60">
        <w:rPr>
          <w:rFonts w:cs="ITCFranklinGothicStd-Book"/>
          <w:sz w:val="24"/>
          <w:szCs w:val="24"/>
        </w:rPr>
        <w:t>three times the first year and twice a year thereafter (rounded up to 3 times per year for burden estimation</w:t>
      </w:r>
      <w:r w:rsidR="007E05B4">
        <w:rPr>
          <w:rFonts w:cs="ITCFranklinGothicStd-Book"/>
          <w:sz w:val="24"/>
          <w:szCs w:val="24"/>
        </w:rPr>
        <w:t xml:space="preserve">). </w:t>
      </w:r>
      <w:r w:rsidRPr="00D22B20">
        <w:rPr>
          <w:sz w:val="24"/>
          <w:szCs w:val="24"/>
        </w:rPr>
        <w:t xml:space="preserve">It is anticipated that most participants would complete the </w:t>
      </w:r>
      <w:r w:rsidRPr="00D22B20" w:rsidR="00BF527E">
        <w:rPr>
          <w:sz w:val="24"/>
          <w:szCs w:val="24"/>
        </w:rPr>
        <w:t xml:space="preserve">disease progression survey </w:t>
      </w:r>
      <w:r w:rsidRPr="00D22B20">
        <w:rPr>
          <w:sz w:val="24"/>
          <w:szCs w:val="24"/>
        </w:rPr>
        <w:t xml:space="preserve">3-4 times at most because the average life expectancy of an individual diagnosed with ALS is 2-3 years and the disease is quite debilitating. For the </w:t>
      </w:r>
      <w:r w:rsidRPr="00D22B20" w:rsidR="00BF527E">
        <w:rPr>
          <w:sz w:val="24"/>
          <w:szCs w:val="24"/>
        </w:rPr>
        <w:t xml:space="preserve">disease progression survey </w:t>
      </w:r>
      <w:r w:rsidRPr="00D22B20">
        <w:rPr>
          <w:sz w:val="24"/>
          <w:szCs w:val="24"/>
        </w:rPr>
        <w:t>we will use the ALS Functional Rating Scale-Revised (ALSFRS-R)</w:t>
      </w:r>
      <w:r w:rsidRPr="00D22B20" w:rsidR="00DE362E">
        <w:rPr>
          <w:sz w:val="24"/>
          <w:szCs w:val="24"/>
        </w:rPr>
        <w:t xml:space="preserve"> (</w:t>
      </w:r>
      <w:r w:rsidR="00B356DD">
        <w:rPr>
          <w:sz w:val="24"/>
          <w:szCs w:val="24"/>
        </w:rPr>
        <w:t>Appendix E2</w:t>
      </w:r>
      <w:r w:rsidRPr="00D22B20" w:rsidR="00BF527E">
        <w:rPr>
          <w:sz w:val="24"/>
          <w:szCs w:val="24"/>
        </w:rPr>
        <w:t xml:space="preserve"> – ALSFRS module only</w:t>
      </w:r>
      <w:r w:rsidRPr="00D22B20" w:rsidR="00DE362E">
        <w:rPr>
          <w:sz w:val="24"/>
          <w:szCs w:val="24"/>
        </w:rPr>
        <w:t>)</w:t>
      </w:r>
      <w:r w:rsidRPr="00D22B20">
        <w:rPr>
          <w:sz w:val="24"/>
          <w:szCs w:val="24"/>
        </w:rPr>
        <w:t>, a standard set of questions used by physicians to measure function overtime.  Researchers have developed and tested a self-administered version of the ALSFRS-R which showed excellent reliability to change over time.  This test is scored in a standard fashion (</w:t>
      </w:r>
      <w:r w:rsidR="00B356DD">
        <w:rPr>
          <w:sz w:val="24"/>
          <w:szCs w:val="24"/>
        </w:rPr>
        <w:t>Appendix E2</w:t>
      </w:r>
      <w:r w:rsidRPr="00D22B20">
        <w:rPr>
          <w:sz w:val="24"/>
          <w:szCs w:val="24"/>
        </w:rPr>
        <w:t>)</w:t>
      </w:r>
      <w:r w:rsidRPr="00D22B20" w:rsidR="003305CC">
        <w:rPr>
          <w:sz w:val="24"/>
          <w:szCs w:val="24"/>
        </w:rPr>
        <w:t>.</w:t>
      </w:r>
      <w:r w:rsidRPr="00D22B20">
        <w:rPr>
          <w:sz w:val="24"/>
          <w:szCs w:val="24"/>
        </w:rPr>
        <w:t xml:space="preserve"> </w:t>
      </w:r>
    </w:p>
    <w:p w:rsidR="00727BD6" w:rsidRPr="001C1A3C" w:rsidP="00225DA9" w14:paraId="407E0646" w14:textId="7D549AD6">
      <w:pPr>
        <w:spacing w:line="276" w:lineRule="auto"/>
        <w:rPr>
          <w:sz w:val="24"/>
          <w:szCs w:val="24"/>
        </w:rPr>
      </w:pPr>
      <w:r w:rsidRPr="001C1A3C">
        <w:rPr>
          <w:sz w:val="24"/>
          <w:szCs w:val="24"/>
        </w:rPr>
        <w:t xml:space="preserve">Individuals will be consented prior to registering with the National ALS Registry and completing any survey modules.  Participants will not be contacted to take surveys.  For all </w:t>
      </w:r>
      <w:r w:rsidRPr="001C1A3C" w:rsidR="008E4AC8">
        <w:rPr>
          <w:sz w:val="24"/>
          <w:szCs w:val="24"/>
        </w:rPr>
        <w:t>surveys,</w:t>
      </w:r>
      <w:r w:rsidRPr="001C1A3C">
        <w:rPr>
          <w:sz w:val="24"/>
          <w:szCs w:val="24"/>
        </w:rPr>
        <w:t xml:space="preserve"> the individual will have to visit the website and log in to his/her personal account.  Th</w:t>
      </w:r>
      <w:r w:rsidRPr="001C1A3C" w:rsidR="008E4AC8">
        <w:rPr>
          <w:sz w:val="24"/>
          <w:szCs w:val="24"/>
        </w:rPr>
        <w:t>erefore, if a participant does no</w:t>
      </w:r>
      <w:r w:rsidRPr="001C1A3C">
        <w:rPr>
          <w:sz w:val="24"/>
          <w:szCs w:val="24"/>
        </w:rPr>
        <w:t>t want to take part any longer, he/she just doesn’t log in to the system.</w:t>
      </w:r>
    </w:p>
    <w:p w:rsidR="00727BD6" w:rsidRPr="001C1A3C" w:rsidP="00225DA9" w14:paraId="759E1822" w14:textId="200BAE45">
      <w:pPr>
        <w:spacing w:line="276" w:lineRule="auto"/>
        <w:rPr>
          <w:sz w:val="24"/>
          <w:szCs w:val="24"/>
        </w:rPr>
      </w:pPr>
      <w:r w:rsidRPr="001C1A3C">
        <w:rPr>
          <w:rFonts w:cs="ITCFranklinGothicStd-Book"/>
          <w:sz w:val="24"/>
          <w:szCs w:val="24"/>
        </w:rPr>
        <w:t xml:space="preserve">In addition to fulfilling the two-part Congressional mandate, the Registry is designed to be a tool for ALS researchers.  Now that the Registry has matured, ATSDR will make data and specimens available to approved researchers. </w:t>
      </w:r>
      <w:r w:rsidRPr="001C1A3C">
        <w:rPr>
          <w:color w:val="000000"/>
          <w:sz w:val="24"/>
          <w:szCs w:val="24"/>
        </w:rPr>
        <w:t xml:space="preserve">A respondent type was added to allow </w:t>
      </w:r>
      <w:r w:rsidRPr="001C1A3C">
        <w:rPr>
          <w:color w:val="000000"/>
          <w:sz w:val="24"/>
          <w:szCs w:val="24"/>
        </w:rPr>
        <w:t>researchers to access data and specimens collected by the Registry (</w:t>
      </w:r>
      <w:r w:rsidR="007E05B4">
        <w:rPr>
          <w:color w:val="000000"/>
          <w:sz w:val="24"/>
          <w:szCs w:val="24"/>
        </w:rPr>
        <w:t>Appendix M1 and M2).</w:t>
      </w:r>
      <w:r w:rsidRPr="001C1A3C">
        <w:rPr>
          <w:color w:val="000000"/>
          <w:sz w:val="24"/>
          <w:szCs w:val="24"/>
        </w:rPr>
        <w:t xml:space="preserve"> </w:t>
      </w:r>
      <w:r w:rsidRPr="001C1A3C" w:rsidR="00A97A5B">
        <w:rPr>
          <w:color w:val="000000"/>
          <w:sz w:val="24"/>
          <w:szCs w:val="24"/>
        </w:rPr>
        <w:t xml:space="preserve">For those who agree to participate in the </w:t>
      </w:r>
      <w:r w:rsidRPr="001C1A3C" w:rsidR="00F5080B">
        <w:rPr>
          <w:color w:val="000000"/>
          <w:sz w:val="24"/>
          <w:szCs w:val="24"/>
        </w:rPr>
        <w:t xml:space="preserve">in-home portion of the </w:t>
      </w:r>
      <w:r w:rsidRPr="001C1A3C" w:rsidR="00A97A5B">
        <w:rPr>
          <w:color w:val="000000"/>
          <w:sz w:val="24"/>
          <w:szCs w:val="24"/>
        </w:rPr>
        <w:t>biorepository, we will schedule an appointment for a trained phlebotomist to come to their homes at a convenient time to collect the specimens</w:t>
      </w:r>
      <w:r w:rsidRPr="001C1A3C" w:rsidR="0013503C">
        <w:rPr>
          <w:color w:val="000000"/>
          <w:sz w:val="24"/>
          <w:szCs w:val="24"/>
        </w:rPr>
        <w:t xml:space="preserve"> (</w:t>
      </w:r>
      <w:r w:rsidR="007E05B4">
        <w:rPr>
          <w:color w:val="000000"/>
          <w:sz w:val="24"/>
          <w:szCs w:val="24"/>
        </w:rPr>
        <w:t>Appendix S.A-1)</w:t>
      </w:r>
      <w:r w:rsidRPr="001C1A3C" w:rsidR="00A97A5B">
        <w:rPr>
          <w:color w:val="000000"/>
          <w:sz w:val="24"/>
          <w:szCs w:val="24"/>
        </w:rPr>
        <w:t xml:space="preserve">.  Because we have to get specimens to the lab the next day, appointments are only scheduled Monday through Thursday at a time that would allow the phlebotomist to deliver the specimens to a FedEx facility for next day shipping.  </w:t>
      </w:r>
      <w:r w:rsidRPr="001C1A3C" w:rsidR="00F5080B">
        <w:rPr>
          <w:color w:val="000000"/>
          <w:sz w:val="24"/>
          <w:szCs w:val="24"/>
        </w:rPr>
        <w:t>For those who agree to provide a saliva specimen, we will mail them a self-collection kit with instructions for the collection and pre-paid postage to return the kit to the laboratory</w:t>
      </w:r>
      <w:r w:rsidRPr="001C1A3C" w:rsidR="00357163">
        <w:rPr>
          <w:color w:val="000000"/>
          <w:sz w:val="24"/>
          <w:szCs w:val="24"/>
        </w:rPr>
        <w:t xml:space="preserve"> (</w:t>
      </w:r>
      <w:r w:rsidR="007E05B4">
        <w:rPr>
          <w:color w:val="000000"/>
          <w:sz w:val="24"/>
          <w:szCs w:val="24"/>
        </w:rPr>
        <w:t>Appendix</w:t>
      </w:r>
      <w:r w:rsidR="004B101C">
        <w:rPr>
          <w:color w:val="000000"/>
          <w:sz w:val="24"/>
          <w:szCs w:val="24"/>
        </w:rPr>
        <w:t xml:space="preserve"> S.A-2)</w:t>
      </w:r>
      <w:r w:rsidRPr="001C1A3C" w:rsidR="00F5080B">
        <w:rPr>
          <w:color w:val="000000"/>
          <w:sz w:val="24"/>
          <w:szCs w:val="24"/>
        </w:rPr>
        <w:t xml:space="preserve">.  </w:t>
      </w:r>
      <w:r w:rsidRPr="001C1A3C">
        <w:rPr>
          <w:sz w:val="24"/>
          <w:szCs w:val="24"/>
        </w:rPr>
        <w:t xml:space="preserve">In addition, </w:t>
      </w:r>
      <w:r w:rsidRPr="001C1A3C">
        <w:rPr>
          <w:rFonts w:cs="Courier New"/>
          <w:sz w:val="24"/>
          <w:szCs w:val="24"/>
        </w:rPr>
        <w:t xml:space="preserve">ATSDR is also collaborating with ALS service organizations to conduct outreach activities through their local chapters and districts as well as on a national level. ATSDR will collect summary information on their outreach efforts in support of the Registry </w:t>
      </w:r>
      <w:r w:rsidRPr="001C1A3C">
        <w:rPr>
          <w:color w:val="000000"/>
          <w:sz w:val="24"/>
          <w:szCs w:val="24"/>
        </w:rPr>
        <w:t xml:space="preserve">(Attachment </w:t>
      </w:r>
      <w:r w:rsidR="00FA1631">
        <w:rPr>
          <w:color w:val="000000"/>
          <w:sz w:val="24"/>
          <w:szCs w:val="24"/>
        </w:rPr>
        <w:t>6</w:t>
      </w:r>
      <w:r w:rsidRPr="001C1A3C">
        <w:rPr>
          <w:color w:val="000000"/>
          <w:sz w:val="24"/>
          <w:szCs w:val="24"/>
        </w:rPr>
        <w:t xml:space="preserve">A and </w:t>
      </w:r>
      <w:r w:rsidR="00FA1631">
        <w:rPr>
          <w:color w:val="000000"/>
          <w:sz w:val="24"/>
          <w:szCs w:val="24"/>
        </w:rPr>
        <w:t>6</w:t>
      </w:r>
      <w:r w:rsidRPr="001C1A3C">
        <w:rPr>
          <w:color w:val="000000"/>
          <w:sz w:val="24"/>
          <w:szCs w:val="24"/>
        </w:rPr>
        <w:t xml:space="preserve">B).  </w:t>
      </w:r>
    </w:p>
    <w:p w:rsidR="00B45002" w:rsidRPr="00E707C0" w:rsidP="008D0F27" w14:paraId="7C5431E7" w14:textId="7C3E2455">
      <w:pPr>
        <w:pStyle w:val="Heading1"/>
        <w:pBdr>
          <w:bottom w:val="none" w:sz="0" w:space="0" w:color="auto"/>
        </w:pBdr>
        <w:rPr>
          <w:rFonts w:ascii="Cambria" w:hAnsi="Cambria"/>
          <w:color w:val="auto"/>
        </w:rPr>
      </w:pPr>
      <w:bookmarkStart w:id="4" w:name="_Toc121937004"/>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EF0B5A" w:rsidP="00841C00" w14:paraId="48BEFA91" w14:textId="77777777">
      <w:pPr>
        <w:spacing w:line="240" w:lineRule="auto"/>
        <w:rPr>
          <w:sz w:val="24"/>
          <w:szCs w:val="24"/>
        </w:rPr>
      </w:pPr>
    </w:p>
    <w:p w:rsidR="00841C00" w:rsidRPr="00841C00" w:rsidP="00225DA9" w14:paraId="2CE08336" w14:textId="03E9FF4E">
      <w:pPr>
        <w:spacing w:line="276" w:lineRule="auto"/>
        <w:rPr>
          <w:sz w:val="24"/>
          <w:szCs w:val="24"/>
        </w:rPr>
      </w:pPr>
      <w:r w:rsidRPr="00841C00">
        <w:rPr>
          <w:sz w:val="24"/>
          <w:szCs w:val="24"/>
        </w:rPr>
        <w:t xml:space="preserve">There is not a method to deal with non-response to joining the National ALS Registry because it is unknown who has ALS.  </w:t>
      </w:r>
      <w:r w:rsidRPr="00A126DE" w:rsidR="00747A29">
        <w:rPr>
          <w:rFonts w:cs="ITCFranklinGothicStd-Book"/>
          <w:sz w:val="24"/>
          <w:szCs w:val="24"/>
        </w:rPr>
        <w:t xml:space="preserve">ATSDR has used a multi-pronged approach for publicizing the existence of the </w:t>
      </w:r>
      <w:r w:rsidR="00913E9F">
        <w:rPr>
          <w:rFonts w:cs="ITCFranklinGothicStd-Book"/>
          <w:sz w:val="24"/>
          <w:szCs w:val="24"/>
        </w:rPr>
        <w:t>R</w:t>
      </w:r>
      <w:r w:rsidRPr="00A126DE" w:rsidR="00747A29">
        <w:rPr>
          <w:rFonts w:cs="ITCFranklinGothicStd-Book"/>
          <w:sz w:val="24"/>
          <w:szCs w:val="24"/>
        </w:rPr>
        <w:t xml:space="preserve">egistry.   First, ATSDR promoted the information on their ALS website </w:t>
      </w:r>
      <w:hyperlink r:id="rId6" w:history="1">
        <w:r w:rsidRPr="00A126DE" w:rsidR="00747A29">
          <w:rPr>
            <w:rStyle w:val="Hyperlink"/>
            <w:rFonts w:cs="ITCFranklinGothicStd-Book"/>
            <w:sz w:val="24"/>
            <w:szCs w:val="24"/>
          </w:rPr>
          <w:t>www.cdc.gov/als</w:t>
        </w:r>
      </w:hyperlink>
      <w:r w:rsidRPr="00A126DE" w:rsidR="00747A29">
        <w:rPr>
          <w:rFonts w:cs="ITCFranklinGothicStd-Book"/>
          <w:sz w:val="24"/>
          <w:szCs w:val="24"/>
        </w:rPr>
        <w:t xml:space="preserve">.  Second, ATSDR worked with </w:t>
      </w:r>
      <w:r w:rsidR="0013638C">
        <w:rPr>
          <w:rFonts w:cs="ITCFranklinGothicStd-Book"/>
          <w:sz w:val="24"/>
          <w:szCs w:val="24"/>
        </w:rPr>
        <w:t>three</w:t>
      </w:r>
      <w:r w:rsidRPr="00A126DE" w:rsidR="00747A29">
        <w:rPr>
          <w:rFonts w:cs="ITCFranklinGothicStd-Book"/>
          <w:sz w:val="24"/>
          <w:szCs w:val="24"/>
        </w:rPr>
        <w:t xml:space="preserve"> advocacy groups, the ALS Association (ALSA)</w:t>
      </w:r>
      <w:r w:rsidR="0013638C">
        <w:rPr>
          <w:rFonts w:cs="ITCFranklinGothicStd-Book"/>
          <w:sz w:val="24"/>
          <w:szCs w:val="24"/>
        </w:rPr>
        <w:t xml:space="preserve">, </w:t>
      </w:r>
      <w:r w:rsidRPr="00A126DE" w:rsidR="00747A29">
        <w:rPr>
          <w:rFonts w:cs="ITCFranklinGothicStd-Book"/>
          <w:sz w:val="24"/>
          <w:szCs w:val="24"/>
        </w:rPr>
        <w:t>the Muscular Dystrophy Association (MDA), ALS Division,</w:t>
      </w:r>
      <w:r w:rsidR="0013638C">
        <w:rPr>
          <w:rFonts w:cs="ITCFranklinGothicStd-Book"/>
          <w:sz w:val="24"/>
          <w:szCs w:val="24"/>
        </w:rPr>
        <w:t xml:space="preserve"> and the Les Turner ALS Foundation</w:t>
      </w:r>
      <w:r w:rsidRPr="00A126DE" w:rsidR="00747A29">
        <w:rPr>
          <w:rFonts w:cs="ITCFranklinGothicStd-Book"/>
          <w:sz w:val="24"/>
          <w:szCs w:val="24"/>
        </w:rPr>
        <w:t xml:space="preserve"> to promote the </w:t>
      </w:r>
      <w:r w:rsidR="00913E9F">
        <w:rPr>
          <w:rFonts w:cs="ITCFranklinGothicStd-Book"/>
          <w:sz w:val="24"/>
          <w:szCs w:val="24"/>
        </w:rPr>
        <w:t>R</w:t>
      </w:r>
      <w:r w:rsidRPr="00A126DE" w:rsidR="00747A29">
        <w:rPr>
          <w:rFonts w:cs="ITCFranklinGothicStd-Book"/>
          <w:sz w:val="24"/>
          <w:szCs w:val="24"/>
        </w:rPr>
        <w:t xml:space="preserve">egistry with their constituents and on their respective websites </w:t>
      </w:r>
      <w:hyperlink r:id="rId7" w:history="1">
        <w:r w:rsidRPr="00A126DE" w:rsidR="00747A29">
          <w:rPr>
            <w:rStyle w:val="Hyperlink"/>
            <w:rFonts w:cs="ITCFranklinGothicStd-Book"/>
            <w:sz w:val="24"/>
            <w:szCs w:val="24"/>
          </w:rPr>
          <w:t>http://www.alsa.org/research/</w:t>
        </w:r>
      </w:hyperlink>
      <w:r w:rsidRPr="00A126DE" w:rsidR="00747A29">
        <w:rPr>
          <w:rFonts w:cs="ITCFranklinGothicStd-Book"/>
          <w:sz w:val="24"/>
          <w:szCs w:val="24"/>
        </w:rPr>
        <w:t xml:space="preserve"> and </w:t>
      </w:r>
      <w:hyperlink r:id="rId8" w:history="1">
        <w:r w:rsidRPr="00A126DE" w:rsidR="00747A29">
          <w:rPr>
            <w:rStyle w:val="Hyperlink"/>
            <w:rFonts w:cs="ITCFranklinGothicStd-Book"/>
            <w:sz w:val="24"/>
            <w:szCs w:val="24"/>
          </w:rPr>
          <w:t>http://mda.org/disease/amyotrophic-lateral-sclerosis</w:t>
        </w:r>
      </w:hyperlink>
      <w:r w:rsidR="0013638C">
        <w:rPr>
          <w:rFonts w:cs="ITCFranklinGothicStd-Book"/>
          <w:sz w:val="24"/>
          <w:szCs w:val="24"/>
        </w:rPr>
        <w:t xml:space="preserve"> and</w:t>
      </w:r>
      <w:r w:rsidR="00AD244C">
        <w:rPr>
          <w:rFonts w:cs="ITCFranklinGothicStd-Book"/>
          <w:sz w:val="24"/>
          <w:szCs w:val="24"/>
        </w:rPr>
        <w:t xml:space="preserve"> </w:t>
      </w:r>
      <w:r w:rsidR="0013638C">
        <w:rPr>
          <w:rFonts w:cs="ITCFranklinGothicStd-Book"/>
          <w:sz w:val="24"/>
          <w:szCs w:val="24"/>
        </w:rPr>
        <w:t xml:space="preserve"> </w:t>
      </w:r>
      <w:hyperlink r:id="rId9" w:history="1">
        <w:r w:rsidRPr="00FA32F1" w:rsidR="00AD244C">
          <w:rPr>
            <w:rStyle w:val="Hyperlink"/>
            <w:rFonts w:cs="ITCFranklinGothicStd-Book"/>
            <w:sz w:val="24"/>
            <w:szCs w:val="24"/>
          </w:rPr>
          <w:t>https://lesturnerals.org/</w:t>
        </w:r>
      </w:hyperlink>
      <w:r w:rsidR="00AD244C">
        <w:rPr>
          <w:rFonts w:cs="ITCFranklinGothicStd-Book"/>
          <w:sz w:val="24"/>
          <w:szCs w:val="24"/>
        </w:rPr>
        <w:t xml:space="preserve">. </w:t>
      </w:r>
      <w:r w:rsidRPr="00A126DE" w:rsidR="00747A29">
        <w:rPr>
          <w:rFonts w:cs="ITCFranklinGothicStd-Book"/>
          <w:sz w:val="24"/>
          <w:szCs w:val="24"/>
        </w:rPr>
        <w:t xml:space="preserve">  </w:t>
      </w:r>
      <w:r w:rsidRPr="001D6F7B" w:rsidR="005C1335">
        <w:rPr>
          <w:rFonts w:cs="ITCFranklinGothicStd-Book"/>
          <w:sz w:val="24"/>
          <w:szCs w:val="24"/>
        </w:rPr>
        <w:t xml:space="preserve">A </w:t>
      </w:r>
      <w:r w:rsidRPr="001D6F7B" w:rsidR="00F61059">
        <w:rPr>
          <w:rFonts w:cs="ITCFranklinGothicStd-Book"/>
          <w:sz w:val="24"/>
          <w:szCs w:val="24"/>
        </w:rPr>
        <w:t xml:space="preserve">monthly </w:t>
      </w:r>
      <w:r w:rsidRPr="001D6F7B" w:rsidR="005C1335">
        <w:rPr>
          <w:rFonts w:cs="ITCFranklinGothicStd-Book"/>
          <w:sz w:val="24"/>
          <w:szCs w:val="24"/>
        </w:rPr>
        <w:t>summary of outreach activities</w:t>
      </w:r>
      <w:r w:rsidRPr="001D6F7B" w:rsidR="007A3BC9">
        <w:rPr>
          <w:rFonts w:cs="ITCFranklinGothicStd-Book"/>
          <w:sz w:val="24"/>
          <w:szCs w:val="24"/>
        </w:rPr>
        <w:t xml:space="preserve"> will be</w:t>
      </w:r>
      <w:r w:rsidRPr="001D6F7B" w:rsidR="005C1335">
        <w:rPr>
          <w:rFonts w:cs="ITCFranklinGothicStd-Book"/>
          <w:sz w:val="24"/>
          <w:szCs w:val="24"/>
        </w:rPr>
        <w:t xml:space="preserve"> provided by the chapter or districts to the national organizations (Attachment </w:t>
      </w:r>
      <w:r w:rsidR="00144FA1">
        <w:rPr>
          <w:rFonts w:cs="ITCFranklinGothicStd-Book"/>
          <w:sz w:val="24"/>
          <w:szCs w:val="24"/>
        </w:rPr>
        <w:t>6</w:t>
      </w:r>
      <w:r w:rsidRPr="001D6F7B" w:rsidR="005C1335">
        <w:rPr>
          <w:rFonts w:cs="ITCFranklinGothicStd-Book"/>
          <w:sz w:val="24"/>
          <w:szCs w:val="24"/>
        </w:rPr>
        <w:t xml:space="preserve">A) who </w:t>
      </w:r>
      <w:r w:rsidRPr="001D6F7B" w:rsidR="007A3BC9">
        <w:rPr>
          <w:rFonts w:cs="ITCFranklinGothicStd-Book"/>
          <w:sz w:val="24"/>
          <w:szCs w:val="24"/>
        </w:rPr>
        <w:t xml:space="preserve">will </w:t>
      </w:r>
      <w:r w:rsidRPr="001D6F7B" w:rsidR="005C1335">
        <w:rPr>
          <w:rFonts w:cs="ITCFranklinGothicStd-Book"/>
          <w:sz w:val="24"/>
          <w:szCs w:val="24"/>
        </w:rPr>
        <w:t xml:space="preserve">report to ATSDR on a monthly basis (Attachment </w:t>
      </w:r>
      <w:r w:rsidR="0013638C">
        <w:rPr>
          <w:rFonts w:cs="ITCFranklinGothicStd-Book"/>
          <w:sz w:val="24"/>
          <w:szCs w:val="24"/>
        </w:rPr>
        <w:t>6B</w:t>
      </w:r>
      <w:r w:rsidRPr="001D6F7B" w:rsidR="005C1335">
        <w:rPr>
          <w:rFonts w:cs="ITCFranklinGothicStd-Book"/>
          <w:sz w:val="24"/>
          <w:szCs w:val="24"/>
        </w:rPr>
        <w:t xml:space="preserve">).  </w:t>
      </w:r>
      <w:r w:rsidRPr="001D6F7B" w:rsidR="00747A29">
        <w:rPr>
          <w:rFonts w:cs="ITCFranklinGothicStd-Book"/>
          <w:sz w:val="24"/>
          <w:szCs w:val="24"/>
        </w:rPr>
        <w:t>Third, ATSDR has worked with the NCEH-ATSDR Office of Communication to develop a media campaign</w:t>
      </w:r>
      <w:r w:rsidRPr="00A126DE" w:rsidR="00747A29">
        <w:rPr>
          <w:rFonts w:cs="ITCFranklinGothicStd-Book"/>
          <w:sz w:val="24"/>
          <w:szCs w:val="24"/>
        </w:rPr>
        <w:t xml:space="preserve"> which has been included in presentations at conferences, advertisements, and social media. </w:t>
      </w:r>
    </w:p>
    <w:p w:rsidR="00747A29" w:rsidP="00225DA9" w14:paraId="2DF85D64" w14:textId="77777777">
      <w:pPr>
        <w:spacing w:line="276" w:lineRule="auto"/>
        <w:rPr>
          <w:sz w:val="24"/>
          <w:szCs w:val="24"/>
        </w:rPr>
      </w:pPr>
      <w:r w:rsidRPr="00841C00">
        <w:rPr>
          <w:sz w:val="24"/>
          <w:szCs w:val="24"/>
        </w:rPr>
        <w:t xml:space="preserve">As such, it is likely that not all persons with ALS will register; it will be difficult to determine the extent of nonresponse bias among those who would not be expected to show up in the administrative data sources. In addition, because we are currently seeing only a 58% response rate for the “risk factor surveys” among those who do register, it is likely that there will be </w:t>
      </w:r>
      <w:r w:rsidRPr="00841C00">
        <w:rPr>
          <w:sz w:val="24"/>
          <w:szCs w:val="24"/>
        </w:rPr>
        <w:t xml:space="preserve">nonresponse bias.  ATSDR will inform users of this likelihood, and promote the dataset for hypothesis generation rather than hypothesis testing. </w:t>
      </w:r>
    </w:p>
    <w:p w:rsidR="00481657" w:rsidRPr="00F92495" w:rsidP="00225DA9" w14:paraId="1CFD5407" w14:textId="2C23871E">
      <w:pPr>
        <w:spacing w:line="276" w:lineRule="auto"/>
        <w:rPr>
          <w:bCs/>
          <w:sz w:val="24"/>
          <w:szCs w:val="24"/>
        </w:rPr>
      </w:pPr>
      <w:r w:rsidRPr="00F92495">
        <w:rPr>
          <w:bCs/>
          <w:sz w:val="24"/>
          <w:szCs w:val="24"/>
        </w:rPr>
        <w:t>Basic demographic variables such as age, race, and sex will be available on all individuals regardless of how they were identified.  Individuals identified from administrative data will not have all of the OMB approved categories; however the self-reported data will have all OMB categories.</w:t>
      </w:r>
    </w:p>
    <w:p w:rsidR="00481657" w:rsidRPr="00F92495" w:rsidP="00225DA9" w14:paraId="3D8D5D32" w14:textId="5EEE1197">
      <w:pPr>
        <w:spacing w:line="276" w:lineRule="auto"/>
        <w:rPr>
          <w:rFonts w:asciiTheme="majorHAnsi" w:eastAsiaTheme="majorEastAsia" w:hAnsiTheme="majorHAnsi" w:cstheme="majorBidi"/>
          <w:sz w:val="24"/>
          <w:szCs w:val="24"/>
        </w:rPr>
      </w:pPr>
      <w:r w:rsidRPr="00F92495">
        <w:rPr>
          <w:bCs/>
          <w:sz w:val="24"/>
          <w:szCs w:val="24"/>
        </w:rPr>
        <w:t xml:space="preserve">Because we hypothesize that the </w:t>
      </w:r>
      <w:r>
        <w:rPr>
          <w:bCs/>
          <w:sz w:val="24"/>
          <w:szCs w:val="24"/>
        </w:rPr>
        <w:t>self-registration portion of the R</w:t>
      </w:r>
      <w:r w:rsidRPr="00F92495">
        <w:rPr>
          <w:bCs/>
          <w:sz w:val="24"/>
          <w:szCs w:val="24"/>
        </w:rPr>
        <w:t>egistry is</w:t>
      </w:r>
      <w:r>
        <w:rPr>
          <w:bCs/>
          <w:sz w:val="24"/>
          <w:szCs w:val="24"/>
        </w:rPr>
        <w:t>,</w:t>
      </w:r>
      <w:r w:rsidRPr="00F92495">
        <w:rPr>
          <w:bCs/>
          <w:sz w:val="24"/>
          <w:szCs w:val="24"/>
        </w:rPr>
        <w:t xml:space="preserve"> and</w:t>
      </w:r>
      <w:r>
        <w:rPr>
          <w:bCs/>
          <w:sz w:val="24"/>
          <w:szCs w:val="24"/>
        </w:rPr>
        <w:t xml:space="preserve"> will continue to identify</w:t>
      </w:r>
      <w:r w:rsidRPr="00F92495">
        <w:rPr>
          <w:bCs/>
          <w:sz w:val="24"/>
          <w:szCs w:val="24"/>
        </w:rPr>
        <w:t xml:space="preserve"> some individ</w:t>
      </w:r>
      <w:r>
        <w:rPr>
          <w:bCs/>
          <w:sz w:val="24"/>
          <w:szCs w:val="24"/>
        </w:rPr>
        <w:t>uals who are not identified</w:t>
      </w:r>
      <w:r w:rsidRPr="00F92495">
        <w:rPr>
          <w:bCs/>
          <w:sz w:val="24"/>
          <w:szCs w:val="24"/>
        </w:rPr>
        <w:t xml:space="preserve"> in the administrative sources, we will compare ALS cases identified from administrative sources with those ALS cases who self-register. </w:t>
      </w:r>
      <w:r>
        <w:rPr>
          <w:bCs/>
          <w:sz w:val="24"/>
          <w:szCs w:val="24"/>
        </w:rPr>
        <w:t xml:space="preserve"> All Medicare, VHA, and VBA data a</w:t>
      </w:r>
      <w:r w:rsidR="00097FCE">
        <w:rPr>
          <w:bCs/>
          <w:sz w:val="24"/>
          <w:szCs w:val="24"/>
        </w:rPr>
        <w:t xml:space="preserve">re only available </w:t>
      </w:r>
      <w:r w:rsidRPr="00DC638F" w:rsidR="00097FCE">
        <w:rPr>
          <w:bCs/>
          <w:sz w:val="24"/>
          <w:szCs w:val="24"/>
        </w:rPr>
        <w:t xml:space="preserve">through </w:t>
      </w:r>
      <w:r w:rsidRPr="00DC638F" w:rsidR="00DC638F">
        <w:rPr>
          <w:bCs/>
          <w:sz w:val="24"/>
          <w:szCs w:val="24"/>
        </w:rPr>
        <w:t>CY201</w:t>
      </w:r>
      <w:r w:rsidR="0030120D">
        <w:rPr>
          <w:bCs/>
          <w:sz w:val="24"/>
          <w:szCs w:val="24"/>
        </w:rPr>
        <w:t>7</w:t>
      </w:r>
      <w:r w:rsidRPr="00DC638F">
        <w:rPr>
          <w:bCs/>
          <w:sz w:val="24"/>
          <w:szCs w:val="24"/>
        </w:rPr>
        <w:t>.</w:t>
      </w:r>
      <w:r>
        <w:rPr>
          <w:bCs/>
          <w:sz w:val="24"/>
          <w:szCs w:val="24"/>
        </w:rPr>
        <w:t xml:space="preserve">  </w:t>
      </w:r>
      <w:r w:rsidR="00DC638F">
        <w:rPr>
          <w:bCs/>
          <w:sz w:val="24"/>
          <w:szCs w:val="24"/>
        </w:rPr>
        <w:t>In addition, CY201</w:t>
      </w:r>
      <w:r w:rsidR="0030120D">
        <w:rPr>
          <w:bCs/>
          <w:sz w:val="24"/>
          <w:szCs w:val="24"/>
        </w:rPr>
        <w:t>7</w:t>
      </w:r>
      <w:r w:rsidR="00C80860">
        <w:rPr>
          <w:bCs/>
          <w:sz w:val="24"/>
          <w:szCs w:val="24"/>
        </w:rPr>
        <w:t xml:space="preserve"> is the most recent year that includes all data sources because of the lag in availability of data from CMS.</w:t>
      </w:r>
    </w:p>
    <w:p w:rsidR="00841C00" w:rsidP="00225DA9" w14:paraId="64C2EDC4" w14:textId="132FEAD1">
      <w:pPr>
        <w:spacing w:line="276" w:lineRule="auto"/>
        <w:rPr>
          <w:sz w:val="24"/>
          <w:szCs w:val="24"/>
        </w:rPr>
      </w:pPr>
      <w:r w:rsidRPr="00841C00">
        <w:rPr>
          <w:sz w:val="24"/>
          <w:szCs w:val="24"/>
        </w:rPr>
        <w:t xml:space="preserve">Individuals in the National ALS Registry are identified from </w:t>
      </w:r>
      <w:r w:rsidR="00B057E9">
        <w:rPr>
          <w:sz w:val="24"/>
          <w:szCs w:val="24"/>
        </w:rPr>
        <w:t>n</w:t>
      </w:r>
      <w:r w:rsidRPr="00841C00">
        <w:rPr>
          <w:sz w:val="24"/>
          <w:szCs w:val="24"/>
        </w:rPr>
        <w:t xml:space="preserve">ational databases and self-registration.  Those individuals who self-register are more likely to be younger (40-69 years of age) and </w:t>
      </w:r>
      <w:r w:rsidR="00A72DD6">
        <w:rPr>
          <w:sz w:val="24"/>
          <w:szCs w:val="24"/>
        </w:rPr>
        <w:t>fe</w:t>
      </w:r>
      <w:r w:rsidRPr="00841C00">
        <w:rPr>
          <w:sz w:val="24"/>
          <w:szCs w:val="24"/>
        </w:rPr>
        <w:t xml:space="preserve">male than those individuals identified in the </w:t>
      </w:r>
      <w:r w:rsidR="00B057E9">
        <w:rPr>
          <w:sz w:val="24"/>
          <w:szCs w:val="24"/>
        </w:rPr>
        <w:t>n</w:t>
      </w:r>
      <w:r w:rsidRPr="00841C00">
        <w:rPr>
          <w:sz w:val="24"/>
          <w:szCs w:val="24"/>
        </w:rPr>
        <w:t xml:space="preserve">ational databases.  This is likely a result of computer literacy and access.  In addition to registering, registrants can provide additional information by taking short surveys.  When comparing individuals who took at least one survey with individuals who took </w:t>
      </w:r>
      <w:r w:rsidR="00922439">
        <w:rPr>
          <w:sz w:val="24"/>
          <w:szCs w:val="24"/>
        </w:rPr>
        <w:t xml:space="preserve">no surveys, there is little difference in age and no difference in </w:t>
      </w:r>
      <w:r w:rsidRPr="00841C00">
        <w:rPr>
          <w:sz w:val="24"/>
          <w:szCs w:val="24"/>
        </w:rPr>
        <w:t>sex between takers and non-takers.</w:t>
      </w:r>
    </w:p>
    <w:p w:rsidR="00901365" w:rsidRPr="00841C00" w:rsidP="00225DA9" w14:paraId="49518E98" w14:textId="77777777">
      <w:pPr>
        <w:spacing w:line="276" w:lineRule="auto"/>
        <w:rPr>
          <w:sz w:val="24"/>
          <w:szCs w:val="24"/>
        </w:rPr>
      </w:pPr>
    </w:p>
    <w:p w:rsidR="00D51349" w:rsidP="00841C00" w14:paraId="33B96E82" w14:textId="6C04E772">
      <w:pPr>
        <w:spacing w:line="240" w:lineRule="auto"/>
        <w:rPr>
          <w:sz w:val="24"/>
          <w:szCs w:val="24"/>
        </w:rPr>
      </w:pPr>
      <w:r w:rsidRPr="00BB495F">
        <w:rPr>
          <w:sz w:val="24"/>
          <w:szCs w:val="24"/>
        </w:rPr>
        <w:t xml:space="preserve">Comparison of Registry </w:t>
      </w:r>
      <w:r w:rsidRPr="00BB495F" w:rsidR="00E119F5">
        <w:rPr>
          <w:sz w:val="24"/>
          <w:szCs w:val="24"/>
        </w:rPr>
        <w:t xml:space="preserve">Data by Source and Survey Status for </w:t>
      </w:r>
      <w:r w:rsidRPr="00DC638F" w:rsidR="00E119F5">
        <w:rPr>
          <w:sz w:val="24"/>
          <w:szCs w:val="24"/>
        </w:rPr>
        <w:t>CY201</w:t>
      </w:r>
      <w:r w:rsidR="00901365">
        <w:rPr>
          <w:sz w:val="24"/>
          <w:szCs w:val="24"/>
        </w:rPr>
        <w:t>7</w:t>
      </w:r>
    </w:p>
    <w:tbl>
      <w:tblPr>
        <w:tblW w:w="8494" w:type="dxa"/>
        <w:tblInd w:w="118" w:type="dxa"/>
        <w:tblLook w:val="04A0"/>
      </w:tblPr>
      <w:tblGrid>
        <w:gridCol w:w="1156"/>
        <w:gridCol w:w="825"/>
        <w:gridCol w:w="640"/>
        <w:gridCol w:w="825"/>
        <w:gridCol w:w="640"/>
        <w:gridCol w:w="712"/>
        <w:gridCol w:w="663"/>
        <w:gridCol w:w="11"/>
        <w:gridCol w:w="333"/>
        <w:gridCol w:w="11"/>
        <w:gridCol w:w="701"/>
        <w:gridCol w:w="787"/>
        <w:gridCol w:w="11"/>
        <w:gridCol w:w="701"/>
        <w:gridCol w:w="787"/>
        <w:gridCol w:w="17"/>
      </w:tblGrid>
      <w:tr w14:paraId="4A5208AE" w14:textId="77777777" w:rsidTr="00901365">
        <w:tblPrEx>
          <w:tblW w:w="8494" w:type="dxa"/>
          <w:tblInd w:w="118" w:type="dxa"/>
          <w:tblLook w:val="04A0"/>
        </w:tblPrEx>
        <w:trPr>
          <w:trHeight w:val="272"/>
        </w:trPr>
        <w:tc>
          <w:tcPr>
            <w:tcW w:w="5147" w:type="dxa"/>
            <w:gridSpan w:val="8"/>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F81A68" w:rsidRPr="00F81A68" w:rsidP="00F81A68" w14:paraId="410E2576"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Registry</w:t>
            </w:r>
          </w:p>
        </w:tc>
        <w:tc>
          <w:tcPr>
            <w:tcW w:w="333" w:type="dxa"/>
            <w:tcBorders>
              <w:top w:val="single" w:sz="8" w:space="0" w:color="auto"/>
              <w:left w:val="nil"/>
              <w:bottom w:val="single" w:sz="8" w:space="0" w:color="auto"/>
              <w:right w:val="nil"/>
            </w:tcBorders>
            <w:shd w:val="clear" w:color="000000" w:fill="5B9BD5"/>
            <w:noWrap/>
            <w:vAlign w:val="center"/>
            <w:hideMark/>
          </w:tcPr>
          <w:p w:rsidR="00F81A68" w:rsidRPr="00F81A68" w:rsidP="00F81A68" w14:paraId="56BFE819"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 </w:t>
            </w:r>
          </w:p>
        </w:tc>
        <w:tc>
          <w:tcPr>
            <w:tcW w:w="3014" w:type="dxa"/>
            <w:gridSpan w:val="7"/>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F81A68" w:rsidRPr="00F81A68" w:rsidP="00F81A68" w14:paraId="1B37E4D2"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Portal*</w:t>
            </w:r>
          </w:p>
        </w:tc>
      </w:tr>
      <w:tr w14:paraId="55BCD0A1" w14:textId="77777777" w:rsidTr="00901365">
        <w:tblPrEx>
          <w:tblW w:w="8494" w:type="dxa"/>
          <w:tblInd w:w="118" w:type="dxa"/>
          <w:tblLook w:val="04A0"/>
        </w:tblPrEx>
        <w:trPr>
          <w:trHeight w:val="272"/>
        </w:trPr>
        <w:tc>
          <w:tcPr>
            <w:tcW w:w="1020" w:type="dxa"/>
            <w:tcBorders>
              <w:top w:val="nil"/>
              <w:left w:val="single" w:sz="8" w:space="0" w:color="auto"/>
              <w:bottom w:val="single" w:sz="8" w:space="0" w:color="auto"/>
              <w:right w:val="single" w:sz="8" w:space="0" w:color="auto"/>
            </w:tcBorders>
            <w:shd w:val="clear" w:color="000000" w:fill="5B9BD5"/>
            <w:noWrap/>
            <w:vAlign w:val="center"/>
            <w:hideMark/>
          </w:tcPr>
          <w:p w:rsidR="00F81A68" w:rsidRPr="00F81A68" w:rsidP="00F81A68" w14:paraId="4823E47C" w14:textId="77777777">
            <w:pPr>
              <w:spacing w:after="0" w:line="240" w:lineRule="auto"/>
              <w:rPr>
                <w:rFonts w:ascii="Calibri" w:eastAsia="Times New Roman" w:hAnsi="Calibri" w:cs="Calibri"/>
                <w:color w:val="FFFFFF"/>
              </w:rPr>
            </w:pPr>
            <w:r w:rsidRPr="00F81A68">
              <w:rPr>
                <w:rFonts w:ascii="Calibri" w:eastAsia="Times New Roman" w:hAnsi="Calibri" w:cs="Calibri"/>
                <w:color w:val="FFFFFF"/>
              </w:rPr>
              <w:t> </w:t>
            </w:r>
          </w:p>
        </w:tc>
        <w:tc>
          <w:tcPr>
            <w:tcW w:w="1338" w:type="dxa"/>
            <w:gridSpan w:val="2"/>
            <w:tcBorders>
              <w:top w:val="single" w:sz="8" w:space="0" w:color="auto"/>
              <w:left w:val="nil"/>
              <w:bottom w:val="single" w:sz="8" w:space="0" w:color="auto"/>
              <w:right w:val="single" w:sz="8" w:space="0" w:color="000000"/>
            </w:tcBorders>
            <w:shd w:val="clear" w:color="000000" w:fill="5B9BD5"/>
            <w:noWrap/>
            <w:vAlign w:val="center"/>
            <w:hideMark/>
          </w:tcPr>
          <w:p w:rsidR="00F81A68" w:rsidRPr="00F81A68" w:rsidP="00F81A68" w14:paraId="24014AC1"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Total</w:t>
            </w:r>
          </w:p>
        </w:tc>
        <w:tc>
          <w:tcPr>
            <w:tcW w:w="1402" w:type="dxa"/>
            <w:gridSpan w:val="2"/>
            <w:tcBorders>
              <w:top w:val="single" w:sz="8" w:space="0" w:color="auto"/>
              <w:left w:val="nil"/>
              <w:bottom w:val="single" w:sz="8" w:space="0" w:color="auto"/>
              <w:right w:val="single" w:sz="8" w:space="0" w:color="000000"/>
            </w:tcBorders>
            <w:shd w:val="clear" w:color="000000" w:fill="5B9BD5"/>
            <w:noWrap/>
            <w:vAlign w:val="center"/>
            <w:hideMark/>
          </w:tcPr>
          <w:p w:rsidR="00F81A68" w:rsidRPr="00F81A68" w:rsidP="00F81A68" w14:paraId="609DA28E"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Database Only</w:t>
            </w:r>
          </w:p>
        </w:tc>
        <w:tc>
          <w:tcPr>
            <w:tcW w:w="1386"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F81A68" w:rsidP="00F81A68" w14:paraId="1A7216A0"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Portal</w:t>
            </w:r>
          </w:p>
        </w:tc>
        <w:tc>
          <w:tcPr>
            <w:tcW w:w="344" w:type="dxa"/>
            <w:gridSpan w:val="2"/>
            <w:tcBorders>
              <w:top w:val="nil"/>
              <w:left w:val="nil"/>
              <w:bottom w:val="single" w:sz="8" w:space="0" w:color="auto"/>
              <w:right w:val="single" w:sz="8" w:space="0" w:color="auto"/>
            </w:tcBorders>
            <w:shd w:val="clear" w:color="000000" w:fill="5B9BD5"/>
            <w:noWrap/>
            <w:vAlign w:val="center"/>
            <w:hideMark/>
          </w:tcPr>
          <w:p w:rsidR="00F81A68" w:rsidRPr="00F81A68" w:rsidP="00F81A68" w14:paraId="25DAC753"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 </w:t>
            </w:r>
          </w:p>
        </w:tc>
        <w:tc>
          <w:tcPr>
            <w:tcW w:w="1499"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F81A68" w:rsidP="00F81A68" w14:paraId="551D94C4"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Survey Takers</w:t>
            </w:r>
          </w:p>
        </w:tc>
        <w:tc>
          <w:tcPr>
            <w:tcW w:w="1504"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F81A68" w:rsidP="00F81A68" w14:paraId="6AE10655" w14:textId="77777777">
            <w:pPr>
              <w:spacing w:after="0" w:line="240" w:lineRule="auto"/>
              <w:jc w:val="center"/>
              <w:rPr>
                <w:rFonts w:ascii="Calibri" w:eastAsia="Times New Roman" w:hAnsi="Calibri" w:cs="Calibri"/>
                <w:color w:val="FFFFFF"/>
              </w:rPr>
            </w:pPr>
            <w:r w:rsidRPr="00F81A68">
              <w:rPr>
                <w:rFonts w:ascii="Calibri" w:eastAsia="Times New Roman" w:hAnsi="Calibri" w:cs="Calibri"/>
                <w:color w:val="FFFFFF"/>
              </w:rPr>
              <w:t>Survey Non-Takers</w:t>
            </w:r>
          </w:p>
        </w:tc>
      </w:tr>
      <w:tr w14:paraId="22209F0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000000" w:fill="DCE6F1"/>
            <w:noWrap/>
            <w:vAlign w:val="center"/>
            <w:hideMark/>
          </w:tcPr>
          <w:p w:rsidR="00F81A68" w:rsidRPr="00F81A68" w:rsidP="00F81A68" w14:paraId="479CA41A"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Age</w:t>
            </w:r>
          </w:p>
        </w:tc>
        <w:tc>
          <w:tcPr>
            <w:tcW w:w="728"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5F505DB3"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610"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29277737"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816"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6A1554FD"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586"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4F6A7036"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712"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415F9C96"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663"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0C06FF96"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344" w:type="dxa"/>
            <w:gridSpan w:val="2"/>
            <w:tcBorders>
              <w:top w:val="nil"/>
              <w:left w:val="nil"/>
              <w:bottom w:val="single" w:sz="8" w:space="0" w:color="auto"/>
              <w:right w:val="single" w:sz="8" w:space="0" w:color="auto"/>
            </w:tcBorders>
            <w:shd w:val="clear" w:color="000000" w:fill="DCE6F1"/>
            <w:noWrap/>
            <w:vAlign w:val="center"/>
            <w:hideMark/>
          </w:tcPr>
          <w:p w:rsidR="00F81A68" w:rsidRPr="00F81A68" w:rsidP="00F81A68" w14:paraId="0387CFD9"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 </w:t>
            </w:r>
          </w:p>
        </w:tc>
        <w:tc>
          <w:tcPr>
            <w:tcW w:w="712" w:type="dxa"/>
            <w:gridSpan w:val="2"/>
            <w:tcBorders>
              <w:top w:val="nil"/>
              <w:left w:val="nil"/>
              <w:bottom w:val="single" w:sz="8" w:space="0" w:color="auto"/>
              <w:right w:val="single" w:sz="8" w:space="0" w:color="auto"/>
            </w:tcBorders>
            <w:shd w:val="clear" w:color="000000" w:fill="DCE6F1"/>
            <w:noWrap/>
            <w:vAlign w:val="center"/>
            <w:hideMark/>
          </w:tcPr>
          <w:p w:rsidR="00F81A68" w:rsidRPr="00F81A68" w:rsidP="00F81A68" w14:paraId="0C3D6DB5"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787"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2BA6833C"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712" w:type="dxa"/>
            <w:gridSpan w:val="2"/>
            <w:tcBorders>
              <w:top w:val="nil"/>
              <w:left w:val="nil"/>
              <w:bottom w:val="single" w:sz="8" w:space="0" w:color="auto"/>
              <w:right w:val="single" w:sz="8" w:space="0" w:color="auto"/>
            </w:tcBorders>
            <w:shd w:val="clear" w:color="000000" w:fill="DCE6F1"/>
            <w:noWrap/>
            <w:vAlign w:val="center"/>
            <w:hideMark/>
          </w:tcPr>
          <w:p w:rsidR="00F81A68" w:rsidRPr="00F81A68" w:rsidP="00F81A68" w14:paraId="2E055D67"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c>
          <w:tcPr>
            <w:tcW w:w="787" w:type="dxa"/>
            <w:tcBorders>
              <w:top w:val="nil"/>
              <w:left w:val="nil"/>
              <w:bottom w:val="single" w:sz="8" w:space="0" w:color="auto"/>
              <w:right w:val="single" w:sz="8" w:space="0" w:color="auto"/>
            </w:tcBorders>
            <w:shd w:val="clear" w:color="000000" w:fill="DCE6F1"/>
            <w:noWrap/>
            <w:vAlign w:val="center"/>
            <w:hideMark/>
          </w:tcPr>
          <w:p w:rsidR="00F81A68" w:rsidRPr="00F81A68" w:rsidP="00F81A68" w14:paraId="1EDD12A2" w14:textId="77777777">
            <w:pPr>
              <w:spacing w:after="0" w:line="240" w:lineRule="auto"/>
              <w:jc w:val="center"/>
              <w:rPr>
                <w:rFonts w:ascii="Calibri" w:eastAsia="Times New Roman" w:hAnsi="Calibri" w:cs="Calibri"/>
                <w:color w:val="000000"/>
                <w:sz w:val="24"/>
                <w:szCs w:val="24"/>
              </w:rPr>
            </w:pPr>
            <w:r w:rsidRPr="00F81A68">
              <w:rPr>
                <w:rFonts w:ascii="Calibri" w:eastAsia="Times New Roman" w:hAnsi="Calibri" w:cs="Calibri"/>
                <w:color w:val="000000"/>
                <w:sz w:val="24"/>
                <w:szCs w:val="24"/>
              </w:rPr>
              <w:t>%</w:t>
            </w:r>
          </w:p>
        </w:tc>
      </w:tr>
      <w:tr w14:paraId="0247D9C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5880AE25"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18-39</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BA5B7E7"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517</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F8CF96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2.9</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E49A2A3"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254</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9F1318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2.4</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5064B4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14</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D83D6D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0.2</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65D4BD7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2D76024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262</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343566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3.7</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955C497"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385</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A63D0A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6.2</w:t>
            </w:r>
          </w:p>
        </w:tc>
      </w:tr>
      <w:tr w14:paraId="03A8E233"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1979811B"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40-49</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55AA0E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1462</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0DCBD2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8.2</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F5244B6"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723</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222BA07"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6.7</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9479C6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60</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B48BB1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0.8</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303D613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3DC7D73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856</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6976CE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12.1</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A3AE98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817</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11D1483"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13.1</w:t>
            </w:r>
          </w:p>
        </w:tc>
      </w:tr>
      <w:tr w14:paraId="5E0FC7EF"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00FA74B4"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50-59</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35BDD6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3327</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648B0B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18.7</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DB0906B"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1887</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9A14DF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17.6</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C3822E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113</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09F66E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1.6</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0E3BC992"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26B0A01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2029</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0FB233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28.8</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1D83EFE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1318</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996ED0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21.1</w:t>
            </w:r>
          </w:p>
        </w:tc>
      </w:tr>
      <w:tr w14:paraId="14B8FCC0"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1E7603FA"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60-69</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08353BB"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4792</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92FF27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26.9</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F75AEA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3285</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0B9F3F7"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30.6</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8D126AB"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251</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AC54316"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3.6</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2CABA272"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4F83C83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2452</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DA4561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34.7</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7487C37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1498</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7618F0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24</w:t>
            </w:r>
          </w:p>
        </w:tc>
      </w:tr>
      <w:tr w14:paraId="29C8BDD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17C5193C"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70-79</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F65D13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4168</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017EA3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23.4</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0814BD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3295</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B48889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30.7</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8AC395B"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210</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2213CA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3.0</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3022039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23F118B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1247</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34E024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17.7</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12BABA9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612</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095B18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9.8</w:t>
            </w:r>
          </w:p>
        </w:tc>
      </w:tr>
      <w:tr w14:paraId="1CD6F20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1526EE18"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80 +</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188C92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1418</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79A1DC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8.0</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E7667F6"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1169</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F7F397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10.9</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ECB34E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36</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4B9A37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0.5</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60C0D762"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113AB8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209</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AA9687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018623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137</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27C7D1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2.2</w:t>
            </w:r>
          </w:p>
        </w:tc>
      </w:tr>
      <w:tr w14:paraId="7F3CF304"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7D0F01BA"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Unknown</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3C235F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2116</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C9CB56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11.9</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2E6CE4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122</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B84990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1.1</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8EF07D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6381</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50CB7B2"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90.3</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23EFF36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475A1BD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10</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6EB34B6" w14:textId="77777777">
            <w:pPr>
              <w:spacing w:after="0" w:line="240" w:lineRule="auto"/>
              <w:jc w:val="center"/>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85224F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1473</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26246A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23.6</w:t>
            </w:r>
          </w:p>
        </w:tc>
      </w:tr>
      <w:tr w14:paraId="4A11528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6043E0CE"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Total</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7141E8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17800</w:t>
            </w:r>
          </w:p>
        </w:tc>
        <w:tc>
          <w:tcPr>
            <w:tcW w:w="610" w:type="dxa"/>
            <w:tcBorders>
              <w:top w:val="nil"/>
              <w:left w:val="nil"/>
              <w:bottom w:val="single" w:sz="8" w:space="0" w:color="auto"/>
              <w:right w:val="single" w:sz="8" w:space="0" w:color="auto"/>
            </w:tcBorders>
            <w:shd w:val="clear" w:color="auto" w:fill="auto"/>
            <w:noWrap/>
            <w:hideMark/>
          </w:tcPr>
          <w:p w:rsidR="00F81A68" w:rsidRPr="00F81A68" w:rsidP="00F81A68" w14:paraId="49E3AC6F"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E5AE92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10735</w:t>
            </w:r>
          </w:p>
        </w:tc>
        <w:tc>
          <w:tcPr>
            <w:tcW w:w="586" w:type="dxa"/>
            <w:tcBorders>
              <w:top w:val="nil"/>
              <w:left w:val="nil"/>
              <w:bottom w:val="single" w:sz="8" w:space="0" w:color="auto"/>
              <w:right w:val="single" w:sz="8" w:space="0" w:color="auto"/>
            </w:tcBorders>
            <w:shd w:val="clear" w:color="auto" w:fill="auto"/>
            <w:noWrap/>
            <w:hideMark/>
          </w:tcPr>
          <w:p w:rsidR="00F81A68" w:rsidRPr="00F81A68" w:rsidP="00F81A68" w14:paraId="40B04EC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6CBADB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7065</w:t>
            </w:r>
          </w:p>
        </w:tc>
        <w:tc>
          <w:tcPr>
            <w:tcW w:w="663" w:type="dxa"/>
            <w:tcBorders>
              <w:top w:val="nil"/>
              <w:left w:val="nil"/>
              <w:bottom w:val="single" w:sz="8" w:space="0" w:color="auto"/>
              <w:right w:val="single" w:sz="8" w:space="0" w:color="auto"/>
            </w:tcBorders>
            <w:shd w:val="clear" w:color="auto" w:fill="auto"/>
            <w:noWrap/>
            <w:hideMark/>
          </w:tcPr>
          <w:p w:rsidR="00F81A68" w:rsidRPr="00F81A68" w:rsidP="00F81A68" w14:paraId="0ED43BDF"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7F098D2F"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2C7A469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7065</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69F3459A"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34C225F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6240</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1737930F"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r>
      <w:tr w14:paraId="63046410"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15971793"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 </w:t>
            </w:r>
          </w:p>
        </w:tc>
        <w:tc>
          <w:tcPr>
            <w:tcW w:w="728" w:type="dxa"/>
            <w:tcBorders>
              <w:top w:val="nil"/>
              <w:left w:val="nil"/>
              <w:bottom w:val="single" w:sz="8" w:space="0" w:color="auto"/>
              <w:right w:val="single" w:sz="8" w:space="0" w:color="auto"/>
            </w:tcBorders>
            <w:shd w:val="clear" w:color="auto" w:fill="auto"/>
            <w:noWrap/>
            <w:hideMark/>
          </w:tcPr>
          <w:p w:rsidR="00F81A68" w:rsidRPr="00F81A68" w:rsidP="00F81A68" w14:paraId="60702DC7"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610" w:type="dxa"/>
            <w:tcBorders>
              <w:top w:val="nil"/>
              <w:left w:val="nil"/>
              <w:bottom w:val="single" w:sz="8" w:space="0" w:color="auto"/>
              <w:right w:val="single" w:sz="8" w:space="0" w:color="auto"/>
            </w:tcBorders>
            <w:shd w:val="clear" w:color="auto" w:fill="auto"/>
            <w:noWrap/>
            <w:hideMark/>
          </w:tcPr>
          <w:p w:rsidR="00F81A68" w:rsidRPr="00F81A68" w:rsidP="00F81A68" w14:paraId="4A992128"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shd w:val="clear" w:color="auto" w:fill="auto"/>
            <w:noWrap/>
            <w:hideMark/>
          </w:tcPr>
          <w:p w:rsidR="00F81A68" w:rsidRPr="00F81A68" w:rsidP="00F81A68" w14:paraId="6F99CAA7"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586" w:type="dxa"/>
            <w:tcBorders>
              <w:top w:val="nil"/>
              <w:left w:val="nil"/>
              <w:bottom w:val="single" w:sz="8" w:space="0" w:color="auto"/>
              <w:right w:val="single" w:sz="8" w:space="0" w:color="auto"/>
            </w:tcBorders>
            <w:shd w:val="clear" w:color="auto" w:fill="auto"/>
            <w:noWrap/>
            <w:hideMark/>
          </w:tcPr>
          <w:p w:rsidR="00F81A68" w:rsidRPr="00F81A68" w:rsidP="00F81A68" w14:paraId="7A0061AD"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shd w:val="clear" w:color="auto" w:fill="auto"/>
            <w:noWrap/>
            <w:hideMark/>
          </w:tcPr>
          <w:p w:rsidR="00F81A68" w:rsidRPr="00F81A68" w:rsidP="00F81A68" w14:paraId="7BB0112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663" w:type="dxa"/>
            <w:tcBorders>
              <w:top w:val="nil"/>
              <w:left w:val="nil"/>
              <w:bottom w:val="single" w:sz="8" w:space="0" w:color="auto"/>
              <w:right w:val="single" w:sz="8" w:space="0" w:color="auto"/>
            </w:tcBorders>
            <w:shd w:val="clear" w:color="auto" w:fill="auto"/>
            <w:noWrap/>
            <w:hideMark/>
          </w:tcPr>
          <w:p w:rsidR="00F81A68" w:rsidRPr="00F81A68" w:rsidP="00F81A68" w14:paraId="2C8FB168"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1F95B654"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hideMark/>
          </w:tcPr>
          <w:p w:rsidR="00F81A68" w:rsidRPr="00F81A68" w:rsidP="00F81A68" w14:paraId="4D807C4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552D49E6"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hideMark/>
          </w:tcPr>
          <w:p w:rsidR="00F81A68" w:rsidRPr="00F81A68" w:rsidP="00F81A68" w14:paraId="4578D1A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47109A83"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r>
      <w:tr w14:paraId="31DEEABD"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000000" w:fill="DCE6F1"/>
            <w:noWrap/>
            <w:vAlign w:val="center"/>
            <w:hideMark/>
          </w:tcPr>
          <w:p w:rsidR="00F81A68" w:rsidRPr="00F81A68" w:rsidP="00F81A68" w14:paraId="3A7F96CD"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Sex</w:t>
            </w:r>
          </w:p>
        </w:tc>
        <w:tc>
          <w:tcPr>
            <w:tcW w:w="728" w:type="dxa"/>
            <w:tcBorders>
              <w:top w:val="nil"/>
              <w:left w:val="nil"/>
              <w:bottom w:val="single" w:sz="8" w:space="0" w:color="auto"/>
              <w:right w:val="single" w:sz="8" w:space="0" w:color="auto"/>
            </w:tcBorders>
            <w:shd w:val="clear" w:color="000000" w:fill="DCE6F1"/>
            <w:noWrap/>
            <w:hideMark/>
          </w:tcPr>
          <w:p w:rsidR="00F81A68" w:rsidRPr="00F81A68" w:rsidP="00F81A68" w14:paraId="4BC8F9E8"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610" w:type="dxa"/>
            <w:tcBorders>
              <w:top w:val="nil"/>
              <w:left w:val="nil"/>
              <w:bottom w:val="single" w:sz="8" w:space="0" w:color="auto"/>
              <w:right w:val="single" w:sz="8" w:space="0" w:color="auto"/>
            </w:tcBorders>
            <w:shd w:val="clear" w:color="000000" w:fill="DCE6F1"/>
            <w:noWrap/>
            <w:hideMark/>
          </w:tcPr>
          <w:p w:rsidR="00F81A68" w:rsidRPr="00F81A68" w:rsidP="00F81A68" w14:paraId="78282566"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shd w:val="clear" w:color="000000" w:fill="DCE6F1"/>
            <w:noWrap/>
            <w:hideMark/>
          </w:tcPr>
          <w:p w:rsidR="00F81A68" w:rsidRPr="00F81A68" w:rsidP="00F81A68" w14:paraId="372FBE61"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586" w:type="dxa"/>
            <w:tcBorders>
              <w:top w:val="nil"/>
              <w:left w:val="nil"/>
              <w:bottom w:val="single" w:sz="8" w:space="0" w:color="auto"/>
              <w:right w:val="single" w:sz="8" w:space="0" w:color="auto"/>
            </w:tcBorders>
            <w:shd w:val="clear" w:color="000000" w:fill="DCE6F1"/>
            <w:noWrap/>
            <w:hideMark/>
          </w:tcPr>
          <w:p w:rsidR="00F81A68" w:rsidRPr="00F81A68" w:rsidP="00F81A68" w14:paraId="3DA760B0"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shd w:val="clear" w:color="000000" w:fill="DCE6F1"/>
            <w:noWrap/>
            <w:hideMark/>
          </w:tcPr>
          <w:p w:rsidR="00F81A68" w:rsidRPr="00F81A68" w:rsidP="00F81A68" w14:paraId="5935046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663" w:type="dxa"/>
            <w:tcBorders>
              <w:top w:val="nil"/>
              <w:left w:val="nil"/>
              <w:bottom w:val="single" w:sz="8" w:space="0" w:color="auto"/>
              <w:right w:val="single" w:sz="8" w:space="0" w:color="auto"/>
            </w:tcBorders>
            <w:shd w:val="clear" w:color="000000" w:fill="DCE6F1"/>
            <w:noWrap/>
            <w:hideMark/>
          </w:tcPr>
          <w:p w:rsidR="00F81A68" w:rsidRPr="00F81A68" w:rsidP="00F81A68" w14:paraId="61F77DD2"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shd w:val="clear" w:color="000000" w:fill="DCE6F1"/>
            <w:noWrap/>
            <w:hideMark/>
          </w:tcPr>
          <w:p w:rsidR="00F81A68" w:rsidRPr="00F81A68" w:rsidP="00F81A68" w14:paraId="6EA2D247"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000000" w:fill="DCE6F1"/>
            <w:noWrap/>
            <w:hideMark/>
          </w:tcPr>
          <w:p w:rsidR="00F81A68" w:rsidRPr="00F81A68" w:rsidP="00F81A68" w14:paraId="7769EAB2"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000000" w:fill="DCE6F1"/>
            <w:noWrap/>
            <w:hideMark/>
          </w:tcPr>
          <w:p w:rsidR="00F81A68" w:rsidRPr="00F81A68" w:rsidP="00F81A68" w14:paraId="355DA713"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000000" w:fill="DCE6F1"/>
            <w:noWrap/>
            <w:hideMark/>
          </w:tcPr>
          <w:p w:rsidR="00F81A68" w:rsidRPr="00F81A68" w:rsidP="00F81A68" w14:paraId="64DF59D8"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000000" w:fill="DCE6F1"/>
            <w:noWrap/>
            <w:hideMark/>
          </w:tcPr>
          <w:p w:rsidR="00F81A68" w:rsidRPr="00F81A68" w:rsidP="00F81A68" w14:paraId="67869A6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r>
      <w:tr w14:paraId="293A2FBF"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4FE035C4"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Male</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77B89A0"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11034</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95BAEC6"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62.0</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D4C87C5"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6834</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C015FF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63.7</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BCC5B6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742</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9DC61B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10.5</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469E0399"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36FCD50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4191</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C865713"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59.3</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8C73756"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3770</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DA2CA5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60.4</w:t>
            </w:r>
          </w:p>
        </w:tc>
      </w:tr>
      <w:tr w14:paraId="5890F8AE"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384683AF"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Female</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436AD7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6750</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40AA50E1"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37.9</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0ED919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3901</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4F837F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36.3</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1188935E"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486</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F8A484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6.9</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370492EE"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45858FF3"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2866</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FF02EC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40.7</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2C4039ED"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2470</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6FB0F91"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39.6</w:t>
            </w:r>
          </w:p>
        </w:tc>
      </w:tr>
      <w:tr w14:paraId="1E7D108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4CA0FE3B"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Unknown</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746012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16</w:t>
            </w:r>
          </w:p>
        </w:tc>
        <w:tc>
          <w:tcPr>
            <w:tcW w:w="610"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3A7790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0.1</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ADAFA67"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 </w:t>
            </w:r>
          </w:p>
        </w:tc>
        <w:tc>
          <w:tcPr>
            <w:tcW w:w="58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7DC51ABB"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 </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D9F658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5837</w:t>
            </w:r>
          </w:p>
        </w:tc>
        <w:tc>
          <w:tcPr>
            <w:tcW w:w="663"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3707C889"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82.6</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40A50257"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1557A3E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8</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5E3724F6" w14:textId="77777777">
            <w:pPr>
              <w:spacing w:after="0" w:line="240" w:lineRule="auto"/>
              <w:jc w:val="center"/>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0491E7F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0</w:t>
            </w:r>
          </w:p>
        </w:tc>
        <w:tc>
          <w:tcPr>
            <w:tcW w:w="787"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C7D5043" w14:textId="77777777">
            <w:pPr>
              <w:spacing w:after="0" w:line="240" w:lineRule="auto"/>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w:t>
            </w:r>
          </w:p>
        </w:tc>
      </w:tr>
      <w:tr w14:paraId="481AEB3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rsidR="00F81A68" w:rsidRPr="00F81A68" w:rsidP="00F81A68" w14:paraId="3EEEE993" w14:textId="77777777">
            <w:pPr>
              <w:spacing w:after="0" w:line="240" w:lineRule="auto"/>
              <w:rPr>
                <w:rFonts w:ascii="Calibri" w:eastAsia="Times New Roman" w:hAnsi="Calibri" w:cs="Calibri"/>
                <w:color w:val="000000"/>
                <w:sz w:val="24"/>
                <w:szCs w:val="24"/>
              </w:rPr>
            </w:pPr>
            <w:r w:rsidRPr="00F81A68">
              <w:rPr>
                <w:rFonts w:ascii="Calibri" w:eastAsia="Times New Roman" w:hAnsi="Calibri" w:cs="Calibri"/>
                <w:color w:val="000000"/>
                <w:sz w:val="24"/>
                <w:szCs w:val="24"/>
              </w:rPr>
              <w:t>Total</w:t>
            </w:r>
          </w:p>
        </w:tc>
        <w:tc>
          <w:tcPr>
            <w:tcW w:w="728"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6E837588"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17800</w:t>
            </w:r>
          </w:p>
        </w:tc>
        <w:tc>
          <w:tcPr>
            <w:tcW w:w="610" w:type="dxa"/>
            <w:tcBorders>
              <w:top w:val="nil"/>
              <w:left w:val="nil"/>
              <w:bottom w:val="single" w:sz="8" w:space="0" w:color="auto"/>
              <w:right w:val="single" w:sz="8" w:space="0" w:color="auto"/>
            </w:tcBorders>
            <w:shd w:val="clear" w:color="auto" w:fill="auto"/>
            <w:noWrap/>
            <w:hideMark/>
          </w:tcPr>
          <w:p w:rsidR="00F81A68" w:rsidRPr="00F81A68" w:rsidP="00F81A68" w14:paraId="4440C709"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04207C04"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10735</w:t>
            </w:r>
          </w:p>
        </w:tc>
        <w:tc>
          <w:tcPr>
            <w:tcW w:w="586" w:type="dxa"/>
            <w:tcBorders>
              <w:top w:val="nil"/>
              <w:left w:val="nil"/>
              <w:bottom w:val="single" w:sz="8" w:space="0" w:color="auto"/>
              <w:right w:val="single" w:sz="8" w:space="0" w:color="auto"/>
            </w:tcBorders>
            <w:shd w:val="clear" w:color="auto" w:fill="auto"/>
            <w:noWrap/>
            <w:hideMark/>
          </w:tcPr>
          <w:p w:rsidR="00F81A68" w:rsidRPr="00F81A68" w:rsidP="00F81A68" w14:paraId="6D424D76"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shd w:val="clear" w:color="auto" w:fill="auto"/>
            <w:noWrap/>
            <w:vAlign w:val="center"/>
            <w:hideMark/>
          </w:tcPr>
          <w:p w:rsidR="00F81A68" w:rsidRPr="00F81A68" w:rsidP="00F81A68" w14:paraId="23A2A7EC"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7065</w:t>
            </w:r>
          </w:p>
        </w:tc>
        <w:tc>
          <w:tcPr>
            <w:tcW w:w="663" w:type="dxa"/>
            <w:tcBorders>
              <w:top w:val="nil"/>
              <w:left w:val="nil"/>
              <w:bottom w:val="single" w:sz="8" w:space="0" w:color="auto"/>
              <w:right w:val="single" w:sz="8" w:space="0" w:color="auto"/>
            </w:tcBorders>
            <w:shd w:val="clear" w:color="auto" w:fill="auto"/>
            <w:noWrap/>
            <w:hideMark/>
          </w:tcPr>
          <w:p w:rsidR="00F81A68" w:rsidRPr="00F81A68" w:rsidP="00F81A68" w14:paraId="3210CC8C"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shd w:val="clear" w:color="auto" w:fill="auto"/>
            <w:noWrap/>
            <w:hideMark/>
          </w:tcPr>
          <w:p w:rsidR="00F81A68" w:rsidRPr="00F81A68" w:rsidP="00F81A68" w14:paraId="4983D919"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622C5D6F"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7065</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5B0964DB"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auto" w:fill="auto"/>
            <w:noWrap/>
            <w:vAlign w:val="center"/>
            <w:hideMark/>
          </w:tcPr>
          <w:p w:rsidR="00F81A68" w:rsidRPr="00F81A68" w:rsidP="00F81A68" w14:paraId="126F173A" w14:textId="77777777">
            <w:pPr>
              <w:spacing w:after="0" w:line="240" w:lineRule="auto"/>
              <w:jc w:val="right"/>
              <w:rPr>
                <w:rFonts w:ascii="Calibri Light" w:eastAsia="Times New Roman" w:hAnsi="Calibri Light" w:cs="Calibri Light"/>
                <w:color w:val="000000"/>
                <w:sz w:val="24"/>
                <w:szCs w:val="24"/>
              </w:rPr>
            </w:pPr>
            <w:r w:rsidRPr="00F81A68">
              <w:rPr>
                <w:rFonts w:ascii="Calibri Light" w:eastAsia="Times New Roman" w:hAnsi="Calibri Light" w:cs="Calibri Light"/>
                <w:color w:val="000000"/>
                <w:sz w:val="24"/>
                <w:szCs w:val="24"/>
              </w:rPr>
              <w:t>6240</w:t>
            </w:r>
          </w:p>
        </w:tc>
        <w:tc>
          <w:tcPr>
            <w:tcW w:w="787" w:type="dxa"/>
            <w:tcBorders>
              <w:top w:val="nil"/>
              <w:left w:val="nil"/>
              <w:bottom w:val="single" w:sz="8" w:space="0" w:color="auto"/>
              <w:right w:val="single" w:sz="8" w:space="0" w:color="auto"/>
            </w:tcBorders>
            <w:shd w:val="clear" w:color="auto" w:fill="auto"/>
            <w:noWrap/>
            <w:hideMark/>
          </w:tcPr>
          <w:p w:rsidR="00F81A68" w:rsidRPr="00F81A68" w:rsidP="00F81A68" w14:paraId="4ADAD49A" w14:textId="77777777">
            <w:pPr>
              <w:spacing w:after="0" w:line="240" w:lineRule="auto"/>
              <w:rPr>
                <w:rFonts w:ascii="Calibri" w:eastAsia="Times New Roman" w:hAnsi="Calibri" w:cs="Calibri"/>
                <w:color w:val="000000"/>
              </w:rPr>
            </w:pPr>
            <w:r w:rsidRPr="00F81A68">
              <w:rPr>
                <w:rFonts w:ascii="Calibri" w:eastAsia="Times New Roman" w:hAnsi="Calibri" w:cs="Calibri"/>
                <w:color w:val="000000"/>
              </w:rPr>
              <w:t> </w:t>
            </w:r>
          </w:p>
        </w:tc>
      </w:tr>
    </w:tbl>
    <w:tbl>
      <w:tblPr>
        <w:tblStyle w:val="TableGrid"/>
        <w:tblW w:w="0" w:type="auto"/>
        <w:tblInd w:w="108" w:type="dxa"/>
        <w:tblLook w:val="04A0"/>
      </w:tblPr>
      <w:tblGrid>
        <w:gridCol w:w="8820"/>
      </w:tblGrid>
      <w:tr w14:paraId="5280561A" w14:textId="77777777" w:rsidTr="00901365">
        <w:tblPrEx>
          <w:tblW w:w="0" w:type="auto"/>
          <w:tblInd w:w="108" w:type="dxa"/>
          <w:tblLook w:val="04A0"/>
        </w:tblPrEx>
        <w:tc>
          <w:tcPr>
            <w:tcW w:w="8820" w:type="dxa"/>
            <w:vAlign w:val="center"/>
          </w:tcPr>
          <w:p w:rsidR="00901365" w:rsidP="00901365" w14:paraId="7CB8A434" w14:textId="2D710D63">
            <w:pPr>
              <w:jc w:val="center"/>
              <w:rPr>
                <w:sz w:val="24"/>
                <w:szCs w:val="24"/>
              </w:rPr>
            </w:pPr>
            <w:r>
              <w:rPr>
                <w:rFonts w:eastAsia="Times New Roman" w:cs="Times New Roman"/>
                <w:color w:val="000000"/>
                <w:sz w:val="24"/>
                <w:szCs w:val="24"/>
              </w:rPr>
              <w:t>*Unknown survey status for 5 participants because of missing or invalid SSN.</w:t>
            </w:r>
          </w:p>
        </w:tc>
      </w:tr>
    </w:tbl>
    <w:p w:rsidR="00901365" w:rsidRPr="00BB495F" w:rsidP="00841C00" w14:paraId="5E0C1CE1" w14:textId="77777777">
      <w:pPr>
        <w:spacing w:line="240" w:lineRule="auto"/>
        <w:rPr>
          <w:sz w:val="24"/>
          <w:szCs w:val="24"/>
        </w:rPr>
      </w:pPr>
    </w:p>
    <w:p w:rsidR="00841C00" w:rsidRPr="00841C00" w:rsidP="0026468A" w14:paraId="312C3B36" w14:textId="54178B44">
      <w:pPr>
        <w:rPr>
          <w:sz w:val="24"/>
          <w:szCs w:val="24"/>
        </w:rPr>
      </w:pPr>
      <w:r w:rsidRPr="00C912F5">
        <w:rPr>
          <w:sz w:val="24"/>
          <w:szCs w:val="24"/>
        </w:rPr>
        <w:t xml:space="preserve">The demographics of those in the biorepository pilot project were similar to those who </w:t>
      </w:r>
      <w:r>
        <w:rPr>
          <w:sz w:val="24"/>
          <w:szCs w:val="24"/>
        </w:rPr>
        <w:t>were in the self-registration</w:t>
      </w:r>
      <w:r w:rsidRPr="00C912F5">
        <w:rPr>
          <w:sz w:val="24"/>
          <w:szCs w:val="24"/>
        </w:rPr>
        <w:t xml:space="preserve"> component of the Registry.  </w:t>
      </w:r>
      <w:r w:rsidRPr="00F566AB" w:rsidR="00F566AB">
        <w:rPr>
          <w:sz w:val="24"/>
          <w:szCs w:val="24"/>
        </w:rPr>
        <w:t xml:space="preserve">Because the Biorepository participants are only taken from the self-registration component of the Registry, the differences in the demographics between those who self-registered and those identified from the Registry (administrative data plus self-registration data) also </w:t>
      </w:r>
      <w:r w:rsidR="00E30E9D">
        <w:rPr>
          <w:sz w:val="24"/>
          <w:szCs w:val="24"/>
        </w:rPr>
        <w:t xml:space="preserve">apply </w:t>
      </w:r>
      <w:r w:rsidR="00366A1F">
        <w:rPr>
          <w:sz w:val="24"/>
          <w:szCs w:val="24"/>
        </w:rPr>
        <w:t xml:space="preserve">to </w:t>
      </w:r>
      <w:r w:rsidRPr="00F566AB" w:rsidR="00F566AB">
        <w:rPr>
          <w:sz w:val="24"/>
          <w:szCs w:val="24"/>
        </w:rPr>
        <w:t xml:space="preserve">those in the Biorepository.   </w:t>
      </w:r>
      <w:r w:rsidRPr="00C912F5">
        <w:rPr>
          <w:sz w:val="24"/>
          <w:szCs w:val="24"/>
        </w:rPr>
        <w:t>We will make sure to p</w:t>
      </w:r>
      <w:r w:rsidR="00366A1F">
        <w:rPr>
          <w:sz w:val="24"/>
          <w:szCs w:val="24"/>
        </w:rPr>
        <w:t>rovide this information to researchers</w:t>
      </w:r>
      <w:r w:rsidRPr="00C912F5">
        <w:rPr>
          <w:sz w:val="24"/>
          <w:szCs w:val="24"/>
        </w:rPr>
        <w:t xml:space="preserve"> who request samples and will include this as </w:t>
      </w:r>
      <w:r w:rsidR="00366A1F">
        <w:rPr>
          <w:sz w:val="24"/>
          <w:szCs w:val="24"/>
        </w:rPr>
        <w:t>a limitation in any publication</w:t>
      </w:r>
      <w:r w:rsidRPr="00C912F5">
        <w:rPr>
          <w:sz w:val="24"/>
          <w:szCs w:val="24"/>
        </w:rPr>
        <w:t xml:space="preserve"> initiated by ATSDR.  In addition, ATSDR is working to increase minority participation in the self-registration portion of the </w:t>
      </w:r>
      <w:r w:rsidR="0026468A">
        <w:rPr>
          <w:sz w:val="24"/>
          <w:szCs w:val="24"/>
        </w:rPr>
        <w:t>Registry and the Biorepository.</w:t>
      </w:r>
    </w:p>
    <w:p w:rsidR="00B45002" w:rsidRPr="00E707C0" w:rsidP="008D0F27" w14:paraId="450B7636" w14:textId="7D214A17">
      <w:pPr>
        <w:pStyle w:val="Heading1"/>
        <w:pBdr>
          <w:bottom w:val="none" w:sz="0" w:space="0" w:color="auto"/>
        </w:pBdr>
        <w:rPr>
          <w:rFonts w:ascii="Cambria" w:hAnsi="Cambria"/>
          <w:color w:val="auto"/>
        </w:rPr>
      </w:pPr>
      <w:bookmarkStart w:id="5" w:name="_Toc121937005"/>
      <w:r w:rsidRPr="00E707C0">
        <w:rPr>
          <w:rFonts w:ascii="Cambria" w:hAnsi="Cambria"/>
          <w:color w:val="auto"/>
        </w:rPr>
        <w:t>B.</w:t>
      </w:r>
      <w:r w:rsidRPr="00E707C0">
        <w:rPr>
          <w:rFonts w:ascii="Cambria" w:hAnsi="Cambria"/>
          <w:color w:val="auto"/>
        </w:rPr>
        <w:t>4.Test of Procedures or Methods to be Undertaken</w:t>
      </w:r>
      <w:bookmarkEnd w:id="5"/>
    </w:p>
    <w:p w:rsidR="00EF0B5A" w:rsidP="00841C00" w14:paraId="619F5701" w14:textId="77777777">
      <w:pPr>
        <w:autoSpaceDE w:val="0"/>
        <w:autoSpaceDN w:val="0"/>
        <w:adjustRightInd w:val="0"/>
        <w:spacing w:line="240" w:lineRule="auto"/>
        <w:rPr>
          <w:rFonts w:cs="ITCFranklinGothicStd-Book"/>
          <w:sz w:val="24"/>
          <w:szCs w:val="24"/>
        </w:rPr>
      </w:pPr>
    </w:p>
    <w:p w:rsidR="00841C00" w:rsidRPr="001D6F7B" w:rsidP="00E30E9D" w14:paraId="29C1DD6C" w14:textId="72C0E321">
      <w:pPr>
        <w:autoSpaceDE w:val="0"/>
        <w:autoSpaceDN w:val="0"/>
        <w:adjustRightInd w:val="0"/>
        <w:rPr>
          <w:rFonts w:cs="ITCFranklinGothicStd-Book"/>
          <w:sz w:val="24"/>
          <w:szCs w:val="24"/>
        </w:rPr>
      </w:pPr>
      <w:r w:rsidRPr="00841C00">
        <w:rPr>
          <w:rFonts w:cs="ITCFranklinGothicStd-Book"/>
          <w:sz w:val="24"/>
          <w:szCs w:val="24"/>
        </w:rPr>
        <w:t>The web site has been tested and continues to be tested to assure its usability.  No further procedures or methods are needed at this time</w:t>
      </w:r>
      <w:r w:rsidR="002025DF">
        <w:rPr>
          <w:rFonts w:cs="ITCFranklinGothicStd-Book"/>
          <w:sz w:val="24"/>
          <w:szCs w:val="24"/>
        </w:rPr>
        <w:t xml:space="preserve"> for the Registry</w:t>
      </w:r>
      <w:r w:rsidRPr="00841C00">
        <w:rPr>
          <w:rFonts w:cs="ITCFranklinGothicStd-Book"/>
          <w:sz w:val="24"/>
          <w:szCs w:val="24"/>
        </w:rPr>
        <w:t xml:space="preserve">.  </w:t>
      </w:r>
      <w:r w:rsidR="002025DF">
        <w:rPr>
          <w:rFonts w:cs="ITCFranklinGothicStd-Book"/>
          <w:sz w:val="24"/>
          <w:szCs w:val="24"/>
        </w:rPr>
        <w:t xml:space="preserve">The procedures and methods were tested as part of the pilot study.  Details about the pilot </w:t>
      </w:r>
      <w:r w:rsidRPr="001D6F7B" w:rsidR="002025DF">
        <w:rPr>
          <w:rFonts w:cs="ITCFranklinGothicStd-Book"/>
          <w:sz w:val="24"/>
          <w:szCs w:val="24"/>
        </w:rPr>
        <w:t xml:space="preserve">study can be found in Attachment </w:t>
      </w:r>
      <w:r w:rsidR="00B356DD">
        <w:rPr>
          <w:rFonts w:cs="ITCFranklinGothicStd-Book"/>
          <w:sz w:val="24"/>
          <w:szCs w:val="24"/>
        </w:rPr>
        <w:t>7</w:t>
      </w:r>
      <w:r w:rsidRPr="001D6F7B" w:rsidR="002025DF">
        <w:rPr>
          <w:rFonts w:cs="ITCFranklinGothicStd-Book"/>
          <w:sz w:val="24"/>
          <w:szCs w:val="24"/>
        </w:rPr>
        <w:t>.</w:t>
      </w:r>
    </w:p>
    <w:p w:rsidR="00DC57CC" w:rsidRPr="00E707C0" w:rsidP="008D0F27" w14:paraId="63C2C2DE" w14:textId="631FB3C2">
      <w:pPr>
        <w:pStyle w:val="Heading1"/>
        <w:pBdr>
          <w:bottom w:val="none" w:sz="0" w:space="0" w:color="auto"/>
        </w:pBdr>
        <w:rPr>
          <w:rFonts w:ascii="Cambria" w:hAnsi="Cambria"/>
          <w:color w:val="auto"/>
        </w:rPr>
      </w:pPr>
      <w:bookmarkStart w:id="6" w:name="_Toc121937006"/>
      <w:r w:rsidRPr="00E707C0">
        <w:rPr>
          <w:rFonts w:ascii="Cambria" w:hAnsi="Cambria"/>
          <w:color w:val="auto"/>
        </w:rPr>
        <w:t>B.</w:t>
      </w:r>
      <w:r w:rsidR="00482222">
        <w:rPr>
          <w:rFonts w:ascii="Cambria" w:hAnsi="Cambria"/>
          <w:color w:val="auto"/>
        </w:rPr>
        <w:t xml:space="preserve">5. </w:t>
      </w:r>
      <w:r w:rsidRPr="00E707C0" w:rsidR="00B45002">
        <w:rPr>
          <w:rFonts w:ascii="Cambria" w:hAnsi="Cambria"/>
          <w:color w:val="auto"/>
        </w:rPr>
        <w:t>Individuals Consulted on Statistical Aspects and Individuals Collecting and/or Analyzing Data</w:t>
      </w:r>
      <w:bookmarkEnd w:id="6"/>
    </w:p>
    <w:p w:rsidR="00B057E9" w:rsidP="00841C00" w14:paraId="11D11B5B" w14:textId="77777777">
      <w:pPr>
        <w:autoSpaceDE w:val="0"/>
        <w:autoSpaceDN w:val="0"/>
        <w:adjustRightInd w:val="0"/>
        <w:spacing w:line="240" w:lineRule="auto"/>
        <w:rPr>
          <w:rFonts w:cs="ITCFranklinGothicStd-Book"/>
          <w:sz w:val="24"/>
          <w:szCs w:val="24"/>
        </w:rPr>
      </w:pPr>
    </w:p>
    <w:p w:rsidR="00841C00" w:rsidRPr="00841C00" w:rsidP="00841C00" w14:paraId="33882AA9" w14:textId="77777777">
      <w:pPr>
        <w:autoSpaceDE w:val="0"/>
        <w:autoSpaceDN w:val="0"/>
        <w:adjustRightInd w:val="0"/>
        <w:spacing w:line="240" w:lineRule="auto"/>
        <w:rPr>
          <w:rFonts w:cs="ITCFranklinGothicStd-Book"/>
          <w:sz w:val="24"/>
          <w:szCs w:val="24"/>
        </w:rPr>
      </w:pPr>
      <w:r w:rsidRPr="00841C00">
        <w:rPr>
          <w:rFonts w:cs="ITCFranklinGothicStd-Book"/>
          <w:sz w:val="24"/>
          <w:szCs w:val="24"/>
        </w:rPr>
        <w:t xml:space="preserve">Individuals consulted on statistical aspects: </w:t>
      </w:r>
    </w:p>
    <w:p w:rsidR="00971DE4" w:rsidP="00971DE4" w14:paraId="79D8E0F3" w14:textId="77777777">
      <w:pPr>
        <w:autoSpaceDE w:val="0"/>
        <w:autoSpaceDN w:val="0"/>
        <w:adjustRightInd w:val="0"/>
        <w:spacing w:after="0" w:line="240" w:lineRule="auto"/>
        <w:rPr>
          <w:rFonts w:cs="ITCFranklinGothicStd-Book"/>
          <w:sz w:val="24"/>
          <w:szCs w:val="24"/>
        </w:rPr>
        <w:sectPr w:rsidSect="000413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1440" w:gutter="0"/>
          <w:cols w:space="720"/>
          <w:noEndnote/>
        </w:sectPr>
      </w:pPr>
    </w:p>
    <w:p w:rsidR="00841C00" w:rsidRPr="00841C00" w:rsidP="00971DE4" w14:paraId="7CA435A3" w14:textId="77E94CB6">
      <w:pPr>
        <w:autoSpaceDE w:val="0"/>
        <w:autoSpaceDN w:val="0"/>
        <w:adjustRightInd w:val="0"/>
        <w:spacing w:after="0" w:line="240" w:lineRule="auto"/>
        <w:rPr>
          <w:rFonts w:cs="ITCFranklinGothicStd-Book"/>
          <w:sz w:val="24"/>
          <w:szCs w:val="24"/>
        </w:rPr>
      </w:pPr>
      <w:r w:rsidRPr="00841C00">
        <w:rPr>
          <w:rFonts w:cs="ITCFranklinGothicStd-Book"/>
          <w:sz w:val="24"/>
          <w:szCs w:val="24"/>
        </w:rPr>
        <w:t>G. David Will</w:t>
      </w:r>
      <w:r w:rsidR="00A35DFF">
        <w:rPr>
          <w:rFonts w:cs="ITCFranklinGothicStd-Book"/>
          <w:sz w:val="24"/>
          <w:szCs w:val="24"/>
        </w:rPr>
        <w:t>i</w:t>
      </w:r>
      <w:r w:rsidRPr="00841C00">
        <w:rPr>
          <w:rFonts w:cs="ITCFranklinGothicStd-Book"/>
          <w:sz w:val="24"/>
          <w:szCs w:val="24"/>
        </w:rPr>
        <w:t>amson, PhD</w:t>
      </w:r>
    </w:p>
    <w:p w:rsidR="00841C00" w:rsidRPr="00841C00" w:rsidP="00971DE4" w14:paraId="42AAA700" w14:textId="42BC154A">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rsidR="00841C00" w:rsidRPr="00841C00" w:rsidP="00971DE4" w14:paraId="27D57D59"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rsidR="00841C00" w:rsidRPr="00841C00" w:rsidP="00971DE4" w14:paraId="44368AB6"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rsidR="00841C00" w:rsidRPr="00841C00" w:rsidP="00971DE4" w14:paraId="7B74379D"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770-488-3669</w:t>
      </w:r>
    </w:p>
    <w:p w:rsidR="00841C00" w:rsidRPr="00841C00" w:rsidP="00971DE4" w14:paraId="34867786" w14:textId="1D07DC3D">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6" w:history="1">
        <w:r w:rsidRPr="00FA32F1" w:rsidR="00D738AE">
          <w:rPr>
            <w:rStyle w:val="Hyperlink"/>
            <w:rFonts w:cs="ITCFranklinGothicStd-Book"/>
            <w:sz w:val="24"/>
            <w:szCs w:val="24"/>
          </w:rPr>
          <w:t>dxw2@cdc.gov</w:t>
        </w:r>
      </w:hyperlink>
    </w:p>
    <w:p w:rsidR="00841C00" w:rsidRPr="00841C00" w:rsidP="00971DE4" w14:paraId="24C5B168"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Ted Larson, MS</w:t>
      </w:r>
    </w:p>
    <w:p w:rsidR="00841C00" w:rsidRPr="00841C00" w:rsidP="00971DE4" w14:paraId="4F33A1CC"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Epidemiologist</w:t>
      </w:r>
    </w:p>
    <w:p w:rsidR="00841C00" w:rsidRPr="00841C00" w:rsidP="00971DE4" w14:paraId="0AD2DFBC" w14:textId="5784CBB3">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r w:rsidRPr="00841C00">
        <w:rPr>
          <w:rFonts w:cs="ITCFranklinGothicStd-Book"/>
          <w:sz w:val="24"/>
          <w:szCs w:val="24"/>
        </w:rPr>
        <w:t xml:space="preserve"> </w:t>
      </w:r>
    </w:p>
    <w:p w:rsidR="00841C00" w:rsidRPr="00841C00" w:rsidP="00971DE4" w14:paraId="56DDF3DB"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rsidR="00841C00" w:rsidRPr="00841C00" w:rsidP="00971DE4" w14:paraId="1BE0FA1E"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Atlanta, GA 30341</w:t>
      </w:r>
    </w:p>
    <w:p w:rsidR="00841C00" w:rsidRPr="00841C00" w:rsidP="00971DE4" w14:paraId="20E81768"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770-488-3695</w:t>
      </w:r>
    </w:p>
    <w:p w:rsidR="00841C00" w:rsidRPr="00841C00" w:rsidP="00971DE4" w14:paraId="02D6C7B4" w14:textId="5713770A">
      <w:pPr>
        <w:autoSpaceDE w:val="0"/>
        <w:autoSpaceDN w:val="0"/>
        <w:adjustRightInd w:val="0"/>
        <w:spacing w:after="0" w:line="240" w:lineRule="auto"/>
        <w:rPr>
          <w:rFonts w:cs="ITCFranklinGothicStd-Book"/>
          <w:sz w:val="24"/>
          <w:szCs w:val="24"/>
        </w:rPr>
      </w:pPr>
      <w:r w:rsidRPr="00841C00">
        <w:rPr>
          <w:rFonts w:cs="ITCFranklinGothicStd-Book"/>
          <w:sz w:val="24"/>
          <w:szCs w:val="24"/>
        </w:rPr>
        <w:t>Email:</w:t>
      </w:r>
      <w:r w:rsidR="000B76B5">
        <w:rPr>
          <w:rFonts w:cs="ITCFranklinGothicStd-Book"/>
          <w:sz w:val="24"/>
          <w:szCs w:val="24"/>
        </w:rPr>
        <w:t xml:space="preserve"> </w:t>
      </w:r>
      <w:hyperlink r:id="rId17" w:history="1">
        <w:r w:rsidRPr="0063759D" w:rsidR="000B76B5">
          <w:rPr>
            <w:rStyle w:val="Hyperlink"/>
            <w:rFonts w:cs="ITCFranklinGothicStd-Book"/>
            <w:sz w:val="24"/>
            <w:szCs w:val="24"/>
          </w:rPr>
          <w:t>thl3@cdc.gov</w:t>
        </w:r>
      </w:hyperlink>
      <w:r w:rsidR="000B76B5">
        <w:rPr>
          <w:rFonts w:cs="ITCFranklinGothicStd-Book"/>
          <w:sz w:val="24"/>
          <w:szCs w:val="24"/>
        </w:rPr>
        <w:t xml:space="preserve"> </w:t>
      </w:r>
    </w:p>
    <w:p w:rsidR="00841C00" w:rsidP="00971DE4" w14:paraId="1EF7E4FC" w14:textId="77777777">
      <w:pPr>
        <w:autoSpaceDE w:val="0"/>
        <w:autoSpaceDN w:val="0"/>
        <w:adjustRightInd w:val="0"/>
        <w:spacing w:after="0" w:line="240" w:lineRule="auto"/>
        <w:rPr>
          <w:rFonts w:cs="ITCFranklinGothicStd-Book"/>
          <w:sz w:val="24"/>
          <w:szCs w:val="24"/>
        </w:rPr>
      </w:pPr>
    </w:p>
    <w:p w:rsidR="00841C00" w:rsidRPr="00841C00" w:rsidP="00971DE4" w14:paraId="271847CB"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Lorene Nelson, PhD</w:t>
      </w:r>
    </w:p>
    <w:p w:rsidR="00841C00" w:rsidRPr="00841C00" w:rsidP="00971DE4" w14:paraId="69870070"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Associate Profession </w:t>
      </w:r>
    </w:p>
    <w:p w:rsidR="00841C00" w:rsidRPr="00841C00" w:rsidP="00971DE4" w14:paraId="7B28A808"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Division of Epidemiology</w:t>
      </w:r>
    </w:p>
    <w:p w:rsidR="00841C00" w:rsidRPr="00841C00" w:rsidP="00971DE4" w14:paraId="61C32D3F"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Department of Health Research &amp; Policy</w:t>
      </w:r>
    </w:p>
    <w:p w:rsidR="00841C00" w:rsidRPr="00841C00" w:rsidP="00971DE4" w14:paraId="17ABAAEC" w14:textId="6CF2E72C">
      <w:pPr>
        <w:autoSpaceDE w:val="0"/>
        <w:autoSpaceDN w:val="0"/>
        <w:adjustRightInd w:val="0"/>
        <w:spacing w:after="0" w:line="240" w:lineRule="auto"/>
        <w:rPr>
          <w:rFonts w:cs="ITCFranklinGothicStd-Book"/>
          <w:sz w:val="24"/>
          <w:szCs w:val="24"/>
        </w:rPr>
      </w:pPr>
      <w:r w:rsidRPr="00841C00">
        <w:rPr>
          <w:rFonts w:cs="ITCFranklinGothicStd-Book"/>
          <w:sz w:val="24"/>
          <w:szCs w:val="24"/>
        </w:rPr>
        <w:t>Stanford</w:t>
      </w:r>
      <w:r w:rsidRPr="00841C00">
        <w:rPr>
          <w:rFonts w:cs="ITCFranklinGothicStd-Book"/>
          <w:sz w:val="24"/>
          <w:szCs w:val="24"/>
        </w:rPr>
        <w:t xml:space="preserve"> University School of Medicine</w:t>
      </w:r>
    </w:p>
    <w:p w:rsidR="00841C00" w:rsidRPr="00841C00" w:rsidP="00971DE4" w14:paraId="2FC8DBD4"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Pasteur Drive, Room T233</w:t>
      </w:r>
    </w:p>
    <w:p w:rsidR="00841C00" w:rsidRPr="00841C00" w:rsidP="00971DE4" w14:paraId="47A6216B"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Stanford, CA 94305-5405</w:t>
      </w:r>
    </w:p>
    <w:p w:rsidR="00841C00" w:rsidRPr="00841C00" w:rsidP="00971DE4" w14:paraId="4B5CD1B3"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Phone: 650-723-6854</w:t>
      </w:r>
    </w:p>
    <w:p w:rsidR="00841C00" w:rsidP="00971DE4" w14:paraId="6007343C" w14:textId="0BB5E991">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8" w:history="1">
        <w:r w:rsidRPr="0063759D" w:rsidR="000B76B5">
          <w:rPr>
            <w:rStyle w:val="Hyperlink"/>
            <w:rFonts w:cs="ITCFranklinGothicStd-Book"/>
            <w:sz w:val="24"/>
            <w:szCs w:val="24"/>
          </w:rPr>
          <w:t>lnelson@stanford.edu</w:t>
        </w:r>
      </w:hyperlink>
      <w:r w:rsidRPr="00841C00">
        <w:rPr>
          <w:rFonts w:cs="ITCFranklinGothicStd-Book"/>
          <w:sz w:val="24"/>
          <w:szCs w:val="24"/>
        </w:rPr>
        <w:t xml:space="preserve"> </w:t>
      </w:r>
    </w:p>
    <w:p w:rsidR="0026468A" w:rsidP="00971DE4" w14:paraId="5CCE164C" w14:textId="50816B5F">
      <w:pPr>
        <w:autoSpaceDE w:val="0"/>
        <w:autoSpaceDN w:val="0"/>
        <w:adjustRightInd w:val="0"/>
        <w:spacing w:after="0" w:line="240" w:lineRule="auto"/>
        <w:rPr>
          <w:rFonts w:cs="ITCFranklinGothicStd-Book"/>
          <w:sz w:val="24"/>
          <w:szCs w:val="24"/>
        </w:rPr>
      </w:pPr>
    </w:p>
    <w:p w:rsidR="0026468A" w:rsidP="00971DE4" w14:paraId="10010563" w14:textId="4195F018">
      <w:pPr>
        <w:autoSpaceDE w:val="0"/>
        <w:autoSpaceDN w:val="0"/>
        <w:adjustRightInd w:val="0"/>
        <w:spacing w:after="0" w:line="240" w:lineRule="auto"/>
        <w:rPr>
          <w:rFonts w:cs="ITCFranklinGothicStd-Book"/>
          <w:sz w:val="24"/>
          <w:szCs w:val="24"/>
        </w:rPr>
      </w:pPr>
      <w:r>
        <w:rPr>
          <w:rFonts w:cs="ITCFranklinGothicStd-Book"/>
          <w:sz w:val="24"/>
          <w:szCs w:val="24"/>
        </w:rPr>
        <w:t>Jaime Raymond, MPH</w:t>
      </w:r>
    </w:p>
    <w:p w:rsidR="0026468A" w:rsidP="00971DE4" w14:paraId="30289572" w14:textId="064EACB3">
      <w:pPr>
        <w:autoSpaceDE w:val="0"/>
        <w:autoSpaceDN w:val="0"/>
        <w:adjustRightInd w:val="0"/>
        <w:spacing w:after="0" w:line="240" w:lineRule="auto"/>
        <w:rPr>
          <w:rFonts w:cs="ITCFranklinGothicStd-Book"/>
          <w:sz w:val="24"/>
          <w:szCs w:val="24"/>
        </w:rPr>
      </w:pPr>
      <w:r>
        <w:rPr>
          <w:rFonts w:cs="ITCFranklinGothicStd-Book"/>
          <w:sz w:val="24"/>
          <w:szCs w:val="24"/>
        </w:rPr>
        <w:t>Data Manager</w:t>
      </w:r>
    </w:p>
    <w:p w:rsidR="0026468A" w:rsidP="00971DE4" w14:paraId="134412EA" w14:textId="31C1689D">
      <w:pPr>
        <w:autoSpaceDE w:val="0"/>
        <w:autoSpaceDN w:val="0"/>
        <w:adjustRightInd w:val="0"/>
        <w:spacing w:after="0" w:line="240" w:lineRule="auto"/>
        <w:rPr>
          <w:rFonts w:cs="ITCFranklinGothicStd-Book"/>
          <w:sz w:val="24"/>
          <w:szCs w:val="24"/>
        </w:rPr>
      </w:pPr>
      <w:r>
        <w:rPr>
          <w:rFonts w:cs="ITCFranklinGothicStd-Book"/>
          <w:sz w:val="24"/>
          <w:szCs w:val="24"/>
        </w:rPr>
        <w:t>ATSDR</w:t>
      </w:r>
    </w:p>
    <w:p w:rsidR="0026468A" w:rsidP="00971DE4" w14:paraId="63D70E0C" w14:textId="5FE1E9BB">
      <w:pPr>
        <w:autoSpaceDE w:val="0"/>
        <w:autoSpaceDN w:val="0"/>
        <w:adjustRightInd w:val="0"/>
        <w:spacing w:after="0" w:line="240" w:lineRule="auto"/>
        <w:rPr>
          <w:rFonts w:cs="ITCFranklinGothicStd-Book"/>
          <w:sz w:val="24"/>
          <w:szCs w:val="24"/>
        </w:rPr>
      </w:pPr>
      <w:r>
        <w:rPr>
          <w:rFonts w:cs="ITCFranklinGothicStd-Book"/>
          <w:sz w:val="24"/>
          <w:szCs w:val="24"/>
        </w:rPr>
        <w:t>4770 Buford Highway, MS F-57</w:t>
      </w:r>
    </w:p>
    <w:p w:rsidR="0026468A" w:rsidP="00971DE4" w14:paraId="78D08E6F" w14:textId="05BB8F7D">
      <w:pPr>
        <w:autoSpaceDE w:val="0"/>
        <w:autoSpaceDN w:val="0"/>
        <w:adjustRightInd w:val="0"/>
        <w:spacing w:after="0" w:line="240" w:lineRule="auto"/>
        <w:rPr>
          <w:rFonts w:cs="ITCFranklinGothicStd-Book"/>
          <w:sz w:val="24"/>
          <w:szCs w:val="24"/>
        </w:rPr>
      </w:pPr>
      <w:r>
        <w:rPr>
          <w:rFonts w:cs="ITCFranklinGothicStd-Book"/>
          <w:sz w:val="24"/>
          <w:szCs w:val="24"/>
        </w:rPr>
        <w:t>Atlanta, GA 30341</w:t>
      </w:r>
    </w:p>
    <w:p w:rsidR="0026468A" w:rsidP="00971DE4" w14:paraId="077C5CB8" w14:textId="215970AF">
      <w:pPr>
        <w:autoSpaceDE w:val="0"/>
        <w:autoSpaceDN w:val="0"/>
        <w:adjustRightInd w:val="0"/>
        <w:spacing w:after="0" w:line="240" w:lineRule="auto"/>
        <w:rPr>
          <w:rFonts w:cs="ITCFranklinGothicStd-Book"/>
          <w:sz w:val="24"/>
          <w:szCs w:val="24"/>
        </w:rPr>
      </w:pPr>
      <w:r>
        <w:rPr>
          <w:rFonts w:cs="ITCFranklinGothicStd-Book"/>
          <w:sz w:val="24"/>
          <w:szCs w:val="24"/>
        </w:rPr>
        <w:t>Phone: 770-488-3627</w:t>
      </w:r>
    </w:p>
    <w:p w:rsidR="0026468A" w:rsidP="00971DE4" w14:paraId="7F44BE04" w14:textId="0E6B4FFA">
      <w:pPr>
        <w:autoSpaceDE w:val="0"/>
        <w:autoSpaceDN w:val="0"/>
        <w:adjustRightInd w:val="0"/>
        <w:spacing w:after="0" w:line="240" w:lineRule="auto"/>
        <w:rPr>
          <w:rFonts w:cs="ITCFranklinGothicStd-Book"/>
          <w:sz w:val="24"/>
          <w:szCs w:val="24"/>
        </w:rPr>
      </w:pPr>
      <w:r>
        <w:rPr>
          <w:rFonts w:cs="ITCFranklinGothicStd-Book"/>
          <w:sz w:val="24"/>
          <w:szCs w:val="24"/>
        </w:rPr>
        <w:t>Email: zvu0@cdc.gov</w:t>
      </w:r>
    </w:p>
    <w:p w:rsidR="0026468A" w:rsidRPr="00841C00" w:rsidP="00971DE4" w14:paraId="663ABCF9" w14:textId="77777777">
      <w:pPr>
        <w:autoSpaceDE w:val="0"/>
        <w:autoSpaceDN w:val="0"/>
        <w:adjustRightInd w:val="0"/>
        <w:spacing w:after="0" w:line="240" w:lineRule="auto"/>
        <w:rPr>
          <w:rFonts w:cs="ITCFranklinGothicStd-Book"/>
          <w:sz w:val="24"/>
          <w:szCs w:val="24"/>
        </w:rPr>
        <w:sectPr w:rsidSect="00971DE4">
          <w:type w:val="continuous"/>
          <w:pgSz w:w="12240" w:h="15840"/>
          <w:pgMar w:top="1440" w:right="1440" w:bottom="1440" w:left="1440" w:header="1440" w:footer="1440" w:gutter="0"/>
          <w:cols w:num="2" w:space="720"/>
          <w:noEndnote/>
        </w:sectPr>
      </w:pPr>
    </w:p>
    <w:p w:rsidR="00841C00" w:rsidRPr="00841C00" w:rsidP="00971DE4" w14:paraId="0F6BDA5C" w14:textId="1C1F78CB">
      <w:pPr>
        <w:autoSpaceDE w:val="0"/>
        <w:autoSpaceDN w:val="0"/>
        <w:adjustRightInd w:val="0"/>
        <w:spacing w:after="0" w:line="240" w:lineRule="auto"/>
        <w:rPr>
          <w:rFonts w:cs="ITCFranklinGothicStd-Book"/>
          <w:sz w:val="24"/>
          <w:szCs w:val="24"/>
        </w:rPr>
        <w:sectPr w:rsidSect="00971DE4">
          <w:type w:val="continuous"/>
          <w:pgSz w:w="12240" w:h="15840"/>
          <w:pgMar w:top="1440" w:right="1440" w:bottom="1440" w:left="1440" w:header="1440" w:footer="1440" w:gutter="0"/>
          <w:cols w:num="2" w:space="720"/>
          <w:noEndnote/>
        </w:sectPr>
      </w:pPr>
    </w:p>
    <w:p w:rsidR="00841C00" w:rsidRPr="00841C00" w:rsidP="00971DE4" w14:paraId="37A4B8DD"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Person responsible for oversight, data collection, and analysis: </w:t>
      </w:r>
    </w:p>
    <w:p w:rsidR="001D525B" w:rsidP="00971DE4" w14:paraId="499FFE48" w14:textId="77777777">
      <w:pPr>
        <w:autoSpaceDE w:val="0"/>
        <w:autoSpaceDN w:val="0"/>
        <w:adjustRightInd w:val="0"/>
        <w:spacing w:after="0" w:line="240" w:lineRule="auto"/>
        <w:rPr>
          <w:rFonts w:cs="ITCFranklinGothicStd-Book"/>
          <w:sz w:val="24"/>
          <w:szCs w:val="24"/>
        </w:rPr>
        <w:sectPr w:rsidSect="002E1563">
          <w:type w:val="continuous"/>
          <w:pgSz w:w="12240" w:h="15840"/>
          <w:pgMar w:top="1440" w:right="1440" w:bottom="1440" w:left="1440" w:header="1440" w:footer="1440" w:gutter="0"/>
          <w:cols w:space="720"/>
          <w:noEndnote/>
        </w:sectPr>
      </w:pPr>
    </w:p>
    <w:p w:rsidR="00133503" w:rsidP="00971DE4" w14:paraId="34D57858" w14:textId="77777777">
      <w:pPr>
        <w:autoSpaceDE w:val="0"/>
        <w:autoSpaceDN w:val="0"/>
        <w:adjustRightInd w:val="0"/>
        <w:spacing w:after="0" w:line="240" w:lineRule="auto"/>
        <w:rPr>
          <w:rFonts w:cs="ITCFranklinGothicStd-Book"/>
          <w:sz w:val="24"/>
          <w:szCs w:val="24"/>
        </w:rPr>
      </w:pPr>
    </w:p>
    <w:p w:rsidR="00841C00" w:rsidRPr="00841C00" w:rsidP="00971DE4" w14:paraId="6170B0EB"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Paul Mehta, MD</w:t>
      </w:r>
    </w:p>
    <w:p w:rsidR="00841C00" w:rsidRPr="00841C00" w:rsidP="00971DE4" w14:paraId="3B400110"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Principal Investigator</w:t>
      </w:r>
    </w:p>
    <w:p w:rsidR="00841C00" w:rsidRPr="00841C00" w:rsidP="00971DE4" w14:paraId="2175868D" w14:textId="20176A82">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0413E6">
        <w:rPr>
          <w:rFonts w:cs="ITCFranklinGothicStd-Book"/>
          <w:sz w:val="24"/>
          <w:szCs w:val="24"/>
        </w:rPr>
        <w:t>TSDR</w:t>
      </w:r>
    </w:p>
    <w:p w:rsidR="00841C00" w:rsidRPr="00841C00" w:rsidP="00971DE4" w14:paraId="34B78A7E"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rsidR="00841C00" w:rsidRPr="00841C00" w:rsidP="00971DE4" w14:paraId="0048D141"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rsidR="00841C00" w:rsidRPr="00841C00" w:rsidP="00971DE4" w14:paraId="0490570D"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770-488-0556</w:t>
      </w:r>
    </w:p>
    <w:p w:rsidR="00841C00" w:rsidRPr="00841C00" w:rsidP="00971DE4" w14:paraId="30683630"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5" w:history="1">
        <w:r w:rsidRPr="00841C00">
          <w:rPr>
            <w:rStyle w:val="Hyperlink"/>
            <w:rFonts w:cs="ITCFranklinGothicStd-Book"/>
            <w:sz w:val="24"/>
            <w:szCs w:val="24"/>
          </w:rPr>
          <w:t>pum4@cdc.gov</w:t>
        </w:r>
      </w:hyperlink>
    </w:p>
    <w:p w:rsidR="00841C00" w:rsidRPr="00841C00" w:rsidP="00971DE4" w14:paraId="28F39496" w14:textId="77777777">
      <w:pPr>
        <w:autoSpaceDE w:val="0"/>
        <w:autoSpaceDN w:val="0"/>
        <w:adjustRightInd w:val="0"/>
        <w:spacing w:after="0" w:line="240" w:lineRule="auto"/>
        <w:rPr>
          <w:rFonts w:cs="ITCFranklinGothicStd-Book"/>
          <w:sz w:val="24"/>
          <w:szCs w:val="24"/>
        </w:rPr>
      </w:pPr>
    </w:p>
    <w:p w:rsidR="00841C00" w:rsidRPr="00841C00" w:rsidP="00971DE4" w14:paraId="2397F42E"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Wendy E. Kaye, PhD</w:t>
      </w:r>
    </w:p>
    <w:p w:rsidR="00841C00" w:rsidRPr="00841C00" w:rsidP="00971DE4" w14:paraId="177F54F4"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Point of Contact</w:t>
      </w:r>
    </w:p>
    <w:p w:rsidR="00841C00" w:rsidP="00971DE4" w14:paraId="0AEAD45F" w14:textId="585AB1D0">
      <w:pPr>
        <w:autoSpaceDE w:val="0"/>
        <w:autoSpaceDN w:val="0"/>
        <w:adjustRightInd w:val="0"/>
        <w:spacing w:after="0" w:line="240" w:lineRule="auto"/>
        <w:rPr>
          <w:rFonts w:cs="ITCFranklinGothicStd-Book"/>
          <w:sz w:val="24"/>
          <w:szCs w:val="24"/>
        </w:rPr>
      </w:pPr>
      <w:r w:rsidRPr="00841C00">
        <w:rPr>
          <w:rFonts w:cs="ITCFranklinGothicStd-Book"/>
          <w:sz w:val="24"/>
          <w:szCs w:val="24"/>
        </w:rPr>
        <w:t>A</w:t>
      </w:r>
      <w:r w:rsidR="005D5083">
        <w:rPr>
          <w:rFonts w:cs="ITCFranklinGothicStd-Book"/>
          <w:sz w:val="24"/>
          <w:szCs w:val="24"/>
        </w:rPr>
        <w:t>TSDR</w:t>
      </w:r>
    </w:p>
    <w:p w:rsidR="00133503" w:rsidRPr="00841C00" w:rsidP="00133503" w14:paraId="7B15DE82"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4770 Buford Highway, MS F-57</w:t>
      </w:r>
    </w:p>
    <w:p w:rsidR="00133503" w:rsidRPr="00841C00" w:rsidP="00133503" w14:paraId="11062C12"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Atlanta, GA 30341 </w:t>
      </w:r>
    </w:p>
    <w:p w:rsidR="00841C00" w:rsidRPr="00841C00" w:rsidP="00971DE4" w14:paraId="6DE1F36C"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Phone: 770-488-3696</w:t>
      </w:r>
    </w:p>
    <w:p w:rsidR="00841C00" w:rsidRPr="00841C00" w:rsidP="00971DE4" w14:paraId="1044738E"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 xml:space="preserve">Email: </w:t>
      </w:r>
      <w:hyperlink r:id="rId19" w:history="1">
        <w:r w:rsidRPr="00841C00">
          <w:rPr>
            <w:rStyle w:val="Hyperlink"/>
            <w:rFonts w:cs="ITCFranklinGothicStd-Book"/>
            <w:sz w:val="24"/>
            <w:szCs w:val="24"/>
          </w:rPr>
          <w:t>wek1@cdc.gov</w:t>
        </w:r>
      </w:hyperlink>
    </w:p>
    <w:p w:rsidR="00841C00" w:rsidRPr="00841C00" w:rsidP="00971DE4" w14:paraId="1F039DD4" w14:textId="77777777">
      <w:pPr>
        <w:autoSpaceDE w:val="0"/>
        <w:autoSpaceDN w:val="0"/>
        <w:adjustRightInd w:val="0"/>
        <w:spacing w:after="0" w:line="240" w:lineRule="auto"/>
        <w:rPr>
          <w:rFonts w:cs="ITCFranklinGothicStd-Book"/>
          <w:sz w:val="24"/>
          <w:szCs w:val="24"/>
        </w:rPr>
        <w:sectPr w:rsidSect="00971DE4">
          <w:type w:val="continuous"/>
          <w:pgSz w:w="12240" w:h="15840"/>
          <w:pgMar w:top="1440" w:right="1440" w:bottom="1440" w:left="1440" w:header="1440" w:footer="1440" w:gutter="0"/>
          <w:cols w:num="2" w:space="720"/>
          <w:noEndnote/>
        </w:sectPr>
      </w:pPr>
    </w:p>
    <w:p w:rsidR="00C47843" w:rsidP="00575177" w14:paraId="2607BFB4" w14:textId="77777777">
      <w:pPr>
        <w:pStyle w:val="Heading1"/>
        <w:pBdr>
          <w:bottom w:val="none" w:sz="0" w:space="0" w:color="auto"/>
        </w:pBdr>
        <w:rPr>
          <w:rFonts w:ascii="Cambria" w:hAnsi="Cambria"/>
          <w:color w:val="auto"/>
        </w:rPr>
      </w:pPr>
      <w:bookmarkStart w:id="7" w:name="_Toc453945976"/>
      <w:bookmarkStart w:id="8" w:name="_Toc432356299"/>
    </w:p>
    <w:p w:rsidR="00575177" w:rsidP="00575177" w14:paraId="2B70A0E9" w14:textId="125227EC">
      <w:pPr>
        <w:pStyle w:val="Heading1"/>
        <w:pBdr>
          <w:bottom w:val="none" w:sz="0" w:space="0" w:color="auto"/>
        </w:pBdr>
        <w:rPr>
          <w:rFonts w:ascii="Cambria" w:hAnsi="Cambria"/>
          <w:color w:val="auto"/>
        </w:rPr>
      </w:pPr>
      <w:bookmarkStart w:id="9" w:name="_Toc121937007"/>
      <w:r w:rsidRPr="00D20211">
        <w:rPr>
          <w:rFonts w:ascii="Cambria" w:hAnsi="Cambria"/>
          <w:color w:val="auto"/>
        </w:rPr>
        <w:t>References</w:t>
      </w:r>
      <w:bookmarkEnd w:id="7"/>
      <w:bookmarkEnd w:id="9"/>
    </w:p>
    <w:p w:rsidR="00575177" w:rsidRPr="00E62ACF" w:rsidP="00575177" w14:paraId="1AD9E144" w14:textId="77777777"/>
    <w:p w:rsidR="00CF1DCB" w:rsidRPr="00C67283" w:rsidP="00CF1DCB" w14:paraId="5FCC931A" w14:textId="77777777">
      <w:pPr>
        <w:pStyle w:val="ListParagraph"/>
        <w:numPr>
          <w:ilvl w:val="0"/>
          <w:numId w:val="24"/>
        </w:numPr>
        <w:spacing w:before="240"/>
        <w:contextualSpacing w:val="0"/>
        <w:rPr>
          <w:rFonts w:ascii="Calibri" w:eastAsia="Calibri" w:hAnsi="Calibri"/>
          <w:bCs/>
          <w:sz w:val="24"/>
          <w:szCs w:val="24"/>
        </w:rPr>
      </w:pPr>
      <w:r w:rsidRPr="00C67283">
        <w:rPr>
          <w:rFonts w:cs="Adobe Garamond Pro"/>
          <w:color w:val="000000"/>
          <w:sz w:val="24"/>
          <w:szCs w:val="24"/>
        </w:rPr>
        <w:t xml:space="preserve">Kaye WE, Sanchez M, Wu J. Feasibility of creating a national ALS registry using administrative data in the United States. </w:t>
      </w:r>
      <w:r w:rsidRPr="00C67283">
        <w:rPr>
          <w:rFonts w:cs="Adobe Garamond Pro"/>
          <w:color w:val="000000"/>
          <w:sz w:val="24"/>
          <w:szCs w:val="24"/>
        </w:rPr>
        <w:t>Amyotroph</w:t>
      </w:r>
      <w:r w:rsidRPr="00C67283">
        <w:rPr>
          <w:rFonts w:cs="Adobe Garamond Pro"/>
          <w:color w:val="000000"/>
          <w:sz w:val="24"/>
          <w:szCs w:val="24"/>
        </w:rPr>
        <w:t xml:space="preserve"> Lateral </w:t>
      </w:r>
      <w:r w:rsidRPr="00C67283">
        <w:rPr>
          <w:rFonts w:cs="Adobe Garamond Pro"/>
          <w:color w:val="000000"/>
          <w:sz w:val="24"/>
          <w:szCs w:val="24"/>
        </w:rPr>
        <w:t>Scler</w:t>
      </w:r>
      <w:r w:rsidRPr="00C67283">
        <w:rPr>
          <w:rFonts w:cs="Adobe Garamond Pro"/>
          <w:color w:val="000000"/>
          <w:sz w:val="24"/>
          <w:szCs w:val="24"/>
        </w:rPr>
        <w:t xml:space="preserve"> Frontotemporal </w:t>
      </w:r>
      <w:r w:rsidRPr="00C67283">
        <w:rPr>
          <w:rFonts w:cs="Adobe Garamond Pro"/>
          <w:color w:val="000000"/>
          <w:sz w:val="24"/>
          <w:szCs w:val="24"/>
        </w:rPr>
        <w:t>Degener</w:t>
      </w:r>
      <w:r w:rsidRPr="00C67283">
        <w:rPr>
          <w:rFonts w:cs="Adobe Garamond Pro"/>
          <w:color w:val="000000"/>
          <w:sz w:val="24"/>
          <w:szCs w:val="24"/>
        </w:rPr>
        <w:t xml:space="preserve"> 2014;15:433–9. </w:t>
      </w:r>
      <w:hyperlink r:id="rId20" w:history="1">
        <w:r w:rsidRPr="00C67283">
          <w:rPr>
            <w:rStyle w:val="Hyperlink"/>
            <w:rFonts w:cs="Adobe Garamond Pro"/>
            <w:sz w:val="24"/>
            <w:szCs w:val="24"/>
          </w:rPr>
          <w:t>http://dx.doi.org/10.3109/2 1678421.2014.887119</w:t>
        </w:r>
      </w:hyperlink>
    </w:p>
    <w:p w:rsidR="005E458C" w:rsidRPr="005E458C" w:rsidP="005E458C" w14:paraId="66552CDB" w14:textId="77777777">
      <w:pPr>
        <w:pStyle w:val="ListParagraph"/>
        <w:numPr>
          <w:ilvl w:val="0"/>
          <w:numId w:val="24"/>
        </w:numPr>
        <w:rPr>
          <w:rFonts w:cs="Adobe Garamond Pro"/>
          <w:bCs/>
          <w:color w:val="000000"/>
          <w:sz w:val="24"/>
          <w:szCs w:val="24"/>
        </w:rPr>
      </w:pPr>
      <w:r w:rsidRPr="005E458C">
        <w:rPr>
          <w:rFonts w:cs="Adobe Garamond Pro"/>
          <w:bCs/>
          <w:color w:val="000000"/>
          <w:sz w:val="24"/>
          <w:szCs w:val="24"/>
        </w:rPr>
        <w:t>Mehta P, Raymond J, Punjani R, et al. Prevalence of amyotrophic lateral sclerosis in the United States using established and novel methodologies, 2017. Amyotrophic Lateral Sclerosis and Frontotemporal Degeneration 2022, DOI: 10.1080/21678421.2022.2059380</w:t>
      </w:r>
    </w:p>
    <w:p w:rsidR="005E458C" w:rsidP="005E458C" w14:paraId="45F098E4" w14:textId="77777777">
      <w:pPr>
        <w:pStyle w:val="ListParagraph"/>
        <w:spacing w:before="240" w:after="240"/>
        <w:ind w:left="360"/>
        <w:rPr>
          <w:rFonts w:cs="Adobe Garamond Pro"/>
          <w:bCs/>
          <w:color w:val="000000"/>
          <w:sz w:val="24"/>
          <w:szCs w:val="24"/>
        </w:rPr>
      </w:pPr>
    </w:p>
    <w:p w:rsidR="00C47843" w:rsidP="00855B03" w14:paraId="3AA1E850" w14:textId="723A5188">
      <w:pPr>
        <w:pStyle w:val="ListParagraph"/>
        <w:numPr>
          <w:ilvl w:val="0"/>
          <w:numId w:val="24"/>
        </w:numPr>
        <w:rPr>
          <w:rFonts w:cs="Adobe Garamond Pro"/>
          <w:bCs/>
          <w:color w:val="000000"/>
          <w:sz w:val="24"/>
          <w:szCs w:val="24"/>
        </w:rPr>
      </w:pPr>
      <w:r w:rsidRPr="00C47843">
        <w:rPr>
          <w:rFonts w:cs="Adobe Garamond Pro"/>
          <w:bCs/>
          <w:color w:val="000000"/>
          <w:sz w:val="24"/>
          <w:szCs w:val="24"/>
        </w:rPr>
        <w:t>Mehta P, Raymond J, Punjani R, et al. Incidence of amyotrophic lateral sclerosis in the United States, 2014–2016, Amyotrophic Lateral Sclerosis and Frontotemporal Degeneration 2022, 23:5-6, 378-382, DOI: 10.1080/21678421.2021.2023190</w:t>
      </w:r>
    </w:p>
    <w:p w:rsidR="00C47843" w:rsidRPr="00C47843" w:rsidP="00C47843" w14:paraId="12B7BCAB" w14:textId="77777777">
      <w:pPr>
        <w:pStyle w:val="ListParagraph"/>
        <w:rPr>
          <w:rFonts w:cs="Adobe Garamond Pro"/>
          <w:bCs/>
          <w:color w:val="000000"/>
          <w:sz w:val="24"/>
          <w:szCs w:val="24"/>
        </w:rPr>
      </w:pPr>
    </w:p>
    <w:p w:rsidR="00C47843" w:rsidRPr="00C47843" w:rsidP="00C47843" w14:paraId="4256B056" w14:textId="77777777">
      <w:pPr>
        <w:pStyle w:val="ListParagraph"/>
        <w:ind w:left="360"/>
        <w:rPr>
          <w:rFonts w:cs="Adobe Garamond Pro"/>
          <w:bCs/>
          <w:color w:val="000000"/>
          <w:sz w:val="24"/>
          <w:szCs w:val="24"/>
        </w:rPr>
      </w:pPr>
    </w:p>
    <w:p w:rsidR="00C47843" w:rsidP="00C47843" w14:paraId="05BD2B9C" w14:textId="77777777">
      <w:pPr>
        <w:pStyle w:val="ListParagraph"/>
        <w:numPr>
          <w:ilvl w:val="0"/>
          <w:numId w:val="24"/>
        </w:numPr>
        <w:spacing w:before="240" w:after="240"/>
        <w:rPr>
          <w:rFonts w:cs="Adobe Garamond Pro"/>
          <w:bCs/>
          <w:color w:val="000000"/>
          <w:sz w:val="24"/>
          <w:szCs w:val="24"/>
        </w:rPr>
      </w:pPr>
      <w:r w:rsidRPr="0026468A">
        <w:rPr>
          <w:rFonts w:cs="Adobe Garamond Pro"/>
          <w:bCs/>
          <w:color w:val="000000"/>
          <w:sz w:val="24"/>
          <w:szCs w:val="24"/>
        </w:rPr>
        <w:t xml:space="preserve">Kaye WE, Wagner L, Wu R, Mehta P. Evaluating the completeness of the national ALS registry, United States. </w:t>
      </w:r>
      <w:r w:rsidRPr="0026468A">
        <w:rPr>
          <w:rFonts w:cs="Adobe Garamond Pro"/>
          <w:bCs/>
          <w:color w:val="000000"/>
          <w:sz w:val="24"/>
          <w:szCs w:val="24"/>
        </w:rPr>
        <w:t>Amyotroph</w:t>
      </w:r>
      <w:r w:rsidRPr="0026468A">
        <w:rPr>
          <w:rFonts w:cs="Adobe Garamond Pro"/>
          <w:bCs/>
          <w:color w:val="000000"/>
          <w:sz w:val="24"/>
          <w:szCs w:val="24"/>
        </w:rPr>
        <w:t xml:space="preserve"> Lateral </w:t>
      </w:r>
      <w:r w:rsidRPr="0026468A">
        <w:rPr>
          <w:rFonts w:cs="Adobe Garamond Pro"/>
          <w:bCs/>
          <w:color w:val="000000"/>
          <w:sz w:val="24"/>
          <w:szCs w:val="24"/>
        </w:rPr>
        <w:t>Scler</w:t>
      </w:r>
      <w:r w:rsidRPr="0026468A">
        <w:rPr>
          <w:rFonts w:cs="Adobe Garamond Pro"/>
          <w:bCs/>
          <w:color w:val="000000"/>
          <w:sz w:val="24"/>
          <w:szCs w:val="24"/>
        </w:rPr>
        <w:t xml:space="preserve"> Frontotemporal </w:t>
      </w:r>
      <w:r w:rsidRPr="0026468A">
        <w:rPr>
          <w:rFonts w:cs="Adobe Garamond Pro"/>
          <w:bCs/>
          <w:color w:val="000000"/>
          <w:sz w:val="24"/>
          <w:szCs w:val="24"/>
        </w:rPr>
        <w:t>Degener</w:t>
      </w:r>
      <w:r w:rsidRPr="0026468A">
        <w:rPr>
          <w:rFonts w:cs="Adobe Garamond Pro"/>
          <w:bCs/>
          <w:color w:val="000000"/>
          <w:sz w:val="24"/>
          <w:szCs w:val="24"/>
        </w:rPr>
        <w:t xml:space="preserve"> 2018;19:112–7.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C47843" w:rsidRPr="00C47843" w:rsidP="00C47843" w14:paraId="6B9521C0" w14:textId="77777777">
      <w:pPr>
        <w:pStyle w:val="ListParagraph"/>
        <w:rPr>
          <w:rFonts w:cs="Adobe Garamond Pro"/>
          <w:bCs/>
          <w:color w:val="000000"/>
          <w:sz w:val="24"/>
          <w:szCs w:val="24"/>
        </w:rPr>
      </w:pPr>
    </w:p>
    <w:p w:rsidR="0026468A" w:rsidP="0026468A" w14:paraId="48B6E29F" w14:textId="5D833C6F">
      <w:pPr>
        <w:pStyle w:val="ListParagraph"/>
        <w:numPr>
          <w:ilvl w:val="0"/>
          <w:numId w:val="24"/>
        </w:numPr>
        <w:spacing w:before="240" w:after="240"/>
        <w:rPr>
          <w:rFonts w:cs="Adobe Garamond Pro"/>
          <w:bCs/>
          <w:color w:val="000000"/>
          <w:sz w:val="24"/>
          <w:szCs w:val="24"/>
        </w:rPr>
      </w:pPr>
      <w:r w:rsidRPr="0026468A">
        <w:rPr>
          <w:rFonts w:cs="Adobe Garamond Pro"/>
          <w:bCs/>
          <w:color w:val="000000"/>
          <w:sz w:val="24"/>
          <w:szCs w:val="24"/>
        </w:rPr>
        <w:t xml:space="preserve">Kaye WE, Wagner L, Wu R, Mehta P. Evaluating the completeness of the national ALS registry, United States. </w:t>
      </w:r>
      <w:r w:rsidRPr="0026468A">
        <w:rPr>
          <w:rFonts w:cs="Adobe Garamond Pro"/>
          <w:bCs/>
          <w:color w:val="000000"/>
          <w:sz w:val="24"/>
          <w:szCs w:val="24"/>
        </w:rPr>
        <w:t>Amyotroph</w:t>
      </w:r>
      <w:r w:rsidRPr="0026468A">
        <w:rPr>
          <w:rFonts w:cs="Adobe Garamond Pro"/>
          <w:bCs/>
          <w:color w:val="000000"/>
          <w:sz w:val="24"/>
          <w:szCs w:val="24"/>
        </w:rPr>
        <w:t xml:space="preserve"> Lateral </w:t>
      </w:r>
      <w:r w:rsidRPr="0026468A">
        <w:rPr>
          <w:rFonts w:cs="Adobe Garamond Pro"/>
          <w:bCs/>
          <w:color w:val="000000"/>
          <w:sz w:val="24"/>
          <w:szCs w:val="24"/>
        </w:rPr>
        <w:t>Scler</w:t>
      </w:r>
      <w:r w:rsidRPr="0026468A">
        <w:rPr>
          <w:rFonts w:cs="Adobe Garamond Pro"/>
          <w:bCs/>
          <w:color w:val="000000"/>
          <w:sz w:val="24"/>
          <w:szCs w:val="24"/>
        </w:rPr>
        <w:t xml:space="preserve"> Frontotemporal </w:t>
      </w:r>
      <w:r w:rsidRPr="0026468A">
        <w:rPr>
          <w:rFonts w:cs="Adobe Garamond Pro"/>
          <w:bCs/>
          <w:color w:val="000000"/>
          <w:sz w:val="24"/>
          <w:szCs w:val="24"/>
        </w:rPr>
        <w:t>Degener</w:t>
      </w:r>
      <w:r w:rsidRPr="0026468A">
        <w:rPr>
          <w:rFonts w:cs="Adobe Garamond Pro"/>
          <w:bCs/>
          <w:color w:val="000000"/>
          <w:sz w:val="24"/>
          <w:szCs w:val="24"/>
        </w:rPr>
        <w:t xml:space="preserve"> 2018;19:112–7.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26468A" w:rsidRPr="0026468A" w:rsidP="0026468A" w14:paraId="7F65FD11" w14:textId="77777777">
      <w:pPr>
        <w:pStyle w:val="ListParagraph"/>
        <w:spacing w:before="240" w:after="240"/>
        <w:ind w:left="360"/>
        <w:rPr>
          <w:rFonts w:cs="Adobe Garamond Pro"/>
          <w:bCs/>
          <w:color w:val="000000"/>
          <w:sz w:val="24"/>
          <w:szCs w:val="24"/>
        </w:rPr>
      </w:pPr>
    </w:p>
    <w:p w:rsidR="0026468A" w:rsidRPr="0026468A" w:rsidP="0026468A" w14:paraId="45DDEE90" w14:textId="77777777">
      <w:pPr>
        <w:pStyle w:val="ListParagraph"/>
        <w:numPr>
          <w:ilvl w:val="0"/>
          <w:numId w:val="24"/>
        </w:numPr>
        <w:spacing w:before="360"/>
        <w:rPr>
          <w:rFonts w:cs="Adobe Garamond Pro"/>
          <w:bCs/>
          <w:color w:val="000000"/>
          <w:sz w:val="24"/>
          <w:szCs w:val="24"/>
        </w:rPr>
      </w:pPr>
      <w:r w:rsidRPr="0026468A">
        <w:rPr>
          <w:rFonts w:cs="Adobe Garamond Pro"/>
          <w:bCs/>
          <w:color w:val="000000"/>
          <w:sz w:val="24"/>
          <w:szCs w:val="24"/>
        </w:rPr>
        <w:t xml:space="preserve">Nelson LM, Topol B, Kaye W, et al. Estimation of the prevalence of amyotrophic lateral sclerosis in the United States using national administrative healthcare data from 2002 to 2004 and capture-recapture methodology. Neuroepidemiology 2018;51:149–57.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CF1DCB" w:rsidP="00CF1DCB" w14:paraId="563E6F4A"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w:t>
      </w:r>
      <w:r w:rsidRPr="00C63517">
        <w:rPr>
          <w:rFonts w:cs="Adobe Garamond Pro"/>
          <w:color w:val="000000"/>
          <w:sz w:val="24"/>
          <w:szCs w:val="24"/>
        </w:rPr>
        <w:t>Fagliano</w:t>
      </w:r>
      <w:r w:rsidRPr="00C63517">
        <w:rPr>
          <w:rFonts w:cs="Adobe Garamond Pro"/>
          <w:color w:val="000000"/>
          <w:sz w:val="24"/>
          <w:szCs w:val="24"/>
        </w:rPr>
        <w:t xml:space="preserve"> J, </w:t>
      </w:r>
      <w:r w:rsidRPr="00C63517">
        <w:rPr>
          <w:rFonts w:cs="Adobe Garamond Pro"/>
          <w:color w:val="000000"/>
          <w:sz w:val="24"/>
          <w:szCs w:val="24"/>
        </w:rPr>
        <w:t>Rechtman</w:t>
      </w:r>
      <w:r w:rsidRPr="00C63517">
        <w:rPr>
          <w:rFonts w:cs="Adobe Garamond Pro"/>
          <w:color w:val="000000"/>
          <w:sz w:val="24"/>
          <w:szCs w:val="24"/>
        </w:rPr>
        <w:t xml:space="preserve"> L, Lefkowitz D, Kaye W. Population-based surveillance of amyotrophic lateral sclerosis in New Jersey, 2009–2011. Neuroepidemiology 2014;43:49–56. http://dx.doi. org/10.1159/000365850</w:t>
      </w:r>
    </w:p>
    <w:p w:rsidR="00CF1DCB" w:rsidRPr="00C63517" w:rsidP="00CF1DCB" w14:paraId="34403BB5"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w:t>
      </w:r>
      <w:r w:rsidRPr="00C63517">
        <w:rPr>
          <w:rFonts w:cs="Adobe Garamond Pro"/>
          <w:color w:val="000000"/>
          <w:sz w:val="24"/>
          <w:szCs w:val="24"/>
        </w:rPr>
        <w:t>Rechtman</w:t>
      </w:r>
      <w:r w:rsidRPr="00C63517">
        <w:rPr>
          <w:rFonts w:cs="Adobe Garamond Pro"/>
          <w:color w:val="000000"/>
          <w:sz w:val="24"/>
          <w:szCs w:val="24"/>
        </w:rPr>
        <w:t xml:space="preserve"> L, Wagner L, Kaye WE. Amyotrophic lateral sclerosis surveillance in Baltimore and Philadelphia. Muscle Nerve 2015;51:815–21. </w:t>
      </w:r>
      <w:hyperlink r:id="rId21" w:history="1">
        <w:r w:rsidRPr="000D451A">
          <w:rPr>
            <w:rStyle w:val="Hyperlink"/>
            <w:rFonts w:cs="Adobe Garamond Pro"/>
            <w:sz w:val="24"/>
            <w:szCs w:val="24"/>
          </w:rPr>
          <w:t>http://dx.doi.org/10.1002/mus.24488</w:t>
        </w:r>
      </w:hyperlink>
    </w:p>
    <w:p w:rsidR="00CF1DCB" w:rsidP="00CF1DCB" w14:paraId="1F3F4FB8"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Rechtman</w:t>
      </w:r>
      <w:r w:rsidRPr="00C63517">
        <w:rPr>
          <w:rFonts w:cs="Adobe Garamond Pro"/>
          <w:color w:val="000000"/>
          <w:sz w:val="24"/>
          <w:szCs w:val="24"/>
        </w:rPr>
        <w:t xml:space="preserve"> L, Wagner L, Kaye W, </w:t>
      </w:r>
      <w:r w:rsidRPr="00C63517">
        <w:rPr>
          <w:rFonts w:cs="Adobe Garamond Pro"/>
          <w:color w:val="000000"/>
          <w:sz w:val="24"/>
          <w:szCs w:val="24"/>
        </w:rPr>
        <w:t>Villanacci</w:t>
      </w:r>
      <w:r w:rsidRPr="00C63517">
        <w:rPr>
          <w:rFonts w:cs="Adobe Garamond Pro"/>
          <w:color w:val="000000"/>
          <w:sz w:val="24"/>
          <w:szCs w:val="24"/>
        </w:rPr>
        <w:t xml:space="preserve"> J. Updated Prevalence and Demographic Characteristics for ALS Cases in Texas, 2009–2011. South Med J 2015;108:483–6.</w:t>
      </w:r>
    </w:p>
    <w:p w:rsidR="00CF1DCB" w:rsidP="00CF1DCB" w14:paraId="5AE20BD3"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Freer C, </w:t>
      </w:r>
      <w:r w:rsidRPr="00C63517">
        <w:rPr>
          <w:rFonts w:cs="Adobe Garamond Pro"/>
          <w:color w:val="000000"/>
          <w:sz w:val="24"/>
          <w:szCs w:val="24"/>
        </w:rPr>
        <w:t>Hylton</w:t>
      </w:r>
      <w:r w:rsidRPr="00C63517">
        <w:rPr>
          <w:rFonts w:cs="Adobe Garamond Pro"/>
          <w:color w:val="000000"/>
          <w:sz w:val="24"/>
          <w:szCs w:val="24"/>
        </w:rPr>
        <w:t xml:space="preserve"> T, Jordan HM, Kaye WE, Singh S, Huang Y. Results of Florida’s Amyotrophic Lateral Sclerosis Surveillance Project, 2009–2011. BMJ Open 2015;5:e007359. http://dx.doi.org/10.1136/ bmjopen-2014-007359</w:t>
      </w:r>
    </w:p>
    <w:p w:rsidR="00CF1DCB" w:rsidRPr="00C63517" w:rsidP="00CF1DCB" w14:paraId="2CEC9085"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Valle J, Roberts E, </w:t>
      </w:r>
      <w:r w:rsidRPr="00C63517">
        <w:rPr>
          <w:rFonts w:cs="Adobe Garamond Pro"/>
          <w:color w:val="000000"/>
          <w:sz w:val="24"/>
          <w:szCs w:val="24"/>
        </w:rPr>
        <w:t>Paulukonis</w:t>
      </w:r>
      <w:r w:rsidRPr="00C63517">
        <w:rPr>
          <w:rFonts w:cs="Adobe Garamond Pro"/>
          <w:color w:val="000000"/>
          <w:sz w:val="24"/>
          <w:szCs w:val="24"/>
        </w:rPr>
        <w:t xml:space="preserve"> S, Collins N, English P, Kaye W. Epidemiology and surveillance of amyotrophic lateral sclerosis in two large metropolitan areas in California. </w:t>
      </w:r>
      <w:r w:rsidRPr="00C63517">
        <w:rPr>
          <w:rFonts w:cs="Adobe Garamond Pro"/>
          <w:color w:val="000000"/>
          <w:sz w:val="24"/>
          <w:szCs w:val="24"/>
        </w:rPr>
        <w:t>Amyotroph</w:t>
      </w:r>
      <w:r w:rsidRPr="00C63517">
        <w:rPr>
          <w:rFonts w:cs="Adobe Garamond Pro"/>
          <w:color w:val="000000"/>
          <w:sz w:val="24"/>
          <w:szCs w:val="24"/>
        </w:rPr>
        <w:t xml:space="preserve"> Lateral </w:t>
      </w:r>
      <w:r w:rsidRPr="00C63517">
        <w:rPr>
          <w:rFonts w:cs="Adobe Garamond Pro"/>
          <w:color w:val="000000"/>
          <w:sz w:val="24"/>
          <w:szCs w:val="24"/>
        </w:rPr>
        <w:t>Scler</w:t>
      </w:r>
      <w:r w:rsidRPr="00C63517">
        <w:rPr>
          <w:rFonts w:cs="Adobe Garamond Pro"/>
          <w:color w:val="000000"/>
          <w:sz w:val="24"/>
          <w:szCs w:val="24"/>
        </w:rPr>
        <w:t xml:space="preserve"> Frontotemporal </w:t>
      </w:r>
      <w:r w:rsidRPr="00C63517">
        <w:rPr>
          <w:rFonts w:cs="Adobe Garamond Pro"/>
          <w:color w:val="000000"/>
          <w:sz w:val="24"/>
          <w:szCs w:val="24"/>
        </w:rPr>
        <w:t>Degener</w:t>
      </w:r>
      <w:r w:rsidRPr="00C63517">
        <w:rPr>
          <w:rFonts w:cs="Adobe Garamond Pro"/>
          <w:color w:val="000000"/>
          <w:sz w:val="24"/>
          <w:szCs w:val="24"/>
        </w:rPr>
        <w:t xml:space="preserve"> 2015;16:209–15. http://dx.doi.org/10.3109 /21678421.2015.1019516 </w:t>
      </w:r>
    </w:p>
    <w:p w:rsidR="00CF1DCB" w:rsidRPr="00C63517" w:rsidP="00CF1DCB" w14:paraId="0A710341"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Wagner L, </w:t>
      </w:r>
      <w:r w:rsidRPr="00C63517">
        <w:rPr>
          <w:rFonts w:cs="Adobe Garamond Pro"/>
          <w:color w:val="000000"/>
          <w:sz w:val="24"/>
          <w:szCs w:val="24"/>
        </w:rPr>
        <w:t>Rechtman</w:t>
      </w:r>
      <w:r w:rsidRPr="00C63517">
        <w:rPr>
          <w:rFonts w:cs="Adobe Garamond Pro"/>
          <w:color w:val="000000"/>
          <w:sz w:val="24"/>
          <w:szCs w:val="24"/>
        </w:rPr>
        <w:t xml:space="preserve"> L, Jordan H, et al. State and metropolitan area-based amyotrophic lateral sclerosis (ALS) surveillance. </w:t>
      </w:r>
      <w:r w:rsidRPr="00C63517">
        <w:rPr>
          <w:rFonts w:cs="Adobe Garamond Pro"/>
          <w:color w:val="000000"/>
          <w:sz w:val="24"/>
          <w:szCs w:val="24"/>
        </w:rPr>
        <w:t>Amyotroph</w:t>
      </w:r>
      <w:r w:rsidRPr="00C63517">
        <w:rPr>
          <w:rFonts w:cs="Adobe Garamond Pro"/>
          <w:color w:val="000000"/>
          <w:sz w:val="24"/>
          <w:szCs w:val="24"/>
        </w:rPr>
        <w:t xml:space="preserve"> Lateral </w:t>
      </w:r>
      <w:r w:rsidRPr="00C63517">
        <w:rPr>
          <w:rFonts w:cs="Adobe Garamond Pro"/>
          <w:color w:val="000000"/>
          <w:sz w:val="24"/>
          <w:szCs w:val="24"/>
        </w:rPr>
        <w:t>Scler</w:t>
      </w:r>
      <w:r w:rsidRPr="00C63517">
        <w:rPr>
          <w:rFonts w:cs="Adobe Garamond Pro"/>
          <w:color w:val="000000"/>
          <w:sz w:val="24"/>
          <w:szCs w:val="24"/>
        </w:rPr>
        <w:t xml:space="preserve"> Frontotemporal </w:t>
      </w:r>
      <w:r w:rsidRPr="00C63517">
        <w:rPr>
          <w:rFonts w:cs="Adobe Garamond Pro"/>
          <w:color w:val="000000"/>
          <w:sz w:val="24"/>
          <w:szCs w:val="24"/>
        </w:rPr>
        <w:t>Degener</w:t>
      </w:r>
      <w:r w:rsidRPr="00C63517">
        <w:rPr>
          <w:rFonts w:cs="Adobe Garamond Pro"/>
          <w:color w:val="000000"/>
          <w:sz w:val="24"/>
          <w:szCs w:val="24"/>
        </w:rPr>
        <w:t xml:space="preserve"> 2015;17:128–34. </w:t>
      </w:r>
      <w:hyperlink r:id="rId22" w:history="1">
        <w:r w:rsidRPr="000D451A">
          <w:rPr>
            <w:rStyle w:val="Hyperlink"/>
            <w:rFonts w:cs="Adobe Garamond Pro"/>
            <w:sz w:val="24"/>
            <w:szCs w:val="24"/>
          </w:rPr>
          <w:t>http://dx.doi.org/10. 3109/21678421.2015.1074699</w:t>
        </w:r>
      </w:hyperlink>
    </w:p>
    <w:bookmarkEnd w:id="8"/>
    <w:p w:rsidR="002025DF" w:rsidRPr="005D5893" w:rsidP="005D5893" w14:paraId="631101EA" w14:textId="7C91450A">
      <w:pPr>
        <w:rPr>
          <w:rFonts w:ascii="Cambria" w:hAnsi="Cambria" w:eastAsiaTheme="majorEastAsia" w:cstheme="majorBidi"/>
          <w:sz w:val="36"/>
          <w:szCs w:val="36"/>
        </w:rPr>
      </w:pPr>
    </w:p>
    <w:sectPr w:rsidSect="00971DE4">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9F3" w14:paraId="5EC2EB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4462511"/>
      <w:docPartObj>
        <w:docPartGallery w:val="Page Numbers (Bottom of Page)"/>
        <w:docPartUnique/>
      </w:docPartObj>
    </w:sdtPr>
    <w:sdtEndPr>
      <w:rPr>
        <w:noProof/>
      </w:rPr>
    </w:sdtEndPr>
    <w:sdtContent>
      <w:p w:rsidR="0047286C" w14:paraId="42EB2FC6" w14:textId="37C9BBF5">
        <w:pPr>
          <w:pStyle w:val="Footer"/>
          <w:jc w:val="right"/>
        </w:pPr>
        <w:r>
          <w:fldChar w:fldCharType="begin"/>
        </w:r>
        <w:r>
          <w:instrText xml:space="preserve"> PAGE   \* MERGEFORMAT </w:instrText>
        </w:r>
        <w:r>
          <w:fldChar w:fldCharType="separate"/>
        </w:r>
        <w:r w:rsidR="00FC1FC0">
          <w:rPr>
            <w:noProof/>
          </w:rPr>
          <w:t>1</w:t>
        </w:r>
        <w:r>
          <w:rPr>
            <w:noProof/>
          </w:rPr>
          <w:fldChar w:fldCharType="end"/>
        </w:r>
      </w:p>
    </w:sdtContent>
  </w:sdt>
  <w:p w:rsidR="0047286C" w14:paraId="7F2820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9F3" w14:paraId="598216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04B21A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0859E56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2D86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9F3" w14:paraId="6A709C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9F3" w14:paraId="12FD0A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69F3" w14:paraId="584ED3C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0E897F7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2131632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86C" w14:paraId="15BE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06343"/>
    <w:multiLevelType w:val="hybridMultilevel"/>
    <w:tmpl w:val="9D3A260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0E51F54"/>
    <w:multiLevelType w:val="hybridMultilevel"/>
    <w:tmpl w:val="5DE0B8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71C690C"/>
    <w:multiLevelType w:val="hybridMultilevel"/>
    <w:tmpl w:val="9ED271D8"/>
    <w:lvl w:ilvl="0">
      <w:start w:val="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5091C13"/>
    <w:multiLevelType w:val="hybridMultilevel"/>
    <w:tmpl w:val="290C3C0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3C7A68"/>
    <w:multiLevelType w:val="hybridMultilevel"/>
    <w:tmpl w:val="F976A79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3"/>
  </w:num>
  <w:num w:numId="12">
    <w:abstractNumId w:val="9"/>
  </w:num>
  <w:num w:numId="13">
    <w:abstractNumId w:val="14"/>
  </w:num>
  <w:num w:numId="14">
    <w:abstractNumId w:val="11"/>
  </w:num>
  <w:num w:numId="15">
    <w:abstractNumId w:val="10"/>
  </w:num>
  <w:num w:numId="16">
    <w:abstractNumId w:val="8"/>
  </w:num>
  <w:num w:numId="17">
    <w:abstractNumId w:val="0"/>
  </w:num>
  <w:num w:numId="18">
    <w:abstractNumId w:val="7"/>
  </w:num>
  <w:num w:numId="19">
    <w:abstractNumId w:val="12"/>
  </w:num>
  <w:num w:numId="20">
    <w:abstractNumId w:val="5"/>
  </w:num>
  <w:num w:numId="21">
    <w:abstractNumId w:val="6"/>
  </w:num>
  <w:num w:numId="22">
    <w:abstractNumId w:val="4"/>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removeDateAndTime/>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45002"/>
    <w:rsid w:val="00001F13"/>
    <w:rsid w:val="00006EDD"/>
    <w:rsid w:val="00016F8C"/>
    <w:rsid w:val="00020C74"/>
    <w:rsid w:val="00021C19"/>
    <w:rsid w:val="00026C52"/>
    <w:rsid w:val="000329FE"/>
    <w:rsid w:val="000337CA"/>
    <w:rsid w:val="000409EE"/>
    <w:rsid w:val="000413E6"/>
    <w:rsid w:val="00051245"/>
    <w:rsid w:val="00062B4E"/>
    <w:rsid w:val="00074F39"/>
    <w:rsid w:val="00087997"/>
    <w:rsid w:val="00092954"/>
    <w:rsid w:val="00097FCE"/>
    <w:rsid w:val="000B0740"/>
    <w:rsid w:val="000B39C8"/>
    <w:rsid w:val="000B76B5"/>
    <w:rsid w:val="000C7E5D"/>
    <w:rsid w:val="000D3C05"/>
    <w:rsid w:val="000D41A0"/>
    <w:rsid w:val="000D451A"/>
    <w:rsid w:val="00101123"/>
    <w:rsid w:val="00115B2E"/>
    <w:rsid w:val="00117035"/>
    <w:rsid w:val="00120831"/>
    <w:rsid w:val="00133503"/>
    <w:rsid w:val="0013503C"/>
    <w:rsid w:val="0013638C"/>
    <w:rsid w:val="00143D86"/>
    <w:rsid w:val="00144FA1"/>
    <w:rsid w:val="00156EEB"/>
    <w:rsid w:val="00196116"/>
    <w:rsid w:val="001A51AE"/>
    <w:rsid w:val="001C121D"/>
    <w:rsid w:val="001C1A3C"/>
    <w:rsid w:val="001C2319"/>
    <w:rsid w:val="001D525B"/>
    <w:rsid w:val="001D6F7B"/>
    <w:rsid w:val="001E61A9"/>
    <w:rsid w:val="001F22D4"/>
    <w:rsid w:val="001F4FCC"/>
    <w:rsid w:val="001F57AD"/>
    <w:rsid w:val="002025DF"/>
    <w:rsid w:val="00212BFA"/>
    <w:rsid w:val="00225872"/>
    <w:rsid w:val="00225DA9"/>
    <w:rsid w:val="002469F3"/>
    <w:rsid w:val="0026201D"/>
    <w:rsid w:val="00263297"/>
    <w:rsid w:val="0026468A"/>
    <w:rsid w:val="00264D5D"/>
    <w:rsid w:val="002751FF"/>
    <w:rsid w:val="00277C34"/>
    <w:rsid w:val="002869DD"/>
    <w:rsid w:val="00286C60"/>
    <w:rsid w:val="002A0A94"/>
    <w:rsid w:val="002D0271"/>
    <w:rsid w:val="002D677D"/>
    <w:rsid w:val="002E1563"/>
    <w:rsid w:val="002E3236"/>
    <w:rsid w:val="002E4D3A"/>
    <w:rsid w:val="0030120D"/>
    <w:rsid w:val="003059A1"/>
    <w:rsid w:val="00311E7C"/>
    <w:rsid w:val="0031214F"/>
    <w:rsid w:val="00313217"/>
    <w:rsid w:val="003305CC"/>
    <w:rsid w:val="00330F29"/>
    <w:rsid w:val="003404B3"/>
    <w:rsid w:val="0035034F"/>
    <w:rsid w:val="003567AB"/>
    <w:rsid w:val="00357163"/>
    <w:rsid w:val="0035781A"/>
    <w:rsid w:val="00360A66"/>
    <w:rsid w:val="00366A1F"/>
    <w:rsid w:val="003841FD"/>
    <w:rsid w:val="003912B1"/>
    <w:rsid w:val="003A034C"/>
    <w:rsid w:val="003B4E09"/>
    <w:rsid w:val="003C3345"/>
    <w:rsid w:val="003E6140"/>
    <w:rsid w:val="00401013"/>
    <w:rsid w:val="00405015"/>
    <w:rsid w:val="00424DB7"/>
    <w:rsid w:val="00425A8D"/>
    <w:rsid w:val="00441704"/>
    <w:rsid w:val="00466EC6"/>
    <w:rsid w:val="0047286C"/>
    <w:rsid w:val="00475ACE"/>
    <w:rsid w:val="00481657"/>
    <w:rsid w:val="00482222"/>
    <w:rsid w:val="004A7B18"/>
    <w:rsid w:val="004B101C"/>
    <w:rsid w:val="004C0740"/>
    <w:rsid w:val="004C3582"/>
    <w:rsid w:val="004F0BE4"/>
    <w:rsid w:val="004F7BA4"/>
    <w:rsid w:val="00500B15"/>
    <w:rsid w:val="00501185"/>
    <w:rsid w:val="005120C6"/>
    <w:rsid w:val="00521495"/>
    <w:rsid w:val="00522073"/>
    <w:rsid w:val="005277BF"/>
    <w:rsid w:val="0054534B"/>
    <w:rsid w:val="00551CAC"/>
    <w:rsid w:val="005624FE"/>
    <w:rsid w:val="00564AE8"/>
    <w:rsid w:val="00575177"/>
    <w:rsid w:val="00576193"/>
    <w:rsid w:val="005B7CD5"/>
    <w:rsid w:val="005C1335"/>
    <w:rsid w:val="005C46C4"/>
    <w:rsid w:val="005D2EAC"/>
    <w:rsid w:val="005D5083"/>
    <w:rsid w:val="005D5893"/>
    <w:rsid w:val="005E458C"/>
    <w:rsid w:val="005F014C"/>
    <w:rsid w:val="00601C41"/>
    <w:rsid w:val="00605765"/>
    <w:rsid w:val="006307F9"/>
    <w:rsid w:val="0063246A"/>
    <w:rsid w:val="00633224"/>
    <w:rsid w:val="0063759D"/>
    <w:rsid w:val="00643918"/>
    <w:rsid w:val="006560B1"/>
    <w:rsid w:val="006958D8"/>
    <w:rsid w:val="006C6578"/>
    <w:rsid w:val="006D223A"/>
    <w:rsid w:val="006E3675"/>
    <w:rsid w:val="006F2ABA"/>
    <w:rsid w:val="0070554F"/>
    <w:rsid w:val="00715A75"/>
    <w:rsid w:val="00715BEC"/>
    <w:rsid w:val="00717257"/>
    <w:rsid w:val="007241F8"/>
    <w:rsid w:val="00727BD6"/>
    <w:rsid w:val="00731A79"/>
    <w:rsid w:val="00731F42"/>
    <w:rsid w:val="00732BB3"/>
    <w:rsid w:val="00747A29"/>
    <w:rsid w:val="00754B3D"/>
    <w:rsid w:val="00754E9C"/>
    <w:rsid w:val="00757740"/>
    <w:rsid w:val="007908C0"/>
    <w:rsid w:val="00792A59"/>
    <w:rsid w:val="00792E16"/>
    <w:rsid w:val="007953BE"/>
    <w:rsid w:val="00796D76"/>
    <w:rsid w:val="007A217A"/>
    <w:rsid w:val="007A3BC9"/>
    <w:rsid w:val="007A4D57"/>
    <w:rsid w:val="007B2BCB"/>
    <w:rsid w:val="007B7F20"/>
    <w:rsid w:val="007D595C"/>
    <w:rsid w:val="007E05B4"/>
    <w:rsid w:val="007E4647"/>
    <w:rsid w:val="007F0E10"/>
    <w:rsid w:val="00832EEE"/>
    <w:rsid w:val="00832F64"/>
    <w:rsid w:val="0083397B"/>
    <w:rsid w:val="00841C00"/>
    <w:rsid w:val="00855B03"/>
    <w:rsid w:val="008861AB"/>
    <w:rsid w:val="008A13CA"/>
    <w:rsid w:val="008A489C"/>
    <w:rsid w:val="008B5D54"/>
    <w:rsid w:val="008C71EF"/>
    <w:rsid w:val="008D0F27"/>
    <w:rsid w:val="008D3569"/>
    <w:rsid w:val="008D3BE8"/>
    <w:rsid w:val="008E4AC8"/>
    <w:rsid w:val="008E6F77"/>
    <w:rsid w:val="008F28C4"/>
    <w:rsid w:val="00901365"/>
    <w:rsid w:val="00913E9F"/>
    <w:rsid w:val="00921257"/>
    <w:rsid w:val="00922439"/>
    <w:rsid w:val="00935FD5"/>
    <w:rsid w:val="00950258"/>
    <w:rsid w:val="00965C2A"/>
    <w:rsid w:val="00971DE4"/>
    <w:rsid w:val="00976C14"/>
    <w:rsid w:val="00984634"/>
    <w:rsid w:val="009A3ABC"/>
    <w:rsid w:val="009C2F5A"/>
    <w:rsid w:val="00A0008C"/>
    <w:rsid w:val="00A122B2"/>
    <w:rsid w:val="00A126DE"/>
    <w:rsid w:val="00A35DFF"/>
    <w:rsid w:val="00A44404"/>
    <w:rsid w:val="00A5280D"/>
    <w:rsid w:val="00A60419"/>
    <w:rsid w:val="00A72DD6"/>
    <w:rsid w:val="00A76C6D"/>
    <w:rsid w:val="00A9484B"/>
    <w:rsid w:val="00A97A5B"/>
    <w:rsid w:val="00AC3B7E"/>
    <w:rsid w:val="00AC4C54"/>
    <w:rsid w:val="00AD244C"/>
    <w:rsid w:val="00AE1905"/>
    <w:rsid w:val="00AE2F5E"/>
    <w:rsid w:val="00B03B32"/>
    <w:rsid w:val="00B057E9"/>
    <w:rsid w:val="00B202F6"/>
    <w:rsid w:val="00B20800"/>
    <w:rsid w:val="00B21D28"/>
    <w:rsid w:val="00B31F1B"/>
    <w:rsid w:val="00B356DD"/>
    <w:rsid w:val="00B45002"/>
    <w:rsid w:val="00B5171E"/>
    <w:rsid w:val="00B55735"/>
    <w:rsid w:val="00B608AC"/>
    <w:rsid w:val="00B73D70"/>
    <w:rsid w:val="00B8126A"/>
    <w:rsid w:val="00B812AA"/>
    <w:rsid w:val="00BA138F"/>
    <w:rsid w:val="00BA1D4B"/>
    <w:rsid w:val="00BA2DBE"/>
    <w:rsid w:val="00BA30FE"/>
    <w:rsid w:val="00BA5D6C"/>
    <w:rsid w:val="00BB495F"/>
    <w:rsid w:val="00BB4F0E"/>
    <w:rsid w:val="00BC7C1E"/>
    <w:rsid w:val="00BD2639"/>
    <w:rsid w:val="00BD3D0F"/>
    <w:rsid w:val="00BD51A0"/>
    <w:rsid w:val="00BE1F46"/>
    <w:rsid w:val="00BE49B6"/>
    <w:rsid w:val="00BE60BF"/>
    <w:rsid w:val="00BE6EA2"/>
    <w:rsid w:val="00BF13D5"/>
    <w:rsid w:val="00BF527E"/>
    <w:rsid w:val="00C436AA"/>
    <w:rsid w:val="00C43C7C"/>
    <w:rsid w:val="00C47843"/>
    <w:rsid w:val="00C63517"/>
    <w:rsid w:val="00C67283"/>
    <w:rsid w:val="00C80860"/>
    <w:rsid w:val="00C912F5"/>
    <w:rsid w:val="00C929D2"/>
    <w:rsid w:val="00CA1403"/>
    <w:rsid w:val="00CD095B"/>
    <w:rsid w:val="00CD0E02"/>
    <w:rsid w:val="00CD43F6"/>
    <w:rsid w:val="00CF1DCB"/>
    <w:rsid w:val="00D04852"/>
    <w:rsid w:val="00D0744A"/>
    <w:rsid w:val="00D10E61"/>
    <w:rsid w:val="00D14114"/>
    <w:rsid w:val="00D20211"/>
    <w:rsid w:val="00D22B20"/>
    <w:rsid w:val="00D27566"/>
    <w:rsid w:val="00D33AE3"/>
    <w:rsid w:val="00D345BA"/>
    <w:rsid w:val="00D42FC2"/>
    <w:rsid w:val="00D479BA"/>
    <w:rsid w:val="00D51349"/>
    <w:rsid w:val="00D7227B"/>
    <w:rsid w:val="00D738AE"/>
    <w:rsid w:val="00D80142"/>
    <w:rsid w:val="00D813EA"/>
    <w:rsid w:val="00D9337C"/>
    <w:rsid w:val="00D97985"/>
    <w:rsid w:val="00DA4ADD"/>
    <w:rsid w:val="00DA796B"/>
    <w:rsid w:val="00DC57CC"/>
    <w:rsid w:val="00DC638F"/>
    <w:rsid w:val="00DD2606"/>
    <w:rsid w:val="00DD7443"/>
    <w:rsid w:val="00DE362E"/>
    <w:rsid w:val="00E0795C"/>
    <w:rsid w:val="00E119F5"/>
    <w:rsid w:val="00E2405B"/>
    <w:rsid w:val="00E30E9D"/>
    <w:rsid w:val="00E410B4"/>
    <w:rsid w:val="00E5157D"/>
    <w:rsid w:val="00E6282A"/>
    <w:rsid w:val="00E62ACF"/>
    <w:rsid w:val="00E632AF"/>
    <w:rsid w:val="00E64231"/>
    <w:rsid w:val="00E707C0"/>
    <w:rsid w:val="00E7142F"/>
    <w:rsid w:val="00E73C95"/>
    <w:rsid w:val="00E83E03"/>
    <w:rsid w:val="00E9523E"/>
    <w:rsid w:val="00E96FA2"/>
    <w:rsid w:val="00EA6E06"/>
    <w:rsid w:val="00EC491F"/>
    <w:rsid w:val="00EC67BE"/>
    <w:rsid w:val="00ED463E"/>
    <w:rsid w:val="00EF0B5A"/>
    <w:rsid w:val="00EF2494"/>
    <w:rsid w:val="00EF5132"/>
    <w:rsid w:val="00F048A3"/>
    <w:rsid w:val="00F33E29"/>
    <w:rsid w:val="00F5080B"/>
    <w:rsid w:val="00F56374"/>
    <w:rsid w:val="00F566AB"/>
    <w:rsid w:val="00F61059"/>
    <w:rsid w:val="00F774A9"/>
    <w:rsid w:val="00F81A68"/>
    <w:rsid w:val="00F845F2"/>
    <w:rsid w:val="00F92495"/>
    <w:rsid w:val="00FA1631"/>
    <w:rsid w:val="00FA2BB6"/>
    <w:rsid w:val="00FA32F1"/>
    <w:rsid w:val="00FA5881"/>
    <w:rsid w:val="00FA64B7"/>
    <w:rsid w:val="00FA68CD"/>
    <w:rsid w:val="00FB6C22"/>
    <w:rsid w:val="00FC1F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docId w15:val="{2BA75D88-A6A1-4325-999C-47D253B7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2E1563"/>
    <w:pPr>
      <w:spacing w:after="0" w:line="240" w:lineRule="auto"/>
    </w:pPr>
  </w:style>
  <w:style w:type="character" w:styleId="UnresolvedMention">
    <w:name w:val="Unresolved Mention"/>
    <w:basedOn w:val="DefaultParagraphFont"/>
    <w:uiPriority w:val="99"/>
    <w:semiHidden/>
    <w:unhideWhenUsed/>
    <w:rsid w:val="00AD244C"/>
    <w:rPr>
      <w:color w:val="605E5C"/>
      <w:shd w:val="clear" w:color="auto" w:fill="E1DFDD"/>
    </w:rPr>
  </w:style>
  <w:style w:type="table" w:styleId="TableGrid">
    <w:name w:val="Table Grid"/>
    <w:basedOn w:val="TableNormal"/>
    <w:uiPriority w:val="59"/>
    <w:rsid w:val="0090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dxw2@cdc.gov" TargetMode="External" /><Relationship Id="rId17" Type="http://schemas.openxmlformats.org/officeDocument/2006/relationships/hyperlink" Target="mailto:thl3@cdc.gov" TargetMode="External" /><Relationship Id="rId18" Type="http://schemas.openxmlformats.org/officeDocument/2006/relationships/hyperlink" Target="mailto:lnelson@stanford.edu" TargetMode="External" /><Relationship Id="rId19" Type="http://schemas.openxmlformats.org/officeDocument/2006/relationships/hyperlink" Target="mailto:wek1@cdc.gov" TargetMode="External" /><Relationship Id="rId2" Type="http://schemas.openxmlformats.org/officeDocument/2006/relationships/webSettings" Target="webSettings.xml" /><Relationship Id="rId20" Type="http://schemas.openxmlformats.org/officeDocument/2006/relationships/hyperlink" Target="http://dx.doi.org/10.3109/2%201678421.2014.887119" TargetMode="External" /><Relationship Id="rId21" Type="http://schemas.openxmlformats.org/officeDocument/2006/relationships/hyperlink" Target="http://dx.doi.org/10.1002/mus.24488" TargetMode="External" /><Relationship Id="rId22" Type="http://schemas.openxmlformats.org/officeDocument/2006/relationships/hyperlink" Target="http://dx.doi.org/10.%203109/21678421.2015.1074699" TargetMode="External" /><Relationship Id="rId23" Type="http://schemas.openxmlformats.org/officeDocument/2006/relationships/header" Target="header4.xml" /><Relationship Id="rId24" Type="http://schemas.openxmlformats.org/officeDocument/2006/relationships/header" Target="header5.xml" /><Relationship Id="rId25" Type="http://schemas.openxmlformats.org/officeDocument/2006/relationships/footer" Target="footer4.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mailto:pum4@cdc.gov" TargetMode="External" /><Relationship Id="rId6" Type="http://schemas.openxmlformats.org/officeDocument/2006/relationships/hyperlink" Target="http://www.cdc.gov/als" TargetMode="External" /><Relationship Id="rId7" Type="http://schemas.openxmlformats.org/officeDocument/2006/relationships/hyperlink" Target="http://www.alsa.org/research/" TargetMode="External" /><Relationship Id="rId8" Type="http://schemas.openxmlformats.org/officeDocument/2006/relationships/hyperlink" Target="http://mda.org/disease/amyotrophic-lateral-sclerosis" TargetMode="External" /><Relationship Id="rId9" Type="http://schemas.openxmlformats.org/officeDocument/2006/relationships/hyperlink" Target="https://lesturneral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6A000-8CCE-4BE7-85B3-1E96165D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41</cp:revision>
  <cp:lastPrinted>2016-11-02T19:12:00Z</cp:lastPrinted>
  <dcterms:created xsi:type="dcterms:W3CDTF">2019-08-26T14:44:00Z</dcterms:created>
  <dcterms:modified xsi:type="dcterms:W3CDTF">2022-12-15T00:03:00Z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9e40edd4-4176-4f6b-97be-ab614ca0909d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2022-12-07T22:55:22Z</vt:lpwstr>
  </property>
  <property fmtid="{D5CDD505-2E9C-101B-9397-08002B2CF9AE}" pid="8" name="MSIP_Label_7b94a7b8-f06c-4dfe-bdcc-9b548fd58c31_SiteId">
    <vt:lpwstr>9ce70869-60db-44fd-abe8-d2767077fc8f</vt:lpwstr>
  </property>
</Properties>
</file>