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38A3" w:rsidP="00C838A3" w14:paraId="5D881820" w14:textId="77777777">
      <w:pPr>
        <w:pStyle w:val="h1"/>
      </w:pPr>
      <w:bookmarkStart w:id="0" w:name="_Toc150181622"/>
      <w:bookmarkStart w:id="1" w:name="_Ref780224254"/>
      <w:r>
        <w:t>G.320 - PHS 398 Modular Budget Form</w:t>
      </w:r>
      <w:bookmarkEnd w:id="0"/>
    </w:p>
    <w:tbl>
      <w:tblPr>
        <w:tblW w:w="5000" w:type="pct"/>
        <w:tblInd w:w="450" w:type="dxa"/>
        <w:shd w:val="clear" w:color="auto" w:fill="EBEBEB"/>
        <w:tblCellMar>
          <w:top w:w="300" w:type="dxa"/>
          <w:left w:w="150" w:type="dxa"/>
          <w:bottom w:w="450" w:type="dxa"/>
          <w:right w:w="150" w:type="dxa"/>
        </w:tblCellMar>
        <w:tblLook w:val="0000"/>
      </w:tblPr>
      <w:tblGrid>
        <w:gridCol w:w="9360"/>
      </w:tblGrid>
      <w:tr w14:paraId="70181F9F" w14:textId="77777777" w:rsidTr="000635AC">
        <w:tblPrEx>
          <w:tblW w:w="5000" w:type="pct"/>
          <w:tblInd w:w="450" w:type="dxa"/>
          <w:shd w:val="clear" w:color="auto" w:fill="EBEBEB"/>
          <w:tblCellMar>
            <w:top w:w="300" w:type="dxa"/>
            <w:left w:w="150" w:type="dxa"/>
            <w:bottom w:w="450" w:type="dxa"/>
            <w:right w:w="150" w:type="dxa"/>
          </w:tblCellMar>
          <w:tblLook w:val="0000"/>
        </w:tblPrEx>
        <w:tc>
          <w:tcPr>
            <w:tcW w:w="0" w:type="auto"/>
            <w:shd w:val="clear" w:color="auto" w:fill="EBEBEB"/>
            <w:tcMar>
              <w:top w:w="300" w:type="dxa"/>
              <w:left w:w="150" w:type="dxa"/>
              <w:bottom w:w="450" w:type="dxa"/>
              <w:right w:w="150" w:type="dxa"/>
            </w:tcMar>
          </w:tcPr>
          <w:bookmarkEnd w:id="1"/>
          <w:p w:rsidR="00C838A3" w:rsidP="000635AC" w14:paraId="4912724B" w14:textId="77777777">
            <w:pPr>
              <w:pStyle w:val="poutdent"/>
              <w:spacing w:before="110" w:after="60"/>
              <w:ind w:left="110" w:right="110"/>
            </w:pPr>
            <w:r>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933575" cy="2276475"/>
                  <wp:effectExtent l="19050" t="19050" r="9525" b="9525"/>
                  <wp:wrapSquare wrapText="bothSides"/>
                  <wp:docPr id="145" name="Picture 86" descr="PHS 398 Modular Budget Form"/>
                  <wp:cNvGraphicFramePr/>
                  <a:graphic xmlns:a="http://schemas.openxmlformats.org/drawingml/2006/main">
                    <a:graphicData uri="http://schemas.openxmlformats.org/drawingml/2006/picture">
                      <pic:pic xmlns:pic="http://schemas.openxmlformats.org/drawingml/2006/picture">
                        <pic:nvPicPr>
                          <pic:cNvPr id="145" name="Picture 86" descr="PHS 398 Modular Budget Form"/>
                          <pic:cNvPicPr>
                            <a:picLocks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3575" cy="2276475"/>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Some application forms packages include two budget forms — (1) the R&amp;R Budget Form and (2) the PHS 398 Modular Budget Form. Include only one of these forms, but not both, in your application.</w:t>
            </w:r>
          </w:p>
          <w:p w:rsidR="00C838A3" w:rsidP="000635AC" w14:paraId="63B78BF3" w14:textId="77777777">
            <w:pPr>
              <w:pStyle w:val="poutdent"/>
            </w:pPr>
            <w:r>
              <w:t>Generally, the PHS 398 Modular Budget Form is applicable only to research applications from domestic organizations that are requesting $250,000 or less per budget period in direct costs, but there are exceptions.</w:t>
            </w:r>
          </w:p>
          <w:p w:rsidR="00C838A3" w:rsidP="000635AC" w14:paraId="1380C7EA" w14:textId="77777777">
            <w:pPr>
              <w:pStyle w:val="poutdent"/>
            </w:pPr>
            <w:r>
              <w:t>Refer to your specific NOFO and these instructions for guidance on which budget form(s) to use.</w:t>
            </w:r>
          </w:p>
          <w:tbl>
            <w:tblPr>
              <w:tblW w:w="5000" w:type="pct"/>
              <w:tblCellMar>
                <w:left w:w="10" w:type="dxa"/>
                <w:right w:w="10" w:type="dxa"/>
              </w:tblCellMar>
              <w:tblLook w:val="0000"/>
            </w:tblPr>
            <w:tblGrid>
              <w:gridCol w:w="9060"/>
            </w:tblGrid>
            <w:tr w14:paraId="70F75E6E" w14:textId="77777777" w:rsidTr="000635AC">
              <w:tblPrEx>
                <w:tblW w:w="5000" w:type="pct"/>
                <w:tblCellMar>
                  <w:left w:w="10" w:type="dxa"/>
                  <w:right w:w="10" w:type="dxa"/>
                </w:tblCellMar>
                <w:tblLook w:val="0000"/>
              </w:tblPrEx>
              <w:tc>
                <w:tcPr>
                  <w:tcW w:w="0" w:type="auto"/>
                </w:tcPr>
                <w:p w:rsidR="00C838A3" w:rsidP="000635AC" w14:paraId="4E821F4B" w14:textId="77777777">
                  <w:pPr>
                    <w:pStyle w:val="divquick-links-header1"/>
                  </w:pPr>
                  <w:hyperlink w:anchor="-1873010527" w:history="1">
                    <w:r>
                      <w:rPr>
                        <w:noProof/>
                      </w:rPr>
                      <w:drawing>
                        <wp:inline distT="0" distB="0" distL="0" distR="0">
                          <wp:extent cx="171450" cy="171450"/>
                          <wp:effectExtent l="0" t="0" r="0" b="0"/>
                          <wp:docPr id="61" name="Picture 61" descr="Magnifying Glass"/>
                          <wp:cNvGraphicFramePr/>
                          <a:graphic xmlns:a="http://schemas.openxmlformats.org/drawingml/2006/main">
                            <a:graphicData uri="http://schemas.openxmlformats.org/drawingml/2006/picture">
                              <pic:pic xmlns:pic="http://schemas.openxmlformats.org/drawingml/2006/picture">
                                <pic:nvPicPr>
                                  <pic:cNvPr id="61" name="Picture 61" descr="Magnifying Glass"/>
                                  <pic:cNvPicPr>
                                    <a:picLocks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450" cy="171450"/>
                                  </a:xfrm>
                                  <a:prstGeom prst="rect">
                                    <a:avLst/>
                                  </a:prstGeom>
                                  <a:noFill/>
                                  <a:ln>
                                    <a:noFill/>
                                  </a:ln>
                                </pic:spPr>
                              </pic:pic>
                            </a:graphicData>
                          </a:graphic>
                        </wp:inline>
                      </w:drawing>
                    </w:r>
                    <w:r>
                      <w:rPr>
                        <w:rStyle w:val="conditionalText"/>
                        <w:color w:val="0000FF"/>
                        <w:u w:val="single"/>
                      </w:rPr>
                      <w:t xml:space="preserve"> </w:t>
                    </w:r>
                    <w:r>
                      <w:rPr>
                        <w:rStyle w:val="span"/>
                      </w:rPr>
                      <w:t>View larger image</w:t>
                    </w:r>
                  </w:hyperlink>
                </w:p>
              </w:tc>
            </w:tr>
          </w:tbl>
          <w:p w:rsidR="00C838A3" w:rsidP="000635AC" w14:paraId="5CEE8829" w14:textId="77777777"/>
          <w:tbl>
            <w:tblPr>
              <w:tblW w:w="5000" w:type="pct"/>
              <w:tblCellMar>
                <w:left w:w="10" w:type="dxa"/>
                <w:right w:w="10" w:type="dxa"/>
              </w:tblCellMar>
              <w:tblLook w:val="0000"/>
            </w:tblPr>
            <w:tblGrid>
              <w:gridCol w:w="9060"/>
            </w:tblGrid>
            <w:tr w14:paraId="50CF59CA" w14:textId="77777777" w:rsidTr="000635AC">
              <w:tblPrEx>
                <w:tblW w:w="5000" w:type="pct"/>
                <w:tblCellMar>
                  <w:left w:w="10" w:type="dxa"/>
                  <w:right w:w="10" w:type="dxa"/>
                </w:tblCellMar>
                <w:tblLook w:val="0000"/>
              </w:tblPrEx>
              <w:tc>
                <w:tcPr>
                  <w:tcW w:w="0" w:type="auto"/>
                </w:tcPr>
                <w:p w:rsidR="00C838A3" w:rsidP="000635AC" w14:paraId="45EA83CE" w14:textId="77777777">
                  <w:pPr>
                    <w:pStyle w:val="divquick-links-header"/>
                  </w:pPr>
                  <w:r>
                    <w:t>Quick Links</w:t>
                  </w:r>
                </w:p>
              </w:tc>
            </w:tr>
          </w:tbl>
          <w:p w:rsidR="00C838A3" w:rsidP="000635AC" w14:paraId="3DB48010" w14:textId="77777777"/>
          <w:p w:rsidR="00C838A3" w:rsidP="000635AC" w14:paraId="50A1ABF2" w14:textId="77777777">
            <w:pPr>
              <w:pStyle w:val="divquick-links"/>
            </w:pPr>
            <w:hyperlink w:anchor="-648071340" w:history="1">
              <w:r>
                <w:rPr>
                  <w:rFonts w:ascii="Nunito-Light-webfont" w:hAnsi="Nunito-Light-webfont" w:cs="Nunito-Light-webfont"/>
                  <w:b/>
                  <w:bCs/>
                  <w:color w:val="007ECD"/>
                  <w:sz w:val="20"/>
                  <w:szCs w:val="20"/>
                  <w:u w:val="single"/>
                </w:rPr>
                <w:t>Budget Period 1</w:t>
              </w:r>
            </w:hyperlink>
            <w:r>
              <w:br/>
            </w:r>
          </w:p>
          <w:p w:rsidR="00C838A3" w:rsidP="00C838A3" w14:paraId="654E3D5A" w14:textId="77777777">
            <w:pPr>
              <w:pStyle w:val="li"/>
              <w:numPr>
                <w:ilvl w:val="0"/>
                <w:numId w:val="1"/>
              </w:numPr>
            </w:pPr>
            <w:hyperlink w:anchor="105339800" w:history="1">
              <w:r>
                <w:rPr>
                  <w:rFonts w:ascii="Nunito-Light-webfont" w:hAnsi="Nunito-Light-webfont" w:cs="Nunito-Light-webfont"/>
                  <w:b/>
                  <w:bCs/>
                  <w:color w:val="007ECD"/>
                  <w:sz w:val="18"/>
                  <w:szCs w:val="18"/>
                  <w:u w:val="single"/>
                </w:rPr>
                <w:t>A. Direct Costs</w:t>
              </w:r>
            </w:hyperlink>
          </w:p>
          <w:p w:rsidR="00C838A3" w:rsidP="00C838A3" w14:paraId="059488C1" w14:textId="77777777">
            <w:pPr>
              <w:pStyle w:val="li"/>
              <w:numPr>
                <w:ilvl w:val="0"/>
                <w:numId w:val="1"/>
              </w:numPr>
            </w:pPr>
            <w:hyperlink w:anchor="105143192" w:history="1">
              <w:r>
                <w:rPr>
                  <w:rFonts w:ascii="Nunito-Light-webfont" w:hAnsi="Nunito-Light-webfont" w:cs="Nunito-Light-webfont"/>
                  <w:b/>
                  <w:bCs/>
                  <w:color w:val="007ECD"/>
                  <w:sz w:val="18"/>
                  <w:szCs w:val="18"/>
                  <w:u w:val="single"/>
                </w:rPr>
                <w:t>B. Indirect (F&amp;A) Costs</w:t>
              </w:r>
            </w:hyperlink>
          </w:p>
          <w:p w:rsidR="00C838A3" w:rsidP="00C838A3" w14:paraId="2E4F0C89" w14:textId="77777777">
            <w:pPr>
              <w:pStyle w:val="li"/>
              <w:numPr>
                <w:ilvl w:val="0"/>
                <w:numId w:val="1"/>
              </w:numPr>
              <w:spacing w:after="110"/>
            </w:pPr>
            <w:hyperlink w:anchor="105208728" w:history="1">
              <w:r>
                <w:rPr>
                  <w:rFonts w:ascii="Nunito-Light-webfont" w:hAnsi="Nunito-Light-webfont" w:cs="Nunito-Light-webfont"/>
                  <w:b/>
                  <w:bCs/>
                  <w:color w:val="007ECD"/>
                  <w:sz w:val="18"/>
                  <w:szCs w:val="18"/>
                  <w:u w:val="single"/>
                </w:rPr>
                <w:t>C. Total Direct and Indirect (F&amp;A) Costs (A+B)</w:t>
              </w:r>
            </w:hyperlink>
          </w:p>
          <w:p w:rsidR="00C838A3" w:rsidP="000635AC" w14:paraId="29A0B4FE" w14:textId="77777777">
            <w:pPr>
              <w:pStyle w:val="divquick-links"/>
            </w:pPr>
            <w:hyperlink w:anchor="-838253455" w:history="1">
              <w:r>
                <w:rPr>
                  <w:rFonts w:ascii="Nunito-Light-webfont" w:hAnsi="Nunito-Light-webfont" w:cs="Nunito-Light-webfont"/>
                  <w:b/>
                  <w:bCs/>
                  <w:color w:val="007ECD"/>
                  <w:sz w:val="20"/>
                  <w:szCs w:val="20"/>
                  <w:u w:val="single"/>
                </w:rPr>
                <w:t>Cumulative Budget Information</w:t>
              </w:r>
            </w:hyperlink>
          </w:p>
          <w:p w:rsidR="00C838A3" w:rsidP="00C838A3" w14:paraId="154C4A38" w14:textId="77777777">
            <w:pPr>
              <w:pStyle w:val="li"/>
              <w:numPr>
                <w:ilvl w:val="0"/>
                <w:numId w:val="2"/>
              </w:numPr>
            </w:pPr>
            <w:hyperlink w:anchor="110582680" w:history="1">
              <w:r>
                <w:rPr>
                  <w:rFonts w:ascii="Nunito-Light-webfont" w:hAnsi="Nunito-Light-webfont" w:cs="Nunito-Light-webfont"/>
                  <w:b/>
                  <w:bCs/>
                  <w:color w:val="007ECD"/>
                  <w:sz w:val="18"/>
                  <w:szCs w:val="18"/>
                  <w:u w:val="single"/>
                </w:rPr>
                <w:t>1. Total Costs, Entire Project Period</w:t>
              </w:r>
            </w:hyperlink>
          </w:p>
          <w:p w:rsidR="00C838A3" w:rsidP="00C838A3" w14:paraId="2AC806EF" w14:textId="77777777">
            <w:pPr>
              <w:pStyle w:val="li"/>
              <w:numPr>
                <w:ilvl w:val="0"/>
                <w:numId w:val="2"/>
              </w:numPr>
              <w:spacing w:after="110"/>
            </w:pPr>
            <w:hyperlink w:anchor="110386072" w:history="1">
              <w:r>
                <w:rPr>
                  <w:rFonts w:ascii="Nunito-Light-webfont" w:hAnsi="Nunito-Light-webfont" w:cs="Nunito-Light-webfont"/>
                  <w:b/>
                  <w:bCs/>
                  <w:color w:val="007ECD"/>
                  <w:sz w:val="18"/>
                  <w:szCs w:val="18"/>
                  <w:u w:val="single"/>
                </w:rPr>
                <w:t>2. Budget Justifications</w:t>
              </w:r>
            </w:hyperlink>
          </w:p>
          <w:p w:rsidR="00C838A3" w:rsidP="000635AC" w14:paraId="56BEC854" w14:textId="77777777"/>
        </w:tc>
      </w:tr>
    </w:tbl>
    <w:p w:rsidR="00C838A3" w:rsidP="00C838A3" w14:paraId="6882002F" w14:textId="77777777">
      <w:pPr>
        <w:pStyle w:val="h4nospace"/>
      </w:pPr>
      <w:r>
        <w:t>Who should use the PHS 398 Modular Budget Form?</w:t>
      </w:r>
    </w:p>
    <w:p w:rsidR="00C838A3" w:rsidP="00C838A3" w14:paraId="5E4DFACA" w14:textId="77777777">
      <w:pPr>
        <w:pStyle w:val="poutdent"/>
      </w:pPr>
      <w:r>
        <w:t>There are two primary types of Budget Forms: the detailed R&amp;R and PHS 398 modular. Generally, you must use the PHS Modular Budget Form if you are submitting a research grant application from a domestic organization and you are applying for $250,000 or less per budget period in direct costs. You must use the R&amp;R Budget Form if you are applying for more than $250,000 per budget period in direct costs. However, there are exceptions and other distinctions. Refer to your NOFO and to the following instructions for guidance on which Budget Form to use.</w:t>
      </w:r>
    </w:p>
    <w:p w:rsidR="00C838A3" w:rsidP="00C838A3" w14:paraId="709B10EA" w14:textId="77777777">
      <w:pPr>
        <w:pStyle w:val="pSpecialBLUEOutdent"/>
      </w:pPr>
      <w:r>
        <w:rPr>
          <w:rStyle w:val="strong1"/>
        </w:rPr>
        <w:t>Special Instructions for Foreign Organizations (Non-domestic [non-U.S.] Entities):</w:t>
      </w:r>
      <w:r>
        <w:t xml:space="preserve"> Foreign organizations must use the R&amp;R Budget Form in </w:t>
      </w:r>
      <w:hyperlink w:anchor="_Ref1419246967" w:history="1">
        <w:r>
          <w:rPr>
            <w:color w:val="0000FF"/>
          </w:rPr>
          <w:t>G.</w:t>
        </w:r>
        <w:r>
          <w:rPr>
            <w:color w:val="0000FF"/>
            <w:u w:val="single"/>
          </w:rPr>
          <w:t>300 - R&amp;R Budget Form</w:t>
        </w:r>
      </w:hyperlink>
      <w:r>
        <w:t>.</w:t>
      </w:r>
    </w:p>
    <w:p w:rsidR="00C838A3" w:rsidP="00C838A3" w14:paraId="07E4D2AE" w14:textId="77777777">
      <w:pPr>
        <w:pStyle w:val="pSpecialBLUEOutdent"/>
      </w:pPr>
      <w:r>
        <w:rPr>
          <w:rStyle w:val="b"/>
        </w:rPr>
        <w:t>Special Instructions for Applications Proposing the Use of Human Fetal Tissue</w:t>
      </w:r>
      <w:r>
        <w:t xml:space="preserve">: If the use of human fetal tissue obtained from elective abortions (HFT) (as </w:t>
      </w:r>
      <w:hyperlink r:id="rId9" w:anchor="Human3" w:history="1">
        <w:r>
          <w:rPr>
            <w:color w:val="0000FF"/>
            <w:u w:val="single"/>
          </w:rPr>
          <w:t>defined in the NIH Grants Policy Statement</w:t>
        </w:r>
      </w:hyperlink>
      <w:r>
        <w:t xml:space="preserve">) </w:t>
      </w:r>
      <w:r>
        <w:t>isincluded in the proposed application, regardless of whether you will incur a cost for HFT, you cannot use the PHS Modular Budget Form regardless of the activity code and must use the R&amp;R Budget Form in G.300 - R&amp;R Budget Form.</w:t>
      </w:r>
    </w:p>
    <w:p w:rsidR="00C838A3" w:rsidP="00C838A3" w14:paraId="7072FF73" w14:textId="77777777">
      <w:pPr>
        <w:pStyle w:val="poutdent"/>
      </w:pPr>
      <w:r>
        <w:rPr>
          <w:rStyle w:val="strong1"/>
        </w:rPr>
        <w:t>Note:</w:t>
      </w:r>
      <w:r>
        <w:t xml:space="preserve"> The terms “detailed budget” and “R&amp;R Budget” are used interchangeably.</w:t>
      </w:r>
    </w:p>
    <w:p w:rsidR="00C838A3" w:rsidP="00C838A3" w14:paraId="06BEDF5C" w14:textId="77777777">
      <w:pPr>
        <w:pStyle w:val="h4nospace"/>
      </w:pPr>
      <w:r>
        <w:t>For more information:</w:t>
      </w:r>
    </w:p>
    <w:p w:rsidR="00C838A3" w:rsidP="00C838A3" w14:paraId="638B7435" w14:textId="77777777">
      <w:pPr>
        <w:pStyle w:val="poutdent"/>
      </w:pPr>
      <w:r>
        <w:t xml:space="preserve">For more information on how to prepare your budget, see NIH's </w:t>
      </w:r>
      <w:hyperlink r:id="rId10" w:history="1">
        <w:r>
          <w:rPr>
            <w:color w:val="0000FF"/>
            <w:u w:val="single"/>
          </w:rPr>
          <w:t>Develop Your Budget</w:t>
        </w:r>
      </w:hyperlink>
      <w:r>
        <w:t xml:space="preserve"> page.</w:t>
      </w:r>
    </w:p>
    <w:p w:rsidR="00C838A3" w:rsidP="00C838A3" w14:paraId="77F60066" w14:textId="77777777">
      <w:pPr>
        <w:pStyle w:val="poutdent"/>
      </w:pPr>
      <w:r>
        <w:t>Also see NIH's</w:t>
      </w:r>
      <w:hyperlink r:id="rId11" w:history="1">
        <w:r>
          <w:rPr>
            <w:color w:val="0000FF"/>
            <w:u w:val="single"/>
          </w:rPr>
          <w:t xml:space="preserve"> Modular Research Grant Applications</w:t>
        </w:r>
      </w:hyperlink>
      <w:r>
        <w:t xml:space="preserve"> page.</w:t>
      </w:r>
    </w:p>
    <w:p w:rsidR="00C838A3" w:rsidP="00C838A3" w14:paraId="337A3F84" w14:textId="77777777">
      <w:pPr>
        <w:pStyle w:val="h4nospace"/>
      </w:pPr>
      <w:r>
        <w:t>Modular Budget Guidelines:</w:t>
      </w:r>
    </w:p>
    <w:p w:rsidR="00C838A3" w:rsidP="00C838A3" w14:paraId="73E38B88" w14:textId="77777777">
      <w:pPr>
        <w:pStyle w:val="poutdent"/>
      </w:pPr>
      <w:r>
        <w:t>Modular budgets are simplified; therefore, detailed categorical information is not to be submitted with the application.</w:t>
      </w:r>
    </w:p>
    <w:p w:rsidR="00C838A3" w:rsidP="00C838A3" w14:paraId="7B6CE5C6" w14:textId="77777777">
      <w:pPr>
        <w:pStyle w:val="poutdent"/>
      </w:pPr>
      <w:r>
        <w:t>For all modular budgets, request total direct costs (</w:t>
      </w:r>
      <w:r>
        <w:rPr>
          <w:rStyle w:val="strong1"/>
        </w:rPr>
        <w:t>in modules of $25,000</w:t>
      </w:r>
      <w:r>
        <w:t xml:space="preserve">), reflecting appropriate support for the project. There will be no future year escalations. A typical modular grant application will request the same number of modules in each budget period. Provide an additional narrative budget justification (in the </w:t>
      </w:r>
      <w:hyperlink w:anchor="110386072" w:history="1">
        <w:r>
          <w:rPr>
            <w:color w:val="0000FF"/>
            <w:u w:val="single"/>
          </w:rPr>
          <w:t>Additional Narrative Justification</w:t>
        </w:r>
      </w:hyperlink>
      <w:r>
        <w:t xml:space="preserve"> section) for any variation in the number of modules requested.</w:t>
      </w:r>
    </w:p>
    <w:p w:rsidR="00C838A3" w:rsidP="00C838A3" w14:paraId="1BB7E96C" w14:textId="77777777">
      <w:pPr>
        <w:pStyle w:val="poutdent"/>
      </w:pPr>
      <w:r>
        <w:t>Prior to award, NIH may request additional budget justification in exceptional circumstances.</w:t>
      </w:r>
    </w:p>
    <w:p w:rsidR="00C838A3" w:rsidP="00C838A3" w14:paraId="79829DE3" w14:textId="77777777">
      <w:pPr>
        <w:pStyle w:val="h4nospace"/>
      </w:pPr>
      <w:r>
        <w:t>Using the Modular Budget Form:</w:t>
      </w:r>
    </w:p>
    <w:p w:rsidR="00C838A3" w:rsidP="00C838A3" w14:paraId="22EFFC83" w14:textId="77777777">
      <w:pPr>
        <w:pStyle w:val="poutdent"/>
      </w:pPr>
      <w:r>
        <w:t>The Modular Budget Form provides budget fields for up to 5 periods of support (e.g., Budget Periods 1 - 5). A budget period is typically 1 year of support. If requesting fewer than 5 periods/years of support, complete only the applicable budget periods and leave the others blank. The fields are the same for all budget periods.</w:t>
      </w:r>
    </w:p>
    <w:p w:rsidR="00C838A3" w:rsidP="00C838A3" w14:paraId="6BB6E88E" w14:textId="77777777">
      <w:pPr>
        <w:pStyle w:val="poutdent"/>
      </w:pPr>
      <w:r>
        <w:t xml:space="preserve">The form will generate information for the </w:t>
      </w:r>
      <w:hyperlink w:anchor="-838253455" w:history="1">
        <w:r>
          <w:rPr>
            <w:color w:val="0000FF"/>
            <w:u w:val="single"/>
          </w:rPr>
          <w:t>Cumulative Budget Information</w:t>
        </w:r>
      </w:hyperlink>
      <w:r>
        <w:t xml:space="preserve"> section, which reflects information for the total project period.</w:t>
      </w:r>
    </w:p>
    <w:p w:rsidR="00C838A3" w:rsidP="00C838A3" w14:paraId="63048DEA" w14:textId="77777777">
      <w:pPr>
        <w:pStyle w:val="poutdent"/>
      </w:pPr>
      <w:r>
        <w:t>The following instructions (under “Budget Period 1”) can be used for each Budget Period (1-5).</w:t>
      </w:r>
    </w:p>
    <w:p w:rsidR="00C838A3" w:rsidP="00C838A3" w14:paraId="40C52D70" w14:textId="77777777">
      <w:pPr>
        <w:pStyle w:val="h2"/>
      </w:pPr>
      <w:bookmarkStart w:id="2" w:name="-648071340"/>
      <w:r>
        <w:t xml:space="preserve">Budget Period 1 </w:t>
      </w:r>
    </w:p>
    <w:bookmarkEnd w:id="2"/>
    <w:p w:rsidR="00C838A3" w:rsidP="00C838A3" w14:paraId="676CFCF3" w14:textId="77777777">
      <w:pPr>
        <w:pStyle w:val="h5"/>
      </w:pPr>
      <w:r>
        <w:t xml:space="preserve">Start Date: </w:t>
      </w:r>
    </w:p>
    <w:p w:rsidR="00C838A3" w:rsidP="00C838A3" w14:paraId="5B30D942" w14:textId="77777777">
      <w:pPr>
        <w:pStyle w:val="pnospaceout"/>
      </w:pPr>
      <w:r>
        <w:t>This field is required. Enter the requested/proposed start date of the budget period. Use the following format: MM/DD/YYYY. For period 1, the start date is typically the same date as the Proposed Project Start Date on the SF 424 (R&amp;R) Form.</w:t>
      </w:r>
    </w:p>
    <w:p w:rsidR="00C838A3" w:rsidP="00C838A3" w14:paraId="7C0B90CA" w14:textId="77777777">
      <w:pPr>
        <w:pStyle w:val="h5"/>
      </w:pPr>
      <w:r>
        <w:t>End Date:</w:t>
      </w:r>
    </w:p>
    <w:p w:rsidR="00C838A3" w:rsidP="00C838A3" w14:paraId="62BE9116" w14:textId="77777777">
      <w:pPr>
        <w:pStyle w:val="pnospaceout"/>
      </w:pPr>
      <w:r>
        <w:t>This field is required. Enter the requested/proposed end date of the budget period. Use the following format: MM/DD/YYYY.</w:t>
      </w:r>
    </w:p>
    <w:p w:rsidR="00C838A3" w:rsidP="00C838A3" w14:paraId="43D0F500" w14:textId="77777777">
      <w:pPr>
        <w:pStyle w:val="h3"/>
      </w:pPr>
      <w:bookmarkStart w:id="3" w:name="105339800"/>
      <w:r>
        <w:t>A. Direct Costs</w:t>
      </w:r>
    </w:p>
    <w:bookmarkEnd w:id="3"/>
    <w:p w:rsidR="00C838A3" w:rsidP="00C838A3" w14:paraId="4253CC14" w14:textId="77777777">
      <w:pPr>
        <w:pStyle w:val="h5"/>
      </w:pPr>
      <w:r>
        <w:t xml:space="preserve">Direct Cost less Consortium Indirect (F&amp;A): </w:t>
      </w:r>
    </w:p>
    <w:p w:rsidR="00C838A3" w:rsidP="00C838A3" w14:paraId="23C8F542" w14:textId="77777777">
      <w:pPr>
        <w:pStyle w:val="pnospaceout"/>
      </w:pPr>
      <w:r>
        <w:t>This field is required.</w:t>
      </w:r>
    </w:p>
    <w:p w:rsidR="00C838A3" w:rsidP="00C838A3" w14:paraId="6F759E38" w14:textId="77777777">
      <w:pPr>
        <w:pStyle w:val="pnospaceout"/>
      </w:pPr>
      <w:r>
        <w:t xml:space="preserve">Enter the amount of direct costs, but do not include actual consortium indirect (F&amp;A) costs. This figure must be in $25,000 increments, and it may not exceed $250,000 in a budget period. See the NIH Glossary’s definitions of </w:t>
      </w:r>
      <w:hyperlink r:id="rId12" w:anchor="DirectCosts" w:history="1">
        <w:r>
          <w:rPr>
            <w:color w:val="0000FF"/>
            <w:u w:val="single"/>
          </w:rPr>
          <w:t>Direct Cost</w:t>
        </w:r>
      </w:hyperlink>
      <w:r>
        <w:t xml:space="preserve"> and </w:t>
      </w:r>
      <w:hyperlink r:id="rId12" w:anchor="IndirectCosts" w:history="1">
        <w:r>
          <w:rPr>
            <w:color w:val="0000FF"/>
            <w:u w:val="single"/>
          </w:rPr>
          <w:t>Indirect Cost</w:t>
        </w:r>
      </w:hyperlink>
      <w:r>
        <w:t>.</w:t>
      </w:r>
    </w:p>
    <w:p w:rsidR="00C838A3" w:rsidP="00C838A3" w14:paraId="0E43C1DC" w14:textId="77777777">
      <w:pPr>
        <w:pStyle w:val="h5"/>
      </w:pPr>
      <w:r>
        <w:t>Consortium Indirect (F&amp;A):</w:t>
      </w:r>
    </w:p>
    <w:p w:rsidR="00C838A3" w:rsidP="00C838A3" w14:paraId="5870BD9B" w14:textId="77777777">
      <w:pPr>
        <w:pStyle w:val="pnospaceout"/>
      </w:pPr>
      <w:r>
        <w:t>If this project involves a subaward/consortium, enter the actual consortium indirect (F&amp;A) costs for the budget period. If this project does not involve a subaward/consortium, leave the field blank.</w:t>
      </w:r>
    </w:p>
    <w:p w:rsidR="00C838A3" w:rsidP="00C838A3" w14:paraId="7826D559" w14:textId="77777777">
      <w:pPr>
        <w:pStyle w:val="h5"/>
      </w:pPr>
      <w:r>
        <w:t>Total Direct Costs:</w:t>
      </w:r>
    </w:p>
    <w:p w:rsidR="00C838A3" w:rsidP="00C838A3" w14:paraId="04D3A2B5" w14:textId="77777777">
      <w:pPr>
        <w:pStyle w:val="pnospaceout"/>
      </w:pPr>
      <w:r>
        <w:t>This field will be automatically calculated based on the sum of the “Direct Cost less Consortium Indirect (F&amp;A)” and “Consortium Indirect (F&amp;A)” fields.</w:t>
      </w:r>
    </w:p>
    <w:p w:rsidR="00C838A3" w:rsidP="00C838A3" w14:paraId="4615B878" w14:textId="77777777">
      <w:pPr>
        <w:pStyle w:val="h3"/>
      </w:pPr>
      <w:bookmarkStart w:id="4" w:name="105143192"/>
      <w:r>
        <w:t>B. Indirect (F&amp;A) Costs</w:t>
      </w:r>
    </w:p>
    <w:bookmarkEnd w:id="4"/>
    <w:p w:rsidR="00C838A3" w:rsidP="00C838A3" w14:paraId="4A52AEB5" w14:textId="77777777">
      <w:pPr>
        <w:pStyle w:val="pnospaceout"/>
      </w:pPr>
      <w:r>
        <w:t xml:space="preserve">Indirect costs (Facilities &amp; Administrative [F&amp;A] costs) are defined as costs that are incurred by a recipient for common or joint objectives and that, therefore, cannot be identified specifically with a particular project or program. See the NIH Glossary's definition of </w:t>
      </w:r>
      <w:r>
        <w:fldChar w:fldCharType="begin"/>
      </w:r>
      <w:r>
        <w:rPr>
          <w:color w:val="0000FF"/>
          <w:u w:val="single"/>
        </w:rPr>
        <w:instrText xml:space="preserve"> HYPERLINK "http://grants.nih.gov/grants/glossary.htm" \l "IndirectCosts" </w:instrText>
      </w:r>
      <w:r>
        <w:fldChar w:fldCharType="separate"/>
      </w:r>
      <w:r>
        <w:rPr>
          <w:color w:val="0000FF"/>
          <w:u w:val="single"/>
        </w:rPr>
        <w:t>Indirect Costs</w:t>
      </w:r>
      <w:r>
        <w:fldChar w:fldCharType="end"/>
      </w:r>
      <w:r>
        <w:t>.</w:t>
      </w:r>
    </w:p>
    <w:p w:rsidR="00C838A3" w:rsidP="00C838A3" w14:paraId="61052ACC" w14:textId="77777777">
      <w:pPr>
        <w:pStyle w:val="h4indentnospace"/>
      </w:pPr>
      <w:r>
        <w:t>For more information:</w:t>
      </w:r>
    </w:p>
    <w:p w:rsidR="00C838A3" w:rsidP="00C838A3" w14:paraId="1E47B42B" w14:textId="77777777">
      <w:pPr>
        <w:pStyle w:val="p"/>
      </w:pPr>
      <w:r>
        <w:t xml:space="preserve">You are encouraged to visit the following Division of Financial Advisory Services (DFAS) Websites or call DFAS staff at 301-496-2444 for guidance: </w:t>
      </w:r>
      <w:hyperlink r:id="rId13" w:history="1">
        <w:r>
          <w:rPr>
            <w:color w:val="0000FF"/>
            <w:u w:val="single"/>
          </w:rPr>
          <w:t>Main DFAS</w:t>
        </w:r>
      </w:hyperlink>
      <w:r>
        <w:t xml:space="preserve"> website, DFAS </w:t>
      </w:r>
      <w:hyperlink r:id="rId14" w:history="1">
        <w:r>
          <w:rPr>
            <w:color w:val="0000FF"/>
            <w:u w:val="single"/>
          </w:rPr>
          <w:t>Frequently Asked Questions</w:t>
        </w:r>
      </w:hyperlink>
      <w:r>
        <w:t xml:space="preserve">. The following website has a listing of unallowable and unallocable costs and the related Federal Acquisition Regulation (FAR) citation for each: </w:t>
      </w:r>
      <w:hyperlink r:id="rId15" w:history="1">
        <w:r>
          <w:rPr>
            <w:color w:val="0000FF"/>
            <w:u w:val="single"/>
          </w:rPr>
          <w:t>NIH Office of Management's Unallowable / Unallocated costs</w:t>
        </w:r>
      </w:hyperlink>
      <w:r>
        <w:t>.</w:t>
      </w:r>
    </w:p>
    <w:p w:rsidR="00C838A3" w:rsidP="00C838A3" w14:paraId="3FD7AA37" w14:textId="77777777">
      <w:pPr>
        <w:pStyle w:val="p"/>
      </w:pPr>
      <w:r>
        <w:t xml:space="preserve">Refer to the </w:t>
      </w:r>
      <w:hyperlink r:id="rId16" w:history="1">
        <w:r>
          <w:rPr>
            <w:color w:val="0000FF"/>
            <w:u w:val="single"/>
          </w:rPr>
          <w:t>NIH Grants Policy Statement, Section 7.4: Reimbursement of Facilities and Administrative Costs</w:t>
        </w:r>
      </w:hyperlink>
      <w:r>
        <w:t xml:space="preserve"> for more information.</w:t>
      </w:r>
    </w:p>
    <w:p w:rsidR="00C838A3" w:rsidP="00C838A3" w14:paraId="4FA9DC97" w14:textId="77777777">
      <w:pPr>
        <w:pStyle w:val="h5"/>
      </w:pPr>
      <w:r>
        <w:t>Indirect (F&amp;A) Type:</w:t>
      </w:r>
    </w:p>
    <w:p w:rsidR="00C838A3" w:rsidP="00C838A3" w14:paraId="42807A2D" w14:textId="77777777">
      <w:pPr>
        <w:pStyle w:val="pnospaceout"/>
      </w:pPr>
      <w:r>
        <w:t xml:space="preserve">Enter the type/base of indirect cost (e.g., Salary &amp; Wages, Modified Total Direct Costs, etc.) and whether the cost is off-site. If more than one rate or base is involved for a given type of indirect cost, then list them as separate entries. If you do not have a current indirect (F&amp;A) rate(s) approved by a federal agency, indicate “None—will negotiate” and include information for a proposed rate. Use the </w:t>
      </w:r>
      <w:hyperlink w:anchor="110386072" w:history="1">
        <w:r>
          <w:rPr>
            <w:color w:val="0000FF"/>
            <w:u w:val="single"/>
          </w:rPr>
          <w:t>Budget Justification</w:t>
        </w:r>
      </w:hyperlink>
      <w:r>
        <w:t xml:space="preserve"> if additional space is needed.</w:t>
      </w:r>
    </w:p>
    <w:p w:rsidR="00C838A3" w:rsidP="00C838A3" w14:paraId="55DBEAB6" w14:textId="77777777">
      <w:pPr>
        <w:pStyle w:val="h5"/>
      </w:pPr>
      <w:r>
        <w:t>Indirect (F&amp;A) Rate (%):</w:t>
      </w:r>
    </w:p>
    <w:p w:rsidR="00C838A3" w:rsidP="00C838A3" w14:paraId="70C82434" w14:textId="77777777">
      <w:pPr>
        <w:pStyle w:val="pnospaceout"/>
      </w:pPr>
      <w:r>
        <w:t>Indicate the most recent Indirect (F&amp;A) cost rate(s) established with the cognizant federal office, or in the case of for-profit organizations, the rate(s) established with the appropriate agency. If you have a cognizant/oversight agency and are selected for an award, you must submit your indirect rate proposal to the NIH awarding IC or to the PHS awarding office for approval. If you do not have a cognizant/oversight agency, contact the awarding agency. This field should be entered using a rate such as “55.5.”</w:t>
      </w:r>
    </w:p>
    <w:p w:rsidR="00C838A3" w:rsidP="00C838A3" w14:paraId="4921C1CC" w14:textId="77777777">
      <w:pPr>
        <w:pStyle w:val="h5"/>
      </w:pPr>
      <w:r>
        <w:t>Indirect (F&amp;A) Base ($):</w:t>
      </w:r>
    </w:p>
    <w:p w:rsidR="00C838A3" w:rsidP="00C838A3" w14:paraId="2F147FF5" w14:textId="77777777">
      <w:pPr>
        <w:pStyle w:val="pnospaceout"/>
      </w:pPr>
      <w:r>
        <w:t>Enter the amount of the base for each indirect cost type.</w:t>
      </w:r>
    </w:p>
    <w:p w:rsidR="00C838A3" w:rsidP="00C838A3" w14:paraId="407DB378" w14:textId="77777777">
      <w:pPr>
        <w:pStyle w:val="h5"/>
      </w:pPr>
      <w:r>
        <w:t xml:space="preserve">Funds Requested ($): </w:t>
      </w:r>
    </w:p>
    <w:p w:rsidR="00C838A3" w:rsidP="00C838A3" w14:paraId="315AD7CA" w14:textId="77777777">
      <w:pPr>
        <w:pStyle w:val="pnospaceout"/>
      </w:pPr>
      <w:r>
        <w:t>Enter the funds requested for each indirect cost type.</w:t>
      </w:r>
    </w:p>
    <w:p w:rsidR="00C838A3" w:rsidP="00C838A3" w14:paraId="05152805" w14:textId="77777777">
      <w:pPr>
        <w:pStyle w:val="h5"/>
      </w:pPr>
      <w:r>
        <w:t>Cognizant Agency (Agency Name, POC Name and Phone Number):</w:t>
      </w:r>
    </w:p>
    <w:p w:rsidR="00C838A3" w:rsidP="00C838A3" w14:paraId="17ACEDCF" w14:textId="77777777">
      <w:pPr>
        <w:pStyle w:val="pnospaceout"/>
      </w:pPr>
      <w:r>
        <w:t>Enter the name of the cognizant Federal Agency and the name and phone number of the individual responsible for negotiating your rate (your point of contact). If no cognizant agency is known, enter “None.”</w:t>
      </w:r>
    </w:p>
    <w:p w:rsidR="00C838A3" w:rsidP="00C838A3" w14:paraId="602BD532" w14:textId="77777777">
      <w:pPr>
        <w:pStyle w:val="h5"/>
      </w:pPr>
      <w:r>
        <w:t xml:space="preserve">Indirect (F&amp;A) Rate Agreement Date: </w:t>
      </w:r>
    </w:p>
    <w:p w:rsidR="00C838A3" w:rsidP="00C838A3" w14:paraId="0C9EC572" w14:textId="77777777">
      <w:pPr>
        <w:pStyle w:val="pnospaceout"/>
      </w:pPr>
      <w:r>
        <w:t>If you have a negotiated rate agreement, enter the agreement date.</w:t>
      </w:r>
    </w:p>
    <w:p w:rsidR="00C838A3" w:rsidP="00C838A3" w14:paraId="42095791" w14:textId="77777777">
      <w:pPr>
        <w:pStyle w:val="h5"/>
      </w:pPr>
      <w:r>
        <w:t xml:space="preserve">Total Indirect (F&amp;A) Costs: </w:t>
      </w:r>
    </w:p>
    <w:p w:rsidR="00C838A3" w:rsidP="00C838A3" w14:paraId="7B713581" w14:textId="77777777">
      <w:pPr>
        <w:pStyle w:val="pnospaceout"/>
      </w:pPr>
      <w:r>
        <w:t>This field will be automatically calculated based on the sum of the "Funds Requested" fields from all of the Indirect (F&amp;A) Costs.</w:t>
      </w:r>
    </w:p>
    <w:p w:rsidR="00C838A3" w:rsidP="00C838A3" w14:paraId="411EA247" w14:textId="77777777">
      <w:pPr>
        <w:pStyle w:val="h3"/>
      </w:pPr>
      <w:bookmarkStart w:id="5" w:name="105208728"/>
      <w:r>
        <w:t xml:space="preserve">C. Total Direct and Indirect (F&amp;A) Costs (A+B) </w:t>
      </w:r>
    </w:p>
    <w:bookmarkEnd w:id="5"/>
    <w:p w:rsidR="00C838A3" w:rsidP="00C838A3" w14:paraId="4F4466EB" w14:textId="77777777">
      <w:pPr>
        <w:pStyle w:val="h5"/>
      </w:pPr>
      <w:r>
        <w:t>Funds Requested ($):</w:t>
      </w:r>
    </w:p>
    <w:p w:rsidR="00C838A3" w:rsidP="00C838A3" w14:paraId="0E2D1925" w14:textId="77777777">
      <w:pPr>
        <w:pStyle w:val="pnospaceout"/>
      </w:pPr>
      <w:r>
        <w:t>This field will be automatically calculated based on the sum of the “Total Direct Costs” and “Total Indirect (F&amp;A) Costs” fields.</w:t>
      </w:r>
    </w:p>
    <w:p w:rsidR="00C838A3" w:rsidP="00C838A3" w14:paraId="732A56C3" w14:textId="77777777">
      <w:pPr>
        <w:pStyle w:val="h2"/>
      </w:pPr>
      <w:bookmarkStart w:id="6" w:name="-838253455"/>
      <w:r>
        <w:t xml:space="preserve">Cumulative Budget Information </w:t>
      </w:r>
    </w:p>
    <w:p w:rsidR="00C838A3" w:rsidP="00C838A3" w14:paraId="3A4F6B21" w14:textId="77777777">
      <w:pPr>
        <w:pStyle w:val="h3"/>
      </w:pPr>
      <w:bookmarkStart w:id="7" w:name="110582680"/>
      <w:bookmarkEnd w:id="6"/>
      <w:r>
        <w:t>1. Total Costs, Entire Project Period</w:t>
      </w:r>
    </w:p>
    <w:bookmarkEnd w:id="7"/>
    <w:p w:rsidR="00C838A3" w:rsidP="00C838A3" w14:paraId="13CDA73C" w14:textId="77777777">
      <w:pPr>
        <w:pStyle w:val="pnospaceout"/>
      </w:pPr>
      <w:r>
        <w:t>All values for the “Total Costs, Entire Project Period” section are automatically calculated and the fields are pre-populated. They present the summations of the amounts you entered for each of the individual budget periods. Therefore, no data entry is allowed or required in the “Total Costs, Entire Project Period” section.</w:t>
      </w:r>
    </w:p>
    <w:p w:rsidR="00C838A3" w:rsidP="00C838A3" w14:paraId="53955EE5" w14:textId="77777777">
      <w:pPr>
        <w:pStyle w:val="p"/>
      </w:pPr>
      <w:r>
        <w:t>If any of the amounts displayed in this “Total Costs, Entire Project Period” section appear to be incorrect, you may correct it by adjusting one or more of the values that contribute to that total. To make any such corrections, you will need to revisit the appropriate budget period form(s).</w:t>
      </w:r>
    </w:p>
    <w:p w:rsidR="00C838A3" w:rsidP="00C838A3" w14:paraId="24665694" w14:textId="77777777">
      <w:pPr>
        <w:pStyle w:val="h3"/>
      </w:pPr>
      <w:bookmarkStart w:id="8" w:name="110386072"/>
      <w:r>
        <w:t>2. Budget Justifications</w:t>
      </w:r>
    </w:p>
    <w:bookmarkEnd w:id="8"/>
    <w:p w:rsidR="00C838A3" w:rsidP="00C838A3" w14:paraId="05142803" w14:textId="77777777">
      <w:pPr>
        <w:pStyle w:val="h5"/>
      </w:pPr>
      <w:r>
        <w:t xml:space="preserve">Personnel Justification: </w:t>
      </w:r>
    </w:p>
    <w:p w:rsidR="00C838A3" w:rsidP="00C838A3" w14:paraId="714FB010" w14:textId="77777777">
      <w:pPr>
        <w:pStyle w:val="h4indent"/>
      </w:pPr>
      <w:r>
        <w:t>Format:</w:t>
      </w:r>
    </w:p>
    <w:p w:rsidR="00C838A3" w:rsidP="00C838A3" w14:paraId="19223FC4" w14:textId="77777777">
      <w:pPr>
        <w:pStyle w:val="pnospaceout"/>
      </w:pPr>
      <w:r>
        <w:t xml:space="preserve">Attach this information as a PDF file. See NIH’s </w:t>
      </w:r>
      <w:hyperlink r:id="rId17" w:history="1">
        <w:r>
          <w:rPr>
            <w:color w:val="0000FF"/>
            <w:u w:val="single"/>
          </w:rPr>
          <w:t>Format Attachments</w:t>
        </w:r>
      </w:hyperlink>
      <w:r>
        <w:t xml:space="preserve"> page. Hyperlinks and URLs are not allowed in this section unless specified in the funding opportunity.</w:t>
      </w:r>
    </w:p>
    <w:p w:rsidR="00C838A3" w:rsidP="00C838A3" w14:paraId="51F4EFAF" w14:textId="77777777">
      <w:pPr>
        <w:pStyle w:val="h4indent"/>
      </w:pPr>
      <w:r>
        <w:t>Content:</w:t>
      </w:r>
    </w:p>
    <w:p w:rsidR="00C838A3" w:rsidP="00C838A3" w14:paraId="3C9BF03B" w14:textId="77777777">
      <w:pPr>
        <w:pStyle w:val="pnospaceout"/>
      </w:pPr>
      <w:r>
        <w:t xml:space="preserve">List all personnel, including names, percent effort (use the </w:t>
      </w:r>
      <w:hyperlink r:id="rId12" w:anchor="PersonMonths" w:history="1">
        <w:r>
          <w:rPr>
            <w:color w:val="0000FF"/>
            <w:u w:val="single"/>
          </w:rPr>
          <w:t>Person Months</w:t>
        </w:r>
      </w:hyperlink>
      <w:r>
        <w:t xml:space="preserve"> metric), and roles on the project.</w:t>
      </w:r>
    </w:p>
    <w:p w:rsidR="00C838A3" w:rsidP="00C838A3" w14:paraId="455BD13D" w14:textId="77777777">
      <w:pPr>
        <w:pStyle w:val="pnospaceout"/>
      </w:pPr>
      <w:r>
        <w:t>Do not provide individual salary information. You must use the current legislatively imposed salary limitation when estimating the number of modules. For guidance on current salary limitations, contact your office of sponsored programs.</w:t>
      </w:r>
    </w:p>
    <w:p w:rsidR="00C838A3" w:rsidP="00C838A3" w14:paraId="6E76E7C6" w14:textId="77777777">
      <w:pPr>
        <w:pStyle w:val="pnospaceout"/>
      </w:pPr>
      <w:r>
        <w:rPr>
          <w:rStyle w:val="strong1"/>
        </w:rPr>
        <w:t>Administrative, Secretarial, and Clerical Support Salaries:</w:t>
      </w:r>
      <w:r>
        <w:t xml:space="preserve"> In most circumstances, the salaries of administrative, secretarial, or clerical staff at educational institutions and nonprofit organizations are included as part of indirect costs. However, examples of situations where direct charging of these salaries may be appropriate may be found at </w:t>
      </w:r>
      <w:hyperlink r:id="rId18" w:history="1">
        <w:r>
          <w:rPr>
            <w:color w:val="0000FF"/>
            <w:u w:val="single"/>
          </w:rPr>
          <w:t>45 CFR 75.403</w:t>
        </w:r>
      </w:hyperlink>
      <w:r>
        <w:t>.</w:t>
      </w:r>
    </w:p>
    <w:p w:rsidR="00C838A3" w:rsidP="00C838A3" w14:paraId="62A6963B" w14:textId="77777777">
      <w:pPr>
        <w:pStyle w:val="pnospaceout"/>
      </w:pPr>
      <w:r>
        <w:t>Inclusion of such costs may be appropriate only if all of the following conditions are met:</w:t>
      </w:r>
    </w:p>
    <w:p w:rsidR="00C838A3" w:rsidP="00C838A3" w14:paraId="2BDE46A7" w14:textId="77777777">
      <w:pPr>
        <w:pStyle w:val="liIndentedlist"/>
        <w:numPr>
          <w:ilvl w:val="0"/>
          <w:numId w:val="3"/>
        </w:numPr>
        <w:spacing w:before="100"/>
      </w:pPr>
      <w:r>
        <w:t>Administrative or clerical services are integral to a project or activity;</w:t>
      </w:r>
    </w:p>
    <w:p w:rsidR="00C838A3" w:rsidP="00C838A3" w14:paraId="094939C1" w14:textId="77777777">
      <w:pPr>
        <w:pStyle w:val="liIndentedlist"/>
        <w:numPr>
          <w:ilvl w:val="0"/>
          <w:numId w:val="3"/>
        </w:numPr>
      </w:pPr>
      <w:r>
        <w:t>Individuals involved can be specifically identified with the project or activity;</w:t>
      </w:r>
    </w:p>
    <w:p w:rsidR="00C838A3" w:rsidP="00C838A3" w14:paraId="593966B8" w14:textId="77777777">
      <w:pPr>
        <w:pStyle w:val="liIndentedlist"/>
        <w:numPr>
          <w:ilvl w:val="0"/>
          <w:numId w:val="3"/>
        </w:numPr>
      </w:pPr>
      <w:r>
        <w:t>Such costs are explicitly included in the budget or have prior written approval of the federal awarding agency; and</w:t>
      </w:r>
    </w:p>
    <w:p w:rsidR="00C838A3" w:rsidP="00C838A3" w14:paraId="0A26973C" w14:textId="77777777">
      <w:pPr>
        <w:pStyle w:val="liIndentedlist"/>
        <w:numPr>
          <w:ilvl w:val="0"/>
          <w:numId w:val="3"/>
        </w:numPr>
        <w:spacing w:after="100"/>
      </w:pPr>
      <w:r>
        <w:t>The costs are not also recovered as indirect costs.</w:t>
      </w:r>
    </w:p>
    <w:p w:rsidR="00C838A3" w:rsidP="00C838A3" w14:paraId="05848BFA" w14:textId="77777777">
      <w:pPr>
        <w:pStyle w:val="pnospaceout"/>
      </w:pPr>
      <w:r>
        <w:t>Requests for direct charging for administrative, secretarial, or clerical personnel must be appropriately justified here in the “Personnel Justification.” For each individual classified as administrative/secretarial/clerical, provide the name; percent effort; role; and a justification documenting how they meet all four conditions. NIH ICs may request additional information for these positions in order to assess allowability.</w:t>
      </w:r>
    </w:p>
    <w:p w:rsidR="00C838A3" w:rsidP="00C838A3" w14:paraId="48FAAB9E" w14:textId="77777777">
      <w:pPr>
        <w:pStyle w:val="pnospaceout"/>
      </w:pPr>
      <w:r>
        <w:rPr>
          <w:rStyle w:val="strong1"/>
        </w:rPr>
        <w:t>Graduate student compensation:</w:t>
      </w:r>
      <w:r>
        <w:t xml:space="preserve"> NIH grants also limit compensation for graduate students. Compensation includes salary or wages, fringe benefits, and tuition remission. While actual institutional-based compensation should be requested and justified, this may be adjusted at the time of award. This limit should also be used when estimating the number of modules. For more guidance on this policy, see the </w:t>
      </w:r>
      <w:hyperlink r:id="rId19" w:anchor="Graduate" w:history="1">
        <w:r>
          <w:rPr>
            <w:color w:val="0000FF"/>
            <w:u w:val="single"/>
          </w:rPr>
          <w:t>NIH Grants Policy Statement, Section 2.3.7.9: Graduate Student Compensation</w:t>
        </w:r>
      </w:hyperlink>
      <w:r>
        <w:t>.</w:t>
      </w:r>
    </w:p>
    <w:p w:rsidR="00C838A3" w:rsidP="00C838A3" w14:paraId="5396B645" w14:textId="77777777">
      <w:pPr>
        <w:pStyle w:val="h5"/>
      </w:pPr>
      <w:r>
        <w:t>Consortium Justification:</w:t>
      </w:r>
    </w:p>
    <w:p w:rsidR="00C838A3" w:rsidP="00C838A3" w14:paraId="57DB6828" w14:textId="77777777">
      <w:pPr>
        <w:pStyle w:val="h4indent"/>
      </w:pPr>
      <w:r>
        <w:t>Format:</w:t>
      </w:r>
    </w:p>
    <w:p w:rsidR="00C838A3" w:rsidP="00C838A3" w14:paraId="1737A060" w14:textId="77777777">
      <w:pPr>
        <w:pStyle w:val="pnospaceout"/>
      </w:pPr>
      <w:r>
        <w:t xml:space="preserve">Attach this information as a PDF file. See the NIH's </w:t>
      </w:r>
      <w:hyperlink r:id="rId17" w:history="1">
        <w:r>
          <w:rPr>
            <w:color w:val="0000FF"/>
            <w:u w:val="single"/>
          </w:rPr>
          <w:t>Format Attachment</w:t>
        </w:r>
      </w:hyperlink>
      <w:r>
        <w:t xml:space="preserve"> page.</w:t>
      </w:r>
    </w:p>
    <w:p w:rsidR="00C838A3" w:rsidP="00C838A3" w14:paraId="4C102E2F" w14:textId="77777777">
      <w:pPr>
        <w:pStyle w:val="h4indent"/>
      </w:pPr>
      <w:r>
        <w:t>Content:</w:t>
      </w:r>
    </w:p>
    <w:p w:rsidR="00C838A3" w:rsidP="00C838A3" w14:paraId="23C89A77" w14:textId="77777777">
      <w:pPr>
        <w:pStyle w:val="pnospaceout"/>
      </w:pPr>
      <w:r>
        <w:t>Provide an estimate of total consortium/subaward costs (direct costs plus indirect [F&amp;A] costs) for each budget period, rounded to the nearest $1,000.</w:t>
      </w:r>
    </w:p>
    <w:p w:rsidR="00C838A3" w:rsidP="00C838A3" w14:paraId="61DA9574" w14:textId="77777777">
      <w:pPr>
        <w:pStyle w:val="pnospaceout"/>
      </w:pPr>
      <w:r>
        <w:t>List the individuals/organizations with whom consortium or contractual arrangements have been made and indicate whether the collaborating organization is foreign or domestic.</w:t>
      </w:r>
    </w:p>
    <w:p w:rsidR="00C838A3" w:rsidP="00C838A3" w14:paraId="19A47542" w14:textId="77777777">
      <w:pPr>
        <w:pStyle w:val="pnospaceout"/>
      </w:pPr>
      <w:r>
        <w:t xml:space="preserve">List all personnel, including names, percent effort (use the </w:t>
      </w:r>
      <w:hyperlink r:id="rId12" w:anchor="PersonMonths" w:history="1">
        <w:r>
          <w:rPr>
            <w:color w:val="0000FF"/>
            <w:u w:val="single"/>
          </w:rPr>
          <w:t>Person Months</w:t>
        </w:r>
      </w:hyperlink>
      <w:r>
        <w:t xml:space="preserve"> metric), and roles on the project.</w:t>
      </w:r>
    </w:p>
    <w:p w:rsidR="00C838A3" w:rsidP="00C838A3" w14:paraId="553330F4" w14:textId="77777777">
      <w:pPr>
        <w:pStyle w:val="pnospaceout"/>
      </w:pPr>
      <w:r>
        <w:t>Do not provide individual salary information.</w:t>
      </w:r>
    </w:p>
    <w:p w:rsidR="00C838A3" w:rsidP="00C838A3" w14:paraId="27E9E186" w14:textId="77777777">
      <w:pPr>
        <w:pStyle w:val="h5"/>
      </w:pPr>
      <w:r>
        <w:t>Additional Narrative Justification:</w:t>
      </w:r>
    </w:p>
    <w:p w:rsidR="00C838A3" w:rsidP="00C838A3" w14:paraId="527DA633" w14:textId="77777777">
      <w:pPr>
        <w:pStyle w:val="p"/>
      </w:pPr>
      <w:r>
        <w:t> </w:t>
      </w:r>
    </w:p>
    <w:p w:rsidR="00C838A3" w:rsidP="00C838A3" w14:paraId="395DC82C" w14:textId="6FBBF8B0">
      <w:pPr>
        <w:pStyle w:val="p"/>
      </w:pPr>
      <w:r>
        <w:rPr>
          <w:rStyle w:val="b"/>
        </w:rPr>
        <w:t>Note</w:t>
      </w:r>
      <w:r>
        <w:t>: Additional explanation within the Additional Narrative Justification is not needed in applications to NOFOs with direct cost limits that do not spread evenly across budget periods (e.g., R21 NOFOs that allow $275,000 in direct costs over two years).</w:t>
      </w:r>
    </w:p>
    <w:p w:rsidR="00C838A3" w:rsidP="00C838A3" w14:paraId="5DD50B10" w14:textId="1D345C00">
      <w:pPr>
        <w:pStyle w:val="p"/>
      </w:pPr>
      <w:r>
        <w:rPr>
          <w:rStyle w:val="b"/>
        </w:rPr>
        <w:t>Special Instructions for Applications Submitted with a Data Management and Sharing (DMS) Plan</w:t>
      </w:r>
      <w:r>
        <w:t>: If a Data Management and Sharing (DMS) Plan is required in the proposed application, (see instructions for the “Other Plan(s)” attachment on the PHS 398 Research Plan Form and the PHS 398 Career Development Award Supplemental Form, as applicable), the Additional Narrative Justification is required.</w:t>
      </w:r>
    </w:p>
    <w:p w:rsidR="00C838A3" w:rsidP="00C838A3" w14:paraId="51163ECD" w14:textId="77777777">
      <w:pPr>
        <w:pStyle w:val="h4indent"/>
      </w:pPr>
      <w:r>
        <w:t>Format:</w:t>
      </w:r>
    </w:p>
    <w:p w:rsidR="00C838A3" w:rsidP="00C838A3" w14:paraId="5D741E14" w14:textId="77777777">
      <w:pPr>
        <w:pStyle w:val="pnospaceout"/>
      </w:pPr>
      <w:r>
        <w:t xml:space="preserve">Attach this information as a PDF file. See the NIH's </w:t>
      </w:r>
      <w:hyperlink r:id="rId17" w:history="1">
        <w:r>
          <w:rPr>
            <w:color w:val="0000FF"/>
            <w:u w:val="single"/>
          </w:rPr>
          <w:t>Format Attachment</w:t>
        </w:r>
      </w:hyperlink>
      <w:r>
        <w:t xml:space="preserve"> page. Hyperlinks and URLs are not allowed in this section unless specified in the funding opportunity.</w:t>
      </w:r>
    </w:p>
    <w:p w:rsidR="00C838A3" w:rsidP="00C838A3" w14:paraId="4AB2DCC7" w14:textId="77777777">
      <w:pPr>
        <w:pStyle w:val="h4indent"/>
      </w:pPr>
      <w:r>
        <w:t>Content:</w:t>
      </w:r>
    </w:p>
    <w:p w:rsidR="00C838A3" w:rsidP="00C838A3" w14:paraId="4ACC8D44" w14:textId="77777777">
      <w:pPr>
        <w:pStyle w:val="pnospaceout"/>
      </w:pPr>
      <w:r>
        <w:t>If the requested budget requires any additional justification (e.g., variations in the number of modules requested, applications submitting a DMS plan), include that information in the Additional Narrative Justification attachment. If you have a quote(s), you may include it here (information in the quote may be not used to supplement information provided in page-limited sections of the application, such as the Research Strategy).</w:t>
      </w:r>
    </w:p>
    <w:p w:rsidR="00C838A3" w:rsidP="00C838A3" w14:paraId="245454C7" w14:textId="77777777">
      <w:pPr>
        <w:pStyle w:val="pnospaceout"/>
      </w:pPr>
      <w:r>
        <w:t>Additional justification should include explanations for any variations in the number of modules requested annually. Also, this section should describe any direct costs that were excluded from the total direct costs (such as equipment, tuition remission) and any work being conducted off-site, especially if it involves a foreign study site or an off-site F&amp;A rate.</w:t>
      </w:r>
    </w:p>
    <w:p w:rsidR="00C838A3" w:rsidP="00C838A3" w14:paraId="52451F6C" w14:textId="47FAAF89">
      <w:pPr>
        <w:pStyle w:val="p"/>
      </w:pPr>
      <w:r>
        <w:rPr>
          <w:rStyle w:val="b"/>
        </w:rPr>
        <w:t>Note</w:t>
      </w:r>
      <w:r>
        <w:t>: Additional explanation for variations in the number of modules requested annually is not needed in applications to NOFOs with direct cost limits that do not spread evenly across budget periods (e.g., R21 NOFOs that allow $275,000 in direct costs over two years).</w:t>
      </w:r>
    </w:p>
    <w:p w:rsidR="00C838A3" w:rsidP="00C838A3" w14:paraId="40D356DD" w14:textId="693B7E35">
      <w:pPr>
        <w:pStyle w:val="p"/>
      </w:pPr>
      <w:r>
        <w:rPr>
          <w:b/>
          <w:bCs/>
        </w:rPr>
        <w:t>Special Instructions for Applications Submitted with a Data Management and Sharing (DMS) Plan:</w:t>
      </w:r>
    </w:p>
    <w:p w:rsidR="00C838A3" w:rsidP="00C838A3" w14:paraId="06B833F5" w14:textId="77777777">
      <w:pPr>
        <w:pStyle w:val="p"/>
      </w:pPr>
      <w:r>
        <w:t>NIH recognizes that making data accessible and reusable for other researchers may incur costs. If a Data Management and Sharing Plan is required in the proposed application (see instructions for the “Other Plan(s)” attachment on the PHS 398 Research Plan Form and the PHS 398 Career Development Award Supplemental Form, as applicable), the Data Management and Sharing justification must be clearly labeled as “Data Management and Sharing Justification” followed by the estimated dollar amount (total direct costs). If no cost will be incurred, enter "0" for the estimated dollar amount. Also include a brief justification of the proposed activities that will incur costs. Provide a brief summary of type and amount of scientific data to be preserved and shared and the name of the established repository(ies) where they will be preserved and shared. Indicate general cost categories such as curating data and developing supporting documentation, local data management considerations, preserving and sharing data through established repositories, etc., including an amount for each category and a brief explanation. The recommended length of the justification should be no more than half a page.</w:t>
      </w:r>
    </w:p>
    <w:p w:rsidR="00C838A3" w:rsidP="00C838A3" w14:paraId="63ADDF0C" w14:textId="77777777">
      <w:pPr>
        <w:pStyle w:val="p"/>
      </w:pPr>
      <w:r>
        <w:rPr>
          <w:rStyle w:val="b"/>
        </w:rPr>
        <w:t>Allowable and Unallowable Costs</w:t>
      </w:r>
      <w:r>
        <w:t xml:space="preserve">: Allowable costs submitted in budget requests must be incurred during the performance period, even for scientific data and metadata preserved and shared beyond the award period. Budget requests must NOT include: Infrastructure costs that are included in institutional overhead (for instance, NIH Grants Policy Statement </w:t>
      </w:r>
      <w:hyperlink r:id="rId20" w:history="1">
        <w:r>
          <w:rPr>
            <w:color w:val="0000FF"/>
            <w:u w:val="single"/>
          </w:rPr>
          <w:t>Section 7.3 Facilities and Administrative costs</w:t>
        </w:r>
      </w:hyperlink>
      <w:r>
        <w:t xml:space="preserve">); costs associated with the routine conduct of research, including costs associated with collecting or gaining access to research data; or costs that are double charged or inconsistently charged as both direct and indirect costs. For more information, see </w:t>
      </w:r>
      <w:hyperlink r:id="rId21" w:history="1">
        <w:r>
          <w:rPr>
            <w:color w:val="0000FF"/>
            <w:u w:val="single"/>
          </w:rPr>
          <w:t>Budgeting for Data Management &amp; Sharing</w:t>
        </w:r>
      </w:hyperlink>
      <w:r>
        <w:t xml:space="preserve"> on the NIH Scientific Data Sharing website and additional details to help </w:t>
      </w:r>
      <w:hyperlink r:id="rId22" w:history="1">
        <w:r>
          <w:rPr>
            <w:color w:val="0000FF"/>
            <w:u w:val="single"/>
          </w:rPr>
          <w:t>Develop Your Budget</w:t>
        </w:r>
      </w:hyperlink>
      <w:r>
        <w:t>.</w:t>
      </w:r>
    </w:p>
    <w:p w:rsidR="00E07BC4" w14:paraId="79AB953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Light-webfont">
    <w:altName w:val="Nuni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D968E4"/>
    <w:multiLevelType w:val="multilevel"/>
    <w:tmpl w:val="6B6EEBE6"/>
    <w:lvl w:ilvl="0">
      <w:start w:val="1"/>
      <w:numFmt w:val="decimal"/>
      <w:lvlText w:val="%1."/>
      <w:lvlJc w:val="right"/>
      <w:pPr>
        <w:tabs>
          <w:tab w:val="num" w:pos="1200"/>
        </w:tabs>
        <w:spacing w:line="0" w:lineRule="atLeast"/>
        <w:ind w:left="120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D314803"/>
    <w:multiLevelType w:val="multilevel"/>
    <w:tmpl w:val="9C76D62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FE57DE5"/>
    <w:multiLevelType w:val="multilevel"/>
    <w:tmpl w:val="3D58A7A8"/>
    <w:lvl w:ilvl="0">
      <w:start w:val="1"/>
      <w:numFmt w:val="decimal"/>
      <w:lvlText w:val="%1."/>
      <w:lvlJc w:val="right"/>
      <w:pPr>
        <w:tabs>
          <w:tab w:val="num" w:pos="750"/>
        </w:tabs>
        <w:spacing w:line="0" w:lineRule="atLeast"/>
        <w:ind w:left="750" w:hanging="210"/>
      </w:pPr>
      <w:rPr>
        <w:color w:val="444444"/>
        <w:sz w:val="20"/>
        <w:szCs w:val="2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13449218">
    <w:abstractNumId w:val="2"/>
  </w:num>
  <w:num w:numId="2" w16cid:durableId="1243873294">
    <w:abstractNumId w:val="1"/>
  </w:num>
  <w:num w:numId="3" w16cid:durableId="3573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E4"/>
    <w:rsid w:val="000635AC"/>
    <w:rsid w:val="003F29D0"/>
    <w:rsid w:val="00466FC3"/>
    <w:rsid w:val="004B3CDA"/>
    <w:rsid w:val="00923AE4"/>
    <w:rsid w:val="00BD7A6B"/>
    <w:rsid w:val="00C838A3"/>
    <w:rsid w:val="00E07B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B72B61"/>
  <w15:chartTrackingRefBased/>
  <w15:docId w15:val="{178ECF46-217A-4354-AC3F-0CC33FFB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8A3"/>
    <w:pPr>
      <w:spacing w:after="0" w:line="240" w:lineRule="auto"/>
    </w:pPr>
    <w:rPr>
      <w:rFonts w:ascii="Segoe UI" w:eastAsia="Segoe UI" w:hAnsi="Segoe UI" w:cs="Segoe UI"/>
      <w:kern w:val="0"/>
      <w:sz w:val="20"/>
      <w:szCs w:val="20"/>
      <w14:ligatures w14:val="none"/>
    </w:rPr>
  </w:style>
  <w:style w:type="paragraph" w:styleId="Heading1">
    <w:name w:val="heading 1"/>
    <w:basedOn w:val="Normal"/>
    <w:next w:val="Normal"/>
    <w:link w:val="Heading1Char"/>
    <w:uiPriority w:val="9"/>
    <w:qFormat/>
    <w:rsid w:val="00C838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C838A3"/>
    <w:pPr>
      <w:spacing w:before="100" w:after="150" w:line="240" w:lineRule="atLeast"/>
      <w:ind w:left="450"/>
    </w:pPr>
    <w:rPr>
      <w:rFonts w:ascii="Segoe UI" w:eastAsia="Segoe UI" w:hAnsi="Segoe UI" w:cs="Segoe UI"/>
      <w:color w:val="444444"/>
      <w:kern w:val="0"/>
      <w:sz w:val="20"/>
      <w:szCs w:val="20"/>
      <w14:ligatures w14:val="none"/>
    </w:rPr>
  </w:style>
  <w:style w:type="paragraph" w:customStyle="1" w:styleId="h1">
    <w:name w:val="h1"/>
    <w:basedOn w:val="Heading1"/>
    <w:rsid w:val="00C838A3"/>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C838A3"/>
    <w:pPr>
      <w:spacing w:after="0" w:line="240" w:lineRule="auto"/>
    </w:pPr>
    <w:rPr>
      <w:rFonts w:ascii="Segoe UI" w:eastAsia="Segoe UI" w:hAnsi="Segoe UI" w:cs="Segoe UI"/>
      <w:b/>
      <w:bCs/>
      <w:color w:val="000000"/>
      <w:kern w:val="0"/>
      <w:sz w:val="24"/>
      <w:szCs w:val="24"/>
      <w14:ligatures w14:val="none"/>
    </w:rPr>
  </w:style>
  <w:style w:type="paragraph" w:customStyle="1" w:styleId="divquick-links">
    <w:name w:val="div_quick-links"/>
    <w:rsid w:val="00C838A3"/>
    <w:pPr>
      <w:shd w:val="clear" w:color="auto" w:fill="EBEBEB"/>
      <w:spacing w:after="0" w:line="240" w:lineRule="auto"/>
      <w:ind w:left="450"/>
    </w:pPr>
    <w:rPr>
      <w:rFonts w:ascii="Segoe UI" w:eastAsia="Segoe UI" w:hAnsi="Segoe UI" w:cs="Segoe UI"/>
      <w:color w:val="444444"/>
      <w:kern w:val="0"/>
      <w:shd w:val="clear" w:color="auto" w:fill="EBEBEB"/>
      <w14:ligatures w14:val="none"/>
    </w:rPr>
  </w:style>
  <w:style w:type="paragraph" w:customStyle="1" w:styleId="liIndentedlist">
    <w:name w:val="li_Indented_list"/>
    <w:rsid w:val="00C838A3"/>
    <w:pPr>
      <w:spacing w:after="0" w:line="0" w:lineRule="atLeast"/>
      <w:ind w:left="1200"/>
    </w:pPr>
    <w:rPr>
      <w:rFonts w:ascii="Segoe UI" w:eastAsia="Segoe UI" w:hAnsi="Segoe UI" w:cs="Segoe UI"/>
      <w:color w:val="444444"/>
      <w:kern w:val="0"/>
      <w:sz w:val="20"/>
      <w:szCs w:val="20"/>
      <w14:ligatures w14:val="none"/>
    </w:rPr>
  </w:style>
  <w:style w:type="character" w:customStyle="1" w:styleId="strong1">
    <w:name w:val="strong_1"/>
    <w:rsid w:val="00C838A3"/>
    <w:rPr>
      <w:rFonts w:ascii="Segoe UI" w:hAnsi="Segoe UI" w:cs="Segoe UI"/>
      <w:b/>
      <w:bCs/>
      <w:color w:val="444444"/>
      <w:spacing w:val="0"/>
      <w:sz w:val="20"/>
      <w:szCs w:val="20"/>
    </w:rPr>
  </w:style>
  <w:style w:type="paragraph" w:customStyle="1" w:styleId="li">
    <w:name w:val="li"/>
    <w:rsid w:val="00C838A3"/>
    <w:pPr>
      <w:spacing w:after="0" w:line="0" w:lineRule="atLeast"/>
      <w:ind w:left="750"/>
    </w:pPr>
    <w:rPr>
      <w:rFonts w:ascii="Segoe UI" w:eastAsia="Segoe UI" w:hAnsi="Segoe UI" w:cs="Segoe UI"/>
      <w:color w:val="444444"/>
      <w:kern w:val="0"/>
      <w:sz w:val="20"/>
      <w:szCs w:val="20"/>
      <w14:ligatures w14:val="none"/>
    </w:rPr>
  </w:style>
  <w:style w:type="character" w:customStyle="1" w:styleId="b">
    <w:name w:val="b"/>
    <w:rsid w:val="00C838A3"/>
    <w:rPr>
      <w:b/>
      <w:bCs/>
      <w:color w:val="444444"/>
      <w:sz w:val="20"/>
      <w:szCs w:val="20"/>
    </w:rPr>
  </w:style>
  <w:style w:type="paragraph" w:customStyle="1" w:styleId="h3">
    <w:name w:val="h3"/>
    <w:rsid w:val="00C838A3"/>
    <w:pPr>
      <w:keepNext/>
      <w:keepLines/>
      <w:shd w:val="clear" w:color="auto" w:fill="3F78A2"/>
      <w:spacing w:before="225" w:after="182" w:line="0" w:lineRule="atLeast"/>
    </w:pPr>
    <w:rPr>
      <w:rFonts w:ascii="Segoe UI" w:eastAsia="Segoe UI" w:hAnsi="Segoe UI" w:cs="Segoe UI"/>
      <w:b/>
      <w:bCs/>
      <w:color w:val="FFFFFF"/>
      <w:kern w:val="0"/>
      <w:shd w:val="clear" w:color="auto" w:fill="3F78A2"/>
      <w14:ligatures w14:val="none"/>
    </w:rPr>
  </w:style>
  <w:style w:type="paragraph" w:customStyle="1" w:styleId="pnospaceout">
    <w:name w:val="p_nospace_out"/>
    <w:rsid w:val="00C838A3"/>
    <w:pPr>
      <w:spacing w:before="80" w:after="200" w:line="240" w:lineRule="atLeast"/>
      <w:ind w:left="450"/>
    </w:pPr>
    <w:rPr>
      <w:rFonts w:ascii="Segoe UI" w:eastAsia="Segoe UI" w:hAnsi="Segoe UI" w:cs="Segoe UI"/>
      <w:color w:val="444444"/>
      <w:kern w:val="0"/>
      <w:sz w:val="20"/>
      <w:szCs w:val="20"/>
      <w14:ligatures w14:val="none"/>
    </w:rPr>
  </w:style>
  <w:style w:type="paragraph" w:customStyle="1" w:styleId="h5">
    <w:name w:val="h5"/>
    <w:rsid w:val="00C838A3"/>
    <w:pPr>
      <w:keepNext/>
      <w:keepLines/>
      <w:spacing w:before="200" w:after="0" w:line="0" w:lineRule="atLeast"/>
    </w:pPr>
    <w:rPr>
      <w:rFonts w:ascii="Segoe UI" w:eastAsia="Segoe UI" w:hAnsi="Segoe UI" w:cs="Segoe UI"/>
      <w:b/>
      <w:bCs/>
      <w:color w:val="48677E"/>
      <w:kern w:val="0"/>
      <w:sz w:val="20"/>
      <w:szCs w:val="20"/>
      <w14:ligatures w14:val="none"/>
    </w:rPr>
  </w:style>
  <w:style w:type="paragraph" w:customStyle="1" w:styleId="h4indent">
    <w:name w:val="h4_indent"/>
    <w:rsid w:val="00C838A3"/>
    <w:pPr>
      <w:keepNext/>
      <w:keepLines/>
      <w:spacing w:before="200" w:after="200" w:line="0" w:lineRule="atLeast"/>
      <w:ind w:left="450"/>
    </w:pPr>
    <w:rPr>
      <w:rFonts w:ascii="Segoe UI" w:eastAsia="Segoe UI" w:hAnsi="Segoe UI" w:cs="Segoe UI"/>
      <w:b/>
      <w:bCs/>
      <w:color w:val="444444"/>
      <w:kern w:val="0"/>
      <w:sz w:val="20"/>
      <w:szCs w:val="20"/>
      <w14:ligatures w14:val="none"/>
    </w:rPr>
  </w:style>
  <w:style w:type="paragraph" w:customStyle="1" w:styleId="poutdent">
    <w:name w:val="p_outdent"/>
    <w:rsid w:val="00C838A3"/>
    <w:pPr>
      <w:spacing w:before="120" w:after="150" w:line="240" w:lineRule="atLeast"/>
    </w:pPr>
    <w:rPr>
      <w:rFonts w:ascii="Segoe UI" w:eastAsia="Segoe UI" w:hAnsi="Segoe UI" w:cs="Segoe UI"/>
      <w:color w:val="444444"/>
      <w:kern w:val="0"/>
      <w:sz w:val="20"/>
      <w:szCs w:val="20"/>
      <w14:ligatures w14:val="none"/>
    </w:rPr>
  </w:style>
  <w:style w:type="paragraph" w:customStyle="1" w:styleId="h2">
    <w:name w:val="h2"/>
    <w:rsid w:val="00C838A3"/>
    <w:pPr>
      <w:keepNext/>
      <w:keepLines/>
      <w:pBdr>
        <w:top w:val="single" w:sz="18" w:space="4" w:color="3F78A2"/>
        <w:bottom w:val="single" w:sz="18" w:space="4" w:color="3F78A2"/>
      </w:pBdr>
      <w:spacing w:before="300" w:after="195" w:line="240" w:lineRule="auto"/>
    </w:pPr>
    <w:rPr>
      <w:rFonts w:ascii="Segoe UI" w:eastAsia="Segoe UI" w:hAnsi="Segoe UI" w:cs="Segoe UI"/>
      <w:b/>
      <w:bCs/>
      <w:color w:val="000000"/>
      <w:kern w:val="0"/>
      <w:sz w:val="26"/>
      <w:szCs w:val="26"/>
      <w14:ligatures w14:val="none"/>
    </w:rPr>
  </w:style>
  <w:style w:type="paragraph" w:customStyle="1" w:styleId="h4indentnospace">
    <w:name w:val="h4_indent_nospace"/>
    <w:rsid w:val="00C838A3"/>
    <w:pPr>
      <w:keepNext/>
      <w:keepLines/>
      <w:spacing w:before="200" w:after="150" w:line="0" w:lineRule="atLeast"/>
      <w:ind w:left="450"/>
    </w:pPr>
    <w:rPr>
      <w:rFonts w:ascii="Segoe UI" w:eastAsia="Segoe UI" w:hAnsi="Segoe UI" w:cs="Segoe UI"/>
      <w:b/>
      <w:bCs/>
      <w:color w:val="444444"/>
      <w:kern w:val="0"/>
      <w:sz w:val="20"/>
      <w:szCs w:val="20"/>
      <w14:ligatures w14:val="none"/>
    </w:rPr>
  </w:style>
  <w:style w:type="character" w:customStyle="1" w:styleId="conditionalText">
    <w:name w:val="conditionalText"/>
    <w:rsid w:val="00C838A3"/>
    <w:rPr>
      <w:color w:val="000000"/>
      <w:sz w:val="24"/>
      <w:szCs w:val="24"/>
    </w:rPr>
  </w:style>
  <w:style w:type="paragraph" w:customStyle="1" w:styleId="divquick-links-header1">
    <w:name w:val="div_quick-links-header_1"/>
    <w:rsid w:val="00C838A3"/>
    <w:pPr>
      <w:spacing w:after="0" w:line="240" w:lineRule="auto"/>
      <w:jc w:val="right"/>
    </w:pPr>
    <w:rPr>
      <w:rFonts w:ascii="Segoe UI" w:eastAsia="Segoe UI" w:hAnsi="Segoe UI" w:cs="Segoe UI"/>
      <w:b/>
      <w:bCs/>
      <w:color w:val="000000"/>
      <w:kern w:val="0"/>
      <w:sz w:val="24"/>
      <w:szCs w:val="24"/>
      <w14:ligatures w14:val="none"/>
    </w:rPr>
  </w:style>
  <w:style w:type="character" w:customStyle="1" w:styleId="span">
    <w:name w:val="span"/>
    <w:rsid w:val="00C838A3"/>
    <w:rPr>
      <w:color w:val="0000FF"/>
      <w:sz w:val="18"/>
      <w:szCs w:val="18"/>
    </w:rPr>
  </w:style>
  <w:style w:type="paragraph" w:customStyle="1" w:styleId="h4nospace">
    <w:name w:val="h4_nospace"/>
    <w:rsid w:val="00C838A3"/>
    <w:pPr>
      <w:keepNext/>
      <w:keepLines/>
      <w:spacing w:before="200" w:after="200" w:line="0" w:lineRule="atLeast"/>
    </w:pPr>
    <w:rPr>
      <w:rFonts w:ascii="Segoe UI" w:eastAsia="Segoe UI" w:hAnsi="Segoe UI" w:cs="Segoe UI"/>
      <w:b/>
      <w:bCs/>
      <w:color w:val="444444"/>
      <w:kern w:val="0"/>
      <w:sz w:val="20"/>
      <w:szCs w:val="20"/>
      <w14:ligatures w14:val="none"/>
    </w:rPr>
  </w:style>
  <w:style w:type="paragraph" w:customStyle="1" w:styleId="pSpecialBLUEOutdent">
    <w:name w:val="p_SpecialBLUE_Outdent"/>
    <w:rsid w:val="00C838A3"/>
    <w:pPr>
      <w:pBdr>
        <w:left w:val="single" w:sz="36" w:space="7" w:color="2196F3"/>
      </w:pBdr>
      <w:shd w:val="clear" w:color="auto" w:fill="E7F3FE"/>
      <w:spacing w:before="100" w:after="0" w:line="240" w:lineRule="atLeast"/>
    </w:pPr>
    <w:rPr>
      <w:rFonts w:ascii="Segoe UI" w:eastAsia="Segoe UI" w:hAnsi="Segoe UI" w:cs="Segoe UI"/>
      <w:color w:val="444444"/>
      <w:kern w:val="0"/>
      <w:sz w:val="20"/>
      <w:szCs w:val="20"/>
      <w:shd w:val="clear" w:color="auto" w:fill="E7F3FE"/>
      <w14:ligatures w14:val="none"/>
    </w:rPr>
  </w:style>
  <w:style w:type="character" w:styleId="CommentReference">
    <w:name w:val="annotation reference"/>
    <w:basedOn w:val="DefaultParagraphFont"/>
    <w:rsid w:val="00C838A3"/>
    <w:rPr>
      <w:sz w:val="16"/>
      <w:szCs w:val="16"/>
    </w:rPr>
  </w:style>
  <w:style w:type="paragraph" w:styleId="CommentText">
    <w:name w:val="annotation text"/>
    <w:basedOn w:val="Normal"/>
    <w:link w:val="CommentTextChar"/>
    <w:rsid w:val="00C838A3"/>
  </w:style>
  <w:style w:type="character" w:customStyle="1" w:styleId="CommentTextChar">
    <w:name w:val="Comment Text Char"/>
    <w:basedOn w:val="DefaultParagraphFont"/>
    <w:link w:val="CommentText"/>
    <w:rsid w:val="00C838A3"/>
    <w:rPr>
      <w:rFonts w:ascii="Segoe UI" w:eastAsia="Segoe UI" w:hAnsi="Segoe UI" w:cs="Segoe UI"/>
      <w:kern w:val="0"/>
      <w:sz w:val="20"/>
      <w:szCs w:val="20"/>
      <w14:ligatures w14:val="none"/>
    </w:rPr>
  </w:style>
  <w:style w:type="character" w:customStyle="1" w:styleId="Heading1Char">
    <w:name w:val="Heading 1 Char"/>
    <w:basedOn w:val="DefaultParagraphFont"/>
    <w:link w:val="Heading1"/>
    <w:uiPriority w:val="9"/>
    <w:rsid w:val="00C838A3"/>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grants.nih.gov/grants/how-to-apply-application-guide/format-and-write/develop-your-budget.htm" TargetMode="External" /><Relationship Id="rId11" Type="http://schemas.openxmlformats.org/officeDocument/2006/relationships/hyperlink" Target="https://grants.nih.gov/grants/how-to-apply-application-guide/format-and-write/develop-your-budget/modular.htm" TargetMode="External" /><Relationship Id="rId12" Type="http://schemas.openxmlformats.org/officeDocument/2006/relationships/hyperlink" Target="http://grants.nih.gov/grants/glossary.htm" TargetMode="External" /><Relationship Id="rId13" Type="http://schemas.openxmlformats.org/officeDocument/2006/relationships/hyperlink" Target="https://oamp.od.nih.gov/division-of-financial-advisory-services" TargetMode="External" /><Relationship Id="rId14" Type="http://schemas.openxmlformats.org/officeDocument/2006/relationships/hyperlink" Target="https://oamp.od.nih.gov/division-of-financial-advisory-services/dfas-frequently-asked-questions" TargetMode="External" /><Relationship Id="rId15" Type="http://schemas.openxmlformats.org/officeDocument/2006/relationships/hyperlink" Target="https://oamp.od.nih.gov/division-of-financial-advisory-services/indirect-cost-branch/indirect-cost-submission/unallowableunallocable-costs" TargetMode="External" /><Relationship Id="rId16" Type="http://schemas.openxmlformats.org/officeDocument/2006/relationships/hyperlink" Target="http://grants.nih.gov/grants/policy/nihgps/HTML5/section_7/7.4_reimbursement_of_facilities_and_administrative_costs.htm" TargetMode="External" /><Relationship Id="rId17" Type="http://schemas.openxmlformats.org/officeDocument/2006/relationships/hyperlink" Target="http://grants.nih.gov/grants/how-to-apply-application-guide/format-and-write/format-attachments.htm" TargetMode="External" /><Relationship Id="rId18" Type="http://schemas.openxmlformats.org/officeDocument/2006/relationships/hyperlink" Target="https://www.ecfr.gov/current/title-45/subtitle-A/subchapter-A/part-75/subpart-E/subject-group-ECFRffa2eaa9f93be60/section-75.403" TargetMode="External" /><Relationship Id="rId19" Type="http://schemas.openxmlformats.org/officeDocument/2006/relationships/hyperlink" Target="https://grants.nih.gov/grants/policy/nihgps/HTML5/section_2/2.3.7_policies_affecting_applications.htm" TargetMode="External" /><Relationship Id="rId2" Type="http://schemas.openxmlformats.org/officeDocument/2006/relationships/webSettings" Target="webSettings.xml" /><Relationship Id="rId20" Type="http://schemas.openxmlformats.org/officeDocument/2006/relationships/hyperlink" Target="https://grants.nih.gov/grants/policy/nihgps/html5/section_7/7.3_direct_costs_and_facilities_and_administrative_costs.htm" TargetMode="External" /><Relationship Id="rId21" Type="http://schemas.openxmlformats.org/officeDocument/2006/relationships/hyperlink" Target="https://sharing.nih.gov/data-management-and-sharing-policy/planning-and-budgeting-for-data-management-and-sharing/budgeting-for-data-management-sharing" TargetMode="External" /><Relationship Id="rId22" Type="http://schemas.openxmlformats.org/officeDocument/2006/relationships/hyperlink" Target="https://grants.nih.gov/grants/how-to-apply-application-guide/format-and-write/develop-your-budget.htm"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grants.nih.gov/grants/policy/nihgps/HTML5/section_4/4.1.14_human_fetal_tissue_research.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10" ma:contentTypeDescription="Create a new document." ma:contentTypeScope="" ma:versionID="458279a1f5379dc27f93694149217f57">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a41bb0b9ecfe744867d9b0936ef530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D3D83-1974-4916-B497-DCBA1163DE2E}">
  <ds:schemaRefs/>
</ds:datastoreItem>
</file>

<file path=customXml/itemProps2.xml><?xml version="1.0" encoding="utf-8"?>
<ds:datastoreItem xmlns:ds="http://schemas.openxmlformats.org/officeDocument/2006/customXml" ds:itemID="{4BA7FEEF-9C71-40BB-94B3-A53901CB59AC}">
  <ds:schemaRefs/>
</ds:datastoreItem>
</file>

<file path=customXml/itemProps3.xml><?xml version="1.0" encoding="utf-8"?>
<ds:datastoreItem xmlns:ds="http://schemas.openxmlformats.org/officeDocument/2006/customXml" ds:itemID="{0E22EF14-5311-415C-BF18-B7EB28F509A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2625</Words>
  <Characters>14968</Characters>
  <Application>Microsoft Office Word</Application>
  <DocSecurity>0</DocSecurity>
  <Lines>124</Lines>
  <Paragraphs>35</Paragraphs>
  <ScaleCrop>false</ScaleCrop>
  <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 DGSI</dc:creator>
  <cp:lastModifiedBy>OPERA DGSI</cp:lastModifiedBy>
  <cp:revision>3</cp:revision>
  <dcterms:created xsi:type="dcterms:W3CDTF">2024-07-22T14:40:00Z</dcterms:created>
  <dcterms:modified xsi:type="dcterms:W3CDTF">2024-07-22T18:32:00Z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