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141393971"/>
        <w:docPartObj>
          <w:docPartGallery w:val="Cover Pages"/>
          <w:docPartUnique/>
        </w:docPartObj>
      </w:sdtPr>
      <w:sdtContent>
        <w:p w:rsidR="00FE6EA5" w14:paraId="13B77232" w14:textId="77777777"/>
        <w:p w:rsidR="00195414" w:rsidP="00195414" w14:paraId="7FA49A23" w14:textId="77777777"/>
      </w:sdtContent>
    </w:sdt>
    <w:p w:rsidR="00E35DD1" w:rsidRPr="00195414" w:rsidP="00195414" w14:paraId="68BA36D6" w14:textId="77777777">
      <w:pPr>
        <w:ind w:left="2880" w:firstLine="720"/>
        <w:rPr>
          <w:rFonts w:eastAsia="Times New Roman" w:cs="Times New Roman"/>
        </w:rPr>
      </w:pPr>
      <w:r w:rsidRPr="00E35DD1">
        <w:t>Supporting Statement A for</w:t>
      </w:r>
    </w:p>
    <w:p w:rsidR="00E35DD1" w:rsidRPr="00E35DD1" w:rsidP="00E35DD1" w14:paraId="4AD68EFA" w14:textId="7777777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0C758E" w:rsidP="000C758E" w14:paraId="6C0F2680" w14:textId="77777777">
      <w:pPr>
        <w:pStyle w:val="P1-StandPara"/>
        <w:tabs>
          <w:tab w:val="left" w:pos="720"/>
          <w:tab w:val="right" w:leader="dot" w:pos="9504"/>
        </w:tabs>
        <w:spacing w:before="120" w:after="120"/>
        <w:jc w:val="center"/>
        <w:rPr>
          <w:rFonts w:asciiTheme="minorHAnsi" w:hAnsiTheme="minorHAnsi"/>
          <w:szCs w:val="22"/>
        </w:rPr>
      </w:pPr>
      <w:r w:rsidRPr="000C758E">
        <w:rPr>
          <w:rFonts w:asciiTheme="minorHAnsi" w:hAnsiTheme="minorHAnsi"/>
          <w:szCs w:val="22"/>
        </w:rPr>
        <w:t>PHS Research Performance Progress Report and Other Post-award Reporting</w:t>
      </w:r>
    </w:p>
    <w:p w:rsidR="00976490" w:rsidP="000C758E" w14:paraId="0ED25BFE" w14:textId="3155CCB8">
      <w:pPr>
        <w:pStyle w:val="P1-StandPara"/>
        <w:tabs>
          <w:tab w:val="left" w:pos="720"/>
          <w:tab w:val="right" w:leader="dot" w:pos="9504"/>
        </w:tabs>
        <w:spacing w:before="120" w:after="120"/>
        <w:jc w:val="center"/>
        <w:rPr>
          <w:rFonts w:asciiTheme="minorHAnsi" w:hAnsiTheme="minorHAnsi"/>
          <w:szCs w:val="22"/>
        </w:rPr>
      </w:pPr>
      <w:r>
        <w:rPr>
          <w:rFonts w:asciiTheme="minorHAnsi" w:hAnsiTheme="minorHAnsi"/>
          <w:szCs w:val="22"/>
        </w:rPr>
        <w:t>0925-0002</w:t>
      </w:r>
    </w:p>
    <w:p w:rsidR="000C758E" w:rsidRPr="00E35DD1" w:rsidP="000C758E" w14:paraId="3CCCA1CE" w14:textId="26F81545">
      <w:pPr>
        <w:pStyle w:val="P1-StandPara"/>
        <w:tabs>
          <w:tab w:val="left" w:pos="720"/>
          <w:tab w:val="right" w:leader="dot" w:pos="9504"/>
        </w:tabs>
        <w:spacing w:before="120" w:after="120"/>
        <w:jc w:val="center"/>
        <w:rPr>
          <w:rFonts w:asciiTheme="minorHAnsi" w:hAnsiTheme="minorHAnsi"/>
          <w:szCs w:val="22"/>
        </w:rPr>
      </w:pPr>
      <w:r>
        <w:rPr>
          <w:rFonts w:asciiTheme="minorHAnsi" w:hAnsiTheme="minorHAnsi"/>
          <w:szCs w:val="22"/>
        </w:rPr>
        <w:t>Expiration Date 01/31/2026</w:t>
      </w:r>
    </w:p>
    <w:p w:rsidR="00024899" w:rsidP="00E35DD1" w14:paraId="680B9135" w14:textId="122F6CB2">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00E35DD1" w:rsidRPr="00E35DD1" w:rsidP="00E35DD1" w14:paraId="1ECE92EB" w14:textId="7648C38F">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8F0BF1">
        <w:rPr>
          <w:rFonts w:asciiTheme="minorHAnsi" w:hAnsiTheme="minorHAnsi"/>
          <w:szCs w:val="22"/>
        </w:rPr>
        <w:t xml:space="preserve">August </w:t>
      </w:r>
      <w:r w:rsidR="00DB6C0C">
        <w:rPr>
          <w:rFonts w:asciiTheme="minorHAnsi" w:hAnsiTheme="minorHAnsi"/>
          <w:szCs w:val="22"/>
        </w:rPr>
        <w:t>8</w:t>
      </w:r>
      <w:r w:rsidR="009C5A8C">
        <w:rPr>
          <w:rFonts w:asciiTheme="minorHAnsi" w:hAnsiTheme="minorHAnsi"/>
          <w:szCs w:val="22"/>
        </w:rPr>
        <w:t>, 2024</w:t>
      </w:r>
      <w:r w:rsidRPr="00E35DD1">
        <w:rPr>
          <w:rFonts w:asciiTheme="minorHAnsi" w:hAnsiTheme="minorHAnsi"/>
          <w:szCs w:val="22"/>
        </w:rPr>
        <w:t xml:space="preserve"> </w:t>
      </w:r>
    </w:p>
    <w:p w:rsidR="00FF30CE" w:rsidP="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20073D" w:rsidRPr="008942E9" w:rsidP="00A902F2" w14:paraId="425176D7" w14:textId="115CE1AC">
      <w:pPr>
        <w:pStyle w:val="P1-StandPara"/>
        <w:numPr>
          <w:ilvl w:val="0"/>
          <w:numId w:val="13"/>
        </w:numPr>
        <w:tabs>
          <w:tab w:val="left" w:pos="720"/>
          <w:tab w:val="right" w:leader="dot" w:pos="9504"/>
        </w:tabs>
        <w:spacing w:before="120" w:line="240" w:lineRule="auto"/>
        <w:rPr>
          <w:rFonts w:ascii="Calibri" w:hAnsi="Calibri"/>
          <w:szCs w:val="22"/>
        </w:rPr>
      </w:pPr>
      <w:r w:rsidRPr="00397080">
        <w:t>Revision</w:t>
      </w:r>
    </w:p>
    <w:p w:rsidR="00E35DD1" w:rsidRPr="00E35DD1" w:rsidP="00E35DD1" w14:paraId="76887CBB" w14:textId="77777777">
      <w:pPr>
        <w:pStyle w:val="P1-StandPara"/>
        <w:tabs>
          <w:tab w:val="left" w:pos="720"/>
          <w:tab w:val="right" w:leader="dot" w:pos="9504"/>
        </w:tabs>
        <w:spacing w:before="120" w:after="120"/>
        <w:rPr>
          <w:rFonts w:asciiTheme="minorHAnsi" w:hAnsiTheme="minorHAnsi"/>
          <w:szCs w:val="22"/>
        </w:rPr>
      </w:pPr>
    </w:p>
    <w:p w:rsidR="0036135D" w:rsidRPr="00397080" w:rsidP="0036135D" w14:paraId="3696587E" w14:textId="77777777">
      <w:pPr>
        <w:spacing w:before="240" w:after="240"/>
      </w:pPr>
      <w:r w:rsidRPr="00397080">
        <w:t xml:space="preserve">Name:  </w:t>
      </w:r>
      <w:r>
        <w:t>Kasima Garst</w:t>
      </w:r>
    </w:p>
    <w:p w:rsidR="0036135D" w:rsidRPr="00397080" w:rsidP="0036135D" w14:paraId="40CDA42D" w14:textId="77777777">
      <w:pPr>
        <w:spacing w:before="240" w:after="240"/>
      </w:pPr>
      <w:r w:rsidRPr="00397080">
        <w:t>Address:   6705 Rockledge Drive, Bethesda, MD  20892-7974</w:t>
      </w:r>
    </w:p>
    <w:p w:rsidR="0036135D" w:rsidRPr="00397080" w:rsidP="0036135D" w14:paraId="2C203A5A" w14:textId="77777777">
      <w:pPr>
        <w:spacing w:before="240" w:after="240"/>
      </w:pPr>
      <w:r w:rsidRPr="00397080">
        <w:t>Telephone:  301-</w:t>
      </w:r>
      <w:r>
        <w:t>402 2541</w:t>
      </w:r>
    </w:p>
    <w:p w:rsidR="0036135D" w:rsidRPr="00397080" w:rsidP="0036135D" w14:paraId="6B6B46AA" w14:textId="77777777">
      <w:pPr>
        <w:spacing w:before="240" w:after="240"/>
      </w:pPr>
      <w:r w:rsidRPr="00397080">
        <w:t>Fax:   301-435-3059</w:t>
      </w:r>
    </w:p>
    <w:p w:rsidR="0036135D" w:rsidP="0036135D" w14:paraId="0D82DBE6" w14:textId="77777777">
      <w:pPr>
        <w:spacing w:before="240" w:after="240"/>
      </w:pPr>
      <w:r w:rsidRPr="00397080">
        <w:t xml:space="preserve">Email:  </w:t>
      </w:r>
      <w:r w:rsidRPr="0049482A">
        <w:t>kasima.garst@nih</w:t>
      </w:r>
      <w:r>
        <w:t>.gov</w:t>
      </w:r>
      <w:r w:rsidRPr="00397080">
        <w:t xml:space="preserve"> </w:t>
      </w:r>
    </w:p>
    <w:p w:rsidR="006C7118" w:rsidP="0036135D" w14:paraId="2E362726" w14:textId="77777777">
      <w:pPr>
        <w:spacing w:before="240" w:after="240"/>
      </w:pPr>
    </w:p>
    <w:p w:rsidR="00E35DD1" w:rsidRPr="00E35DD1" w:rsidP="00E35DD1" w14:paraId="245B699E" w14:textId="77777777">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00F51F3C" w14:paraId="525935C2" w14:textId="2E9C9665">
      <w:pPr>
        <w:pStyle w:val="TOC2"/>
        <w:tabs>
          <w:tab w:val="left" w:pos="880"/>
          <w:tab w:val="right" w:pos="9638"/>
        </w:tabs>
        <w:rPr>
          <w:noProof/>
          <w:kern w:val="2"/>
          <w14:ligatures w14:val="standardContextual"/>
        </w:rPr>
      </w:pPr>
      <w:r w:rsidRPr="00E35DD1">
        <w:fldChar w:fldCharType="begin"/>
      </w:r>
      <w:r w:rsidRPr="00E35DD1">
        <w:instrText xml:space="preserve"> TOC \o "1-2" \u </w:instrText>
      </w:r>
      <w:r w:rsidRPr="00E35DD1">
        <w:fldChar w:fldCharType="separate"/>
      </w:r>
      <w:r>
        <w:rPr>
          <w:noProof/>
        </w:rPr>
        <w:t xml:space="preserve">A. </w:t>
      </w:r>
      <w:r>
        <w:rPr>
          <w:noProof/>
          <w:kern w:val="2"/>
          <w14:ligatures w14:val="standardContextual"/>
        </w:rPr>
        <w:tab/>
      </w:r>
      <w:r>
        <w:rPr>
          <w:noProof/>
        </w:rPr>
        <w:t>Justification</w:t>
      </w:r>
      <w:r>
        <w:rPr>
          <w:noProof/>
        </w:rPr>
        <w:tab/>
      </w:r>
      <w:r>
        <w:rPr>
          <w:noProof/>
        </w:rPr>
        <w:fldChar w:fldCharType="begin"/>
      </w:r>
      <w:r>
        <w:rPr>
          <w:noProof/>
        </w:rPr>
        <w:instrText xml:space="preserve"> PAGEREF _Toc174029899 \h </w:instrText>
      </w:r>
      <w:r>
        <w:rPr>
          <w:noProof/>
        </w:rPr>
        <w:fldChar w:fldCharType="separate"/>
      </w:r>
      <w:r>
        <w:rPr>
          <w:noProof/>
        </w:rPr>
        <w:t>4</w:t>
      </w:r>
      <w:r>
        <w:rPr>
          <w:noProof/>
        </w:rPr>
        <w:fldChar w:fldCharType="end"/>
      </w:r>
    </w:p>
    <w:p w:rsidR="00F51F3C" w14:paraId="43703C3A" w14:textId="6D794221">
      <w:pPr>
        <w:pStyle w:val="TOC2"/>
        <w:tabs>
          <w:tab w:val="left" w:pos="880"/>
          <w:tab w:val="right" w:pos="9638"/>
        </w:tabs>
        <w:rPr>
          <w:noProof/>
          <w:kern w:val="2"/>
          <w14:ligatures w14:val="standardContextual"/>
        </w:rPr>
      </w:pPr>
      <w:r>
        <w:rPr>
          <w:noProof/>
        </w:rPr>
        <w:t>A.1</w:t>
      </w:r>
      <w:r>
        <w:rPr>
          <w:noProof/>
          <w:kern w:val="2"/>
          <w14:ligatures w14:val="standardContextual"/>
        </w:rPr>
        <w:tab/>
      </w:r>
      <w:r>
        <w:rPr>
          <w:noProof/>
        </w:rPr>
        <w:t>Circumstances Making the Collection of Information Necessary</w:t>
      </w:r>
      <w:r>
        <w:rPr>
          <w:noProof/>
        </w:rPr>
        <w:tab/>
      </w:r>
      <w:r>
        <w:rPr>
          <w:noProof/>
        </w:rPr>
        <w:fldChar w:fldCharType="begin"/>
      </w:r>
      <w:r>
        <w:rPr>
          <w:noProof/>
        </w:rPr>
        <w:instrText xml:space="preserve"> PAGEREF _Toc174029900 \h </w:instrText>
      </w:r>
      <w:r>
        <w:rPr>
          <w:noProof/>
        </w:rPr>
        <w:fldChar w:fldCharType="separate"/>
      </w:r>
      <w:r>
        <w:rPr>
          <w:noProof/>
        </w:rPr>
        <w:t>5</w:t>
      </w:r>
      <w:r>
        <w:rPr>
          <w:noProof/>
        </w:rPr>
        <w:fldChar w:fldCharType="end"/>
      </w:r>
    </w:p>
    <w:p w:rsidR="00F51F3C" w14:paraId="43C3545D" w14:textId="19D3F999">
      <w:pPr>
        <w:pStyle w:val="TOC2"/>
        <w:tabs>
          <w:tab w:val="left" w:pos="1100"/>
          <w:tab w:val="right" w:pos="9638"/>
        </w:tabs>
        <w:rPr>
          <w:noProof/>
          <w:kern w:val="2"/>
          <w14:ligatures w14:val="standardContextual"/>
        </w:rPr>
      </w:pPr>
      <w:r>
        <w:rPr>
          <w:noProof/>
        </w:rPr>
        <w:t xml:space="preserve">A.2    </w:t>
      </w:r>
      <w:r>
        <w:rPr>
          <w:noProof/>
          <w:kern w:val="2"/>
          <w14:ligatures w14:val="standardContextual"/>
        </w:rPr>
        <w:tab/>
      </w:r>
      <w:r>
        <w:rPr>
          <w:noProof/>
        </w:rPr>
        <w:t>Purpose and Use of the Information Collection</w:t>
      </w:r>
      <w:r>
        <w:rPr>
          <w:noProof/>
        </w:rPr>
        <w:tab/>
      </w:r>
      <w:r>
        <w:rPr>
          <w:noProof/>
        </w:rPr>
        <w:fldChar w:fldCharType="begin"/>
      </w:r>
      <w:r>
        <w:rPr>
          <w:noProof/>
        </w:rPr>
        <w:instrText xml:space="preserve"> PAGEREF _Toc174029901 \h </w:instrText>
      </w:r>
      <w:r>
        <w:rPr>
          <w:noProof/>
        </w:rPr>
        <w:fldChar w:fldCharType="separate"/>
      </w:r>
      <w:r>
        <w:rPr>
          <w:noProof/>
        </w:rPr>
        <w:t>7</w:t>
      </w:r>
      <w:r>
        <w:rPr>
          <w:noProof/>
        </w:rPr>
        <w:fldChar w:fldCharType="end"/>
      </w:r>
    </w:p>
    <w:p w:rsidR="00F51F3C" w14:paraId="37883EB7" w14:textId="79D1B77D">
      <w:pPr>
        <w:pStyle w:val="TOC2"/>
        <w:tabs>
          <w:tab w:val="right" w:pos="9638"/>
        </w:tabs>
        <w:rPr>
          <w:noProof/>
          <w:kern w:val="2"/>
          <w14:ligatures w14:val="standardContextual"/>
        </w:rPr>
      </w:pPr>
      <w:r>
        <w:rPr>
          <w:noProof/>
        </w:rPr>
        <w:t>A.3     Use of Information Technology and Burden Reduction</w:t>
      </w:r>
      <w:r>
        <w:rPr>
          <w:noProof/>
        </w:rPr>
        <w:tab/>
      </w:r>
      <w:r>
        <w:rPr>
          <w:noProof/>
        </w:rPr>
        <w:fldChar w:fldCharType="begin"/>
      </w:r>
      <w:r>
        <w:rPr>
          <w:noProof/>
        </w:rPr>
        <w:instrText xml:space="preserve"> PAGEREF _Toc174029902 \h </w:instrText>
      </w:r>
      <w:r>
        <w:rPr>
          <w:noProof/>
        </w:rPr>
        <w:fldChar w:fldCharType="separate"/>
      </w:r>
      <w:r>
        <w:rPr>
          <w:noProof/>
        </w:rPr>
        <w:t>11</w:t>
      </w:r>
      <w:r>
        <w:rPr>
          <w:noProof/>
        </w:rPr>
        <w:fldChar w:fldCharType="end"/>
      </w:r>
    </w:p>
    <w:p w:rsidR="00F51F3C" w14:paraId="00DABE89" w14:textId="17E69F21">
      <w:pPr>
        <w:pStyle w:val="TOC2"/>
        <w:tabs>
          <w:tab w:val="left" w:pos="880"/>
          <w:tab w:val="right" w:pos="9638"/>
        </w:tabs>
        <w:rPr>
          <w:noProof/>
          <w:kern w:val="2"/>
          <w14:ligatures w14:val="standardContextual"/>
        </w:rPr>
      </w:pPr>
      <w:r>
        <w:rPr>
          <w:noProof/>
        </w:rPr>
        <w:t>A.4</w:t>
      </w:r>
      <w:r>
        <w:rPr>
          <w:noProof/>
          <w:kern w:val="2"/>
          <w14:ligatures w14:val="standardContextual"/>
        </w:rPr>
        <w:tab/>
      </w:r>
      <w:r>
        <w:rPr>
          <w:noProof/>
        </w:rPr>
        <w:t>Efforts to Identify Duplication and Use of Similar Information</w:t>
      </w:r>
      <w:r>
        <w:rPr>
          <w:noProof/>
        </w:rPr>
        <w:tab/>
      </w:r>
      <w:r>
        <w:rPr>
          <w:noProof/>
        </w:rPr>
        <w:fldChar w:fldCharType="begin"/>
      </w:r>
      <w:r>
        <w:rPr>
          <w:noProof/>
        </w:rPr>
        <w:instrText xml:space="preserve"> PAGEREF _Toc174029903 \h </w:instrText>
      </w:r>
      <w:r>
        <w:rPr>
          <w:noProof/>
        </w:rPr>
        <w:fldChar w:fldCharType="separate"/>
      </w:r>
      <w:r>
        <w:rPr>
          <w:noProof/>
        </w:rPr>
        <w:t>14</w:t>
      </w:r>
      <w:r>
        <w:rPr>
          <w:noProof/>
        </w:rPr>
        <w:fldChar w:fldCharType="end"/>
      </w:r>
    </w:p>
    <w:p w:rsidR="00F51F3C" w14:paraId="62CC4F41" w14:textId="49CC80FE">
      <w:pPr>
        <w:pStyle w:val="TOC2"/>
        <w:tabs>
          <w:tab w:val="left" w:pos="880"/>
          <w:tab w:val="right" w:pos="9638"/>
        </w:tabs>
        <w:rPr>
          <w:noProof/>
          <w:kern w:val="2"/>
          <w14:ligatures w14:val="standardContextual"/>
        </w:rPr>
      </w:pPr>
      <w:r>
        <w:rPr>
          <w:noProof/>
        </w:rPr>
        <w:t>A.5</w:t>
      </w:r>
      <w:r>
        <w:rPr>
          <w:noProof/>
          <w:kern w:val="2"/>
          <w14:ligatures w14:val="standardContextual"/>
        </w:rPr>
        <w:tab/>
      </w:r>
      <w:r>
        <w:rPr>
          <w:noProof/>
        </w:rPr>
        <w:t>Impact on Small Businesses or Other Small Entities</w:t>
      </w:r>
      <w:r>
        <w:rPr>
          <w:noProof/>
        </w:rPr>
        <w:tab/>
      </w:r>
      <w:r>
        <w:rPr>
          <w:noProof/>
        </w:rPr>
        <w:fldChar w:fldCharType="begin"/>
      </w:r>
      <w:r>
        <w:rPr>
          <w:noProof/>
        </w:rPr>
        <w:instrText xml:space="preserve"> PAGEREF _Toc174029904 \h </w:instrText>
      </w:r>
      <w:r>
        <w:rPr>
          <w:noProof/>
        </w:rPr>
        <w:fldChar w:fldCharType="separate"/>
      </w:r>
      <w:r>
        <w:rPr>
          <w:noProof/>
        </w:rPr>
        <w:t>14</w:t>
      </w:r>
      <w:r>
        <w:rPr>
          <w:noProof/>
        </w:rPr>
        <w:fldChar w:fldCharType="end"/>
      </w:r>
    </w:p>
    <w:p w:rsidR="00F51F3C" w14:paraId="53096760" w14:textId="546433F7">
      <w:pPr>
        <w:pStyle w:val="TOC2"/>
        <w:tabs>
          <w:tab w:val="left" w:pos="880"/>
          <w:tab w:val="right" w:pos="9638"/>
        </w:tabs>
        <w:rPr>
          <w:noProof/>
          <w:kern w:val="2"/>
          <w14:ligatures w14:val="standardContextual"/>
        </w:rPr>
      </w:pPr>
      <w:r>
        <w:rPr>
          <w:noProof/>
        </w:rPr>
        <w:t>A.6</w:t>
      </w:r>
      <w:r>
        <w:rPr>
          <w:noProof/>
          <w:kern w:val="2"/>
          <w14:ligatures w14:val="standardContextual"/>
        </w:rPr>
        <w:tab/>
      </w:r>
      <w:r>
        <w:rPr>
          <w:noProof/>
        </w:rPr>
        <w:t>Consequences of Collecting the Information Less Frequently</w:t>
      </w:r>
      <w:r>
        <w:rPr>
          <w:noProof/>
        </w:rPr>
        <w:tab/>
      </w:r>
      <w:r>
        <w:rPr>
          <w:noProof/>
        </w:rPr>
        <w:fldChar w:fldCharType="begin"/>
      </w:r>
      <w:r>
        <w:rPr>
          <w:noProof/>
        </w:rPr>
        <w:instrText xml:space="preserve"> PAGEREF _Toc174029905 \h </w:instrText>
      </w:r>
      <w:r>
        <w:rPr>
          <w:noProof/>
        </w:rPr>
        <w:fldChar w:fldCharType="separate"/>
      </w:r>
      <w:r>
        <w:rPr>
          <w:noProof/>
        </w:rPr>
        <w:t>14</w:t>
      </w:r>
      <w:r>
        <w:rPr>
          <w:noProof/>
        </w:rPr>
        <w:fldChar w:fldCharType="end"/>
      </w:r>
    </w:p>
    <w:p w:rsidR="00F51F3C" w14:paraId="2ACFAF5C" w14:textId="38D8ACEA">
      <w:pPr>
        <w:pStyle w:val="TOC2"/>
        <w:tabs>
          <w:tab w:val="left" w:pos="880"/>
          <w:tab w:val="right" w:pos="9638"/>
        </w:tabs>
        <w:rPr>
          <w:noProof/>
          <w:kern w:val="2"/>
          <w14:ligatures w14:val="standardContextual"/>
        </w:rPr>
      </w:pPr>
      <w:r>
        <w:rPr>
          <w:noProof/>
        </w:rPr>
        <w:t>A.7</w:t>
      </w:r>
      <w:r>
        <w:rPr>
          <w:noProof/>
          <w:kern w:val="2"/>
          <w14:ligatures w14:val="standardContextual"/>
        </w:rPr>
        <w:tab/>
      </w:r>
      <w:r>
        <w:rPr>
          <w:noProof/>
        </w:rPr>
        <w:t>Special Circumstances Relating to the Guidelines of 5 CFR 1320.5</w:t>
      </w:r>
      <w:r>
        <w:rPr>
          <w:noProof/>
        </w:rPr>
        <w:tab/>
      </w:r>
      <w:r>
        <w:rPr>
          <w:noProof/>
        </w:rPr>
        <w:fldChar w:fldCharType="begin"/>
      </w:r>
      <w:r>
        <w:rPr>
          <w:noProof/>
        </w:rPr>
        <w:instrText xml:space="preserve"> PAGEREF _Toc174029906 \h </w:instrText>
      </w:r>
      <w:r>
        <w:rPr>
          <w:noProof/>
        </w:rPr>
        <w:fldChar w:fldCharType="separate"/>
      </w:r>
      <w:r>
        <w:rPr>
          <w:noProof/>
        </w:rPr>
        <w:t>15</w:t>
      </w:r>
      <w:r>
        <w:rPr>
          <w:noProof/>
        </w:rPr>
        <w:fldChar w:fldCharType="end"/>
      </w:r>
    </w:p>
    <w:p w:rsidR="00F51F3C" w14:paraId="7C871BF5" w14:textId="5B794250">
      <w:pPr>
        <w:pStyle w:val="TOC2"/>
        <w:tabs>
          <w:tab w:val="left" w:pos="1100"/>
          <w:tab w:val="right" w:pos="9638"/>
        </w:tabs>
        <w:rPr>
          <w:noProof/>
          <w:kern w:val="2"/>
          <w14:ligatures w14:val="standardContextual"/>
        </w:rPr>
      </w:pPr>
      <w:r>
        <w:rPr>
          <w:noProof/>
        </w:rPr>
        <w:t>A.8.1</w:t>
      </w:r>
      <w:r>
        <w:rPr>
          <w:noProof/>
          <w:kern w:val="2"/>
          <w14:ligatures w14:val="standardContextual"/>
        </w:rPr>
        <w:tab/>
      </w:r>
      <w:r>
        <w:rPr>
          <w:noProof/>
        </w:rPr>
        <w:t>Comments in Response to the Federal Register Notice</w:t>
      </w:r>
      <w:r>
        <w:rPr>
          <w:noProof/>
        </w:rPr>
        <w:tab/>
      </w:r>
      <w:r>
        <w:rPr>
          <w:noProof/>
        </w:rPr>
        <w:fldChar w:fldCharType="begin"/>
      </w:r>
      <w:r>
        <w:rPr>
          <w:noProof/>
        </w:rPr>
        <w:instrText xml:space="preserve"> PAGEREF _Toc174029907 \h </w:instrText>
      </w:r>
      <w:r>
        <w:rPr>
          <w:noProof/>
        </w:rPr>
        <w:fldChar w:fldCharType="separate"/>
      </w:r>
      <w:r>
        <w:rPr>
          <w:noProof/>
        </w:rPr>
        <w:t>15</w:t>
      </w:r>
      <w:r>
        <w:rPr>
          <w:noProof/>
        </w:rPr>
        <w:fldChar w:fldCharType="end"/>
      </w:r>
    </w:p>
    <w:p w:rsidR="00F51F3C" w14:paraId="66488767" w14:textId="77DB37F4">
      <w:pPr>
        <w:pStyle w:val="TOC2"/>
        <w:tabs>
          <w:tab w:val="left" w:pos="1100"/>
          <w:tab w:val="right" w:pos="9638"/>
        </w:tabs>
        <w:rPr>
          <w:noProof/>
          <w:kern w:val="2"/>
          <w14:ligatures w14:val="standardContextual"/>
        </w:rPr>
      </w:pPr>
      <w:r>
        <w:rPr>
          <w:noProof/>
        </w:rPr>
        <w:t>A.8.2</w:t>
      </w:r>
      <w:r>
        <w:rPr>
          <w:noProof/>
          <w:kern w:val="2"/>
          <w14:ligatures w14:val="standardContextual"/>
        </w:rPr>
        <w:tab/>
      </w:r>
      <w:r>
        <w:rPr>
          <w:noProof/>
        </w:rPr>
        <w:t>Efforts to Consult Outside Agency</w:t>
      </w:r>
      <w:r>
        <w:rPr>
          <w:noProof/>
        </w:rPr>
        <w:tab/>
      </w:r>
      <w:r>
        <w:rPr>
          <w:noProof/>
        </w:rPr>
        <w:fldChar w:fldCharType="begin"/>
      </w:r>
      <w:r>
        <w:rPr>
          <w:noProof/>
        </w:rPr>
        <w:instrText xml:space="preserve"> PAGEREF _Toc174029908 \h </w:instrText>
      </w:r>
      <w:r>
        <w:rPr>
          <w:noProof/>
        </w:rPr>
        <w:fldChar w:fldCharType="separate"/>
      </w:r>
      <w:r>
        <w:rPr>
          <w:noProof/>
        </w:rPr>
        <w:t>15</w:t>
      </w:r>
      <w:r>
        <w:rPr>
          <w:noProof/>
        </w:rPr>
        <w:fldChar w:fldCharType="end"/>
      </w:r>
    </w:p>
    <w:p w:rsidR="00F51F3C" w14:paraId="077F6EEF" w14:textId="64BE89CD">
      <w:pPr>
        <w:pStyle w:val="TOC2"/>
        <w:tabs>
          <w:tab w:val="left" w:pos="880"/>
          <w:tab w:val="right" w:pos="9638"/>
        </w:tabs>
        <w:rPr>
          <w:noProof/>
          <w:kern w:val="2"/>
          <w14:ligatures w14:val="standardContextual"/>
        </w:rPr>
      </w:pPr>
      <w:r>
        <w:rPr>
          <w:noProof/>
        </w:rPr>
        <w:t>A.9</w:t>
      </w:r>
      <w:r>
        <w:rPr>
          <w:noProof/>
          <w:kern w:val="2"/>
          <w14:ligatures w14:val="standardContextual"/>
        </w:rPr>
        <w:tab/>
      </w:r>
      <w:r>
        <w:rPr>
          <w:noProof/>
        </w:rPr>
        <w:t>Explanation of Any Payment of Gift to Respondents</w:t>
      </w:r>
      <w:r>
        <w:rPr>
          <w:noProof/>
        </w:rPr>
        <w:tab/>
      </w:r>
      <w:r>
        <w:rPr>
          <w:noProof/>
        </w:rPr>
        <w:fldChar w:fldCharType="begin"/>
      </w:r>
      <w:r>
        <w:rPr>
          <w:noProof/>
        </w:rPr>
        <w:instrText xml:space="preserve"> PAGEREF _Toc174029909 \h </w:instrText>
      </w:r>
      <w:r>
        <w:rPr>
          <w:noProof/>
        </w:rPr>
        <w:fldChar w:fldCharType="separate"/>
      </w:r>
      <w:r>
        <w:rPr>
          <w:noProof/>
        </w:rPr>
        <w:t>15</w:t>
      </w:r>
      <w:r>
        <w:rPr>
          <w:noProof/>
        </w:rPr>
        <w:fldChar w:fldCharType="end"/>
      </w:r>
    </w:p>
    <w:p w:rsidR="00F51F3C" w14:paraId="3ECF8B9C" w14:textId="689D1828">
      <w:pPr>
        <w:pStyle w:val="TOC2"/>
        <w:tabs>
          <w:tab w:val="left" w:pos="880"/>
          <w:tab w:val="right" w:pos="9638"/>
        </w:tabs>
        <w:rPr>
          <w:noProof/>
          <w:kern w:val="2"/>
          <w14:ligatures w14:val="standardContextual"/>
        </w:rPr>
      </w:pPr>
      <w:r>
        <w:rPr>
          <w:noProof/>
        </w:rPr>
        <w:t>A.10</w:t>
      </w:r>
      <w:r>
        <w:rPr>
          <w:noProof/>
          <w:kern w:val="2"/>
          <w14:ligatures w14:val="standardContextual"/>
        </w:rPr>
        <w:tab/>
      </w:r>
      <w:r>
        <w:rPr>
          <w:noProof/>
        </w:rPr>
        <w:t>Assurance of Confidentiality Provided to Respondents</w:t>
      </w:r>
      <w:r>
        <w:rPr>
          <w:noProof/>
        </w:rPr>
        <w:tab/>
      </w:r>
      <w:r>
        <w:rPr>
          <w:noProof/>
        </w:rPr>
        <w:fldChar w:fldCharType="begin"/>
      </w:r>
      <w:r>
        <w:rPr>
          <w:noProof/>
        </w:rPr>
        <w:instrText xml:space="preserve"> PAGEREF _Toc174029910 \h </w:instrText>
      </w:r>
      <w:r>
        <w:rPr>
          <w:noProof/>
        </w:rPr>
        <w:fldChar w:fldCharType="separate"/>
      </w:r>
      <w:r>
        <w:rPr>
          <w:noProof/>
        </w:rPr>
        <w:t>15</w:t>
      </w:r>
      <w:r>
        <w:rPr>
          <w:noProof/>
        </w:rPr>
        <w:fldChar w:fldCharType="end"/>
      </w:r>
    </w:p>
    <w:p w:rsidR="00F51F3C" w14:paraId="3B2BAFC5" w14:textId="0FC759B0">
      <w:pPr>
        <w:pStyle w:val="TOC2"/>
        <w:tabs>
          <w:tab w:val="left" w:pos="880"/>
          <w:tab w:val="right" w:pos="9638"/>
        </w:tabs>
        <w:rPr>
          <w:noProof/>
          <w:kern w:val="2"/>
          <w14:ligatures w14:val="standardContextual"/>
        </w:rPr>
      </w:pPr>
      <w:r>
        <w:rPr>
          <w:noProof/>
        </w:rPr>
        <w:t>A.11</w:t>
      </w:r>
      <w:r>
        <w:rPr>
          <w:noProof/>
          <w:kern w:val="2"/>
          <w14:ligatures w14:val="standardContextual"/>
        </w:rPr>
        <w:tab/>
      </w:r>
      <w:r>
        <w:rPr>
          <w:noProof/>
        </w:rPr>
        <w:t>Justification for Sensitive Questions</w:t>
      </w:r>
      <w:r>
        <w:rPr>
          <w:noProof/>
        </w:rPr>
        <w:tab/>
      </w:r>
      <w:r>
        <w:rPr>
          <w:noProof/>
        </w:rPr>
        <w:fldChar w:fldCharType="begin"/>
      </w:r>
      <w:r>
        <w:rPr>
          <w:noProof/>
        </w:rPr>
        <w:instrText xml:space="preserve"> PAGEREF _Toc174029911 \h </w:instrText>
      </w:r>
      <w:r>
        <w:rPr>
          <w:noProof/>
        </w:rPr>
        <w:fldChar w:fldCharType="separate"/>
      </w:r>
      <w:r>
        <w:rPr>
          <w:noProof/>
        </w:rPr>
        <w:t>16</w:t>
      </w:r>
      <w:r>
        <w:rPr>
          <w:noProof/>
        </w:rPr>
        <w:fldChar w:fldCharType="end"/>
      </w:r>
    </w:p>
    <w:p w:rsidR="00F51F3C" w14:paraId="1602F914" w14:textId="48C9981A">
      <w:pPr>
        <w:pStyle w:val="TOC2"/>
        <w:tabs>
          <w:tab w:val="left" w:pos="1100"/>
          <w:tab w:val="right" w:pos="9638"/>
        </w:tabs>
        <w:rPr>
          <w:noProof/>
          <w:kern w:val="2"/>
          <w14:ligatures w14:val="standardContextual"/>
        </w:rPr>
      </w:pPr>
      <w:r>
        <w:rPr>
          <w:noProof/>
        </w:rPr>
        <w:t>A.12.1</w:t>
      </w:r>
      <w:r>
        <w:rPr>
          <w:noProof/>
          <w:kern w:val="2"/>
          <w14:ligatures w14:val="standardContextual"/>
        </w:rPr>
        <w:tab/>
      </w:r>
      <w:r>
        <w:rPr>
          <w:noProof/>
        </w:rPr>
        <w:t>Estimates of Hour Burden Including Annualized Hourly Costs</w:t>
      </w:r>
      <w:r>
        <w:rPr>
          <w:noProof/>
        </w:rPr>
        <w:tab/>
      </w:r>
      <w:r>
        <w:rPr>
          <w:noProof/>
        </w:rPr>
        <w:fldChar w:fldCharType="begin"/>
      </w:r>
      <w:r>
        <w:rPr>
          <w:noProof/>
        </w:rPr>
        <w:instrText xml:space="preserve"> PAGEREF _Toc174029912 \h </w:instrText>
      </w:r>
      <w:r>
        <w:rPr>
          <w:noProof/>
        </w:rPr>
        <w:fldChar w:fldCharType="separate"/>
      </w:r>
      <w:r>
        <w:rPr>
          <w:noProof/>
        </w:rPr>
        <w:t>16</w:t>
      </w:r>
      <w:r>
        <w:rPr>
          <w:noProof/>
        </w:rPr>
        <w:fldChar w:fldCharType="end"/>
      </w:r>
    </w:p>
    <w:p w:rsidR="00F51F3C" w14:paraId="0B1A25F2" w14:textId="24A332AA">
      <w:pPr>
        <w:pStyle w:val="TOC2"/>
        <w:tabs>
          <w:tab w:val="right" w:pos="9638"/>
        </w:tabs>
        <w:rPr>
          <w:noProof/>
          <w:kern w:val="2"/>
          <w14:ligatures w14:val="standardContextual"/>
        </w:rPr>
      </w:pPr>
      <w:r w:rsidRPr="00CA2D84">
        <w:rPr>
          <w:rFonts w:eastAsia="Times New Roman"/>
          <w:noProof/>
        </w:rPr>
        <w:t>A.12-2   Annual Cost to respondent</w:t>
      </w:r>
      <w:r>
        <w:rPr>
          <w:noProof/>
        </w:rPr>
        <w:tab/>
      </w:r>
      <w:r>
        <w:rPr>
          <w:noProof/>
        </w:rPr>
        <w:fldChar w:fldCharType="begin"/>
      </w:r>
      <w:r>
        <w:rPr>
          <w:noProof/>
        </w:rPr>
        <w:instrText xml:space="preserve"> PAGEREF _Toc174029913 \h </w:instrText>
      </w:r>
      <w:r>
        <w:rPr>
          <w:noProof/>
        </w:rPr>
        <w:fldChar w:fldCharType="separate"/>
      </w:r>
      <w:r>
        <w:rPr>
          <w:noProof/>
        </w:rPr>
        <w:t>22</w:t>
      </w:r>
      <w:r>
        <w:rPr>
          <w:noProof/>
        </w:rPr>
        <w:fldChar w:fldCharType="end"/>
      </w:r>
    </w:p>
    <w:p w:rsidR="00F51F3C" w14:paraId="052E78CE" w14:textId="2FC0E3BA">
      <w:pPr>
        <w:pStyle w:val="TOC2"/>
        <w:tabs>
          <w:tab w:val="left" w:pos="880"/>
          <w:tab w:val="right" w:pos="9638"/>
        </w:tabs>
        <w:rPr>
          <w:noProof/>
          <w:kern w:val="2"/>
          <w14:ligatures w14:val="standardContextual"/>
        </w:rPr>
      </w:pPr>
      <w:r>
        <w:rPr>
          <w:noProof/>
        </w:rPr>
        <w:t>A.13</w:t>
      </w:r>
      <w:r>
        <w:rPr>
          <w:noProof/>
          <w:kern w:val="2"/>
          <w14:ligatures w14:val="standardContextual"/>
        </w:rPr>
        <w:tab/>
      </w:r>
      <w:r>
        <w:rPr>
          <w:noProof/>
        </w:rPr>
        <w:t>Estimate of Other Total Annual Cost Burden to Respondents or Record Keepers</w:t>
      </w:r>
      <w:r>
        <w:rPr>
          <w:noProof/>
        </w:rPr>
        <w:tab/>
      </w:r>
      <w:r>
        <w:rPr>
          <w:noProof/>
        </w:rPr>
        <w:fldChar w:fldCharType="begin"/>
      </w:r>
      <w:r>
        <w:rPr>
          <w:noProof/>
        </w:rPr>
        <w:instrText xml:space="preserve"> PAGEREF _Toc174029914 \h </w:instrText>
      </w:r>
      <w:r>
        <w:rPr>
          <w:noProof/>
        </w:rPr>
        <w:fldChar w:fldCharType="separate"/>
      </w:r>
      <w:r>
        <w:rPr>
          <w:noProof/>
        </w:rPr>
        <w:t>24</w:t>
      </w:r>
      <w:r>
        <w:rPr>
          <w:noProof/>
        </w:rPr>
        <w:fldChar w:fldCharType="end"/>
      </w:r>
    </w:p>
    <w:p w:rsidR="00F51F3C" w14:paraId="62DD19AD" w14:textId="7E8A26F0">
      <w:pPr>
        <w:pStyle w:val="TOC2"/>
        <w:tabs>
          <w:tab w:val="left" w:pos="880"/>
          <w:tab w:val="right" w:pos="9638"/>
        </w:tabs>
        <w:rPr>
          <w:noProof/>
          <w:kern w:val="2"/>
          <w14:ligatures w14:val="standardContextual"/>
        </w:rPr>
      </w:pPr>
      <w:r>
        <w:rPr>
          <w:noProof/>
        </w:rPr>
        <w:t>A.14</w:t>
      </w:r>
      <w:r>
        <w:rPr>
          <w:noProof/>
          <w:kern w:val="2"/>
          <w14:ligatures w14:val="standardContextual"/>
        </w:rPr>
        <w:tab/>
      </w:r>
      <w:r>
        <w:rPr>
          <w:noProof/>
        </w:rPr>
        <w:t>Annualized Cost to the Federal Government</w:t>
      </w:r>
      <w:r>
        <w:rPr>
          <w:noProof/>
        </w:rPr>
        <w:tab/>
      </w:r>
      <w:r>
        <w:rPr>
          <w:noProof/>
        </w:rPr>
        <w:fldChar w:fldCharType="begin"/>
      </w:r>
      <w:r>
        <w:rPr>
          <w:noProof/>
        </w:rPr>
        <w:instrText xml:space="preserve"> PAGEREF _Toc174029915 \h </w:instrText>
      </w:r>
      <w:r>
        <w:rPr>
          <w:noProof/>
        </w:rPr>
        <w:fldChar w:fldCharType="separate"/>
      </w:r>
      <w:r>
        <w:rPr>
          <w:noProof/>
        </w:rPr>
        <w:t>24</w:t>
      </w:r>
      <w:r>
        <w:rPr>
          <w:noProof/>
        </w:rPr>
        <w:fldChar w:fldCharType="end"/>
      </w:r>
    </w:p>
    <w:p w:rsidR="00F51F3C" w14:paraId="572EED72" w14:textId="20469C76">
      <w:pPr>
        <w:pStyle w:val="TOC2"/>
        <w:tabs>
          <w:tab w:val="left" w:pos="880"/>
          <w:tab w:val="right" w:pos="9638"/>
        </w:tabs>
        <w:rPr>
          <w:noProof/>
          <w:kern w:val="2"/>
          <w14:ligatures w14:val="standardContextual"/>
        </w:rPr>
      </w:pPr>
      <w:r>
        <w:rPr>
          <w:noProof/>
        </w:rPr>
        <w:t>A.15</w:t>
      </w:r>
      <w:r>
        <w:rPr>
          <w:noProof/>
          <w:kern w:val="2"/>
          <w14:ligatures w14:val="standardContextual"/>
        </w:rPr>
        <w:tab/>
      </w:r>
      <w:r>
        <w:rPr>
          <w:noProof/>
        </w:rPr>
        <w:t>Explanation for Program Changes or Adjustments</w:t>
      </w:r>
      <w:r>
        <w:rPr>
          <w:noProof/>
        </w:rPr>
        <w:tab/>
      </w:r>
      <w:r>
        <w:rPr>
          <w:noProof/>
        </w:rPr>
        <w:fldChar w:fldCharType="begin"/>
      </w:r>
      <w:r>
        <w:rPr>
          <w:noProof/>
        </w:rPr>
        <w:instrText xml:space="preserve"> PAGEREF _Toc174029916 \h </w:instrText>
      </w:r>
      <w:r>
        <w:rPr>
          <w:noProof/>
        </w:rPr>
        <w:fldChar w:fldCharType="separate"/>
      </w:r>
      <w:r>
        <w:rPr>
          <w:noProof/>
        </w:rPr>
        <w:t>25</w:t>
      </w:r>
      <w:r>
        <w:rPr>
          <w:noProof/>
        </w:rPr>
        <w:fldChar w:fldCharType="end"/>
      </w:r>
    </w:p>
    <w:p w:rsidR="00F51F3C" w14:paraId="3E5801F6" w14:textId="78671717">
      <w:pPr>
        <w:pStyle w:val="TOC2"/>
        <w:tabs>
          <w:tab w:val="left" w:pos="880"/>
          <w:tab w:val="right" w:pos="9638"/>
        </w:tabs>
        <w:rPr>
          <w:noProof/>
          <w:kern w:val="2"/>
          <w14:ligatures w14:val="standardContextual"/>
        </w:rPr>
      </w:pPr>
      <w:r>
        <w:rPr>
          <w:noProof/>
        </w:rPr>
        <w:t>A.16</w:t>
      </w:r>
      <w:r>
        <w:rPr>
          <w:noProof/>
          <w:kern w:val="2"/>
          <w14:ligatures w14:val="standardContextual"/>
        </w:rPr>
        <w:tab/>
      </w:r>
      <w:r>
        <w:rPr>
          <w:noProof/>
        </w:rPr>
        <w:t>Plans for Tabulation and Publication and Project Time Schedule</w:t>
      </w:r>
      <w:r>
        <w:rPr>
          <w:noProof/>
        </w:rPr>
        <w:tab/>
      </w:r>
      <w:r>
        <w:rPr>
          <w:noProof/>
        </w:rPr>
        <w:fldChar w:fldCharType="begin"/>
      </w:r>
      <w:r>
        <w:rPr>
          <w:noProof/>
        </w:rPr>
        <w:instrText xml:space="preserve"> PAGEREF _Toc174029917 \h </w:instrText>
      </w:r>
      <w:r>
        <w:rPr>
          <w:noProof/>
        </w:rPr>
        <w:fldChar w:fldCharType="separate"/>
      </w:r>
      <w:r>
        <w:rPr>
          <w:noProof/>
        </w:rPr>
        <w:t>26</w:t>
      </w:r>
      <w:r>
        <w:rPr>
          <w:noProof/>
        </w:rPr>
        <w:fldChar w:fldCharType="end"/>
      </w:r>
    </w:p>
    <w:p w:rsidR="00F51F3C" w14:paraId="51500226" w14:textId="4D5CF3B9">
      <w:pPr>
        <w:pStyle w:val="TOC2"/>
        <w:tabs>
          <w:tab w:val="left" w:pos="880"/>
          <w:tab w:val="right" w:pos="9638"/>
        </w:tabs>
        <w:rPr>
          <w:noProof/>
          <w:kern w:val="2"/>
          <w14:ligatures w14:val="standardContextual"/>
        </w:rPr>
      </w:pPr>
      <w:r>
        <w:rPr>
          <w:noProof/>
        </w:rPr>
        <w:t>A.17</w:t>
      </w:r>
      <w:r>
        <w:rPr>
          <w:noProof/>
          <w:kern w:val="2"/>
          <w14:ligatures w14:val="standardContextual"/>
        </w:rPr>
        <w:tab/>
      </w:r>
      <w:r>
        <w:rPr>
          <w:noProof/>
        </w:rPr>
        <w:t>Reason(s) Display of OMB Expiration Date is Inappropriate</w:t>
      </w:r>
      <w:r>
        <w:rPr>
          <w:noProof/>
        </w:rPr>
        <w:tab/>
      </w:r>
      <w:r>
        <w:rPr>
          <w:noProof/>
        </w:rPr>
        <w:fldChar w:fldCharType="begin"/>
      </w:r>
      <w:r>
        <w:rPr>
          <w:noProof/>
        </w:rPr>
        <w:instrText xml:space="preserve"> PAGEREF _Toc174029918 \h </w:instrText>
      </w:r>
      <w:r>
        <w:rPr>
          <w:noProof/>
        </w:rPr>
        <w:fldChar w:fldCharType="separate"/>
      </w:r>
      <w:r>
        <w:rPr>
          <w:noProof/>
        </w:rPr>
        <w:t>27</w:t>
      </w:r>
      <w:r>
        <w:rPr>
          <w:noProof/>
        </w:rPr>
        <w:fldChar w:fldCharType="end"/>
      </w:r>
    </w:p>
    <w:p w:rsidR="00F51F3C" w14:paraId="056F4619" w14:textId="1DBA3828">
      <w:pPr>
        <w:pStyle w:val="TOC2"/>
        <w:tabs>
          <w:tab w:val="left" w:pos="880"/>
          <w:tab w:val="right" w:pos="9638"/>
        </w:tabs>
        <w:rPr>
          <w:noProof/>
          <w:kern w:val="2"/>
          <w14:ligatures w14:val="standardContextual"/>
        </w:rPr>
      </w:pPr>
      <w:r>
        <w:rPr>
          <w:noProof/>
        </w:rPr>
        <w:t>A.18</w:t>
      </w:r>
      <w:r>
        <w:rPr>
          <w:noProof/>
          <w:kern w:val="2"/>
          <w14:ligatures w14:val="standardContextual"/>
        </w:rPr>
        <w:tab/>
      </w:r>
      <w:r>
        <w:rPr>
          <w:noProof/>
        </w:rPr>
        <w:t>Exceptions to Certification for Paperwork Reduction Act Submissions</w:t>
      </w:r>
      <w:r>
        <w:rPr>
          <w:noProof/>
        </w:rPr>
        <w:tab/>
      </w:r>
      <w:r>
        <w:rPr>
          <w:noProof/>
        </w:rPr>
        <w:fldChar w:fldCharType="begin"/>
      </w:r>
      <w:r>
        <w:rPr>
          <w:noProof/>
        </w:rPr>
        <w:instrText xml:space="preserve"> PAGEREF _Toc174029919 \h </w:instrText>
      </w:r>
      <w:r>
        <w:rPr>
          <w:noProof/>
        </w:rPr>
        <w:fldChar w:fldCharType="separate"/>
      </w:r>
      <w:r>
        <w:rPr>
          <w:noProof/>
        </w:rPr>
        <w:t>27</w:t>
      </w:r>
      <w:r>
        <w:rPr>
          <w:noProof/>
        </w:rPr>
        <w:fldChar w:fldCharType="end"/>
      </w:r>
    </w:p>
    <w:p w:rsidR="008524CB" w:rsidP="00283540" w14:paraId="6C67AC7F" w14:textId="18E0DBD7">
      <w:pPr>
        <w:pStyle w:val="P1-StandPara"/>
        <w:tabs>
          <w:tab w:val="left" w:pos="720"/>
          <w:tab w:val="right" w:leader="dot" w:pos="9504"/>
        </w:tabs>
        <w:spacing w:before="120" w:after="120"/>
        <w:rPr>
          <w:rFonts w:asciiTheme="minorHAnsi" w:hAnsiTheme="minorHAnsi"/>
          <w:b/>
          <w:szCs w:val="22"/>
        </w:rPr>
      </w:pPr>
      <w:r w:rsidRPr="00E35DD1">
        <w:rPr>
          <w:rFonts w:asciiTheme="minorHAnsi" w:hAnsiTheme="minorHAnsi"/>
          <w:szCs w:val="22"/>
        </w:rPr>
        <w:fldChar w:fldCharType="end"/>
      </w:r>
    </w:p>
    <w:p w:rsidR="00CB36D3" w14:paraId="6A443043" w14:textId="77777777">
      <w:pPr>
        <w:rPr>
          <w:b/>
        </w:rPr>
      </w:pPr>
      <w:r>
        <w:rPr>
          <w:b/>
        </w:rPr>
        <w:t>ATTACHMENTS</w:t>
      </w:r>
    </w:p>
    <w:p w:rsidR="00022D2E" w:rsidRPr="00022D2E" w:rsidP="00022D2E" w14:paraId="52C8D06F" w14:textId="77777777">
      <w:pPr>
        <w:rPr>
          <w:bCs/>
        </w:rPr>
      </w:pPr>
      <w:r w:rsidRPr="00022D2E">
        <w:rPr>
          <w:bCs/>
        </w:rPr>
        <w:t>Attachment 1 - Table of Former and Revised Content of Information Collections</w:t>
      </w:r>
    </w:p>
    <w:p w:rsidR="00022D2E" w:rsidRPr="00022D2E" w:rsidP="00022D2E" w14:paraId="472190C8" w14:textId="5E16DD11">
      <w:pPr>
        <w:rPr>
          <w:bCs/>
        </w:rPr>
      </w:pPr>
      <w:r w:rsidRPr="00022D2E">
        <w:rPr>
          <w:bCs/>
        </w:rPr>
        <w:t xml:space="preserve">Attachment 2 - </w:t>
      </w:r>
      <w:r w:rsidR="00A437C5">
        <w:rPr>
          <w:bCs/>
        </w:rPr>
        <w:t>Assistance Listing/</w:t>
      </w:r>
      <w:r w:rsidRPr="00CB36D3" w:rsidR="00A437C5">
        <w:rPr>
          <w:bCs/>
        </w:rPr>
        <w:t>CFDA List</w:t>
      </w:r>
    </w:p>
    <w:p w:rsidR="00022D2E" w:rsidRPr="00022D2E" w:rsidP="00022D2E" w14:paraId="6DBC2B09" w14:textId="77777777">
      <w:pPr>
        <w:rPr>
          <w:bCs/>
        </w:rPr>
      </w:pPr>
      <w:r w:rsidRPr="00022D2E">
        <w:rPr>
          <w:bCs/>
        </w:rPr>
        <w:t>Attachment 3 - PHS 2950: Non-Competing Continuation Progress Report Form</w:t>
      </w:r>
    </w:p>
    <w:p w:rsidR="00022D2E" w:rsidRPr="00022D2E" w:rsidP="00022D2E" w14:paraId="66CBE510" w14:textId="77777777">
      <w:pPr>
        <w:rPr>
          <w:bCs/>
        </w:rPr>
      </w:pPr>
      <w:r w:rsidRPr="00022D2E">
        <w:rPr>
          <w:bCs/>
        </w:rPr>
        <w:t>Attachment 4 - PHS 2950: Non-Competing Continuation Progress Report Instructions</w:t>
      </w:r>
    </w:p>
    <w:p w:rsidR="00022D2E" w:rsidP="00022D2E" w14:paraId="371F8D20" w14:textId="77777777">
      <w:pPr>
        <w:rPr>
          <w:bCs/>
        </w:rPr>
      </w:pPr>
      <w:r w:rsidRPr="00022D2E">
        <w:rPr>
          <w:bCs/>
        </w:rPr>
        <w:t>Attachment 5 - Research Performance Progress Report (RPPR)/Final RPPR Screen Shots and component forms (PHS Human Subjects and Clinical Trial Information form and Data Management and Sharing Plan format page)</w:t>
      </w:r>
    </w:p>
    <w:p w:rsidR="00BF048A" w:rsidP="00BF048A" w14:paraId="65F9BE55" w14:textId="64FFA6C5">
      <w:pPr>
        <w:spacing w:after="0" w:line="360" w:lineRule="auto"/>
        <w:ind w:left="720"/>
        <w:rPr>
          <w:bCs/>
        </w:rPr>
      </w:pPr>
      <w:r>
        <w:rPr>
          <w:bCs/>
        </w:rPr>
        <w:t xml:space="preserve">5A: </w:t>
      </w:r>
      <w:r w:rsidR="00F35D4D">
        <w:rPr>
          <w:bCs/>
        </w:rPr>
        <w:t>eRA</w:t>
      </w:r>
      <w:r w:rsidR="00F35D4D">
        <w:rPr>
          <w:bCs/>
        </w:rPr>
        <w:t xml:space="preserve"> RPPR Sample Screenshots</w:t>
      </w:r>
    </w:p>
    <w:p w:rsidR="00BF048A" w:rsidP="00BF048A" w14:paraId="4456C7CA" w14:textId="10B76065">
      <w:pPr>
        <w:spacing w:after="0" w:line="360" w:lineRule="auto"/>
        <w:ind w:left="720"/>
        <w:rPr>
          <w:rFonts w:ascii="Calibri" w:eastAsia="Times New Roman" w:hAnsi="Calibri" w:cs="Calibri"/>
          <w:color w:val="000000"/>
        </w:rPr>
      </w:pPr>
      <w:r>
        <w:rPr>
          <w:bCs/>
        </w:rPr>
        <w:t xml:space="preserve">5B: </w:t>
      </w:r>
      <w:r w:rsidRPr="001D7CAD">
        <w:rPr>
          <w:rFonts w:ascii="Calibri" w:eastAsia="Times New Roman" w:hAnsi="Calibri" w:cs="Calibri"/>
          <w:color w:val="000000"/>
        </w:rPr>
        <w:t>PHS Human Subjects and Clinical Trial Information (HSCT) Form</w:t>
      </w:r>
      <w:r>
        <w:rPr>
          <w:rFonts w:ascii="Calibri" w:eastAsia="Times New Roman" w:hAnsi="Calibri" w:cs="Calibri"/>
          <w:color w:val="000000"/>
        </w:rPr>
        <w:t xml:space="preserve"> (Landing Page, Inclusion Enrollment Form, and Study Record Sections 1-6)</w:t>
      </w:r>
    </w:p>
    <w:p w:rsidR="00E33388" w:rsidP="00BF048A" w14:paraId="37F626A8" w14:textId="3DCC8139">
      <w:pPr>
        <w:spacing w:after="0" w:line="360" w:lineRule="auto"/>
        <w:ind w:left="720"/>
        <w:rPr>
          <w:rFonts w:ascii="Calibri" w:eastAsia="Times New Roman" w:hAnsi="Calibri" w:cs="Calibri"/>
          <w:color w:val="000000"/>
        </w:rPr>
      </w:pPr>
      <w:r>
        <w:rPr>
          <w:rFonts w:ascii="Calibri" w:eastAsia="Times New Roman" w:hAnsi="Calibri" w:cs="Calibri"/>
          <w:color w:val="000000"/>
        </w:rPr>
        <w:t xml:space="preserve">5C: </w:t>
      </w:r>
      <w:r w:rsidRPr="00F57C0D" w:rsidR="00AB28D2">
        <w:rPr>
          <w:rFonts w:ascii="Calibri" w:eastAsia="Times New Roman" w:hAnsi="Calibri" w:cs="Calibri"/>
          <w:color w:val="000000"/>
        </w:rPr>
        <w:t>Data Management and Sharing Plan Format</w:t>
      </w:r>
    </w:p>
    <w:p w:rsidR="00022D2E" w:rsidRPr="00022D2E" w:rsidP="00022D2E" w14:paraId="5075D732" w14:textId="30AC2BC4">
      <w:pPr>
        <w:rPr>
          <w:bCs/>
        </w:rPr>
      </w:pPr>
      <w:r w:rsidRPr="00022D2E">
        <w:rPr>
          <w:bCs/>
        </w:rPr>
        <w:t xml:space="preserve">Attachment 6 – RPPR/Final RPPR Instructions for </w:t>
      </w:r>
      <w:r w:rsidR="00A437C5">
        <w:rPr>
          <w:bCs/>
        </w:rPr>
        <w:t>Recipients</w:t>
      </w:r>
    </w:p>
    <w:p w:rsidR="00022D2E" w:rsidP="00022D2E" w14:paraId="53CD7972" w14:textId="77777777">
      <w:pPr>
        <w:rPr>
          <w:bCs/>
        </w:rPr>
      </w:pPr>
      <w:r w:rsidRPr="00022D2E">
        <w:rPr>
          <w:bCs/>
        </w:rPr>
        <w:t>Attachment 7- Trainee Diversity Report</w:t>
      </w:r>
    </w:p>
    <w:p w:rsidR="0031560E" w:rsidP="00022D2E" w14:paraId="77D3412B" w14:textId="65CFAE62">
      <w:pPr>
        <w:rPr>
          <w:bCs/>
        </w:rPr>
      </w:pPr>
      <w:r>
        <w:rPr>
          <w:bCs/>
        </w:rPr>
        <w:tab/>
        <w:t xml:space="preserve">7A: </w:t>
      </w:r>
      <w:r w:rsidR="005A525F">
        <w:rPr>
          <w:bCs/>
        </w:rPr>
        <w:t>Trainee Diversity Report</w:t>
      </w:r>
    </w:p>
    <w:p w:rsidR="005A525F" w:rsidRPr="00022D2E" w:rsidP="00022D2E" w14:paraId="2158D3F2" w14:textId="18F6DC58">
      <w:pPr>
        <w:rPr>
          <w:bCs/>
        </w:rPr>
      </w:pPr>
      <w:r>
        <w:rPr>
          <w:bCs/>
        </w:rPr>
        <w:tab/>
        <w:t xml:space="preserve">7B: </w:t>
      </w:r>
      <w:r w:rsidR="00EB644E">
        <w:rPr>
          <w:bCs/>
        </w:rPr>
        <w:t xml:space="preserve">Trainee Diversity Report </w:t>
      </w:r>
      <w:r>
        <w:rPr>
          <w:bCs/>
        </w:rPr>
        <w:t>eRA</w:t>
      </w:r>
      <w:r>
        <w:rPr>
          <w:bCs/>
        </w:rPr>
        <w:t xml:space="preserve"> </w:t>
      </w:r>
      <w:r>
        <w:rPr>
          <w:bCs/>
        </w:rPr>
        <w:t>xTrain</w:t>
      </w:r>
      <w:r>
        <w:rPr>
          <w:bCs/>
        </w:rPr>
        <w:t xml:space="preserve"> Sample Screenshots</w:t>
      </w:r>
    </w:p>
    <w:p w:rsidR="00022D2E" w:rsidP="00022D2E" w14:paraId="0CB8F3EB" w14:textId="77777777">
      <w:pPr>
        <w:rPr>
          <w:bCs/>
        </w:rPr>
      </w:pPr>
      <w:r w:rsidRPr="00022D2E">
        <w:rPr>
          <w:bCs/>
        </w:rPr>
        <w:t>Attachment 8 - General Biographical Sketch Format Page, Instructions (use also for Fellowship Sponsor/Co-Sponsors), and Samples</w:t>
      </w:r>
    </w:p>
    <w:p w:rsidR="00BA2EBD" w:rsidP="00022D2E" w14:paraId="23261FCB" w14:textId="7206BA6B">
      <w:pPr>
        <w:rPr>
          <w:bCs/>
        </w:rPr>
      </w:pPr>
      <w:r>
        <w:rPr>
          <w:bCs/>
        </w:rPr>
        <w:tab/>
        <w:t xml:space="preserve">8A: </w:t>
      </w:r>
      <w:r w:rsidR="004B2C0D">
        <w:rPr>
          <w:bCs/>
        </w:rPr>
        <w:t xml:space="preserve">General (Non-Fellowship) </w:t>
      </w:r>
      <w:r w:rsidR="004B2C0D">
        <w:rPr>
          <w:bCs/>
        </w:rPr>
        <w:t>Biosketch</w:t>
      </w:r>
      <w:r w:rsidR="004B2C0D">
        <w:rPr>
          <w:bCs/>
        </w:rPr>
        <w:t xml:space="preserve"> Format Page</w:t>
      </w:r>
      <w:r w:rsidR="0023276A">
        <w:rPr>
          <w:bCs/>
        </w:rPr>
        <w:t xml:space="preserve"> (Replaced Attachment </w:t>
      </w:r>
      <w:r w:rsidR="0023276A">
        <w:rPr>
          <w:bCs/>
        </w:rPr>
        <w:t>Att</w:t>
      </w:r>
      <w:r w:rsidR="0023276A">
        <w:rPr>
          <w:bCs/>
        </w:rPr>
        <w:t xml:space="preserve"> A2)</w:t>
      </w:r>
    </w:p>
    <w:p w:rsidR="004B2C0D" w:rsidP="00022D2E" w14:paraId="6493612A" w14:textId="24146761">
      <w:pPr>
        <w:rPr>
          <w:bCs/>
        </w:rPr>
      </w:pPr>
      <w:r>
        <w:rPr>
          <w:bCs/>
        </w:rPr>
        <w:tab/>
        <w:t xml:space="preserve">8B: General (Non-Fellowship) and Fellowship </w:t>
      </w:r>
      <w:r>
        <w:rPr>
          <w:bCs/>
        </w:rPr>
        <w:t>Biosketch</w:t>
      </w:r>
      <w:r>
        <w:rPr>
          <w:bCs/>
        </w:rPr>
        <w:t xml:space="preserve"> Instructions</w:t>
      </w:r>
      <w:r w:rsidR="008E66AA">
        <w:rPr>
          <w:bCs/>
        </w:rPr>
        <w:t xml:space="preserve"> (Replaced Attachment </w:t>
      </w:r>
      <w:r w:rsidR="008E66AA">
        <w:rPr>
          <w:bCs/>
        </w:rPr>
        <w:t>Att</w:t>
      </w:r>
      <w:r w:rsidR="008E66AA">
        <w:rPr>
          <w:bCs/>
        </w:rPr>
        <w:t xml:space="preserve"> B)</w:t>
      </w:r>
    </w:p>
    <w:p w:rsidR="004B2C0D" w:rsidP="00022D2E" w14:paraId="126EF81A" w14:textId="5E0060B8">
      <w:pPr>
        <w:rPr>
          <w:bCs/>
        </w:rPr>
      </w:pPr>
      <w:r>
        <w:rPr>
          <w:bCs/>
        </w:rPr>
        <w:tab/>
        <w:t xml:space="preserve">8C: General (Non-Fellowship) </w:t>
      </w:r>
      <w:r>
        <w:rPr>
          <w:bCs/>
        </w:rPr>
        <w:t>Biosketch</w:t>
      </w:r>
      <w:r>
        <w:rPr>
          <w:bCs/>
        </w:rPr>
        <w:t xml:space="preserve"> Sample</w:t>
      </w:r>
    </w:p>
    <w:p w:rsidR="00FE5047" w:rsidRPr="00022D2E" w:rsidP="00022D2E" w14:paraId="00A2125E" w14:textId="550C173E">
      <w:pPr>
        <w:rPr>
          <w:bCs/>
        </w:rPr>
      </w:pPr>
      <w:r>
        <w:rPr>
          <w:bCs/>
        </w:rPr>
        <w:tab/>
        <w:t xml:space="preserve">8D: NIH Biographical Sketch Supplement (new, to replace </w:t>
      </w:r>
      <w:r w:rsidR="00DB4686">
        <w:rPr>
          <w:bCs/>
        </w:rPr>
        <w:t xml:space="preserve">NIH </w:t>
      </w:r>
      <w:r w:rsidR="00DB4686">
        <w:rPr>
          <w:bCs/>
        </w:rPr>
        <w:t>Biosketch</w:t>
      </w:r>
      <w:r w:rsidR="00DB4686">
        <w:rPr>
          <w:bCs/>
        </w:rPr>
        <w:t xml:space="preserve"> format effective May 2025)</w:t>
      </w:r>
    </w:p>
    <w:p w:rsidR="00022D2E" w:rsidP="00022D2E" w14:paraId="6C7F340E" w14:textId="77777777">
      <w:pPr>
        <w:rPr>
          <w:bCs/>
        </w:rPr>
      </w:pPr>
      <w:r w:rsidRPr="00022D2E">
        <w:rPr>
          <w:bCs/>
        </w:rPr>
        <w:t xml:space="preserve">Attachment 9 - Fellowship Applicant Biographical Sketch Format Page (use only for individual predoctoral and postdoctoral fellowships, dissertation research grants [R36], and Research Supplements to Promote Diversity in Health-Related Research [Admin Supplement]) and </w:t>
      </w:r>
      <w:r w:rsidRPr="00022D2E">
        <w:rPr>
          <w:bCs/>
        </w:rPr>
        <w:t>Samples</w:t>
      </w:r>
    </w:p>
    <w:p w:rsidR="004B2C0D" w:rsidP="00022D2E" w14:paraId="0DD4E956" w14:textId="513265A5">
      <w:pPr>
        <w:rPr>
          <w:bCs/>
        </w:rPr>
      </w:pPr>
      <w:r>
        <w:rPr>
          <w:bCs/>
        </w:rPr>
        <w:tab/>
        <w:t xml:space="preserve">9A: </w:t>
      </w:r>
      <w:r w:rsidR="00366A18">
        <w:rPr>
          <w:bCs/>
        </w:rPr>
        <w:t xml:space="preserve">Fellowship </w:t>
      </w:r>
      <w:r w:rsidR="00366A18">
        <w:rPr>
          <w:bCs/>
        </w:rPr>
        <w:t>Biosketch</w:t>
      </w:r>
      <w:r w:rsidR="00366A18">
        <w:rPr>
          <w:bCs/>
        </w:rPr>
        <w:t xml:space="preserve"> Format Page</w:t>
      </w:r>
      <w:r w:rsidR="008E66AA">
        <w:rPr>
          <w:bCs/>
        </w:rPr>
        <w:t xml:space="preserve"> (Replaced Attachment </w:t>
      </w:r>
      <w:r w:rsidR="008E66AA">
        <w:rPr>
          <w:bCs/>
        </w:rPr>
        <w:t>Att</w:t>
      </w:r>
      <w:r w:rsidR="008E66AA">
        <w:rPr>
          <w:bCs/>
        </w:rPr>
        <w:t xml:space="preserve"> A1)</w:t>
      </w:r>
    </w:p>
    <w:p w:rsidR="00366A18" w:rsidP="00022D2E" w14:paraId="4FE815D2" w14:textId="07531B77">
      <w:pPr>
        <w:rPr>
          <w:bCs/>
        </w:rPr>
      </w:pPr>
      <w:r>
        <w:rPr>
          <w:bCs/>
        </w:rPr>
        <w:tab/>
        <w:t xml:space="preserve">9B: Postdoc </w:t>
      </w:r>
      <w:r>
        <w:rPr>
          <w:bCs/>
        </w:rPr>
        <w:t>Biosketch</w:t>
      </w:r>
      <w:r>
        <w:rPr>
          <w:bCs/>
        </w:rPr>
        <w:t xml:space="preserve"> Sample</w:t>
      </w:r>
    </w:p>
    <w:p w:rsidR="00366A18" w:rsidRPr="00022D2E" w:rsidP="00022D2E" w14:paraId="3CB2D708" w14:textId="2A3A5B0E">
      <w:pPr>
        <w:rPr>
          <w:bCs/>
        </w:rPr>
      </w:pPr>
      <w:r>
        <w:rPr>
          <w:bCs/>
        </w:rPr>
        <w:tab/>
        <w:t xml:space="preserve">9C: Predoc </w:t>
      </w:r>
      <w:r>
        <w:rPr>
          <w:bCs/>
        </w:rPr>
        <w:t>Biosketch</w:t>
      </w:r>
      <w:r>
        <w:rPr>
          <w:bCs/>
        </w:rPr>
        <w:t xml:space="preserve"> Sample</w:t>
      </w:r>
    </w:p>
    <w:p w:rsidR="00022D2E" w:rsidP="00022D2E" w14:paraId="110CA2F6" w14:textId="77777777">
      <w:pPr>
        <w:rPr>
          <w:bCs/>
        </w:rPr>
      </w:pPr>
      <w:r w:rsidRPr="00022D2E">
        <w:rPr>
          <w:bCs/>
        </w:rPr>
        <w:t>Attachment 10 - Data tables for use with Institutional Research Training grant awards</w:t>
      </w:r>
    </w:p>
    <w:p w:rsidR="00DB4686" w:rsidP="00022D2E" w14:paraId="19D9CEBC" w14:textId="4E61EDA9">
      <w:pPr>
        <w:rPr>
          <w:bCs/>
        </w:rPr>
      </w:pPr>
      <w:r>
        <w:rPr>
          <w:bCs/>
        </w:rPr>
        <w:tab/>
        <w:t>10A: Introduction to the Data Tables</w:t>
      </w:r>
    </w:p>
    <w:p w:rsidR="00DB4686" w:rsidP="00022D2E" w14:paraId="4E6127BE" w14:textId="2ABB4DC0">
      <w:pPr>
        <w:rPr>
          <w:bCs/>
        </w:rPr>
      </w:pPr>
      <w:r>
        <w:rPr>
          <w:bCs/>
        </w:rPr>
        <w:tab/>
        <w:t xml:space="preserve">10B: </w:t>
      </w:r>
      <w:r w:rsidR="00252377">
        <w:rPr>
          <w:bCs/>
        </w:rPr>
        <w:t>Undergraduate Training Tables</w:t>
      </w:r>
    </w:p>
    <w:p w:rsidR="00252377" w:rsidP="00022D2E" w14:paraId="6DA81754" w14:textId="1A8605B8">
      <w:pPr>
        <w:rPr>
          <w:bCs/>
        </w:rPr>
      </w:pPr>
      <w:r>
        <w:rPr>
          <w:bCs/>
        </w:rPr>
        <w:tab/>
        <w:t>10C: Consolidated Predoc and Postdoc Training Tables</w:t>
      </w:r>
    </w:p>
    <w:p w:rsidR="00252377" w:rsidRPr="00022D2E" w:rsidP="00022D2E" w14:paraId="73A1CF9B" w14:textId="083B6186">
      <w:pPr>
        <w:rPr>
          <w:bCs/>
        </w:rPr>
      </w:pPr>
      <w:r>
        <w:rPr>
          <w:bCs/>
        </w:rPr>
        <w:tab/>
        <w:t>10D: International Training Tables</w:t>
      </w:r>
    </w:p>
    <w:p w:rsidR="00022D2E" w:rsidRPr="00022D2E" w:rsidP="00022D2E" w14:paraId="6F526CC3" w14:textId="77777777">
      <w:pPr>
        <w:rPr>
          <w:bCs/>
        </w:rPr>
      </w:pPr>
      <w:r w:rsidRPr="00022D2E">
        <w:rPr>
          <w:bCs/>
        </w:rPr>
        <w:t xml:space="preserve">Attachment 11 – Publication Reporting (My Bibliography Screen Shots) </w:t>
      </w:r>
    </w:p>
    <w:p w:rsidR="00252377" w:rsidRPr="00022D2E" w:rsidP="00022D2E" w14:paraId="00D91658" w14:textId="150FE796">
      <w:pPr>
        <w:rPr>
          <w:bCs/>
        </w:rPr>
      </w:pPr>
      <w:r w:rsidRPr="00022D2E">
        <w:rPr>
          <w:bCs/>
        </w:rPr>
        <w:t xml:space="preserve">Attachment 12 - PHS 2271: Statement of Appointment </w:t>
      </w:r>
    </w:p>
    <w:p w:rsidR="00022D2E" w:rsidRPr="00022D2E" w:rsidP="00022D2E" w14:paraId="3355526C" w14:textId="77777777">
      <w:pPr>
        <w:rPr>
          <w:bCs/>
        </w:rPr>
      </w:pPr>
      <w:r w:rsidRPr="00022D2E">
        <w:rPr>
          <w:bCs/>
        </w:rPr>
        <w:t>Attachment 13 - PHS 416-7: Termination Notice for National Research Service Award</w:t>
      </w:r>
    </w:p>
    <w:p w:rsidR="00022D2E" w:rsidRPr="00022D2E" w:rsidP="00022D2E" w14:paraId="6B47DAB7" w14:textId="77777777">
      <w:pPr>
        <w:rPr>
          <w:bCs/>
        </w:rPr>
      </w:pPr>
      <w:r w:rsidRPr="00022D2E">
        <w:rPr>
          <w:bCs/>
        </w:rPr>
        <w:t>Attachment 14 - PHS 6031-1: Annual Payback Activities Certification for National Research Service Award</w:t>
      </w:r>
    </w:p>
    <w:p w:rsidR="00022D2E" w:rsidRPr="00022D2E" w:rsidP="00022D2E" w14:paraId="62497EA3" w14:textId="77777777">
      <w:pPr>
        <w:rPr>
          <w:bCs/>
        </w:rPr>
      </w:pPr>
      <w:r w:rsidRPr="00022D2E">
        <w:rPr>
          <w:bCs/>
        </w:rPr>
        <w:t>Attachment 15 - HHS 568: Final Invention Statement and Certification</w:t>
      </w:r>
    </w:p>
    <w:p w:rsidR="00022D2E" w:rsidRPr="00022D2E" w:rsidP="00022D2E" w14:paraId="388C27A7" w14:textId="15754BA2">
      <w:pPr>
        <w:rPr>
          <w:bCs/>
        </w:rPr>
      </w:pPr>
      <w:r w:rsidRPr="00022D2E">
        <w:rPr>
          <w:bCs/>
        </w:rPr>
        <w:t>(</w:t>
      </w:r>
      <w:r w:rsidR="00E707A5">
        <w:rPr>
          <w:bCs/>
        </w:rPr>
        <w:t xml:space="preserve">PREVIOUSLY </w:t>
      </w:r>
      <w:r w:rsidRPr="00022D2E">
        <w:rPr>
          <w:bCs/>
        </w:rPr>
        <w:t>REMOVED) Attachment 16 - Interagency Edison Reporting System (</w:t>
      </w:r>
      <w:r w:rsidRPr="00022D2E">
        <w:rPr>
          <w:bCs/>
        </w:rPr>
        <w:t>iEdison</w:t>
      </w:r>
      <w:r w:rsidRPr="00022D2E">
        <w:rPr>
          <w:bCs/>
        </w:rPr>
        <w:t>) Screen Shots</w:t>
      </w:r>
    </w:p>
    <w:p w:rsidR="00022D2E" w:rsidRPr="00022D2E" w:rsidP="00022D2E" w14:paraId="73DA15D8" w14:textId="2F01DE25">
      <w:pPr>
        <w:rPr>
          <w:bCs/>
        </w:rPr>
      </w:pPr>
      <w:r w:rsidRPr="00022D2E">
        <w:rPr>
          <w:bCs/>
        </w:rPr>
        <w:t>(</w:t>
      </w:r>
      <w:r w:rsidR="00E707A5">
        <w:rPr>
          <w:bCs/>
        </w:rPr>
        <w:t xml:space="preserve">PREVIOUSLY </w:t>
      </w:r>
      <w:r w:rsidRPr="00022D2E">
        <w:rPr>
          <w:bCs/>
        </w:rPr>
        <w:t>REMOVED) Attachment 17 - Final Progress Report Instructions</w:t>
      </w:r>
    </w:p>
    <w:p w:rsidR="00022D2E" w:rsidRPr="00022D2E" w:rsidP="00022D2E" w14:paraId="1084FA0E" w14:textId="77777777">
      <w:pPr>
        <w:rPr>
          <w:bCs/>
        </w:rPr>
      </w:pPr>
      <w:r w:rsidRPr="00022D2E">
        <w:rPr>
          <w:bCs/>
        </w:rPr>
        <w:t>Attachment 18 - PHS 3734: Official Statement Relinquishing Interest and Rights in a PHS Research Grant</w:t>
      </w:r>
    </w:p>
    <w:p w:rsidR="00022D2E" w:rsidRPr="00022D2E" w:rsidP="00022D2E" w14:paraId="5879A4DB" w14:textId="703E5F66">
      <w:pPr>
        <w:rPr>
          <w:bCs/>
        </w:rPr>
      </w:pPr>
      <w:r w:rsidRPr="00022D2E">
        <w:rPr>
          <w:bCs/>
        </w:rPr>
        <w:t xml:space="preserve">Attachment 19 - Post-Award </w:t>
      </w:r>
      <w:r w:rsidRPr="00022D2E">
        <w:rPr>
          <w:bCs/>
        </w:rPr>
        <w:t>eRA</w:t>
      </w:r>
      <w:r w:rsidRPr="00022D2E">
        <w:rPr>
          <w:bCs/>
        </w:rPr>
        <w:t xml:space="preserve"> Commons Screen Shots: </w:t>
      </w:r>
      <w:r w:rsidRPr="00022D2E">
        <w:rPr>
          <w:bCs/>
        </w:rPr>
        <w:t>xTrain</w:t>
      </w:r>
    </w:p>
    <w:p w:rsidR="00022D2E" w:rsidP="00022D2E" w14:paraId="4DB6411F" w14:textId="77777777">
      <w:pPr>
        <w:rPr>
          <w:bCs/>
        </w:rPr>
      </w:pPr>
      <w:r w:rsidRPr="00022D2E">
        <w:rPr>
          <w:bCs/>
        </w:rPr>
        <w:t xml:space="preserve">Attachment 20 - Certifications for SBIR/STTR grantees to confirm continuing compliance with program </w:t>
      </w:r>
      <w:r w:rsidRPr="00022D2E">
        <w:rPr>
          <w:bCs/>
        </w:rPr>
        <w:t>requirements</w:t>
      </w:r>
    </w:p>
    <w:p w:rsidR="00D31F87" w:rsidP="00022D2E" w14:paraId="4EE03D70" w14:textId="66B68741">
      <w:pPr>
        <w:rPr>
          <w:bCs/>
        </w:rPr>
      </w:pPr>
      <w:r>
        <w:rPr>
          <w:bCs/>
        </w:rPr>
        <w:tab/>
        <w:t>20A: SBIR Life Cycle Certification</w:t>
      </w:r>
    </w:p>
    <w:p w:rsidR="00D31F87" w:rsidRPr="00022D2E" w:rsidP="00022D2E" w14:paraId="722A2F16" w14:textId="06F19DC3">
      <w:pPr>
        <w:rPr>
          <w:bCs/>
        </w:rPr>
      </w:pPr>
      <w:r>
        <w:rPr>
          <w:bCs/>
        </w:rPr>
        <w:tab/>
        <w:t>20B: STTR Life Cycle Certification</w:t>
      </w:r>
    </w:p>
    <w:p w:rsidR="00022D2E" w:rsidRPr="00022D2E" w:rsidP="00022D2E" w14:paraId="1A282573" w14:textId="53298494">
      <w:pPr>
        <w:rPr>
          <w:bCs/>
        </w:rPr>
      </w:pPr>
      <w:r w:rsidRPr="00022D2E">
        <w:rPr>
          <w:bCs/>
        </w:rPr>
        <w:t xml:space="preserve">Attachment 21 </w:t>
      </w:r>
      <w:r w:rsidR="000C28D7">
        <w:rPr>
          <w:bCs/>
        </w:rPr>
        <w:t>–</w:t>
      </w:r>
      <w:r w:rsidRPr="00022D2E">
        <w:rPr>
          <w:bCs/>
        </w:rPr>
        <w:t xml:space="preserve"> </w:t>
      </w:r>
      <w:r w:rsidR="000C28D7">
        <w:rPr>
          <w:bCs/>
        </w:rPr>
        <w:t xml:space="preserve">Post Award </w:t>
      </w:r>
      <w:r w:rsidR="00375435">
        <w:rPr>
          <w:bCs/>
        </w:rPr>
        <w:t>eRA</w:t>
      </w:r>
      <w:r w:rsidR="00375435">
        <w:rPr>
          <w:bCs/>
        </w:rPr>
        <w:t xml:space="preserve"> </w:t>
      </w:r>
      <w:r w:rsidRPr="00022D2E">
        <w:rPr>
          <w:bCs/>
        </w:rPr>
        <w:t xml:space="preserve">Prior Approval Screen Shots </w:t>
      </w:r>
    </w:p>
    <w:p w:rsidR="005D223E" w:rsidP="00022D2E" w14:paraId="6B0D84D1" w14:textId="77777777">
      <w:pPr>
        <w:rPr>
          <w:bCs/>
        </w:rPr>
      </w:pPr>
      <w:r w:rsidRPr="00022D2E">
        <w:rPr>
          <w:bCs/>
        </w:rPr>
        <w:t>Attachment 22 - Privacy Impact Assessment</w:t>
      </w:r>
    </w:p>
    <w:p w:rsidR="00026502" w:rsidP="00026502" w14:paraId="6530F23E" w14:textId="0A60AF52">
      <w:pPr>
        <w:spacing w:after="0"/>
        <w:rPr>
          <w:bCs/>
        </w:rPr>
      </w:pPr>
      <w:r>
        <w:rPr>
          <w:bCs/>
        </w:rPr>
        <w:t xml:space="preserve">Attachment </w:t>
      </w:r>
      <w:r>
        <w:rPr>
          <w:bCs/>
        </w:rPr>
        <w:t>Att</w:t>
      </w:r>
      <w:r>
        <w:rPr>
          <w:bCs/>
        </w:rPr>
        <w:t xml:space="preserve"> A – See Attachments </w:t>
      </w:r>
      <w:r w:rsidR="00E97F6A">
        <w:rPr>
          <w:bCs/>
        </w:rPr>
        <w:t>9</w:t>
      </w:r>
      <w:r>
        <w:rPr>
          <w:bCs/>
        </w:rPr>
        <w:t xml:space="preserve">A (formerly </w:t>
      </w:r>
      <w:r>
        <w:rPr>
          <w:bCs/>
        </w:rPr>
        <w:t>Att</w:t>
      </w:r>
      <w:r>
        <w:rPr>
          <w:bCs/>
        </w:rPr>
        <w:t xml:space="preserve"> A1) and </w:t>
      </w:r>
      <w:r w:rsidR="00E97F6A">
        <w:rPr>
          <w:bCs/>
        </w:rPr>
        <w:t>8</w:t>
      </w:r>
      <w:r>
        <w:rPr>
          <w:bCs/>
        </w:rPr>
        <w:t xml:space="preserve">A (formerly </w:t>
      </w:r>
      <w:r>
        <w:rPr>
          <w:bCs/>
        </w:rPr>
        <w:t>Att</w:t>
      </w:r>
      <w:r>
        <w:rPr>
          <w:bCs/>
        </w:rPr>
        <w:t xml:space="preserve"> A2)</w:t>
      </w:r>
    </w:p>
    <w:p w:rsidR="00026502" w:rsidP="00026502" w14:paraId="21CA0E97" w14:textId="77777777">
      <w:pPr>
        <w:spacing w:after="0"/>
        <w:rPr>
          <w:bCs/>
        </w:rPr>
      </w:pPr>
    </w:p>
    <w:p w:rsidR="00026502" w:rsidRPr="00CB36D3" w:rsidP="00026502" w14:paraId="5F9E7711" w14:textId="3A328421">
      <w:pPr>
        <w:spacing w:after="0"/>
        <w:rPr>
          <w:bCs/>
        </w:rPr>
      </w:pPr>
      <w:r>
        <w:rPr>
          <w:bCs/>
        </w:rPr>
        <w:t xml:space="preserve">Attachment </w:t>
      </w:r>
      <w:r>
        <w:rPr>
          <w:bCs/>
        </w:rPr>
        <w:t>Att</w:t>
      </w:r>
      <w:r>
        <w:rPr>
          <w:bCs/>
        </w:rPr>
        <w:t xml:space="preserve"> B – See Attachment </w:t>
      </w:r>
      <w:r w:rsidR="00AE0562">
        <w:rPr>
          <w:bCs/>
        </w:rPr>
        <w:t>8</w:t>
      </w:r>
      <w:r>
        <w:rPr>
          <w:bCs/>
        </w:rPr>
        <w:t>B</w:t>
      </w:r>
    </w:p>
    <w:p w:rsidR="00026502" w:rsidP="00A657AB" w14:paraId="577CAE20" w14:textId="77777777">
      <w:pPr>
        <w:spacing w:after="0"/>
        <w:rPr>
          <w:bCs/>
        </w:rPr>
      </w:pPr>
    </w:p>
    <w:p w:rsidR="005D223E" w:rsidP="00022D2E" w14:paraId="7F9208B7" w14:textId="6DEEC634">
      <w:pPr>
        <w:rPr>
          <w:bCs/>
        </w:rPr>
      </w:pPr>
      <w:r>
        <w:rPr>
          <w:bCs/>
        </w:rPr>
        <w:t xml:space="preserve">Attachment </w:t>
      </w:r>
      <w:r>
        <w:rPr>
          <w:bCs/>
        </w:rPr>
        <w:t>Att</w:t>
      </w:r>
      <w:r>
        <w:rPr>
          <w:bCs/>
        </w:rPr>
        <w:t xml:space="preserve"> C</w:t>
      </w:r>
      <w:r w:rsidR="00C717E3">
        <w:rPr>
          <w:bCs/>
        </w:rPr>
        <w:t xml:space="preserve"> - </w:t>
      </w:r>
      <w:r>
        <w:rPr>
          <w:bCs/>
        </w:rPr>
        <w:t>Other Support Format Page</w:t>
      </w:r>
    </w:p>
    <w:p w:rsidR="008524CB" w:rsidRPr="005D223E" w:rsidP="00022D2E" w14:paraId="45E399FF" w14:textId="78BFCDB3">
      <w:pPr>
        <w:rPr>
          <w:bCs/>
        </w:rPr>
      </w:pPr>
      <w:r>
        <w:rPr>
          <w:bCs/>
        </w:rPr>
        <w:t xml:space="preserve">Attachment </w:t>
      </w:r>
      <w:r>
        <w:rPr>
          <w:bCs/>
        </w:rPr>
        <w:t>Att</w:t>
      </w:r>
      <w:r>
        <w:rPr>
          <w:bCs/>
        </w:rPr>
        <w:t xml:space="preserve"> D</w:t>
      </w:r>
      <w:r w:rsidR="00C717E3">
        <w:rPr>
          <w:bCs/>
        </w:rPr>
        <w:t xml:space="preserve"> - </w:t>
      </w:r>
      <w:r>
        <w:rPr>
          <w:bCs/>
        </w:rPr>
        <w:t>Other Support and In-Kind Instructions</w:t>
      </w:r>
      <w:r>
        <w:rPr>
          <w:b/>
        </w:rPr>
        <w:br w:type="page"/>
      </w:r>
    </w:p>
    <w:p w:rsidR="00976490" w:rsidP="00BE76A7" w14:paraId="009550F8"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6A45F9" w:rsidP="00743A12" w14:paraId="605173DA" w14:textId="1B4C26D1">
      <w:pPr>
        <w:pStyle w:val="Heading2"/>
      </w:pPr>
      <w:bookmarkStart w:id="0" w:name="_Toc174029899"/>
      <w:r>
        <w:t xml:space="preserve">A. </w:t>
      </w:r>
      <w:r w:rsidR="00233DE4">
        <w:tab/>
      </w:r>
      <w:r w:rsidRPr="00BE76A7" w:rsidR="00BE76A7">
        <w:t>Justification</w:t>
      </w:r>
      <w:bookmarkEnd w:id="0"/>
    </w:p>
    <w:p w:rsidR="00182B60" w:rsidP="00182B60" w14:paraId="08370E58" w14:textId="4FBE633E">
      <w:pPr>
        <w:spacing w:line="480" w:lineRule="auto"/>
        <w:rPr>
          <w:highlight w:val="yellow"/>
        </w:rPr>
      </w:pPr>
      <w:r w:rsidRPr="00D4382C">
        <w:rPr>
          <w:highlight w:val="yellow"/>
        </w:rPr>
        <w:t>This collect</w:t>
      </w:r>
      <w:r w:rsidRPr="00451124">
        <w:rPr>
          <w:highlight w:val="yellow"/>
        </w:rPr>
        <w:t>ion</w:t>
      </w:r>
      <w:r w:rsidRPr="00451124">
        <w:rPr>
          <w:bCs/>
          <w:highlight w:val="yellow"/>
        </w:rPr>
        <w:t xml:space="preserve"> u</w:t>
      </w:r>
      <w:r w:rsidRPr="00F508A9">
        <w:rPr>
          <w:bCs/>
          <w:highlight w:val="yellow"/>
        </w:rPr>
        <w:t xml:space="preserve">nder 0925-0002 expiration date </w:t>
      </w:r>
      <w:r w:rsidR="00637D8D">
        <w:rPr>
          <w:bCs/>
          <w:highlight w:val="yellow"/>
        </w:rPr>
        <w:t>01/31/2026</w:t>
      </w:r>
      <w:r w:rsidRPr="00F508A9">
        <w:rPr>
          <w:highlight w:val="yellow"/>
        </w:rPr>
        <w:t xml:space="preserve"> </w:t>
      </w:r>
      <w:r w:rsidRPr="00D4382C">
        <w:rPr>
          <w:highlight w:val="yellow"/>
        </w:rPr>
        <w:t>is being revised to</w:t>
      </w:r>
      <w:r>
        <w:rPr>
          <w:highlight w:val="yellow"/>
        </w:rPr>
        <w:t xml:space="preserve"> update the non-competing progress report collections for the implementation of the final NIH Policy for Data Management and Sharing (DMS Policy) to promote the management and sharing of scientific data generated from NIH-funded or conducted research</w:t>
      </w:r>
      <w:r w:rsidR="005F4F54">
        <w:rPr>
          <w:highlight w:val="yellow"/>
        </w:rPr>
        <w:t xml:space="preserve"> and other updates to institutional training grant and fellowship applications</w:t>
      </w:r>
      <w:r>
        <w:rPr>
          <w:highlight w:val="yellow"/>
        </w:rPr>
        <w:t xml:space="preserve">. Starting in </w:t>
      </w:r>
      <w:r w:rsidR="005F4F54">
        <w:rPr>
          <w:highlight w:val="yellow"/>
        </w:rPr>
        <w:t>Fiscal Year</w:t>
      </w:r>
      <w:r>
        <w:rPr>
          <w:highlight w:val="yellow"/>
        </w:rPr>
        <w:t xml:space="preserve"> </w:t>
      </w:r>
      <w:r w:rsidR="005F4F54">
        <w:rPr>
          <w:highlight w:val="yellow"/>
        </w:rPr>
        <w:t>2025</w:t>
      </w:r>
      <w:r>
        <w:rPr>
          <w:highlight w:val="yellow"/>
        </w:rPr>
        <w:t xml:space="preserve">, NIH will require recipients to submit and address Data Management and Sharing (DMS) Plans within the Research Performance Progress Report (RPPR) in accordance with the DMS Policy. The progress report forms will be updated to align with this requirement. </w:t>
      </w:r>
      <w:r w:rsidR="00451124">
        <w:rPr>
          <w:highlight w:val="yellow"/>
        </w:rPr>
        <w:t xml:space="preserve">Effective January 2025, </w:t>
      </w:r>
      <w:r>
        <w:rPr>
          <w:color w:val="000000"/>
          <w:sz w:val="24"/>
          <w:szCs w:val="24"/>
          <w:highlight w:val="yellow"/>
        </w:rPr>
        <w:t>NIH will be updating institutional training grant applications</w:t>
      </w:r>
      <w:r w:rsidR="00451124">
        <w:rPr>
          <w:color w:val="000000"/>
          <w:sz w:val="24"/>
          <w:szCs w:val="24"/>
          <w:highlight w:val="yellow"/>
        </w:rPr>
        <w:t>;</w:t>
      </w:r>
      <w:r>
        <w:rPr>
          <w:color w:val="000000"/>
          <w:sz w:val="24"/>
          <w:szCs w:val="24"/>
          <w:highlight w:val="yellow"/>
        </w:rPr>
        <w:t xml:space="preserve"> </w:t>
      </w:r>
      <w:r w:rsidR="006801EF">
        <w:rPr>
          <w:color w:val="000000"/>
          <w:sz w:val="24"/>
          <w:szCs w:val="24"/>
          <w:highlight w:val="yellow"/>
        </w:rPr>
        <w:t>relevant to progress reports, t</w:t>
      </w:r>
      <w:r>
        <w:rPr>
          <w:color w:val="000000"/>
          <w:sz w:val="24"/>
          <w:szCs w:val="24"/>
          <w:highlight w:val="yellow"/>
        </w:rPr>
        <w:t xml:space="preserve">he Training Data Tables will be updated to reduce burden and promote consistent information collection, including limiting the scope of information collection to data only relevant to the training stage(s) of the proposed program in Table 1 and removing instructions in Table 8 that are reported within the RPPR. Effective for </w:t>
      </w:r>
      <w:r w:rsidR="00451124">
        <w:rPr>
          <w:color w:val="000000"/>
          <w:sz w:val="24"/>
          <w:szCs w:val="24"/>
          <w:highlight w:val="yellow"/>
        </w:rPr>
        <w:t xml:space="preserve">May </w:t>
      </w:r>
      <w:r>
        <w:rPr>
          <w:color w:val="000000"/>
          <w:sz w:val="24"/>
          <w:szCs w:val="24"/>
          <w:highlight w:val="yellow"/>
        </w:rPr>
        <w:t>2025, NIH will adopt the Common Forms for Biographical Sketch and Current and Pending (Other) Support as part of the directive from Guidance for Implementing National Security Presidential Memorandum (NSPM)-33. The Common Forms are part of a separate OMB collection, approved under 3145-0279</w:t>
      </w:r>
      <w:r w:rsidR="003B5312">
        <w:rPr>
          <w:color w:val="000000"/>
          <w:sz w:val="24"/>
          <w:szCs w:val="24"/>
          <w:highlight w:val="yellow"/>
        </w:rPr>
        <w:t xml:space="preserve"> (Expiration Date 10/31/2026)</w:t>
      </w:r>
      <w:r>
        <w:rPr>
          <w:color w:val="000000"/>
          <w:sz w:val="24"/>
          <w:szCs w:val="24"/>
          <w:highlight w:val="yellow"/>
        </w:rPr>
        <w:t xml:space="preserve">. Elements that will be collected within the Common Forms will be removed from NIH’s current NIH </w:t>
      </w:r>
      <w:r>
        <w:rPr>
          <w:color w:val="000000"/>
          <w:sz w:val="24"/>
          <w:szCs w:val="24"/>
          <w:highlight w:val="yellow"/>
        </w:rPr>
        <w:t>Biosketch</w:t>
      </w:r>
      <w:r>
        <w:rPr>
          <w:color w:val="000000"/>
          <w:sz w:val="24"/>
          <w:szCs w:val="24"/>
          <w:highlight w:val="yellow"/>
        </w:rPr>
        <w:t xml:space="preserve"> and Other Support formats. NIH will continue to collect information not captured on the Common Forms to adhere to the agency’s implementation of the NIH Peer Review Regulations at 42 CFR Part 52 as part of the NIH </w:t>
      </w:r>
      <w:r>
        <w:rPr>
          <w:color w:val="000000"/>
          <w:sz w:val="24"/>
          <w:szCs w:val="24"/>
          <w:highlight w:val="yellow"/>
        </w:rPr>
        <w:t>Biosketch</w:t>
      </w:r>
      <w:r>
        <w:rPr>
          <w:color w:val="000000"/>
          <w:sz w:val="24"/>
          <w:szCs w:val="24"/>
          <w:highlight w:val="yellow"/>
        </w:rPr>
        <w:t xml:space="preserve"> form, to be renamed the NIH Biographical Sketch Supplement, to reflect the supplemental information requested. The application and progress report forms and associated instructions will be updated to align with these new requirements</w:t>
      </w:r>
      <w:r w:rsidRPr="00455CC9">
        <w:rPr>
          <w:color w:val="000000"/>
          <w:sz w:val="24"/>
          <w:szCs w:val="24"/>
          <w:highlight w:val="yellow"/>
        </w:rPr>
        <w:t>.</w:t>
      </w:r>
    </w:p>
    <w:p w:rsidR="00976490" w:rsidP="00182B60" w14:paraId="4FF2901B" w14:textId="432DFA6B">
      <w:pPr>
        <w:spacing w:line="480" w:lineRule="auto"/>
        <w:rPr>
          <w:b/>
        </w:rPr>
      </w:pPr>
    </w:p>
    <w:p w:rsidR="000F3043" w:rsidRPr="00E35DD1" w:rsidP="00743A12" w14:paraId="278F4695" w14:textId="77777777">
      <w:pPr>
        <w:pStyle w:val="Heading2"/>
      </w:pPr>
      <w:bookmarkStart w:id="1" w:name="_Toc174029900"/>
      <w:r w:rsidRPr="00E35DD1">
        <w:t>A.1</w:t>
      </w:r>
      <w:r w:rsidRPr="00E35DD1">
        <w:tab/>
        <w:t>Circumstances Making the Collection of Information Necessary</w:t>
      </w:r>
      <w:bookmarkEnd w:id="1"/>
    </w:p>
    <w:p w:rsidR="006E368D" w:rsidRPr="00A87074" w:rsidP="006E368D" w14:paraId="336775E3" w14:textId="77777777">
      <w:pPr>
        <w:spacing w:line="480" w:lineRule="auto"/>
        <w:rPr>
          <w:color w:val="000000"/>
        </w:rPr>
      </w:pPr>
      <w:bookmarkStart w:id="2" w:name="_Toc443881743"/>
      <w:bookmarkStart w:id="3" w:name="_Toc451592232"/>
      <w:bookmarkStart w:id="4" w:name="_Toc5610273"/>
      <w:bookmarkStart w:id="5" w:name="_Toc99178779"/>
      <w:r w:rsidRPr="009F25F9">
        <w:rPr>
          <w:bCs/>
        </w:rPr>
        <w:t xml:space="preserve">Several </w:t>
      </w:r>
      <w:r>
        <w:rPr>
          <w:bCs/>
        </w:rPr>
        <w:t xml:space="preserve">PHS </w:t>
      </w:r>
      <w:r w:rsidRPr="009F25F9">
        <w:rPr>
          <w:bCs/>
        </w:rPr>
        <w:t>Agencies</w:t>
      </w:r>
      <w:r>
        <w:rPr>
          <w:bCs/>
        </w:rPr>
        <w:t xml:space="preserve"> in addition to the NIH</w:t>
      </w:r>
      <w:r w:rsidRPr="009F25F9">
        <w:rPr>
          <w:bCs/>
        </w:rPr>
        <w:t xml:space="preserve"> </w:t>
      </w:r>
      <w:r>
        <w:rPr>
          <w:bCs/>
        </w:rPr>
        <w:t xml:space="preserve">utilize the </w:t>
      </w:r>
      <w:r w:rsidRPr="00D8798B">
        <w:rPr>
          <w:bCs/>
        </w:rPr>
        <w:t xml:space="preserve">Research Performance Progress Report </w:t>
      </w:r>
      <w:r>
        <w:rPr>
          <w:bCs/>
        </w:rPr>
        <w:t xml:space="preserve">(RPPR) and other forms under 0925-0002, including the </w:t>
      </w:r>
      <w:r w:rsidRPr="009F25F9">
        <w:rPr>
          <w:bCs/>
        </w:rPr>
        <w:t>Agency for Healthcare Research and Quality</w:t>
      </w:r>
      <w:r>
        <w:rPr>
          <w:bCs/>
        </w:rPr>
        <w:t xml:space="preserve"> (AHRQ)</w:t>
      </w:r>
      <w:r w:rsidRPr="009F25F9">
        <w:rPr>
          <w:bCs/>
        </w:rPr>
        <w:t>, Centers for Disease Control and Prevention</w:t>
      </w:r>
      <w:r>
        <w:rPr>
          <w:bCs/>
        </w:rPr>
        <w:t xml:space="preserve"> (CDC)</w:t>
      </w:r>
      <w:r w:rsidRPr="009F25F9">
        <w:rPr>
          <w:bCs/>
        </w:rPr>
        <w:t xml:space="preserve">, </w:t>
      </w:r>
      <w:r>
        <w:rPr>
          <w:bCs/>
        </w:rPr>
        <w:t xml:space="preserve">and the </w:t>
      </w:r>
      <w:r w:rsidRPr="009F25F9">
        <w:rPr>
          <w:bCs/>
        </w:rPr>
        <w:t>Food and Drug Administration</w:t>
      </w:r>
      <w:r>
        <w:rPr>
          <w:bCs/>
        </w:rPr>
        <w:t xml:space="preserve"> (FDA). </w:t>
      </w:r>
      <w:r w:rsidRPr="00DC39EB">
        <w:rPr>
          <w:bCs/>
        </w:rPr>
        <w:t xml:space="preserve">Ruth L. </w:t>
      </w:r>
      <w:r w:rsidRPr="00DC39EB">
        <w:rPr>
          <w:bCs/>
        </w:rPr>
        <w:t>Kirschstein</w:t>
      </w:r>
      <w:r w:rsidRPr="00DC39EB">
        <w:rPr>
          <w:bCs/>
        </w:rPr>
        <w:t xml:space="preserve"> National Research Service Awards (NRSA)</w:t>
      </w:r>
      <w:r>
        <w:rPr>
          <w:bCs/>
        </w:rPr>
        <w:t xml:space="preserve"> specific forms (PHS 416-7, 2271 and 6031-1) are utilized only by agencies with NSRA authority (NIH, AHRQ, and the Health Research and Services Administration (HRSA)). The Indian Health Service (IHS) utilizes the PHS 2590 for one program. Participating agencies in the </w:t>
      </w:r>
      <w:r w:rsidRPr="00816C92">
        <w:rPr>
          <w:bCs/>
        </w:rPr>
        <w:t>Small Business Innovation Research and</w:t>
      </w:r>
      <w:r>
        <w:rPr>
          <w:b/>
          <w:bCs/>
        </w:rPr>
        <w:t xml:space="preserve"> </w:t>
      </w:r>
      <w:r w:rsidRPr="00816C92">
        <w:rPr>
          <w:bCs/>
        </w:rPr>
        <w:t>Small Business Technology Transfe</w:t>
      </w:r>
      <w:r>
        <w:rPr>
          <w:bCs/>
        </w:rPr>
        <w:t xml:space="preserve">r (SBIR/STTR) grant programs include the </w:t>
      </w:r>
      <w:r w:rsidRPr="00816C92">
        <w:rPr>
          <w:bCs/>
        </w:rPr>
        <w:t>Administration for Children and Families (ACF)</w:t>
      </w:r>
      <w:r>
        <w:rPr>
          <w:bCs/>
        </w:rPr>
        <w:t xml:space="preserve">, CDC, and FDA. The </w:t>
      </w:r>
      <w:r w:rsidRPr="00816C92">
        <w:rPr>
          <w:bCs/>
        </w:rPr>
        <w:t>Administration for Community Living</w:t>
      </w:r>
      <w:r>
        <w:rPr>
          <w:bCs/>
        </w:rPr>
        <w:t xml:space="preserve"> (ACL) may participate </w:t>
      </w:r>
      <w:r>
        <w:rPr>
          <w:bCs/>
        </w:rPr>
        <w:t>in the near future</w:t>
      </w:r>
      <w:r>
        <w:rPr>
          <w:bCs/>
        </w:rPr>
        <w:t xml:space="preserve"> as well. </w:t>
      </w:r>
      <w:bookmarkStart w:id="6" w:name="_Hlk79403781"/>
    </w:p>
    <w:p w:rsidR="006E368D" w:rsidP="006E368D" w14:paraId="232257AA" w14:textId="77777777">
      <w:pPr>
        <w:spacing w:line="480" w:lineRule="auto"/>
        <w:ind w:right="-684"/>
        <w:rPr>
          <w:bCs/>
        </w:rPr>
      </w:pPr>
    </w:p>
    <w:bookmarkEnd w:id="6"/>
    <w:p w:rsidR="006E368D" w:rsidP="006E368D" w14:paraId="7789D232" w14:textId="77777777">
      <w:pPr>
        <w:spacing w:line="480" w:lineRule="auto"/>
        <w:ind w:right="-684"/>
        <w:rPr>
          <w:bCs/>
        </w:rPr>
      </w:pPr>
      <w:r>
        <w:rPr>
          <w:bCs/>
        </w:rPr>
        <w:t xml:space="preserve"> NIH and other PHS agencies are authorized to issue discretionary awards under </w:t>
      </w:r>
      <w:r w:rsidRPr="009F25F9">
        <w:rPr>
          <w:bCs/>
        </w:rPr>
        <w:t xml:space="preserve">42 USC 241; 42 USC 216; 42 USC 285: </w:t>
      </w:r>
      <w:r>
        <w:rPr>
          <w:bCs/>
        </w:rPr>
        <w:t xml:space="preserve">42 USC 285(j); </w:t>
      </w:r>
      <w:r w:rsidRPr="009F25F9">
        <w:rPr>
          <w:bCs/>
        </w:rPr>
        <w:t>42 USC 286: 42 USC 300</w:t>
      </w:r>
      <w:r>
        <w:rPr>
          <w:bCs/>
        </w:rPr>
        <w:t xml:space="preserve">; </w:t>
      </w:r>
      <w:r w:rsidRPr="009F25F9">
        <w:rPr>
          <w:bCs/>
        </w:rPr>
        <w:t>42 USC 288</w:t>
      </w:r>
      <w:r>
        <w:rPr>
          <w:bCs/>
        </w:rPr>
        <w:t xml:space="preserve">; and 31 USC 6305, and to collect information as authorized </w:t>
      </w:r>
      <w:r w:rsidRPr="009F25F9">
        <w:rPr>
          <w:bCs/>
        </w:rPr>
        <w:t>in accordance with 42 CFR Part 52</w:t>
      </w:r>
      <w:r>
        <w:rPr>
          <w:bCs/>
        </w:rPr>
        <w:t>, 4</w:t>
      </w:r>
      <w:r w:rsidRPr="009F25F9">
        <w:rPr>
          <w:bCs/>
        </w:rPr>
        <w:t>2 CFR 66.204</w:t>
      </w:r>
      <w:r>
        <w:rPr>
          <w:bCs/>
        </w:rPr>
        <w:t xml:space="preserve">, and 45 CFR 74. NRSA was established under statutory authorities contained in the PHS Act as amended at 42 USC 288. Information collection requirements specified in the regulations governing the NRSA programs include 42 CFR 66.104(b), 66.105(b) and 66.110. </w:t>
      </w:r>
      <w:r w:rsidRPr="00732841">
        <w:rPr>
          <w:bCs/>
        </w:rPr>
        <w:t xml:space="preserve"> </w:t>
      </w:r>
      <w:r>
        <w:t xml:space="preserve">Awards are </w:t>
      </w:r>
      <w:r w:rsidRPr="00A74C52">
        <w:t>issued under various NIH programs</w:t>
      </w:r>
      <w:r>
        <w:t>,</w:t>
      </w:r>
      <w:r w:rsidRPr="00A74C52">
        <w:t xml:space="preserve"> which are </w:t>
      </w:r>
      <w:r w:rsidRPr="00801624">
        <w:rPr>
          <w:bCs/>
        </w:rPr>
        <w:t xml:space="preserve">identified in the </w:t>
      </w:r>
      <w:r w:rsidRPr="009F25F9">
        <w:rPr>
          <w:bCs/>
        </w:rPr>
        <w:t>Catalogue of Federal Domestic Assistance</w:t>
      </w:r>
      <w:r>
        <w:rPr>
          <w:bCs/>
        </w:rPr>
        <w:t xml:space="preserve"> (Attachment 2)</w:t>
      </w:r>
      <w:r w:rsidRPr="009F25F9">
        <w:rPr>
          <w:bCs/>
        </w:rPr>
        <w:t>.</w:t>
      </w:r>
      <w:r>
        <w:rPr>
          <w:bCs/>
        </w:rPr>
        <w:t xml:space="preserve">  </w:t>
      </w:r>
    </w:p>
    <w:p w:rsidR="006E368D" w:rsidP="006E368D" w14:paraId="7D51C644" w14:textId="77777777">
      <w:pPr>
        <w:ind w:right="-684"/>
        <w:rPr>
          <w:bCs/>
        </w:rPr>
      </w:pPr>
    </w:p>
    <w:p w:rsidR="006E368D" w:rsidP="006E368D" w14:paraId="45301384" w14:textId="77777777">
      <w:pPr>
        <w:spacing w:line="480" w:lineRule="auto"/>
        <w:ind w:right="-684"/>
        <w:rPr>
          <w:bCs/>
        </w:rPr>
      </w:pPr>
      <w:r w:rsidRPr="00601C17">
        <w:rPr>
          <w:bCs/>
          <w:u w:val="single"/>
        </w:rPr>
        <w:t>RPPR, PHS 2590 and 416-9</w:t>
      </w:r>
      <w:r>
        <w:rPr>
          <w:bCs/>
        </w:rPr>
        <w:t xml:space="preserve">: PHS agencies utilize a project period system to fund awards, i.e., projects that will continue for more than one year are programmatically approved for support in their entirety but generally funded in annual budget period increments. To receive funding of each subsequent budget period grantees are required to submit an interim progress report which is reviewed by agency program and administrative officials </w:t>
      </w:r>
      <w:r w:rsidRPr="009F25F9">
        <w:rPr>
          <w:bCs/>
        </w:rPr>
        <w:t xml:space="preserve">within the framework of the approved research project, the recommended level of support, progress reported, and the </w:t>
      </w:r>
      <w:r w:rsidRPr="009F25F9">
        <w:rPr>
          <w:bCs/>
        </w:rPr>
        <w:t>availability of funds.</w:t>
      </w:r>
      <w:r>
        <w:rPr>
          <w:bCs/>
        </w:rPr>
        <w:t xml:space="preserve"> These reports are submitted via the RPPR module (see attachment 5 for RPPR screen shots and Attachment 6 for RPPR instructions).  </w:t>
      </w:r>
    </w:p>
    <w:p w:rsidR="006E368D" w:rsidP="006E368D" w14:paraId="60698FAF" w14:textId="77777777">
      <w:pPr>
        <w:ind w:right="-684"/>
        <w:rPr>
          <w:bCs/>
        </w:rPr>
      </w:pPr>
    </w:p>
    <w:p w:rsidR="006E368D" w:rsidP="006E368D" w14:paraId="4CBA1985" w14:textId="77777777">
      <w:pPr>
        <w:spacing w:line="480" w:lineRule="auto"/>
        <w:ind w:right="-684"/>
        <w:rPr>
          <w:bCs/>
        </w:rPr>
      </w:pPr>
      <w:r>
        <w:rPr>
          <w:bCs/>
        </w:rPr>
        <w:t xml:space="preserve">The PHS 2590 Non-Competing Continuation Progress Report (see Attachment 3 for forms and Attachment 4 for instructions) is </w:t>
      </w:r>
      <w:r w:rsidRPr="007A19CA">
        <w:rPr>
          <w:bCs/>
        </w:rPr>
        <w:t xml:space="preserve">restricted to progress reports for administrative extensions (Type </w:t>
      </w:r>
      <w:r w:rsidRPr="007A19CA">
        <w:rPr>
          <w:bCs/>
        </w:rPr>
        <w:t>4s;</w:t>
      </w:r>
      <w:r w:rsidRPr="007A19CA">
        <w:rPr>
          <w:bCs/>
        </w:rPr>
        <w:t xml:space="preserve"> e.g., SBIR/STTR F</w:t>
      </w:r>
      <w:r>
        <w:rPr>
          <w:bCs/>
        </w:rPr>
        <w:t>ast-Track Phase II application), and also used for multi-year funded awards within AHRQ.</w:t>
      </w:r>
    </w:p>
    <w:p w:rsidR="006E368D" w:rsidP="006E368D" w14:paraId="1A71E134" w14:textId="77777777">
      <w:pPr>
        <w:ind w:right="-684"/>
        <w:rPr>
          <w:bCs/>
        </w:rPr>
      </w:pPr>
    </w:p>
    <w:p w:rsidR="006E368D" w:rsidRPr="008B6541" w:rsidP="006E368D" w14:paraId="1DD95239" w14:textId="0CA906E9">
      <w:pPr>
        <w:pStyle w:val="BodyText"/>
        <w:ind w:right="-684"/>
        <w:rPr>
          <w:rFonts w:asciiTheme="minorHAnsi" w:hAnsiTheme="minorHAnsi" w:cstheme="minorHAnsi"/>
          <w:bCs/>
          <w:sz w:val="22"/>
          <w:szCs w:val="22"/>
        </w:rPr>
      </w:pPr>
      <w:r w:rsidRPr="008B6541">
        <w:rPr>
          <w:rFonts w:asciiTheme="minorHAnsi" w:hAnsiTheme="minorHAnsi" w:cstheme="minorHAnsi"/>
          <w:bCs/>
          <w:sz w:val="22"/>
          <w:szCs w:val="22"/>
          <w:u w:val="single"/>
        </w:rPr>
        <w:t>Final RPPR</w:t>
      </w:r>
      <w:r w:rsidRPr="008B6541">
        <w:rPr>
          <w:rFonts w:asciiTheme="minorHAnsi" w:hAnsiTheme="minorHAnsi" w:cstheme="minorHAnsi"/>
          <w:bCs/>
          <w:sz w:val="22"/>
          <w:szCs w:val="22"/>
        </w:rPr>
        <w:t xml:space="preserve">: </w:t>
      </w:r>
      <w:r w:rsidRPr="008B6541">
        <w:rPr>
          <w:rFonts w:asciiTheme="minorHAnsi" w:hAnsiTheme="minorHAnsi" w:cstheme="minorHAnsi"/>
          <w:bCs/>
          <w:sz w:val="22"/>
          <w:szCs w:val="22"/>
        </w:rPr>
        <w:t>In order to</w:t>
      </w:r>
      <w:r w:rsidRPr="008B6541">
        <w:rPr>
          <w:rFonts w:asciiTheme="minorHAnsi" w:hAnsiTheme="minorHAnsi" w:cstheme="minorHAnsi"/>
          <w:bCs/>
          <w:sz w:val="22"/>
          <w:szCs w:val="22"/>
        </w:rPr>
        <w:t xml:space="preserve"> continue the transition to a standard reporting format for all </w:t>
      </w:r>
      <w:r w:rsidRPr="008B6541" w:rsidR="008F5058">
        <w:rPr>
          <w:rFonts w:asciiTheme="minorHAnsi" w:hAnsiTheme="minorHAnsi" w:cstheme="minorHAnsi"/>
          <w:bCs/>
          <w:sz w:val="22"/>
          <w:szCs w:val="22"/>
        </w:rPr>
        <w:t>federally funded</w:t>
      </w:r>
      <w:r w:rsidRPr="008B6541">
        <w:rPr>
          <w:rFonts w:asciiTheme="minorHAnsi" w:hAnsiTheme="minorHAnsi" w:cstheme="minorHAnsi"/>
          <w:bCs/>
          <w:sz w:val="22"/>
          <w:szCs w:val="22"/>
        </w:rPr>
        <w:t xml:space="preserve"> research projects and research-related activities, PHS agencies will utilize the Final RPPR for closeout. Generally, the Final RPPR format will be the same as the current interim/annual RPPR, making it easier for grantees to navigate and complete (see attachment 21 for Final RPPR screen shots). </w:t>
      </w:r>
      <w:r w:rsidRPr="008B6541">
        <w:rPr>
          <w:rFonts w:asciiTheme="minorHAnsi" w:hAnsiTheme="minorHAnsi" w:cstheme="minorHAnsi"/>
          <w:sz w:val="22"/>
          <w:szCs w:val="22"/>
        </w:rPr>
        <w:t xml:space="preserve">SBIR/STTR Phase II awards, </w:t>
      </w:r>
      <w:r w:rsidRPr="008B6541">
        <w:rPr>
          <w:rFonts w:asciiTheme="minorHAnsi" w:hAnsiTheme="minorHAnsi" w:cstheme="minorHAnsi"/>
          <w:bCs/>
          <w:sz w:val="22"/>
          <w:szCs w:val="22"/>
        </w:rPr>
        <w:t xml:space="preserve">the Final RPPR replaced the Final Progress Report. NIH no longer accepts the Final Progress Report. The RPPR instructions have been updated to include Final RPPR guidance. </w:t>
      </w:r>
    </w:p>
    <w:p w:rsidR="006E368D" w:rsidP="006E368D" w14:paraId="35340F60" w14:textId="77777777">
      <w:pPr>
        <w:pStyle w:val="BodyText"/>
        <w:ind w:right="-684"/>
        <w:rPr>
          <w:rFonts w:asciiTheme="minorHAnsi" w:hAnsiTheme="minorHAnsi" w:cstheme="minorHAnsi"/>
          <w:bCs/>
          <w:sz w:val="22"/>
          <w:szCs w:val="22"/>
        </w:rPr>
      </w:pPr>
      <w:r w:rsidRPr="008B6541">
        <w:rPr>
          <w:rFonts w:asciiTheme="minorHAnsi" w:hAnsiTheme="minorHAnsi" w:cstheme="minorHAnsi"/>
          <w:bCs/>
          <w:sz w:val="22"/>
          <w:szCs w:val="22"/>
        </w:rPr>
        <w:t>Other post-award information collections are necessary as follows:</w:t>
      </w:r>
    </w:p>
    <w:p w:rsidR="00376AC9" w:rsidP="006E368D" w14:paraId="1CA071BD" w14:textId="77777777">
      <w:pPr>
        <w:pStyle w:val="BodyText"/>
        <w:ind w:right="-684"/>
        <w:rPr>
          <w:rFonts w:asciiTheme="minorHAnsi" w:hAnsiTheme="minorHAnsi" w:cstheme="minorHAnsi"/>
          <w:bCs/>
          <w:sz w:val="22"/>
          <w:szCs w:val="22"/>
        </w:rPr>
      </w:pPr>
    </w:p>
    <w:p w:rsidR="006E368D" w:rsidRPr="00601C17" w:rsidP="006E368D" w14:paraId="293EB855" w14:textId="77777777">
      <w:pPr>
        <w:pStyle w:val="BodyText"/>
        <w:spacing w:line="240" w:lineRule="auto"/>
        <w:ind w:right="-684"/>
        <w:rPr>
          <w:bCs/>
          <w:u w:val="single"/>
        </w:rPr>
      </w:pPr>
    </w:p>
    <w:p w:rsidR="006E368D" w:rsidRPr="008B6541" w:rsidP="006E368D" w14:paraId="66326247" w14:textId="77777777">
      <w:pPr>
        <w:spacing w:line="480" w:lineRule="auto"/>
        <w:ind w:right="-684"/>
        <w:rPr>
          <w:rFonts w:cstheme="minorHAnsi"/>
        </w:rPr>
      </w:pPr>
      <w:r w:rsidRPr="008B6541">
        <w:rPr>
          <w:rFonts w:cstheme="minorHAnsi"/>
          <w:bCs/>
          <w:u w:val="single"/>
        </w:rPr>
        <w:t>PHS 2271</w:t>
      </w:r>
      <w:r w:rsidRPr="008B6541">
        <w:rPr>
          <w:rFonts w:cstheme="minorHAnsi"/>
          <w:bCs/>
        </w:rPr>
        <w:t xml:space="preserve">: </w:t>
      </w:r>
      <w:r w:rsidRPr="008B6541">
        <w:rPr>
          <w:rFonts w:cstheme="minorHAnsi"/>
        </w:rPr>
        <w:t>Statement of Appointment documents grantee appointments of individuals under institutional training awards, including NRSA and other specialized research training programs. Program policy requires that the 2271 be submitted before an individual receives funds under a training grant, and PHS uses the form to activate appointments. The 2271 is critical for NRSA program postdoctoral trainees who have a payback obligation in service or dollars, based on the length and amount of support, required by the National Research Act of 1974 (42 USC 288). The 2271 defines the terms of the trainee's obligation and is essential in documenting an individual’s obligation to the U.S. Government. The permanent mailing address requested on the form is especially important to the agency's ability to contact the trainee after the award period (see Attachment 12 for instructions and form).</w:t>
      </w:r>
    </w:p>
    <w:p w:rsidR="006E368D" w:rsidRPr="008B6541" w:rsidP="006E368D" w14:paraId="35F12FFC" w14:textId="77777777">
      <w:pPr>
        <w:ind w:right="-684"/>
        <w:rPr>
          <w:rFonts w:cstheme="minorHAnsi"/>
        </w:rPr>
      </w:pPr>
    </w:p>
    <w:p w:rsidR="006E368D" w:rsidRPr="008B6541" w:rsidP="006E368D" w14:paraId="00CAA97F" w14:textId="77777777">
      <w:pPr>
        <w:pStyle w:val="BodyText"/>
        <w:ind w:right="-684"/>
        <w:rPr>
          <w:rFonts w:asciiTheme="minorHAnsi" w:hAnsiTheme="minorHAnsi" w:cstheme="minorHAnsi"/>
          <w:bCs/>
          <w:sz w:val="22"/>
          <w:szCs w:val="22"/>
        </w:rPr>
      </w:pPr>
      <w:r w:rsidRPr="008B6541">
        <w:rPr>
          <w:rFonts w:asciiTheme="minorHAnsi" w:hAnsiTheme="minorHAnsi" w:cstheme="minorHAnsi"/>
          <w:bCs/>
          <w:sz w:val="22"/>
          <w:szCs w:val="22"/>
          <w:u w:val="single"/>
        </w:rPr>
        <w:t>PHS 416-7</w:t>
      </w:r>
      <w:r w:rsidRPr="008B6541">
        <w:rPr>
          <w:rFonts w:asciiTheme="minorHAnsi" w:hAnsiTheme="minorHAnsi" w:cstheme="minorHAnsi"/>
          <w:bCs/>
          <w:sz w:val="22"/>
          <w:szCs w:val="22"/>
        </w:rPr>
        <w:t>: Termination Notice is the official record of training under NRSA and other institutional research training programs, individual NRSA and other individual fellowship programs, and, where applicable, establishes an individual’s payback obligation (see Attachment 13 for instructions and form).</w:t>
      </w:r>
    </w:p>
    <w:p w:rsidR="006E368D" w:rsidRPr="008B6541" w:rsidP="006E368D" w14:paraId="79D52388" w14:textId="77777777">
      <w:pPr>
        <w:pStyle w:val="BodyText"/>
        <w:spacing w:line="240" w:lineRule="auto"/>
        <w:ind w:right="-684"/>
        <w:rPr>
          <w:rFonts w:asciiTheme="minorHAnsi" w:hAnsiTheme="minorHAnsi" w:cstheme="minorHAnsi"/>
          <w:bCs/>
          <w:sz w:val="22"/>
          <w:szCs w:val="22"/>
          <w:u w:val="single"/>
        </w:rPr>
      </w:pPr>
    </w:p>
    <w:p w:rsidR="006E368D" w:rsidRPr="008B6541" w:rsidP="006E368D" w14:paraId="00C113AB" w14:textId="77777777">
      <w:pPr>
        <w:pStyle w:val="BodyText"/>
        <w:ind w:right="-684"/>
        <w:rPr>
          <w:rFonts w:asciiTheme="minorHAnsi" w:hAnsiTheme="minorHAnsi" w:cstheme="minorHAnsi"/>
          <w:sz w:val="22"/>
          <w:szCs w:val="22"/>
        </w:rPr>
      </w:pPr>
      <w:r w:rsidRPr="008B6541">
        <w:rPr>
          <w:rFonts w:asciiTheme="minorHAnsi" w:hAnsiTheme="minorHAnsi" w:cstheme="minorHAnsi"/>
          <w:bCs/>
          <w:sz w:val="22"/>
          <w:szCs w:val="22"/>
          <w:u w:val="single"/>
        </w:rPr>
        <w:t>PHS 6031-1</w:t>
      </w:r>
      <w:r w:rsidRPr="008B6541">
        <w:rPr>
          <w:rFonts w:asciiTheme="minorHAnsi" w:hAnsiTheme="minorHAnsi" w:cstheme="minorHAnsi"/>
          <w:bCs/>
          <w:sz w:val="22"/>
          <w:szCs w:val="22"/>
        </w:rPr>
        <w:t>: NRSA Annual Payback Activities Certification documents payback service and acceptance by PHS (see Attachment 14 for instructions and form). NRSA specific forms (PHS 416-7, 2271, and 6031-1) are utilized only by agencies with NRSA authority (NIH, AHRQ, and the Heath Research and Services Administration (HRSA)).</w:t>
      </w:r>
    </w:p>
    <w:p w:rsidR="006E368D" w:rsidRPr="008B6541" w:rsidP="006E368D" w14:paraId="0A1C3E7F" w14:textId="77777777">
      <w:pPr>
        <w:rPr>
          <w:rFonts w:cstheme="minorHAnsi"/>
        </w:rPr>
      </w:pPr>
    </w:p>
    <w:p w:rsidR="006E368D" w:rsidRPr="008B6541" w:rsidP="006E368D" w14:paraId="78964A87" w14:textId="77777777">
      <w:pPr>
        <w:pStyle w:val="BodyText"/>
        <w:ind w:right="-684"/>
        <w:rPr>
          <w:rFonts w:asciiTheme="minorHAnsi" w:hAnsiTheme="minorHAnsi" w:cstheme="minorHAnsi"/>
          <w:bCs/>
          <w:sz w:val="22"/>
          <w:szCs w:val="22"/>
        </w:rPr>
      </w:pPr>
      <w:r w:rsidRPr="008B6541">
        <w:rPr>
          <w:rFonts w:asciiTheme="minorHAnsi" w:hAnsiTheme="minorHAnsi" w:cstheme="minorHAnsi"/>
          <w:bCs/>
          <w:sz w:val="22"/>
          <w:szCs w:val="22"/>
          <w:u w:val="single"/>
        </w:rPr>
        <w:t>HHS 568</w:t>
      </w:r>
      <w:r w:rsidRPr="008B6541">
        <w:rPr>
          <w:rFonts w:asciiTheme="minorHAnsi" w:hAnsiTheme="minorHAnsi" w:cstheme="minorHAnsi"/>
          <w:bCs/>
          <w:sz w:val="22"/>
          <w:szCs w:val="22"/>
        </w:rPr>
        <w:t>: Final Invention and Certification Statement documents compliance with HHS invention/patent reporting requirements (see Attachment 15 for instructions and form)</w:t>
      </w:r>
    </w:p>
    <w:p w:rsidR="006E368D" w:rsidRPr="008B6541" w:rsidP="006E368D" w14:paraId="38B611D2" w14:textId="77777777">
      <w:pPr>
        <w:pStyle w:val="BodyText"/>
        <w:spacing w:line="240" w:lineRule="auto"/>
        <w:ind w:right="-684"/>
        <w:rPr>
          <w:rFonts w:asciiTheme="minorHAnsi" w:hAnsiTheme="minorHAnsi" w:cstheme="minorHAnsi"/>
          <w:sz w:val="22"/>
          <w:szCs w:val="22"/>
        </w:rPr>
      </w:pPr>
    </w:p>
    <w:p w:rsidR="006E368D" w:rsidRPr="008B6541" w:rsidP="006E368D" w14:paraId="3BD66F65" w14:textId="77777777">
      <w:pPr>
        <w:pStyle w:val="BodyText"/>
        <w:ind w:right="-684"/>
        <w:rPr>
          <w:rFonts w:asciiTheme="minorHAnsi" w:hAnsiTheme="minorHAnsi" w:cstheme="minorHAnsi"/>
          <w:sz w:val="22"/>
          <w:szCs w:val="22"/>
        </w:rPr>
      </w:pPr>
      <w:r w:rsidRPr="008B6541">
        <w:rPr>
          <w:rFonts w:asciiTheme="minorHAnsi" w:hAnsiTheme="minorHAnsi" w:cstheme="minorHAnsi"/>
          <w:sz w:val="22"/>
          <w:szCs w:val="22"/>
          <w:u w:val="single"/>
        </w:rPr>
        <w:t>PHS 3734</w:t>
      </w:r>
      <w:r w:rsidRPr="008B6541">
        <w:rPr>
          <w:rFonts w:asciiTheme="minorHAnsi" w:hAnsiTheme="minorHAnsi" w:cstheme="minorHAnsi"/>
          <w:sz w:val="22"/>
          <w:szCs w:val="22"/>
        </w:rPr>
        <w:t xml:space="preserve">: Statement Relinquishing Interests and Rights in a PHS Research Grant, </w:t>
      </w:r>
      <w:r w:rsidRPr="008B6541">
        <w:rPr>
          <w:rFonts w:asciiTheme="minorHAnsi" w:hAnsiTheme="minorHAnsi" w:cstheme="minorHAnsi"/>
          <w:sz w:val="22"/>
          <w:szCs w:val="22"/>
        </w:rPr>
        <w:t>most commonly used</w:t>
      </w:r>
      <w:r w:rsidRPr="008B6541">
        <w:rPr>
          <w:rFonts w:asciiTheme="minorHAnsi" w:hAnsiTheme="minorHAnsi" w:cstheme="minorHAnsi"/>
          <w:sz w:val="22"/>
          <w:szCs w:val="22"/>
        </w:rPr>
        <w:t xml:space="preserve"> when an award is transferred from one grantee institution to another, serves as the official record of grantee relinquishment of a PHS award (see Attachment 18 for instructions and form.)</w:t>
      </w:r>
    </w:p>
    <w:p w:rsidR="006E368D" w:rsidRPr="008B6541" w:rsidP="006E368D" w14:paraId="2C7C41D2" w14:textId="77777777">
      <w:pPr>
        <w:pStyle w:val="BodyText"/>
        <w:spacing w:line="240" w:lineRule="auto"/>
        <w:ind w:right="-684"/>
        <w:rPr>
          <w:rFonts w:asciiTheme="minorHAnsi" w:hAnsiTheme="minorHAnsi" w:cstheme="minorHAnsi"/>
          <w:sz w:val="22"/>
          <w:szCs w:val="22"/>
        </w:rPr>
      </w:pPr>
    </w:p>
    <w:p w:rsidR="006E368D" w:rsidRPr="008B6541" w:rsidP="006E368D" w14:paraId="35F5DDBF" w14:textId="6360F7FD">
      <w:pPr>
        <w:pStyle w:val="BodyText"/>
        <w:ind w:right="-684"/>
        <w:rPr>
          <w:rFonts w:asciiTheme="minorHAnsi" w:hAnsiTheme="minorHAnsi" w:cstheme="minorHAnsi"/>
          <w:sz w:val="22"/>
          <w:szCs w:val="22"/>
          <w:u w:val="single"/>
        </w:rPr>
      </w:pPr>
      <w:r w:rsidRPr="008B6541">
        <w:rPr>
          <w:rFonts w:asciiTheme="minorHAnsi" w:hAnsiTheme="minorHAnsi" w:cstheme="minorHAnsi"/>
          <w:sz w:val="22"/>
          <w:szCs w:val="22"/>
          <w:u w:val="single"/>
        </w:rPr>
        <w:t>SBIR/STTR Life Cycle Certifications</w:t>
      </w:r>
      <w:r w:rsidRPr="008B6541">
        <w:rPr>
          <w:rFonts w:asciiTheme="minorHAnsi" w:hAnsiTheme="minorHAnsi" w:cstheme="minorHAnsi"/>
          <w:sz w:val="22"/>
          <w:szCs w:val="22"/>
        </w:rPr>
        <w:t xml:space="preserve">: For new or continuing SBIR and STTR awards, a life cycle certification is required to be completed once certain milestones are reached during the project period. NIH will continue to require the submission of all SBIR/STTR Life Cycle Certification forms in each Interim and Final Research Performance Progress Report (I-RPPR and F-RPPR) submitted for SBIR/STTR grant awards. This update is also relevant for CDC and FDA SBIR </w:t>
      </w:r>
      <w:r w:rsidRPr="008B6541" w:rsidR="00340050">
        <w:rPr>
          <w:rFonts w:asciiTheme="minorHAnsi" w:hAnsiTheme="minorHAnsi" w:cstheme="minorHAnsi"/>
          <w:sz w:val="22"/>
          <w:szCs w:val="22"/>
        </w:rPr>
        <w:t>recipients</w:t>
      </w:r>
      <w:r w:rsidRPr="008B6541">
        <w:rPr>
          <w:rFonts w:asciiTheme="minorHAnsi" w:hAnsiTheme="minorHAnsi" w:cstheme="minorHAnsi"/>
          <w:sz w:val="22"/>
          <w:szCs w:val="22"/>
        </w:rPr>
        <w:t xml:space="preserve"> (see Attachment 20 for instructions and forms). </w:t>
      </w:r>
    </w:p>
    <w:p w:rsidR="006E368D" w:rsidP="00743A12" w14:paraId="64BDB7B9" w14:textId="77777777">
      <w:pPr>
        <w:pStyle w:val="Heading2"/>
      </w:pPr>
    </w:p>
    <w:p w:rsidR="000F3043" w:rsidRPr="00714BFA" w:rsidP="00743A12" w14:paraId="6713C5AA" w14:textId="22279CF9">
      <w:pPr>
        <w:pStyle w:val="Heading2"/>
      </w:pPr>
      <w:bookmarkStart w:id="7" w:name="_Toc174029901"/>
      <w:r w:rsidRPr="00714BFA">
        <w:t xml:space="preserve">A.2    </w:t>
      </w:r>
      <w:r w:rsidR="00233DE4">
        <w:tab/>
      </w:r>
      <w:r w:rsidRPr="00714BFA">
        <w:t>Purpose and Use of the Information</w:t>
      </w:r>
      <w:bookmarkEnd w:id="2"/>
      <w:bookmarkEnd w:id="3"/>
      <w:bookmarkEnd w:id="4"/>
      <w:bookmarkEnd w:id="5"/>
      <w:r w:rsidRPr="00714BFA">
        <w:t xml:space="preserve"> Collection</w:t>
      </w:r>
      <w:bookmarkEnd w:id="7"/>
    </w:p>
    <w:p w:rsidR="00124D68" w:rsidRPr="0010640E" w:rsidP="00124D68" w14:paraId="74BA649D" w14:textId="77777777">
      <w:pPr>
        <w:spacing w:line="480" w:lineRule="auto"/>
        <w:rPr>
          <w:bCs/>
          <w:highlight w:val="yellow"/>
        </w:rPr>
      </w:pPr>
      <w:r w:rsidRPr="004A11EC">
        <w:rPr>
          <w:bCs/>
          <w:highlight w:val="yellow"/>
        </w:rPr>
        <w:t>Since the last OMB approval, NIH has worked on enhancing the reporting requirements on new policies through the RPPR, which are necessary to continue enhancing the quality of basic and preclinical research, as well as NIH-funded clinical trials. Some policy updates that are included in th</w:t>
      </w:r>
      <w:r>
        <w:rPr>
          <w:bCs/>
          <w:highlight w:val="yellow"/>
        </w:rPr>
        <w:t xml:space="preserve">is </w:t>
      </w:r>
      <w:r w:rsidRPr="006932D1">
        <w:rPr>
          <w:bCs/>
          <w:highlight w:val="yellow"/>
        </w:rPr>
        <w:t xml:space="preserve">revision request </w:t>
      </w:r>
      <w:r>
        <w:rPr>
          <w:bCs/>
          <w:highlight w:val="yellow"/>
        </w:rPr>
        <w:t xml:space="preserve">which </w:t>
      </w:r>
      <w:r w:rsidRPr="006932D1">
        <w:rPr>
          <w:bCs/>
          <w:highlight w:val="yellow"/>
        </w:rPr>
        <w:t>include</w:t>
      </w:r>
      <w:r>
        <w:rPr>
          <w:bCs/>
          <w:highlight w:val="yellow"/>
        </w:rPr>
        <w:t>s</w:t>
      </w:r>
      <w:r w:rsidRPr="006932D1">
        <w:rPr>
          <w:bCs/>
          <w:highlight w:val="yellow"/>
        </w:rPr>
        <w:t xml:space="preserve"> the following:</w:t>
      </w:r>
    </w:p>
    <w:p w:rsidR="00124D68" w:rsidRPr="008C3492" w:rsidP="00124D68" w14:paraId="2DB2C236" w14:textId="151EFDEC">
      <w:pPr>
        <w:pStyle w:val="ListParagraph"/>
        <w:numPr>
          <w:ilvl w:val="0"/>
          <w:numId w:val="17"/>
        </w:numPr>
        <w:spacing w:after="0" w:line="480" w:lineRule="auto"/>
        <w:contextualSpacing w:val="0"/>
        <w:rPr>
          <w:bCs/>
          <w:highlight w:val="yellow"/>
        </w:rPr>
      </w:pPr>
      <w:r>
        <w:rPr>
          <w:color w:val="000000"/>
          <w:highlight w:val="yellow"/>
        </w:rPr>
        <w:t xml:space="preserve">Effective </w:t>
      </w:r>
      <w:r w:rsidRPr="00455CC9">
        <w:rPr>
          <w:color w:val="000000"/>
          <w:highlight w:val="yellow"/>
        </w:rPr>
        <w:t>January 202</w:t>
      </w:r>
      <w:r>
        <w:rPr>
          <w:color w:val="000000"/>
          <w:highlight w:val="yellow"/>
        </w:rPr>
        <w:t>3</w:t>
      </w:r>
      <w:r w:rsidRPr="00455CC9">
        <w:rPr>
          <w:color w:val="000000"/>
          <w:highlight w:val="yellow"/>
        </w:rPr>
        <w:t xml:space="preserve">, NIH </w:t>
      </w:r>
      <w:r>
        <w:rPr>
          <w:color w:val="000000"/>
          <w:highlight w:val="yellow"/>
        </w:rPr>
        <w:t xml:space="preserve">required </w:t>
      </w:r>
      <w:r w:rsidRPr="00455CC9">
        <w:rPr>
          <w:color w:val="000000"/>
          <w:highlight w:val="yellow"/>
        </w:rPr>
        <w:t xml:space="preserve">applicants and recipients to </w:t>
      </w:r>
      <w:r>
        <w:rPr>
          <w:color w:val="000000"/>
          <w:highlight w:val="yellow"/>
        </w:rPr>
        <w:t>submit and address</w:t>
      </w:r>
      <w:r w:rsidRPr="00455CC9">
        <w:rPr>
          <w:color w:val="000000"/>
          <w:highlight w:val="yellow"/>
        </w:rPr>
        <w:t xml:space="preserve"> </w:t>
      </w:r>
      <w:r>
        <w:rPr>
          <w:color w:val="000000"/>
          <w:highlight w:val="yellow"/>
        </w:rPr>
        <w:t>Data Management and Sharing (DMS) Plans within the SF-424 R&amp;R application and the Research Performance Progress Report (RPPR) in accordance with the final NIH Policy for Data Management and Sharing (DMS Policy) to promote the management and sharing of scientific data generated from NIH-funded or conducted research. Th</w:t>
      </w:r>
      <w:r w:rsidR="005422DF">
        <w:rPr>
          <w:color w:val="000000"/>
          <w:highlight w:val="yellow"/>
        </w:rPr>
        <w:t xml:space="preserve">is submission updates the </w:t>
      </w:r>
      <w:r w:rsidR="0099387C">
        <w:rPr>
          <w:color w:val="000000"/>
          <w:highlight w:val="yellow"/>
        </w:rPr>
        <w:t xml:space="preserve">previously approved </w:t>
      </w:r>
      <w:r w:rsidR="003948D2">
        <w:rPr>
          <w:color w:val="000000"/>
          <w:highlight w:val="yellow"/>
        </w:rPr>
        <w:t xml:space="preserve">collection </w:t>
      </w:r>
      <w:r w:rsidR="0099387C">
        <w:rPr>
          <w:color w:val="000000"/>
          <w:highlight w:val="yellow"/>
        </w:rPr>
        <w:t>to further</w:t>
      </w:r>
      <w:r>
        <w:rPr>
          <w:color w:val="000000"/>
          <w:highlight w:val="yellow"/>
        </w:rPr>
        <w:t xml:space="preserve"> align with this requirement</w:t>
      </w:r>
      <w:r w:rsidR="0099387C">
        <w:rPr>
          <w:color w:val="000000"/>
          <w:highlight w:val="yellow"/>
        </w:rPr>
        <w:t xml:space="preserve">, </w:t>
      </w:r>
      <w:r w:rsidR="003948D2">
        <w:rPr>
          <w:color w:val="000000"/>
          <w:highlight w:val="yellow"/>
        </w:rPr>
        <w:t xml:space="preserve">updating RPPR </w:t>
      </w:r>
      <w:r w:rsidR="00A6483A">
        <w:rPr>
          <w:color w:val="000000"/>
          <w:highlight w:val="yellow"/>
        </w:rPr>
        <w:t>Section C.5</w:t>
      </w:r>
      <w:r w:rsidR="003948D2">
        <w:rPr>
          <w:color w:val="000000"/>
          <w:highlight w:val="yellow"/>
        </w:rPr>
        <w:t xml:space="preserve"> and related instructions</w:t>
      </w:r>
      <w:r w:rsidR="00A6483A">
        <w:rPr>
          <w:color w:val="000000"/>
          <w:highlight w:val="yellow"/>
        </w:rPr>
        <w:t xml:space="preserve"> to capture progress information on the approved DMS Plan</w:t>
      </w:r>
      <w:r w:rsidR="00E109FF">
        <w:rPr>
          <w:color w:val="000000"/>
          <w:highlight w:val="yellow"/>
        </w:rPr>
        <w:t>, effective with RPPRs submitted in Fiscal Year 2025</w:t>
      </w:r>
      <w:r w:rsidRPr="00455CC9">
        <w:rPr>
          <w:color w:val="000000"/>
          <w:highlight w:val="yellow"/>
        </w:rPr>
        <w:t xml:space="preserve">. </w:t>
      </w:r>
      <w:r w:rsidR="00EF4E6C">
        <w:rPr>
          <w:color w:val="000000"/>
          <w:highlight w:val="yellow"/>
        </w:rPr>
        <w:t xml:space="preserve">These changes will provide </w:t>
      </w:r>
      <w:r w:rsidR="001E768B">
        <w:rPr>
          <w:color w:val="000000"/>
          <w:highlight w:val="yellow"/>
        </w:rPr>
        <w:t xml:space="preserve">a structured </w:t>
      </w:r>
      <w:r w:rsidR="000524BB">
        <w:rPr>
          <w:color w:val="000000"/>
          <w:highlight w:val="yellow"/>
        </w:rPr>
        <w:t>mechanism</w:t>
      </w:r>
      <w:r w:rsidR="001E768B">
        <w:rPr>
          <w:color w:val="000000"/>
          <w:highlight w:val="yellow"/>
        </w:rPr>
        <w:t>, rather than free-text narrative,</w:t>
      </w:r>
      <w:r w:rsidR="000524BB">
        <w:rPr>
          <w:color w:val="000000"/>
          <w:highlight w:val="yellow"/>
        </w:rPr>
        <w:t xml:space="preserve"> to enhance recipient</w:t>
      </w:r>
      <w:r w:rsidR="00EC24C3">
        <w:rPr>
          <w:color w:val="000000"/>
          <w:highlight w:val="yellow"/>
        </w:rPr>
        <w:t xml:space="preserve"> reporting on</w:t>
      </w:r>
      <w:r w:rsidR="000524BB">
        <w:rPr>
          <w:highlight w:val="yellow"/>
        </w:rPr>
        <w:t xml:space="preserve"> information that was required with the implementation of the 2023 NIH DMS Policy.</w:t>
      </w:r>
      <w:r w:rsidR="00B518D3">
        <w:rPr>
          <w:highlight w:val="yellow"/>
        </w:rPr>
        <w:t xml:space="preserve"> </w:t>
      </w:r>
      <w:r w:rsidRPr="00A51DD4" w:rsidR="003956E4">
        <w:rPr>
          <w:color w:val="000000"/>
          <w:highlight w:val="yellow"/>
        </w:rPr>
        <w:t>NIH anticipates that changes may be required in a subsequent submission or change memo</w:t>
      </w:r>
      <w:r w:rsidR="00BD2C63">
        <w:rPr>
          <w:color w:val="000000"/>
          <w:highlight w:val="yellow"/>
        </w:rPr>
        <w:t xml:space="preserve"> as part </w:t>
      </w:r>
      <w:r w:rsidR="007E7E3C">
        <w:rPr>
          <w:color w:val="000000"/>
          <w:highlight w:val="yellow"/>
        </w:rPr>
        <w:t>final systems implementation and updates</w:t>
      </w:r>
      <w:r w:rsidRPr="00A51DD4" w:rsidR="003956E4">
        <w:rPr>
          <w:color w:val="000000"/>
          <w:highlight w:val="yellow"/>
        </w:rPr>
        <w:t>.</w:t>
      </w:r>
    </w:p>
    <w:p w:rsidR="00DE6823" w:rsidRPr="00DE6823" w:rsidP="00DE6823" w14:paraId="0B9CBE7D" w14:textId="1446FA33">
      <w:pPr>
        <w:pStyle w:val="ListParagraph"/>
        <w:numPr>
          <w:ilvl w:val="0"/>
          <w:numId w:val="17"/>
        </w:numPr>
        <w:spacing w:after="0" w:line="480" w:lineRule="auto"/>
        <w:contextualSpacing w:val="0"/>
        <w:rPr>
          <w:bCs/>
          <w:sz w:val="20"/>
          <w:szCs w:val="20"/>
          <w:highlight w:val="yellow"/>
        </w:rPr>
      </w:pPr>
      <w:r>
        <w:rPr>
          <w:color w:val="000000"/>
          <w:highlight w:val="yellow"/>
        </w:rPr>
        <w:t xml:space="preserve">Effective </w:t>
      </w:r>
      <w:r w:rsidRPr="00DE6823">
        <w:rPr>
          <w:color w:val="000000"/>
          <w:highlight w:val="yellow"/>
        </w:rPr>
        <w:t xml:space="preserve">January 2025, NIH will </w:t>
      </w:r>
      <w:r w:rsidR="00746FD8">
        <w:rPr>
          <w:color w:val="000000"/>
          <w:highlight w:val="yellow"/>
        </w:rPr>
        <w:t>implement</w:t>
      </w:r>
      <w:r w:rsidRPr="00DE6823">
        <w:rPr>
          <w:color w:val="000000"/>
          <w:highlight w:val="yellow"/>
        </w:rPr>
        <w:t xml:space="preserve"> changes to training grant applications</w:t>
      </w:r>
      <w:r w:rsidR="00746FD8">
        <w:rPr>
          <w:color w:val="000000"/>
          <w:highlight w:val="yellow"/>
        </w:rPr>
        <w:t>, including</w:t>
      </w:r>
      <w:r w:rsidRPr="00DE6823">
        <w:rPr>
          <w:color w:val="000000"/>
          <w:highlight w:val="yellow"/>
        </w:rPr>
        <w:t xml:space="preserve"> updates to the Training Data Tables to reduce burden and promote consistent information collection. Changes include including limiting the scope of information collection to data only relevant to the training stage(s) of the proposed program in Table 1 and removing instructions in Table 8 that are reported within the RPPR. As </w:t>
      </w:r>
      <w:r w:rsidRPr="00DE6823">
        <w:rPr>
          <w:color w:val="000000"/>
          <w:highlight w:val="yellow"/>
        </w:rPr>
        <w:t>eRA</w:t>
      </w:r>
      <w:r w:rsidRPr="00DE6823">
        <w:rPr>
          <w:color w:val="000000"/>
          <w:highlight w:val="yellow"/>
        </w:rPr>
        <w:t xml:space="preserve"> system implementation details of the data tables in </w:t>
      </w:r>
      <w:r w:rsidRPr="00DE6823">
        <w:rPr>
          <w:color w:val="000000"/>
          <w:highlight w:val="yellow"/>
        </w:rPr>
        <w:t>xTRACT</w:t>
      </w:r>
      <w:r w:rsidRPr="00DE6823">
        <w:rPr>
          <w:color w:val="000000"/>
          <w:highlight w:val="yellow"/>
        </w:rPr>
        <w:t xml:space="preserve"> are being finalized, NIH anticipates that changes may be required in a subsequent submission or change memo. These changes, developed based on feedback from internal and external stakeholders, are aligned within the application and progress reporting tables and associated instructions. </w:t>
      </w:r>
    </w:p>
    <w:p w:rsidR="00A51DD4" w:rsidRPr="00A51DD4" w:rsidP="00A51DD4" w14:paraId="000F4CCE" w14:textId="25932D3D">
      <w:pPr>
        <w:pStyle w:val="ListParagraph"/>
        <w:numPr>
          <w:ilvl w:val="0"/>
          <w:numId w:val="17"/>
        </w:numPr>
        <w:spacing w:line="480" w:lineRule="auto"/>
        <w:rPr>
          <w:sz w:val="20"/>
          <w:szCs w:val="20"/>
          <w:highlight w:val="yellow"/>
        </w:rPr>
      </w:pPr>
      <w:r w:rsidRPr="00A51DD4">
        <w:rPr>
          <w:color w:val="000000"/>
          <w:highlight w:val="yellow"/>
        </w:rPr>
        <w:t xml:space="preserve">Effective for </w:t>
      </w:r>
      <w:r w:rsidR="008C3492">
        <w:rPr>
          <w:color w:val="000000"/>
          <w:highlight w:val="yellow"/>
        </w:rPr>
        <w:t>May</w:t>
      </w:r>
      <w:r w:rsidRPr="00A51DD4">
        <w:rPr>
          <w:color w:val="000000"/>
          <w:highlight w:val="yellow"/>
        </w:rPr>
        <w:t xml:space="preserve"> 2025, NIH will adopt the Common Forms for Biographical Sketch and Current and Pending (Other) Support as part of the directive from Guidance for Implementing National Security Presidential Memorandum (NSPM)-33. The Common Forms are part of a separate OMB collection, currently approved under 3145-0279</w:t>
      </w:r>
      <w:r w:rsidR="003B5312">
        <w:rPr>
          <w:color w:val="000000"/>
          <w:highlight w:val="yellow"/>
        </w:rPr>
        <w:t xml:space="preserve"> </w:t>
      </w:r>
      <w:r w:rsidRPr="003B5312" w:rsidR="003B5312">
        <w:rPr>
          <w:color w:val="000000"/>
          <w:sz w:val="20"/>
          <w:szCs w:val="20"/>
          <w:highlight w:val="yellow"/>
        </w:rPr>
        <w:t>(</w:t>
      </w:r>
      <w:r w:rsidRPr="003B5312" w:rsidR="003B5312">
        <w:rPr>
          <w:color w:val="000000"/>
          <w:highlight w:val="yellow"/>
        </w:rPr>
        <w:t>Expiration Date 10/31/2026)</w:t>
      </w:r>
      <w:r w:rsidRPr="00A51DD4">
        <w:rPr>
          <w:color w:val="000000"/>
          <w:highlight w:val="yellow"/>
        </w:rPr>
        <w:t xml:space="preserve">. As such, duplicative elements that will be collected within the Common Forms will be removed from NIH’s current NIH </w:t>
      </w:r>
      <w:r w:rsidRPr="00A51DD4">
        <w:rPr>
          <w:color w:val="000000"/>
          <w:highlight w:val="yellow"/>
        </w:rPr>
        <w:t>Biosketch</w:t>
      </w:r>
      <w:r w:rsidRPr="00A51DD4">
        <w:rPr>
          <w:color w:val="000000"/>
          <w:highlight w:val="yellow"/>
        </w:rPr>
        <w:t xml:space="preserve"> </w:t>
      </w:r>
      <w:r w:rsidRPr="00A51DD4">
        <w:rPr>
          <w:color w:val="000000"/>
          <w:highlight w:val="yellow"/>
        </w:rPr>
        <w:t xml:space="preserve">and Other Support formats. NIH will continue to collect additional information not captured on the Common Forms to adhere to the agency’s implementation of the NIH Peer Review Regulations at 42 CFR Part 52 as part of the NIH </w:t>
      </w:r>
      <w:r w:rsidRPr="00A51DD4">
        <w:rPr>
          <w:color w:val="000000"/>
          <w:highlight w:val="yellow"/>
        </w:rPr>
        <w:t>Biosketch</w:t>
      </w:r>
      <w:r w:rsidRPr="00A51DD4">
        <w:rPr>
          <w:color w:val="000000"/>
          <w:highlight w:val="yellow"/>
        </w:rPr>
        <w:t xml:space="preserve"> form, which will be renamed the NIH Biographical Sketch Supplement to reflect the supplemental information requested. To facilitate the completion of the Common Forms and the NIH Biographical Sketch Supplement, NIH will require the use of the Science Experts Network Curriculum Vitae (</w:t>
      </w:r>
      <w:r w:rsidRPr="00A51DD4">
        <w:rPr>
          <w:color w:val="000000"/>
          <w:highlight w:val="yellow"/>
        </w:rPr>
        <w:t>SciENcv</w:t>
      </w:r>
      <w:r w:rsidRPr="00A51DD4">
        <w:rPr>
          <w:color w:val="000000"/>
          <w:highlight w:val="yellow"/>
        </w:rPr>
        <w:t xml:space="preserve">) to complete and certify the forms electronically. As additional tools (e.g., an Application Programming Interface (API) to reduce the manual burden of completing the forms) and implementation details are being finalized, NIH anticipates that changes may be required in a subsequent submission or change memo. The application and progress report forms and associated instructions will be updated to align with these new requirements. </w:t>
      </w:r>
    </w:p>
    <w:p w:rsidR="00124D68" w:rsidRPr="00BF5187" w:rsidP="00124D68" w14:paraId="01222976" w14:textId="77777777">
      <w:pPr>
        <w:spacing w:line="480" w:lineRule="auto"/>
        <w:ind w:left="360"/>
        <w:rPr>
          <w:bCs/>
          <w:highlight w:val="yellow"/>
        </w:rPr>
      </w:pPr>
    </w:p>
    <w:p w:rsidR="00124D68" w:rsidP="00124D68" w14:paraId="169D4519" w14:textId="5885C04E">
      <w:pPr>
        <w:spacing w:line="480" w:lineRule="auto"/>
        <w:ind w:right="-684"/>
        <w:rPr>
          <w:bCs/>
        </w:rPr>
      </w:pPr>
      <w:r w:rsidRPr="0039368E">
        <w:rPr>
          <w:bCs/>
          <w:u w:val="single"/>
        </w:rPr>
        <w:t>RPPR</w:t>
      </w:r>
      <w:r>
        <w:rPr>
          <w:bCs/>
          <w:u w:val="single"/>
        </w:rPr>
        <w:t>,</w:t>
      </w:r>
      <w:r w:rsidRPr="0039368E">
        <w:rPr>
          <w:bCs/>
          <w:u w:val="single"/>
        </w:rPr>
        <w:t>PHS 2590</w:t>
      </w:r>
      <w:r>
        <w:rPr>
          <w:bCs/>
          <w:u w:val="single"/>
        </w:rPr>
        <w:t>, and Final RPPR</w:t>
      </w:r>
      <w:r w:rsidRPr="0039368E">
        <w:rPr>
          <w:bCs/>
        </w:rPr>
        <w:t xml:space="preserve"> -</w:t>
      </w:r>
      <w:r>
        <w:rPr>
          <w:bCs/>
        </w:rPr>
        <w:t xml:space="preserve"> Information collected as part of interim/annual and final progress reports is used </w:t>
      </w:r>
      <w:r w:rsidRPr="009F25F9">
        <w:rPr>
          <w:bCs/>
        </w:rPr>
        <w:t>by agency staff</w:t>
      </w:r>
      <w:r>
        <w:rPr>
          <w:bCs/>
        </w:rPr>
        <w:t xml:space="preserve"> to:  (a) monitor federal awards and ensure compliance with applicable terms and conditions of award, regulations, policies and procedures, (b) evaluate progress in accord with goals, aims and objectives set forth in competing applications, (c) evaluate grantee plans for the next budget period and any significant changes, (d) collect workforce tracking data as required by P.L. 109-482, (e) manage scientific programs, (f) plan future scientific initiatives, (g) determine funding for the next budget segment, and (h) report to Congress, the public and other Federal agencies. Within interim progress reports (either RPPR or PHS 2590), a </w:t>
      </w:r>
      <w:r w:rsidR="00162CB4">
        <w:rPr>
          <w:bCs/>
        </w:rPr>
        <w:t>recipient</w:t>
      </w:r>
      <w:r>
        <w:rPr>
          <w:bCs/>
        </w:rPr>
        <w:t xml:space="preserve"> may submit a new </w:t>
      </w:r>
      <w:r>
        <w:rPr>
          <w:bCs/>
        </w:rPr>
        <w:t>biosketch</w:t>
      </w:r>
      <w:r>
        <w:rPr>
          <w:bCs/>
        </w:rPr>
        <w:t xml:space="preserve"> if there are new senior/key personnel. For specific training grants, data on trainees and/or program statistics are required via a training data table and a completed trainee diversity report. </w:t>
      </w:r>
    </w:p>
    <w:p w:rsidR="00124D68" w:rsidP="00124D68" w14:paraId="2A709086" w14:textId="77777777">
      <w:pPr>
        <w:ind w:right="-684"/>
        <w:rPr>
          <w:bCs/>
        </w:rPr>
      </w:pPr>
    </w:p>
    <w:p w:rsidR="00124D68" w:rsidP="00124D68" w14:paraId="3B652BC0" w14:textId="77777777">
      <w:pPr>
        <w:spacing w:line="480" w:lineRule="auto"/>
        <w:ind w:right="-684"/>
        <w:rPr>
          <w:bCs/>
        </w:rPr>
      </w:pPr>
      <w:r>
        <w:rPr>
          <w:bCs/>
        </w:rPr>
        <w:t xml:space="preserve">The RPPR is used for interim/annual progress reports for all NIH programs including but not limited </w:t>
      </w:r>
      <w:r>
        <w:rPr>
          <w:bCs/>
        </w:rPr>
        <w:t>to:</w:t>
      </w:r>
      <w:r>
        <w:rPr>
          <w:bCs/>
        </w:rPr>
        <w:t xml:space="preserve">  research project grants,</w:t>
      </w:r>
      <w:r w:rsidRPr="009F25F9">
        <w:rPr>
          <w:bCs/>
        </w:rPr>
        <w:t xml:space="preserve"> </w:t>
      </w:r>
      <w:r>
        <w:rPr>
          <w:bCs/>
        </w:rPr>
        <w:t>NRSA and other i</w:t>
      </w:r>
      <w:r w:rsidRPr="009F25F9">
        <w:rPr>
          <w:bCs/>
        </w:rPr>
        <w:t xml:space="preserve">nstitutional </w:t>
      </w:r>
      <w:r>
        <w:rPr>
          <w:bCs/>
        </w:rPr>
        <w:t>tr</w:t>
      </w:r>
      <w:r w:rsidRPr="009F25F9">
        <w:rPr>
          <w:bCs/>
        </w:rPr>
        <w:t xml:space="preserve">aining </w:t>
      </w:r>
      <w:r>
        <w:rPr>
          <w:bCs/>
        </w:rPr>
        <w:t>g</w:t>
      </w:r>
      <w:r w:rsidRPr="009F25F9">
        <w:rPr>
          <w:bCs/>
        </w:rPr>
        <w:t>rants</w:t>
      </w:r>
      <w:r>
        <w:rPr>
          <w:bCs/>
        </w:rPr>
        <w:t xml:space="preserve">, NRSA Fellowships, career development awards, </w:t>
      </w:r>
      <w:r>
        <w:rPr>
          <w:bCs/>
        </w:rPr>
        <w:t>SBIR/STTR awards, pr</w:t>
      </w:r>
      <w:r w:rsidRPr="009F25F9">
        <w:rPr>
          <w:bCs/>
        </w:rPr>
        <w:t xml:space="preserve">ogram </w:t>
      </w:r>
      <w:r>
        <w:rPr>
          <w:bCs/>
        </w:rPr>
        <w:t>p</w:t>
      </w:r>
      <w:r w:rsidRPr="009F25F9">
        <w:rPr>
          <w:bCs/>
        </w:rPr>
        <w:t xml:space="preserve">roject </w:t>
      </w:r>
      <w:r>
        <w:rPr>
          <w:bCs/>
        </w:rPr>
        <w:t>and</w:t>
      </w:r>
      <w:r w:rsidRPr="009F25F9">
        <w:rPr>
          <w:bCs/>
        </w:rPr>
        <w:t xml:space="preserve"> </w:t>
      </w:r>
      <w:r>
        <w:rPr>
          <w:bCs/>
        </w:rPr>
        <w:t>c</w:t>
      </w:r>
      <w:r w:rsidRPr="009F25F9">
        <w:rPr>
          <w:bCs/>
        </w:rPr>
        <w:t xml:space="preserve">enter </w:t>
      </w:r>
      <w:r>
        <w:rPr>
          <w:bCs/>
        </w:rPr>
        <w:t>g</w:t>
      </w:r>
      <w:r w:rsidRPr="009F25F9">
        <w:rPr>
          <w:bCs/>
        </w:rPr>
        <w:t>rants</w:t>
      </w:r>
      <w:r>
        <w:rPr>
          <w:bCs/>
        </w:rPr>
        <w:t>,</w:t>
      </w:r>
      <w:r w:rsidRPr="009F25F9">
        <w:rPr>
          <w:bCs/>
        </w:rPr>
        <w:t xml:space="preserve"> </w:t>
      </w:r>
      <w:r>
        <w:rPr>
          <w:bCs/>
        </w:rPr>
        <w:t>c</w:t>
      </w:r>
      <w:r w:rsidRPr="009F25F9">
        <w:rPr>
          <w:bCs/>
        </w:rPr>
        <w:t xml:space="preserve">onference </w:t>
      </w:r>
      <w:r>
        <w:rPr>
          <w:bCs/>
        </w:rPr>
        <w:t>g</w:t>
      </w:r>
      <w:r w:rsidRPr="009F25F9">
        <w:rPr>
          <w:bCs/>
        </w:rPr>
        <w:t>rants</w:t>
      </w:r>
      <w:r>
        <w:rPr>
          <w:bCs/>
        </w:rPr>
        <w:t>,</w:t>
      </w:r>
      <w:r w:rsidRPr="009F25F9">
        <w:rPr>
          <w:bCs/>
        </w:rPr>
        <w:t xml:space="preserve"> </w:t>
      </w:r>
      <w:r>
        <w:rPr>
          <w:bCs/>
        </w:rPr>
        <w:t>c</w:t>
      </w:r>
      <w:r w:rsidRPr="009F25F9">
        <w:rPr>
          <w:bCs/>
        </w:rPr>
        <w:t xml:space="preserve">ancer </w:t>
      </w:r>
      <w:r>
        <w:rPr>
          <w:bCs/>
        </w:rPr>
        <w:t>c</w:t>
      </w:r>
      <w:r w:rsidRPr="009F25F9">
        <w:rPr>
          <w:bCs/>
        </w:rPr>
        <w:t xml:space="preserve">enter </w:t>
      </w:r>
      <w:r>
        <w:rPr>
          <w:bCs/>
        </w:rPr>
        <w:t>s</w:t>
      </w:r>
      <w:r w:rsidRPr="009F25F9">
        <w:rPr>
          <w:bCs/>
        </w:rPr>
        <w:t xml:space="preserve">upport </w:t>
      </w:r>
      <w:r>
        <w:rPr>
          <w:bCs/>
        </w:rPr>
        <w:t>g</w:t>
      </w:r>
      <w:r w:rsidRPr="009F25F9">
        <w:rPr>
          <w:bCs/>
        </w:rPr>
        <w:t>rants</w:t>
      </w:r>
      <w:r>
        <w:rPr>
          <w:bCs/>
        </w:rPr>
        <w:t>,</w:t>
      </w:r>
      <w:r w:rsidRPr="009F25F9">
        <w:rPr>
          <w:bCs/>
        </w:rPr>
        <w:t xml:space="preserve"> </w:t>
      </w:r>
      <w:r>
        <w:rPr>
          <w:bCs/>
        </w:rPr>
        <w:t>b</w:t>
      </w:r>
      <w:r w:rsidRPr="009F25F9">
        <w:rPr>
          <w:bCs/>
        </w:rPr>
        <w:t xml:space="preserve">iotechnology </w:t>
      </w:r>
      <w:r>
        <w:rPr>
          <w:bCs/>
        </w:rPr>
        <w:t>r</w:t>
      </w:r>
      <w:r w:rsidRPr="009F25F9">
        <w:rPr>
          <w:bCs/>
        </w:rPr>
        <w:t xml:space="preserve">esource </w:t>
      </w:r>
      <w:r>
        <w:rPr>
          <w:bCs/>
        </w:rPr>
        <w:t>g</w:t>
      </w:r>
      <w:r w:rsidRPr="009F25F9">
        <w:rPr>
          <w:bCs/>
        </w:rPr>
        <w:t>rants</w:t>
      </w:r>
      <w:r>
        <w:rPr>
          <w:bCs/>
        </w:rPr>
        <w:t>,</w:t>
      </w:r>
      <w:r w:rsidRPr="009F25F9">
        <w:rPr>
          <w:bCs/>
        </w:rPr>
        <w:t xml:space="preserve"> </w:t>
      </w:r>
      <w:r>
        <w:rPr>
          <w:bCs/>
        </w:rPr>
        <w:t>and a</w:t>
      </w:r>
      <w:r w:rsidRPr="009F25F9">
        <w:rPr>
          <w:bCs/>
        </w:rPr>
        <w:t xml:space="preserve">cademic </w:t>
      </w:r>
      <w:r>
        <w:rPr>
          <w:bCs/>
        </w:rPr>
        <w:t>r</w:t>
      </w:r>
      <w:r w:rsidRPr="009F25F9">
        <w:rPr>
          <w:bCs/>
        </w:rPr>
        <w:t xml:space="preserve">esearch </w:t>
      </w:r>
      <w:r>
        <w:rPr>
          <w:bCs/>
        </w:rPr>
        <w:t>e</w:t>
      </w:r>
      <w:r w:rsidRPr="009F25F9">
        <w:rPr>
          <w:bCs/>
        </w:rPr>
        <w:t xml:space="preserve">nhancement </w:t>
      </w:r>
      <w:r>
        <w:rPr>
          <w:bCs/>
        </w:rPr>
        <w:t>a</w:t>
      </w:r>
      <w:r w:rsidRPr="009F25F9">
        <w:rPr>
          <w:bCs/>
        </w:rPr>
        <w:t>wards</w:t>
      </w:r>
      <w:r>
        <w:rPr>
          <w:bCs/>
        </w:rPr>
        <w:t xml:space="preserve">. </w:t>
      </w:r>
      <w:r w:rsidRPr="0039368E">
        <w:rPr>
          <w:bCs/>
        </w:rPr>
        <w:t xml:space="preserve">NIH requires grantees to submit all type 5 progress reports using the RPPR module in </w:t>
      </w:r>
      <w:r w:rsidRPr="0039368E">
        <w:rPr>
          <w:bCs/>
        </w:rPr>
        <w:t>eRA</w:t>
      </w:r>
      <w:r w:rsidRPr="0039368E">
        <w:rPr>
          <w:bCs/>
        </w:rPr>
        <w:t xml:space="preserve"> Commons. </w:t>
      </w:r>
    </w:p>
    <w:p w:rsidR="00124D68" w:rsidRPr="00162CB4" w:rsidP="00124D68" w14:paraId="334C3663" w14:textId="77777777">
      <w:pPr>
        <w:pStyle w:val="BodyText"/>
        <w:ind w:right="-684"/>
        <w:rPr>
          <w:rFonts w:asciiTheme="minorHAnsi" w:hAnsiTheme="minorHAnsi" w:cstheme="minorHAnsi"/>
          <w:bCs/>
          <w:sz w:val="22"/>
          <w:szCs w:val="22"/>
        </w:rPr>
      </w:pPr>
      <w:r w:rsidRPr="00162CB4">
        <w:rPr>
          <w:rFonts w:asciiTheme="minorHAnsi" w:hAnsiTheme="minorHAnsi" w:cstheme="minorHAnsi"/>
          <w:bCs/>
          <w:sz w:val="22"/>
          <w:szCs w:val="22"/>
        </w:rPr>
        <w:t xml:space="preserve">In order to continue the transition to a standard reporting format for all </w:t>
      </w:r>
      <w:r w:rsidRPr="00162CB4">
        <w:rPr>
          <w:rFonts w:asciiTheme="minorHAnsi" w:hAnsiTheme="minorHAnsi" w:cstheme="minorHAnsi"/>
          <w:bCs/>
          <w:sz w:val="22"/>
          <w:szCs w:val="22"/>
        </w:rPr>
        <w:t>federally-funded</w:t>
      </w:r>
      <w:r w:rsidRPr="00162CB4">
        <w:rPr>
          <w:rFonts w:asciiTheme="minorHAnsi" w:hAnsiTheme="minorHAnsi" w:cstheme="minorHAnsi"/>
          <w:bCs/>
          <w:sz w:val="22"/>
          <w:szCs w:val="22"/>
        </w:rPr>
        <w:t xml:space="preserve"> research projects and research-related activities, PHS agencies utilize the Final RPPR for closeout.</w:t>
      </w:r>
      <w:r w:rsidRPr="00162CB4">
        <w:rPr>
          <w:rFonts w:asciiTheme="minorHAnsi" w:hAnsiTheme="minorHAnsi" w:cstheme="minorHAnsi"/>
          <w:sz w:val="22"/>
          <w:szCs w:val="22"/>
        </w:rPr>
        <w:t xml:space="preserve"> In June 2017 for SBIR/STTR Phase II awards, NIH has replaced the Final Progress report with the Final RPPR.</w:t>
      </w:r>
      <w:r w:rsidRPr="00162CB4">
        <w:rPr>
          <w:rFonts w:asciiTheme="minorHAnsi" w:hAnsiTheme="minorHAnsi" w:cstheme="minorHAnsi"/>
          <w:bCs/>
          <w:sz w:val="22"/>
          <w:szCs w:val="22"/>
        </w:rPr>
        <w:t xml:space="preserve"> In addition, </w:t>
      </w:r>
      <w:r w:rsidRPr="00162CB4">
        <w:rPr>
          <w:rFonts w:asciiTheme="minorHAnsi" w:hAnsiTheme="minorHAnsi" w:cstheme="minorHAnsi"/>
          <w:bCs/>
          <w:color w:val="auto"/>
          <w:sz w:val="22"/>
          <w:szCs w:val="22"/>
        </w:rPr>
        <w:t xml:space="preserve">effective February 2017, if the recipient organization has submitted a renewal application on or before the date by which a Final RPPR would be required for the current competitive segment, then submission of an "Interim-RPPR" via </w:t>
      </w:r>
      <w:r w:rsidRPr="00162CB4">
        <w:rPr>
          <w:rFonts w:asciiTheme="minorHAnsi" w:hAnsiTheme="minorHAnsi" w:cstheme="minorHAnsi"/>
          <w:bCs/>
          <w:color w:val="auto"/>
          <w:sz w:val="22"/>
          <w:szCs w:val="22"/>
        </w:rPr>
        <w:t>eRA</w:t>
      </w:r>
      <w:r w:rsidRPr="00162CB4">
        <w:rPr>
          <w:rFonts w:asciiTheme="minorHAnsi" w:hAnsiTheme="minorHAnsi" w:cstheme="minorHAnsi"/>
          <w:bCs/>
          <w:color w:val="auto"/>
          <w:sz w:val="22"/>
          <w:szCs w:val="22"/>
        </w:rPr>
        <w:t xml:space="preserve"> Commons is now required.   NIH has discontinued the policy for renewal applications whereby, “whether funded or not,” the progress report contained in the renewal application may serve in lieu of a separate final progress report. </w:t>
      </w:r>
      <w:r w:rsidRPr="00162CB4">
        <w:rPr>
          <w:rFonts w:asciiTheme="minorHAnsi" w:hAnsiTheme="minorHAnsi" w:cstheme="minorHAnsi"/>
          <w:bCs/>
          <w:sz w:val="22"/>
          <w:szCs w:val="22"/>
        </w:rPr>
        <w:t xml:space="preserve"> </w:t>
      </w:r>
    </w:p>
    <w:p w:rsidR="00124D68" w:rsidRPr="00162CB4" w:rsidP="00124D68" w14:paraId="0DCF36A8" w14:textId="77777777">
      <w:pPr>
        <w:pStyle w:val="ListParagraph"/>
        <w:rPr>
          <w:rFonts w:cstheme="minorHAnsi"/>
          <w:bCs/>
        </w:rPr>
      </w:pPr>
    </w:p>
    <w:p w:rsidR="00124D68" w:rsidRPr="00162CB4" w:rsidP="00124D68" w14:paraId="61707178" w14:textId="77777777">
      <w:pPr>
        <w:ind w:right="-684"/>
        <w:rPr>
          <w:rFonts w:cstheme="minorHAnsi"/>
          <w:bCs/>
        </w:rPr>
      </w:pPr>
    </w:p>
    <w:p w:rsidR="00124D68" w:rsidP="00124D68" w14:paraId="31BDE967" w14:textId="77777777">
      <w:pPr>
        <w:pStyle w:val="BodyText"/>
        <w:ind w:right="-684"/>
        <w:rPr>
          <w:rFonts w:asciiTheme="minorHAnsi" w:hAnsiTheme="minorHAnsi" w:cstheme="minorHAnsi"/>
          <w:sz w:val="22"/>
          <w:szCs w:val="22"/>
        </w:rPr>
      </w:pPr>
      <w:r w:rsidRPr="00162CB4">
        <w:rPr>
          <w:rFonts w:asciiTheme="minorHAnsi" w:hAnsiTheme="minorHAnsi" w:cstheme="minorHAnsi"/>
          <w:sz w:val="22"/>
          <w:szCs w:val="22"/>
          <w:u w:val="single"/>
        </w:rPr>
        <w:t>PHS 2271</w:t>
      </w:r>
      <w:r w:rsidRPr="00162CB4">
        <w:rPr>
          <w:rFonts w:asciiTheme="minorHAnsi" w:hAnsiTheme="minorHAnsi" w:cstheme="minorHAnsi"/>
          <w:sz w:val="22"/>
          <w:szCs w:val="22"/>
        </w:rPr>
        <w:t xml:space="preserve"> - The Statement of Appointment is used by PHS staff to: 1) determine if trainees meet program eligibility (education and citizenship) requirements; 2) ensure that the number of trainees do not exceed authorized levels; 3) ensure that the appropriate stipend level is paid; and 4) identify any institutional recruitment and retention diversity inequities. The 2271 is also used by institutions to appoint individuals to career development and other research training </w:t>
      </w:r>
      <w:r w:rsidRPr="00162CB4">
        <w:rPr>
          <w:rFonts w:asciiTheme="minorHAnsi" w:hAnsiTheme="minorHAnsi" w:cstheme="minorHAnsi"/>
          <w:sz w:val="22"/>
          <w:szCs w:val="22"/>
        </w:rPr>
        <w:t>programs, and</w:t>
      </w:r>
      <w:r w:rsidRPr="00162CB4">
        <w:rPr>
          <w:rFonts w:asciiTheme="minorHAnsi" w:hAnsiTheme="minorHAnsi" w:cstheme="minorHAnsi"/>
          <w:sz w:val="22"/>
          <w:szCs w:val="22"/>
        </w:rPr>
        <w:t xml:space="preserve"> may be used by NIH to collect information on graduate research assistants engaged in research under regular research grants.</w:t>
      </w:r>
    </w:p>
    <w:p w:rsidR="00162CB4" w:rsidRPr="00162CB4" w:rsidP="00124D68" w14:paraId="7DC761B9" w14:textId="77777777">
      <w:pPr>
        <w:pStyle w:val="BodyText"/>
        <w:ind w:right="-684"/>
        <w:rPr>
          <w:rFonts w:asciiTheme="minorHAnsi" w:hAnsiTheme="minorHAnsi" w:cstheme="minorHAnsi"/>
          <w:sz w:val="22"/>
          <w:szCs w:val="22"/>
        </w:rPr>
      </w:pPr>
    </w:p>
    <w:p w:rsidR="00124D68" w:rsidRPr="00162CB4" w:rsidP="00124D68" w14:paraId="5DAFE1F8" w14:textId="77777777">
      <w:pPr>
        <w:pStyle w:val="BodyText"/>
        <w:spacing w:line="240" w:lineRule="auto"/>
        <w:ind w:right="-684"/>
        <w:rPr>
          <w:rFonts w:asciiTheme="minorHAnsi" w:hAnsiTheme="minorHAnsi" w:cstheme="minorHAnsi"/>
          <w:sz w:val="22"/>
          <w:szCs w:val="22"/>
        </w:rPr>
      </w:pPr>
    </w:p>
    <w:p w:rsidR="00124D68" w:rsidRPr="00162CB4" w:rsidP="00124D68" w14:paraId="3F7CC0DC" w14:textId="77777777">
      <w:pPr>
        <w:pStyle w:val="BodyText"/>
        <w:ind w:right="-684"/>
        <w:rPr>
          <w:rFonts w:asciiTheme="minorHAnsi" w:hAnsiTheme="minorHAnsi" w:cstheme="minorHAnsi"/>
          <w:bCs/>
          <w:sz w:val="22"/>
          <w:szCs w:val="22"/>
        </w:rPr>
      </w:pPr>
      <w:r w:rsidRPr="00162CB4">
        <w:rPr>
          <w:rFonts w:asciiTheme="minorHAnsi" w:hAnsiTheme="minorHAnsi" w:cstheme="minorHAnsi"/>
          <w:bCs/>
          <w:sz w:val="22"/>
          <w:szCs w:val="22"/>
          <w:u w:val="single"/>
        </w:rPr>
        <w:t>PHS 416-7 and PHS 6031-1</w:t>
      </w:r>
      <w:r w:rsidRPr="00162CB4">
        <w:rPr>
          <w:rFonts w:asciiTheme="minorHAnsi" w:hAnsiTheme="minorHAnsi" w:cstheme="minorHAnsi"/>
          <w:bCs/>
          <w:sz w:val="22"/>
          <w:szCs w:val="22"/>
        </w:rPr>
        <w:t xml:space="preserve"> - Information is used by PHS to close-out records of NRSA and other training award recipients, and to administer the legislated payback requirements of the NRSA program.  Specifically, the 416-7 Termination Notice serves as a final progress report for NRSA Fellowships and other individual fellowship award recipients, documents support received by individuals on institutional NRSA and other training awards, and, where </w:t>
      </w:r>
      <w:r w:rsidRPr="00162CB4">
        <w:rPr>
          <w:rFonts w:asciiTheme="minorHAnsi" w:hAnsiTheme="minorHAnsi" w:cstheme="minorHAnsi"/>
          <w:bCs/>
          <w:sz w:val="22"/>
          <w:szCs w:val="22"/>
        </w:rPr>
        <w:t xml:space="preserve">applicable, establishes an individual’s payback obligation.  The 6031-1 Annual Payback Activities Certification documents payback service and PHS acceptance of that service.  </w:t>
      </w:r>
    </w:p>
    <w:p w:rsidR="00124D68" w:rsidRPr="00162CB4" w:rsidP="00124D68" w14:paraId="2FFF82A0" w14:textId="77777777">
      <w:pPr>
        <w:pStyle w:val="BodyText"/>
        <w:spacing w:line="240" w:lineRule="auto"/>
        <w:ind w:right="-684"/>
        <w:rPr>
          <w:rFonts w:asciiTheme="minorHAnsi" w:hAnsiTheme="minorHAnsi" w:cstheme="minorHAnsi"/>
          <w:b/>
          <w:bCs/>
          <w:sz w:val="22"/>
          <w:szCs w:val="22"/>
          <w:u w:val="single"/>
        </w:rPr>
      </w:pPr>
    </w:p>
    <w:p w:rsidR="00124D68" w:rsidRPr="00162CB4" w:rsidP="00124D68" w14:paraId="784311A2" w14:textId="77777777">
      <w:pPr>
        <w:pStyle w:val="BodyText"/>
        <w:ind w:right="-684"/>
        <w:rPr>
          <w:rFonts w:asciiTheme="minorHAnsi" w:hAnsiTheme="minorHAnsi" w:cstheme="minorHAnsi"/>
          <w:bCs/>
          <w:sz w:val="22"/>
          <w:szCs w:val="22"/>
        </w:rPr>
      </w:pPr>
      <w:r w:rsidRPr="00162CB4">
        <w:rPr>
          <w:rFonts w:asciiTheme="minorHAnsi" w:hAnsiTheme="minorHAnsi" w:cstheme="minorHAnsi"/>
          <w:bCs/>
          <w:sz w:val="22"/>
          <w:szCs w:val="22"/>
          <w:u w:val="single"/>
        </w:rPr>
        <w:t>HHS 568</w:t>
      </w:r>
      <w:r w:rsidRPr="00162CB4">
        <w:rPr>
          <w:rFonts w:asciiTheme="minorHAnsi" w:hAnsiTheme="minorHAnsi" w:cstheme="minorHAnsi"/>
          <w:bCs/>
          <w:sz w:val="22"/>
          <w:szCs w:val="22"/>
        </w:rPr>
        <w:t xml:space="preserve"> - Final Invention and Certification Statement documents grantee compliance with the HHS invention/patent reporting requirements and is required as part of agency close-out procedures. </w:t>
      </w:r>
    </w:p>
    <w:p w:rsidR="00124D68" w:rsidP="00124D68" w14:paraId="40086811" w14:textId="77777777">
      <w:pPr>
        <w:ind w:right="-684"/>
        <w:rPr>
          <w:bCs/>
        </w:rPr>
      </w:pPr>
    </w:p>
    <w:p w:rsidR="00124D68" w:rsidRPr="009F25F9" w:rsidP="00124D68" w14:paraId="1D8D2387" w14:textId="77777777">
      <w:pPr>
        <w:spacing w:line="480" w:lineRule="auto"/>
        <w:ind w:right="-684"/>
        <w:rPr>
          <w:bCs/>
        </w:rPr>
      </w:pPr>
      <w:r w:rsidRPr="0039368E">
        <w:rPr>
          <w:bCs/>
          <w:u w:val="single"/>
        </w:rPr>
        <w:t>PHS 3734</w:t>
      </w:r>
      <w:r w:rsidRPr="0039368E">
        <w:rPr>
          <w:bCs/>
        </w:rPr>
        <w:t xml:space="preserve"> - </w:t>
      </w:r>
      <w:r w:rsidRPr="0039368E">
        <w:t>Official Statement Relinquishing Interests and Rights in a PHS Research Grant is primarily</w:t>
      </w:r>
      <w:r>
        <w:t xml:space="preserve"> used when a principal investigator transfers from one institution to another institution and the original grantee institution relinquishes rights to the grant award.</w:t>
      </w:r>
    </w:p>
    <w:p w:rsidR="0090158F" w:rsidRPr="006B53F2" w:rsidP="0090158F" w14:paraId="74BEB321" w14:textId="77777777"/>
    <w:p w:rsidR="00A00CF8" w:rsidRPr="00E35DD1" w:rsidP="00743A12" w14:paraId="771476A4" w14:textId="77777777">
      <w:pPr>
        <w:pStyle w:val="Heading2"/>
      </w:pPr>
      <w:bookmarkStart w:id="8" w:name="_Toc174029902"/>
      <w:r w:rsidRPr="00E35DD1">
        <w:t>A.3     Use of Information Technology and Burden Reduction</w:t>
      </w:r>
      <w:bookmarkEnd w:id="8"/>
    </w:p>
    <w:p w:rsidR="002F0ED8" w:rsidP="002F0ED8" w14:paraId="365FF5F3" w14:textId="77777777">
      <w:pPr>
        <w:spacing w:line="480" w:lineRule="auto"/>
        <w:ind w:right="-684"/>
        <w:rPr>
          <w:bCs/>
        </w:rPr>
      </w:pPr>
      <w:r w:rsidRPr="0039368E">
        <w:t xml:space="preserve">a. </w:t>
      </w:r>
      <w:r w:rsidRPr="00486853">
        <w:rPr>
          <w:u w:val="single"/>
        </w:rPr>
        <w:t xml:space="preserve">Use of the </w:t>
      </w:r>
      <w:r w:rsidRPr="00486853">
        <w:rPr>
          <w:u w:val="single"/>
        </w:rPr>
        <w:t>eRA</w:t>
      </w:r>
      <w:r w:rsidRPr="00486853">
        <w:rPr>
          <w:u w:val="single"/>
        </w:rPr>
        <w:t xml:space="preserve"> Commons and Data Dictionary for Progress Reports</w:t>
      </w:r>
      <w:r w:rsidRPr="0039368E">
        <w:t xml:space="preserve"> - The format of the </w:t>
      </w:r>
      <w:r>
        <w:t xml:space="preserve">interim/annual </w:t>
      </w:r>
      <w:r w:rsidRPr="0039368E">
        <w:t>RPPR</w:t>
      </w:r>
      <w:r>
        <w:t xml:space="preserve"> (</w:t>
      </w:r>
      <w:r>
        <w:t>and also</w:t>
      </w:r>
      <w:r>
        <w:t xml:space="preserve"> the Final/Interim RPPR) provides a </w:t>
      </w:r>
      <w:r w:rsidRPr="009F25F9">
        <w:t xml:space="preserve">standardized interface for </w:t>
      </w:r>
      <w:r>
        <w:t>reporting to be adopted by all agencies supporting research or research related activities. PHS will implement the RPPR in NIH’s electronic research administration (</w:t>
      </w:r>
      <w:r>
        <w:t>eRA</w:t>
      </w:r>
      <w:r>
        <w:t xml:space="preserve">) system through the </w:t>
      </w:r>
      <w:r>
        <w:t>eRA</w:t>
      </w:r>
      <w:r>
        <w:t xml:space="preserve"> Commons and will utilize the standardized RPPR Data Dictionary, and the RPPR XML schema, as developed by the research agencies. With full implementation of the electronic RPPR, most paper progress reports to NIH, FDA, AHRQ and CDC have been eliminated.</w:t>
      </w:r>
    </w:p>
    <w:p w:rsidR="002F0ED8" w:rsidP="002F0ED8" w14:paraId="1A6B3F6D" w14:textId="77777777">
      <w:pPr>
        <w:ind w:right="-684"/>
        <w:rPr>
          <w:bCs/>
        </w:rPr>
      </w:pPr>
    </w:p>
    <w:p w:rsidR="002F0ED8" w:rsidP="002F0ED8" w14:paraId="1F6CEB67" w14:textId="77777777">
      <w:pPr>
        <w:spacing w:line="480" w:lineRule="auto"/>
        <w:ind w:right="-684"/>
        <w:rPr>
          <w:bCs/>
        </w:rPr>
      </w:pPr>
      <w:r>
        <w:rPr>
          <w:bCs/>
        </w:rPr>
        <w:t xml:space="preserve">The </w:t>
      </w:r>
      <w:r>
        <w:rPr>
          <w:bCs/>
        </w:rPr>
        <w:t>eRA</w:t>
      </w:r>
      <w:r>
        <w:rPr>
          <w:bCs/>
        </w:rPr>
        <w:t xml:space="preserve"> Commons allows for pre-population of all RPPR Cover Page data elements from NIH IMPACII systems, automated reminders alerting grantees when a progress report is due, automated late notices, and automated notifications to NIH grantees if publications are reported that are not in compliance with the NIH Public Access Policy. The Commons includes an interface with the National Library of Medicine’s My NCBI (National Center for Biotechnology Information) that pre-populates the progress report with the user’s scientific publications and allows for easy affiliation of publications with award. Other data elements, such as project-performance sites, are pre-populated from the competing application and may be modified in the progress report. Goals of the project, </w:t>
      </w:r>
      <w:r>
        <w:rPr>
          <w:bCs/>
        </w:rPr>
        <w:t>personnel, and other data elements are pre-populated after the initial progress report and may be modified in subsequent reports. The Commons also allows for electronic routing of the progress report within the grantee institution (e.g. between Principal Investigator or designee, and Authorized Organization Representative), and electronic submission to the agency.</w:t>
      </w:r>
    </w:p>
    <w:p w:rsidR="002F0ED8" w:rsidRPr="00DC39EB" w:rsidP="002F0ED8" w14:paraId="308F87BD" w14:textId="77777777">
      <w:pPr>
        <w:pStyle w:val="BodyTextIndent"/>
        <w:ind w:left="0" w:right="-684"/>
        <w:rPr>
          <w:bCs/>
        </w:rPr>
      </w:pPr>
      <w:r>
        <w:rPr>
          <w:bCs/>
        </w:rPr>
        <w:t xml:space="preserve"> </w:t>
      </w:r>
    </w:p>
    <w:p w:rsidR="002F0ED8" w:rsidP="002F0ED8" w14:paraId="0D5735C7" w14:textId="77777777">
      <w:pPr>
        <w:pStyle w:val="BodyTextIndent"/>
        <w:spacing w:line="480" w:lineRule="auto"/>
        <w:ind w:left="0" w:right="-691"/>
        <w:rPr>
          <w:bCs/>
        </w:rPr>
      </w:pPr>
      <w:r w:rsidRPr="008F721A">
        <w:rPr>
          <w:bCs/>
        </w:rPr>
        <w:t xml:space="preserve">Publications arising from an award are reported to the RPPR using My Bibliography. My Bibliography is a reference tool that helps grantees create and save publication citations. These citations are then uploaded into an RPPR annually.  </w:t>
      </w:r>
    </w:p>
    <w:p w:rsidR="002F0ED8" w:rsidP="002F0ED8" w14:paraId="65B6DE25" w14:textId="77777777">
      <w:pPr>
        <w:pStyle w:val="BodyTextIndent"/>
        <w:ind w:left="0" w:right="-684"/>
        <w:rPr>
          <w:bCs/>
        </w:rPr>
      </w:pPr>
    </w:p>
    <w:p w:rsidR="002F0ED8" w:rsidP="002F0ED8" w14:paraId="33751CE4" w14:textId="77777777">
      <w:pPr>
        <w:spacing w:line="480" w:lineRule="auto"/>
        <w:ind w:right="-684"/>
        <w:rPr>
          <w:bCs/>
        </w:rPr>
      </w:pPr>
      <w:r>
        <w:rPr>
          <w:bCs/>
        </w:rPr>
        <w:t>As necessary, award programs will continue to utilize</w:t>
      </w:r>
      <w:r w:rsidRPr="009F25F9">
        <w:rPr>
          <w:bCs/>
        </w:rPr>
        <w:t xml:space="preserve"> </w:t>
      </w:r>
      <w:r>
        <w:rPr>
          <w:bCs/>
        </w:rPr>
        <w:t xml:space="preserve">the PHS 2590 until the transition to RPPR is completed, however, </w:t>
      </w:r>
      <w:r>
        <w:rPr>
          <w:bCs/>
        </w:rPr>
        <w:t>the majority of</w:t>
      </w:r>
      <w:r>
        <w:rPr>
          <w:bCs/>
        </w:rPr>
        <w:t xml:space="preserve"> NIH awards are issued under the Streamlined Noncompeting Award Process (SNAP) and non-SNAP are required to submit progress reports electronically. Over 95% of awards are using the RPPR. The PHS 2590 Non-Competing Continuation Progress Report is </w:t>
      </w:r>
      <w:r w:rsidRPr="007A19CA">
        <w:rPr>
          <w:bCs/>
        </w:rPr>
        <w:t xml:space="preserve">restricted to progress reports for administrative extensions (Type </w:t>
      </w:r>
      <w:r w:rsidRPr="007A19CA">
        <w:rPr>
          <w:bCs/>
        </w:rPr>
        <w:t>4s;</w:t>
      </w:r>
      <w:r w:rsidRPr="007A19CA">
        <w:rPr>
          <w:bCs/>
        </w:rPr>
        <w:t xml:space="preserve"> e.g., SBIR/STTR F</w:t>
      </w:r>
      <w:r>
        <w:rPr>
          <w:bCs/>
        </w:rPr>
        <w:t>ast-Track Phase II application) and a subset of progress reporting for complex multi-year funded awards.</w:t>
      </w:r>
    </w:p>
    <w:p w:rsidR="002F0ED8" w:rsidP="002F0ED8" w14:paraId="2EE21C70" w14:textId="77777777">
      <w:pPr>
        <w:ind w:right="-684"/>
        <w:rPr>
          <w:bCs/>
        </w:rPr>
      </w:pPr>
    </w:p>
    <w:p w:rsidR="002F0ED8" w:rsidP="002F0ED8" w14:paraId="3369C4B6" w14:textId="77777777">
      <w:pPr>
        <w:spacing w:line="480" w:lineRule="auto"/>
        <w:ind w:right="-684"/>
      </w:pPr>
      <w:r w:rsidRPr="0039368E">
        <w:rPr>
          <w:bCs/>
        </w:rPr>
        <w:t xml:space="preserve">b. </w:t>
      </w:r>
      <w:r w:rsidRPr="00486853">
        <w:rPr>
          <w:bCs/>
          <w:u w:val="single"/>
        </w:rPr>
        <w:t>Electronic</w:t>
      </w:r>
      <w:r w:rsidRPr="00486853">
        <w:rPr>
          <w:bCs/>
          <w:u w:val="single"/>
        </w:rPr>
        <w:t xml:space="preserve"> submission of 2271 and 416-7 via </w:t>
      </w:r>
      <w:r w:rsidRPr="00486853">
        <w:rPr>
          <w:bCs/>
          <w:u w:val="single"/>
        </w:rPr>
        <w:t>xTrain</w:t>
      </w:r>
      <w:r w:rsidRPr="0039368E">
        <w:rPr>
          <w:bCs/>
        </w:rPr>
        <w:t xml:space="preserve"> - </w:t>
      </w:r>
      <w:r w:rsidRPr="0039368E">
        <w:rPr>
          <w:bCs/>
        </w:rPr>
        <w:t>xTrain</w:t>
      </w:r>
      <w:r w:rsidRPr="0039368E">
        <w:rPr>
          <w:bCs/>
          <w:i/>
        </w:rPr>
        <w:t xml:space="preserve"> </w:t>
      </w:r>
      <w:r w:rsidRPr="0039368E">
        <w:rPr>
          <w:bCs/>
        </w:rPr>
        <w:t>supports the electronic submission of</w:t>
      </w:r>
      <w:r w:rsidRPr="00282B33">
        <w:rPr>
          <w:bCs/>
        </w:rPr>
        <w:t xml:space="preserve"> PHS 2271</w:t>
      </w:r>
      <w:r w:rsidRPr="00282B33">
        <w:t xml:space="preserve"> </w:t>
      </w:r>
      <w:r>
        <w:t xml:space="preserve">data and 416-7 termination notices. It efficiently </w:t>
      </w:r>
      <w:r w:rsidRPr="00282B33">
        <w:t xml:space="preserve">reduces time spent by applicants preparing and submitting these forms. Use of </w:t>
      </w:r>
      <w:r w:rsidRPr="00282B33">
        <w:t>xTrain</w:t>
      </w:r>
      <w:r w:rsidRPr="00282B33">
        <w:t xml:space="preserve"> is mandatory for NIH institutional training awards, and its use will continue expanding to other NIH research education and institutional career development awards.</w:t>
      </w:r>
      <w:r>
        <w:t xml:space="preserve"> </w:t>
      </w:r>
      <w:r>
        <w:t>xTrain</w:t>
      </w:r>
      <w:r>
        <w:t xml:space="preserve"> is also used for the electronic submission of the trainee diversity report as part of the RPPR; this is mandatory for </w:t>
      </w:r>
      <w:r w:rsidRPr="00897A2E">
        <w:t>institutional research training, career development and research education awards</w:t>
      </w:r>
      <w:r>
        <w:t xml:space="preserve"> that require appointments through the </w:t>
      </w:r>
      <w:r>
        <w:t>xTrain</w:t>
      </w:r>
      <w:r>
        <w:t xml:space="preserve"> system. </w:t>
      </w:r>
      <w:r w:rsidRPr="001A0C29">
        <w:t xml:space="preserve">This new electronically generated report will leverage existing electronic demographic data entered by trainees in the Personal Profile of </w:t>
      </w:r>
      <w:r w:rsidRPr="001A0C29">
        <w:t>eRA</w:t>
      </w:r>
      <w:r w:rsidRPr="001A0C29">
        <w:t xml:space="preserve"> Commons to minimize the need for manual data entry by recipients.</w:t>
      </w:r>
    </w:p>
    <w:p w:rsidR="002F0ED8" w:rsidP="002F0ED8" w14:paraId="7BAC53A7" w14:textId="77777777">
      <w:pPr>
        <w:ind w:right="-684"/>
      </w:pPr>
    </w:p>
    <w:p w:rsidR="002F0ED8" w:rsidRPr="00282B33" w:rsidP="002F0ED8" w14:paraId="1D123032" w14:textId="77777777">
      <w:pPr>
        <w:spacing w:line="480" w:lineRule="auto"/>
        <w:ind w:right="-684"/>
      </w:pPr>
      <w:r w:rsidRPr="0039368E">
        <w:t xml:space="preserve">c. </w:t>
      </w:r>
      <w:r w:rsidRPr="00486853">
        <w:rPr>
          <w:u w:val="single"/>
        </w:rPr>
        <w:t>Electronic</w:t>
      </w:r>
      <w:r w:rsidRPr="00486853">
        <w:rPr>
          <w:u w:val="single"/>
        </w:rPr>
        <w:t xml:space="preserve"> submission of data tables via </w:t>
      </w:r>
      <w:r w:rsidRPr="00486853">
        <w:rPr>
          <w:u w:val="single"/>
        </w:rPr>
        <w:t>xTRACT</w:t>
      </w:r>
      <w:r w:rsidRPr="0039368E">
        <w:t xml:space="preserve"> </w:t>
      </w:r>
      <w:r>
        <w:t xml:space="preserve">- </w:t>
      </w:r>
      <w:r w:rsidRPr="0039368E">
        <w:rPr>
          <w:bCs/>
        </w:rPr>
        <w:t>xTRACT</w:t>
      </w:r>
      <w:r w:rsidRPr="0039368E">
        <w:rPr>
          <w:bCs/>
          <w:i/>
        </w:rPr>
        <w:t xml:space="preserve"> </w:t>
      </w:r>
      <w:r w:rsidRPr="0039368E">
        <w:rPr>
          <w:bCs/>
        </w:rPr>
        <w:t>support</w:t>
      </w:r>
      <w:r>
        <w:rPr>
          <w:bCs/>
        </w:rPr>
        <w:t>s</w:t>
      </w:r>
      <w:r w:rsidRPr="0039368E">
        <w:rPr>
          <w:bCs/>
        </w:rPr>
        <w:t xml:space="preserve"> the </w:t>
      </w:r>
      <w:r>
        <w:rPr>
          <w:bCs/>
        </w:rPr>
        <w:t xml:space="preserve">optional </w:t>
      </w:r>
      <w:r w:rsidRPr="0039368E">
        <w:rPr>
          <w:bCs/>
        </w:rPr>
        <w:t>electronic submission</w:t>
      </w:r>
      <w:r w:rsidRPr="00282B33">
        <w:rPr>
          <w:bCs/>
        </w:rPr>
        <w:t xml:space="preserve"> of </w:t>
      </w:r>
      <w:r>
        <w:rPr>
          <w:bCs/>
        </w:rPr>
        <w:t>the new data tables to be used for training grants, institutional career development awards, and research education awards</w:t>
      </w:r>
      <w:r>
        <w:t>. This module efficiently reduces</w:t>
      </w:r>
      <w:r w:rsidRPr="00282B33">
        <w:t xml:space="preserve"> time spent by applicants preparing and submitting these </w:t>
      </w:r>
      <w:r>
        <w:t>tables</w:t>
      </w:r>
      <w:r w:rsidRPr="00282B33">
        <w:t xml:space="preserve">. Use of </w:t>
      </w:r>
      <w:r>
        <w:t>xTRACT</w:t>
      </w:r>
      <w:r w:rsidRPr="00282B33">
        <w:t xml:space="preserve"> </w:t>
      </w:r>
      <w:r>
        <w:t>will become</w:t>
      </w:r>
      <w:r w:rsidRPr="00282B33">
        <w:t xml:space="preserve"> mandatory for most NIH institutional training awards, and its use will continue expanding to other NIH research education and institutional career development awards.</w:t>
      </w:r>
    </w:p>
    <w:p w:rsidR="002F0ED8" w:rsidRPr="00671C46" w:rsidP="002F0ED8" w14:paraId="5DCFB1D3" w14:textId="77777777">
      <w:pPr>
        <w:rPr>
          <w:b/>
        </w:rPr>
      </w:pPr>
      <w:bookmarkStart w:id="9" w:name="OLE_LINK1"/>
      <w:bookmarkStart w:id="10" w:name="OLE_LINK2"/>
    </w:p>
    <w:p w:rsidR="002F0ED8" w:rsidP="002F0ED8" w14:paraId="03E5C652" w14:textId="65035E0C">
      <w:pPr>
        <w:spacing w:line="480" w:lineRule="auto"/>
      </w:pPr>
      <w:r w:rsidRPr="0039368E">
        <w:t xml:space="preserve">e. </w:t>
      </w:r>
      <w:r w:rsidRPr="00486853">
        <w:rPr>
          <w:u w:val="single"/>
        </w:rPr>
        <w:t xml:space="preserve">HHS 568 and </w:t>
      </w:r>
      <w:r w:rsidRPr="00486853">
        <w:rPr>
          <w:u w:val="single"/>
        </w:rPr>
        <w:t>iEdison</w:t>
      </w:r>
      <w:r w:rsidRPr="0039368E">
        <w:t xml:space="preserve"> - NIH is coordinating a cross-agency initiative in accord with interagency</w:t>
      </w:r>
      <w:r w:rsidRPr="00671C46">
        <w:t xml:space="preserve"> work, concerning the HHS</w:t>
      </w:r>
      <w:r w:rsidRPr="006F28B3">
        <w:t xml:space="preserve">-568, Final Invention Statement and Certification. This effort has resulted in </w:t>
      </w:r>
      <w:r>
        <w:t xml:space="preserve">OMB establishing standard data elements for </w:t>
      </w:r>
      <w:r>
        <w:t>iEdison</w:t>
      </w:r>
      <w:r>
        <w:t xml:space="preserve"> (73 FR 59680) that will eventually be incorporated into the </w:t>
      </w:r>
      <w:r>
        <w:t>iEdison</w:t>
      </w:r>
      <w:r>
        <w:t xml:space="preserve"> system and obviate the need for the HHS 568 Final Invention and Certification Statement and</w:t>
      </w:r>
      <w:r w:rsidRPr="006F28B3">
        <w:t xml:space="preserve"> other similar Federal reporting forms used by other agencies</w:t>
      </w:r>
      <w:r>
        <w:t xml:space="preserve">. In the meantime, NIH grantees are </w:t>
      </w:r>
      <w:r w:rsidR="00AE6774">
        <w:t>required</w:t>
      </w:r>
      <w:r>
        <w:t xml:space="preserve"> to submit the HHS 568 electronically to the NIH Closeout Center via the </w:t>
      </w:r>
      <w:r>
        <w:t>eRA</w:t>
      </w:r>
      <w:r>
        <w:t xml:space="preserve"> Commons.</w:t>
      </w:r>
      <w:r w:rsidR="001B3739">
        <w:t xml:space="preserve"> T</w:t>
      </w:r>
      <w:r w:rsidRPr="001B3739" w:rsidR="001B3739">
        <w:t xml:space="preserve">he </w:t>
      </w:r>
      <w:r w:rsidRPr="001B3739" w:rsidR="001B3739">
        <w:t>iEdison</w:t>
      </w:r>
      <w:r w:rsidRPr="001B3739" w:rsidR="001B3739">
        <w:t xml:space="preserve"> system </w:t>
      </w:r>
      <w:r w:rsidR="001B3739">
        <w:t>has transitioned to</w:t>
      </w:r>
      <w:r w:rsidRPr="001B3739" w:rsidR="001B3739">
        <w:t xml:space="preserve"> the National Institute of Standards and Technology (NIST) under the Department of Commerce (DOC). NIST will maintain OMB clearance </w:t>
      </w:r>
      <w:r w:rsidR="006C79FD">
        <w:t xml:space="preserve">for </w:t>
      </w:r>
      <w:r w:rsidR="006C79FD">
        <w:t>iEdison</w:t>
      </w:r>
      <w:r w:rsidR="006C79FD">
        <w:t xml:space="preserve"> </w:t>
      </w:r>
      <w:r w:rsidRPr="001B3739" w:rsidR="001B3739">
        <w:t>under 0693-0090.</w:t>
      </w:r>
    </w:p>
    <w:p w:rsidR="002F0ED8" w:rsidP="002F0ED8" w14:paraId="14132F9B" w14:textId="77777777">
      <w:pPr>
        <w:rPr>
          <w:b/>
        </w:rPr>
      </w:pPr>
    </w:p>
    <w:p w:rsidR="002F0ED8" w:rsidP="002F0ED8" w14:paraId="3F15F94B" w14:textId="77777777">
      <w:pPr>
        <w:spacing w:line="480" w:lineRule="auto"/>
      </w:pPr>
      <w:r w:rsidRPr="0039368E">
        <w:t xml:space="preserve">g. </w:t>
      </w:r>
      <w:r w:rsidRPr="00486853">
        <w:rPr>
          <w:u w:val="single"/>
        </w:rPr>
        <w:t>Relinquishing Statement PHS 3734</w:t>
      </w:r>
      <w:r w:rsidRPr="0039368E">
        <w:t xml:space="preserve"> </w:t>
      </w:r>
      <w:r>
        <w:t>-</w:t>
      </w:r>
      <w:r w:rsidRPr="0039368E">
        <w:t xml:space="preserve"> The PHS 3734 Relinquishing Statement may be submitted</w:t>
      </w:r>
      <w:r w:rsidRPr="00126CDB">
        <w:t xml:space="preserve"> in paper or electronically via the </w:t>
      </w:r>
      <w:r w:rsidRPr="00126CDB">
        <w:t>eRA</w:t>
      </w:r>
      <w:r w:rsidRPr="00126CDB">
        <w:t xml:space="preserve"> Commons</w:t>
      </w:r>
      <w:r>
        <w:t>.</w:t>
      </w:r>
    </w:p>
    <w:p w:rsidR="002F0ED8" w:rsidP="002F0ED8" w14:paraId="49097DA0" w14:textId="77777777"/>
    <w:p w:rsidR="002F0ED8" w:rsidP="002F0ED8" w14:paraId="0C2532A1" w14:textId="30522442">
      <w:pPr>
        <w:spacing w:line="480" w:lineRule="auto"/>
        <w:rPr>
          <w:bCs/>
        </w:rPr>
      </w:pPr>
      <w:r>
        <w:t xml:space="preserve">h. </w:t>
      </w:r>
      <w:r w:rsidRPr="00805884">
        <w:rPr>
          <w:u w:val="single"/>
        </w:rPr>
        <w:t>Prior Approval</w:t>
      </w:r>
      <w:r>
        <w:t xml:space="preserve"> </w:t>
      </w:r>
      <w:r w:rsidRPr="003C069A">
        <w:rPr>
          <w:bCs/>
        </w:rPr>
        <w:t xml:space="preserve">- the current submission process for prior approval requests is through email submission. NIH has developed an electronic submission option through the </w:t>
      </w:r>
      <w:r w:rsidRPr="003C069A">
        <w:rPr>
          <w:bCs/>
        </w:rPr>
        <w:t>eRA</w:t>
      </w:r>
      <w:r w:rsidRPr="003C069A">
        <w:rPr>
          <w:bCs/>
        </w:rPr>
        <w:t xml:space="preserve"> Commons for applicants and grantees to submit these requests directly to the appropriate official. Review and approval will happen within </w:t>
      </w:r>
      <w:r w:rsidR="00791225">
        <w:rPr>
          <w:bCs/>
        </w:rPr>
        <w:t>the</w:t>
      </w:r>
      <w:r w:rsidRPr="003C069A">
        <w:rPr>
          <w:bCs/>
        </w:rPr>
        <w:t xml:space="preserve"> system, which is currently optional for applicants and </w:t>
      </w:r>
      <w:r w:rsidR="00791225">
        <w:rPr>
          <w:bCs/>
        </w:rPr>
        <w:t>recipients</w:t>
      </w:r>
      <w:r w:rsidRPr="003C069A">
        <w:rPr>
          <w:bCs/>
        </w:rPr>
        <w:t xml:space="preserve">. Examples of prior approval requests </w:t>
      </w:r>
      <w:r w:rsidRPr="003C069A">
        <w:rPr>
          <w:bCs/>
        </w:rPr>
        <w:t>include, but</w:t>
      </w:r>
      <w:r w:rsidRPr="003C069A">
        <w:rPr>
          <w:bCs/>
        </w:rPr>
        <w:t xml:space="preserve"> are not limited to: additional no-cost extension, extension greater than 12 months, or late </w:t>
      </w:r>
      <w:r w:rsidRPr="003C069A">
        <w:rPr>
          <w:bCs/>
        </w:rPr>
        <w:t xml:space="preserve">notification of initial no-cost extension; change in Program Director/Principal Investigator. See Attachment </w:t>
      </w:r>
      <w:r>
        <w:rPr>
          <w:bCs/>
        </w:rPr>
        <w:t>21</w:t>
      </w:r>
      <w:r w:rsidRPr="003C069A">
        <w:rPr>
          <w:bCs/>
        </w:rPr>
        <w:t xml:space="preserve"> for screen shots of this system. </w:t>
      </w:r>
      <w:r>
        <w:rPr>
          <w:bCs/>
        </w:rPr>
        <w:t xml:space="preserve"> </w:t>
      </w:r>
    </w:p>
    <w:p w:rsidR="002F0ED8" w:rsidRPr="003C069A" w:rsidP="002F0ED8" w14:paraId="0A13F341" w14:textId="619F1D30">
      <w:pPr>
        <w:spacing w:line="480" w:lineRule="auto"/>
        <w:rPr>
          <w:bCs/>
        </w:rPr>
      </w:pPr>
      <w:r>
        <w:rPr>
          <w:bCs/>
        </w:rPr>
        <w:t xml:space="preserve">i. </w:t>
      </w:r>
      <w:r>
        <w:rPr>
          <w:u w:val="single"/>
        </w:rPr>
        <w:t>Privacy Impact Assessment (PIA)</w:t>
      </w:r>
      <w:r>
        <w:t xml:space="preserve"> - NIH grant systems, such as </w:t>
      </w:r>
      <w:r>
        <w:t>eRA</w:t>
      </w:r>
      <w:r>
        <w:t xml:space="preserve"> and IMPAC II</w:t>
      </w:r>
      <w:r w:rsidR="0060177C">
        <w:t>,</w:t>
      </w:r>
      <w:r>
        <w:t xml:space="preserve"> are covered by a PIA. See Attachment 22 for the latest copy of the PIA.</w:t>
      </w:r>
    </w:p>
    <w:bookmarkEnd w:id="9"/>
    <w:bookmarkEnd w:id="10"/>
    <w:p w:rsidR="00CC15EA" w:rsidRPr="00E35DD1" w:rsidP="00A00CF8" w14:paraId="524B2DC4" w14:textId="77777777">
      <w:pPr>
        <w:rPr>
          <w:color w:val="000000" w:themeColor="text1"/>
        </w:rPr>
      </w:pPr>
    </w:p>
    <w:p w:rsidR="00685B30" w:rsidRPr="00C4161B" w:rsidP="00743A12" w14:paraId="2634512F" w14:textId="77777777">
      <w:pPr>
        <w:pStyle w:val="Heading2"/>
      </w:pPr>
      <w:bookmarkStart w:id="11" w:name="_Toc443881745"/>
      <w:bookmarkStart w:id="12" w:name="_Toc451592234"/>
      <w:bookmarkStart w:id="13" w:name="_Toc5610275"/>
      <w:bookmarkStart w:id="14" w:name="_Toc99178781"/>
      <w:bookmarkStart w:id="15" w:name="_Toc174029903"/>
      <w:r w:rsidRPr="00C4161B">
        <w:t>A.4</w:t>
      </w:r>
      <w:r w:rsidRPr="00C4161B">
        <w:tab/>
        <w:t>Efforts to Identify Duplication and Use of Similar Information</w:t>
      </w:r>
      <w:bookmarkEnd w:id="11"/>
      <w:bookmarkEnd w:id="12"/>
      <w:bookmarkEnd w:id="13"/>
      <w:bookmarkEnd w:id="14"/>
      <w:bookmarkEnd w:id="15"/>
    </w:p>
    <w:p w:rsidR="005E78AE" w:rsidP="005E78AE" w14:paraId="1D47EBF0" w14:textId="77777777">
      <w:pPr>
        <w:spacing w:line="480" w:lineRule="auto"/>
        <w:ind w:right="-684"/>
        <w:rPr>
          <w:bCs/>
        </w:rPr>
      </w:pPr>
      <w:bookmarkStart w:id="16" w:name="_Toc443881746"/>
      <w:bookmarkStart w:id="17" w:name="_Toc451592235"/>
      <w:bookmarkStart w:id="18" w:name="_Toc5610276"/>
      <w:bookmarkStart w:id="19" w:name="_Toc99178782"/>
      <w:r>
        <w:rPr>
          <w:bCs/>
        </w:rPr>
        <w:t xml:space="preserve">Information similar to that specified under this OMB collection does not exist elsewhere; </w:t>
      </w:r>
      <w:r>
        <w:rPr>
          <w:bCs/>
        </w:rPr>
        <w:t>thus</w:t>
      </w:r>
      <w:r>
        <w:rPr>
          <w:bCs/>
        </w:rPr>
        <w:t xml:space="preserve"> there is no other method for collection. Interim progress reports address findings, publications, personnel, changes, and the status of activities such as research with human subjects and select agents, and compliance with legal requirements, </w:t>
      </w:r>
      <w:r>
        <w:rPr>
          <w:bCs/>
        </w:rPr>
        <w:t>policies</w:t>
      </w:r>
      <w:r>
        <w:rPr>
          <w:bCs/>
        </w:rPr>
        <w:t xml:space="preserve"> and other terms of award. Where relevant pre-existing data is available from NIH systems the data is pre-populated for the grantee. Likewise, information provided in NRSA termination notices, payback agreement and activities certification, final progress reports and invention reporting and certification, are unavailable elsewhere.</w:t>
      </w:r>
    </w:p>
    <w:p w:rsidR="00CC505F" w:rsidRPr="005D2CAF" w:rsidP="00CC505F" w14:paraId="654F16F7" w14:textId="77777777">
      <w:pPr>
        <w:spacing w:line="480" w:lineRule="auto"/>
        <w:ind w:right="-684"/>
        <w:rPr>
          <w:bCs/>
        </w:rPr>
      </w:pPr>
    </w:p>
    <w:p w:rsidR="00685B30" w:rsidRPr="00C4161B" w:rsidP="00743A12" w14:paraId="2E534297" w14:textId="77777777">
      <w:pPr>
        <w:pStyle w:val="Heading2"/>
      </w:pPr>
      <w:bookmarkStart w:id="20" w:name="_Toc174029904"/>
      <w:r w:rsidRPr="00C4161B">
        <w:t>A.5</w:t>
      </w:r>
      <w:r w:rsidRPr="00C4161B">
        <w:tab/>
        <w:t>Impact on Small Businesses or Other Small Entities</w:t>
      </w:r>
      <w:bookmarkEnd w:id="16"/>
      <w:bookmarkEnd w:id="17"/>
      <w:bookmarkEnd w:id="18"/>
      <w:bookmarkEnd w:id="19"/>
      <w:bookmarkEnd w:id="20"/>
    </w:p>
    <w:p w:rsidR="005A2499" w:rsidP="005A2499" w14:paraId="3E5C1F37" w14:textId="77777777">
      <w:pPr>
        <w:pStyle w:val="BodyText"/>
        <w:ind w:right="-684"/>
        <w:rPr>
          <w:rFonts w:asciiTheme="minorHAnsi" w:hAnsiTheme="minorHAnsi" w:cstheme="minorHAnsi"/>
          <w:bCs/>
          <w:sz w:val="22"/>
          <w:szCs w:val="22"/>
        </w:rPr>
      </w:pPr>
      <w:r w:rsidRPr="00F51F3C">
        <w:rPr>
          <w:rFonts w:asciiTheme="minorHAnsi" w:hAnsiTheme="minorHAnsi" w:cstheme="minorHAnsi"/>
          <w:bCs/>
          <w:sz w:val="22"/>
          <w:szCs w:val="22"/>
        </w:rPr>
        <w:t xml:space="preserve">The procedures for small businesses and other small entities are the same as for other grantees. Interim progress reporting of SBIR/STTR awards occurs via the RPPR. Since June 30, 2017, NIH continues the use of Final RPPR for SBIR/STTR awards. </w:t>
      </w:r>
    </w:p>
    <w:p w:rsidR="0060177C" w:rsidRPr="00F51F3C" w:rsidP="005A2499" w14:paraId="68C23D59" w14:textId="77777777">
      <w:pPr>
        <w:pStyle w:val="BodyText"/>
        <w:ind w:right="-684"/>
        <w:rPr>
          <w:rFonts w:asciiTheme="minorHAnsi" w:hAnsiTheme="minorHAnsi" w:cstheme="minorHAnsi"/>
          <w:bCs/>
          <w:sz w:val="22"/>
          <w:szCs w:val="22"/>
        </w:rPr>
      </w:pPr>
    </w:p>
    <w:p w:rsidR="00C81370" w:rsidRPr="00C76797" w:rsidP="004716CF" w14:paraId="6B8CAF73" w14:textId="77777777">
      <w:pPr>
        <w:pStyle w:val="P1-StandPara"/>
        <w:spacing w:line="240" w:lineRule="auto"/>
        <w:ind w:firstLine="0"/>
        <w:rPr>
          <w:rFonts w:ascii="Calibri" w:hAnsi="Calibri" w:cs="Calibri"/>
        </w:rPr>
      </w:pPr>
    </w:p>
    <w:p w:rsidR="00685B30" w:rsidRPr="00C4161B" w:rsidP="00743A12" w14:paraId="4DCCFE87" w14:textId="77777777">
      <w:pPr>
        <w:pStyle w:val="Heading2"/>
      </w:pPr>
      <w:bookmarkStart w:id="21" w:name="_Toc443881747"/>
      <w:bookmarkStart w:id="22" w:name="_Toc451592236"/>
      <w:bookmarkStart w:id="23" w:name="_Toc5610277"/>
      <w:bookmarkStart w:id="24" w:name="_Toc99178783"/>
      <w:bookmarkStart w:id="25" w:name="_Toc174029905"/>
      <w:r w:rsidRPr="00C4161B">
        <w:t>A.6</w:t>
      </w:r>
      <w:r w:rsidRPr="00C4161B">
        <w:tab/>
        <w:t>Consequences of Collecting the Information Less Frequently</w:t>
      </w:r>
      <w:bookmarkEnd w:id="21"/>
      <w:bookmarkEnd w:id="22"/>
      <w:bookmarkEnd w:id="23"/>
      <w:bookmarkEnd w:id="24"/>
      <w:bookmarkEnd w:id="25"/>
    </w:p>
    <w:p w:rsidR="00015039" w:rsidP="00015039" w14:paraId="37D37703" w14:textId="77777777">
      <w:pPr>
        <w:spacing w:line="480" w:lineRule="auto"/>
        <w:ind w:right="-684"/>
        <w:rPr>
          <w:bCs/>
        </w:rPr>
      </w:pPr>
      <w:r>
        <w:rPr>
          <w:bCs/>
        </w:rPr>
        <w:t>Information is collected at crucial points in the post-award process: interim progress reporting is required annually to fund subsequent budget periods, NRSA forms are collected at the end of training and, when applicable, document payback activities in accord with legislatively mandated timelines, and close-out documents are required by agencies within 120 days of the end of a project. It is not possible to collect this information less frequently.</w:t>
      </w:r>
    </w:p>
    <w:p w:rsidR="00380509" w:rsidRPr="00E35DD1" w:rsidP="00685B30" w14:paraId="7D5084C6" w14:textId="77777777"/>
    <w:p w:rsidR="00685B30" w:rsidRPr="00C4161B" w:rsidP="00743A12" w14:paraId="50FA46DF" w14:textId="77777777">
      <w:pPr>
        <w:pStyle w:val="Heading2"/>
      </w:pPr>
      <w:bookmarkStart w:id="26" w:name="_Toc443881748"/>
      <w:bookmarkStart w:id="27" w:name="_Toc451592237"/>
      <w:bookmarkStart w:id="28" w:name="_Toc5610278"/>
      <w:bookmarkStart w:id="29" w:name="_Toc99178784"/>
      <w:bookmarkStart w:id="30" w:name="_Toc174029906"/>
      <w:r w:rsidRPr="00C4161B">
        <w:t>A.7</w:t>
      </w:r>
      <w:r w:rsidRPr="00C4161B">
        <w:tab/>
      </w:r>
      <w:r w:rsidRPr="00C4161B">
        <w:t xml:space="preserve">Special Circumstances Relating to the Guidelines of 5 </w:t>
      </w:r>
      <w:smartTag w:uri="urn:schemas-microsoft-com:office:smarttags" w:element="stockticker">
        <w:r w:rsidRPr="00C4161B">
          <w:t>CFR</w:t>
        </w:r>
      </w:smartTag>
      <w:r w:rsidRPr="00C4161B">
        <w:t xml:space="preserve"> 1320.5</w:t>
      </w:r>
      <w:bookmarkEnd w:id="26"/>
      <w:bookmarkEnd w:id="27"/>
      <w:bookmarkEnd w:id="28"/>
      <w:bookmarkEnd w:id="29"/>
      <w:bookmarkEnd w:id="30"/>
    </w:p>
    <w:p w:rsidR="00C91499" w:rsidRPr="005E72AE" w:rsidP="00C91499" w14:paraId="51F8B7C3" w14:textId="77777777">
      <w:pPr>
        <w:spacing w:line="480" w:lineRule="auto"/>
        <w:ind w:right="-684"/>
        <w:rPr>
          <w:bCs/>
        </w:rPr>
      </w:pPr>
      <w:r w:rsidRPr="005E72AE">
        <w:t>There are no special circumstances for the collection of information requirements</w:t>
      </w:r>
      <w:r w:rsidRPr="005E72AE">
        <w:rPr>
          <w:bCs/>
        </w:rPr>
        <w:t>.</w:t>
      </w:r>
    </w:p>
    <w:p w:rsidR="00685B30" w:rsidRPr="00E35DD1" w:rsidP="00E35DD1" w14:paraId="635EB124" w14:textId="77777777">
      <w:pPr>
        <w:pStyle w:val="P1-StandPara"/>
        <w:spacing w:line="240" w:lineRule="auto"/>
        <w:ind w:firstLine="0"/>
        <w:rPr>
          <w:rFonts w:asciiTheme="minorHAnsi" w:hAnsiTheme="minorHAnsi"/>
          <w:szCs w:val="22"/>
        </w:rPr>
      </w:pPr>
    </w:p>
    <w:p w:rsidR="0036208F" w:rsidRPr="00C4161B" w:rsidP="00743A12" w14:paraId="42BE9D3A" w14:textId="77777777">
      <w:pPr>
        <w:pStyle w:val="Heading2"/>
      </w:pPr>
      <w:bookmarkStart w:id="31" w:name="_Toc174029907"/>
      <w:bookmarkStart w:id="32" w:name="_Toc443881749"/>
      <w:bookmarkStart w:id="33" w:name="_Toc451592238"/>
      <w:bookmarkStart w:id="34" w:name="_Toc5610279"/>
      <w:bookmarkStart w:id="35" w:name="_Toc99178785"/>
      <w:r w:rsidRPr="00C4161B">
        <w:t>A.8</w:t>
      </w:r>
      <w:r w:rsidRPr="00C4161B">
        <w:t>.1</w:t>
      </w:r>
      <w:r w:rsidRPr="00C4161B">
        <w:tab/>
        <w:t>Comments in Response to the Federal Register Notice</w:t>
      </w:r>
      <w:bookmarkEnd w:id="31"/>
      <w:r w:rsidRPr="00C4161B">
        <w:t xml:space="preserve"> </w:t>
      </w:r>
    </w:p>
    <w:bookmarkEnd w:id="32"/>
    <w:bookmarkEnd w:id="33"/>
    <w:bookmarkEnd w:id="34"/>
    <w:bookmarkEnd w:id="35"/>
    <w:p w:rsidR="00844818" w:rsidRPr="00057E1E" w:rsidP="00844818" w14:paraId="2815F2A0" w14:textId="480D00E6">
      <w:pPr>
        <w:spacing w:line="480" w:lineRule="auto"/>
      </w:pPr>
      <w:r w:rsidRPr="005E72AE">
        <w:t>An announcement was placed in the Federal Register,</w:t>
      </w:r>
      <w:r w:rsidR="00C25A96">
        <w:t xml:space="preserve"> Vol.89 No. 100</w:t>
      </w:r>
      <w:r w:rsidRPr="00774687">
        <w:rPr>
          <w:rFonts w:ascii="Georgia" w:hAnsi="Georgia"/>
          <w:color w:val="333333"/>
          <w:shd w:val="clear" w:color="auto" w:fill="F1F1F1"/>
        </w:rPr>
        <w:t xml:space="preserve"> </w:t>
      </w:r>
      <w:r w:rsidRPr="007B5FA7">
        <w:t xml:space="preserve">pages </w:t>
      </w:r>
      <w:r w:rsidRPr="007B5FA7" w:rsidR="007B5FA7">
        <w:t>45000-45001</w:t>
      </w:r>
      <w:r w:rsidRPr="007B5FA7">
        <w:t xml:space="preserve">, on </w:t>
      </w:r>
      <w:r w:rsidRPr="007B5FA7" w:rsidR="007B5FA7">
        <w:t>Ma</w:t>
      </w:r>
      <w:r w:rsidR="007B5FA7">
        <w:t>y 22, 2024</w:t>
      </w:r>
      <w:r w:rsidRPr="0069308A">
        <w:t xml:space="preserve"> </w:t>
      </w:r>
      <w:r w:rsidRPr="00D177ED">
        <w:t>for public commen</w:t>
      </w:r>
      <w:r w:rsidRPr="00A374BF">
        <w:t xml:space="preserve">t. </w:t>
      </w:r>
      <w:r w:rsidR="00291426">
        <w:t>One</w:t>
      </w:r>
      <w:r w:rsidR="00272FD2">
        <w:t xml:space="preserve"> public comment w</w:t>
      </w:r>
      <w:r w:rsidR="00291426">
        <w:t>as</w:t>
      </w:r>
      <w:r w:rsidR="00272FD2">
        <w:t xml:space="preserve"> received. </w:t>
      </w:r>
    </w:p>
    <w:p w:rsidR="006B2ECD" w:rsidP="009A6B3E" w14:paraId="309F285B" w14:textId="77777777">
      <w:pPr>
        <w:spacing w:line="480" w:lineRule="auto"/>
      </w:pPr>
    </w:p>
    <w:p w:rsidR="0036208F" w:rsidRPr="00C4161B" w:rsidP="00743A12" w14:paraId="51C2EE07" w14:textId="77777777">
      <w:pPr>
        <w:pStyle w:val="Heading2"/>
      </w:pPr>
      <w:bookmarkStart w:id="36" w:name="_Toc174029908"/>
      <w:r w:rsidRPr="00C4161B">
        <w:t>A.8.2</w:t>
      </w:r>
      <w:r w:rsidRPr="00C4161B">
        <w:tab/>
        <w:t>Efforts to Consult Outside Agency</w:t>
      </w:r>
      <w:bookmarkEnd w:id="36"/>
    </w:p>
    <w:p w:rsidR="00F44F2B" w:rsidRPr="00E27D96" w:rsidP="00F44F2B" w14:paraId="4C62C0C0" w14:textId="53A79BA5">
      <w:pPr>
        <w:spacing w:line="480" w:lineRule="auto"/>
        <w:ind w:right="-684"/>
        <w:rPr>
          <w:bCs/>
        </w:rPr>
      </w:pPr>
      <w:r w:rsidRPr="00E27D96">
        <w:rPr>
          <w:bCs/>
        </w:rPr>
        <w:t xml:space="preserve">Other consultations occur regularly at </w:t>
      </w:r>
      <w:r w:rsidRPr="00E27D96" w:rsidR="000C3894">
        <w:rPr>
          <w:bCs/>
        </w:rPr>
        <w:t xml:space="preserve">NIH </w:t>
      </w:r>
      <w:r w:rsidR="000C3894">
        <w:rPr>
          <w:bCs/>
        </w:rPr>
        <w:t>Virtual Grants Conferences</w:t>
      </w:r>
      <w:r w:rsidRPr="00E27D96" w:rsidR="000C3894">
        <w:rPr>
          <w:bCs/>
        </w:rPr>
        <w:t xml:space="preserve"> </w:t>
      </w:r>
      <w:r w:rsidR="000C3894">
        <w:rPr>
          <w:bCs/>
        </w:rPr>
        <w:t>typically held annually</w:t>
      </w:r>
      <w:r w:rsidRPr="00E27D96">
        <w:rPr>
          <w:bCs/>
        </w:rPr>
        <w:t>. Participation in the Federal Demonstration Project</w:t>
      </w:r>
      <w:r>
        <w:rPr>
          <w:bCs/>
        </w:rPr>
        <w:t xml:space="preserve"> (FDP) ((http://thefdp.org), and meetings of professional organizations such as the National Council of University Research Administrators, Society for Research Administrators, and the Council on Government Relations,</w:t>
      </w:r>
      <w:r w:rsidRPr="00E27D96">
        <w:rPr>
          <w:bCs/>
        </w:rPr>
        <w:t xml:space="preserve"> also provide an avenue of productive communication with the grantee research community. </w:t>
      </w:r>
      <w:r>
        <w:rPr>
          <w:bCs/>
        </w:rPr>
        <w:t xml:space="preserve">These </w:t>
      </w:r>
      <w:r w:rsidRPr="00E27D96">
        <w:rPr>
          <w:bCs/>
        </w:rPr>
        <w:t xml:space="preserve">meetings </w:t>
      </w:r>
      <w:r>
        <w:rPr>
          <w:bCs/>
        </w:rPr>
        <w:t>present opportunities</w:t>
      </w:r>
      <w:r w:rsidRPr="00E27D96">
        <w:rPr>
          <w:bCs/>
        </w:rPr>
        <w:t xml:space="preserve"> for exchange of information on </w:t>
      </w:r>
      <w:r>
        <w:rPr>
          <w:bCs/>
        </w:rPr>
        <w:t>post-award activities and reporting requirements</w:t>
      </w:r>
      <w:r w:rsidRPr="00E27D96">
        <w:rPr>
          <w:bCs/>
        </w:rPr>
        <w:t xml:space="preserve">. </w:t>
      </w:r>
      <w:r>
        <w:rPr>
          <w:bCs/>
        </w:rPr>
        <w:t>All q</w:t>
      </w:r>
      <w:r w:rsidRPr="00E27D96">
        <w:rPr>
          <w:bCs/>
        </w:rPr>
        <w:t>uestions, comments and discussions from these meetings and throughout the year are duly noted and considered when modifying grant related information collections.</w:t>
      </w:r>
    </w:p>
    <w:p w:rsidR="00B57D68" w:rsidRPr="00442B5B" w:rsidP="00442B5B" w14:paraId="1EF08DCE" w14:textId="77777777"/>
    <w:p w:rsidR="00685B30" w:rsidRPr="00E35DD1" w:rsidP="006B2ECD" w14:paraId="06EE05E1" w14:textId="77777777">
      <w:pPr>
        <w:pStyle w:val="Heading2"/>
      </w:pPr>
      <w:bookmarkStart w:id="37" w:name="_Toc174029909"/>
      <w:r w:rsidRPr="00E35DD1">
        <w:t>A.9</w:t>
      </w:r>
      <w:r w:rsidRPr="00E35DD1">
        <w:tab/>
        <w:t>Explanation of Any Payment of Gift to Respondents</w:t>
      </w:r>
      <w:bookmarkEnd w:id="37"/>
    </w:p>
    <w:p w:rsidR="00A4174A" w:rsidRPr="00847667" w:rsidP="00A4174A" w14:paraId="48860FF7" w14:textId="77777777">
      <w:pPr>
        <w:spacing w:line="480" w:lineRule="auto"/>
        <w:ind w:right="-684"/>
        <w:rPr>
          <w:bCs/>
        </w:rPr>
      </w:pPr>
      <w:r w:rsidRPr="00847667">
        <w:rPr>
          <w:bCs/>
        </w:rPr>
        <w:t>There are no payments or gifts to respondents.</w:t>
      </w:r>
    </w:p>
    <w:p w:rsidR="00A4174A" w:rsidRPr="00E35DD1" w:rsidP="00685B30" w14:paraId="0D35157D" w14:textId="77777777"/>
    <w:p w:rsidR="00685B30" w:rsidRPr="00E35DD1" w:rsidP="006B2ECD" w14:paraId="43756684" w14:textId="77777777">
      <w:pPr>
        <w:pStyle w:val="Heading2"/>
      </w:pPr>
      <w:bookmarkStart w:id="38" w:name="_Toc174029910"/>
      <w:r w:rsidRPr="00E35DD1">
        <w:t>A.10</w:t>
      </w:r>
      <w:r w:rsidRPr="00E35DD1">
        <w:tab/>
        <w:t>Assurance of Confidentiality Provided to Respondents</w:t>
      </w:r>
      <w:bookmarkEnd w:id="38"/>
    </w:p>
    <w:p w:rsidR="00D1195E" w:rsidRPr="008B6541" w:rsidP="00D1195E" w14:paraId="40EE901A" w14:textId="77777777">
      <w:pPr>
        <w:pStyle w:val="BlockText"/>
        <w:spacing w:line="480" w:lineRule="auto"/>
        <w:ind w:left="0" w:right="-684"/>
        <w:rPr>
          <w:rFonts w:asciiTheme="minorHAnsi" w:hAnsiTheme="minorHAnsi" w:cstheme="minorHAnsi"/>
          <w:sz w:val="22"/>
          <w:szCs w:val="22"/>
        </w:rPr>
      </w:pPr>
      <w:r w:rsidRPr="008B6541">
        <w:rPr>
          <w:rFonts w:asciiTheme="minorHAnsi" w:hAnsiTheme="minorHAnsi" w:cstheme="minorHAnsi"/>
          <w:bCs/>
          <w:sz w:val="22"/>
          <w:szCs w:val="22"/>
        </w:rPr>
        <w:t xml:space="preserve">The PHS maintains applications and grant records as part of a system of records defined by the Privacy Act: </w:t>
      </w:r>
      <w:hyperlink r:id="rId9" w:history="1">
        <w:r w:rsidRPr="008B6541">
          <w:rPr>
            <w:rStyle w:val="Hyperlink"/>
            <w:rFonts w:asciiTheme="minorHAnsi" w:eastAsiaTheme="majorEastAsia" w:hAnsiTheme="minorHAnsi" w:cstheme="minorHAnsi"/>
            <w:sz w:val="22"/>
            <w:szCs w:val="22"/>
          </w:rPr>
          <w:t>09-25-0036</w:t>
        </w:r>
      </w:hyperlink>
      <w:r w:rsidRPr="008B6541">
        <w:rPr>
          <w:rFonts w:asciiTheme="minorHAnsi" w:hAnsiTheme="minorHAnsi" w:cstheme="minorHAnsi"/>
          <w:sz w:val="22"/>
          <w:szCs w:val="22"/>
        </w:rPr>
        <w:t xml:space="preserve">, Extramural Awards and Chartered Advisory Committees (IMPAC II), Contract Information (DCIS), and Cooperative Agreement Information, HHS/NIH.  The SORN published in the Federal Register on September 26, 2002 </w:t>
      </w:r>
      <w:r w:rsidRPr="008B6541">
        <w:rPr>
          <w:rFonts w:asciiTheme="minorHAnsi" w:hAnsiTheme="minorHAnsi" w:cstheme="minorHAnsi"/>
          <w:sz w:val="22"/>
          <w:szCs w:val="22"/>
        </w:rPr>
        <w:t xml:space="preserve">(Vol. 67, No. 187). </w:t>
      </w:r>
      <w:r w:rsidRPr="008B6541">
        <w:rPr>
          <w:rFonts w:asciiTheme="minorHAnsi" w:hAnsiTheme="minorHAnsi" w:cstheme="minorHAnsi"/>
          <w:bCs/>
          <w:sz w:val="22"/>
          <w:szCs w:val="22"/>
        </w:rPr>
        <w:t xml:space="preserve">Release of information is fully explained in all grant related information collections. </w:t>
      </w:r>
      <w:r w:rsidRPr="008B6541">
        <w:rPr>
          <w:rFonts w:asciiTheme="minorHAnsi" w:hAnsiTheme="minorHAnsi" w:cstheme="minorHAnsi"/>
          <w:color w:val="000000"/>
          <w:sz w:val="22"/>
          <w:szCs w:val="22"/>
        </w:rPr>
        <w:t>A Privacy Impact Assessment was completed for the databases used in this submission.</w:t>
      </w:r>
    </w:p>
    <w:p w:rsidR="00E35DD1" w:rsidP="00E35DD1" w14:paraId="63CCC42F" w14:textId="77777777">
      <w:pPr>
        <w:pStyle w:val="P1-StandPara"/>
        <w:spacing w:line="240" w:lineRule="auto"/>
        <w:ind w:firstLine="0"/>
        <w:rPr>
          <w:rFonts w:asciiTheme="minorHAnsi" w:hAnsiTheme="minorHAnsi"/>
          <w:szCs w:val="22"/>
        </w:rPr>
      </w:pPr>
    </w:p>
    <w:p w:rsidR="00700483" w:rsidRPr="00E35DD1" w:rsidP="00E35DD1" w14:paraId="49FDB0F4" w14:textId="77777777">
      <w:pPr>
        <w:pStyle w:val="P1-StandPara"/>
        <w:spacing w:line="240" w:lineRule="auto"/>
        <w:ind w:firstLine="0"/>
        <w:rPr>
          <w:rFonts w:asciiTheme="minorHAnsi" w:hAnsiTheme="minorHAnsi"/>
          <w:szCs w:val="22"/>
        </w:rPr>
      </w:pPr>
    </w:p>
    <w:p w:rsidR="00685B30" w:rsidRPr="00E35DD1" w:rsidP="006B2ECD" w14:paraId="418F3B61" w14:textId="77777777">
      <w:pPr>
        <w:pStyle w:val="Heading2"/>
      </w:pPr>
      <w:bookmarkStart w:id="39" w:name="_Toc174029911"/>
      <w:r w:rsidRPr="00E35DD1">
        <w:t>A.11</w:t>
      </w:r>
      <w:r w:rsidRPr="00E35DD1">
        <w:tab/>
        <w:t>Justification for Sensitive Questions</w:t>
      </w:r>
      <w:bookmarkEnd w:id="39"/>
    </w:p>
    <w:p w:rsidR="002F0C48" w:rsidP="002F0C48" w14:paraId="5293F39E" w14:textId="0FDD5E57">
      <w:pPr>
        <w:spacing w:line="480" w:lineRule="auto"/>
        <w:ind w:right="-684"/>
      </w:pPr>
      <w:r>
        <w:rPr>
          <w:bCs/>
        </w:rPr>
        <w:t xml:space="preserve">For many years NIH collected the last four digits of the </w:t>
      </w:r>
      <w:r>
        <w:t xml:space="preserve">social security number (SSN) on the [former] Senior/Key Personnel Report in the PHS 2590. NIH no longer collects this information electronically within Section D. Participants on the RPPR and the elements have also been removed from the PHS2590 as part of this submission. </w:t>
      </w:r>
    </w:p>
    <w:p w:rsidR="002F0C48" w:rsidP="002F0C48" w14:paraId="44E99E4F" w14:textId="77777777">
      <w:pPr>
        <w:spacing w:line="480" w:lineRule="auto"/>
        <w:ind w:right="-684"/>
        <w:rPr>
          <w:bCs/>
        </w:rPr>
      </w:pPr>
      <w:r>
        <w:t xml:space="preserve">Under all circumstances, the provision of the abbreviated SSN and month/year of birth are voluntary, and no individual is denied any right, benefit, or privilege provided by law because of refusal to disclose the information. The data is not provided to peer review or Advisory committees. </w:t>
      </w:r>
      <w:r>
        <w:rPr>
          <w:bCs/>
        </w:rPr>
        <w:t xml:space="preserve">All analyses report aggregate statistical findings only and do not identify individuals. All confidential data are maintained in a Privacy Act record system (09-25-0036).  </w:t>
      </w:r>
    </w:p>
    <w:p w:rsidR="0026269B" w:rsidP="002F0C48" w14:paraId="74A348B0" w14:textId="0A13419C">
      <w:pPr>
        <w:spacing w:line="480" w:lineRule="auto"/>
        <w:ind w:right="-684"/>
        <w:rPr>
          <w:bCs/>
        </w:rPr>
      </w:pPr>
      <w:r w:rsidRPr="001E0F8E">
        <w:rPr>
          <w:bCs/>
          <w:highlight w:val="yellow"/>
        </w:rPr>
        <w:t>Note: NIH is engaged with HHS on implementation plans for Statistical Policy Directive No. 15: Race and Ethnicity Data Standards. No changes will be implemented as part of this current collection. Implementation based on NIH agency action plan(s) will be completed by March 28, 2029, as required.</w:t>
      </w:r>
    </w:p>
    <w:p w:rsidR="00685B30" w:rsidRPr="00E35DD1" w:rsidP="00685B30" w14:paraId="576DA571" w14:textId="77777777">
      <w:pPr>
        <w:pStyle w:val="P1-StandPara"/>
        <w:spacing w:line="240" w:lineRule="auto"/>
        <w:ind w:firstLine="0"/>
        <w:rPr>
          <w:rFonts w:asciiTheme="minorHAnsi" w:hAnsiTheme="minorHAnsi"/>
          <w:szCs w:val="22"/>
        </w:rPr>
      </w:pPr>
    </w:p>
    <w:p w:rsidR="00685B30" w:rsidRPr="00E35DD1" w:rsidP="006B2ECD" w14:paraId="2470C97A" w14:textId="77777777">
      <w:pPr>
        <w:pStyle w:val="Heading2"/>
      </w:pPr>
      <w:bookmarkStart w:id="40" w:name="_Toc174029912"/>
      <w:r w:rsidRPr="00E35DD1">
        <w:t>A.12</w:t>
      </w:r>
      <w:r w:rsidR="00BF491C">
        <w:t>.1</w:t>
      </w:r>
      <w:r w:rsidRPr="00E35DD1">
        <w:tab/>
        <w:t>Estimates of Hour Burden Including Annualized Hourly Costs</w:t>
      </w:r>
      <w:bookmarkEnd w:id="40"/>
    </w:p>
    <w:p w:rsidR="00B16DF6" w:rsidP="00B16DF6" w14:paraId="1F5684EC" w14:textId="00FFB4C7">
      <w:pPr>
        <w:spacing w:line="480" w:lineRule="auto"/>
      </w:pPr>
      <w:r w:rsidRPr="005C32A8">
        <w:rPr>
          <w:highlight w:val="yellow"/>
        </w:rPr>
        <w:t xml:space="preserve">This revision request </w:t>
      </w:r>
      <w:r w:rsidR="002F50D7">
        <w:rPr>
          <w:highlight w:val="yellow"/>
        </w:rPr>
        <w:t xml:space="preserve">includes </w:t>
      </w:r>
      <w:r w:rsidR="00DE77BE">
        <w:rPr>
          <w:highlight w:val="yellow"/>
        </w:rPr>
        <w:t xml:space="preserve">an estimated increase of 50,098 </w:t>
      </w:r>
      <w:r w:rsidR="00C2001F">
        <w:rPr>
          <w:highlight w:val="yellow"/>
        </w:rPr>
        <w:t xml:space="preserve">burden hours to align with the changes being implemented to the RPPR and Final RPPR for the collection of progress report information on the approved DMS Plan provide a structured, rather than free text, mechanism to report on information that was already required with the implementation of the 2023 NIH DMS Policy. </w:t>
      </w:r>
      <w:r w:rsidRPr="005C32A8">
        <w:rPr>
          <w:highlight w:val="yellow"/>
        </w:rPr>
        <w:t xml:space="preserve">The changes to the Training Data Tables are streamlining and clarifying the field elements and instructions but are not inherently changing the overall information being collected. The information collection that will be retained when the NIH Biographical Sketch Supplement replaces the NIH </w:t>
      </w:r>
      <w:r w:rsidRPr="005C32A8">
        <w:rPr>
          <w:highlight w:val="yellow"/>
        </w:rPr>
        <w:t>Biosketch</w:t>
      </w:r>
      <w:r w:rsidRPr="005C32A8">
        <w:rPr>
          <w:highlight w:val="yellow"/>
        </w:rPr>
        <w:t xml:space="preserve"> format are the narrative portions of that instrument that </w:t>
      </w:r>
      <w:r w:rsidRPr="005C32A8">
        <w:rPr>
          <w:highlight w:val="yellow"/>
        </w:rPr>
        <w:t xml:space="preserve">account for the majority of the burden. The addition of the NIH Biographical Sketch Supplement does not increase the overall burden as it will replace the NIH </w:t>
      </w:r>
      <w:r w:rsidRPr="005C32A8">
        <w:rPr>
          <w:highlight w:val="yellow"/>
        </w:rPr>
        <w:t>Biosketch</w:t>
      </w:r>
      <w:r w:rsidRPr="005C32A8">
        <w:rPr>
          <w:highlight w:val="yellow"/>
        </w:rPr>
        <w:t xml:space="preserve"> Format upon its implementation. In summary, the overall estimates to burden are not anticipated to change. </w:t>
      </w:r>
      <w:r w:rsidR="00F86DA6">
        <w:rPr>
          <w:highlight w:val="yellow"/>
        </w:rPr>
        <w:t xml:space="preserve">The new estimated total annualized burden hours </w:t>
      </w:r>
      <w:r w:rsidRPr="00F86DA6" w:rsidR="002E60BB">
        <w:rPr>
          <w:highlight w:val="yellow"/>
        </w:rPr>
        <w:t>are</w:t>
      </w:r>
      <w:r w:rsidRPr="00F86DA6" w:rsidR="00F86DA6">
        <w:rPr>
          <w:highlight w:val="yellow"/>
        </w:rPr>
        <w:t xml:space="preserve"> 629,088 hours. </w:t>
      </w:r>
      <w:r w:rsidRPr="00F86DA6">
        <w:rPr>
          <w:highlight w:val="yellow"/>
        </w:rPr>
        <w:t>N</w:t>
      </w:r>
      <w:r w:rsidRPr="005C32A8">
        <w:rPr>
          <w:highlight w:val="yellow"/>
        </w:rPr>
        <w:t>IH is engaging in on-going efforts to evaluate the assessment of burden estimates how to improve them.</w:t>
      </w:r>
    </w:p>
    <w:p w:rsidR="00125DB3" w:rsidP="00C24877" w14:paraId="0519B1E2" w14:textId="77777777">
      <w:pPr>
        <w:jc w:val="center"/>
      </w:pPr>
    </w:p>
    <w:p w:rsidR="00C24877" w:rsidP="00125DB3" w14:paraId="69E5DE25" w14:textId="037AC246">
      <w:pPr>
        <w:spacing w:after="0"/>
        <w:jc w:val="center"/>
      </w:pPr>
      <w:r>
        <w:t>Table 12-1 Estimated Annualized Burden Hours</w:t>
      </w:r>
    </w:p>
    <w:p w:rsidR="00BB6951" w:rsidRPr="00BB6951" w:rsidP="00A87133" w14:paraId="7BC2ED9C" w14:textId="77777777"/>
    <w:tbl>
      <w:tblPr>
        <w:tblpPr w:leftFromText="180" w:rightFromText="180" w:vertAnchor="text" w:horzAnchor="page" w:tblpX="541" w:tblpY="-85"/>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8"/>
        <w:gridCol w:w="2339"/>
        <w:gridCol w:w="1890"/>
        <w:gridCol w:w="1316"/>
        <w:gridCol w:w="1122"/>
        <w:gridCol w:w="1710"/>
      </w:tblGrid>
      <w:tr w14:paraId="66CA47C5" w14:textId="77777777" w:rsidTr="00D33EB6">
        <w:tblPrEx>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82"/>
        </w:trPr>
        <w:tc>
          <w:tcPr>
            <w:tcW w:w="2688" w:type="dxa"/>
            <w:vAlign w:val="center"/>
          </w:tcPr>
          <w:p w:rsidR="001E617A" w:rsidRPr="007D54A2" w:rsidP="00D33EB6" w14:paraId="392ED864" w14:textId="3A6C6BC3">
            <w:pPr>
              <w:jc w:val="center"/>
              <w:rPr>
                <w:b/>
                <w:bCs/>
                <w:color w:val="000000"/>
                <w:highlight w:val="yellow"/>
              </w:rPr>
            </w:pPr>
            <w:r w:rsidRPr="007D54A2">
              <w:rPr>
                <w:b/>
                <w:bCs/>
                <w:color w:val="000000"/>
                <w:highlight w:val="yellow"/>
              </w:rPr>
              <w:t>Attachment Name/Number</w:t>
            </w:r>
          </w:p>
        </w:tc>
        <w:tc>
          <w:tcPr>
            <w:tcW w:w="2339" w:type="dxa"/>
            <w:shd w:val="clear" w:color="auto" w:fill="auto"/>
            <w:vAlign w:val="center"/>
            <w:hideMark/>
          </w:tcPr>
          <w:p w:rsidR="001E617A" w:rsidRPr="00431303" w:rsidP="00291426" w14:paraId="408BB731" w14:textId="1D7F56BA">
            <w:pPr>
              <w:jc w:val="center"/>
              <w:rPr>
                <w:b/>
                <w:bCs/>
                <w:color w:val="000000"/>
              </w:rPr>
            </w:pPr>
            <w:r w:rsidRPr="00431303">
              <w:rPr>
                <w:b/>
                <w:bCs/>
                <w:color w:val="000000"/>
              </w:rPr>
              <w:t>Information Collection Form</w:t>
            </w:r>
            <w:r>
              <w:rPr>
                <w:b/>
                <w:bCs/>
                <w:color w:val="000000"/>
              </w:rPr>
              <w:t>s</w:t>
            </w:r>
          </w:p>
        </w:tc>
        <w:tc>
          <w:tcPr>
            <w:tcW w:w="1890" w:type="dxa"/>
            <w:shd w:val="clear" w:color="auto" w:fill="auto"/>
            <w:vAlign w:val="center"/>
            <w:hideMark/>
          </w:tcPr>
          <w:p w:rsidR="001E617A" w:rsidRPr="00431303" w:rsidP="00291426" w14:paraId="4AFFA17A" w14:textId="77777777">
            <w:pPr>
              <w:jc w:val="center"/>
              <w:rPr>
                <w:b/>
                <w:bCs/>
                <w:color w:val="000000"/>
              </w:rPr>
            </w:pPr>
            <w:r w:rsidRPr="00431303">
              <w:rPr>
                <w:b/>
                <w:bCs/>
                <w:color w:val="000000"/>
              </w:rPr>
              <w:t>Number of Respondents</w:t>
            </w:r>
          </w:p>
        </w:tc>
        <w:tc>
          <w:tcPr>
            <w:tcW w:w="1316" w:type="dxa"/>
            <w:vAlign w:val="center"/>
          </w:tcPr>
          <w:p w:rsidR="001E617A" w:rsidRPr="00431303" w:rsidP="00291426" w14:paraId="4BE29485" w14:textId="77777777">
            <w:pPr>
              <w:jc w:val="center"/>
              <w:rPr>
                <w:b/>
                <w:bCs/>
                <w:color w:val="000000"/>
              </w:rPr>
            </w:pPr>
            <w:r w:rsidRPr="00431303">
              <w:rPr>
                <w:b/>
                <w:bCs/>
                <w:color w:val="000000"/>
              </w:rPr>
              <w:t>Number of Responses per Respondent</w:t>
            </w:r>
          </w:p>
        </w:tc>
        <w:tc>
          <w:tcPr>
            <w:tcW w:w="1122" w:type="dxa"/>
            <w:shd w:val="clear" w:color="auto" w:fill="auto"/>
            <w:vAlign w:val="center"/>
            <w:hideMark/>
          </w:tcPr>
          <w:p w:rsidR="001E617A" w:rsidP="00291426" w14:paraId="4E688BEE" w14:textId="77777777">
            <w:pPr>
              <w:jc w:val="center"/>
              <w:rPr>
                <w:b/>
                <w:bCs/>
                <w:color w:val="000000"/>
              </w:rPr>
            </w:pPr>
            <w:r w:rsidRPr="00431303">
              <w:rPr>
                <w:b/>
                <w:bCs/>
                <w:color w:val="000000"/>
              </w:rPr>
              <w:t xml:space="preserve">Average Burden Per Response </w:t>
            </w:r>
          </w:p>
          <w:p w:rsidR="001E617A" w:rsidRPr="00431303" w:rsidP="00291426" w14:paraId="1BCD0C98" w14:textId="77777777">
            <w:pPr>
              <w:jc w:val="center"/>
              <w:rPr>
                <w:b/>
                <w:bCs/>
                <w:color w:val="000000"/>
              </w:rPr>
            </w:pPr>
            <w:r w:rsidRPr="00431303">
              <w:rPr>
                <w:b/>
                <w:bCs/>
                <w:color w:val="000000"/>
              </w:rPr>
              <w:t>(in hours)</w:t>
            </w:r>
          </w:p>
        </w:tc>
        <w:tc>
          <w:tcPr>
            <w:tcW w:w="1710" w:type="dxa"/>
            <w:shd w:val="clear" w:color="auto" w:fill="auto"/>
            <w:vAlign w:val="center"/>
            <w:hideMark/>
          </w:tcPr>
          <w:p w:rsidR="001E617A" w:rsidRPr="00431303" w:rsidP="00291426" w14:paraId="2468E29C" w14:textId="77777777">
            <w:pPr>
              <w:jc w:val="center"/>
              <w:rPr>
                <w:b/>
                <w:bCs/>
                <w:color w:val="000000"/>
              </w:rPr>
            </w:pPr>
            <w:r w:rsidRPr="00431303">
              <w:rPr>
                <w:b/>
                <w:bCs/>
                <w:color w:val="000000"/>
              </w:rPr>
              <w:t>Total Annual Burden Hours</w:t>
            </w:r>
          </w:p>
        </w:tc>
      </w:tr>
      <w:tr w14:paraId="4D104D51" w14:textId="77777777" w:rsidTr="00D33EB6">
        <w:tblPrEx>
          <w:tblW w:w="11065" w:type="dxa"/>
          <w:tblLook w:val="04A0"/>
        </w:tblPrEx>
        <w:trPr>
          <w:trHeight w:val="422"/>
        </w:trPr>
        <w:tc>
          <w:tcPr>
            <w:tcW w:w="11065" w:type="dxa"/>
            <w:gridSpan w:val="6"/>
            <w:shd w:val="clear" w:color="auto" w:fill="BFBFBF" w:themeFill="background1" w:themeFillShade="BF"/>
            <w:vAlign w:val="center"/>
          </w:tcPr>
          <w:p w:rsidR="00D33EB6" w:rsidRPr="00BF6E1A" w:rsidP="00D33EB6" w14:paraId="79304D3E" w14:textId="296176B4">
            <w:pPr>
              <w:jc w:val="center"/>
              <w:rPr>
                <w:b/>
                <w:bCs/>
                <w:color w:val="000000"/>
              </w:rPr>
            </w:pPr>
            <w:r w:rsidRPr="00BF6E1A">
              <w:rPr>
                <w:b/>
                <w:bCs/>
                <w:color w:val="000000"/>
              </w:rPr>
              <w:t>REPORTING</w:t>
            </w:r>
          </w:p>
        </w:tc>
      </w:tr>
      <w:tr w14:paraId="23D91C17" w14:textId="77777777" w:rsidTr="00D33EB6">
        <w:tblPrEx>
          <w:tblW w:w="11065" w:type="dxa"/>
          <w:tblLook w:val="04A0"/>
        </w:tblPrEx>
        <w:trPr>
          <w:trHeight w:val="315"/>
        </w:trPr>
        <w:tc>
          <w:tcPr>
            <w:tcW w:w="2688" w:type="dxa"/>
          </w:tcPr>
          <w:p w:rsidR="001E617A" w:rsidRPr="007D54A2" w:rsidP="0078412B" w14:paraId="562CB50C" w14:textId="77777777">
            <w:pPr>
              <w:pStyle w:val="ListParagraph"/>
              <w:numPr>
                <w:ilvl w:val="0"/>
                <w:numId w:val="18"/>
              </w:numPr>
              <w:ind w:left="341"/>
              <w:rPr>
                <w:color w:val="000000"/>
                <w:highlight w:val="yellow"/>
              </w:rPr>
            </w:pPr>
            <w:r w:rsidRPr="007D54A2">
              <w:rPr>
                <w:color w:val="000000"/>
                <w:highlight w:val="yellow"/>
              </w:rPr>
              <w:t>Attachment</w:t>
            </w:r>
            <w:r w:rsidRPr="007D54A2" w:rsidR="00A33620">
              <w:rPr>
                <w:color w:val="000000"/>
                <w:highlight w:val="yellow"/>
              </w:rPr>
              <w:t xml:space="preserve"> 13: PHS 416-7 Form and Instructions</w:t>
            </w:r>
          </w:p>
          <w:p w:rsidR="00A33620" w:rsidRPr="007D54A2" w:rsidP="0078412B" w14:paraId="599A5528" w14:textId="07F31778">
            <w:pPr>
              <w:pStyle w:val="ListParagraph"/>
              <w:numPr>
                <w:ilvl w:val="0"/>
                <w:numId w:val="18"/>
              </w:numPr>
              <w:ind w:left="341"/>
              <w:rPr>
                <w:color w:val="000000"/>
                <w:highlight w:val="yellow"/>
              </w:rPr>
            </w:pPr>
            <w:r w:rsidRPr="007D54A2">
              <w:rPr>
                <w:color w:val="000000"/>
                <w:highlight w:val="yellow"/>
              </w:rPr>
              <w:t xml:space="preserve">Attachment 19: </w:t>
            </w:r>
            <w:r w:rsidRPr="007D54A2" w:rsidR="0078412B">
              <w:rPr>
                <w:color w:val="000000"/>
                <w:highlight w:val="yellow"/>
              </w:rPr>
              <w:t xml:space="preserve">Post Award </w:t>
            </w:r>
            <w:r w:rsidRPr="007D54A2" w:rsidR="0078412B">
              <w:rPr>
                <w:color w:val="000000"/>
                <w:highlight w:val="yellow"/>
              </w:rPr>
              <w:t>eRA</w:t>
            </w:r>
            <w:r w:rsidRPr="007D54A2" w:rsidR="0078412B">
              <w:rPr>
                <w:color w:val="000000"/>
                <w:highlight w:val="yellow"/>
              </w:rPr>
              <w:t xml:space="preserve"> </w:t>
            </w:r>
            <w:r w:rsidRPr="007D54A2" w:rsidR="0078412B">
              <w:rPr>
                <w:color w:val="000000"/>
                <w:highlight w:val="yellow"/>
              </w:rPr>
              <w:t>xTrain</w:t>
            </w:r>
            <w:r w:rsidRPr="007D54A2" w:rsidR="0078412B">
              <w:rPr>
                <w:color w:val="000000"/>
                <w:highlight w:val="yellow"/>
              </w:rPr>
              <w:t xml:space="preserve"> Sample Screenshots</w:t>
            </w:r>
          </w:p>
        </w:tc>
        <w:tc>
          <w:tcPr>
            <w:tcW w:w="2339" w:type="dxa"/>
            <w:shd w:val="clear" w:color="auto" w:fill="auto"/>
            <w:vAlign w:val="center"/>
            <w:hideMark/>
          </w:tcPr>
          <w:p w:rsidR="001E617A" w:rsidRPr="0004310F" w:rsidP="00291426" w14:paraId="0572F7C4" w14:textId="2B4A39DB">
            <w:pPr>
              <w:rPr>
                <w:color w:val="000000"/>
              </w:rPr>
            </w:pPr>
            <w:r w:rsidRPr="0004310F">
              <w:rPr>
                <w:color w:val="000000"/>
              </w:rPr>
              <w:t>PHS 416-7</w:t>
            </w:r>
          </w:p>
        </w:tc>
        <w:tc>
          <w:tcPr>
            <w:tcW w:w="1890" w:type="dxa"/>
            <w:shd w:val="clear" w:color="auto" w:fill="auto"/>
            <w:noWrap/>
            <w:vAlign w:val="center"/>
            <w:hideMark/>
          </w:tcPr>
          <w:p w:rsidR="001E617A" w:rsidRPr="0004310F" w:rsidP="00291426" w14:paraId="2697DDCA" w14:textId="77777777">
            <w:pPr>
              <w:jc w:val="center"/>
              <w:rPr>
                <w:color w:val="000000"/>
              </w:rPr>
            </w:pPr>
            <w:r w:rsidRPr="0004310F">
              <w:rPr>
                <w:color w:val="000000"/>
              </w:rPr>
              <w:t>12,580</w:t>
            </w:r>
          </w:p>
        </w:tc>
        <w:tc>
          <w:tcPr>
            <w:tcW w:w="1316" w:type="dxa"/>
            <w:vAlign w:val="center"/>
          </w:tcPr>
          <w:p w:rsidR="001E617A" w:rsidRPr="0004310F" w:rsidP="00291426" w14:paraId="2B246214" w14:textId="77777777">
            <w:pPr>
              <w:jc w:val="center"/>
              <w:rPr>
                <w:color w:val="000000"/>
              </w:rPr>
            </w:pPr>
            <w:r w:rsidRPr="0004310F">
              <w:rPr>
                <w:color w:val="000000"/>
              </w:rPr>
              <w:t>1</w:t>
            </w:r>
          </w:p>
        </w:tc>
        <w:tc>
          <w:tcPr>
            <w:tcW w:w="1122" w:type="dxa"/>
            <w:shd w:val="clear" w:color="auto" w:fill="auto"/>
            <w:noWrap/>
            <w:vAlign w:val="center"/>
            <w:hideMark/>
          </w:tcPr>
          <w:p w:rsidR="001E617A" w:rsidRPr="0004310F" w:rsidP="00291426" w14:paraId="2DD36EFC" w14:textId="77777777">
            <w:pPr>
              <w:jc w:val="center"/>
              <w:rPr>
                <w:color w:val="000000"/>
              </w:rPr>
            </w:pPr>
            <w:r w:rsidRPr="0004310F">
              <w:rPr>
                <w:color w:val="000000"/>
              </w:rPr>
              <w:t>30/60</w:t>
            </w:r>
          </w:p>
        </w:tc>
        <w:tc>
          <w:tcPr>
            <w:tcW w:w="1710" w:type="dxa"/>
            <w:shd w:val="clear" w:color="auto" w:fill="auto"/>
            <w:vAlign w:val="center"/>
            <w:hideMark/>
          </w:tcPr>
          <w:p w:rsidR="001E617A" w:rsidRPr="0004310F" w:rsidP="00291426" w14:paraId="23558B98" w14:textId="77777777">
            <w:pPr>
              <w:jc w:val="center"/>
              <w:rPr>
                <w:color w:val="000000"/>
              </w:rPr>
            </w:pPr>
            <w:r w:rsidRPr="0004310F">
              <w:rPr>
                <w:color w:val="000000"/>
              </w:rPr>
              <w:t>6,290</w:t>
            </w:r>
          </w:p>
        </w:tc>
      </w:tr>
      <w:tr w14:paraId="36929186" w14:textId="77777777" w:rsidTr="00D33EB6">
        <w:tblPrEx>
          <w:tblW w:w="11065" w:type="dxa"/>
          <w:tblLook w:val="04A0"/>
        </w:tblPrEx>
        <w:trPr>
          <w:trHeight w:val="525"/>
        </w:trPr>
        <w:tc>
          <w:tcPr>
            <w:tcW w:w="2688" w:type="dxa"/>
          </w:tcPr>
          <w:p w:rsidR="00B646E7" w:rsidRPr="007D54A2" w:rsidP="00B646E7" w14:paraId="623D81FB" w14:textId="15861A32">
            <w:pPr>
              <w:pStyle w:val="ListParagraph"/>
              <w:numPr>
                <w:ilvl w:val="0"/>
                <w:numId w:val="18"/>
              </w:numPr>
              <w:ind w:left="341"/>
              <w:rPr>
                <w:color w:val="000000"/>
                <w:highlight w:val="yellow"/>
              </w:rPr>
            </w:pPr>
            <w:r w:rsidRPr="007D54A2">
              <w:rPr>
                <w:color w:val="000000"/>
                <w:highlight w:val="yellow"/>
              </w:rPr>
              <w:t>Attachment 14: PHS 6031-1 Form and Instructions</w:t>
            </w:r>
          </w:p>
          <w:p w:rsidR="001E617A" w:rsidRPr="007D54A2" w:rsidP="00B646E7" w14:paraId="51A7DAC5" w14:textId="0FA1DD85">
            <w:pPr>
              <w:rPr>
                <w:color w:val="000000"/>
                <w:highlight w:val="yellow"/>
              </w:rPr>
            </w:pPr>
          </w:p>
        </w:tc>
        <w:tc>
          <w:tcPr>
            <w:tcW w:w="2339" w:type="dxa"/>
            <w:shd w:val="clear" w:color="auto" w:fill="auto"/>
            <w:vAlign w:val="center"/>
            <w:hideMark/>
          </w:tcPr>
          <w:p w:rsidR="001E617A" w:rsidRPr="0004310F" w:rsidP="00291426" w14:paraId="5B1757F9" w14:textId="7EDBCF2D">
            <w:pPr>
              <w:rPr>
                <w:color w:val="000000"/>
              </w:rPr>
            </w:pPr>
            <w:r w:rsidRPr="0004310F">
              <w:rPr>
                <w:color w:val="000000"/>
              </w:rPr>
              <w:t>PHS 6031-1</w:t>
            </w:r>
          </w:p>
        </w:tc>
        <w:tc>
          <w:tcPr>
            <w:tcW w:w="1890" w:type="dxa"/>
            <w:shd w:val="clear" w:color="auto" w:fill="auto"/>
            <w:vAlign w:val="center"/>
            <w:hideMark/>
          </w:tcPr>
          <w:p w:rsidR="001E617A" w:rsidRPr="0004310F" w:rsidP="00291426" w14:paraId="2996DF73" w14:textId="77777777">
            <w:pPr>
              <w:jc w:val="center"/>
              <w:rPr>
                <w:color w:val="000000"/>
              </w:rPr>
            </w:pPr>
            <w:r w:rsidRPr="0004310F">
              <w:rPr>
                <w:color w:val="000000"/>
              </w:rPr>
              <w:t>1,778</w:t>
            </w:r>
          </w:p>
        </w:tc>
        <w:tc>
          <w:tcPr>
            <w:tcW w:w="1316" w:type="dxa"/>
            <w:vAlign w:val="center"/>
          </w:tcPr>
          <w:p w:rsidR="001E617A" w:rsidRPr="0004310F" w:rsidP="00291426" w14:paraId="1C06F926" w14:textId="77777777">
            <w:pPr>
              <w:jc w:val="center"/>
              <w:rPr>
                <w:color w:val="000000"/>
              </w:rPr>
            </w:pPr>
            <w:r w:rsidRPr="0004310F">
              <w:rPr>
                <w:color w:val="000000"/>
              </w:rPr>
              <w:t>1</w:t>
            </w:r>
          </w:p>
        </w:tc>
        <w:tc>
          <w:tcPr>
            <w:tcW w:w="1122" w:type="dxa"/>
            <w:shd w:val="clear" w:color="auto" w:fill="auto"/>
            <w:vAlign w:val="center"/>
            <w:hideMark/>
          </w:tcPr>
          <w:p w:rsidR="001E617A" w:rsidRPr="0004310F" w:rsidP="00291426" w14:paraId="5290ED63" w14:textId="77777777">
            <w:pPr>
              <w:jc w:val="center"/>
              <w:rPr>
                <w:color w:val="000000"/>
              </w:rPr>
            </w:pPr>
            <w:r w:rsidRPr="0004310F">
              <w:rPr>
                <w:color w:val="000000"/>
              </w:rPr>
              <w:t>20/60</w:t>
            </w:r>
          </w:p>
        </w:tc>
        <w:tc>
          <w:tcPr>
            <w:tcW w:w="1710" w:type="dxa"/>
            <w:shd w:val="clear" w:color="auto" w:fill="auto"/>
            <w:vAlign w:val="center"/>
            <w:hideMark/>
          </w:tcPr>
          <w:p w:rsidR="001E617A" w:rsidRPr="0004310F" w:rsidP="00291426" w14:paraId="1CEFCCDA" w14:textId="77777777">
            <w:pPr>
              <w:jc w:val="center"/>
              <w:rPr>
                <w:color w:val="000000"/>
              </w:rPr>
            </w:pPr>
            <w:r>
              <w:rPr>
                <w:color w:val="000000"/>
              </w:rPr>
              <w:t>593</w:t>
            </w:r>
          </w:p>
        </w:tc>
      </w:tr>
      <w:tr w14:paraId="72E1B226" w14:textId="77777777" w:rsidTr="00D33EB6">
        <w:tblPrEx>
          <w:tblW w:w="11065" w:type="dxa"/>
          <w:tblLook w:val="04A0"/>
        </w:tblPrEx>
        <w:trPr>
          <w:trHeight w:val="315"/>
        </w:trPr>
        <w:tc>
          <w:tcPr>
            <w:tcW w:w="2688" w:type="dxa"/>
          </w:tcPr>
          <w:p w:rsidR="00B646E7" w:rsidRPr="007D54A2" w:rsidP="00B646E7" w14:paraId="781A6147" w14:textId="03753234">
            <w:pPr>
              <w:pStyle w:val="ListParagraph"/>
              <w:numPr>
                <w:ilvl w:val="0"/>
                <w:numId w:val="18"/>
              </w:numPr>
              <w:ind w:left="341"/>
              <w:rPr>
                <w:color w:val="000000"/>
                <w:highlight w:val="yellow"/>
              </w:rPr>
            </w:pPr>
            <w:r w:rsidRPr="007D54A2">
              <w:rPr>
                <w:color w:val="000000"/>
                <w:highlight w:val="yellow"/>
              </w:rPr>
              <w:t>Attachment 1</w:t>
            </w:r>
            <w:r w:rsidR="003D4506">
              <w:rPr>
                <w:color w:val="000000"/>
                <w:highlight w:val="yellow"/>
              </w:rPr>
              <w:t>5</w:t>
            </w:r>
            <w:r w:rsidRPr="007D54A2">
              <w:rPr>
                <w:color w:val="000000"/>
                <w:highlight w:val="yellow"/>
              </w:rPr>
              <w:t xml:space="preserve">: </w:t>
            </w:r>
            <w:r w:rsidRPr="007D54A2" w:rsidR="00AD17CA">
              <w:rPr>
                <w:color w:val="000000"/>
                <w:highlight w:val="yellow"/>
              </w:rPr>
              <w:t>HHS 568</w:t>
            </w:r>
            <w:r w:rsidRPr="007D54A2">
              <w:rPr>
                <w:color w:val="000000"/>
                <w:highlight w:val="yellow"/>
              </w:rPr>
              <w:t xml:space="preserve"> Form </w:t>
            </w:r>
          </w:p>
          <w:p w:rsidR="001E617A" w:rsidRPr="007D54A2" w:rsidP="00291426" w14:paraId="310CCDEA" w14:textId="77777777">
            <w:pPr>
              <w:rPr>
                <w:color w:val="000000"/>
                <w:highlight w:val="yellow"/>
              </w:rPr>
            </w:pPr>
          </w:p>
        </w:tc>
        <w:tc>
          <w:tcPr>
            <w:tcW w:w="2339" w:type="dxa"/>
            <w:shd w:val="clear" w:color="auto" w:fill="auto"/>
            <w:vAlign w:val="center"/>
            <w:hideMark/>
          </w:tcPr>
          <w:p w:rsidR="001E617A" w:rsidRPr="0004310F" w:rsidP="00291426" w14:paraId="2FE5A2B7" w14:textId="7E7C9F4A">
            <w:pPr>
              <w:rPr>
                <w:color w:val="000000"/>
              </w:rPr>
            </w:pPr>
            <w:r>
              <w:rPr>
                <w:color w:val="000000"/>
              </w:rPr>
              <w:t>HHS</w:t>
            </w:r>
            <w:r w:rsidRPr="0004310F">
              <w:rPr>
                <w:color w:val="000000"/>
              </w:rPr>
              <w:t xml:space="preserve"> 568</w:t>
            </w:r>
          </w:p>
        </w:tc>
        <w:tc>
          <w:tcPr>
            <w:tcW w:w="1890" w:type="dxa"/>
            <w:shd w:val="clear" w:color="auto" w:fill="auto"/>
            <w:noWrap/>
            <w:vAlign w:val="center"/>
            <w:hideMark/>
          </w:tcPr>
          <w:p w:rsidR="001E617A" w:rsidRPr="0004310F" w:rsidP="00291426" w14:paraId="17A00293" w14:textId="77777777">
            <w:pPr>
              <w:jc w:val="center"/>
              <w:rPr>
                <w:color w:val="000000"/>
              </w:rPr>
            </w:pPr>
            <w:r w:rsidRPr="0004310F">
              <w:rPr>
                <w:color w:val="000000"/>
              </w:rPr>
              <w:t>11,180</w:t>
            </w:r>
          </w:p>
        </w:tc>
        <w:tc>
          <w:tcPr>
            <w:tcW w:w="1316" w:type="dxa"/>
            <w:vAlign w:val="center"/>
          </w:tcPr>
          <w:p w:rsidR="001E617A" w:rsidRPr="0004310F" w:rsidP="00291426" w14:paraId="708F8ECD" w14:textId="77777777">
            <w:pPr>
              <w:jc w:val="center"/>
              <w:rPr>
                <w:color w:val="000000"/>
              </w:rPr>
            </w:pPr>
            <w:r w:rsidRPr="0004310F">
              <w:rPr>
                <w:color w:val="000000"/>
              </w:rPr>
              <w:t>1</w:t>
            </w:r>
          </w:p>
        </w:tc>
        <w:tc>
          <w:tcPr>
            <w:tcW w:w="1122" w:type="dxa"/>
            <w:shd w:val="clear" w:color="auto" w:fill="auto"/>
            <w:noWrap/>
            <w:vAlign w:val="center"/>
            <w:hideMark/>
          </w:tcPr>
          <w:p w:rsidR="001E617A" w:rsidRPr="0004310F" w:rsidP="00291426" w14:paraId="4E6640AA" w14:textId="77777777">
            <w:pPr>
              <w:jc w:val="center"/>
              <w:rPr>
                <w:color w:val="000000"/>
              </w:rPr>
            </w:pPr>
            <w:r w:rsidRPr="0004310F">
              <w:rPr>
                <w:color w:val="000000"/>
              </w:rPr>
              <w:t>5/60</w:t>
            </w:r>
          </w:p>
        </w:tc>
        <w:tc>
          <w:tcPr>
            <w:tcW w:w="1710" w:type="dxa"/>
            <w:shd w:val="clear" w:color="auto" w:fill="auto"/>
            <w:noWrap/>
            <w:vAlign w:val="center"/>
            <w:hideMark/>
          </w:tcPr>
          <w:p w:rsidR="001E617A" w:rsidRPr="0004310F" w:rsidP="00291426" w14:paraId="43CB8CB4" w14:textId="77777777">
            <w:pPr>
              <w:jc w:val="center"/>
              <w:rPr>
                <w:color w:val="000000"/>
              </w:rPr>
            </w:pPr>
            <w:r>
              <w:rPr>
                <w:color w:val="000000"/>
              </w:rPr>
              <w:t>932</w:t>
            </w:r>
          </w:p>
        </w:tc>
      </w:tr>
      <w:tr w14:paraId="16AE3267" w14:textId="77777777" w:rsidTr="00D33EB6">
        <w:tblPrEx>
          <w:tblW w:w="11065" w:type="dxa"/>
          <w:tblLook w:val="04A0"/>
        </w:tblPrEx>
        <w:trPr>
          <w:trHeight w:val="315"/>
        </w:trPr>
        <w:tc>
          <w:tcPr>
            <w:tcW w:w="2688" w:type="dxa"/>
          </w:tcPr>
          <w:p w:rsidR="0086693B" w:rsidRPr="007D54A2" w:rsidP="0086693B" w14:paraId="1A453D4A" w14:textId="5B3DADAC">
            <w:pPr>
              <w:pStyle w:val="ListParagraph"/>
              <w:numPr>
                <w:ilvl w:val="0"/>
                <w:numId w:val="18"/>
              </w:numPr>
              <w:ind w:left="341"/>
              <w:rPr>
                <w:color w:val="000000"/>
                <w:highlight w:val="yellow"/>
              </w:rPr>
            </w:pPr>
            <w:r w:rsidRPr="007D54A2">
              <w:rPr>
                <w:color w:val="000000"/>
                <w:highlight w:val="yellow"/>
              </w:rPr>
              <w:t>Attachment 12: PHS 2271 Form and Instructions</w:t>
            </w:r>
          </w:p>
          <w:p w:rsidR="001E617A" w:rsidRPr="007D54A2" w:rsidP="0086693B" w14:paraId="6CDD47DA" w14:textId="3EF54181">
            <w:pPr>
              <w:pStyle w:val="ListParagraph"/>
              <w:numPr>
                <w:ilvl w:val="0"/>
                <w:numId w:val="18"/>
              </w:numPr>
              <w:ind w:left="341"/>
              <w:rPr>
                <w:color w:val="000000"/>
                <w:highlight w:val="yellow"/>
              </w:rPr>
            </w:pPr>
            <w:r w:rsidRPr="007D54A2">
              <w:rPr>
                <w:color w:val="000000"/>
                <w:highlight w:val="yellow"/>
              </w:rPr>
              <w:t xml:space="preserve">Attachment 19: Post Award </w:t>
            </w:r>
            <w:r w:rsidRPr="007D54A2">
              <w:rPr>
                <w:color w:val="000000"/>
                <w:highlight w:val="yellow"/>
              </w:rPr>
              <w:t>eRA</w:t>
            </w:r>
            <w:r w:rsidRPr="007D54A2">
              <w:rPr>
                <w:color w:val="000000"/>
                <w:highlight w:val="yellow"/>
              </w:rPr>
              <w:t xml:space="preserve"> </w:t>
            </w:r>
            <w:r w:rsidRPr="007D54A2">
              <w:rPr>
                <w:color w:val="000000"/>
                <w:highlight w:val="yellow"/>
              </w:rPr>
              <w:t>xTrain</w:t>
            </w:r>
            <w:r w:rsidRPr="007D54A2">
              <w:rPr>
                <w:color w:val="000000"/>
                <w:highlight w:val="yellow"/>
              </w:rPr>
              <w:t xml:space="preserve"> Sample Screenshots </w:t>
            </w:r>
          </w:p>
        </w:tc>
        <w:tc>
          <w:tcPr>
            <w:tcW w:w="2339" w:type="dxa"/>
            <w:shd w:val="clear" w:color="auto" w:fill="auto"/>
            <w:vAlign w:val="center"/>
            <w:hideMark/>
          </w:tcPr>
          <w:p w:rsidR="001E617A" w:rsidRPr="0004310F" w:rsidP="00291426" w14:paraId="577C5710" w14:textId="178538B5">
            <w:pPr>
              <w:rPr>
                <w:color w:val="000000"/>
              </w:rPr>
            </w:pPr>
            <w:r w:rsidRPr="0004310F">
              <w:rPr>
                <w:color w:val="000000"/>
              </w:rPr>
              <w:t>PHS 2271</w:t>
            </w:r>
          </w:p>
        </w:tc>
        <w:tc>
          <w:tcPr>
            <w:tcW w:w="1890" w:type="dxa"/>
            <w:shd w:val="clear" w:color="auto" w:fill="auto"/>
            <w:vAlign w:val="center"/>
            <w:hideMark/>
          </w:tcPr>
          <w:p w:rsidR="001E617A" w:rsidRPr="0004310F" w:rsidP="00291426" w14:paraId="5824D302" w14:textId="77777777">
            <w:pPr>
              <w:jc w:val="center"/>
              <w:rPr>
                <w:color w:val="000000"/>
              </w:rPr>
            </w:pPr>
            <w:r w:rsidRPr="0004310F">
              <w:rPr>
                <w:color w:val="000000"/>
              </w:rPr>
              <w:t>22,035</w:t>
            </w:r>
          </w:p>
        </w:tc>
        <w:tc>
          <w:tcPr>
            <w:tcW w:w="1316" w:type="dxa"/>
            <w:vAlign w:val="center"/>
          </w:tcPr>
          <w:p w:rsidR="001E617A" w:rsidRPr="0004310F" w:rsidP="00291426" w14:paraId="17BFD789" w14:textId="77777777">
            <w:pPr>
              <w:jc w:val="center"/>
              <w:rPr>
                <w:color w:val="000000"/>
              </w:rPr>
            </w:pPr>
            <w:r w:rsidRPr="0004310F">
              <w:rPr>
                <w:color w:val="000000"/>
              </w:rPr>
              <w:t>1</w:t>
            </w:r>
          </w:p>
        </w:tc>
        <w:tc>
          <w:tcPr>
            <w:tcW w:w="1122" w:type="dxa"/>
            <w:shd w:val="clear" w:color="auto" w:fill="auto"/>
            <w:vAlign w:val="center"/>
            <w:hideMark/>
          </w:tcPr>
          <w:p w:rsidR="001E617A" w:rsidRPr="0004310F" w:rsidP="00291426" w14:paraId="35BC5426" w14:textId="77777777">
            <w:pPr>
              <w:jc w:val="center"/>
              <w:rPr>
                <w:color w:val="000000"/>
              </w:rPr>
            </w:pPr>
            <w:r w:rsidRPr="0004310F">
              <w:rPr>
                <w:color w:val="000000"/>
              </w:rPr>
              <w:t>15/60</w:t>
            </w:r>
          </w:p>
        </w:tc>
        <w:tc>
          <w:tcPr>
            <w:tcW w:w="1710" w:type="dxa"/>
            <w:shd w:val="clear" w:color="auto" w:fill="auto"/>
            <w:vAlign w:val="center"/>
            <w:hideMark/>
          </w:tcPr>
          <w:p w:rsidR="001E617A" w:rsidRPr="0004310F" w:rsidP="00291426" w14:paraId="14F5042F" w14:textId="77777777">
            <w:pPr>
              <w:jc w:val="center"/>
              <w:rPr>
                <w:color w:val="000000"/>
              </w:rPr>
            </w:pPr>
            <w:r w:rsidRPr="0004310F">
              <w:rPr>
                <w:color w:val="000000"/>
              </w:rPr>
              <w:t>5,509</w:t>
            </w:r>
          </w:p>
        </w:tc>
      </w:tr>
      <w:tr w14:paraId="150007B6" w14:textId="77777777" w:rsidTr="00D33EB6">
        <w:tblPrEx>
          <w:tblW w:w="11065" w:type="dxa"/>
          <w:tblLook w:val="04A0"/>
        </w:tblPrEx>
        <w:trPr>
          <w:trHeight w:val="525"/>
        </w:trPr>
        <w:tc>
          <w:tcPr>
            <w:tcW w:w="2688" w:type="dxa"/>
          </w:tcPr>
          <w:p w:rsidR="0086693B" w:rsidRPr="007D54A2" w:rsidP="0086693B" w14:paraId="62F061A7" w14:textId="0899D3DE">
            <w:pPr>
              <w:pStyle w:val="ListParagraph"/>
              <w:numPr>
                <w:ilvl w:val="0"/>
                <w:numId w:val="18"/>
              </w:numPr>
              <w:ind w:left="341"/>
              <w:rPr>
                <w:color w:val="000000"/>
                <w:highlight w:val="yellow"/>
              </w:rPr>
            </w:pPr>
            <w:r w:rsidRPr="007D54A2">
              <w:rPr>
                <w:color w:val="000000"/>
                <w:highlight w:val="yellow"/>
              </w:rPr>
              <w:t xml:space="preserve">Attachment </w:t>
            </w:r>
            <w:r w:rsidRPr="007D54A2" w:rsidR="00490F83">
              <w:rPr>
                <w:color w:val="000000"/>
                <w:highlight w:val="yellow"/>
              </w:rPr>
              <w:t>3: PHS 2590 Forms</w:t>
            </w:r>
          </w:p>
          <w:p w:rsidR="00490F83" w:rsidRPr="007D54A2" w:rsidP="0086693B" w14:paraId="0CB219D6" w14:textId="7427E2CA">
            <w:pPr>
              <w:pStyle w:val="ListParagraph"/>
              <w:numPr>
                <w:ilvl w:val="0"/>
                <w:numId w:val="18"/>
              </w:numPr>
              <w:ind w:left="341"/>
              <w:rPr>
                <w:color w:val="000000"/>
                <w:highlight w:val="yellow"/>
              </w:rPr>
            </w:pPr>
            <w:r w:rsidRPr="007D54A2">
              <w:rPr>
                <w:color w:val="000000"/>
                <w:highlight w:val="yellow"/>
              </w:rPr>
              <w:t>Attachment 4: PHS 2590 Instructions</w:t>
            </w:r>
          </w:p>
          <w:p w:rsidR="00490F83" w:rsidRPr="007D54A2" w:rsidP="0086693B" w14:paraId="289D16BE" w14:textId="7B48D68C">
            <w:pPr>
              <w:pStyle w:val="ListParagraph"/>
              <w:numPr>
                <w:ilvl w:val="0"/>
                <w:numId w:val="18"/>
              </w:numPr>
              <w:ind w:left="341"/>
              <w:rPr>
                <w:color w:val="000000"/>
                <w:highlight w:val="yellow"/>
              </w:rPr>
            </w:pPr>
            <w:r w:rsidRPr="007D54A2">
              <w:rPr>
                <w:color w:val="000000"/>
                <w:highlight w:val="yellow"/>
              </w:rPr>
              <w:t xml:space="preserve">Attachment </w:t>
            </w:r>
            <w:r w:rsidRPr="007D54A2" w:rsidR="00683BA1">
              <w:rPr>
                <w:color w:val="000000"/>
                <w:highlight w:val="yellow"/>
              </w:rPr>
              <w:t xml:space="preserve">5C: Data Management and Sharing </w:t>
            </w:r>
            <w:r w:rsidRPr="007D54A2" w:rsidR="00B83DE4">
              <w:rPr>
                <w:color w:val="000000"/>
                <w:highlight w:val="yellow"/>
              </w:rPr>
              <w:t xml:space="preserve">Plan </w:t>
            </w:r>
            <w:r w:rsidRPr="007D54A2" w:rsidR="00683BA1">
              <w:rPr>
                <w:color w:val="000000"/>
                <w:highlight w:val="yellow"/>
              </w:rPr>
              <w:t>Format</w:t>
            </w:r>
          </w:p>
          <w:p w:rsidR="00683BA1" w:rsidRPr="007D54A2" w:rsidP="0086693B" w14:paraId="4804037C" w14:textId="3BEB391B">
            <w:pPr>
              <w:pStyle w:val="ListParagraph"/>
              <w:numPr>
                <w:ilvl w:val="0"/>
                <w:numId w:val="18"/>
              </w:numPr>
              <w:ind w:left="341"/>
              <w:rPr>
                <w:color w:val="000000"/>
                <w:highlight w:val="yellow"/>
              </w:rPr>
            </w:pPr>
            <w:r w:rsidRPr="007D54A2">
              <w:rPr>
                <w:color w:val="000000"/>
                <w:highlight w:val="yellow"/>
              </w:rPr>
              <w:t>Attachment 7A: Trainee Diversity Report</w:t>
            </w:r>
          </w:p>
          <w:p w:rsidR="00EC4E56" w:rsidRPr="007D54A2" w:rsidP="0086693B" w14:paraId="2B7681B9" w14:textId="1AC6AA49">
            <w:pPr>
              <w:pStyle w:val="ListParagraph"/>
              <w:numPr>
                <w:ilvl w:val="0"/>
                <w:numId w:val="18"/>
              </w:numPr>
              <w:ind w:left="341"/>
              <w:rPr>
                <w:color w:val="000000"/>
                <w:highlight w:val="yellow"/>
              </w:rPr>
            </w:pPr>
            <w:r w:rsidRPr="007D54A2">
              <w:rPr>
                <w:color w:val="000000"/>
                <w:highlight w:val="yellow"/>
              </w:rPr>
              <w:t>Attachment 8A: NIH General</w:t>
            </w:r>
            <w:r w:rsidRPr="007D54A2" w:rsidR="00D06AF7">
              <w:rPr>
                <w:color w:val="000000"/>
                <w:highlight w:val="yellow"/>
              </w:rPr>
              <w:t xml:space="preserve"> Non-Fellowship </w:t>
            </w:r>
            <w:r w:rsidRPr="007D54A2" w:rsidR="00D06AF7">
              <w:rPr>
                <w:color w:val="000000"/>
                <w:highlight w:val="yellow"/>
              </w:rPr>
              <w:t>Biosketch</w:t>
            </w:r>
            <w:r w:rsidRPr="007D54A2" w:rsidR="00D06AF7">
              <w:rPr>
                <w:color w:val="000000"/>
                <w:highlight w:val="yellow"/>
              </w:rPr>
              <w:t xml:space="preserve"> Format</w:t>
            </w:r>
          </w:p>
          <w:p w:rsidR="00D06AF7" w:rsidRPr="007D54A2" w:rsidP="0086693B" w14:paraId="0027A5E6" w14:textId="077E48DA">
            <w:pPr>
              <w:pStyle w:val="ListParagraph"/>
              <w:numPr>
                <w:ilvl w:val="0"/>
                <w:numId w:val="18"/>
              </w:numPr>
              <w:ind w:left="341"/>
              <w:rPr>
                <w:color w:val="000000"/>
                <w:highlight w:val="yellow"/>
              </w:rPr>
            </w:pPr>
            <w:r w:rsidRPr="007D54A2">
              <w:rPr>
                <w:color w:val="000000"/>
                <w:highlight w:val="yellow"/>
              </w:rPr>
              <w:t xml:space="preserve">Attachment 8B: General and Fellowship </w:t>
            </w:r>
            <w:r w:rsidRPr="007D54A2">
              <w:rPr>
                <w:color w:val="000000"/>
                <w:highlight w:val="yellow"/>
              </w:rPr>
              <w:t>Biosketch</w:t>
            </w:r>
            <w:r w:rsidRPr="007D54A2">
              <w:rPr>
                <w:color w:val="000000"/>
                <w:highlight w:val="yellow"/>
              </w:rPr>
              <w:t xml:space="preserve"> Format Instructions</w:t>
            </w:r>
          </w:p>
          <w:p w:rsidR="00D06AF7" w:rsidRPr="007D54A2" w:rsidP="0086693B" w14:paraId="0C8AFEA9" w14:textId="78AE684A">
            <w:pPr>
              <w:pStyle w:val="ListParagraph"/>
              <w:numPr>
                <w:ilvl w:val="0"/>
                <w:numId w:val="18"/>
              </w:numPr>
              <w:ind w:left="341"/>
              <w:rPr>
                <w:color w:val="000000"/>
                <w:highlight w:val="yellow"/>
              </w:rPr>
            </w:pPr>
            <w:r w:rsidRPr="007D54A2">
              <w:rPr>
                <w:color w:val="000000"/>
                <w:highlight w:val="yellow"/>
              </w:rPr>
              <w:t>Attachment 8</w:t>
            </w:r>
            <w:r w:rsidRPr="007D54A2" w:rsidR="00541819">
              <w:rPr>
                <w:color w:val="000000"/>
                <w:highlight w:val="yellow"/>
              </w:rPr>
              <w:t>D: NIH Biographical Sketch Supplement</w:t>
            </w:r>
          </w:p>
          <w:p w:rsidR="00054045" w:rsidRPr="007D54A2" w:rsidP="0086693B" w14:paraId="7245E2F5" w14:textId="7F40472D">
            <w:pPr>
              <w:pStyle w:val="ListParagraph"/>
              <w:numPr>
                <w:ilvl w:val="0"/>
                <w:numId w:val="18"/>
              </w:numPr>
              <w:ind w:left="341"/>
              <w:rPr>
                <w:color w:val="000000"/>
                <w:highlight w:val="yellow"/>
              </w:rPr>
            </w:pPr>
            <w:r w:rsidRPr="007D54A2">
              <w:rPr>
                <w:color w:val="000000"/>
                <w:highlight w:val="yellow"/>
              </w:rPr>
              <w:t xml:space="preserve">Attachment 9A: NIH Fellowship </w:t>
            </w:r>
            <w:r w:rsidRPr="007D54A2">
              <w:rPr>
                <w:color w:val="000000"/>
                <w:highlight w:val="yellow"/>
              </w:rPr>
              <w:t>Biosketch</w:t>
            </w:r>
            <w:r w:rsidRPr="007D54A2">
              <w:rPr>
                <w:color w:val="000000"/>
                <w:highlight w:val="yellow"/>
              </w:rPr>
              <w:t xml:space="preserve"> Format</w:t>
            </w:r>
          </w:p>
          <w:p w:rsidR="00054045" w:rsidRPr="007D54A2" w:rsidP="0086693B" w14:paraId="3889BF58" w14:textId="4CCC4205">
            <w:pPr>
              <w:pStyle w:val="ListParagraph"/>
              <w:numPr>
                <w:ilvl w:val="0"/>
                <w:numId w:val="18"/>
              </w:numPr>
              <w:ind w:left="341"/>
              <w:rPr>
                <w:color w:val="000000"/>
                <w:highlight w:val="yellow"/>
              </w:rPr>
            </w:pPr>
            <w:r w:rsidRPr="007D54A2">
              <w:rPr>
                <w:color w:val="000000"/>
                <w:highlight w:val="yellow"/>
              </w:rPr>
              <w:t xml:space="preserve">Attachment 9B: NIH Fellowship </w:t>
            </w:r>
            <w:r w:rsidRPr="007D54A2">
              <w:rPr>
                <w:color w:val="000000"/>
                <w:highlight w:val="yellow"/>
              </w:rPr>
              <w:t>Biosketch_Pr</w:t>
            </w:r>
            <w:r w:rsidRPr="007D54A2" w:rsidR="00E31C90">
              <w:rPr>
                <w:color w:val="000000"/>
                <w:highlight w:val="yellow"/>
              </w:rPr>
              <w:t>edoc</w:t>
            </w:r>
            <w:r w:rsidRPr="007D54A2" w:rsidR="00E31C90">
              <w:rPr>
                <w:color w:val="000000"/>
                <w:highlight w:val="yellow"/>
              </w:rPr>
              <w:t xml:space="preserve"> Sample</w:t>
            </w:r>
          </w:p>
          <w:p w:rsidR="00E31C90" w:rsidRPr="007D54A2" w:rsidP="0086693B" w14:paraId="7275C4D1" w14:textId="517F40A8">
            <w:pPr>
              <w:pStyle w:val="ListParagraph"/>
              <w:numPr>
                <w:ilvl w:val="0"/>
                <w:numId w:val="18"/>
              </w:numPr>
              <w:ind w:left="341"/>
              <w:rPr>
                <w:color w:val="000000"/>
                <w:highlight w:val="yellow"/>
              </w:rPr>
            </w:pPr>
            <w:r w:rsidRPr="007D54A2">
              <w:rPr>
                <w:color w:val="000000"/>
                <w:highlight w:val="yellow"/>
              </w:rPr>
              <w:t xml:space="preserve">Attachment 9C: NIH Fellowship </w:t>
            </w:r>
            <w:r w:rsidRPr="007D54A2">
              <w:rPr>
                <w:color w:val="000000"/>
                <w:highlight w:val="yellow"/>
              </w:rPr>
              <w:t>Biosketch_Postdoc</w:t>
            </w:r>
            <w:r w:rsidRPr="007D54A2">
              <w:rPr>
                <w:color w:val="000000"/>
                <w:highlight w:val="yellow"/>
              </w:rPr>
              <w:t xml:space="preserve"> Sample</w:t>
            </w:r>
          </w:p>
          <w:p w:rsidR="00DA5A6E" w:rsidRPr="007D54A2" w:rsidP="0086693B" w14:paraId="60B756A3" w14:textId="481E9712">
            <w:pPr>
              <w:pStyle w:val="ListParagraph"/>
              <w:numPr>
                <w:ilvl w:val="0"/>
                <w:numId w:val="18"/>
              </w:numPr>
              <w:ind w:left="341"/>
              <w:rPr>
                <w:color w:val="000000"/>
                <w:highlight w:val="yellow"/>
              </w:rPr>
            </w:pPr>
            <w:r w:rsidRPr="007D54A2">
              <w:rPr>
                <w:color w:val="000000"/>
                <w:highlight w:val="yellow"/>
              </w:rPr>
              <w:t>Attachment 10A: Introduction to the Data Tables</w:t>
            </w:r>
          </w:p>
          <w:p w:rsidR="00DA5A6E" w:rsidRPr="007D54A2" w:rsidP="0086693B" w14:paraId="1ADB1F00" w14:textId="3741FFAB">
            <w:pPr>
              <w:pStyle w:val="ListParagraph"/>
              <w:numPr>
                <w:ilvl w:val="0"/>
                <w:numId w:val="18"/>
              </w:numPr>
              <w:ind w:left="341"/>
              <w:rPr>
                <w:color w:val="000000"/>
                <w:highlight w:val="yellow"/>
              </w:rPr>
            </w:pPr>
            <w:r w:rsidRPr="007D54A2">
              <w:rPr>
                <w:color w:val="000000"/>
                <w:highlight w:val="yellow"/>
              </w:rPr>
              <w:t>Attachment 10B: Undergraduate Training Tables</w:t>
            </w:r>
          </w:p>
          <w:p w:rsidR="00DA5A6E" w:rsidRPr="007D54A2" w:rsidP="0086693B" w14:paraId="0858DC05" w14:textId="015C713B">
            <w:pPr>
              <w:pStyle w:val="ListParagraph"/>
              <w:numPr>
                <w:ilvl w:val="0"/>
                <w:numId w:val="18"/>
              </w:numPr>
              <w:ind w:left="341"/>
              <w:rPr>
                <w:color w:val="000000"/>
                <w:highlight w:val="yellow"/>
              </w:rPr>
            </w:pPr>
            <w:r w:rsidRPr="007D54A2">
              <w:rPr>
                <w:color w:val="000000"/>
                <w:highlight w:val="yellow"/>
              </w:rPr>
              <w:t>Attachment 10C: Consolidated Pr</w:t>
            </w:r>
            <w:r w:rsidRPr="007D54A2" w:rsidR="00F912F5">
              <w:rPr>
                <w:color w:val="000000"/>
                <w:highlight w:val="yellow"/>
              </w:rPr>
              <w:t>e and Postdoc Training Tables</w:t>
            </w:r>
          </w:p>
          <w:p w:rsidR="001E617A" w:rsidRPr="007D54A2" w:rsidP="00AA3B1C" w14:paraId="50F55C54" w14:textId="53E8590D">
            <w:pPr>
              <w:pStyle w:val="ListParagraph"/>
              <w:numPr>
                <w:ilvl w:val="0"/>
                <w:numId w:val="18"/>
              </w:numPr>
              <w:ind w:left="341"/>
              <w:rPr>
                <w:color w:val="000000"/>
                <w:highlight w:val="yellow"/>
              </w:rPr>
            </w:pPr>
            <w:r w:rsidRPr="007D54A2">
              <w:rPr>
                <w:color w:val="000000"/>
                <w:highlight w:val="yellow"/>
              </w:rPr>
              <w:t>Attachment 10D: International Training Tables</w:t>
            </w:r>
          </w:p>
        </w:tc>
        <w:tc>
          <w:tcPr>
            <w:tcW w:w="2339" w:type="dxa"/>
            <w:shd w:val="clear" w:color="auto" w:fill="auto"/>
            <w:vAlign w:val="center"/>
            <w:hideMark/>
          </w:tcPr>
          <w:p w:rsidR="001E617A" w:rsidRPr="0004310F" w:rsidP="00291426" w14:paraId="33D05D27" w14:textId="5039B584">
            <w:pPr>
              <w:rPr>
                <w:color w:val="000000"/>
              </w:rPr>
            </w:pPr>
            <w:r w:rsidRPr="0004310F">
              <w:rPr>
                <w:color w:val="000000"/>
              </w:rPr>
              <w:t>PHS 2590</w:t>
            </w:r>
          </w:p>
        </w:tc>
        <w:tc>
          <w:tcPr>
            <w:tcW w:w="1890" w:type="dxa"/>
            <w:shd w:val="clear" w:color="auto" w:fill="auto"/>
            <w:vAlign w:val="center"/>
            <w:hideMark/>
          </w:tcPr>
          <w:p w:rsidR="001E617A" w:rsidRPr="0004310F" w:rsidP="00291426" w14:paraId="5B9282CC" w14:textId="77777777">
            <w:pPr>
              <w:jc w:val="center"/>
              <w:rPr>
                <w:color w:val="000000"/>
              </w:rPr>
            </w:pPr>
            <w:r w:rsidRPr="0004310F">
              <w:rPr>
                <w:color w:val="000000"/>
              </w:rPr>
              <w:t>243</w:t>
            </w:r>
          </w:p>
        </w:tc>
        <w:tc>
          <w:tcPr>
            <w:tcW w:w="1316" w:type="dxa"/>
            <w:vAlign w:val="center"/>
          </w:tcPr>
          <w:p w:rsidR="001E617A" w:rsidRPr="0004310F" w:rsidP="00291426" w14:paraId="1EB0BFF3" w14:textId="77777777">
            <w:pPr>
              <w:jc w:val="center"/>
              <w:rPr>
                <w:color w:val="000000"/>
              </w:rPr>
            </w:pPr>
            <w:r w:rsidRPr="0004310F">
              <w:rPr>
                <w:color w:val="000000"/>
              </w:rPr>
              <w:t>1</w:t>
            </w:r>
          </w:p>
        </w:tc>
        <w:tc>
          <w:tcPr>
            <w:tcW w:w="1122" w:type="dxa"/>
            <w:shd w:val="clear" w:color="auto" w:fill="auto"/>
            <w:vAlign w:val="center"/>
            <w:hideMark/>
          </w:tcPr>
          <w:p w:rsidR="001E617A" w:rsidRPr="0004310F" w:rsidP="00291426" w14:paraId="7DC0A012" w14:textId="77777777">
            <w:pPr>
              <w:jc w:val="center"/>
              <w:rPr>
                <w:color w:val="000000"/>
              </w:rPr>
            </w:pPr>
            <w:r w:rsidRPr="0004310F">
              <w:rPr>
                <w:color w:val="000000"/>
              </w:rPr>
              <w:t>1</w:t>
            </w:r>
            <w:r>
              <w:rPr>
                <w:color w:val="000000"/>
              </w:rPr>
              <w:t>8</w:t>
            </w:r>
          </w:p>
        </w:tc>
        <w:tc>
          <w:tcPr>
            <w:tcW w:w="1710" w:type="dxa"/>
            <w:shd w:val="clear" w:color="auto" w:fill="auto"/>
            <w:noWrap/>
            <w:vAlign w:val="center"/>
            <w:hideMark/>
          </w:tcPr>
          <w:p w:rsidR="001E617A" w:rsidRPr="0004310F" w:rsidP="00291426" w14:paraId="61C9C7BA" w14:textId="77777777">
            <w:pPr>
              <w:jc w:val="center"/>
              <w:rPr>
                <w:color w:val="000000"/>
              </w:rPr>
            </w:pPr>
            <w:r>
              <w:rPr>
                <w:color w:val="000000"/>
              </w:rPr>
              <w:t>4,374</w:t>
            </w:r>
          </w:p>
        </w:tc>
      </w:tr>
      <w:tr w14:paraId="007EA9B7" w14:textId="77777777" w:rsidTr="007D54A2">
        <w:tblPrEx>
          <w:tblW w:w="11065" w:type="dxa"/>
          <w:tblLook w:val="04A0"/>
        </w:tblPrEx>
        <w:trPr>
          <w:trHeight w:val="315"/>
        </w:trPr>
        <w:tc>
          <w:tcPr>
            <w:tcW w:w="2688" w:type="dxa"/>
          </w:tcPr>
          <w:p w:rsidR="00C91A93" w:rsidRPr="007D54A2" w:rsidP="00A3727C" w14:paraId="074B6210" w14:textId="4D8371C2">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 xml:space="preserve">Attachment 5A: </w:t>
            </w:r>
            <w:r w:rsidRPr="007D54A2" w:rsidR="00412090">
              <w:rPr>
                <w:rFonts w:cstheme="minorHAnsi"/>
                <w:color w:val="212529"/>
                <w:highlight w:val="yellow"/>
                <w:shd w:val="clear" w:color="auto" w:fill="FFFFFF"/>
              </w:rPr>
              <w:t>eRA</w:t>
            </w:r>
            <w:r w:rsidRPr="007D54A2" w:rsidR="00412090">
              <w:rPr>
                <w:rFonts w:cstheme="minorHAnsi"/>
                <w:color w:val="212529"/>
                <w:highlight w:val="yellow"/>
                <w:shd w:val="clear" w:color="auto" w:fill="FFFFFF"/>
              </w:rPr>
              <w:t xml:space="preserve"> RPPR Sample Screenshots</w:t>
            </w:r>
          </w:p>
          <w:p w:rsidR="00A3727C" w:rsidRPr="007D54A2" w:rsidP="00A3727C" w14:paraId="5C8C1404" w14:textId="214FA3CB">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w:t>
            </w:r>
            <w:r w:rsidRPr="007D54A2" w:rsidR="00233B9B">
              <w:rPr>
                <w:rFonts w:cstheme="minorHAnsi"/>
                <w:color w:val="212529"/>
                <w:highlight w:val="yellow"/>
                <w:shd w:val="clear" w:color="auto" w:fill="FFFFFF"/>
              </w:rPr>
              <w:t>B</w:t>
            </w:r>
            <w:r w:rsidRPr="007D54A2">
              <w:rPr>
                <w:rFonts w:cstheme="minorHAnsi"/>
                <w:color w:val="212529"/>
                <w:highlight w:val="yellow"/>
                <w:shd w:val="clear" w:color="auto" w:fill="FFFFFF"/>
              </w:rPr>
              <w:t xml:space="preserve"> PHS HSCT Landing Page</w:t>
            </w:r>
          </w:p>
          <w:p w:rsidR="00A3727C" w:rsidRPr="007D54A2" w:rsidP="00A3727C" w14:paraId="04E8D365" w14:textId="0E9AE677">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w:t>
            </w:r>
            <w:r w:rsidRPr="007D54A2" w:rsidR="00233B9B">
              <w:rPr>
                <w:rFonts w:cstheme="minorHAnsi"/>
                <w:color w:val="212529"/>
                <w:highlight w:val="yellow"/>
                <w:shd w:val="clear" w:color="auto" w:fill="FFFFFF"/>
              </w:rPr>
              <w:t>B</w:t>
            </w:r>
            <w:r w:rsidRPr="007D54A2">
              <w:rPr>
                <w:rFonts w:cstheme="minorHAnsi"/>
                <w:color w:val="212529"/>
                <w:highlight w:val="yellow"/>
                <w:shd w:val="clear" w:color="auto" w:fill="FFFFFF"/>
              </w:rPr>
              <w:t xml:space="preserve"> PHS Inclusion Enrollment Report (Part of HSCT)</w:t>
            </w:r>
          </w:p>
          <w:p w:rsidR="00233B9B" w:rsidRPr="007D54A2" w:rsidP="00A3727C" w14:paraId="2E20E900" w14:textId="6D659232">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w:t>
            </w:r>
            <w:r w:rsidRPr="007D54A2">
              <w:rPr>
                <w:rFonts w:cstheme="minorHAnsi"/>
                <w:color w:val="212529"/>
                <w:highlight w:val="yellow"/>
                <w:shd w:val="clear" w:color="auto" w:fill="FFFFFF"/>
              </w:rPr>
              <w:t>B</w:t>
            </w:r>
            <w:r w:rsidRPr="007D54A2">
              <w:rPr>
                <w:rFonts w:cstheme="minorHAnsi"/>
                <w:color w:val="212529"/>
                <w:highlight w:val="yellow"/>
                <w:shd w:val="clear" w:color="auto" w:fill="FFFFFF"/>
              </w:rPr>
              <w:t xml:space="preserve"> HSCT Section 1-6</w:t>
            </w:r>
          </w:p>
          <w:p w:rsidR="00412090" w:rsidRPr="007D54A2" w:rsidP="00A3727C" w14:paraId="5F6C27E7" w14:textId="0460D704">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 xml:space="preserve">Attachment 5C: </w:t>
            </w:r>
            <w:r w:rsidRPr="007D54A2" w:rsidR="00B83DE4">
              <w:rPr>
                <w:rFonts w:cstheme="minorHAnsi"/>
                <w:color w:val="212529"/>
                <w:highlight w:val="yellow"/>
                <w:shd w:val="clear" w:color="auto" w:fill="FFFFFF"/>
              </w:rPr>
              <w:t>Data Management and Sharing Plan Format</w:t>
            </w:r>
          </w:p>
        </w:tc>
        <w:tc>
          <w:tcPr>
            <w:tcW w:w="2339" w:type="dxa"/>
            <w:shd w:val="clear" w:color="auto" w:fill="auto"/>
            <w:vAlign w:val="center"/>
            <w:hideMark/>
          </w:tcPr>
          <w:p w:rsidR="001E617A" w:rsidRPr="00D20341" w:rsidP="00291426" w14:paraId="3D347C20" w14:textId="7093568C">
            <w:pPr>
              <w:rPr>
                <w:bCs/>
                <w:color w:val="000000"/>
                <w:highlight w:val="yellow"/>
              </w:rPr>
            </w:pPr>
            <w:r w:rsidRPr="00D20341">
              <w:rPr>
                <w:bCs/>
                <w:color w:val="000000"/>
                <w:highlight w:val="yellow"/>
              </w:rPr>
              <w:t xml:space="preserve">RPPR – </w:t>
            </w:r>
          </w:p>
          <w:p w:rsidR="001E617A" w:rsidRPr="00D20341" w:rsidP="00291426" w14:paraId="218ABB82" w14:textId="77777777">
            <w:pPr>
              <w:rPr>
                <w:bCs/>
                <w:color w:val="000000"/>
                <w:highlight w:val="yellow"/>
              </w:rPr>
            </w:pPr>
            <w:r w:rsidRPr="00D20341">
              <w:rPr>
                <w:bCs/>
                <w:color w:val="000000"/>
                <w:highlight w:val="yellow"/>
              </w:rPr>
              <w:t>Core Data</w:t>
            </w:r>
          </w:p>
        </w:tc>
        <w:tc>
          <w:tcPr>
            <w:tcW w:w="1890" w:type="dxa"/>
            <w:shd w:val="clear" w:color="auto" w:fill="auto"/>
            <w:vAlign w:val="center"/>
            <w:hideMark/>
          </w:tcPr>
          <w:p w:rsidR="001E617A" w:rsidRPr="007D54A2" w:rsidP="00291426" w14:paraId="62482292" w14:textId="77777777">
            <w:pPr>
              <w:jc w:val="center"/>
              <w:rPr>
                <w:bCs/>
                <w:color w:val="000000"/>
              </w:rPr>
            </w:pPr>
            <w:r w:rsidRPr="007D54A2">
              <w:rPr>
                <w:bCs/>
                <w:color w:val="000000"/>
              </w:rPr>
              <w:t>32,098</w:t>
            </w:r>
          </w:p>
        </w:tc>
        <w:tc>
          <w:tcPr>
            <w:tcW w:w="1316" w:type="dxa"/>
            <w:shd w:val="clear" w:color="auto" w:fill="auto"/>
            <w:vAlign w:val="center"/>
          </w:tcPr>
          <w:p w:rsidR="001E617A" w:rsidRPr="007D54A2" w:rsidP="00291426" w14:paraId="04632BA9" w14:textId="77777777">
            <w:pPr>
              <w:jc w:val="center"/>
              <w:rPr>
                <w:b/>
                <w:bCs/>
                <w:color w:val="000000"/>
              </w:rPr>
            </w:pPr>
            <w:r w:rsidRPr="007D54A2">
              <w:rPr>
                <w:color w:val="000000"/>
              </w:rPr>
              <w:t>1</w:t>
            </w:r>
          </w:p>
        </w:tc>
        <w:tc>
          <w:tcPr>
            <w:tcW w:w="1122" w:type="dxa"/>
            <w:shd w:val="clear" w:color="auto" w:fill="auto"/>
            <w:noWrap/>
            <w:vAlign w:val="center"/>
            <w:hideMark/>
          </w:tcPr>
          <w:p w:rsidR="001E617A" w:rsidRPr="00D20341" w:rsidP="00291426" w14:paraId="6B8EA618" w14:textId="0F854CCA">
            <w:pPr>
              <w:jc w:val="center"/>
              <w:rPr>
                <w:bCs/>
                <w:color w:val="000000"/>
                <w:highlight w:val="yellow"/>
              </w:rPr>
            </w:pPr>
            <w:r w:rsidRPr="00D20341">
              <w:rPr>
                <w:bCs/>
                <w:color w:val="000000"/>
                <w:highlight w:val="yellow"/>
              </w:rPr>
              <w:t>9</w:t>
            </w:r>
          </w:p>
        </w:tc>
        <w:tc>
          <w:tcPr>
            <w:tcW w:w="1710" w:type="dxa"/>
            <w:shd w:val="clear" w:color="auto" w:fill="auto"/>
            <w:noWrap/>
            <w:vAlign w:val="center"/>
            <w:hideMark/>
          </w:tcPr>
          <w:p w:rsidR="001E617A" w:rsidRPr="00D20341" w:rsidP="00291426" w14:paraId="5A86CD4B" w14:textId="4AA4665D">
            <w:pPr>
              <w:jc w:val="center"/>
              <w:rPr>
                <w:bCs/>
                <w:color w:val="000000"/>
                <w:highlight w:val="yellow"/>
              </w:rPr>
            </w:pPr>
            <w:r>
              <w:rPr>
                <w:bCs/>
                <w:color w:val="000000"/>
                <w:highlight w:val="yellow"/>
              </w:rPr>
              <w:t>288,882</w:t>
            </w:r>
          </w:p>
        </w:tc>
      </w:tr>
      <w:tr w14:paraId="61869179" w14:textId="77777777" w:rsidTr="00D33EB6">
        <w:tblPrEx>
          <w:tblW w:w="11065" w:type="dxa"/>
          <w:tblLook w:val="04A0"/>
        </w:tblPrEx>
        <w:trPr>
          <w:trHeight w:val="593"/>
        </w:trPr>
        <w:tc>
          <w:tcPr>
            <w:tcW w:w="2688" w:type="dxa"/>
          </w:tcPr>
          <w:p w:rsidR="00AA3B1C" w:rsidRPr="007D54A2" w:rsidP="00AA3B1C" w14:paraId="7EC4EA7A" w14:textId="77777777">
            <w:pPr>
              <w:pStyle w:val="ListParagraph"/>
              <w:numPr>
                <w:ilvl w:val="0"/>
                <w:numId w:val="18"/>
              </w:numPr>
              <w:ind w:left="341"/>
              <w:rPr>
                <w:color w:val="000000"/>
                <w:highlight w:val="yellow"/>
              </w:rPr>
            </w:pPr>
            <w:r w:rsidRPr="007D54A2">
              <w:rPr>
                <w:color w:val="000000"/>
                <w:highlight w:val="yellow"/>
              </w:rPr>
              <w:t xml:space="preserve">Attachment 8A: NIH General Non-Fellowship </w:t>
            </w:r>
            <w:r w:rsidRPr="007D54A2">
              <w:rPr>
                <w:color w:val="000000"/>
                <w:highlight w:val="yellow"/>
              </w:rPr>
              <w:t>Biosketch</w:t>
            </w:r>
            <w:r w:rsidRPr="007D54A2">
              <w:rPr>
                <w:color w:val="000000"/>
                <w:highlight w:val="yellow"/>
              </w:rPr>
              <w:t xml:space="preserve"> Format</w:t>
            </w:r>
          </w:p>
          <w:p w:rsidR="00AA3B1C" w:rsidRPr="007D54A2" w:rsidP="00AA3B1C" w14:paraId="636448DF" w14:textId="77777777">
            <w:pPr>
              <w:pStyle w:val="ListParagraph"/>
              <w:numPr>
                <w:ilvl w:val="0"/>
                <w:numId w:val="18"/>
              </w:numPr>
              <w:ind w:left="341"/>
              <w:rPr>
                <w:color w:val="000000"/>
                <w:highlight w:val="yellow"/>
              </w:rPr>
            </w:pPr>
            <w:r w:rsidRPr="007D54A2">
              <w:rPr>
                <w:color w:val="000000"/>
                <w:highlight w:val="yellow"/>
              </w:rPr>
              <w:t xml:space="preserve">Attachment 8B: General and Fellowship </w:t>
            </w:r>
            <w:r w:rsidRPr="007D54A2">
              <w:rPr>
                <w:color w:val="000000"/>
                <w:highlight w:val="yellow"/>
              </w:rPr>
              <w:t>Biosketch</w:t>
            </w:r>
            <w:r w:rsidRPr="007D54A2">
              <w:rPr>
                <w:color w:val="000000"/>
                <w:highlight w:val="yellow"/>
              </w:rPr>
              <w:t xml:space="preserve"> Format Instructions</w:t>
            </w:r>
          </w:p>
          <w:p w:rsidR="00AA3B1C" w:rsidRPr="007D54A2" w:rsidP="00AA3B1C" w14:paraId="194C8B46" w14:textId="77777777">
            <w:pPr>
              <w:pStyle w:val="ListParagraph"/>
              <w:numPr>
                <w:ilvl w:val="0"/>
                <w:numId w:val="18"/>
              </w:numPr>
              <w:ind w:left="341"/>
              <w:rPr>
                <w:color w:val="000000"/>
                <w:highlight w:val="yellow"/>
              </w:rPr>
            </w:pPr>
            <w:r w:rsidRPr="007D54A2">
              <w:rPr>
                <w:color w:val="000000"/>
                <w:highlight w:val="yellow"/>
              </w:rPr>
              <w:t>Attachment 8D: NIH Biographical Sketch Supplement</w:t>
            </w:r>
          </w:p>
          <w:p w:rsidR="00AA3B1C" w:rsidRPr="007D54A2" w:rsidP="00AA3B1C" w14:paraId="2887C45D" w14:textId="77777777">
            <w:pPr>
              <w:pStyle w:val="ListParagraph"/>
              <w:numPr>
                <w:ilvl w:val="0"/>
                <w:numId w:val="18"/>
              </w:numPr>
              <w:ind w:left="341"/>
              <w:rPr>
                <w:color w:val="000000"/>
                <w:highlight w:val="yellow"/>
              </w:rPr>
            </w:pPr>
            <w:r w:rsidRPr="007D54A2">
              <w:rPr>
                <w:color w:val="000000"/>
                <w:highlight w:val="yellow"/>
              </w:rPr>
              <w:t xml:space="preserve">Attachment 9A: NIH Fellowship </w:t>
            </w:r>
            <w:r w:rsidRPr="007D54A2">
              <w:rPr>
                <w:color w:val="000000"/>
                <w:highlight w:val="yellow"/>
              </w:rPr>
              <w:t>Biosketch</w:t>
            </w:r>
            <w:r w:rsidRPr="007D54A2">
              <w:rPr>
                <w:color w:val="000000"/>
                <w:highlight w:val="yellow"/>
              </w:rPr>
              <w:t xml:space="preserve"> Format</w:t>
            </w:r>
          </w:p>
          <w:p w:rsidR="00AA3B1C" w:rsidRPr="007D54A2" w:rsidP="00AA3B1C" w14:paraId="7B84E5A5" w14:textId="77777777">
            <w:pPr>
              <w:pStyle w:val="ListParagraph"/>
              <w:numPr>
                <w:ilvl w:val="0"/>
                <w:numId w:val="18"/>
              </w:numPr>
              <w:ind w:left="341"/>
              <w:rPr>
                <w:color w:val="000000"/>
                <w:highlight w:val="yellow"/>
              </w:rPr>
            </w:pPr>
            <w:r w:rsidRPr="007D54A2">
              <w:rPr>
                <w:color w:val="000000"/>
                <w:highlight w:val="yellow"/>
              </w:rPr>
              <w:t xml:space="preserve">Attachment 9B: NIH Fellowship </w:t>
            </w:r>
            <w:r w:rsidRPr="007D54A2">
              <w:rPr>
                <w:color w:val="000000"/>
                <w:highlight w:val="yellow"/>
              </w:rPr>
              <w:t>Biosketch_Predoc</w:t>
            </w:r>
            <w:r w:rsidRPr="007D54A2">
              <w:rPr>
                <w:color w:val="000000"/>
                <w:highlight w:val="yellow"/>
              </w:rPr>
              <w:t xml:space="preserve"> Sample</w:t>
            </w:r>
          </w:p>
          <w:p w:rsidR="001E617A" w:rsidRPr="007D54A2" w:rsidP="00291426" w14:paraId="555C4DAA" w14:textId="49DA3348">
            <w:pPr>
              <w:pStyle w:val="ListParagraph"/>
              <w:numPr>
                <w:ilvl w:val="0"/>
                <w:numId w:val="18"/>
              </w:numPr>
              <w:ind w:left="341"/>
              <w:rPr>
                <w:color w:val="000000"/>
                <w:highlight w:val="yellow"/>
              </w:rPr>
            </w:pPr>
            <w:r w:rsidRPr="007D54A2">
              <w:rPr>
                <w:color w:val="000000"/>
                <w:highlight w:val="yellow"/>
              </w:rPr>
              <w:t xml:space="preserve">Attachment 9C: NIH Fellowship </w:t>
            </w:r>
            <w:r w:rsidRPr="007D54A2">
              <w:rPr>
                <w:color w:val="000000"/>
                <w:highlight w:val="yellow"/>
              </w:rPr>
              <w:t>Biosketch_Postdoc</w:t>
            </w:r>
            <w:r w:rsidRPr="007D54A2">
              <w:rPr>
                <w:color w:val="000000"/>
                <w:highlight w:val="yellow"/>
              </w:rPr>
              <w:t xml:space="preserve"> Sample</w:t>
            </w:r>
          </w:p>
        </w:tc>
        <w:tc>
          <w:tcPr>
            <w:tcW w:w="2339" w:type="dxa"/>
            <w:shd w:val="clear" w:color="auto" w:fill="auto"/>
            <w:vAlign w:val="center"/>
            <w:hideMark/>
          </w:tcPr>
          <w:p w:rsidR="001E617A" w:rsidRPr="0004310F" w:rsidP="00291426" w14:paraId="16418170" w14:textId="7157EE42">
            <w:r w:rsidRPr="0004310F">
              <w:t>Biosketch</w:t>
            </w:r>
            <w:r>
              <w:t xml:space="preserve"> (Part of RPPR)</w:t>
            </w:r>
          </w:p>
        </w:tc>
        <w:tc>
          <w:tcPr>
            <w:tcW w:w="1890" w:type="dxa"/>
            <w:shd w:val="clear" w:color="auto" w:fill="auto"/>
            <w:vAlign w:val="center"/>
            <w:hideMark/>
          </w:tcPr>
          <w:p w:rsidR="001E617A" w:rsidRPr="0004310F" w:rsidP="00291426" w14:paraId="6A0F62C1" w14:textId="77777777">
            <w:pPr>
              <w:jc w:val="center"/>
            </w:pPr>
            <w:r w:rsidRPr="0004310F">
              <w:t>2,544</w:t>
            </w:r>
          </w:p>
        </w:tc>
        <w:tc>
          <w:tcPr>
            <w:tcW w:w="1316" w:type="dxa"/>
            <w:vAlign w:val="center"/>
          </w:tcPr>
          <w:p w:rsidR="001E617A" w:rsidRPr="0004310F" w:rsidP="00291426" w14:paraId="6B4C6CE0" w14:textId="77777777">
            <w:pPr>
              <w:jc w:val="center"/>
            </w:pPr>
            <w:r w:rsidRPr="0004310F">
              <w:t>1</w:t>
            </w:r>
          </w:p>
        </w:tc>
        <w:tc>
          <w:tcPr>
            <w:tcW w:w="1122" w:type="dxa"/>
            <w:shd w:val="clear" w:color="auto" w:fill="auto"/>
            <w:noWrap/>
            <w:vAlign w:val="center"/>
            <w:hideMark/>
          </w:tcPr>
          <w:p w:rsidR="001E617A" w:rsidRPr="0004310F" w:rsidP="00291426" w14:paraId="6DF9BEF7" w14:textId="77777777">
            <w:pPr>
              <w:jc w:val="center"/>
            </w:pPr>
            <w:r>
              <w:t>2</w:t>
            </w:r>
          </w:p>
        </w:tc>
        <w:tc>
          <w:tcPr>
            <w:tcW w:w="1710" w:type="dxa"/>
            <w:shd w:val="clear" w:color="auto" w:fill="auto"/>
            <w:vAlign w:val="center"/>
            <w:hideMark/>
          </w:tcPr>
          <w:p w:rsidR="001E617A" w:rsidRPr="0004310F" w:rsidP="00291426" w14:paraId="211FF1A9" w14:textId="77777777">
            <w:pPr>
              <w:jc w:val="center"/>
            </w:pPr>
            <w:r>
              <w:t>5,088</w:t>
            </w:r>
          </w:p>
        </w:tc>
      </w:tr>
      <w:tr w14:paraId="6CD0A083" w14:textId="77777777" w:rsidTr="00D33EB6">
        <w:tblPrEx>
          <w:tblW w:w="11065" w:type="dxa"/>
          <w:tblLook w:val="04A0"/>
        </w:tblPrEx>
        <w:trPr>
          <w:trHeight w:val="620"/>
        </w:trPr>
        <w:tc>
          <w:tcPr>
            <w:tcW w:w="2688" w:type="dxa"/>
          </w:tcPr>
          <w:p w:rsidR="00AA3B1C" w:rsidRPr="007D54A2" w:rsidP="00AA3B1C" w14:paraId="13AD3A37" w14:textId="77777777">
            <w:pPr>
              <w:pStyle w:val="ListParagraph"/>
              <w:numPr>
                <w:ilvl w:val="0"/>
                <w:numId w:val="18"/>
              </w:numPr>
              <w:ind w:left="341"/>
              <w:rPr>
                <w:color w:val="000000"/>
                <w:highlight w:val="yellow"/>
              </w:rPr>
            </w:pPr>
            <w:r w:rsidRPr="007D54A2">
              <w:rPr>
                <w:color w:val="000000"/>
                <w:highlight w:val="yellow"/>
              </w:rPr>
              <w:t>Attachment 10A: Introduction to the Data Tables</w:t>
            </w:r>
          </w:p>
          <w:p w:rsidR="00AA3B1C" w:rsidRPr="007D54A2" w:rsidP="00AA3B1C" w14:paraId="779F186F" w14:textId="77777777">
            <w:pPr>
              <w:pStyle w:val="ListParagraph"/>
              <w:numPr>
                <w:ilvl w:val="0"/>
                <w:numId w:val="18"/>
              </w:numPr>
              <w:ind w:left="341"/>
              <w:rPr>
                <w:color w:val="000000"/>
                <w:highlight w:val="yellow"/>
              </w:rPr>
            </w:pPr>
            <w:r w:rsidRPr="007D54A2">
              <w:rPr>
                <w:color w:val="000000"/>
                <w:highlight w:val="yellow"/>
              </w:rPr>
              <w:t>Attachment 10B: Undergraduate Training Tables</w:t>
            </w:r>
          </w:p>
          <w:p w:rsidR="00AA3B1C" w:rsidRPr="007D54A2" w:rsidP="00AA3B1C" w14:paraId="2D794CF7" w14:textId="77777777">
            <w:pPr>
              <w:pStyle w:val="ListParagraph"/>
              <w:numPr>
                <w:ilvl w:val="0"/>
                <w:numId w:val="18"/>
              </w:numPr>
              <w:ind w:left="341"/>
              <w:rPr>
                <w:color w:val="000000"/>
                <w:highlight w:val="yellow"/>
              </w:rPr>
            </w:pPr>
            <w:r w:rsidRPr="007D54A2">
              <w:rPr>
                <w:color w:val="000000"/>
                <w:highlight w:val="yellow"/>
              </w:rPr>
              <w:t>Attachment 10C: Consolidated Pre and Postdoc Training Tables</w:t>
            </w:r>
          </w:p>
          <w:p w:rsidR="001E617A" w:rsidRPr="007D54A2" w:rsidP="00291426" w14:paraId="52D5F1A1" w14:textId="31877D5C">
            <w:pPr>
              <w:pStyle w:val="ListParagraph"/>
              <w:numPr>
                <w:ilvl w:val="0"/>
                <w:numId w:val="18"/>
              </w:numPr>
              <w:ind w:left="341"/>
              <w:rPr>
                <w:color w:val="000000"/>
                <w:highlight w:val="yellow"/>
              </w:rPr>
            </w:pPr>
            <w:r w:rsidRPr="007D54A2">
              <w:rPr>
                <w:color w:val="000000"/>
                <w:highlight w:val="yellow"/>
              </w:rPr>
              <w:t>Attachment 10D: International Training Tables</w:t>
            </w:r>
          </w:p>
        </w:tc>
        <w:tc>
          <w:tcPr>
            <w:tcW w:w="2339" w:type="dxa"/>
            <w:shd w:val="clear" w:color="auto" w:fill="auto"/>
            <w:vAlign w:val="center"/>
            <w:hideMark/>
          </w:tcPr>
          <w:p w:rsidR="001E617A" w:rsidRPr="0004310F" w:rsidP="00291426" w14:paraId="0287A7D3" w14:textId="7C909CA2">
            <w:r w:rsidRPr="0004310F">
              <w:t>Data Tables</w:t>
            </w:r>
            <w:r>
              <w:t xml:space="preserve"> (Part of RPPR)</w:t>
            </w:r>
          </w:p>
        </w:tc>
        <w:tc>
          <w:tcPr>
            <w:tcW w:w="1890" w:type="dxa"/>
            <w:shd w:val="clear" w:color="auto" w:fill="auto"/>
            <w:vAlign w:val="center"/>
            <w:hideMark/>
          </w:tcPr>
          <w:p w:rsidR="001E617A" w:rsidRPr="0004310F" w:rsidP="00291426" w14:paraId="293E0D77" w14:textId="77777777">
            <w:pPr>
              <w:jc w:val="center"/>
            </w:pPr>
            <w:r>
              <w:t>758</w:t>
            </w:r>
          </w:p>
        </w:tc>
        <w:tc>
          <w:tcPr>
            <w:tcW w:w="1316" w:type="dxa"/>
            <w:vAlign w:val="center"/>
          </w:tcPr>
          <w:p w:rsidR="001E617A" w:rsidRPr="0004310F" w:rsidP="00291426" w14:paraId="4C975078" w14:textId="77777777">
            <w:pPr>
              <w:jc w:val="center"/>
            </w:pPr>
            <w:r w:rsidRPr="0004310F">
              <w:t>1</w:t>
            </w:r>
          </w:p>
        </w:tc>
        <w:tc>
          <w:tcPr>
            <w:tcW w:w="1122" w:type="dxa"/>
            <w:shd w:val="clear" w:color="auto" w:fill="auto"/>
            <w:noWrap/>
            <w:vAlign w:val="center"/>
            <w:hideMark/>
          </w:tcPr>
          <w:p w:rsidR="001E617A" w:rsidRPr="0004310F" w:rsidP="00291426" w14:paraId="63F6EBF3" w14:textId="77777777">
            <w:pPr>
              <w:jc w:val="center"/>
            </w:pPr>
            <w:r w:rsidRPr="0004310F">
              <w:t>4</w:t>
            </w:r>
          </w:p>
        </w:tc>
        <w:tc>
          <w:tcPr>
            <w:tcW w:w="1710" w:type="dxa"/>
            <w:shd w:val="clear" w:color="auto" w:fill="auto"/>
            <w:vAlign w:val="center"/>
            <w:hideMark/>
          </w:tcPr>
          <w:p w:rsidR="001E617A" w:rsidRPr="0004310F" w:rsidP="00291426" w14:paraId="12C6B9BF" w14:textId="77777777">
            <w:pPr>
              <w:jc w:val="center"/>
            </w:pPr>
            <w:r w:rsidRPr="0004310F">
              <w:t>3,03</w:t>
            </w:r>
            <w:r>
              <w:t>2</w:t>
            </w:r>
          </w:p>
        </w:tc>
      </w:tr>
      <w:tr w14:paraId="20B386F6" w14:textId="77777777" w:rsidTr="00D33EB6">
        <w:tblPrEx>
          <w:tblW w:w="11065" w:type="dxa"/>
          <w:tblLook w:val="04A0"/>
        </w:tblPrEx>
        <w:trPr>
          <w:trHeight w:val="780"/>
        </w:trPr>
        <w:tc>
          <w:tcPr>
            <w:tcW w:w="2688" w:type="dxa"/>
          </w:tcPr>
          <w:p w:rsidR="00AA3B1C" w:rsidRPr="007D54A2" w:rsidP="00AA3B1C" w14:paraId="5769AA34" w14:textId="77777777">
            <w:pPr>
              <w:pStyle w:val="ListParagraph"/>
              <w:numPr>
                <w:ilvl w:val="0"/>
                <w:numId w:val="18"/>
              </w:numPr>
              <w:ind w:left="341"/>
              <w:rPr>
                <w:color w:val="000000"/>
                <w:highlight w:val="yellow"/>
              </w:rPr>
            </w:pPr>
            <w:r w:rsidRPr="007D54A2">
              <w:rPr>
                <w:color w:val="000000"/>
                <w:highlight w:val="yellow"/>
              </w:rPr>
              <w:t>Attachment 7A: Trainee Diversity Report</w:t>
            </w:r>
          </w:p>
          <w:p w:rsidR="00AA3B1C" w:rsidRPr="007D54A2" w:rsidP="00AA3B1C" w14:paraId="4EEFD93B" w14:textId="5036DB71">
            <w:pPr>
              <w:pStyle w:val="ListParagraph"/>
              <w:numPr>
                <w:ilvl w:val="0"/>
                <w:numId w:val="18"/>
              </w:numPr>
              <w:ind w:left="341"/>
              <w:rPr>
                <w:color w:val="000000"/>
                <w:highlight w:val="yellow"/>
              </w:rPr>
            </w:pPr>
            <w:r w:rsidRPr="007D54A2">
              <w:rPr>
                <w:color w:val="000000"/>
                <w:highlight w:val="yellow"/>
              </w:rPr>
              <w:t xml:space="preserve">Attachment 7B: </w:t>
            </w:r>
            <w:r w:rsidRPr="007D54A2" w:rsidR="00594ABC">
              <w:rPr>
                <w:color w:val="000000"/>
                <w:highlight w:val="yellow"/>
              </w:rPr>
              <w:t xml:space="preserve">Trainee Diversity </w:t>
            </w:r>
            <w:r w:rsidRPr="007D54A2" w:rsidR="00594ABC">
              <w:rPr>
                <w:color w:val="000000"/>
                <w:highlight w:val="yellow"/>
              </w:rPr>
              <w:t>Report_xTrain</w:t>
            </w:r>
            <w:r w:rsidRPr="007D54A2" w:rsidR="00594ABC">
              <w:rPr>
                <w:color w:val="000000"/>
                <w:highlight w:val="yellow"/>
              </w:rPr>
              <w:t xml:space="preserve"> Sample Screenshots</w:t>
            </w:r>
          </w:p>
          <w:p w:rsidR="001E617A" w:rsidRPr="007D54A2" w:rsidP="00291426" w14:paraId="4AFF11E9" w14:textId="77777777">
            <w:pPr>
              <w:rPr>
                <w:highlight w:val="yellow"/>
              </w:rPr>
            </w:pPr>
          </w:p>
        </w:tc>
        <w:tc>
          <w:tcPr>
            <w:tcW w:w="2339" w:type="dxa"/>
            <w:shd w:val="clear" w:color="auto" w:fill="auto"/>
            <w:vAlign w:val="center"/>
          </w:tcPr>
          <w:p w:rsidR="001E617A" w:rsidRPr="0004310F" w:rsidP="00291426" w14:paraId="1AAAB069" w14:textId="2A4F9B21">
            <w:r w:rsidRPr="0004310F">
              <w:t>Trainee Diversity Report</w:t>
            </w:r>
            <w:r>
              <w:t xml:space="preserve"> (Part of RPPR)</w:t>
            </w:r>
          </w:p>
        </w:tc>
        <w:tc>
          <w:tcPr>
            <w:tcW w:w="1890" w:type="dxa"/>
            <w:shd w:val="clear" w:color="auto" w:fill="auto"/>
            <w:vAlign w:val="center"/>
          </w:tcPr>
          <w:p w:rsidR="001E617A" w:rsidRPr="0004310F" w:rsidP="00291426" w14:paraId="213E7880" w14:textId="77777777">
            <w:pPr>
              <w:jc w:val="center"/>
            </w:pPr>
            <w:r w:rsidRPr="0004310F">
              <w:t>480</w:t>
            </w:r>
          </w:p>
        </w:tc>
        <w:tc>
          <w:tcPr>
            <w:tcW w:w="1316" w:type="dxa"/>
            <w:vAlign w:val="center"/>
          </w:tcPr>
          <w:p w:rsidR="001E617A" w:rsidRPr="0004310F" w:rsidP="00291426" w14:paraId="74A17D7F" w14:textId="77777777">
            <w:pPr>
              <w:jc w:val="center"/>
            </w:pPr>
            <w:r w:rsidRPr="0004310F">
              <w:t>1</w:t>
            </w:r>
          </w:p>
        </w:tc>
        <w:tc>
          <w:tcPr>
            <w:tcW w:w="1122" w:type="dxa"/>
            <w:shd w:val="clear" w:color="auto" w:fill="auto"/>
            <w:noWrap/>
            <w:vAlign w:val="center"/>
          </w:tcPr>
          <w:p w:rsidR="001E617A" w:rsidRPr="0004310F" w:rsidP="00291426" w14:paraId="72585769" w14:textId="77777777">
            <w:pPr>
              <w:jc w:val="center"/>
            </w:pPr>
            <w:r w:rsidRPr="0004310F">
              <w:t>15/60</w:t>
            </w:r>
          </w:p>
        </w:tc>
        <w:tc>
          <w:tcPr>
            <w:tcW w:w="1710" w:type="dxa"/>
            <w:shd w:val="clear" w:color="auto" w:fill="auto"/>
            <w:vAlign w:val="center"/>
          </w:tcPr>
          <w:p w:rsidR="001E617A" w:rsidRPr="0004310F" w:rsidP="00291426" w14:paraId="421E5519" w14:textId="77777777">
            <w:pPr>
              <w:jc w:val="center"/>
            </w:pPr>
            <w:r w:rsidRPr="0004310F">
              <w:t>120</w:t>
            </w:r>
          </w:p>
        </w:tc>
      </w:tr>
      <w:tr w14:paraId="40232B0A" w14:textId="77777777" w:rsidTr="00D33EB6">
        <w:tblPrEx>
          <w:tblW w:w="11065" w:type="dxa"/>
          <w:tblLook w:val="04A0"/>
        </w:tblPrEx>
        <w:trPr>
          <w:trHeight w:val="780"/>
        </w:trPr>
        <w:tc>
          <w:tcPr>
            <w:tcW w:w="2688" w:type="dxa"/>
          </w:tcPr>
          <w:p w:rsidR="00044ED1" w:rsidRPr="007D54A2" w:rsidP="00044ED1" w14:paraId="5E9B92EE" w14:textId="77777777">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5B PHS HSCT Landing Page</w:t>
            </w:r>
          </w:p>
          <w:p w:rsidR="00044ED1" w:rsidRPr="007D54A2" w:rsidP="00044ED1" w14:paraId="11609AD1" w14:textId="77777777">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5B PHS Inclusion Enrollment Report (Part of HSCT)</w:t>
            </w:r>
          </w:p>
          <w:p w:rsidR="001E617A" w:rsidRPr="007D54A2" w:rsidP="00291426" w14:paraId="0E2064F2" w14:textId="067C91C0">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5B HSCT Section 1-6</w:t>
            </w:r>
          </w:p>
        </w:tc>
        <w:tc>
          <w:tcPr>
            <w:tcW w:w="2339" w:type="dxa"/>
            <w:shd w:val="clear" w:color="auto" w:fill="auto"/>
            <w:vAlign w:val="center"/>
          </w:tcPr>
          <w:p w:rsidR="001E617A" w:rsidRPr="004E1303" w:rsidP="00291426" w14:paraId="224D4DE8" w14:textId="1E61199D">
            <w:r w:rsidRPr="00135590">
              <w:t>PHS Human Subjects and Clinical Trial Information</w:t>
            </w:r>
            <w:r>
              <w:t xml:space="preserve"> </w:t>
            </w:r>
            <w:r w:rsidRPr="004E1303">
              <w:t>(Part of RPPR</w:t>
            </w:r>
            <w:r>
              <w:t>, includes inclusion enrollment report</w:t>
            </w:r>
            <w:r w:rsidRPr="004E1303">
              <w:t>)</w:t>
            </w:r>
          </w:p>
        </w:tc>
        <w:tc>
          <w:tcPr>
            <w:tcW w:w="1890" w:type="dxa"/>
            <w:shd w:val="clear" w:color="auto" w:fill="auto"/>
            <w:vAlign w:val="center"/>
          </w:tcPr>
          <w:p w:rsidR="001E617A" w:rsidRPr="004E1303" w:rsidP="00291426" w14:paraId="0AB27C26" w14:textId="77777777">
            <w:pPr>
              <w:jc w:val="center"/>
            </w:pPr>
            <w:r>
              <w:t>6,420</w:t>
            </w:r>
          </w:p>
        </w:tc>
        <w:tc>
          <w:tcPr>
            <w:tcW w:w="1316" w:type="dxa"/>
            <w:vAlign w:val="center"/>
          </w:tcPr>
          <w:p w:rsidR="001E617A" w:rsidRPr="004E1303" w:rsidP="00291426" w14:paraId="7C51807D" w14:textId="77777777">
            <w:pPr>
              <w:jc w:val="center"/>
            </w:pPr>
            <w:r w:rsidRPr="004E1303">
              <w:t>1</w:t>
            </w:r>
          </w:p>
        </w:tc>
        <w:tc>
          <w:tcPr>
            <w:tcW w:w="1122" w:type="dxa"/>
            <w:shd w:val="clear" w:color="auto" w:fill="auto"/>
            <w:noWrap/>
            <w:vAlign w:val="center"/>
          </w:tcPr>
          <w:p w:rsidR="001E617A" w:rsidRPr="004E1303" w:rsidP="00291426" w14:paraId="5DBB2E93" w14:textId="77777777">
            <w:pPr>
              <w:jc w:val="center"/>
            </w:pPr>
            <w:r>
              <w:t>4</w:t>
            </w:r>
          </w:p>
        </w:tc>
        <w:tc>
          <w:tcPr>
            <w:tcW w:w="1710" w:type="dxa"/>
            <w:shd w:val="clear" w:color="auto" w:fill="auto"/>
            <w:vAlign w:val="center"/>
          </w:tcPr>
          <w:p w:rsidR="001E617A" w:rsidRPr="004E1303" w:rsidP="00291426" w14:paraId="70F69E48" w14:textId="77777777">
            <w:pPr>
              <w:jc w:val="center"/>
            </w:pPr>
            <w:r>
              <w:t>25,680</w:t>
            </w:r>
          </w:p>
        </w:tc>
      </w:tr>
      <w:tr w14:paraId="41DEA028" w14:textId="77777777" w:rsidTr="00D33EB6">
        <w:tblPrEx>
          <w:tblW w:w="11065" w:type="dxa"/>
          <w:tblLook w:val="04A0"/>
        </w:tblPrEx>
        <w:trPr>
          <w:trHeight w:val="525"/>
        </w:trPr>
        <w:tc>
          <w:tcPr>
            <w:tcW w:w="2688" w:type="dxa"/>
          </w:tcPr>
          <w:p w:rsidR="001E617A" w:rsidRPr="007D54A2" w:rsidP="00044ED1" w14:paraId="0A43892F" w14:textId="45502A2C">
            <w:pPr>
              <w:pStyle w:val="ListParagraph"/>
              <w:numPr>
                <w:ilvl w:val="0"/>
                <w:numId w:val="19"/>
              </w:numPr>
              <w:ind w:left="340"/>
              <w:rPr>
                <w:bCs/>
                <w:highlight w:val="yellow"/>
              </w:rPr>
            </w:pPr>
            <w:r w:rsidRPr="007D54A2">
              <w:rPr>
                <w:rFonts w:cstheme="minorHAnsi"/>
                <w:color w:val="212529"/>
                <w:highlight w:val="yellow"/>
                <w:shd w:val="clear" w:color="auto" w:fill="FFFFFF"/>
              </w:rPr>
              <w:t>Attachment 11: My Bibliography Sample Screenshots</w:t>
            </w:r>
          </w:p>
        </w:tc>
        <w:tc>
          <w:tcPr>
            <w:tcW w:w="2339" w:type="dxa"/>
            <w:shd w:val="clear" w:color="auto" w:fill="auto"/>
            <w:vAlign w:val="center"/>
            <w:hideMark/>
          </w:tcPr>
          <w:p w:rsidR="001E617A" w:rsidRPr="005566AE" w:rsidP="00291426" w14:paraId="2036F447" w14:textId="3727BB27">
            <w:pPr>
              <w:rPr>
                <w:bCs/>
              </w:rPr>
            </w:pPr>
            <w:r w:rsidRPr="005566AE">
              <w:rPr>
                <w:bCs/>
              </w:rPr>
              <w:t xml:space="preserve">Publication Reporting </w:t>
            </w:r>
          </w:p>
        </w:tc>
        <w:tc>
          <w:tcPr>
            <w:tcW w:w="1890" w:type="dxa"/>
            <w:shd w:val="clear" w:color="auto" w:fill="auto"/>
            <w:vAlign w:val="center"/>
            <w:hideMark/>
          </w:tcPr>
          <w:p w:rsidR="001E617A" w:rsidRPr="005566AE" w:rsidP="00291426" w14:paraId="774612DE" w14:textId="77777777">
            <w:pPr>
              <w:jc w:val="center"/>
              <w:rPr>
                <w:bCs/>
              </w:rPr>
            </w:pPr>
            <w:r w:rsidRPr="005566AE">
              <w:rPr>
                <w:bCs/>
              </w:rPr>
              <w:t>97,023</w:t>
            </w:r>
          </w:p>
        </w:tc>
        <w:tc>
          <w:tcPr>
            <w:tcW w:w="1316" w:type="dxa"/>
            <w:vAlign w:val="center"/>
          </w:tcPr>
          <w:p w:rsidR="001E617A" w:rsidRPr="005566AE" w:rsidP="00291426" w14:paraId="564ECF00" w14:textId="77777777">
            <w:pPr>
              <w:jc w:val="center"/>
              <w:rPr>
                <w:b/>
                <w:bCs/>
              </w:rPr>
            </w:pPr>
            <w:r w:rsidRPr="005566AE">
              <w:t>3</w:t>
            </w:r>
          </w:p>
        </w:tc>
        <w:tc>
          <w:tcPr>
            <w:tcW w:w="1122" w:type="dxa"/>
            <w:shd w:val="clear" w:color="auto" w:fill="auto"/>
            <w:noWrap/>
            <w:vAlign w:val="center"/>
            <w:hideMark/>
          </w:tcPr>
          <w:p w:rsidR="001E617A" w:rsidRPr="005566AE" w:rsidP="00291426" w14:paraId="286812AF" w14:textId="77777777">
            <w:pPr>
              <w:jc w:val="center"/>
              <w:rPr>
                <w:bCs/>
              </w:rPr>
            </w:pPr>
            <w:r w:rsidRPr="005566AE">
              <w:rPr>
                <w:bCs/>
              </w:rPr>
              <w:t>5/60</w:t>
            </w:r>
          </w:p>
        </w:tc>
        <w:tc>
          <w:tcPr>
            <w:tcW w:w="1710" w:type="dxa"/>
            <w:shd w:val="clear" w:color="auto" w:fill="auto"/>
            <w:vAlign w:val="center"/>
            <w:hideMark/>
          </w:tcPr>
          <w:p w:rsidR="001E617A" w:rsidRPr="005566AE" w:rsidP="00291426" w14:paraId="3BA19BB1" w14:textId="77777777">
            <w:pPr>
              <w:jc w:val="center"/>
              <w:rPr>
                <w:bCs/>
              </w:rPr>
            </w:pPr>
            <w:r w:rsidRPr="005566AE">
              <w:rPr>
                <w:bCs/>
              </w:rPr>
              <w:t>24,256</w:t>
            </w:r>
          </w:p>
        </w:tc>
      </w:tr>
      <w:tr w14:paraId="0E5D43E0" w14:textId="77777777" w:rsidTr="00D33EB6">
        <w:tblPrEx>
          <w:tblW w:w="11065" w:type="dxa"/>
          <w:tblLook w:val="04A0"/>
        </w:tblPrEx>
        <w:trPr>
          <w:trHeight w:val="525"/>
        </w:trPr>
        <w:tc>
          <w:tcPr>
            <w:tcW w:w="2688" w:type="dxa"/>
          </w:tcPr>
          <w:p w:rsidR="00AA3B1C" w:rsidRPr="007D54A2" w:rsidP="00AA3B1C" w14:paraId="12B56B67" w14:textId="77777777">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 xml:space="preserve">Attachment 5A: </w:t>
            </w:r>
            <w:r w:rsidRPr="007D54A2">
              <w:rPr>
                <w:rFonts w:cstheme="minorHAnsi"/>
                <w:color w:val="212529"/>
                <w:highlight w:val="yellow"/>
                <w:shd w:val="clear" w:color="auto" w:fill="FFFFFF"/>
              </w:rPr>
              <w:t>eRA</w:t>
            </w:r>
            <w:r w:rsidRPr="007D54A2">
              <w:rPr>
                <w:rFonts w:cstheme="minorHAnsi"/>
                <w:color w:val="212529"/>
                <w:highlight w:val="yellow"/>
                <w:shd w:val="clear" w:color="auto" w:fill="FFFFFF"/>
              </w:rPr>
              <w:t xml:space="preserve"> RPPR Sample Screenshots</w:t>
            </w:r>
          </w:p>
          <w:p w:rsidR="00AA3B1C" w:rsidRPr="007D54A2" w:rsidP="00AA3B1C" w14:paraId="54E6154D" w14:textId="77777777">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5B PHS HSCT Landing Page</w:t>
            </w:r>
          </w:p>
          <w:p w:rsidR="00AA3B1C" w:rsidRPr="007D54A2" w:rsidP="00AA3B1C" w14:paraId="19CBFE5F" w14:textId="77777777">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5B PHS Inclusion Enrollment Report (Part of HSCT)</w:t>
            </w:r>
          </w:p>
          <w:p w:rsidR="00AA3B1C" w:rsidRPr="007D54A2" w:rsidP="00AA3B1C" w14:paraId="41EA3C5B" w14:textId="77777777">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5B HSCT Section 1-6</w:t>
            </w:r>
          </w:p>
          <w:p w:rsidR="001E617A" w:rsidRPr="007D54A2" w:rsidP="00AA3B1C" w14:paraId="4CC707FE" w14:textId="45130A8E">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5C: Data Management and Sharing Plan Format</w:t>
            </w:r>
          </w:p>
        </w:tc>
        <w:tc>
          <w:tcPr>
            <w:tcW w:w="2339" w:type="dxa"/>
            <w:shd w:val="clear" w:color="auto" w:fill="auto"/>
            <w:vAlign w:val="center"/>
          </w:tcPr>
          <w:p w:rsidR="001E617A" w:rsidRPr="00D20341" w:rsidP="00291426" w14:paraId="14B2E39E" w14:textId="1323502A">
            <w:pPr>
              <w:rPr>
                <w:bCs/>
                <w:highlight w:val="yellow"/>
              </w:rPr>
            </w:pPr>
            <w:r w:rsidRPr="00D20341">
              <w:rPr>
                <w:bCs/>
                <w:highlight w:val="yellow"/>
              </w:rPr>
              <w:t>Final RPPR – Core Data</w:t>
            </w:r>
          </w:p>
        </w:tc>
        <w:tc>
          <w:tcPr>
            <w:tcW w:w="1890" w:type="dxa"/>
            <w:shd w:val="clear" w:color="auto" w:fill="auto"/>
            <w:vAlign w:val="center"/>
          </w:tcPr>
          <w:p w:rsidR="001E617A" w:rsidRPr="007D54A2" w:rsidP="00291426" w14:paraId="2DD2EA02" w14:textId="77777777">
            <w:pPr>
              <w:jc w:val="center"/>
              <w:rPr>
                <w:bCs/>
              </w:rPr>
            </w:pPr>
            <w:r w:rsidRPr="007D54A2">
              <w:rPr>
                <w:bCs/>
              </w:rPr>
              <w:t>18,000</w:t>
            </w:r>
          </w:p>
        </w:tc>
        <w:tc>
          <w:tcPr>
            <w:tcW w:w="1316" w:type="dxa"/>
            <w:vAlign w:val="center"/>
          </w:tcPr>
          <w:p w:rsidR="001E617A" w:rsidRPr="007D54A2" w:rsidP="00291426" w14:paraId="0F681EC1" w14:textId="77777777">
            <w:pPr>
              <w:jc w:val="center"/>
            </w:pPr>
            <w:r w:rsidRPr="007D54A2">
              <w:t>1</w:t>
            </w:r>
          </w:p>
        </w:tc>
        <w:tc>
          <w:tcPr>
            <w:tcW w:w="1122" w:type="dxa"/>
            <w:shd w:val="clear" w:color="auto" w:fill="auto"/>
            <w:noWrap/>
            <w:vAlign w:val="center"/>
          </w:tcPr>
          <w:p w:rsidR="001E617A" w:rsidRPr="00D20341" w:rsidP="00291426" w14:paraId="2870854B" w14:textId="3C3B0427">
            <w:pPr>
              <w:jc w:val="center"/>
              <w:rPr>
                <w:bCs/>
                <w:highlight w:val="yellow"/>
              </w:rPr>
            </w:pPr>
            <w:r w:rsidRPr="00D20341">
              <w:rPr>
                <w:bCs/>
                <w:highlight w:val="yellow"/>
              </w:rPr>
              <w:t>11</w:t>
            </w:r>
          </w:p>
        </w:tc>
        <w:tc>
          <w:tcPr>
            <w:tcW w:w="1710" w:type="dxa"/>
            <w:shd w:val="clear" w:color="auto" w:fill="auto"/>
            <w:vAlign w:val="center"/>
          </w:tcPr>
          <w:p w:rsidR="001E617A" w:rsidRPr="00D20341" w:rsidP="00291426" w14:paraId="7FB6440B" w14:textId="32C68168">
            <w:pPr>
              <w:jc w:val="center"/>
              <w:rPr>
                <w:bCs/>
                <w:highlight w:val="yellow"/>
              </w:rPr>
            </w:pPr>
            <w:r w:rsidRPr="00D20341">
              <w:rPr>
                <w:bCs/>
                <w:highlight w:val="yellow"/>
              </w:rPr>
              <w:t>1</w:t>
            </w:r>
            <w:r>
              <w:rPr>
                <w:bCs/>
                <w:highlight w:val="yellow"/>
              </w:rPr>
              <w:t>98</w:t>
            </w:r>
            <w:r w:rsidRPr="00D20341">
              <w:rPr>
                <w:bCs/>
                <w:highlight w:val="yellow"/>
              </w:rPr>
              <w:t>,000</w:t>
            </w:r>
          </w:p>
        </w:tc>
      </w:tr>
      <w:tr w14:paraId="5D3E45FE" w14:textId="77777777" w:rsidTr="00D33EB6">
        <w:tblPrEx>
          <w:tblW w:w="11065" w:type="dxa"/>
          <w:tblLook w:val="04A0"/>
        </w:tblPrEx>
        <w:trPr>
          <w:trHeight w:val="620"/>
        </w:trPr>
        <w:tc>
          <w:tcPr>
            <w:tcW w:w="2688" w:type="dxa"/>
          </w:tcPr>
          <w:p w:rsidR="00AA3B1C" w:rsidRPr="007D54A2" w:rsidP="00AA3B1C" w14:paraId="35E11361" w14:textId="77777777">
            <w:pPr>
              <w:pStyle w:val="ListParagraph"/>
              <w:numPr>
                <w:ilvl w:val="0"/>
                <w:numId w:val="18"/>
              </w:numPr>
              <w:ind w:left="341"/>
              <w:rPr>
                <w:color w:val="000000"/>
                <w:highlight w:val="yellow"/>
              </w:rPr>
            </w:pPr>
            <w:r w:rsidRPr="007D54A2">
              <w:rPr>
                <w:color w:val="000000"/>
                <w:highlight w:val="yellow"/>
              </w:rPr>
              <w:t>Attachment 10A: Introduction to the Data Tables</w:t>
            </w:r>
          </w:p>
          <w:p w:rsidR="00AA3B1C" w:rsidRPr="007D54A2" w:rsidP="00AA3B1C" w14:paraId="16B14BBB" w14:textId="77777777">
            <w:pPr>
              <w:pStyle w:val="ListParagraph"/>
              <w:numPr>
                <w:ilvl w:val="0"/>
                <w:numId w:val="18"/>
              </w:numPr>
              <w:ind w:left="341"/>
              <w:rPr>
                <w:color w:val="000000"/>
                <w:highlight w:val="yellow"/>
              </w:rPr>
            </w:pPr>
            <w:r w:rsidRPr="007D54A2">
              <w:rPr>
                <w:color w:val="000000"/>
                <w:highlight w:val="yellow"/>
              </w:rPr>
              <w:t>Attachment 10B: Undergraduate Training Tables</w:t>
            </w:r>
          </w:p>
          <w:p w:rsidR="00AA3B1C" w:rsidRPr="007D54A2" w:rsidP="00AA3B1C" w14:paraId="2AB2F018" w14:textId="77777777">
            <w:pPr>
              <w:pStyle w:val="ListParagraph"/>
              <w:numPr>
                <w:ilvl w:val="0"/>
                <w:numId w:val="18"/>
              </w:numPr>
              <w:ind w:left="341"/>
              <w:rPr>
                <w:color w:val="000000"/>
                <w:highlight w:val="yellow"/>
              </w:rPr>
            </w:pPr>
            <w:r w:rsidRPr="007D54A2">
              <w:rPr>
                <w:color w:val="000000"/>
                <w:highlight w:val="yellow"/>
              </w:rPr>
              <w:t>Attachment 10C: Consolidated Pre and Postdoc Training Tables</w:t>
            </w:r>
          </w:p>
          <w:p w:rsidR="001E617A" w:rsidRPr="007D54A2" w:rsidP="00291426" w14:paraId="5B3D714C" w14:textId="4CC42457">
            <w:pPr>
              <w:pStyle w:val="ListParagraph"/>
              <w:numPr>
                <w:ilvl w:val="0"/>
                <w:numId w:val="18"/>
              </w:numPr>
              <w:ind w:left="341"/>
              <w:rPr>
                <w:color w:val="000000"/>
                <w:highlight w:val="yellow"/>
              </w:rPr>
            </w:pPr>
            <w:r w:rsidRPr="007D54A2">
              <w:rPr>
                <w:color w:val="000000"/>
                <w:highlight w:val="yellow"/>
              </w:rPr>
              <w:t>Attachment 10D: International Training Tables</w:t>
            </w:r>
          </w:p>
        </w:tc>
        <w:tc>
          <w:tcPr>
            <w:tcW w:w="2339" w:type="dxa"/>
            <w:shd w:val="clear" w:color="auto" w:fill="auto"/>
            <w:vAlign w:val="center"/>
            <w:hideMark/>
          </w:tcPr>
          <w:p w:rsidR="001E617A" w:rsidRPr="0004310F" w:rsidP="00291426" w14:paraId="2B018ED1" w14:textId="64242F74">
            <w:r w:rsidRPr="0004310F">
              <w:t>Data Tables</w:t>
            </w:r>
            <w:r>
              <w:t xml:space="preserve"> (Part of Final RPPR)</w:t>
            </w:r>
          </w:p>
        </w:tc>
        <w:tc>
          <w:tcPr>
            <w:tcW w:w="1890" w:type="dxa"/>
            <w:shd w:val="clear" w:color="auto" w:fill="auto"/>
            <w:vAlign w:val="center"/>
            <w:hideMark/>
          </w:tcPr>
          <w:p w:rsidR="001E617A" w:rsidRPr="0004310F" w:rsidP="00291426" w14:paraId="75D0A25E" w14:textId="77777777">
            <w:pPr>
              <w:jc w:val="center"/>
            </w:pPr>
            <w:r>
              <w:t>758</w:t>
            </w:r>
          </w:p>
        </w:tc>
        <w:tc>
          <w:tcPr>
            <w:tcW w:w="1316" w:type="dxa"/>
            <w:vAlign w:val="center"/>
          </w:tcPr>
          <w:p w:rsidR="001E617A" w:rsidRPr="0004310F" w:rsidP="00291426" w14:paraId="5FF1E410" w14:textId="77777777">
            <w:pPr>
              <w:jc w:val="center"/>
            </w:pPr>
            <w:r w:rsidRPr="0004310F">
              <w:t>1</w:t>
            </w:r>
          </w:p>
        </w:tc>
        <w:tc>
          <w:tcPr>
            <w:tcW w:w="1122" w:type="dxa"/>
            <w:shd w:val="clear" w:color="auto" w:fill="auto"/>
            <w:noWrap/>
            <w:vAlign w:val="center"/>
            <w:hideMark/>
          </w:tcPr>
          <w:p w:rsidR="001E617A" w:rsidRPr="0004310F" w:rsidP="00291426" w14:paraId="5DC713A6" w14:textId="77777777">
            <w:pPr>
              <w:jc w:val="center"/>
            </w:pPr>
            <w:r w:rsidRPr="0004310F">
              <w:t>4</w:t>
            </w:r>
          </w:p>
        </w:tc>
        <w:tc>
          <w:tcPr>
            <w:tcW w:w="1710" w:type="dxa"/>
            <w:shd w:val="clear" w:color="auto" w:fill="auto"/>
            <w:vAlign w:val="center"/>
            <w:hideMark/>
          </w:tcPr>
          <w:p w:rsidR="001E617A" w:rsidRPr="0004310F" w:rsidP="00291426" w14:paraId="3949BF57" w14:textId="77777777">
            <w:pPr>
              <w:jc w:val="center"/>
            </w:pPr>
            <w:r w:rsidRPr="0004310F">
              <w:t>3,03</w:t>
            </w:r>
            <w:r>
              <w:t>2</w:t>
            </w:r>
          </w:p>
        </w:tc>
      </w:tr>
      <w:tr w14:paraId="6EE20873" w14:textId="77777777" w:rsidTr="00D33EB6">
        <w:tblPrEx>
          <w:tblW w:w="11065" w:type="dxa"/>
          <w:tblLook w:val="04A0"/>
        </w:tblPrEx>
        <w:trPr>
          <w:trHeight w:val="780"/>
        </w:trPr>
        <w:tc>
          <w:tcPr>
            <w:tcW w:w="2688" w:type="dxa"/>
          </w:tcPr>
          <w:p w:rsidR="00594ABC" w:rsidRPr="007D54A2" w:rsidP="00594ABC" w14:paraId="5F25390A" w14:textId="77777777">
            <w:pPr>
              <w:pStyle w:val="ListParagraph"/>
              <w:numPr>
                <w:ilvl w:val="0"/>
                <w:numId w:val="18"/>
              </w:numPr>
              <w:ind w:left="341"/>
              <w:rPr>
                <w:color w:val="000000"/>
                <w:highlight w:val="yellow"/>
              </w:rPr>
            </w:pPr>
            <w:r w:rsidRPr="007D54A2">
              <w:rPr>
                <w:color w:val="000000"/>
                <w:highlight w:val="yellow"/>
              </w:rPr>
              <w:t>Attachment 7A: Trainee Diversity Report</w:t>
            </w:r>
          </w:p>
          <w:p w:rsidR="001E617A" w:rsidRPr="007D54A2" w:rsidP="00291426" w14:paraId="08CA159F" w14:textId="65788909">
            <w:pPr>
              <w:pStyle w:val="ListParagraph"/>
              <w:numPr>
                <w:ilvl w:val="0"/>
                <w:numId w:val="18"/>
              </w:numPr>
              <w:ind w:left="341"/>
              <w:rPr>
                <w:color w:val="000000"/>
                <w:highlight w:val="yellow"/>
              </w:rPr>
            </w:pPr>
            <w:r w:rsidRPr="007D54A2">
              <w:rPr>
                <w:color w:val="000000"/>
                <w:highlight w:val="yellow"/>
              </w:rPr>
              <w:t xml:space="preserve">Attachment 7B: Trainee Diversity </w:t>
            </w:r>
            <w:r w:rsidRPr="007D54A2">
              <w:rPr>
                <w:color w:val="000000"/>
                <w:highlight w:val="yellow"/>
              </w:rPr>
              <w:t>Report_xTrain</w:t>
            </w:r>
            <w:r w:rsidRPr="007D54A2">
              <w:rPr>
                <w:color w:val="000000"/>
                <w:highlight w:val="yellow"/>
              </w:rPr>
              <w:t xml:space="preserve"> Sample Screenshots</w:t>
            </w:r>
          </w:p>
        </w:tc>
        <w:tc>
          <w:tcPr>
            <w:tcW w:w="2339" w:type="dxa"/>
            <w:shd w:val="clear" w:color="auto" w:fill="auto"/>
            <w:vAlign w:val="center"/>
          </w:tcPr>
          <w:p w:rsidR="001E617A" w:rsidRPr="0004310F" w:rsidP="00291426" w14:paraId="391015DD" w14:textId="477C5B5F">
            <w:r w:rsidRPr="0004310F">
              <w:t>Trainee Diversity Report</w:t>
            </w:r>
            <w:r>
              <w:t xml:space="preserve"> (Part of Final RPPR)</w:t>
            </w:r>
          </w:p>
        </w:tc>
        <w:tc>
          <w:tcPr>
            <w:tcW w:w="1890" w:type="dxa"/>
            <w:shd w:val="clear" w:color="auto" w:fill="auto"/>
            <w:vAlign w:val="center"/>
          </w:tcPr>
          <w:p w:rsidR="001E617A" w:rsidRPr="0004310F" w:rsidP="00291426" w14:paraId="39238B0A" w14:textId="77777777">
            <w:pPr>
              <w:jc w:val="center"/>
            </w:pPr>
            <w:r w:rsidRPr="0004310F">
              <w:t>480</w:t>
            </w:r>
          </w:p>
        </w:tc>
        <w:tc>
          <w:tcPr>
            <w:tcW w:w="1316" w:type="dxa"/>
            <w:vAlign w:val="center"/>
          </w:tcPr>
          <w:p w:rsidR="001E617A" w:rsidRPr="0004310F" w:rsidP="00291426" w14:paraId="2399CA9D" w14:textId="77777777">
            <w:pPr>
              <w:jc w:val="center"/>
            </w:pPr>
            <w:r w:rsidRPr="0004310F">
              <w:t>1</w:t>
            </w:r>
          </w:p>
        </w:tc>
        <w:tc>
          <w:tcPr>
            <w:tcW w:w="1122" w:type="dxa"/>
            <w:shd w:val="clear" w:color="auto" w:fill="auto"/>
            <w:noWrap/>
            <w:vAlign w:val="center"/>
          </w:tcPr>
          <w:p w:rsidR="001E617A" w:rsidRPr="0004310F" w:rsidP="00291426" w14:paraId="5DFEA38D" w14:textId="77777777">
            <w:pPr>
              <w:jc w:val="center"/>
            </w:pPr>
            <w:r w:rsidRPr="0004310F">
              <w:t>15/60</w:t>
            </w:r>
          </w:p>
        </w:tc>
        <w:tc>
          <w:tcPr>
            <w:tcW w:w="1710" w:type="dxa"/>
            <w:shd w:val="clear" w:color="auto" w:fill="auto"/>
            <w:vAlign w:val="center"/>
          </w:tcPr>
          <w:p w:rsidR="001E617A" w:rsidRPr="0004310F" w:rsidP="00291426" w14:paraId="0CD5531C" w14:textId="77777777">
            <w:pPr>
              <w:jc w:val="center"/>
            </w:pPr>
            <w:r w:rsidRPr="0004310F">
              <w:t>120</w:t>
            </w:r>
          </w:p>
        </w:tc>
      </w:tr>
      <w:tr w14:paraId="286F1AD3" w14:textId="77777777" w:rsidTr="00D33EB6">
        <w:tblPrEx>
          <w:tblW w:w="11065" w:type="dxa"/>
          <w:tblLook w:val="04A0"/>
        </w:tblPrEx>
        <w:trPr>
          <w:trHeight w:val="780"/>
        </w:trPr>
        <w:tc>
          <w:tcPr>
            <w:tcW w:w="2688" w:type="dxa"/>
          </w:tcPr>
          <w:p w:rsidR="00594ABC" w:rsidRPr="007D54A2" w:rsidP="00594ABC" w14:paraId="672E840A" w14:textId="77777777">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5B PHS HSCT Landing Page</w:t>
            </w:r>
          </w:p>
          <w:p w:rsidR="00594ABC" w:rsidRPr="007D54A2" w:rsidP="00594ABC" w14:paraId="7E8C4EF8" w14:textId="77777777">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5B PHS Inclusion Enrollment Report (Part of HSCT)</w:t>
            </w:r>
          </w:p>
          <w:p w:rsidR="00594ABC" w:rsidRPr="007D54A2" w:rsidP="00594ABC" w14:paraId="67BE6A0A" w14:textId="77777777">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Attachment 5B HSCT Section 1-6</w:t>
            </w:r>
          </w:p>
          <w:p w:rsidR="001E617A" w:rsidRPr="007D54A2" w:rsidP="00291426" w14:paraId="7AB357AF" w14:textId="1043E5D1">
            <w:pPr>
              <w:pStyle w:val="ListParagraph"/>
              <w:numPr>
                <w:ilvl w:val="0"/>
                <w:numId w:val="19"/>
              </w:numPr>
              <w:ind w:left="340"/>
              <w:rPr>
                <w:rFonts w:cstheme="minorHAnsi"/>
                <w:color w:val="212529"/>
                <w:highlight w:val="yellow"/>
                <w:shd w:val="clear" w:color="auto" w:fill="FFFFFF"/>
              </w:rPr>
            </w:pPr>
            <w:r w:rsidRPr="007D54A2">
              <w:rPr>
                <w:rFonts w:cstheme="minorHAnsi"/>
                <w:color w:val="212529"/>
                <w:highlight w:val="yellow"/>
                <w:shd w:val="clear" w:color="auto" w:fill="FFFFFF"/>
              </w:rPr>
              <w:t xml:space="preserve">Attachment 5B_PHS HSCT Form </w:t>
            </w:r>
            <w:r w:rsidRPr="007D54A2">
              <w:rPr>
                <w:rFonts w:cstheme="minorHAnsi"/>
                <w:color w:val="212529"/>
                <w:highlight w:val="yellow"/>
                <w:shd w:val="clear" w:color="auto" w:fill="FFFFFF"/>
              </w:rPr>
              <w:t>Instructions_FORMS</w:t>
            </w:r>
            <w:r w:rsidRPr="007D54A2">
              <w:rPr>
                <w:rFonts w:cstheme="minorHAnsi"/>
                <w:color w:val="212529"/>
                <w:highlight w:val="yellow"/>
                <w:shd w:val="clear" w:color="auto" w:fill="FFFFFF"/>
              </w:rPr>
              <w:t>-I</w:t>
            </w:r>
          </w:p>
        </w:tc>
        <w:tc>
          <w:tcPr>
            <w:tcW w:w="2339" w:type="dxa"/>
            <w:shd w:val="clear" w:color="auto" w:fill="auto"/>
            <w:vAlign w:val="center"/>
          </w:tcPr>
          <w:p w:rsidR="001E617A" w:rsidRPr="004E1303" w:rsidP="00291426" w14:paraId="706B1537" w14:textId="3BE27BC7">
            <w:r w:rsidRPr="00135590">
              <w:t>PHS Human Subjects and Clinical Trial Information (</w:t>
            </w:r>
            <w:r>
              <w:t xml:space="preserve">Part of Final RPPR, </w:t>
            </w:r>
            <w:r w:rsidRPr="00135590">
              <w:t>includes inclusion/enrollment)</w:t>
            </w:r>
          </w:p>
        </w:tc>
        <w:tc>
          <w:tcPr>
            <w:tcW w:w="1890" w:type="dxa"/>
            <w:shd w:val="clear" w:color="auto" w:fill="auto"/>
            <w:vAlign w:val="center"/>
          </w:tcPr>
          <w:p w:rsidR="001E617A" w:rsidRPr="004E1303" w:rsidP="00291426" w14:paraId="5719DF7B" w14:textId="77777777">
            <w:pPr>
              <w:jc w:val="center"/>
            </w:pPr>
            <w:r>
              <w:t>3,600</w:t>
            </w:r>
          </w:p>
        </w:tc>
        <w:tc>
          <w:tcPr>
            <w:tcW w:w="1316" w:type="dxa"/>
            <w:vAlign w:val="center"/>
          </w:tcPr>
          <w:p w:rsidR="001E617A" w:rsidRPr="004E1303" w:rsidP="00291426" w14:paraId="169F5F4E" w14:textId="77777777">
            <w:pPr>
              <w:jc w:val="center"/>
            </w:pPr>
            <w:r w:rsidRPr="004E1303">
              <w:t>1</w:t>
            </w:r>
          </w:p>
        </w:tc>
        <w:tc>
          <w:tcPr>
            <w:tcW w:w="1122" w:type="dxa"/>
            <w:shd w:val="clear" w:color="auto" w:fill="auto"/>
            <w:noWrap/>
            <w:vAlign w:val="center"/>
          </w:tcPr>
          <w:p w:rsidR="001E617A" w:rsidRPr="004E1303" w:rsidP="00291426" w14:paraId="7B180335" w14:textId="77777777">
            <w:pPr>
              <w:jc w:val="center"/>
            </w:pPr>
            <w:r>
              <w:t>4</w:t>
            </w:r>
          </w:p>
        </w:tc>
        <w:tc>
          <w:tcPr>
            <w:tcW w:w="1710" w:type="dxa"/>
            <w:shd w:val="clear" w:color="auto" w:fill="auto"/>
            <w:vAlign w:val="center"/>
          </w:tcPr>
          <w:p w:rsidR="001E617A" w:rsidRPr="004E1303" w:rsidP="00291426" w14:paraId="633FFA38" w14:textId="77777777">
            <w:pPr>
              <w:jc w:val="center"/>
            </w:pPr>
            <w:r>
              <w:t>14,400</w:t>
            </w:r>
          </w:p>
        </w:tc>
      </w:tr>
      <w:tr w14:paraId="7DBF62C4" w14:textId="77777777" w:rsidTr="00D33EB6">
        <w:tblPrEx>
          <w:tblW w:w="11065" w:type="dxa"/>
          <w:tblLook w:val="04A0"/>
        </w:tblPrEx>
        <w:trPr>
          <w:trHeight w:val="525"/>
        </w:trPr>
        <w:tc>
          <w:tcPr>
            <w:tcW w:w="2688" w:type="dxa"/>
          </w:tcPr>
          <w:p w:rsidR="001E617A" w:rsidRPr="007D54A2" w:rsidP="00594ABC" w14:paraId="6AC5B0A1" w14:textId="0CCDC32A">
            <w:pPr>
              <w:pStyle w:val="ListParagraph"/>
              <w:numPr>
                <w:ilvl w:val="0"/>
                <w:numId w:val="21"/>
              </w:numPr>
              <w:ind w:left="341"/>
              <w:rPr>
                <w:color w:val="000000"/>
                <w:highlight w:val="yellow"/>
              </w:rPr>
            </w:pPr>
            <w:r w:rsidRPr="007D54A2">
              <w:rPr>
                <w:color w:val="000000"/>
                <w:highlight w:val="yellow"/>
              </w:rPr>
              <w:t xml:space="preserve">Attachment </w:t>
            </w:r>
            <w:r w:rsidRPr="007D54A2" w:rsidR="0094031F">
              <w:rPr>
                <w:color w:val="000000"/>
                <w:highlight w:val="yellow"/>
              </w:rPr>
              <w:t xml:space="preserve">18: PHS 3734 Form </w:t>
            </w:r>
          </w:p>
        </w:tc>
        <w:tc>
          <w:tcPr>
            <w:tcW w:w="2339" w:type="dxa"/>
            <w:shd w:val="clear" w:color="auto" w:fill="auto"/>
            <w:vAlign w:val="center"/>
          </w:tcPr>
          <w:p w:rsidR="001E617A" w:rsidP="00291426" w14:paraId="4964DA62" w14:textId="783029EF">
            <w:pPr>
              <w:rPr>
                <w:bCs/>
              </w:rPr>
            </w:pPr>
            <w:r w:rsidRPr="0004310F">
              <w:rPr>
                <w:color w:val="000000"/>
              </w:rPr>
              <w:t>PHS 3734</w:t>
            </w:r>
          </w:p>
        </w:tc>
        <w:tc>
          <w:tcPr>
            <w:tcW w:w="1890" w:type="dxa"/>
            <w:shd w:val="clear" w:color="auto" w:fill="auto"/>
            <w:vAlign w:val="center"/>
          </w:tcPr>
          <w:p w:rsidR="001E617A" w:rsidRPr="0004310F" w:rsidP="00291426" w14:paraId="3D1AB140" w14:textId="77777777">
            <w:pPr>
              <w:jc w:val="center"/>
              <w:rPr>
                <w:bCs/>
                <w:color w:val="000000"/>
              </w:rPr>
            </w:pPr>
            <w:r w:rsidRPr="0004310F">
              <w:rPr>
                <w:color w:val="000000"/>
              </w:rPr>
              <w:t>479</w:t>
            </w:r>
          </w:p>
        </w:tc>
        <w:tc>
          <w:tcPr>
            <w:tcW w:w="1316" w:type="dxa"/>
            <w:vAlign w:val="center"/>
          </w:tcPr>
          <w:p w:rsidR="001E617A" w:rsidP="00291426" w14:paraId="440EC150" w14:textId="77777777">
            <w:pPr>
              <w:jc w:val="center"/>
            </w:pPr>
            <w:r w:rsidRPr="0004310F">
              <w:rPr>
                <w:color w:val="000000"/>
              </w:rPr>
              <w:t>1</w:t>
            </w:r>
          </w:p>
        </w:tc>
        <w:tc>
          <w:tcPr>
            <w:tcW w:w="1122" w:type="dxa"/>
            <w:shd w:val="clear" w:color="auto" w:fill="auto"/>
            <w:noWrap/>
            <w:vAlign w:val="center"/>
          </w:tcPr>
          <w:p w:rsidR="001E617A" w:rsidP="00291426" w14:paraId="051AE478" w14:textId="77777777">
            <w:pPr>
              <w:jc w:val="center"/>
              <w:rPr>
                <w:bCs/>
              </w:rPr>
            </w:pPr>
            <w:r w:rsidRPr="0004310F">
              <w:rPr>
                <w:color w:val="000000"/>
              </w:rPr>
              <w:t>30/60</w:t>
            </w:r>
          </w:p>
        </w:tc>
        <w:tc>
          <w:tcPr>
            <w:tcW w:w="1710" w:type="dxa"/>
            <w:shd w:val="clear" w:color="auto" w:fill="auto"/>
            <w:vAlign w:val="center"/>
          </w:tcPr>
          <w:p w:rsidR="001E617A" w:rsidP="00291426" w14:paraId="73BB913A" w14:textId="77777777">
            <w:pPr>
              <w:jc w:val="center"/>
              <w:rPr>
                <w:bCs/>
              </w:rPr>
            </w:pPr>
            <w:r w:rsidRPr="0004310F">
              <w:rPr>
                <w:color w:val="000000"/>
              </w:rPr>
              <w:t>240</w:t>
            </w:r>
          </w:p>
        </w:tc>
      </w:tr>
      <w:tr w14:paraId="5A61207E" w14:textId="77777777" w:rsidTr="00D33EB6">
        <w:tblPrEx>
          <w:tblW w:w="11065" w:type="dxa"/>
          <w:tblLook w:val="04A0"/>
        </w:tblPrEx>
        <w:trPr>
          <w:trHeight w:val="525"/>
        </w:trPr>
        <w:tc>
          <w:tcPr>
            <w:tcW w:w="2688" w:type="dxa"/>
          </w:tcPr>
          <w:p w:rsidR="001E617A" w:rsidRPr="007D54A2" w:rsidP="00594ABC" w14:paraId="58B0E2F0" w14:textId="44FE0AA8">
            <w:pPr>
              <w:pStyle w:val="ListParagraph"/>
              <w:numPr>
                <w:ilvl w:val="0"/>
                <w:numId w:val="20"/>
              </w:numPr>
              <w:ind w:left="341"/>
              <w:rPr>
                <w:color w:val="000000"/>
                <w:highlight w:val="yellow"/>
              </w:rPr>
            </w:pPr>
            <w:r w:rsidRPr="007D54A2">
              <w:rPr>
                <w:rFonts w:cstheme="minorHAnsi"/>
                <w:color w:val="212529"/>
                <w:highlight w:val="yellow"/>
                <w:shd w:val="clear" w:color="auto" w:fill="FFFFFF"/>
              </w:rPr>
              <w:t>Attachment 5C: Data Management and Sharing Plan Format</w:t>
            </w:r>
          </w:p>
        </w:tc>
        <w:tc>
          <w:tcPr>
            <w:tcW w:w="2339" w:type="dxa"/>
            <w:shd w:val="clear" w:color="auto" w:fill="auto"/>
            <w:vAlign w:val="center"/>
          </w:tcPr>
          <w:p w:rsidR="001E617A" w:rsidRPr="00246611" w:rsidP="00291426" w14:paraId="323CED6B" w14:textId="3ED6FCE6">
            <w:pPr>
              <w:rPr>
                <w:color w:val="000000"/>
              </w:rPr>
            </w:pPr>
            <w:r w:rsidRPr="00246611">
              <w:rPr>
                <w:color w:val="000000"/>
              </w:rPr>
              <w:t>Data Management and Sharing Plan (Part of RPPR)</w:t>
            </w:r>
          </w:p>
        </w:tc>
        <w:tc>
          <w:tcPr>
            <w:tcW w:w="1890" w:type="dxa"/>
            <w:shd w:val="clear" w:color="auto" w:fill="auto"/>
            <w:vAlign w:val="center"/>
          </w:tcPr>
          <w:p w:rsidR="001E617A" w:rsidRPr="00246611" w:rsidP="00291426" w14:paraId="666CF138" w14:textId="77777777">
            <w:pPr>
              <w:jc w:val="center"/>
              <w:rPr>
                <w:color w:val="000000"/>
              </w:rPr>
            </w:pPr>
            <w:r w:rsidRPr="00246611">
              <w:t>15,649</w:t>
            </w:r>
          </w:p>
        </w:tc>
        <w:tc>
          <w:tcPr>
            <w:tcW w:w="1316" w:type="dxa"/>
            <w:vAlign w:val="center"/>
          </w:tcPr>
          <w:p w:rsidR="001E617A" w:rsidRPr="00246611" w:rsidP="00291426" w14:paraId="7C6ED8E4" w14:textId="77777777">
            <w:pPr>
              <w:jc w:val="center"/>
              <w:rPr>
                <w:color w:val="000000"/>
              </w:rPr>
            </w:pPr>
            <w:r w:rsidRPr="00246611">
              <w:t>1</w:t>
            </w:r>
          </w:p>
        </w:tc>
        <w:tc>
          <w:tcPr>
            <w:tcW w:w="1122" w:type="dxa"/>
            <w:shd w:val="clear" w:color="auto" w:fill="auto"/>
            <w:noWrap/>
            <w:vAlign w:val="center"/>
          </w:tcPr>
          <w:p w:rsidR="001E617A" w:rsidRPr="00246611" w:rsidP="00291426" w14:paraId="4383A414" w14:textId="77777777">
            <w:pPr>
              <w:jc w:val="center"/>
              <w:rPr>
                <w:color w:val="000000"/>
              </w:rPr>
            </w:pPr>
            <w:r w:rsidRPr="00246611">
              <w:t>2</w:t>
            </w:r>
          </w:p>
        </w:tc>
        <w:tc>
          <w:tcPr>
            <w:tcW w:w="1710" w:type="dxa"/>
            <w:shd w:val="clear" w:color="auto" w:fill="auto"/>
            <w:vAlign w:val="center"/>
          </w:tcPr>
          <w:p w:rsidR="001E617A" w:rsidRPr="00246611" w:rsidP="00291426" w14:paraId="2C3A79D8" w14:textId="77777777">
            <w:pPr>
              <w:jc w:val="center"/>
              <w:rPr>
                <w:color w:val="000000"/>
              </w:rPr>
            </w:pPr>
            <w:r w:rsidRPr="00246611">
              <w:t>31,298</w:t>
            </w:r>
          </w:p>
        </w:tc>
      </w:tr>
      <w:tr w14:paraId="3B4F4A8D" w14:textId="77777777" w:rsidTr="00D33EB6">
        <w:tblPrEx>
          <w:tblW w:w="11065" w:type="dxa"/>
          <w:tblLook w:val="04A0"/>
        </w:tblPrEx>
        <w:trPr>
          <w:trHeight w:val="525"/>
        </w:trPr>
        <w:tc>
          <w:tcPr>
            <w:tcW w:w="2688" w:type="dxa"/>
          </w:tcPr>
          <w:p w:rsidR="001E617A" w:rsidRPr="007D54A2" w:rsidP="00594ABC" w14:paraId="736AF275" w14:textId="04528F4B">
            <w:pPr>
              <w:pStyle w:val="ListParagraph"/>
              <w:numPr>
                <w:ilvl w:val="0"/>
                <w:numId w:val="20"/>
              </w:numPr>
              <w:ind w:left="341"/>
              <w:rPr>
                <w:color w:val="000000"/>
                <w:highlight w:val="yellow"/>
              </w:rPr>
            </w:pPr>
            <w:r w:rsidRPr="007D54A2">
              <w:rPr>
                <w:rFonts w:cstheme="minorHAnsi"/>
                <w:color w:val="212529"/>
                <w:highlight w:val="yellow"/>
                <w:shd w:val="clear" w:color="auto" w:fill="FFFFFF"/>
              </w:rPr>
              <w:t>Attachment 5C: Data Management and Sharing Plan Format</w:t>
            </w:r>
          </w:p>
        </w:tc>
        <w:tc>
          <w:tcPr>
            <w:tcW w:w="2339" w:type="dxa"/>
            <w:shd w:val="clear" w:color="auto" w:fill="auto"/>
            <w:vAlign w:val="center"/>
          </w:tcPr>
          <w:p w:rsidR="001E617A" w:rsidRPr="00246611" w:rsidP="00291426" w14:paraId="5B28777C" w14:textId="68E6A593">
            <w:pPr>
              <w:rPr>
                <w:color w:val="000000"/>
              </w:rPr>
            </w:pPr>
            <w:r w:rsidRPr="00246611">
              <w:rPr>
                <w:color w:val="000000"/>
              </w:rPr>
              <w:t>Data Management and Sharing Plan (Part of Final RPPR)</w:t>
            </w:r>
          </w:p>
        </w:tc>
        <w:tc>
          <w:tcPr>
            <w:tcW w:w="1890" w:type="dxa"/>
            <w:shd w:val="clear" w:color="auto" w:fill="auto"/>
            <w:vAlign w:val="center"/>
          </w:tcPr>
          <w:p w:rsidR="001E617A" w:rsidRPr="00246611" w:rsidP="00291426" w14:paraId="3A7CB799" w14:textId="77777777">
            <w:pPr>
              <w:jc w:val="center"/>
              <w:rPr>
                <w:color w:val="000000"/>
              </w:rPr>
            </w:pPr>
            <w:r w:rsidRPr="00246611">
              <w:t>8,621</w:t>
            </w:r>
          </w:p>
        </w:tc>
        <w:tc>
          <w:tcPr>
            <w:tcW w:w="1316" w:type="dxa"/>
            <w:vAlign w:val="center"/>
          </w:tcPr>
          <w:p w:rsidR="001E617A" w:rsidRPr="00246611" w:rsidP="00291426" w14:paraId="5D9C4378" w14:textId="77777777">
            <w:pPr>
              <w:jc w:val="center"/>
              <w:rPr>
                <w:color w:val="000000"/>
              </w:rPr>
            </w:pPr>
            <w:r w:rsidRPr="00246611">
              <w:t>1</w:t>
            </w:r>
          </w:p>
        </w:tc>
        <w:tc>
          <w:tcPr>
            <w:tcW w:w="1122" w:type="dxa"/>
            <w:shd w:val="clear" w:color="auto" w:fill="auto"/>
            <w:noWrap/>
            <w:vAlign w:val="center"/>
          </w:tcPr>
          <w:p w:rsidR="001E617A" w:rsidRPr="00246611" w:rsidP="00291426" w14:paraId="4ED53918" w14:textId="77777777">
            <w:pPr>
              <w:jc w:val="center"/>
              <w:rPr>
                <w:color w:val="000000"/>
              </w:rPr>
            </w:pPr>
            <w:r w:rsidRPr="00246611">
              <w:t>2</w:t>
            </w:r>
          </w:p>
        </w:tc>
        <w:tc>
          <w:tcPr>
            <w:tcW w:w="1710" w:type="dxa"/>
            <w:shd w:val="clear" w:color="auto" w:fill="auto"/>
            <w:vAlign w:val="center"/>
          </w:tcPr>
          <w:p w:rsidR="001E617A" w:rsidRPr="00246611" w:rsidP="00291426" w14:paraId="64FC3A23" w14:textId="77777777">
            <w:pPr>
              <w:jc w:val="center"/>
              <w:rPr>
                <w:color w:val="000000"/>
              </w:rPr>
            </w:pPr>
            <w:r w:rsidRPr="00246611">
              <w:t>17,242</w:t>
            </w:r>
          </w:p>
        </w:tc>
      </w:tr>
      <w:tr w14:paraId="134BC6F5" w14:textId="77777777" w:rsidTr="00291426">
        <w:tblPrEx>
          <w:tblW w:w="11065" w:type="dxa"/>
          <w:tblLook w:val="04A0"/>
        </w:tblPrEx>
        <w:trPr>
          <w:trHeight w:val="525"/>
        </w:trPr>
        <w:tc>
          <w:tcPr>
            <w:tcW w:w="9355" w:type="dxa"/>
            <w:gridSpan w:val="5"/>
          </w:tcPr>
          <w:p w:rsidR="00D33EB6" w:rsidRPr="007D54A2" w:rsidP="00291426" w14:paraId="6BEBC409" w14:textId="46CC7E00">
            <w:pPr>
              <w:rPr>
                <w:color w:val="000000"/>
                <w:highlight w:val="yellow"/>
              </w:rPr>
            </w:pPr>
            <w:r w:rsidRPr="007D54A2">
              <w:rPr>
                <w:b/>
                <w:bCs/>
                <w:color w:val="000000"/>
                <w:highlight w:val="yellow"/>
              </w:rPr>
              <w:t>Reporting Burden Total</w:t>
            </w:r>
          </w:p>
        </w:tc>
        <w:tc>
          <w:tcPr>
            <w:tcW w:w="1710" w:type="dxa"/>
            <w:shd w:val="clear" w:color="auto" w:fill="auto"/>
            <w:noWrap/>
            <w:vAlign w:val="center"/>
          </w:tcPr>
          <w:p w:rsidR="00D33EB6" w:rsidRPr="00246611" w:rsidP="00291426" w14:paraId="4ECC6BAE" w14:textId="21AB3079">
            <w:pPr>
              <w:jc w:val="center"/>
              <w:rPr>
                <w:b/>
                <w:bCs/>
                <w:color w:val="000000"/>
              </w:rPr>
            </w:pPr>
            <w:r w:rsidRPr="00EA1CCB">
              <w:rPr>
                <w:b/>
                <w:bCs/>
                <w:color w:val="000000"/>
                <w:highlight w:val="yellow"/>
              </w:rPr>
              <w:t>629,088</w:t>
            </w:r>
          </w:p>
        </w:tc>
      </w:tr>
      <w:tr w14:paraId="5DB5EB38" w14:textId="77777777" w:rsidTr="00D33EB6">
        <w:tblPrEx>
          <w:tblW w:w="11065" w:type="dxa"/>
          <w:tblLook w:val="04A0"/>
        </w:tblPrEx>
        <w:trPr>
          <w:trHeight w:val="590"/>
        </w:trPr>
        <w:tc>
          <w:tcPr>
            <w:tcW w:w="11065" w:type="dxa"/>
            <w:gridSpan w:val="6"/>
            <w:shd w:val="clear" w:color="auto" w:fill="BFBFBF" w:themeFill="background1" w:themeFillShade="BF"/>
            <w:vAlign w:val="center"/>
          </w:tcPr>
          <w:p w:rsidR="00D33EB6" w:rsidRPr="00BF6E1A" w:rsidP="00D33EB6" w14:paraId="58841211" w14:textId="69E9036D">
            <w:pPr>
              <w:jc w:val="center"/>
              <w:rPr>
                <w:color w:val="000000"/>
              </w:rPr>
            </w:pPr>
            <w:r w:rsidRPr="00BF6E1A">
              <w:rPr>
                <w:b/>
                <w:bCs/>
                <w:color w:val="000000"/>
              </w:rPr>
              <w:t>Record Keeping</w:t>
            </w:r>
          </w:p>
        </w:tc>
      </w:tr>
      <w:tr w14:paraId="42818E9F" w14:textId="77777777" w:rsidTr="00D33EB6">
        <w:tblPrEx>
          <w:tblW w:w="11065" w:type="dxa"/>
          <w:tblLook w:val="04A0"/>
        </w:tblPrEx>
        <w:trPr>
          <w:trHeight w:val="525"/>
        </w:trPr>
        <w:tc>
          <w:tcPr>
            <w:tcW w:w="2688" w:type="dxa"/>
          </w:tcPr>
          <w:p w:rsidR="001E617A" w:rsidRPr="007D54A2" w:rsidP="0094031F" w14:paraId="7BF81A06" w14:textId="77777777">
            <w:pPr>
              <w:pStyle w:val="ListParagraph"/>
              <w:numPr>
                <w:ilvl w:val="0"/>
                <w:numId w:val="20"/>
              </w:numPr>
              <w:ind w:left="341"/>
              <w:rPr>
                <w:color w:val="000000"/>
                <w:highlight w:val="yellow"/>
              </w:rPr>
            </w:pPr>
            <w:r w:rsidRPr="007D54A2">
              <w:rPr>
                <w:color w:val="000000"/>
                <w:highlight w:val="yellow"/>
              </w:rPr>
              <w:t>Attachment 20A: SBIR Life Cycle Certification</w:t>
            </w:r>
          </w:p>
          <w:p w:rsidR="0094031F" w:rsidRPr="007D54A2" w:rsidP="0094031F" w14:paraId="42174E10" w14:textId="00BB3338">
            <w:pPr>
              <w:pStyle w:val="ListParagraph"/>
              <w:numPr>
                <w:ilvl w:val="0"/>
                <w:numId w:val="20"/>
              </w:numPr>
              <w:ind w:left="341"/>
              <w:rPr>
                <w:color w:val="000000"/>
                <w:highlight w:val="yellow"/>
              </w:rPr>
            </w:pPr>
            <w:r w:rsidRPr="007D54A2">
              <w:rPr>
                <w:color w:val="000000"/>
                <w:highlight w:val="yellow"/>
              </w:rPr>
              <w:t>Attachment 20B: STTR Life Cycle Certification</w:t>
            </w:r>
          </w:p>
        </w:tc>
        <w:tc>
          <w:tcPr>
            <w:tcW w:w="2339" w:type="dxa"/>
            <w:shd w:val="clear" w:color="auto" w:fill="auto"/>
            <w:vAlign w:val="center"/>
            <w:hideMark/>
          </w:tcPr>
          <w:p w:rsidR="001E617A" w:rsidRPr="00246611" w:rsidP="00291426" w14:paraId="270DA367" w14:textId="4DA806BD">
            <w:pPr>
              <w:rPr>
                <w:color w:val="000000"/>
              </w:rPr>
            </w:pPr>
            <w:r w:rsidRPr="00246611">
              <w:rPr>
                <w:color w:val="000000"/>
              </w:rPr>
              <w:t>SBIR/STTR Life Cycle Certification</w:t>
            </w:r>
          </w:p>
        </w:tc>
        <w:tc>
          <w:tcPr>
            <w:tcW w:w="1890" w:type="dxa"/>
            <w:shd w:val="clear" w:color="auto" w:fill="auto"/>
            <w:vAlign w:val="center"/>
            <w:hideMark/>
          </w:tcPr>
          <w:p w:rsidR="001E617A" w:rsidRPr="00246611" w:rsidP="00291426" w14:paraId="51427B03" w14:textId="77777777">
            <w:pPr>
              <w:jc w:val="center"/>
              <w:rPr>
                <w:color w:val="000000"/>
              </w:rPr>
            </w:pPr>
            <w:r w:rsidRPr="00246611">
              <w:rPr>
                <w:color w:val="000000"/>
              </w:rPr>
              <w:t>1,500</w:t>
            </w:r>
          </w:p>
        </w:tc>
        <w:tc>
          <w:tcPr>
            <w:tcW w:w="1316" w:type="dxa"/>
            <w:vAlign w:val="center"/>
          </w:tcPr>
          <w:p w:rsidR="001E617A" w:rsidRPr="00246611" w:rsidP="00291426" w14:paraId="7E75FEB3" w14:textId="77777777">
            <w:pPr>
              <w:jc w:val="center"/>
              <w:rPr>
                <w:color w:val="000000"/>
              </w:rPr>
            </w:pPr>
            <w:r w:rsidRPr="00246611">
              <w:rPr>
                <w:color w:val="000000"/>
              </w:rPr>
              <w:t>1</w:t>
            </w:r>
          </w:p>
        </w:tc>
        <w:tc>
          <w:tcPr>
            <w:tcW w:w="1122" w:type="dxa"/>
            <w:shd w:val="clear" w:color="auto" w:fill="auto"/>
            <w:noWrap/>
            <w:vAlign w:val="center"/>
            <w:hideMark/>
          </w:tcPr>
          <w:p w:rsidR="001E617A" w:rsidRPr="00246611" w:rsidP="00291426" w14:paraId="0FB9065A" w14:textId="77777777">
            <w:pPr>
              <w:jc w:val="center"/>
              <w:rPr>
                <w:color w:val="000000"/>
              </w:rPr>
            </w:pPr>
            <w:r w:rsidRPr="00246611">
              <w:rPr>
                <w:color w:val="000000"/>
              </w:rPr>
              <w:t>15/60</w:t>
            </w:r>
          </w:p>
        </w:tc>
        <w:tc>
          <w:tcPr>
            <w:tcW w:w="1710" w:type="dxa"/>
            <w:shd w:val="clear" w:color="auto" w:fill="auto"/>
            <w:noWrap/>
            <w:vAlign w:val="center"/>
            <w:hideMark/>
          </w:tcPr>
          <w:p w:rsidR="001E617A" w:rsidRPr="00246611" w:rsidP="00291426" w14:paraId="48355EC5" w14:textId="77777777">
            <w:pPr>
              <w:jc w:val="center"/>
              <w:rPr>
                <w:color w:val="000000"/>
              </w:rPr>
            </w:pPr>
            <w:r w:rsidRPr="00246611">
              <w:rPr>
                <w:color w:val="000000"/>
              </w:rPr>
              <w:t>375</w:t>
            </w:r>
          </w:p>
        </w:tc>
      </w:tr>
      <w:tr w14:paraId="38DDE267" w14:textId="77777777" w:rsidTr="00291426">
        <w:tblPrEx>
          <w:tblW w:w="11065" w:type="dxa"/>
          <w:tblLook w:val="04A0"/>
        </w:tblPrEx>
        <w:trPr>
          <w:trHeight w:val="525"/>
        </w:trPr>
        <w:tc>
          <w:tcPr>
            <w:tcW w:w="5027" w:type="dxa"/>
            <w:gridSpan w:val="2"/>
          </w:tcPr>
          <w:p w:rsidR="00D33EB6" w:rsidRPr="007D54A2" w:rsidP="00291426" w14:paraId="7F49488B" w14:textId="5359FE71">
            <w:pPr>
              <w:rPr>
                <w:b/>
                <w:color w:val="000000"/>
                <w:highlight w:val="yellow"/>
              </w:rPr>
            </w:pPr>
            <w:r w:rsidRPr="007D54A2">
              <w:rPr>
                <w:b/>
                <w:color w:val="000000"/>
                <w:highlight w:val="yellow"/>
              </w:rPr>
              <w:t xml:space="preserve">      Total</w:t>
            </w:r>
          </w:p>
        </w:tc>
        <w:tc>
          <w:tcPr>
            <w:tcW w:w="1890" w:type="dxa"/>
            <w:shd w:val="clear" w:color="auto" w:fill="auto"/>
            <w:vAlign w:val="center"/>
          </w:tcPr>
          <w:p w:rsidR="00D33EB6" w:rsidRPr="00246611" w:rsidP="00291426" w14:paraId="3970F415" w14:textId="77777777">
            <w:pPr>
              <w:jc w:val="center"/>
              <w:rPr>
                <w:b/>
                <w:color w:val="000000"/>
              </w:rPr>
            </w:pPr>
            <w:r w:rsidRPr="00246611">
              <w:rPr>
                <w:b/>
                <w:color w:val="000000"/>
              </w:rPr>
              <w:t>236,226</w:t>
            </w:r>
          </w:p>
        </w:tc>
        <w:tc>
          <w:tcPr>
            <w:tcW w:w="1316" w:type="dxa"/>
            <w:shd w:val="clear" w:color="auto" w:fill="auto"/>
            <w:vAlign w:val="center"/>
          </w:tcPr>
          <w:p w:rsidR="00D33EB6" w:rsidRPr="00246611" w:rsidP="00291426" w14:paraId="3D509F92" w14:textId="77777777">
            <w:pPr>
              <w:jc w:val="center"/>
              <w:rPr>
                <w:b/>
                <w:color w:val="000000"/>
              </w:rPr>
            </w:pPr>
            <w:r w:rsidRPr="00246611">
              <w:rPr>
                <w:b/>
                <w:color w:val="000000"/>
              </w:rPr>
              <w:t>430,272</w:t>
            </w:r>
          </w:p>
        </w:tc>
        <w:tc>
          <w:tcPr>
            <w:tcW w:w="1122" w:type="dxa"/>
            <w:shd w:val="clear" w:color="auto" w:fill="auto"/>
            <w:vAlign w:val="center"/>
          </w:tcPr>
          <w:p w:rsidR="00D33EB6" w:rsidRPr="00246611" w:rsidP="00291426" w14:paraId="59068AFD" w14:textId="77777777">
            <w:pPr>
              <w:rPr>
                <w:b/>
                <w:color w:val="000000"/>
              </w:rPr>
            </w:pPr>
          </w:p>
        </w:tc>
        <w:tc>
          <w:tcPr>
            <w:tcW w:w="1710" w:type="dxa"/>
            <w:shd w:val="clear" w:color="auto" w:fill="auto"/>
            <w:noWrap/>
            <w:vAlign w:val="center"/>
          </w:tcPr>
          <w:p w:rsidR="00D33EB6" w:rsidRPr="00246611" w:rsidP="00291426" w14:paraId="6B0EFBC7" w14:textId="35E86207">
            <w:pPr>
              <w:jc w:val="center"/>
              <w:rPr>
                <w:b/>
                <w:color w:val="000000"/>
              </w:rPr>
            </w:pPr>
            <w:r w:rsidRPr="007D54A2">
              <w:rPr>
                <w:b/>
                <w:color w:val="000000"/>
                <w:highlight w:val="yellow"/>
              </w:rPr>
              <w:t>629,</w:t>
            </w:r>
            <w:r w:rsidRPr="007D54A2" w:rsidR="0049063E">
              <w:rPr>
                <w:b/>
                <w:color w:val="000000"/>
                <w:highlight w:val="yellow"/>
              </w:rPr>
              <w:t>463</w:t>
            </w:r>
          </w:p>
        </w:tc>
      </w:tr>
    </w:tbl>
    <w:p w:rsidR="000B377C" w:rsidP="00C24877" w14:paraId="313D7E35" w14:textId="77777777">
      <w:pPr>
        <w:jc w:val="center"/>
      </w:pPr>
    </w:p>
    <w:p w:rsidR="00125DB3" w:rsidP="00125DB3" w14:paraId="78843613" w14:textId="4DE5D2E7">
      <w:pPr>
        <w:spacing w:line="480" w:lineRule="auto"/>
        <w:ind w:right="-684"/>
        <w:rPr>
          <w:bCs/>
        </w:rPr>
      </w:pPr>
      <w:r w:rsidRPr="00847667">
        <w:rPr>
          <w:bCs/>
        </w:rPr>
        <w:t xml:space="preserve">Burden on applicants and grantees is associated with the forms and all proposed changes in the forms; there is no burden associated with regulatory language. </w:t>
      </w:r>
    </w:p>
    <w:p w:rsidR="00442B5B" w:rsidRPr="00C24877" w:rsidP="005C4013" w14:paraId="444AFD27" w14:textId="031B5FF5">
      <w:pPr>
        <w:tabs>
          <w:tab w:val="left" w:pos="2141"/>
        </w:tabs>
        <w:spacing w:after="0"/>
      </w:pPr>
    </w:p>
    <w:p w:rsidR="005C4013" w:rsidP="000B377C" w14:paraId="4D789855" w14:textId="523DB5AC">
      <w:pPr>
        <w:rPr>
          <w:rFonts w:eastAsia="Times New Roman" w:cs="Times New Roman"/>
          <w:b/>
          <w:smallCaps/>
          <w:color w:val="000000" w:themeColor="text1"/>
        </w:rPr>
      </w:pPr>
      <w:r>
        <w:t xml:space="preserve">                      </w:t>
      </w:r>
    </w:p>
    <w:p w:rsidR="00EE245F" w:rsidRPr="00EE245F" w:rsidP="000B377C" w14:paraId="4CC3EA16" w14:textId="5F6AACB4">
      <w:pPr>
        <w:pStyle w:val="Heading2"/>
        <w:rPr>
          <w:rFonts w:eastAsia="Times New Roman"/>
        </w:rPr>
      </w:pPr>
      <w:bookmarkStart w:id="41" w:name="_Toc174029913"/>
      <w:r w:rsidRPr="00717158">
        <w:rPr>
          <w:rFonts w:eastAsia="Times New Roman"/>
        </w:rPr>
        <w:t>A.12-2</w:t>
      </w:r>
      <w:r>
        <w:rPr>
          <w:rFonts w:eastAsia="Times New Roman"/>
        </w:rPr>
        <w:t xml:space="preserve">   </w:t>
      </w:r>
      <w:r w:rsidRPr="00717158" w:rsidR="00BF491C">
        <w:rPr>
          <w:rFonts w:eastAsia="Times New Roman"/>
        </w:rPr>
        <w:t>Annual Cost to respondent</w:t>
      </w:r>
      <w:bookmarkEnd w:id="41"/>
    </w:p>
    <w:p w:rsidR="00B10905" w:rsidRPr="009F3292" w:rsidP="00B10905" w14:paraId="162D3734" w14:textId="496B5AC2">
      <w:pPr>
        <w:spacing w:line="480" w:lineRule="auto"/>
        <w:ind w:right="-684"/>
        <w:rPr>
          <w:bCs/>
        </w:rPr>
      </w:pPr>
      <w:r>
        <w:rPr>
          <w:bCs/>
        </w:rPr>
        <w:t>The hourly rate used for all burden hours ($</w:t>
      </w:r>
      <w:r w:rsidR="008766AE">
        <w:rPr>
          <w:bCs/>
        </w:rPr>
        <w:t>5</w:t>
      </w:r>
      <w:r w:rsidR="003E6A3E">
        <w:rPr>
          <w:bCs/>
        </w:rPr>
        <w:t>2</w:t>
      </w:r>
      <w:r w:rsidR="00486AE2">
        <w:rPr>
          <w:bCs/>
        </w:rPr>
        <w:t>.36</w:t>
      </w:r>
      <w:r>
        <w:rPr>
          <w:bCs/>
        </w:rPr>
        <w:t xml:space="preserve">) </w:t>
      </w:r>
      <w:r w:rsidR="00BE3733">
        <w:rPr>
          <w:bCs/>
        </w:rPr>
        <w:t>is based on the</w:t>
      </w:r>
      <w:r>
        <w:rPr>
          <w:bCs/>
        </w:rPr>
        <w:t xml:space="preserve"> </w:t>
      </w:r>
      <w:r w:rsidR="00B45957">
        <w:rPr>
          <w:bCs/>
        </w:rPr>
        <w:t>civilian e</w:t>
      </w:r>
      <w:r w:rsidRPr="002B1C2D" w:rsidR="002B1C2D">
        <w:rPr>
          <w:bCs/>
        </w:rPr>
        <w:t>ducation and health services</w:t>
      </w:r>
      <w:r w:rsidRPr="002B1C2D" w:rsidR="002B1C2D">
        <w:rPr>
          <w:bCs/>
        </w:rPr>
        <w:t xml:space="preserve"> </w:t>
      </w:r>
      <w:r w:rsidR="00D95620">
        <w:rPr>
          <w:bCs/>
        </w:rPr>
        <w:t>occupational group</w:t>
      </w:r>
      <w:r>
        <w:rPr>
          <w:bCs/>
        </w:rPr>
        <w:t xml:space="preserve"> </w:t>
      </w:r>
      <w:r w:rsidRPr="00F51F3C" w:rsidR="00B45957">
        <w:t>reported by the U.S. Bureau of Labor Statistics from March 2024</w:t>
      </w:r>
      <w:r>
        <w:rPr>
          <w:bCs/>
        </w:rPr>
        <w:t xml:space="preserve">. </w:t>
      </w:r>
    </w:p>
    <w:p w:rsidR="002C5D4F" w:rsidP="00BF491C" w14:paraId="36D02200" w14:textId="7625BACF">
      <w:r>
        <w:tab/>
        <w:t xml:space="preserve">     </w:t>
      </w:r>
      <w:r>
        <w:tab/>
      </w:r>
    </w:p>
    <w:p w:rsidR="00CF36BD" w:rsidP="002C5D4F" w14:paraId="69B52A05" w14:textId="0DD504D8">
      <w:pPr>
        <w:ind w:left="1440" w:firstLine="720"/>
      </w:pPr>
      <w:r>
        <w:t>Table 12-2 Annualized Cost to Respondents</w:t>
      </w:r>
    </w:p>
    <w:tbl>
      <w:tblPr>
        <w:tblW w:w="0" w:type="auto"/>
        <w:jc w:val="center"/>
        <w:tblLook w:val="04A0"/>
      </w:tblPr>
      <w:tblGrid>
        <w:gridCol w:w="5101"/>
        <w:gridCol w:w="1371"/>
        <w:gridCol w:w="1268"/>
        <w:gridCol w:w="1888"/>
      </w:tblGrid>
      <w:tr w14:paraId="635C7502" w14:textId="77777777" w:rsidTr="00291426">
        <w:tblPrEx>
          <w:tblW w:w="0" w:type="auto"/>
          <w:jc w:val="center"/>
          <w:tblLook w:val="04A0"/>
        </w:tblPrEx>
        <w:trPr>
          <w:trHeight w:val="124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B21FC" w:rsidRPr="00431303" w:rsidP="00291426" w14:paraId="7EEE9654" w14:textId="623E4220">
            <w:pPr>
              <w:jc w:val="center"/>
              <w:rPr>
                <w:b/>
                <w:bCs/>
                <w:color w:val="000000"/>
              </w:rPr>
            </w:pPr>
            <w:r w:rsidRPr="00431303">
              <w:rPr>
                <w:b/>
                <w:bCs/>
                <w:color w:val="000000"/>
              </w:rPr>
              <w:t xml:space="preserve">Information </w:t>
            </w:r>
            <w:r w:rsidRPr="00431303" w:rsidR="00EC7463">
              <w:rPr>
                <w:b/>
                <w:bCs/>
                <w:color w:val="000000"/>
              </w:rPr>
              <w:t>Collection</w:t>
            </w:r>
            <w:r w:rsidR="00EC7463">
              <w:rPr>
                <w:b/>
                <w:bCs/>
                <w:color w:val="000000"/>
              </w:rPr>
              <w:t xml:space="preserve"> </w:t>
            </w:r>
            <w:r w:rsidRPr="00431303" w:rsidR="00EC7463">
              <w:rPr>
                <w:b/>
                <w:bCs/>
                <w:color w:val="000000"/>
              </w:rPr>
              <w:t>Forms</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B21FC" w:rsidRPr="00DC39EB" w:rsidP="00291426" w14:paraId="220A0CA1" w14:textId="77777777">
            <w:pPr>
              <w:jc w:val="center"/>
              <w:rPr>
                <w:b/>
                <w:bCs/>
                <w:color w:val="000000"/>
              </w:rPr>
            </w:pPr>
            <w:r w:rsidRPr="00431303">
              <w:rPr>
                <w:b/>
                <w:bCs/>
                <w:color w:val="000000"/>
              </w:rPr>
              <w:t xml:space="preserve">Total Burden Hours </w:t>
            </w:r>
          </w:p>
          <w:p w:rsidR="003B21FC" w:rsidRPr="00431303" w:rsidP="00291426" w14:paraId="7693368E" w14:textId="77777777">
            <w:pPr>
              <w:jc w:val="center"/>
              <w:rPr>
                <w:b/>
                <w:bCs/>
                <w:color w:val="000000"/>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B21FC" w:rsidRPr="00431303" w:rsidP="00291426" w14:paraId="08A0DD06" w14:textId="77777777">
            <w:pPr>
              <w:jc w:val="center"/>
              <w:rPr>
                <w:b/>
                <w:bCs/>
                <w:color w:val="000000"/>
              </w:rPr>
            </w:pPr>
            <w:r w:rsidRPr="00431303">
              <w:rPr>
                <w:b/>
                <w:bCs/>
                <w:color w:val="000000"/>
              </w:rPr>
              <w:t>Hourly Wage Rage</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B21FC" w:rsidRPr="00431303" w:rsidP="00291426" w14:paraId="1E4BF757" w14:textId="77777777">
            <w:pPr>
              <w:jc w:val="center"/>
              <w:rPr>
                <w:b/>
                <w:bCs/>
                <w:color w:val="000000"/>
              </w:rPr>
            </w:pPr>
            <w:r>
              <w:rPr>
                <w:b/>
                <w:bCs/>
                <w:color w:val="000000"/>
              </w:rPr>
              <w:t xml:space="preserve">Total </w:t>
            </w:r>
            <w:r w:rsidRPr="00431303">
              <w:rPr>
                <w:b/>
                <w:bCs/>
                <w:color w:val="000000"/>
              </w:rPr>
              <w:t>Respondent Cost</w:t>
            </w:r>
          </w:p>
        </w:tc>
      </w:tr>
      <w:tr w14:paraId="757A60D8" w14:textId="77777777" w:rsidTr="00291426">
        <w:tblPrEx>
          <w:tblW w:w="0" w:type="auto"/>
          <w:jc w:val="center"/>
          <w:tblLook w:val="04A0"/>
        </w:tblPrEx>
        <w:trPr>
          <w:trHeight w:val="430"/>
          <w:jc w:val="center"/>
        </w:trPr>
        <w:tc>
          <w:tcPr>
            <w:tcW w:w="0" w:type="auto"/>
            <w:gridSpan w:val="4"/>
            <w:tcBorders>
              <w:top w:val="single" w:sz="8" w:space="0" w:color="auto"/>
              <w:left w:val="single" w:sz="8" w:space="0" w:color="auto"/>
              <w:bottom w:val="single" w:sz="8" w:space="0" w:color="auto"/>
              <w:right w:val="single" w:sz="8" w:space="0" w:color="auto"/>
            </w:tcBorders>
            <w:shd w:val="clear" w:color="auto" w:fill="auto"/>
            <w:vAlign w:val="center"/>
          </w:tcPr>
          <w:p w:rsidR="003B21FC" w:rsidRPr="000020A8" w:rsidP="00291426" w14:paraId="6D01B49A" w14:textId="77777777">
            <w:pPr>
              <w:rPr>
                <w:b/>
                <w:bCs/>
                <w:color w:val="000000"/>
              </w:rPr>
            </w:pPr>
            <w:r>
              <w:rPr>
                <w:b/>
                <w:bCs/>
                <w:color w:val="000000"/>
              </w:rPr>
              <w:t xml:space="preserve">REPORTING </w:t>
            </w:r>
          </w:p>
        </w:tc>
      </w:tr>
      <w:tr w14:paraId="5D248A60" w14:textId="77777777" w:rsidTr="00291426">
        <w:tblPrEx>
          <w:tblW w:w="0" w:type="auto"/>
          <w:jc w:val="center"/>
          <w:tblLook w:val="04A0"/>
        </w:tblPrEx>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B21FC" w:rsidRPr="0004310F" w:rsidP="00291426" w14:paraId="72E223B2" w14:textId="77777777">
            <w:pPr>
              <w:rPr>
                <w:color w:val="000000"/>
              </w:rPr>
            </w:pPr>
            <w:r w:rsidRPr="0004310F">
              <w:rPr>
                <w:color w:val="000000"/>
              </w:rPr>
              <w:t>PHS 416-7</w:t>
            </w:r>
          </w:p>
        </w:tc>
        <w:tc>
          <w:tcPr>
            <w:tcW w:w="0" w:type="auto"/>
            <w:tcBorders>
              <w:top w:val="nil"/>
              <w:left w:val="nil"/>
              <w:bottom w:val="single" w:sz="8" w:space="0" w:color="auto"/>
              <w:right w:val="single" w:sz="8" w:space="0" w:color="auto"/>
            </w:tcBorders>
            <w:shd w:val="clear" w:color="auto" w:fill="auto"/>
            <w:noWrap/>
            <w:vAlign w:val="center"/>
            <w:hideMark/>
          </w:tcPr>
          <w:p w:rsidR="003B21FC" w:rsidRPr="0004310F" w:rsidP="00291426" w14:paraId="68804CC9" w14:textId="77777777">
            <w:pPr>
              <w:tabs>
                <w:tab w:val="left" w:pos="2181"/>
              </w:tabs>
              <w:jc w:val="center"/>
              <w:rPr>
                <w:color w:val="000000"/>
              </w:rPr>
            </w:pPr>
            <w:r>
              <w:rPr>
                <w:color w:val="000000"/>
              </w:rPr>
              <w:t>6,290</w:t>
            </w:r>
          </w:p>
        </w:tc>
        <w:tc>
          <w:tcPr>
            <w:tcW w:w="0" w:type="auto"/>
            <w:tcBorders>
              <w:top w:val="nil"/>
              <w:left w:val="nil"/>
              <w:bottom w:val="single" w:sz="8" w:space="0" w:color="auto"/>
              <w:right w:val="single" w:sz="8" w:space="0" w:color="auto"/>
            </w:tcBorders>
            <w:shd w:val="clear" w:color="auto" w:fill="auto"/>
            <w:vAlign w:val="center"/>
            <w:hideMark/>
          </w:tcPr>
          <w:p w:rsidR="003B21FC" w:rsidRPr="005216D6" w:rsidP="00291426" w14:paraId="1D0EB53B" w14:textId="72F3427C">
            <w:pPr>
              <w:jc w:val="center"/>
              <w:rPr>
                <w:color w:val="000000"/>
              </w:rP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hideMark/>
          </w:tcPr>
          <w:p w:rsidR="003B21FC" w:rsidRPr="005344E9" w:rsidP="00291426" w14:paraId="584B55B9" w14:textId="48C43F1A">
            <w:pPr>
              <w:jc w:val="center"/>
              <w:rPr>
                <w:rFonts w:ascii="Calibri" w:hAnsi="Calibri" w:cs="Calibri"/>
                <w:color w:val="000000"/>
              </w:rPr>
            </w:pPr>
            <w:r>
              <w:rPr>
                <w:rFonts w:ascii="Calibri" w:hAnsi="Calibri" w:cs="Calibri"/>
                <w:color w:val="000000"/>
              </w:rPr>
              <w:t xml:space="preserve">$329,344.40 </w:t>
            </w:r>
            <w:r w:rsidR="004D7300">
              <w:rPr>
                <w:color w:val="000000"/>
              </w:rPr>
              <w:t xml:space="preserve"> </w:t>
            </w:r>
          </w:p>
        </w:tc>
      </w:tr>
      <w:tr w14:paraId="1086163D" w14:textId="77777777" w:rsidTr="00291426">
        <w:tblPrEx>
          <w:tblW w:w="0" w:type="auto"/>
          <w:jc w:val="center"/>
          <w:tblLook w:val="04A0"/>
        </w:tblPrEx>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B21FC" w:rsidRPr="0004310F" w:rsidP="00291426" w14:paraId="5DDD5B7E" w14:textId="77777777">
            <w:pPr>
              <w:rPr>
                <w:color w:val="000000"/>
              </w:rPr>
            </w:pPr>
            <w:r w:rsidRPr="0004310F">
              <w:rPr>
                <w:color w:val="000000"/>
              </w:rPr>
              <w:t>PHS 6031-1</w:t>
            </w:r>
          </w:p>
        </w:tc>
        <w:tc>
          <w:tcPr>
            <w:tcW w:w="0" w:type="auto"/>
            <w:tcBorders>
              <w:top w:val="nil"/>
              <w:left w:val="nil"/>
              <w:bottom w:val="single" w:sz="8" w:space="0" w:color="auto"/>
              <w:right w:val="single" w:sz="8" w:space="0" w:color="auto"/>
            </w:tcBorders>
            <w:shd w:val="clear" w:color="auto" w:fill="auto"/>
            <w:vAlign w:val="center"/>
            <w:hideMark/>
          </w:tcPr>
          <w:p w:rsidR="003B21FC" w:rsidRPr="0004310F" w:rsidP="00291426" w14:paraId="100BC9B7" w14:textId="77777777">
            <w:pPr>
              <w:jc w:val="center"/>
              <w:rPr>
                <w:color w:val="000000"/>
              </w:rPr>
            </w:pPr>
            <w:r>
              <w:rPr>
                <w:color w:val="000000"/>
              </w:rPr>
              <w:t>593</w:t>
            </w:r>
          </w:p>
        </w:tc>
        <w:tc>
          <w:tcPr>
            <w:tcW w:w="0" w:type="auto"/>
            <w:tcBorders>
              <w:top w:val="nil"/>
              <w:left w:val="nil"/>
              <w:bottom w:val="single" w:sz="8" w:space="0" w:color="auto"/>
              <w:right w:val="single" w:sz="8" w:space="0" w:color="auto"/>
            </w:tcBorders>
            <w:shd w:val="clear" w:color="auto" w:fill="auto"/>
            <w:vAlign w:val="center"/>
            <w:hideMark/>
          </w:tcPr>
          <w:p w:rsidR="003B21FC" w:rsidRPr="005216D6" w:rsidP="00291426" w14:paraId="2F463C43" w14:textId="25CA71D0">
            <w:pPr>
              <w:jc w:val="center"/>
              <w:rPr>
                <w:color w:val="000000"/>
              </w:rP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hideMark/>
          </w:tcPr>
          <w:p w:rsidR="003B21FC" w:rsidRPr="00B82A01" w:rsidP="00291426" w14:paraId="34829475" w14:textId="2DBF3CF3">
            <w:pPr>
              <w:jc w:val="center"/>
              <w:rPr>
                <w:rFonts w:ascii="Calibri" w:hAnsi="Calibri" w:cs="Calibri"/>
                <w:color w:val="000000"/>
              </w:rPr>
            </w:pPr>
            <w:r>
              <w:rPr>
                <w:rFonts w:ascii="Calibri" w:hAnsi="Calibri" w:cs="Calibri"/>
                <w:color w:val="000000"/>
              </w:rPr>
              <w:t>$31,049.48</w:t>
            </w:r>
            <w:r w:rsidR="004D7300">
              <w:rPr>
                <w:color w:val="000000"/>
              </w:rPr>
              <w:t xml:space="preserve"> </w:t>
            </w:r>
          </w:p>
        </w:tc>
      </w:tr>
      <w:tr w14:paraId="4B165BF6" w14:textId="77777777" w:rsidTr="00291426">
        <w:tblPrEx>
          <w:tblW w:w="0" w:type="auto"/>
          <w:jc w:val="center"/>
          <w:tblLook w:val="04A0"/>
        </w:tblPrEx>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B21FC" w:rsidRPr="0004310F" w:rsidP="00291426" w14:paraId="030FCB73" w14:textId="77777777">
            <w:pPr>
              <w:rPr>
                <w:color w:val="000000"/>
              </w:rPr>
            </w:pPr>
            <w:r w:rsidRPr="0004310F">
              <w:rPr>
                <w:color w:val="000000"/>
              </w:rPr>
              <w:t>PHS 568</w:t>
            </w:r>
          </w:p>
        </w:tc>
        <w:tc>
          <w:tcPr>
            <w:tcW w:w="0" w:type="auto"/>
            <w:tcBorders>
              <w:top w:val="nil"/>
              <w:left w:val="nil"/>
              <w:bottom w:val="single" w:sz="8" w:space="0" w:color="auto"/>
              <w:right w:val="single" w:sz="8" w:space="0" w:color="auto"/>
            </w:tcBorders>
            <w:shd w:val="clear" w:color="auto" w:fill="auto"/>
            <w:noWrap/>
            <w:vAlign w:val="center"/>
            <w:hideMark/>
          </w:tcPr>
          <w:p w:rsidR="003B21FC" w:rsidRPr="0004310F" w:rsidP="00291426" w14:paraId="0FFCB17A" w14:textId="77777777">
            <w:pPr>
              <w:jc w:val="center"/>
              <w:rPr>
                <w:color w:val="000000"/>
              </w:rPr>
            </w:pPr>
            <w:r>
              <w:rPr>
                <w:color w:val="000000"/>
              </w:rPr>
              <w:t>932</w:t>
            </w:r>
          </w:p>
        </w:tc>
        <w:tc>
          <w:tcPr>
            <w:tcW w:w="0" w:type="auto"/>
            <w:tcBorders>
              <w:top w:val="nil"/>
              <w:left w:val="nil"/>
              <w:bottom w:val="single" w:sz="8" w:space="0" w:color="auto"/>
              <w:right w:val="single" w:sz="8" w:space="0" w:color="auto"/>
            </w:tcBorders>
            <w:shd w:val="clear" w:color="auto" w:fill="auto"/>
            <w:vAlign w:val="center"/>
            <w:hideMark/>
          </w:tcPr>
          <w:p w:rsidR="003B21FC" w:rsidRPr="005216D6" w:rsidP="00291426" w14:paraId="6C315FB9" w14:textId="7220F7A2">
            <w:pPr>
              <w:jc w:val="center"/>
              <w:rPr>
                <w:color w:val="000000"/>
              </w:rP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hideMark/>
          </w:tcPr>
          <w:p w:rsidR="003B21FC" w:rsidRPr="002E393C" w:rsidP="00291426" w14:paraId="3D323B36" w14:textId="248C0C08">
            <w:pPr>
              <w:jc w:val="center"/>
              <w:rPr>
                <w:rFonts w:ascii="Calibri" w:hAnsi="Calibri" w:cs="Calibri"/>
                <w:color w:val="000000"/>
              </w:rPr>
            </w:pPr>
            <w:r>
              <w:rPr>
                <w:rFonts w:ascii="Calibri" w:hAnsi="Calibri" w:cs="Calibri"/>
                <w:color w:val="000000"/>
              </w:rPr>
              <w:t>$48,799.52</w:t>
            </w:r>
            <w:r w:rsidR="004D7300">
              <w:rPr>
                <w:color w:val="000000"/>
              </w:rPr>
              <w:t xml:space="preserve"> </w:t>
            </w:r>
          </w:p>
        </w:tc>
      </w:tr>
      <w:tr w14:paraId="1C777F03" w14:textId="77777777" w:rsidTr="00291426">
        <w:tblPrEx>
          <w:tblW w:w="0" w:type="auto"/>
          <w:jc w:val="center"/>
          <w:tblLook w:val="04A0"/>
        </w:tblPrEx>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B21FC" w:rsidRPr="0004310F" w:rsidP="00291426" w14:paraId="33D2C1F0" w14:textId="77777777">
            <w:pPr>
              <w:rPr>
                <w:color w:val="000000"/>
              </w:rPr>
            </w:pPr>
            <w:r w:rsidRPr="0004310F">
              <w:rPr>
                <w:color w:val="000000"/>
              </w:rPr>
              <w:t>PHS 2271</w:t>
            </w:r>
          </w:p>
        </w:tc>
        <w:tc>
          <w:tcPr>
            <w:tcW w:w="0" w:type="auto"/>
            <w:tcBorders>
              <w:top w:val="nil"/>
              <w:left w:val="nil"/>
              <w:bottom w:val="single" w:sz="8" w:space="0" w:color="auto"/>
              <w:right w:val="single" w:sz="8" w:space="0" w:color="auto"/>
            </w:tcBorders>
            <w:shd w:val="clear" w:color="auto" w:fill="auto"/>
            <w:vAlign w:val="center"/>
            <w:hideMark/>
          </w:tcPr>
          <w:p w:rsidR="003B21FC" w:rsidRPr="0004310F" w:rsidP="00291426" w14:paraId="3766D84C" w14:textId="77777777">
            <w:pPr>
              <w:jc w:val="center"/>
              <w:rPr>
                <w:color w:val="000000"/>
              </w:rPr>
            </w:pPr>
            <w:r>
              <w:rPr>
                <w:color w:val="000000"/>
              </w:rPr>
              <w:t>5,509</w:t>
            </w:r>
          </w:p>
        </w:tc>
        <w:tc>
          <w:tcPr>
            <w:tcW w:w="0" w:type="auto"/>
            <w:tcBorders>
              <w:top w:val="nil"/>
              <w:left w:val="nil"/>
              <w:bottom w:val="single" w:sz="8" w:space="0" w:color="auto"/>
              <w:right w:val="single" w:sz="8" w:space="0" w:color="auto"/>
            </w:tcBorders>
            <w:shd w:val="clear" w:color="auto" w:fill="auto"/>
            <w:vAlign w:val="center"/>
            <w:hideMark/>
          </w:tcPr>
          <w:p w:rsidR="003B21FC" w:rsidRPr="005216D6" w:rsidP="00291426" w14:paraId="7F84B9B7" w14:textId="37F9ABF2">
            <w:pPr>
              <w:jc w:val="center"/>
              <w:rPr>
                <w:color w:val="000000"/>
              </w:rP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hideMark/>
          </w:tcPr>
          <w:p w:rsidR="003B21FC" w:rsidRPr="005901DE" w:rsidP="00291426" w14:paraId="21D5A714" w14:textId="73867D5E">
            <w:pPr>
              <w:jc w:val="center"/>
              <w:rPr>
                <w:rFonts w:ascii="Calibri" w:hAnsi="Calibri" w:cs="Calibri"/>
                <w:color w:val="000000"/>
              </w:rPr>
            </w:pPr>
            <w:r>
              <w:rPr>
                <w:rFonts w:ascii="Calibri" w:hAnsi="Calibri" w:cs="Calibri"/>
                <w:color w:val="000000"/>
              </w:rPr>
              <w:t>$288,451.24</w:t>
            </w:r>
            <w:r w:rsidR="004D7300">
              <w:rPr>
                <w:color w:val="000000"/>
              </w:rPr>
              <w:t xml:space="preserve"> </w:t>
            </w:r>
          </w:p>
        </w:tc>
      </w:tr>
      <w:tr w14:paraId="6735505C" w14:textId="77777777" w:rsidTr="00291426">
        <w:tblPrEx>
          <w:tblW w:w="0" w:type="auto"/>
          <w:jc w:val="center"/>
          <w:tblLook w:val="04A0"/>
        </w:tblPrEx>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B21FC" w:rsidRPr="0004310F" w:rsidP="00291426" w14:paraId="2F505A47" w14:textId="77777777">
            <w:pPr>
              <w:rPr>
                <w:color w:val="000000"/>
              </w:rPr>
            </w:pPr>
            <w:r w:rsidRPr="0004310F">
              <w:rPr>
                <w:color w:val="000000"/>
              </w:rPr>
              <w:t>PHS 2590</w:t>
            </w:r>
          </w:p>
        </w:tc>
        <w:tc>
          <w:tcPr>
            <w:tcW w:w="0" w:type="auto"/>
            <w:tcBorders>
              <w:top w:val="nil"/>
              <w:left w:val="nil"/>
              <w:bottom w:val="single" w:sz="8" w:space="0" w:color="auto"/>
              <w:right w:val="single" w:sz="8" w:space="0" w:color="auto"/>
            </w:tcBorders>
            <w:shd w:val="clear" w:color="auto" w:fill="auto"/>
            <w:vAlign w:val="center"/>
            <w:hideMark/>
          </w:tcPr>
          <w:p w:rsidR="003B21FC" w:rsidRPr="0004310F" w:rsidP="00291426" w14:paraId="38A41482" w14:textId="77777777">
            <w:pPr>
              <w:jc w:val="center"/>
              <w:rPr>
                <w:color w:val="000000"/>
              </w:rPr>
            </w:pPr>
            <w:r>
              <w:rPr>
                <w:color w:val="000000"/>
              </w:rPr>
              <w:t>4,374</w:t>
            </w:r>
          </w:p>
        </w:tc>
        <w:tc>
          <w:tcPr>
            <w:tcW w:w="0" w:type="auto"/>
            <w:tcBorders>
              <w:top w:val="nil"/>
              <w:left w:val="nil"/>
              <w:bottom w:val="single" w:sz="8" w:space="0" w:color="auto"/>
              <w:right w:val="single" w:sz="8" w:space="0" w:color="auto"/>
            </w:tcBorders>
            <w:shd w:val="clear" w:color="auto" w:fill="auto"/>
            <w:vAlign w:val="center"/>
            <w:hideMark/>
          </w:tcPr>
          <w:p w:rsidR="003B21FC" w:rsidRPr="005216D6" w:rsidP="00291426" w14:paraId="09B39A58" w14:textId="1EEF284F">
            <w:pPr>
              <w:jc w:val="center"/>
              <w:rPr>
                <w:color w:val="000000"/>
              </w:rP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hideMark/>
          </w:tcPr>
          <w:p w:rsidR="003B21FC" w:rsidRPr="002934F2" w:rsidP="00291426" w14:paraId="4A34D0A6" w14:textId="63E98A2E">
            <w:pPr>
              <w:jc w:val="center"/>
              <w:rPr>
                <w:rFonts w:ascii="Calibri" w:hAnsi="Calibri" w:cs="Calibri"/>
                <w:color w:val="000000"/>
              </w:rPr>
            </w:pPr>
            <w:r>
              <w:rPr>
                <w:rFonts w:ascii="Calibri" w:hAnsi="Calibri" w:cs="Calibri"/>
                <w:color w:val="000000"/>
              </w:rPr>
              <w:t>$229,022.64</w:t>
            </w:r>
            <w:r w:rsidR="004D7300">
              <w:rPr>
                <w:color w:val="000000"/>
              </w:rPr>
              <w:t xml:space="preserve"> </w:t>
            </w:r>
          </w:p>
        </w:tc>
      </w:tr>
      <w:tr w14:paraId="4F728D7F" w14:textId="77777777" w:rsidTr="00291426">
        <w:tblPrEx>
          <w:tblW w:w="0" w:type="auto"/>
          <w:jc w:val="center"/>
          <w:tblLook w:val="04A0"/>
        </w:tblPrEx>
        <w:trPr>
          <w:trHeight w:val="315"/>
          <w:jc w:val="center"/>
        </w:trPr>
        <w:tc>
          <w:tcPr>
            <w:tcW w:w="0" w:type="auto"/>
            <w:tcBorders>
              <w:top w:val="nil"/>
              <w:left w:val="single" w:sz="8" w:space="0" w:color="auto"/>
              <w:bottom w:val="single" w:sz="4" w:space="0" w:color="auto"/>
              <w:right w:val="single" w:sz="8" w:space="0" w:color="auto"/>
            </w:tcBorders>
            <w:shd w:val="clear" w:color="auto" w:fill="auto"/>
            <w:vAlign w:val="center"/>
            <w:hideMark/>
          </w:tcPr>
          <w:p w:rsidR="003B21FC" w:rsidRPr="006A66CA" w:rsidP="00291426" w14:paraId="0358D462" w14:textId="77777777">
            <w:pPr>
              <w:rPr>
                <w:bCs/>
                <w:color w:val="000000"/>
                <w:highlight w:val="yellow"/>
              </w:rPr>
            </w:pPr>
            <w:r w:rsidRPr="006A66CA">
              <w:rPr>
                <w:bCs/>
                <w:color w:val="000000"/>
                <w:highlight w:val="yellow"/>
              </w:rPr>
              <w:t>RPPR – core data</w:t>
            </w:r>
          </w:p>
        </w:tc>
        <w:tc>
          <w:tcPr>
            <w:tcW w:w="0" w:type="auto"/>
            <w:tcBorders>
              <w:top w:val="nil"/>
              <w:left w:val="nil"/>
              <w:bottom w:val="single" w:sz="4" w:space="0" w:color="auto"/>
              <w:right w:val="single" w:sz="8" w:space="0" w:color="auto"/>
            </w:tcBorders>
            <w:shd w:val="clear" w:color="auto" w:fill="auto"/>
            <w:vAlign w:val="center"/>
            <w:hideMark/>
          </w:tcPr>
          <w:p w:rsidR="003B21FC" w:rsidRPr="006A66CA" w:rsidP="00291426" w14:paraId="01D869DB" w14:textId="082A9C28">
            <w:pPr>
              <w:jc w:val="center"/>
              <w:rPr>
                <w:bCs/>
                <w:color w:val="000000"/>
                <w:highlight w:val="yellow"/>
              </w:rPr>
            </w:pPr>
            <w:r w:rsidRPr="006A66CA">
              <w:rPr>
                <w:bCs/>
                <w:color w:val="000000"/>
                <w:highlight w:val="yellow"/>
              </w:rPr>
              <w:t>288,882</w:t>
            </w:r>
          </w:p>
        </w:tc>
        <w:tc>
          <w:tcPr>
            <w:tcW w:w="0" w:type="auto"/>
            <w:tcBorders>
              <w:top w:val="nil"/>
              <w:left w:val="nil"/>
              <w:bottom w:val="single" w:sz="4" w:space="0" w:color="auto"/>
              <w:right w:val="single" w:sz="8" w:space="0" w:color="auto"/>
            </w:tcBorders>
            <w:shd w:val="clear" w:color="auto" w:fill="auto"/>
            <w:vAlign w:val="center"/>
            <w:hideMark/>
          </w:tcPr>
          <w:p w:rsidR="003B21FC" w:rsidRPr="006A66CA" w:rsidP="00291426" w14:paraId="66619726" w14:textId="4BBC51E7">
            <w:pPr>
              <w:jc w:val="center"/>
              <w:rPr>
                <w:bCs/>
                <w:color w:val="000000"/>
                <w:highlight w:val="yellow"/>
              </w:rPr>
            </w:pPr>
            <w:r w:rsidRPr="00B53BA3">
              <w:rPr>
                <w:color w:val="000000"/>
                <w:highlight w:val="yellow"/>
              </w:rPr>
              <w:t>$52.36</w:t>
            </w:r>
          </w:p>
        </w:tc>
        <w:tc>
          <w:tcPr>
            <w:tcW w:w="0" w:type="auto"/>
            <w:tcBorders>
              <w:top w:val="nil"/>
              <w:left w:val="nil"/>
              <w:bottom w:val="single" w:sz="4" w:space="0" w:color="auto"/>
              <w:right w:val="single" w:sz="8" w:space="0" w:color="auto"/>
            </w:tcBorders>
            <w:shd w:val="clear" w:color="auto" w:fill="auto"/>
            <w:noWrap/>
            <w:vAlign w:val="center"/>
            <w:hideMark/>
          </w:tcPr>
          <w:p w:rsidR="003B21FC" w:rsidRPr="00BC228D" w:rsidP="00291426" w14:paraId="48F08D89" w14:textId="4A831527">
            <w:pPr>
              <w:jc w:val="center"/>
              <w:rPr>
                <w:rFonts w:ascii="Calibri" w:hAnsi="Calibri" w:cs="Calibri"/>
                <w:color w:val="000000"/>
              </w:rPr>
            </w:pPr>
            <w:r w:rsidRPr="00BC228D">
              <w:rPr>
                <w:rFonts w:ascii="Calibri" w:hAnsi="Calibri" w:cs="Calibri"/>
                <w:color w:val="000000"/>
                <w:highlight w:val="yellow"/>
              </w:rPr>
              <w:t>$15,125,861.52</w:t>
            </w:r>
          </w:p>
        </w:tc>
      </w:tr>
      <w:tr w14:paraId="24ACBE95" w14:textId="77777777" w:rsidTr="00291426">
        <w:tblPrEx>
          <w:tblW w:w="0" w:type="auto"/>
          <w:jc w:val="center"/>
          <w:tblLook w:val="04A0"/>
        </w:tblPrEx>
        <w:trPr>
          <w:trHeight w:val="647"/>
          <w:jc w:val="center"/>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rsidR="003B21FC" w:rsidRPr="0004310F" w:rsidP="00291426" w14:paraId="78AB1AF9" w14:textId="77777777">
            <w:r w:rsidRPr="0004310F">
              <w:t>Biosketch</w:t>
            </w:r>
            <w:r>
              <w:t xml:space="preserve"> (Part of RPPR)</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3B21FC" w:rsidRPr="0004310F" w:rsidP="00291426" w14:paraId="5736BA7E" w14:textId="77777777">
            <w:pPr>
              <w:jc w:val="center"/>
            </w:pPr>
            <w:r>
              <w:t>5,088</w:t>
            </w:r>
          </w:p>
        </w:tc>
        <w:tc>
          <w:tcPr>
            <w:tcW w:w="0" w:type="auto"/>
            <w:tcBorders>
              <w:top w:val="single" w:sz="4" w:space="0" w:color="auto"/>
              <w:left w:val="nil"/>
              <w:bottom w:val="single" w:sz="8" w:space="0" w:color="auto"/>
              <w:right w:val="single" w:sz="8" w:space="0" w:color="auto"/>
            </w:tcBorders>
            <w:shd w:val="clear" w:color="auto" w:fill="auto"/>
            <w:vAlign w:val="center"/>
            <w:hideMark/>
          </w:tcPr>
          <w:p w:rsidR="003B21FC" w:rsidRPr="005216D6" w:rsidP="00291426" w14:paraId="699D4D4F" w14:textId="75B7ACC4">
            <w:pPr>
              <w:jc w:val="center"/>
            </w:pPr>
            <w:r w:rsidRPr="005216D6">
              <w:rPr>
                <w:color w:val="000000"/>
              </w:rPr>
              <w:t>$52.36</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3B21FC" w:rsidRPr="002F79F0" w:rsidP="00291426" w14:paraId="52ABD239" w14:textId="5B1629D5">
            <w:pPr>
              <w:jc w:val="center"/>
              <w:rPr>
                <w:rFonts w:ascii="Calibri" w:hAnsi="Calibri" w:cs="Calibri"/>
                <w:color w:val="000000"/>
              </w:rPr>
            </w:pPr>
            <w:r>
              <w:rPr>
                <w:rFonts w:ascii="Calibri" w:hAnsi="Calibri" w:cs="Calibri"/>
                <w:color w:val="000000"/>
              </w:rPr>
              <w:t>$266,407.68</w:t>
            </w:r>
          </w:p>
        </w:tc>
      </w:tr>
      <w:tr w14:paraId="17124070" w14:textId="77777777" w:rsidTr="00291426">
        <w:tblPrEx>
          <w:tblW w:w="0" w:type="auto"/>
          <w:jc w:val="center"/>
          <w:tblLook w:val="04A0"/>
        </w:tblPrEx>
        <w:trPr>
          <w:trHeight w:val="700"/>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B21FC" w:rsidRPr="0004310F" w:rsidP="00291426" w14:paraId="121826DC" w14:textId="77777777">
            <w:r w:rsidRPr="0004310F">
              <w:t>Data Tables</w:t>
            </w:r>
            <w:r>
              <w:t xml:space="preserve"> (Part of RPPR)</w:t>
            </w:r>
          </w:p>
        </w:tc>
        <w:tc>
          <w:tcPr>
            <w:tcW w:w="0" w:type="auto"/>
            <w:tcBorders>
              <w:top w:val="nil"/>
              <w:left w:val="nil"/>
              <w:bottom w:val="single" w:sz="8" w:space="0" w:color="auto"/>
              <w:right w:val="single" w:sz="8" w:space="0" w:color="auto"/>
            </w:tcBorders>
            <w:shd w:val="clear" w:color="auto" w:fill="auto"/>
            <w:vAlign w:val="center"/>
            <w:hideMark/>
          </w:tcPr>
          <w:p w:rsidR="003B21FC" w:rsidRPr="0004310F" w:rsidP="00291426" w14:paraId="43977966" w14:textId="77777777">
            <w:pPr>
              <w:jc w:val="center"/>
            </w:pPr>
            <w:r>
              <w:t>3,032</w:t>
            </w:r>
          </w:p>
        </w:tc>
        <w:tc>
          <w:tcPr>
            <w:tcW w:w="0" w:type="auto"/>
            <w:tcBorders>
              <w:top w:val="nil"/>
              <w:left w:val="nil"/>
              <w:bottom w:val="single" w:sz="8" w:space="0" w:color="auto"/>
              <w:right w:val="single" w:sz="8" w:space="0" w:color="auto"/>
            </w:tcBorders>
            <w:shd w:val="clear" w:color="auto" w:fill="auto"/>
            <w:vAlign w:val="center"/>
            <w:hideMark/>
          </w:tcPr>
          <w:p w:rsidR="003B21FC" w:rsidRPr="005216D6" w:rsidP="00291426" w14:paraId="25190FBA" w14:textId="1C20D54F">
            <w:pPr>
              <w:jc w:val="cente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hideMark/>
          </w:tcPr>
          <w:p w:rsidR="003B21FC" w:rsidP="00291426" w14:paraId="4D7D2BF6" w14:textId="77777777">
            <w:pPr>
              <w:jc w:val="center"/>
            </w:pPr>
          </w:p>
          <w:p w:rsidR="003B21FC" w:rsidRPr="009A0398" w:rsidP="00291426" w14:paraId="309674F9" w14:textId="42A1F639">
            <w:pPr>
              <w:jc w:val="center"/>
              <w:rPr>
                <w:rFonts w:ascii="Calibri" w:hAnsi="Calibri" w:cs="Calibri"/>
                <w:color w:val="000000"/>
              </w:rPr>
            </w:pPr>
            <w:r>
              <w:rPr>
                <w:rFonts w:ascii="Calibri" w:hAnsi="Calibri" w:cs="Calibri"/>
                <w:color w:val="000000"/>
              </w:rPr>
              <w:t>$158,755.52</w:t>
            </w:r>
          </w:p>
        </w:tc>
      </w:tr>
      <w:tr w14:paraId="5C8FE7AC" w14:textId="77777777" w:rsidTr="00291426">
        <w:tblPrEx>
          <w:tblW w:w="0" w:type="auto"/>
          <w:jc w:val="center"/>
          <w:tblLook w:val="04A0"/>
        </w:tblPrEx>
        <w:trPr>
          <w:trHeight w:val="780"/>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3B21FC" w:rsidRPr="0004310F" w:rsidP="00291426" w14:paraId="323EC335" w14:textId="77777777">
            <w:r w:rsidRPr="0004310F">
              <w:t xml:space="preserve"> Trainee Diversity Report</w:t>
            </w:r>
            <w:r>
              <w:t xml:space="preserve"> (Part of RPPR)</w:t>
            </w:r>
          </w:p>
        </w:tc>
        <w:tc>
          <w:tcPr>
            <w:tcW w:w="0" w:type="auto"/>
            <w:tcBorders>
              <w:top w:val="nil"/>
              <w:left w:val="nil"/>
              <w:bottom w:val="single" w:sz="8" w:space="0" w:color="auto"/>
              <w:right w:val="single" w:sz="8" w:space="0" w:color="auto"/>
            </w:tcBorders>
            <w:shd w:val="clear" w:color="auto" w:fill="auto"/>
            <w:vAlign w:val="center"/>
          </w:tcPr>
          <w:p w:rsidR="003B21FC" w:rsidRPr="0004310F" w:rsidP="00291426" w14:paraId="2CD39CC6" w14:textId="77777777">
            <w:pPr>
              <w:jc w:val="center"/>
            </w:pPr>
            <w:r>
              <w:t>120</w:t>
            </w:r>
          </w:p>
        </w:tc>
        <w:tc>
          <w:tcPr>
            <w:tcW w:w="0" w:type="auto"/>
            <w:tcBorders>
              <w:top w:val="nil"/>
              <w:left w:val="nil"/>
              <w:bottom w:val="single" w:sz="8" w:space="0" w:color="auto"/>
              <w:right w:val="single" w:sz="8" w:space="0" w:color="auto"/>
            </w:tcBorders>
            <w:shd w:val="clear" w:color="auto" w:fill="auto"/>
            <w:vAlign w:val="center"/>
          </w:tcPr>
          <w:p w:rsidR="003B21FC" w:rsidRPr="005216D6" w:rsidP="00291426" w14:paraId="4D322D92" w14:textId="59BD9E43">
            <w:pPr>
              <w:jc w:val="cente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tcPr>
          <w:p w:rsidR="003B21FC" w:rsidRPr="00120305" w:rsidP="00291426" w14:paraId="190B2B7C" w14:textId="75BBFDD2">
            <w:pPr>
              <w:jc w:val="center"/>
              <w:rPr>
                <w:rFonts w:ascii="Calibri" w:hAnsi="Calibri" w:cs="Calibri"/>
                <w:color w:val="000000"/>
              </w:rPr>
            </w:pPr>
            <w:r>
              <w:rPr>
                <w:rFonts w:ascii="Calibri" w:hAnsi="Calibri" w:cs="Calibri"/>
                <w:color w:val="000000"/>
              </w:rPr>
              <w:t>$6,283.20</w:t>
            </w:r>
          </w:p>
        </w:tc>
      </w:tr>
      <w:tr w14:paraId="3081F99D" w14:textId="77777777" w:rsidTr="00291426">
        <w:tblPrEx>
          <w:tblW w:w="0" w:type="auto"/>
          <w:jc w:val="center"/>
          <w:tblLook w:val="04A0"/>
        </w:tblPrEx>
        <w:trPr>
          <w:trHeight w:val="780"/>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3B21FC" w:rsidRPr="00274A4C" w:rsidP="00291426" w14:paraId="17B79118" w14:textId="77777777">
            <w:pPr>
              <w:rPr>
                <w:highlight w:val="yellow"/>
              </w:rPr>
            </w:pPr>
            <w:r w:rsidRPr="00135590">
              <w:t>PHS Human Subject</w:t>
            </w:r>
            <w:r>
              <w:t xml:space="preserve">s and Clinical Trial Information </w:t>
            </w:r>
            <w:r w:rsidRPr="004E1303">
              <w:t>(Part of RPPR</w:t>
            </w:r>
            <w:r>
              <w:t>, includes inclusion enrollment report</w:t>
            </w:r>
            <w:r w:rsidRPr="004E1303">
              <w:t>)</w:t>
            </w:r>
          </w:p>
        </w:tc>
        <w:tc>
          <w:tcPr>
            <w:tcW w:w="0" w:type="auto"/>
            <w:tcBorders>
              <w:top w:val="nil"/>
              <w:left w:val="nil"/>
              <w:bottom w:val="single" w:sz="8" w:space="0" w:color="auto"/>
              <w:right w:val="single" w:sz="8" w:space="0" w:color="auto"/>
            </w:tcBorders>
            <w:shd w:val="clear" w:color="auto" w:fill="auto"/>
            <w:vAlign w:val="center"/>
          </w:tcPr>
          <w:p w:rsidR="003B21FC" w:rsidRPr="00487C25" w:rsidP="00291426" w14:paraId="784616DD" w14:textId="77777777">
            <w:pPr>
              <w:jc w:val="center"/>
            </w:pPr>
            <w:r w:rsidRPr="00487C25">
              <w:t>25,680</w:t>
            </w:r>
          </w:p>
        </w:tc>
        <w:tc>
          <w:tcPr>
            <w:tcW w:w="0" w:type="auto"/>
            <w:tcBorders>
              <w:top w:val="nil"/>
              <w:left w:val="nil"/>
              <w:bottom w:val="single" w:sz="8" w:space="0" w:color="auto"/>
              <w:right w:val="single" w:sz="8" w:space="0" w:color="auto"/>
            </w:tcBorders>
            <w:shd w:val="clear" w:color="auto" w:fill="auto"/>
            <w:vAlign w:val="center"/>
          </w:tcPr>
          <w:p w:rsidR="003B21FC" w:rsidRPr="005216D6" w:rsidP="00291426" w14:paraId="33E811A0" w14:textId="309517EC">
            <w:pPr>
              <w:jc w:val="cente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tcPr>
          <w:p w:rsidR="003B21FC" w:rsidRPr="008D05CE" w:rsidP="00291426" w14:paraId="68F8EBFB" w14:textId="23AE00B2">
            <w:pPr>
              <w:jc w:val="center"/>
              <w:rPr>
                <w:rFonts w:ascii="Calibri" w:hAnsi="Calibri" w:cs="Calibri"/>
                <w:color w:val="000000"/>
              </w:rPr>
            </w:pPr>
            <w:r>
              <w:rPr>
                <w:rFonts w:ascii="Calibri" w:hAnsi="Calibri" w:cs="Calibri"/>
                <w:color w:val="000000"/>
              </w:rPr>
              <w:t>$1,344,604.80</w:t>
            </w:r>
          </w:p>
        </w:tc>
      </w:tr>
      <w:tr w14:paraId="728DA51E" w14:textId="77777777" w:rsidTr="00291426">
        <w:tblPrEx>
          <w:tblW w:w="0" w:type="auto"/>
          <w:jc w:val="center"/>
          <w:tblLook w:val="04A0"/>
        </w:tblPrEx>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B21FC" w:rsidRPr="00A651B7" w:rsidP="00291426" w14:paraId="0551D86D" w14:textId="77777777">
            <w:pPr>
              <w:rPr>
                <w:bCs/>
              </w:rPr>
            </w:pPr>
            <w:r>
              <w:rPr>
                <w:bCs/>
              </w:rPr>
              <w:t xml:space="preserve">Publication  Reporting </w:t>
            </w:r>
          </w:p>
        </w:tc>
        <w:tc>
          <w:tcPr>
            <w:tcW w:w="0" w:type="auto"/>
            <w:tcBorders>
              <w:top w:val="nil"/>
              <w:left w:val="nil"/>
              <w:bottom w:val="single" w:sz="8" w:space="0" w:color="auto"/>
              <w:right w:val="single" w:sz="8" w:space="0" w:color="auto"/>
            </w:tcBorders>
            <w:shd w:val="clear" w:color="auto" w:fill="auto"/>
            <w:vAlign w:val="center"/>
            <w:hideMark/>
          </w:tcPr>
          <w:p w:rsidR="003B21FC" w:rsidRPr="00A651B7" w:rsidP="00291426" w14:paraId="2FE87FA7" w14:textId="77777777">
            <w:pPr>
              <w:jc w:val="center"/>
              <w:rPr>
                <w:bCs/>
              </w:rPr>
            </w:pPr>
            <w:r>
              <w:rPr>
                <w:bCs/>
              </w:rPr>
              <w:t>24,256</w:t>
            </w:r>
          </w:p>
        </w:tc>
        <w:tc>
          <w:tcPr>
            <w:tcW w:w="0" w:type="auto"/>
            <w:tcBorders>
              <w:top w:val="nil"/>
              <w:left w:val="nil"/>
              <w:bottom w:val="single" w:sz="8" w:space="0" w:color="auto"/>
              <w:right w:val="single" w:sz="8" w:space="0" w:color="auto"/>
            </w:tcBorders>
            <w:shd w:val="clear" w:color="auto" w:fill="auto"/>
            <w:vAlign w:val="center"/>
            <w:hideMark/>
          </w:tcPr>
          <w:p w:rsidR="003B21FC" w:rsidRPr="005216D6" w:rsidP="00291426" w14:paraId="0575EA09" w14:textId="04004166">
            <w:pPr>
              <w:jc w:val="cente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hideMark/>
          </w:tcPr>
          <w:p w:rsidR="003B21FC" w:rsidRPr="00A400DB" w:rsidP="00291426" w14:paraId="17A00FDF" w14:textId="0B6BE2FD">
            <w:pPr>
              <w:jc w:val="center"/>
              <w:rPr>
                <w:rFonts w:ascii="Calibri" w:hAnsi="Calibri" w:cs="Calibri"/>
                <w:color w:val="000000"/>
              </w:rPr>
            </w:pPr>
            <w:r>
              <w:rPr>
                <w:rFonts w:ascii="Calibri" w:hAnsi="Calibri" w:cs="Calibri"/>
                <w:color w:val="000000"/>
              </w:rPr>
              <w:t>$1,270,044.16</w:t>
            </w:r>
          </w:p>
        </w:tc>
      </w:tr>
      <w:tr w14:paraId="19E1EB38" w14:textId="77777777" w:rsidTr="00291426">
        <w:tblPrEx>
          <w:tblW w:w="0" w:type="auto"/>
          <w:jc w:val="center"/>
          <w:tblLook w:val="04A0"/>
        </w:tblPrEx>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3B21FC" w:rsidRPr="006A66CA" w:rsidP="00291426" w14:paraId="3F045833" w14:textId="77777777">
            <w:pPr>
              <w:rPr>
                <w:bCs/>
                <w:highlight w:val="yellow"/>
              </w:rPr>
            </w:pPr>
            <w:r w:rsidRPr="006A66CA">
              <w:rPr>
                <w:bCs/>
                <w:highlight w:val="yellow"/>
              </w:rPr>
              <w:t>Final RPPR – core data</w:t>
            </w:r>
          </w:p>
        </w:tc>
        <w:tc>
          <w:tcPr>
            <w:tcW w:w="0" w:type="auto"/>
            <w:tcBorders>
              <w:top w:val="nil"/>
              <w:left w:val="nil"/>
              <w:bottom w:val="single" w:sz="8" w:space="0" w:color="auto"/>
              <w:right w:val="single" w:sz="8" w:space="0" w:color="auto"/>
            </w:tcBorders>
            <w:shd w:val="clear" w:color="auto" w:fill="auto"/>
            <w:vAlign w:val="center"/>
          </w:tcPr>
          <w:p w:rsidR="003B21FC" w:rsidRPr="006A66CA" w:rsidP="00291426" w14:paraId="24B87060" w14:textId="4807E504">
            <w:pPr>
              <w:jc w:val="center"/>
              <w:rPr>
                <w:bCs/>
                <w:highlight w:val="yellow"/>
              </w:rPr>
            </w:pPr>
            <w:r w:rsidRPr="006A66CA">
              <w:rPr>
                <w:bCs/>
                <w:highlight w:val="yellow"/>
              </w:rPr>
              <w:t>198,000</w:t>
            </w:r>
          </w:p>
        </w:tc>
        <w:tc>
          <w:tcPr>
            <w:tcW w:w="0" w:type="auto"/>
            <w:tcBorders>
              <w:top w:val="nil"/>
              <w:left w:val="nil"/>
              <w:bottom w:val="single" w:sz="8" w:space="0" w:color="auto"/>
              <w:right w:val="single" w:sz="8" w:space="0" w:color="auto"/>
            </w:tcBorders>
            <w:shd w:val="clear" w:color="auto" w:fill="auto"/>
            <w:vAlign w:val="center"/>
          </w:tcPr>
          <w:p w:rsidR="003B21FC" w:rsidRPr="006A66CA" w:rsidP="00291426" w14:paraId="52BBD02A" w14:textId="6C8B031B">
            <w:pPr>
              <w:jc w:val="center"/>
              <w:rPr>
                <w:highlight w:val="yellow"/>
              </w:rPr>
            </w:pPr>
            <w:r w:rsidRPr="00B53BA3">
              <w:rPr>
                <w:color w:val="000000"/>
                <w:highlight w:val="yellow"/>
              </w:rPr>
              <w:t>$52.36</w:t>
            </w:r>
          </w:p>
        </w:tc>
        <w:tc>
          <w:tcPr>
            <w:tcW w:w="0" w:type="auto"/>
            <w:tcBorders>
              <w:top w:val="nil"/>
              <w:left w:val="nil"/>
              <w:bottom w:val="single" w:sz="8" w:space="0" w:color="auto"/>
              <w:right w:val="single" w:sz="8" w:space="0" w:color="auto"/>
            </w:tcBorders>
            <w:shd w:val="clear" w:color="auto" w:fill="auto"/>
            <w:noWrap/>
            <w:vAlign w:val="center"/>
          </w:tcPr>
          <w:p w:rsidR="003B21FC" w:rsidRPr="00FF75B4" w:rsidP="00291426" w14:paraId="0A2DCB6E" w14:textId="7C5C9968">
            <w:pPr>
              <w:jc w:val="center"/>
              <w:rPr>
                <w:rFonts w:ascii="Calibri" w:hAnsi="Calibri" w:cs="Calibri"/>
                <w:color w:val="000000"/>
              </w:rPr>
            </w:pPr>
            <w:r w:rsidRPr="00FF75B4">
              <w:rPr>
                <w:rFonts w:ascii="Calibri" w:hAnsi="Calibri" w:cs="Calibri"/>
                <w:color w:val="000000"/>
                <w:highlight w:val="yellow"/>
              </w:rPr>
              <w:t>$10,367,280.00</w:t>
            </w:r>
          </w:p>
        </w:tc>
      </w:tr>
      <w:tr w14:paraId="38520A8B" w14:textId="77777777" w:rsidTr="00291426">
        <w:tblPrEx>
          <w:tblW w:w="0" w:type="auto"/>
          <w:jc w:val="center"/>
          <w:tblLook w:val="04A0"/>
        </w:tblPrEx>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3B21FC" w:rsidP="00291426" w14:paraId="0B0975ED" w14:textId="77777777">
            <w:pPr>
              <w:rPr>
                <w:bCs/>
              </w:rPr>
            </w:pPr>
            <w:r w:rsidRPr="0004310F">
              <w:t>Data Tables</w:t>
            </w:r>
            <w:r>
              <w:t xml:space="preserve"> (Part of Final RPPR)</w:t>
            </w:r>
          </w:p>
        </w:tc>
        <w:tc>
          <w:tcPr>
            <w:tcW w:w="0" w:type="auto"/>
            <w:tcBorders>
              <w:top w:val="nil"/>
              <w:left w:val="nil"/>
              <w:bottom w:val="single" w:sz="8" w:space="0" w:color="auto"/>
              <w:right w:val="single" w:sz="8" w:space="0" w:color="auto"/>
            </w:tcBorders>
            <w:shd w:val="clear" w:color="auto" w:fill="auto"/>
            <w:vAlign w:val="center"/>
          </w:tcPr>
          <w:p w:rsidR="003B21FC" w:rsidP="00291426" w14:paraId="04FDA984" w14:textId="77777777">
            <w:pPr>
              <w:jc w:val="center"/>
              <w:rPr>
                <w:bCs/>
              </w:rPr>
            </w:pPr>
            <w:r>
              <w:rPr>
                <w:bCs/>
              </w:rPr>
              <w:t>3,032</w:t>
            </w:r>
          </w:p>
        </w:tc>
        <w:tc>
          <w:tcPr>
            <w:tcW w:w="0" w:type="auto"/>
            <w:tcBorders>
              <w:top w:val="nil"/>
              <w:left w:val="nil"/>
              <w:bottom w:val="single" w:sz="8" w:space="0" w:color="auto"/>
              <w:right w:val="single" w:sz="8" w:space="0" w:color="auto"/>
            </w:tcBorders>
            <w:shd w:val="clear" w:color="auto" w:fill="auto"/>
            <w:vAlign w:val="center"/>
          </w:tcPr>
          <w:p w:rsidR="003B21FC" w:rsidRPr="005216D6" w:rsidP="00291426" w14:paraId="125CEB12" w14:textId="0C2A00E2">
            <w:pPr>
              <w:jc w:val="cente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tcPr>
          <w:p w:rsidR="003B21FC" w:rsidRPr="005216D6" w:rsidP="00291426" w14:paraId="1592B5B8" w14:textId="39B3B469">
            <w:pPr>
              <w:jc w:val="center"/>
              <w:rPr>
                <w:rFonts w:ascii="Calibri" w:hAnsi="Calibri" w:cs="Calibri"/>
                <w:color w:val="000000"/>
              </w:rPr>
            </w:pPr>
            <w:r w:rsidRPr="005216D6">
              <w:rPr>
                <w:rFonts w:ascii="Calibri" w:hAnsi="Calibri" w:cs="Calibri"/>
                <w:color w:val="000000"/>
              </w:rPr>
              <w:t>$158,755.52</w:t>
            </w:r>
          </w:p>
        </w:tc>
      </w:tr>
      <w:tr w14:paraId="3396310C" w14:textId="77777777" w:rsidTr="00291426">
        <w:tblPrEx>
          <w:tblW w:w="0" w:type="auto"/>
          <w:jc w:val="center"/>
          <w:tblLook w:val="04A0"/>
        </w:tblPrEx>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3B21FC" w:rsidP="00291426" w14:paraId="3E6B40E6" w14:textId="77777777">
            <w:pPr>
              <w:rPr>
                <w:bCs/>
              </w:rPr>
            </w:pPr>
            <w:r w:rsidRPr="0004310F">
              <w:t>Trainee Diversity Report</w:t>
            </w:r>
            <w:r>
              <w:t xml:space="preserve"> (Part of Final RPPR)</w:t>
            </w:r>
          </w:p>
        </w:tc>
        <w:tc>
          <w:tcPr>
            <w:tcW w:w="0" w:type="auto"/>
            <w:tcBorders>
              <w:top w:val="nil"/>
              <w:left w:val="nil"/>
              <w:bottom w:val="single" w:sz="8" w:space="0" w:color="auto"/>
              <w:right w:val="single" w:sz="8" w:space="0" w:color="auto"/>
            </w:tcBorders>
            <w:shd w:val="clear" w:color="auto" w:fill="auto"/>
            <w:vAlign w:val="center"/>
          </w:tcPr>
          <w:p w:rsidR="003B21FC" w:rsidP="00291426" w14:paraId="33A59F8E" w14:textId="77777777">
            <w:pPr>
              <w:jc w:val="center"/>
              <w:rPr>
                <w:bCs/>
              </w:rPr>
            </w:pPr>
            <w:r>
              <w:rPr>
                <w:bCs/>
              </w:rPr>
              <w:t>120</w:t>
            </w:r>
          </w:p>
        </w:tc>
        <w:tc>
          <w:tcPr>
            <w:tcW w:w="0" w:type="auto"/>
            <w:tcBorders>
              <w:top w:val="nil"/>
              <w:left w:val="nil"/>
              <w:bottom w:val="single" w:sz="8" w:space="0" w:color="auto"/>
              <w:right w:val="single" w:sz="8" w:space="0" w:color="auto"/>
            </w:tcBorders>
            <w:shd w:val="clear" w:color="auto" w:fill="auto"/>
            <w:vAlign w:val="center"/>
          </w:tcPr>
          <w:p w:rsidR="003B21FC" w:rsidRPr="005216D6" w:rsidP="00291426" w14:paraId="73E6E8EB" w14:textId="72825876">
            <w:pPr>
              <w:jc w:val="cente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tcPr>
          <w:p w:rsidR="003B21FC" w:rsidRPr="005216D6" w:rsidP="00291426" w14:paraId="7C827382" w14:textId="671FC806">
            <w:pPr>
              <w:jc w:val="center"/>
              <w:rPr>
                <w:rFonts w:ascii="Calibri" w:hAnsi="Calibri" w:cs="Calibri"/>
                <w:color w:val="000000"/>
              </w:rPr>
            </w:pPr>
            <w:r w:rsidRPr="005216D6">
              <w:rPr>
                <w:rFonts w:ascii="Calibri" w:hAnsi="Calibri" w:cs="Calibri"/>
                <w:color w:val="000000"/>
              </w:rPr>
              <w:t>$6,283.20</w:t>
            </w:r>
          </w:p>
        </w:tc>
      </w:tr>
      <w:tr w14:paraId="76F871EA" w14:textId="77777777" w:rsidTr="00291426">
        <w:tblPrEx>
          <w:tblW w:w="0" w:type="auto"/>
          <w:jc w:val="center"/>
          <w:tblLook w:val="04A0"/>
        </w:tblPrEx>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3B21FC" w:rsidP="00291426" w14:paraId="23E465B7" w14:textId="77777777">
            <w:pPr>
              <w:rPr>
                <w:bCs/>
              </w:rPr>
            </w:pPr>
            <w:r w:rsidRPr="00135590">
              <w:t>PHS Human Subjects and Clinical Trial Information (</w:t>
            </w:r>
            <w:r>
              <w:t xml:space="preserve">Part of Final RPPR, </w:t>
            </w:r>
            <w:r w:rsidRPr="00135590">
              <w:t>includes inclusion/enrollment)</w:t>
            </w:r>
          </w:p>
        </w:tc>
        <w:tc>
          <w:tcPr>
            <w:tcW w:w="0" w:type="auto"/>
            <w:tcBorders>
              <w:top w:val="nil"/>
              <w:left w:val="nil"/>
              <w:bottom w:val="single" w:sz="8" w:space="0" w:color="auto"/>
              <w:right w:val="single" w:sz="8" w:space="0" w:color="auto"/>
            </w:tcBorders>
            <w:shd w:val="clear" w:color="auto" w:fill="auto"/>
            <w:vAlign w:val="center"/>
          </w:tcPr>
          <w:p w:rsidR="003B21FC" w:rsidP="00291426" w14:paraId="0C1ED47B" w14:textId="77777777">
            <w:pPr>
              <w:jc w:val="center"/>
              <w:rPr>
                <w:bCs/>
              </w:rPr>
            </w:pPr>
            <w:r>
              <w:rPr>
                <w:bCs/>
              </w:rPr>
              <w:t>14,400</w:t>
            </w:r>
          </w:p>
        </w:tc>
        <w:tc>
          <w:tcPr>
            <w:tcW w:w="0" w:type="auto"/>
            <w:tcBorders>
              <w:top w:val="nil"/>
              <w:left w:val="nil"/>
              <w:bottom w:val="single" w:sz="8" w:space="0" w:color="auto"/>
              <w:right w:val="single" w:sz="8" w:space="0" w:color="auto"/>
            </w:tcBorders>
            <w:shd w:val="clear" w:color="auto" w:fill="auto"/>
            <w:vAlign w:val="center"/>
          </w:tcPr>
          <w:p w:rsidR="003B21FC" w:rsidRPr="005216D6" w:rsidP="00291426" w14:paraId="15CA329A" w14:textId="4E5E90A2">
            <w:pPr>
              <w:jc w:val="cente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tcPr>
          <w:p w:rsidR="003B21FC" w:rsidRPr="005216D6" w:rsidP="00291426" w14:paraId="0903EF1A" w14:textId="6862E7B9">
            <w:pPr>
              <w:jc w:val="center"/>
              <w:rPr>
                <w:rFonts w:ascii="Calibri" w:hAnsi="Calibri" w:cs="Calibri"/>
                <w:color w:val="000000"/>
              </w:rPr>
            </w:pPr>
            <w:r w:rsidRPr="005216D6">
              <w:rPr>
                <w:rFonts w:ascii="Calibri" w:hAnsi="Calibri" w:cs="Calibri"/>
                <w:color w:val="000000"/>
              </w:rPr>
              <w:t>$753,984.00</w:t>
            </w:r>
          </w:p>
        </w:tc>
      </w:tr>
      <w:tr w14:paraId="5D8EB769" w14:textId="77777777" w:rsidTr="00291426">
        <w:tblPrEx>
          <w:tblW w:w="0" w:type="auto"/>
          <w:jc w:val="center"/>
          <w:tblLook w:val="04A0"/>
        </w:tblPrEx>
        <w:trPr>
          <w:trHeight w:val="31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B21FC" w:rsidRPr="00EC7463" w:rsidP="00291426" w14:paraId="34370410" w14:textId="77777777">
            <w:pPr>
              <w:rPr>
                <w:color w:val="000000"/>
              </w:rPr>
            </w:pPr>
            <w:r w:rsidRPr="00EC7463">
              <w:rPr>
                <w:color w:val="000000"/>
              </w:rPr>
              <w:t>PHS 3734</w:t>
            </w:r>
          </w:p>
        </w:tc>
        <w:tc>
          <w:tcPr>
            <w:tcW w:w="0" w:type="auto"/>
            <w:tcBorders>
              <w:top w:val="nil"/>
              <w:left w:val="nil"/>
              <w:bottom w:val="single" w:sz="8" w:space="0" w:color="auto"/>
              <w:right w:val="single" w:sz="8" w:space="0" w:color="auto"/>
            </w:tcBorders>
            <w:shd w:val="clear" w:color="auto" w:fill="auto"/>
            <w:noWrap/>
            <w:vAlign w:val="center"/>
            <w:hideMark/>
          </w:tcPr>
          <w:p w:rsidR="003B21FC" w:rsidRPr="00EC7463" w:rsidP="00291426" w14:paraId="3DA39C93" w14:textId="77777777">
            <w:pPr>
              <w:jc w:val="center"/>
              <w:rPr>
                <w:color w:val="000000"/>
              </w:rPr>
            </w:pPr>
            <w:r w:rsidRPr="00EC7463">
              <w:rPr>
                <w:color w:val="000000"/>
              </w:rPr>
              <w:t>240</w:t>
            </w:r>
          </w:p>
        </w:tc>
        <w:tc>
          <w:tcPr>
            <w:tcW w:w="0" w:type="auto"/>
            <w:tcBorders>
              <w:top w:val="nil"/>
              <w:left w:val="nil"/>
              <w:bottom w:val="single" w:sz="8" w:space="0" w:color="auto"/>
              <w:right w:val="single" w:sz="8" w:space="0" w:color="auto"/>
            </w:tcBorders>
            <w:shd w:val="clear" w:color="auto" w:fill="auto"/>
            <w:vAlign w:val="center"/>
            <w:hideMark/>
          </w:tcPr>
          <w:p w:rsidR="003B21FC" w:rsidRPr="005216D6" w:rsidP="00291426" w14:paraId="48BA872C" w14:textId="43ED1CB9">
            <w:pPr>
              <w:jc w:val="center"/>
              <w:rPr>
                <w:color w:val="000000"/>
              </w:rP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hideMark/>
          </w:tcPr>
          <w:p w:rsidR="003B21FC" w:rsidRPr="005216D6" w:rsidP="00291426" w14:paraId="36E07FAC" w14:textId="0FE663AC">
            <w:pPr>
              <w:jc w:val="center"/>
              <w:rPr>
                <w:rFonts w:ascii="Calibri" w:hAnsi="Calibri" w:cs="Calibri"/>
                <w:color w:val="000000"/>
              </w:rPr>
            </w:pPr>
            <w:r w:rsidRPr="005216D6">
              <w:rPr>
                <w:rFonts w:ascii="Calibri" w:hAnsi="Calibri" w:cs="Calibri"/>
                <w:color w:val="000000"/>
              </w:rPr>
              <w:t>$12,566.40</w:t>
            </w:r>
            <w:r w:rsidRPr="005216D6" w:rsidR="00FF75B4">
              <w:rPr>
                <w:color w:val="000000"/>
              </w:rPr>
              <w:t xml:space="preserve"> </w:t>
            </w:r>
          </w:p>
        </w:tc>
      </w:tr>
      <w:tr w14:paraId="2FDE2EB9" w14:textId="77777777" w:rsidTr="00291426">
        <w:tblPrEx>
          <w:tblW w:w="0" w:type="auto"/>
          <w:jc w:val="center"/>
          <w:tblLook w:val="04A0"/>
        </w:tblPrEx>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3B21FC" w:rsidRPr="00EC7463" w:rsidP="00291426" w14:paraId="471F0D63" w14:textId="77777777">
            <w:pPr>
              <w:rPr>
                <w:color w:val="000000"/>
              </w:rPr>
            </w:pPr>
            <w:r w:rsidRPr="00EC7463">
              <w:rPr>
                <w:color w:val="000000"/>
              </w:rPr>
              <w:t>Data Management and Sharing Plan (Part of RPPR)</w:t>
            </w:r>
          </w:p>
        </w:tc>
        <w:tc>
          <w:tcPr>
            <w:tcW w:w="0" w:type="auto"/>
            <w:tcBorders>
              <w:top w:val="nil"/>
              <w:left w:val="nil"/>
              <w:bottom w:val="single" w:sz="8" w:space="0" w:color="auto"/>
              <w:right w:val="single" w:sz="8" w:space="0" w:color="auto"/>
            </w:tcBorders>
            <w:shd w:val="clear" w:color="auto" w:fill="auto"/>
            <w:vAlign w:val="center"/>
          </w:tcPr>
          <w:p w:rsidR="003B21FC" w:rsidRPr="00EC7463" w:rsidP="00291426" w14:paraId="0D516B6E" w14:textId="77777777">
            <w:pPr>
              <w:jc w:val="center"/>
              <w:rPr>
                <w:color w:val="000000"/>
              </w:rPr>
            </w:pPr>
            <w:r w:rsidRPr="00EC7463">
              <w:t>31,298</w:t>
            </w:r>
          </w:p>
        </w:tc>
        <w:tc>
          <w:tcPr>
            <w:tcW w:w="0" w:type="auto"/>
            <w:tcBorders>
              <w:top w:val="nil"/>
              <w:left w:val="nil"/>
              <w:bottom w:val="single" w:sz="8" w:space="0" w:color="auto"/>
              <w:right w:val="single" w:sz="8" w:space="0" w:color="auto"/>
            </w:tcBorders>
            <w:shd w:val="clear" w:color="auto" w:fill="auto"/>
            <w:vAlign w:val="center"/>
          </w:tcPr>
          <w:p w:rsidR="003B21FC" w:rsidRPr="005216D6" w:rsidP="00291426" w14:paraId="079313FC" w14:textId="4366F8B3">
            <w:pPr>
              <w:jc w:val="center"/>
              <w:rPr>
                <w:color w:val="000000"/>
              </w:rP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tcPr>
          <w:p w:rsidR="003B21FC" w:rsidRPr="005216D6" w:rsidP="00291426" w14:paraId="307266CA" w14:textId="19B2AE59">
            <w:pPr>
              <w:jc w:val="center"/>
              <w:rPr>
                <w:rFonts w:ascii="Calibri" w:hAnsi="Calibri" w:cs="Calibri"/>
                <w:color w:val="000000"/>
              </w:rPr>
            </w:pPr>
            <w:r w:rsidRPr="005216D6">
              <w:rPr>
                <w:rFonts w:ascii="Calibri" w:hAnsi="Calibri" w:cs="Calibri"/>
                <w:color w:val="000000"/>
              </w:rPr>
              <w:t>$1,638,763.28</w:t>
            </w:r>
            <w:r w:rsidRPr="005216D6" w:rsidR="00FF75B4">
              <w:rPr>
                <w:color w:val="000000"/>
              </w:rPr>
              <w:t xml:space="preserve"> </w:t>
            </w:r>
          </w:p>
        </w:tc>
      </w:tr>
      <w:tr w14:paraId="234352CC" w14:textId="77777777" w:rsidTr="00291426">
        <w:tblPrEx>
          <w:tblW w:w="0" w:type="auto"/>
          <w:jc w:val="center"/>
          <w:tblLook w:val="04A0"/>
        </w:tblPrEx>
        <w:trPr>
          <w:trHeight w:val="525"/>
          <w:jc w:val="center"/>
        </w:trPr>
        <w:tc>
          <w:tcPr>
            <w:tcW w:w="0" w:type="auto"/>
            <w:tcBorders>
              <w:top w:val="nil"/>
              <w:left w:val="single" w:sz="8" w:space="0" w:color="auto"/>
              <w:bottom w:val="single" w:sz="8" w:space="0" w:color="auto"/>
              <w:right w:val="single" w:sz="8" w:space="0" w:color="auto"/>
            </w:tcBorders>
            <w:shd w:val="clear" w:color="auto" w:fill="auto"/>
            <w:vAlign w:val="center"/>
          </w:tcPr>
          <w:p w:rsidR="003B21FC" w:rsidRPr="00EC7463" w:rsidP="00291426" w14:paraId="79B332CA" w14:textId="77777777">
            <w:pPr>
              <w:rPr>
                <w:color w:val="000000"/>
              </w:rPr>
            </w:pPr>
            <w:r w:rsidRPr="00EC7463">
              <w:rPr>
                <w:color w:val="000000"/>
              </w:rPr>
              <w:t>Data Management and Sharing Plan (Part of Final RPPR)</w:t>
            </w:r>
          </w:p>
        </w:tc>
        <w:tc>
          <w:tcPr>
            <w:tcW w:w="0" w:type="auto"/>
            <w:tcBorders>
              <w:top w:val="nil"/>
              <w:left w:val="nil"/>
              <w:bottom w:val="single" w:sz="8" w:space="0" w:color="auto"/>
              <w:right w:val="single" w:sz="8" w:space="0" w:color="auto"/>
            </w:tcBorders>
            <w:shd w:val="clear" w:color="auto" w:fill="auto"/>
            <w:vAlign w:val="center"/>
          </w:tcPr>
          <w:p w:rsidR="003B21FC" w:rsidRPr="00EC7463" w:rsidP="00291426" w14:paraId="6AB06970" w14:textId="77777777">
            <w:pPr>
              <w:jc w:val="center"/>
              <w:rPr>
                <w:color w:val="000000"/>
              </w:rPr>
            </w:pPr>
            <w:r w:rsidRPr="00EC7463">
              <w:t>17,242</w:t>
            </w:r>
          </w:p>
        </w:tc>
        <w:tc>
          <w:tcPr>
            <w:tcW w:w="0" w:type="auto"/>
            <w:tcBorders>
              <w:top w:val="nil"/>
              <w:left w:val="nil"/>
              <w:bottom w:val="single" w:sz="8" w:space="0" w:color="auto"/>
              <w:right w:val="single" w:sz="8" w:space="0" w:color="auto"/>
            </w:tcBorders>
            <w:shd w:val="clear" w:color="auto" w:fill="auto"/>
            <w:vAlign w:val="center"/>
          </w:tcPr>
          <w:p w:rsidR="003B21FC" w:rsidRPr="005216D6" w:rsidP="00291426" w14:paraId="0CC9E9D9" w14:textId="530AE199">
            <w:pPr>
              <w:jc w:val="center"/>
              <w:rPr>
                <w:color w:val="000000"/>
              </w:rPr>
            </w:pPr>
            <w:r w:rsidRPr="005216D6">
              <w:rPr>
                <w:color w:val="000000"/>
              </w:rPr>
              <w:t>$52.36</w:t>
            </w:r>
          </w:p>
        </w:tc>
        <w:tc>
          <w:tcPr>
            <w:tcW w:w="0" w:type="auto"/>
            <w:tcBorders>
              <w:top w:val="nil"/>
              <w:left w:val="nil"/>
              <w:bottom w:val="single" w:sz="8" w:space="0" w:color="auto"/>
              <w:right w:val="single" w:sz="8" w:space="0" w:color="auto"/>
            </w:tcBorders>
            <w:shd w:val="clear" w:color="auto" w:fill="auto"/>
            <w:noWrap/>
            <w:vAlign w:val="center"/>
          </w:tcPr>
          <w:p w:rsidR="003B21FC" w:rsidRPr="005216D6" w:rsidP="00291426" w14:paraId="391CDC7C" w14:textId="34688666">
            <w:pPr>
              <w:jc w:val="center"/>
              <w:rPr>
                <w:rFonts w:ascii="Calibri" w:hAnsi="Calibri" w:cs="Calibri"/>
                <w:color w:val="000000"/>
              </w:rPr>
            </w:pPr>
            <w:r w:rsidRPr="005216D6">
              <w:rPr>
                <w:rFonts w:ascii="Calibri" w:hAnsi="Calibri" w:cs="Calibri"/>
                <w:color w:val="000000"/>
              </w:rPr>
              <w:t>$902,791.12</w:t>
            </w:r>
            <w:r w:rsidRPr="005216D6" w:rsidR="00FF75B4">
              <w:rPr>
                <w:color w:val="000000"/>
              </w:rPr>
              <w:t xml:space="preserve"> </w:t>
            </w:r>
          </w:p>
        </w:tc>
      </w:tr>
      <w:tr w14:paraId="4E668422" w14:textId="77777777" w:rsidTr="00291426">
        <w:tblPrEx>
          <w:tblW w:w="0" w:type="auto"/>
          <w:jc w:val="center"/>
          <w:tblLook w:val="04A0"/>
        </w:tblPrEx>
        <w:trPr>
          <w:trHeight w:val="525"/>
          <w:jc w:val="center"/>
        </w:trPr>
        <w:tc>
          <w:tcPr>
            <w:tcW w:w="0" w:type="auto"/>
            <w:gridSpan w:val="3"/>
            <w:tcBorders>
              <w:top w:val="nil"/>
              <w:left w:val="single" w:sz="8" w:space="0" w:color="auto"/>
              <w:bottom w:val="single" w:sz="8" w:space="0" w:color="auto"/>
              <w:right w:val="single" w:sz="8" w:space="0" w:color="auto"/>
            </w:tcBorders>
            <w:shd w:val="clear" w:color="auto" w:fill="auto"/>
            <w:vAlign w:val="center"/>
          </w:tcPr>
          <w:p w:rsidR="003B21FC" w:rsidRPr="00211E23" w:rsidP="00291426" w14:paraId="68CC161A" w14:textId="77777777">
            <w:pPr>
              <w:rPr>
                <w:color w:val="000000"/>
                <w:highlight w:val="yellow"/>
              </w:rPr>
            </w:pPr>
            <w:r w:rsidRPr="00211E23">
              <w:rPr>
                <w:b/>
                <w:color w:val="000000"/>
                <w:highlight w:val="yellow"/>
              </w:rPr>
              <w:t>Total Reporting Cost Burden</w:t>
            </w:r>
          </w:p>
        </w:tc>
        <w:tc>
          <w:tcPr>
            <w:tcW w:w="0" w:type="auto"/>
            <w:tcBorders>
              <w:top w:val="nil"/>
              <w:left w:val="nil"/>
              <w:bottom w:val="single" w:sz="8" w:space="0" w:color="auto"/>
              <w:right w:val="single" w:sz="8" w:space="0" w:color="auto"/>
            </w:tcBorders>
            <w:shd w:val="clear" w:color="auto" w:fill="auto"/>
            <w:noWrap/>
            <w:vAlign w:val="center"/>
          </w:tcPr>
          <w:p w:rsidR="003B21FC" w:rsidRPr="00C82C4F" w:rsidP="00291426" w14:paraId="7878D3E9" w14:textId="24F85D90">
            <w:pPr>
              <w:jc w:val="center"/>
              <w:rPr>
                <w:rFonts w:ascii="Calibri" w:hAnsi="Calibri" w:cs="Calibri"/>
                <w:b/>
                <w:color w:val="000000"/>
              </w:rPr>
            </w:pPr>
            <w:r w:rsidRPr="00F51F3C">
              <w:rPr>
                <w:rFonts w:ascii="Calibri" w:hAnsi="Calibri" w:cs="Calibri"/>
                <w:b/>
                <w:bCs/>
                <w:color w:val="000000"/>
                <w:highlight w:val="yellow"/>
              </w:rPr>
              <w:t>$32,939,047.68</w:t>
            </w:r>
          </w:p>
        </w:tc>
      </w:tr>
      <w:tr w14:paraId="3ED08305" w14:textId="77777777" w:rsidTr="00291426">
        <w:tblPrEx>
          <w:tblW w:w="0" w:type="auto"/>
          <w:jc w:val="center"/>
          <w:tblLook w:val="04A0"/>
        </w:tblPrEx>
        <w:trPr>
          <w:trHeight w:val="52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3B21FC" w:rsidRPr="00EC7463" w:rsidP="00291426" w14:paraId="4DE7FB2C" w14:textId="77777777">
            <w:pPr>
              <w:rPr>
                <w:color w:val="000000"/>
              </w:rPr>
            </w:pPr>
            <w:r w:rsidRPr="00EC7463">
              <w:rPr>
                <w:color w:val="000000"/>
              </w:rPr>
              <w:t>SBIR/STTR Life Cycle Certification</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B21FC" w:rsidRPr="00EC7463" w:rsidP="00291426" w14:paraId="579B9343" w14:textId="77777777">
            <w:pPr>
              <w:jc w:val="center"/>
              <w:rPr>
                <w:color w:val="000000"/>
              </w:rPr>
            </w:pPr>
            <w:r w:rsidRPr="00EC7463">
              <w:rPr>
                <w:color w:val="000000"/>
              </w:rPr>
              <w:t>375</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3B21FC" w:rsidRPr="00EC7463" w:rsidP="00291426" w14:paraId="066D47BC" w14:textId="632B1F70">
            <w:pPr>
              <w:jc w:val="center"/>
              <w:rPr>
                <w:color w:val="000000"/>
              </w:rPr>
            </w:pPr>
            <w:r w:rsidRPr="00C671F4">
              <w:rPr>
                <w:color w:val="000000"/>
              </w:rPr>
              <w:t>$52.36</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3B21FC" w:rsidRPr="00891BA7" w:rsidP="00291426" w14:paraId="2965BB55" w14:textId="73F114FC">
            <w:pPr>
              <w:jc w:val="center"/>
              <w:rPr>
                <w:rFonts w:ascii="Calibri" w:hAnsi="Calibri" w:cs="Calibri"/>
                <w:color w:val="000000"/>
              </w:rPr>
            </w:pPr>
            <w:r>
              <w:rPr>
                <w:rFonts w:ascii="Calibri" w:hAnsi="Calibri" w:cs="Calibri"/>
                <w:color w:val="000000"/>
              </w:rPr>
              <w:t>$19,635.00</w:t>
            </w:r>
          </w:p>
        </w:tc>
      </w:tr>
      <w:tr w14:paraId="58A450E5" w14:textId="77777777" w:rsidTr="00291426">
        <w:tblPrEx>
          <w:tblW w:w="0" w:type="auto"/>
          <w:jc w:val="center"/>
          <w:tblLook w:val="04A0"/>
        </w:tblPrEx>
        <w:trPr>
          <w:trHeight w:val="525"/>
          <w:jc w:val="center"/>
        </w:trPr>
        <w:tc>
          <w:tcPr>
            <w:tcW w:w="0" w:type="auto"/>
            <w:gridSpan w:val="3"/>
            <w:tcBorders>
              <w:top w:val="single" w:sz="8" w:space="0" w:color="auto"/>
              <w:left w:val="single" w:sz="8" w:space="0" w:color="auto"/>
              <w:bottom w:val="single" w:sz="8" w:space="0" w:color="auto"/>
              <w:right w:val="single" w:sz="8" w:space="0" w:color="auto"/>
            </w:tcBorders>
            <w:shd w:val="clear" w:color="auto" w:fill="auto"/>
            <w:vAlign w:val="center"/>
          </w:tcPr>
          <w:p w:rsidR="003B21FC" w:rsidRPr="00211E23" w:rsidP="00291426" w14:paraId="603F3A2B" w14:textId="77777777">
            <w:pPr>
              <w:rPr>
                <w:color w:val="000000"/>
                <w:highlight w:val="yellow"/>
              </w:rPr>
            </w:pPr>
            <w:r w:rsidRPr="00211E23">
              <w:rPr>
                <w:b/>
                <w:highlight w:val="yellow"/>
              </w:rPr>
              <w:t>Grand Total</w:t>
            </w:r>
          </w:p>
        </w:tc>
        <w:tc>
          <w:tcPr>
            <w:tcW w:w="0" w:type="auto"/>
            <w:tcBorders>
              <w:top w:val="single" w:sz="8" w:space="0" w:color="auto"/>
              <w:left w:val="nil"/>
              <w:bottom w:val="single" w:sz="8" w:space="0" w:color="auto"/>
              <w:right w:val="single" w:sz="8" w:space="0" w:color="auto"/>
            </w:tcBorders>
            <w:shd w:val="clear" w:color="auto" w:fill="auto"/>
            <w:noWrap/>
            <w:vAlign w:val="center"/>
          </w:tcPr>
          <w:p w:rsidR="003B21FC" w:rsidRPr="00F24E9A" w:rsidP="00291426" w14:paraId="74A77E47" w14:textId="4BFC8520">
            <w:pPr>
              <w:jc w:val="center"/>
              <w:rPr>
                <w:rFonts w:ascii="Calibri" w:hAnsi="Calibri" w:cs="Calibri"/>
                <w:b/>
                <w:color w:val="000000"/>
              </w:rPr>
            </w:pPr>
            <w:r w:rsidRPr="00C671F4">
              <w:rPr>
                <w:rFonts w:ascii="Calibri" w:hAnsi="Calibri" w:cs="Calibri"/>
                <w:b/>
                <w:bCs/>
                <w:color w:val="000000"/>
                <w:highlight w:val="yellow"/>
              </w:rPr>
              <w:t>$32,958,682.68</w:t>
            </w:r>
          </w:p>
        </w:tc>
      </w:tr>
    </w:tbl>
    <w:p w:rsidR="003B21FC" w:rsidRPr="004B382D" w:rsidP="004B382D" w14:paraId="7B802A95" w14:textId="5CBCAF3B">
      <w:pPr>
        <w:rPr>
          <w:sz w:val="16"/>
          <w:szCs w:val="16"/>
        </w:rPr>
      </w:pPr>
      <w:r w:rsidRPr="004B382D">
        <w:rPr>
          <w:sz w:val="16"/>
          <w:szCs w:val="16"/>
        </w:rPr>
        <w:t xml:space="preserve">*Bureau of Labor Statistics: The rate was obtained from the civilian education and health services occupational group: </w:t>
      </w:r>
      <w:hyperlink r:id="rId10" w:history="1">
        <w:r w:rsidRPr="00BA117B" w:rsidR="00D0563C">
          <w:rPr>
            <w:rStyle w:val="Hyperlink"/>
            <w:rFonts w:ascii="Times New Roman" w:eastAsia="Times New Roman" w:hAnsi="Times New Roman" w:cs="Times New Roman"/>
            <w:sz w:val="16"/>
            <w:szCs w:val="16"/>
          </w:rPr>
          <w:t>https://www.bls.gov/news.release/ecec.t02.htm</w:t>
        </w:r>
      </w:hyperlink>
    </w:p>
    <w:p w:rsidR="00B93C77" w:rsidP="00FF72FC" w14:paraId="661A01B8" w14:textId="77777777">
      <w:pPr>
        <w:spacing w:after="0" w:line="240" w:lineRule="auto"/>
        <w:rPr>
          <w:rFonts w:eastAsia="Times New Roman" w:cs="Times New Roman"/>
        </w:rPr>
      </w:pPr>
    </w:p>
    <w:p w:rsidR="00B93C77" w:rsidRPr="00B31022" w:rsidP="00FF72FC" w14:paraId="2578B318" w14:textId="77777777">
      <w:pPr>
        <w:spacing w:after="0" w:line="240" w:lineRule="auto"/>
        <w:rPr>
          <w:rFonts w:ascii="Times New Roman" w:eastAsia="Times New Roman" w:hAnsi="Times New Roman" w:cs="Times New Roman"/>
          <w:sz w:val="16"/>
          <w:szCs w:val="16"/>
        </w:rPr>
      </w:pPr>
    </w:p>
    <w:p w:rsidR="00B93C77" w:rsidRPr="00CF36BD" w:rsidP="00FF72FC" w14:paraId="227B63D5" w14:textId="77777777">
      <w:pPr>
        <w:spacing w:after="0" w:line="240" w:lineRule="auto"/>
        <w:rPr>
          <w:rFonts w:eastAsia="Times New Roman" w:cs="Times New Roman"/>
        </w:rPr>
      </w:pPr>
    </w:p>
    <w:p w:rsidR="00FF72FC" w:rsidRPr="00E35DD1" w:rsidP="00AC39B0" w14:paraId="72B19A1F" w14:textId="77777777">
      <w:pPr>
        <w:pStyle w:val="Heading2"/>
      </w:pPr>
      <w:bookmarkStart w:id="42" w:name="_Toc174029914"/>
      <w:r w:rsidRPr="00E35DD1">
        <w:t>A.13</w:t>
      </w:r>
      <w:r w:rsidRPr="00E35DD1">
        <w:tab/>
        <w:t>Estimate of Other Total Annual Cost Burden to Respondents or Record Keepers</w:t>
      </w:r>
      <w:bookmarkEnd w:id="42"/>
    </w:p>
    <w:p w:rsidR="00FA3276" w:rsidP="00FA3276" w14:paraId="501EF004" w14:textId="2774BA19">
      <w:pPr>
        <w:spacing w:line="480" w:lineRule="auto"/>
        <w:ind w:right="-684"/>
        <w:rPr>
          <w:bCs/>
        </w:rPr>
      </w:pPr>
      <w:r>
        <w:rPr>
          <w:bCs/>
        </w:rPr>
        <w:t xml:space="preserve">Other annual costs to respondents or record keepers are associated with customary and usual business or practices of organizations receiving PHS funding.  </w:t>
      </w:r>
      <w:r w:rsidR="00E72C82">
        <w:rPr>
          <w:bCs/>
          <w:highlight w:val="yellow"/>
        </w:rPr>
        <w:t>The estimated costs to respondents above are calculated based on the inflation-adjusted civilian education and health services occupational group as reported by the U.S. Bureau of Labor Statistics from March 2024</w:t>
      </w:r>
      <w:r w:rsidRPr="002476B8" w:rsidR="00E72C82">
        <w:rPr>
          <w:bCs/>
          <w:highlight w:val="yellow"/>
        </w:rPr>
        <w:t>.</w:t>
      </w:r>
    </w:p>
    <w:p w:rsidR="00FA3276" w:rsidP="00FA3276" w14:paraId="397DD94D" w14:textId="77777777">
      <w:pPr>
        <w:spacing w:line="480" w:lineRule="auto"/>
        <w:ind w:right="-684"/>
        <w:rPr>
          <w:bCs/>
        </w:rPr>
      </w:pPr>
    </w:p>
    <w:p w:rsidR="00FF72FC" w:rsidRPr="005C4013" w:rsidP="00743A12" w14:paraId="5439FC4E" w14:textId="77777777">
      <w:pPr>
        <w:pStyle w:val="Heading2"/>
      </w:pPr>
      <w:bookmarkStart w:id="43" w:name="_Toc174029915"/>
      <w:r w:rsidRPr="005C4013">
        <w:t>A.14</w:t>
      </w:r>
      <w:r w:rsidRPr="005C4013">
        <w:tab/>
        <w:t>Annualized Cost to the Federal Government</w:t>
      </w:r>
      <w:bookmarkEnd w:id="43"/>
      <w:r w:rsidRPr="005C4013">
        <w:t xml:space="preserve">  </w:t>
      </w:r>
    </w:p>
    <w:p w:rsidR="00B95D8D" w:rsidP="001B3703" w14:paraId="691F4DE5" w14:textId="1440815E">
      <w:pPr>
        <w:spacing w:line="480" w:lineRule="auto"/>
        <w:rPr>
          <w:bCs/>
          <w:color w:val="000000"/>
        </w:rPr>
      </w:pPr>
      <w:r w:rsidRPr="001B3703">
        <w:rPr>
          <w:bCs/>
        </w:rPr>
        <w:t xml:space="preserve">The estimated annual cost to the NIH is approximately $171,495. This information is calculated based on the NIH salary and percentage of effort devoted by an NIH Systems Policy Analyst and NIH Supervisory Grants Management Specialist to preparing this submission. These expenses would not have been incurred without this collection of information. </w:t>
      </w:r>
      <w:r w:rsidRPr="00FC0A5A" w:rsidR="003478AF">
        <w:rPr>
          <w:bCs/>
          <w:color w:val="000000"/>
        </w:rPr>
        <w:t>Annualized Cost to the Federal Government</w:t>
      </w:r>
    </w:p>
    <w:tbl>
      <w:tblPr>
        <w:tblW w:w="96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586"/>
        <w:gridCol w:w="1376"/>
        <w:gridCol w:w="1376"/>
        <w:gridCol w:w="1284"/>
        <w:gridCol w:w="1427"/>
        <w:gridCol w:w="1610"/>
      </w:tblGrid>
      <w:tr w14:paraId="30E80A92" w14:textId="77777777" w:rsidTr="00291426">
        <w:tblPrEx>
          <w:tblW w:w="96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634"/>
        </w:trPr>
        <w:tc>
          <w:tcPr>
            <w:tcW w:w="2586" w:type="dxa"/>
            <w:shd w:val="clear" w:color="auto" w:fill="auto"/>
            <w:noWrap/>
            <w:tcMar>
              <w:top w:w="0" w:type="dxa"/>
              <w:left w:w="108" w:type="dxa"/>
              <w:bottom w:w="0" w:type="dxa"/>
              <w:right w:w="108" w:type="dxa"/>
            </w:tcMar>
            <w:vAlign w:val="bottom"/>
            <w:hideMark/>
          </w:tcPr>
          <w:p w:rsidR="00824C3A" w:rsidRPr="001C5091" w:rsidP="00291426" w14:paraId="366B4623" w14:textId="77777777">
            <w:pPr>
              <w:jc w:val="center"/>
              <w:rPr>
                <w:rFonts w:eastAsia="Calibri"/>
                <w:b/>
                <w:bCs/>
                <w:color w:val="000000"/>
              </w:rPr>
            </w:pPr>
            <w:r w:rsidRPr="001C5091">
              <w:rPr>
                <w:b/>
                <w:bCs/>
                <w:color w:val="000000"/>
              </w:rPr>
              <w:t>Staff</w:t>
            </w:r>
          </w:p>
        </w:tc>
        <w:tc>
          <w:tcPr>
            <w:tcW w:w="1376" w:type="dxa"/>
            <w:shd w:val="clear" w:color="auto" w:fill="auto"/>
            <w:vAlign w:val="bottom"/>
          </w:tcPr>
          <w:p w:rsidR="00824C3A" w:rsidRPr="001C5091" w:rsidP="00291426" w14:paraId="4C6E85CE" w14:textId="77777777">
            <w:pPr>
              <w:jc w:val="center"/>
              <w:rPr>
                <w:rFonts w:eastAsia="Calibri"/>
                <w:b/>
                <w:bCs/>
                <w:color w:val="1F497D"/>
              </w:rPr>
            </w:pPr>
          </w:p>
          <w:p w:rsidR="00824C3A" w:rsidRPr="001C5091" w:rsidP="00291426" w14:paraId="4710088D" w14:textId="77777777">
            <w:pPr>
              <w:jc w:val="center"/>
              <w:rPr>
                <w:rFonts w:eastAsia="Calibri"/>
                <w:b/>
                <w:bCs/>
                <w:color w:val="000000"/>
              </w:rPr>
            </w:pPr>
            <w:r w:rsidRPr="001C5091">
              <w:rPr>
                <w:b/>
                <w:bCs/>
                <w:color w:val="000000"/>
              </w:rPr>
              <w:t>Grade/Step</w:t>
            </w:r>
          </w:p>
        </w:tc>
        <w:tc>
          <w:tcPr>
            <w:tcW w:w="1376" w:type="dxa"/>
            <w:shd w:val="clear" w:color="auto" w:fill="auto"/>
            <w:tcMar>
              <w:top w:w="0" w:type="dxa"/>
              <w:left w:w="108" w:type="dxa"/>
              <w:bottom w:w="0" w:type="dxa"/>
              <w:right w:w="108" w:type="dxa"/>
            </w:tcMar>
            <w:vAlign w:val="bottom"/>
            <w:hideMark/>
          </w:tcPr>
          <w:p w:rsidR="00824C3A" w:rsidRPr="001C5091" w:rsidP="00291426" w14:paraId="4D24E575" w14:textId="77777777">
            <w:pPr>
              <w:jc w:val="center"/>
              <w:rPr>
                <w:rFonts w:eastAsia="Calibri"/>
                <w:b/>
                <w:bCs/>
              </w:rPr>
            </w:pPr>
            <w:r w:rsidRPr="001C5091">
              <w:rPr>
                <w:b/>
                <w:bCs/>
              </w:rPr>
              <w:t>Salary</w:t>
            </w:r>
          </w:p>
        </w:tc>
        <w:tc>
          <w:tcPr>
            <w:tcW w:w="1284" w:type="dxa"/>
            <w:shd w:val="clear" w:color="auto" w:fill="auto"/>
            <w:tcMar>
              <w:top w:w="0" w:type="dxa"/>
              <w:left w:w="108" w:type="dxa"/>
              <w:bottom w:w="0" w:type="dxa"/>
              <w:right w:w="108" w:type="dxa"/>
            </w:tcMar>
            <w:vAlign w:val="bottom"/>
            <w:hideMark/>
          </w:tcPr>
          <w:p w:rsidR="00824C3A" w:rsidRPr="001C5091" w:rsidP="00291426" w14:paraId="1B83AA59" w14:textId="77777777">
            <w:pPr>
              <w:jc w:val="center"/>
              <w:rPr>
                <w:rFonts w:eastAsia="Calibri"/>
                <w:b/>
                <w:bCs/>
              </w:rPr>
            </w:pPr>
            <w:r w:rsidRPr="001C5091">
              <w:rPr>
                <w:b/>
                <w:bCs/>
              </w:rPr>
              <w:t>% of Effort</w:t>
            </w:r>
          </w:p>
        </w:tc>
        <w:tc>
          <w:tcPr>
            <w:tcW w:w="1427" w:type="dxa"/>
            <w:shd w:val="clear" w:color="auto" w:fill="auto"/>
            <w:vAlign w:val="bottom"/>
          </w:tcPr>
          <w:p w:rsidR="00824C3A" w:rsidRPr="001C5091" w:rsidP="00291426" w14:paraId="252AE0F1" w14:textId="77777777">
            <w:pPr>
              <w:jc w:val="center"/>
              <w:rPr>
                <w:b/>
                <w:bCs/>
              </w:rPr>
            </w:pPr>
            <w:r w:rsidRPr="001C5091">
              <w:rPr>
                <w:b/>
                <w:bCs/>
              </w:rPr>
              <w:t>Fringe (if applicable)</w:t>
            </w:r>
          </w:p>
        </w:tc>
        <w:tc>
          <w:tcPr>
            <w:tcW w:w="1610" w:type="dxa"/>
            <w:shd w:val="clear" w:color="auto" w:fill="auto"/>
            <w:vAlign w:val="bottom"/>
          </w:tcPr>
          <w:p w:rsidR="00824C3A" w:rsidRPr="001C5091" w:rsidP="00291426" w14:paraId="79043166" w14:textId="77777777">
            <w:pPr>
              <w:jc w:val="center"/>
              <w:rPr>
                <w:b/>
                <w:bCs/>
              </w:rPr>
            </w:pPr>
            <w:r>
              <w:rPr>
                <w:b/>
                <w:bCs/>
              </w:rPr>
              <w:t>Total Cost to Governmen</w:t>
            </w:r>
            <w:r w:rsidRPr="001C5091">
              <w:rPr>
                <w:b/>
                <w:bCs/>
              </w:rPr>
              <w:t>t</w:t>
            </w:r>
          </w:p>
        </w:tc>
      </w:tr>
      <w:tr w14:paraId="6C5FCA6F" w14:textId="77777777" w:rsidTr="00291426">
        <w:tblPrEx>
          <w:tblW w:w="9659" w:type="dxa"/>
          <w:tblLayout w:type="fixed"/>
          <w:tblCellMar>
            <w:left w:w="0" w:type="dxa"/>
            <w:right w:w="0" w:type="dxa"/>
          </w:tblCellMar>
          <w:tblLook w:val="04A0"/>
        </w:tblPrEx>
        <w:trPr>
          <w:trHeight w:val="312"/>
        </w:trPr>
        <w:tc>
          <w:tcPr>
            <w:tcW w:w="2586" w:type="dxa"/>
            <w:noWrap/>
            <w:tcMar>
              <w:top w:w="0" w:type="dxa"/>
              <w:left w:w="108" w:type="dxa"/>
              <w:bottom w:w="0" w:type="dxa"/>
              <w:right w:w="108" w:type="dxa"/>
            </w:tcMar>
            <w:vAlign w:val="bottom"/>
          </w:tcPr>
          <w:p w:rsidR="00824C3A" w:rsidRPr="001C5091" w:rsidP="00291426" w14:paraId="50EA47E6" w14:textId="77777777">
            <w:pPr>
              <w:jc w:val="center"/>
              <w:rPr>
                <w:rFonts w:eastAsia="Calibri"/>
                <w:b/>
                <w:color w:val="000000"/>
                <w:highlight w:val="yellow"/>
              </w:rPr>
            </w:pPr>
            <w:r w:rsidRPr="001C5091">
              <w:rPr>
                <w:rFonts w:eastAsia="Calibri"/>
                <w:b/>
                <w:color w:val="000000"/>
              </w:rPr>
              <w:t>Federal Oversight</w:t>
            </w:r>
          </w:p>
        </w:tc>
        <w:tc>
          <w:tcPr>
            <w:tcW w:w="1376" w:type="dxa"/>
            <w:vAlign w:val="bottom"/>
          </w:tcPr>
          <w:p w:rsidR="00824C3A" w:rsidRPr="001C5091" w:rsidP="00291426" w14:paraId="46D5199F" w14:textId="77777777">
            <w:pPr>
              <w:jc w:val="center"/>
              <w:rPr>
                <w:rFonts w:eastAsia="Calibri"/>
                <w:color w:val="000000"/>
                <w:highlight w:val="yellow"/>
              </w:rPr>
            </w:pPr>
          </w:p>
        </w:tc>
        <w:tc>
          <w:tcPr>
            <w:tcW w:w="1376" w:type="dxa"/>
            <w:noWrap/>
            <w:tcMar>
              <w:top w:w="0" w:type="dxa"/>
              <w:left w:w="108" w:type="dxa"/>
              <w:bottom w:w="0" w:type="dxa"/>
              <w:right w:w="108" w:type="dxa"/>
            </w:tcMar>
            <w:vAlign w:val="bottom"/>
          </w:tcPr>
          <w:p w:rsidR="00824C3A" w:rsidRPr="001C5091" w:rsidP="00291426" w14:paraId="7844C525" w14:textId="77777777">
            <w:pPr>
              <w:jc w:val="center"/>
            </w:pPr>
          </w:p>
        </w:tc>
        <w:tc>
          <w:tcPr>
            <w:tcW w:w="1284" w:type="dxa"/>
            <w:noWrap/>
            <w:tcMar>
              <w:top w:w="0" w:type="dxa"/>
              <w:left w:w="108" w:type="dxa"/>
              <w:bottom w:w="0" w:type="dxa"/>
              <w:right w:w="108" w:type="dxa"/>
            </w:tcMar>
            <w:vAlign w:val="bottom"/>
          </w:tcPr>
          <w:p w:rsidR="00824C3A" w:rsidRPr="001C5091" w:rsidP="00291426" w14:paraId="014C1B39" w14:textId="77777777">
            <w:pPr>
              <w:jc w:val="center"/>
            </w:pPr>
          </w:p>
        </w:tc>
        <w:tc>
          <w:tcPr>
            <w:tcW w:w="1427" w:type="dxa"/>
            <w:shd w:val="clear" w:color="auto" w:fill="auto"/>
            <w:vAlign w:val="bottom"/>
          </w:tcPr>
          <w:p w:rsidR="00824C3A" w:rsidRPr="001C5091" w:rsidP="00291426" w14:paraId="5FBD1A12" w14:textId="77777777">
            <w:pPr>
              <w:jc w:val="center"/>
            </w:pPr>
          </w:p>
        </w:tc>
        <w:tc>
          <w:tcPr>
            <w:tcW w:w="1610" w:type="dxa"/>
            <w:vAlign w:val="bottom"/>
          </w:tcPr>
          <w:p w:rsidR="00824C3A" w:rsidRPr="001C5091" w:rsidP="00291426" w14:paraId="749DFF80" w14:textId="77777777">
            <w:pPr>
              <w:jc w:val="center"/>
            </w:pPr>
          </w:p>
        </w:tc>
      </w:tr>
      <w:tr w14:paraId="4B222AEC" w14:textId="77777777" w:rsidTr="00291426">
        <w:tblPrEx>
          <w:tblW w:w="9659" w:type="dxa"/>
          <w:tblLayout w:type="fixed"/>
          <w:tblCellMar>
            <w:left w:w="0" w:type="dxa"/>
            <w:right w:w="0" w:type="dxa"/>
          </w:tblCellMar>
          <w:tblLook w:val="04A0"/>
        </w:tblPrEx>
        <w:trPr>
          <w:trHeight w:val="312"/>
        </w:trPr>
        <w:tc>
          <w:tcPr>
            <w:tcW w:w="2586" w:type="dxa"/>
            <w:noWrap/>
            <w:tcMar>
              <w:top w:w="0" w:type="dxa"/>
              <w:left w:w="108" w:type="dxa"/>
              <w:bottom w:w="0" w:type="dxa"/>
              <w:right w:w="108" w:type="dxa"/>
            </w:tcMar>
            <w:vAlign w:val="bottom"/>
          </w:tcPr>
          <w:p w:rsidR="00824C3A" w:rsidRPr="001C5091" w:rsidP="00291426" w14:paraId="31E5E4C2" w14:textId="77777777">
            <w:pPr>
              <w:jc w:val="center"/>
              <w:rPr>
                <w:rFonts w:eastAsia="Calibri"/>
              </w:rPr>
            </w:pPr>
            <w:r>
              <w:rPr>
                <w:rFonts w:eastAsia="Calibri"/>
              </w:rPr>
              <w:t>NIH Grants Policy Analyst</w:t>
            </w:r>
          </w:p>
        </w:tc>
        <w:tc>
          <w:tcPr>
            <w:tcW w:w="1376" w:type="dxa"/>
            <w:vAlign w:val="bottom"/>
          </w:tcPr>
          <w:p w:rsidR="00824C3A" w:rsidRPr="001C5091" w:rsidP="00291426" w14:paraId="5B85B79F" w14:textId="2C0F41C9">
            <w:pPr>
              <w:jc w:val="center"/>
              <w:rPr>
                <w:rFonts w:eastAsia="Calibri"/>
              </w:rPr>
            </w:pPr>
            <w:r>
              <w:rPr>
                <w:rFonts w:eastAsia="Calibri"/>
              </w:rPr>
              <w:t>14/</w:t>
            </w:r>
            <w:r w:rsidR="00792F8B">
              <w:rPr>
                <w:rFonts w:eastAsia="Calibri"/>
              </w:rPr>
              <w:t>6</w:t>
            </w:r>
          </w:p>
        </w:tc>
        <w:tc>
          <w:tcPr>
            <w:tcW w:w="1376" w:type="dxa"/>
            <w:noWrap/>
            <w:tcMar>
              <w:top w:w="0" w:type="dxa"/>
              <w:left w:w="108" w:type="dxa"/>
              <w:bottom w:w="0" w:type="dxa"/>
              <w:right w:w="108" w:type="dxa"/>
            </w:tcMar>
            <w:vAlign w:val="bottom"/>
          </w:tcPr>
          <w:p w:rsidR="00824C3A" w:rsidRPr="001C5091" w:rsidP="00291426" w14:paraId="33E2441A" w14:textId="22E661FE">
            <w:pPr>
              <w:jc w:val="center"/>
              <w:rPr>
                <w:rFonts w:eastAsia="Calibri"/>
              </w:rPr>
            </w:pPr>
            <w:r>
              <w:rPr>
                <w:rFonts w:eastAsia="Calibri"/>
              </w:rPr>
              <w:t>162,629</w:t>
            </w:r>
          </w:p>
        </w:tc>
        <w:tc>
          <w:tcPr>
            <w:tcW w:w="1284" w:type="dxa"/>
            <w:noWrap/>
            <w:tcMar>
              <w:top w:w="0" w:type="dxa"/>
              <w:left w:w="108" w:type="dxa"/>
              <w:bottom w:w="0" w:type="dxa"/>
              <w:right w:w="108" w:type="dxa"/>
            </w:tcMar>
            <w:vAlign w:val="bottom"/>
          </w:tcPr>
          <w:p w:rsidR="00824C3A" w:rsidRPr="001C5091" w:rsidP="00291426" w14:paraId="0A5B5E28" w14:textId="77777777">
            <w:pPr>
              <w:jc w:val="center"/>
              <w:rPr>
                <w:rFonts w:eastAsia="Calibri"/>
              </w:rPr>
            </w:pPr>
            <w:r>
              <w:rPr>
                <w:rFonts w:eastAsia="Calibri"/>
              </w:rPr>
              <w:t>50%</w:t>
            </w:r>
          </w:p>
        </w:tc>
        <w:tc>
          <w:tcPr>
            <w:tcW w:w="1427" w:type="dxa"/>
            <w:shd w:val="clear" w:color="auto" w:fill="BFBFBF" w:themeFill="background1" w:themeFillShade="BF"/>
            <w:vAlign w:val="bottom"/>
          </w:tcPr>
          <w:p w:rsidR="00824C3A" w:rsidRPr="001C5091" w:rsidP="00291426" w14:paraId="6E37EDA9" w14:textId="77777777">
            <w:pPr>
              <w:jc w:val="center"/>
            </w:pPr>
          </w:p>
        </w:tc>
        <w:tc>
          <w:tcPr>
            <w:tcW w:w="1610" w:type="dxa"/>
            <w:vAlign w:val="bottom"/>
          </w:tcPr>
          <w:p w:rsidR="00824C3A" w:rsidRPr="001C5091" w:rsidP="00291426" w14:paraId="72A55105" w14:textId="6378B148">
            <w:pPr>
              <w:jc w:val="center"/>
            </w:pPr>
            <w:r>
              <w:t>81,315</w:t>
            </w:r>
          </w:p>
        </w:tc>
      </w:tr>
      <w:tr w14:paraId="31C1EEDD" w14:textId="77777777" w:rsidTr="00291426">
        <w:tblPrEx>
          <w:tblW w:w="9659" w:type="dxa"/>
          <w:tblLayout w:type="fixed"/>
          <w:tblCellMar>
            <w:left w:w="0" w:type="dxa"/>
            <w:right w:w="0" w:type="dxa"/>
          </w:tblCellMar>
          <w:tblLook w:val="04A0"/>
        </w:tblPrEx>
        <w:trPr>
          <w:trHeight w:val="312"/>
        </w:trPr>
        <w:tc>
          <w:tcPr>
            <w:tcW w:w="2586" w:type="dxa"/>
            <w:noWrap/>
            <w:tcMar>
              <w:top w:w="0" w:type="dxa"/>
              <w:left w:w="108" w:type="dxa"/>
              <w:bottom w:w="0" w:type="dxa"/>
              <w:right w:w="108" w:type="dxa"/>
            </w:tcMar>
            <w:vAlign w:val="bottom"/>
          </w:tcPr>
          <w:p w:rsidR="007604E4" w:rsidP="007604E4" w14:paraId="78D56E2E" w14:textId="1F85B3E8">
            <w:pPr>
              <w:jc w:val="center"/>
              <w:rPr>
                <w:rFonts w:eastAsia="Calibri"/>
              </w:rPr>
            </w:pPr>
            <w:r>
              <w:rPr>
                <w:color w:val="000000"/>
              </w:rPr>
              <w:t>NIH Supervisory Grants Management Specialist</w:t>
            </w:r>
          </w:p>
        </w:tc>
        <w:tc>
          <w:tcPr>
            <w:tcW w:w="1376" w:type="dxa"/>
            <w:vAlign w:val="bottom"/>
          </w:tcPr>
          <w:p w:rsidR="007604E4" w:rsidP="007604E4" w14:paraId="2EF0E1BC" w14:textId="77777777">
            <w:pPr>
              <w:jc w:val="center"/>
              <w:rPr>
                <w:rFonts w:eastAsia="Calibri"/>
              </w:rPr>
            </w:pPr>
            <w:r>
              <w:rPr>
                <w:rFonts w:eastAsia="Calibri"/>
              </w:rPr>
              <w:t>15/4</w:t>
            </w:r>
          </w:p>
        </w:tc>
        <w:tc>
          <w:tcPr>
            <w:tcW w:w="1376" w:type="dxa"/>
            <w:noWrap/>
            <w:tcMar>
              <w:top w:w="0" w:type="dxa"/>
              <w:left w:w="108" w:type="dxa"/>
              <w:bottom w:w="0" w:type="dxa"/>
              <w:right w:w="108" w:type="dxa"/>
            </w:tcMar>
            <w:vAlign w:val="bottom"/>
          </w:tcPr>
          <w:p w:rsidR="007604E4" w:rsidRPr="001C5091" w:rsidP="007604E4" w14:paraId="6A10A90F" w14:textId="5FF6C305">
            <w:pPr>
              <w:jc w:val="center"/>
              <w:rPr>
                <w:rFonts w:eastAsia="Calibri"/>
              </w:rPr>
            </w:pPr>
            <w:r>
              <w:rPr>
                <w:rFonts w:eastAsia="Calibri"/>
              </w:rPr>
              <w:t>180,359</w:t>
            </w:r>
          </w:p>
        </w:tc>
        <w:tc>
          <w:tcPr>
            <w:tcW w:w="1284" w:type="dxa"/>
            <w:noWrap/>
            <w:tcMar>
              <w:top w:w="0" w:type="dxa"/>
              <w:left w:w="108" w:type="dxa"/>
              <w:bottom w:w="0" w:type="dxa"/>
              <w:right w:w="108" w:type="dxa"/>
            </w:tcMar>
            <w:vAlign w:val="bottom"/>
          </w:tcPr>
          <w:p w:rsidR="007604E4" w:rsidP="007604E4" w14:paraId="1C329465" w14:textId="77777777">
            <w:pPr>
              <w:jc w:val="center"/>
              <w:rPr>
                <w:rFonts w:eastAsia="Calibri"/>
              </w:rPr>
            </w:pPr>
            <w:r>
              <w:rPr>
                <w:rFonts w:eastAsia="Calibri"/>
              </w:rPr>
              <w:t>50%</w:t>
            </w:r>
          </w:p>
        </w:tc>
        <w:tc>
          <w:tcPr>
            <w:tcW w:w="1427" w:type="dxa"/>
            <w:shd w:val="clear" w:color="auto" w:fill="BFBFBF" w:themeFill="background1" w:themeFillShade="BF"/>
            <w:vAlign w:val="bottom"/>
          </w:tcPr>
          <w:p w:rsidR="007604E4" w:rsidRPr="001C5091" w:rsidP="007604E4" w14:paraId="5B73A867" w14:textId="77777777">
            <w:pPr>
              <w:jc w:val="center"/>
            </w:pPr>
          </w:p>
        </w:tc>
        <w:tc>
          <w:tcPr>
            <w:tcW w:w="1610" w:type="dxa"/>
            <w:vAlign w:val="bottom"/>
          </w:tcPr>
          <w:p w:rsidR="007604E4" w:rsidP="007604E4" w14:paraId="7F105CB8" w14:textId="1692D888">
            <w:pPr>
              <w:jc w:val="center"/>
            </w:pPr>
            <w:r>
              <w:t>90,180</w:t>
            </w:r>
          </w:p>
        </w:tc>
      </w:tr>
      <w:tr w14:paraId="71AB54E4" w14:textId="77777777" w:rsidTr="00291426">
        <w:tblPrEx>
          <w:tblW w:w="9659" w:type="dxa"/>
          <w:tblLayout w:type="fixed"/>
          <w:tblCellMar>
            <w:left w:w="0" w:type="dxa"/>
            <w:right w:w="0" w:type="dxa"/>
          </w:tblCellMar>
          <w:tblLook w:val="04A0"/>
        </w:tblPrEx>
        <w:trPr>
          <w:trHeight w:val="312"/>
        </w:trPr>
        <w:tc>
          <w:tcPr>
            <w:tcW w:w="2586" w:type="dxa"/>
            <w:noWrap/>
            <w:tcMar>
              <w:top w:w="0" w:type="dxa"/>
              <w:left w:w="108" w:type="dxa"/>
              <w:bottom w:w="0" w:type="dxa"/>
              <w:right w:w="108" w:type="dxa"/>
            </w:tcMar>
            <w:vAlign w:val="bottom"/>
          </w:tcPr>
          <w:p w:rsidR="00824C3A" w:rsidRPr="001C5091" w:rsidP="00291426" w14:paraId="77F55D0A" w14:textId="77777777">
            <w:pPr>
              <w:jc w:val="center"/>
              <w:rPr>
                <w:rFonts w:eastAsia="Calibri"/>
              </w:rPr>
            </w:pPr>
          </w:p>
        </w:tc>
        <w:tc>
          <w:tcPr>
            <w:tcW w:w="1376" w:type="dxa"/>
            <w:vAlign w:val="bottom"/>
          </w:tcPr>
          <w:p w:rsidR="00824C3A" w:rsidRPr="001C5091" w:rsidP="00291426" w14:paraId="1AFF30C9" w14:textId="77777777">
            <w:pPr>
              <w:jc w:val="center"/>
              <w:rPr>
                <w:rFonts w:eastAsia="Calibri"/>
              </w:rPr>
            </w:pPr>
          </w:p>
        </w:tc>
        <w:tc>
          <w:tcPr>
            <w:tcW w:w="1376" w:type="dxa"/>
            <w:noWrap/>
            <w:tcMar>
              <w:top w:w="0" w:type="dxa"/>
              <w:left w:w="108" w:type="dxa"/>
              <w:bottom w:w="0" w:type="dxa"/>
              <w:right w:w="108" w:type="dxa"/>
            </w:tcMar>
            <w:vAlign w:val="bottom"/>
          </w:tcPr>
          <w:p w:rsidR="00824C3A" w:rsidRPr="001C5091" w:rsidP="00291426" w14:paraId="4AFF5514" w14:textId="77777777">
            <w:pPr>
              <w:jc w:val="center"/>
              <w:rPr>
                <w:rFonts w:eastAsia="Calibri"/>
              </w:rPr>
            </w:pPr>
          </w:p>
        </w:tc>
        <w:tc>
          <w:tcPr>
            <w:tcW w:w="1284" w:type="dxa"/>
            <w:noWrap/>
            <w:tcMar>
              <w:top w:w="0" w:type="dxa"/>
              <w:left w:w="108" w:type="dxa"/>
              <w:bottom w:w="0" w:type="dxa"/>
              <w:right w:w="108" w:type="dxa"/>
            </w:tcMar>
            <w:vAlign w:val="bottom"/>
          </w:tcPr>
          <w:p w:rsidR="00824C3A" w:rsidRPr="001C5091" w:rsidP="00291426" w14:paraId="406FB3BC" w14:textId="77777777">
            <w:pPr>
              <w:jc w:val="center"/>
              <w:rPr>
                <w:rFonts w:eastAsia="Calibri"/>
              </w:rPr>
            </w:pPr>
          </w:p>
        </w:tc>
        <w:tc>
          <w:tcPr>
            <w:tcW w:w="1427" w:type="dxa"/>
            <w:shd w:val="clear" w:color="auto" w:fill="auto"/>
            <w:vAlign w:val="bottom"/>
          </w:tcPr>
          <w:p w:rsidR="00824C3A" w:rsidRPr="001C5091" w:rsidP="00291426" w14:paraId="184F1A7A" w14:textId="77777777">
            <w:pPr>
              <w:jc w:val="center"/>
            </w:pPr>
          </w:p>
        </w:tc>
        <w:tc>
          <w:tcPr>
            <w:tcW w:w="1610" w:type="dxa"/>
            <w:vAlign w:val="bottom"/>
          </w:tcPr>
          <w:p w:rsidR="00824C3A" w:rsidRPr="001C5091" w:rsidP="00291426" w14:paraId="2DB7725E" w14:textId="77777777">
            <w:pPr>
              <w:jc w:val="center"/>
            </w:pPr>
          </w:p>
        </w:tc>
      </w:tr>
      <w:tr w14:paraId="31E63934" w14:textId="77777777" w:rsidTr="007604E4">
        <w:tblPrEx>
          <w:tblW w:w="9659" w:type="dxa"/>
          <w:tblLayout w:type="fixed"/>
          <w:tblCellMar>
            <w:left w:w="0" w:type="dxa"/>
            <w:right w:w="0" w:type="dxa"/>
          </w:tblCellMar>
          <w:tblLook w:val="04A0"/>
        </w:tblPrEx>
        <w:trPr>
          <w:trHeight w:val="312"/>
        </w:trPr>
        <w:tc>
          <w:tcPr>
            <w:tcW w:w="2586" w:type="dxa"/>
            <w:noWrap/>
            <w:tcMar>
              <w:top w:w="0" w:type="dxa"/>
              <w:left w:w="108" w:type="dxa"/>
              <w:bottom w:w="0" w:type="dxa"/>
              <w:right w:w="108" w:type="dxa"/>
            </w:tcMar>
            <w:vAlign w:val="bottom"/>
          </w:tcPr>
          <w:p w:rsidR="00824C3A" w:rsidRPr="001C5091" w:rsidP="00291426" w14:paraId="54E49960" w14:textId="77777777">
            <w:pPr>
              <w:jc w:val="center"/>
              <w:rPr>
                <w:rFonts w:eastAsia="Calibri"/>
                <w:b/>
              </w:rPr>
            </w:pPr>
            <w:r w:rsidRPr="001C5091">
              <w:rPr>
                <w:rFonts w:eastAsia="Calibri"/>
                <w:b/>
              </w:rPr>
              <w:t>Contractor Cost</w:t>
            </w:r>
          </w:p>
        </w:tc>
        <w:tc>
          <w:tcPr>
            <w:tcW w:w="1376" w:type="dxa"/>
            <w:shd w:val="clear" w:color="auto" w:fill="BFBFBF" w:themeFill="background1" w:themeFillShade="BF"/>
            <w:vAlign w:val="bottom"/>
          </w:tcPr>
          <w:p w:rsidR="00824C3A" w:rsidRPr="001C5091" w:rsidP="00291426" w14:paraId="60DCDD1A" w14:textId="77777777">
            <w:pPr>
              <w:jc w:val="center"/>
              <w:rPr>
                <w:rFonts w:eastAsia="Calibri"/>
              </w:rPr>
            </w:pPr>
          </w:p>
        </w:tc>
        <w:tc>
          <w:tcPr>
            <w:tcW w:w="1376" w:type="dxa"/>
            <w:shd w:val="clear" w:color="auto" w:fill="BFBFBF" w:themeFill="background1" w:themeFillShade="BF"/>
            <w:noWrap/>
            <w:tcMar>
              <w:top w:w="0" w:type="dxa"/>
              <w:left w:w="108" w:type="dxa"/>
              <w:bottom w:w="0" w:type="dxa"/>
              <w:right w:w="108" w:type="dxa"/>
            </w:tcMar>
            <w:vAlign w:val="bottom"/>
          </w:tcPr>
          <w:p w:rsidR="00824C3A" w:rsidRPr="001C5091" w:rsidP="00291426" w14:paraId="141B177F" w14:textId="77777777">
            <w:pPr>
              <w:jc w:val="center"/>
              <w:rPr>
                <w:rFonts w:eastAsia="Calibri"/>
              </w:rPr>
            </w:pPr>
          </w:p>
        </w:tc>
        <w:tc>
          <w:tcPr>
            <w:tcW w:w="1284" w:type="dxa"/>
            <w:shd w:val="clear" w:color="auto" w:fill="BFBFBF" w:themeFill="background1" w:themeFillShade="BF"/>
            <w:noWrap/>
            <w:tcMar>
              <w:top w:w="0" w:type="dxa"/>
              <w:left w:w="108" w:type="dxa"/>
              <w:bottom w:w="0" w:type="dxa"/>
              <w:right w:w="108" w:type="dxa"/>
            </w:tcMar>
            <w:vAlign w:val="bottom"/>
          </w:tcPr>
          <w:p w:rsidR="00824C3A" w:rsidRPr="001C5091" w:rsidP="00291426" w14:paraId="6E612FF0" w14:textId="77777777">
            <w:pPr>
              <w:jc w:val="center"/>
              <w:rPr>
                <w:rFonts w:eastAsia="Calibri"/>
              </w:rPr>
            </w:pPr>
          </w:p>
        </w:tc>
        <w:tc>
          <w:tcPr>
            <w:tcW w:w="1427" w:type="dxa"/>
            <w:shd w:val="clear" w:color="auto" w:fill="BFBFBF" w:themeFill="background1" w:themeFillShade="BF"/>
            <w:vAlign w:val="bottom"/>
          </w:tcPr>
          <w:p w:rsidR="00824C3A" w:rsidRPr="001C5091" w:rsidP="00291426" w14:paraId="2178EAFF" w14:textId="77777777">
            <w:pPr>
              <w:jc w:val="center"/>
            </w:pPr>
          </w:p>
        </w:tc>
        <w:tc>
          <w:tcPr>
            <w:tcW w:w="1610" w:type="dxa"/>
            <w:shd w:val="clear" w:color="auto" w:fill="BFBFBF" w:themeFill="background1" w:themeFillShade="BF"/>
            <w:vAlign w:val="bottom"/>
          </w:tcPr>
          <w:p w:rsidR="00824C3A" w:rsidRPr="001C5091" w:rsidP="00291426" w14:paraId="36DC0630" w14:textId="77777777">
            <w:pPr>
              <w:jc w:val="center"/>
            </w:pPr>
          </w:p>
        </w:tc>
      </w:tr>
      <w:tr w14:paraId="66A3A9AB" w14:textId="77777777" w:rsidTr="00291426">
        <w:tblPrEx>
          <w:tblW w:w="9659" w:type="dxa"/>
          <w:tblLayout w:type="fixed"/>
          <w:tblCellMar>
            <w:left w:w="0" w:type="dxa"/>
            <w:right w:w="0" w:type="dxa"/>
          </w:tblCellMar>
          <w:tblLook w:val="04A0"/>
        </w:tblPrEx>
        <w:trPr>
          <w:trHeight w:val="312"/>
        </w:trPr>
        <w:tc>
          <w:tcPr>
            <w:tcW w:w="2586" w:type="dxa"/>
            <w:noWrap/>
            <w:tcMar>
              <w:top w:w="0" w:type="dxa"/>
              <w:left w:w="108" w:type="dxa"/>
              <w:bottom w:w="0" w:type="dxa"/>
              <w:right w:w="108" w:type="dxa"/>
            </w:tcMar>
            <w:vAlign w:val="bottom"/>
          </w:tcPr>
          <w:p w:rsidR="00824C3A" w:rsidRPr="001C5091" w:rsidP="00291426" w14:paraId="20EB7CC8" w14:textId="77777777">
            <w:pPr>
              <w:jc w:val="center"/>
              <w:rPr>
                <w:rFonts w:eastAsia="Calibri"/>
              </w:rPr>
            </w:pPr>
            <w:r w:rsidRPr="001C5091">
              <w:rPr>
                <w:rFonts w:eastAsia="Calibri"/>
              </w:rPr>
              <w:t>Travel</w:t>
            </w:r>
          </w:p>
        </w:tc>
        <w:tc>
          <w:tcPr>
            <w:tcW w:w="1376" w:type="dxa"/>
            <w:shd w:val="clear" w:color="auto" w:fill="BFBFBF" w:themeFill="background1" w:themeFillShade="BF"/>
            <w:vAlign w:val="bottom"/>
          </w:tcPr>
          <w:p w:rsidR="00824C3A" w:rsidRPr="001C5091" w:rsidP="00291426" w14:paraId="051EC64C" w14:textId="77777777">
            <w:pPr>
              <w:jc w:val="center"/>
              <w:rPr>
                <w:rFonts w:eastAsia="Calibri"/>
              </w:rPr>
            </w:pPr>
          </w:p>
        </w:tc>
        <w:tc>
          <w:tcPr>
            <w:tcW w:w="1376" w:type="dxa"/>
            <w:shd w:val="clear" w:color="auto" w:fill="BFBFBF" w:themeFill="background1" w:themeFillShade="BF"/>
            <w:noWrap/>
            <w:tcMar>
              <w:top w:w="0" w:type="dxa"/>
              <w:left w:w="108" w:type="dxa"/>
              <w:bottom w:w="0" w:type="dxa"/>
              <w:right w:w="108" w:type="dxa"/>
            </w:tcMar>
            <w:vAlign w:val="bottom"/>
          </w:tcPr>
          <w:p w:rsidR="00824C3A" w:rsidRPr="001C5091" w:rsidP="00291426" w14:paraId="08AA0996" w14:textId="77777777">
            <w:pPr>
              <w:jc w:val="center"/>
              <w:rPr>
                <w:rFonts w:eastAsia="Calibri"/>
              </w:rPr>
            </w:pPr>
          </w:p>
        </w:tc>
        <w:tc>
          <w:tcPr>
            <w:tcW w:w="1284" w:type="dxa"/>
            <w:shd w:val="clear" w:color="auto" w:fill="BFBFBF" w:themeFill="background1" w:themeFillShade="BF"/>
            <w:noWrap/>
            <w:tcMar>
              <w:top w:w="0" w:type="dxa"/>
              <w:left w:w="108" w:type="dxa"/>
              <w:bottom w:w="0" w:type="dxa"/>
              <w:right w:w="108" w:type="dxa"/>
            </w:tcMar>
            <w:vAlign w:val="bottom"/>
          </w:tcPr>
          <w:p w:rsidR="00824C3A" w:rsidRPr="001C5091" w:rsidP="00291426" w14:paraId="7E3E66E7" w14:textId="77777777">
            <w:pPr>
              <w:jc w:val="center"/>
              <w:rPr>
                <w:rFonts w:eastAsia="Calibri"/>
              </w:rPr>
            </w:pPr>
          </w:p>
        </w:tc>
        <w:tc>
          <w:tcPr>
            <w:tcW w:w="1427" w:type="dxa"/>
            <w:shd w:val="clear" w:color="auto" w:fill="BFBFBF" w:themeFill="background1" w:themeFillShade="BF"/>
            <w:vAlign w:val="bottom"/>
          </w:tcPr>
          <w:p w:rsidR="00824C3A" w:rsidRPr="001C5091" w:rsidP="00291426" w14:paraId="3AFE9A96" w14:textId="77777777">
            <w:pPr>
              <w:jc w:val="center"/>
            </w:pPr>
          </w:p>
        </w:tc>
        <w:tc>
          <w:tcPr>
            <w:tcW w:w="1610" w:type="dxa"/>
            <w:shd w:val="clear" w:color="auto" w:fill="BFBFBF" w:themeFill="background1" w:themeFillShade="BF"/>
            <w:vAlign w:val="bottom"/>
          </w:tcPr>
          <w:p w:rsidR="00824C3A" w:rsidRPr="001C5091" w:rsidP="00291426" w14:paraId="547D5145" w14:textId="77777777">
            <w:pPr>
              <w:jc w:val="center"/>
            </w:pPr>
          </w:p>
        </w:tc>
      </w:tr>
      <w:tr w14:paraId="67B3C65D" w14:textId="77777777" w:rsidTr="00291426">
        <w:tblPrEx>
          <w:tblW w:w="9659" w:type="dxa"/>
          <w:tblLayout w:type="fixed"/>
          <w:tblCellMar>
            <w:left w:w="0" w:type="dxa"/>
            <w:right w:w="0" w:type="dxa"/>
          </w:tblCellMar>
          <w:tblLook w:val="04A0"/>
        </w:tblPrEx>
        <w:trPr>
          <w:trHeight w:val="312"/>
        </w:trPr>
        <w:tc>
          <w:tcPr>
            <w:tcW w:w="2586" w:type="dxa"/>
            <w:noWrap/>
            <w:tcMar>
              <w:top w:w="0" w:type="dxa"/>
              <w:left w:w="108" w:type="dxa"/>
              <w:bottom w:w="0" w:type="dxa"/>
              <w:right w:w="108" w:type="dxa"/>
            </w:tcMar>
            <w:vAlign w:val="bottom"/>
          </w:tcPr>
          <w:p w:rsidR="00824C3A" w:rsidRPr="001C5091" w:rsidP="00291426" w14:paraId="2FB0EAA6" w14:textId="77777777">
            <w:pPr>
              <w:jc w:val="center"/>
              <w:rPr>
                <w:rFonts w:eastAsia="Calibri"/>
                <w:color w:val="1F497D"/>
                <w:highlight w:val="yellow"/>
              </w:rPr>
            </w:pPr>
            <w:r w:rsidRPr="001C5091">
              <w:rPr>
                <w:rFonts w:eastAsia="Calibri"/>
              </w:rPr>
              <w:t>Other Cost</w:t>
            </w:r>
          </w:p>
        </w:tc>
        <w:tc>
          <w:tcPr>
            <w:tcW w:w="1376" w:type="dxa"/>
            <w:shd w:val="clear" w:color="auto" w:fill="BFBFBF" w:themeFill="background1" w:themeFillShade="BF"/>
            <w:vAlign w:val="bottom"/>
          </w:tcPr>
          <w:p w:rsidR="00824C3A" w:rsidRPr="001C5091" w:rsidP="00291426" w14:paraId="3126C0DE" w14:textId="77777777">
            <w:pPr>
              <w:jc w:val="center"/>
              <w:rPr>
                <w:rFonts w:eastAsia="Calibri"/>
                <w:color w:val="000000"/>
              </w:rPr>
            </w:pPr>
          </w:p>
        </w:tc>
        <w:tc>
          <w:tcPr>
            <w:tcW w:w="1376" w:type="dxa"/>
            <w:shd w:val="clear" w:color="auto" w:fill="BFBFBF" w:themeFill="background1" w:themeFillShade="BF"/>
            <w:noWrap/>
            <w:tcMar>
              <w:top w:w="0" w:type="dxa"/>
              <w:left w:w="108" w:type="dxa"/>
              <w:bottom w:w="0" w:type="dxa"/>
              <w:right w:w="108" w:type="dxa"/>
            </w:tcMar>
            <w:vAlign w:val="bottom"/>
          </w:tcPr>
          <w:p w:rsidR="00824C3A" w:rsidRPr="001C5091" w:rsidP="00291426" w14:paraId="36C1C0F7" w14:textId="77777777">
            <w:pPr>
              <w:jc w:val="center"/>
              <w:rPr>
                <w:rFonts w:eastAsia="Calibri"/>
              </w:rPr>
            </w:pPr>
          </w:p>
        </w:tc>
        <w:tc>
          <w:tcPr>
            <w:tcW w:w="1284" w:type="dxa"/>
            <w:shd w:val="clear" w:color="auto" w:fill="BFBFBF" w:themeFill="background1" w:themeFillShade="BF"/>
            <w:noWrap/>
            <w:tcMar>
              <w:top w:w="0" w:type="dxa"/>
              <w:left w:w="108" w:type="dxa"/>
              <w:bottom w:w="0" w:type="dxa"/>
              <w:right w:w="108" w:type="dxa"/>
            </w:tcMar>
            <w:vAlign w:val="bottom"/>
          </w:tcPr>
          <w:p w:rsidR="00824C3A" w:rsidRPr="001C5091" w:rsidP="00291426" w14:paraId="4214A609" w14:textId="77777777">
            <w:pPr>
              <w:jc w:val="center"/>
              <w:rPr>
                <w:rFonts w:eastAsia="Calibri"/>
              </w:rPr>
            </w:pPr>
          </w:p>
        </w:tc>
        <w:tc>
          <w:tcPr>
            <w:tcW w:w="1427" w:type="dxa"/>
            <w:shd w:val="clear" w:color="auto" w:fill="BFBFBF" w:themeFill="background1" w:themeFillShade="BF"/>
            <w:vAlign w:val="bottom"/>
          </w:tcPr>
          <w:p w:rsidR="00824C3A" w:rsidRPr="001C5091" w:rsidP="00291426" w14:paraId="2D328D19" w14:textId="77777777">
            <w:pPr>
              <w:jc w:val="center"/>
              <w:rPr>
                <w:rFonts w:eastAsia="Calibri"/>
              </w:rPr>
            </w:pPr>
          </w:p>
        </w:tc>
        <w:tc>
          <w:tcPr>
            <w:tcW w:w="1610" w:type="dxa"/>
            <w:shd w:val="clear" w:color="auto" w:fill="BFBFBF" w:themeFill="background1" w:themeFillShade="BF"/>
            <w:vAlign w:val="bottom"/>
          </w:tcPr>
          <w:p w:rsidR="00824C3A" w:rsidRPr="001C5091" w:rsidP="00291426" w14:paraId="075BCC28" w14:textId="77777777">
            <w:pPr>
              <w:jc w:val="center"/>
              <w:rPr>
                <w:rFonts w:eastAsia="Calibri"/>
              </w:rPr>
            </w:pPr>
          </w:p>
        </w:tc>
      </w:tr>
      <w:tr w14:paraId="49A782A7" w14:textId="77777777" w:rsidTr="00291426">
        <w:tblPrEx>
          <w:tblW w:w="9659" w:type="dxa"/>
          <w:tblLayout w:type="fixed"/>
          <w:tblCellMar>
            <w:left w:w="0" w:type="dxa"/>
            <w:right w:w="0" w:type="dxa"/>
          </w:tblCellMar>
          <w:tblLook w:val="04A0"/>
        </w:tblPrEx>
        <w:trPr>
          <w:trHeight w:val="312"/>
        </w:trPr>
        <w:tc>
          <w:tcPr>
            <w:tcW w:w="2586" w:type="dxa"/>
            <w:noWrap/>
            <w:tcMar>
              <w:top w:w="0" w:type="dxa"/>
              <w:left w:w="108" w:type="dxa"/>
              <w:bottom w:w="0" w:type="dxa"/>
              <w:right w:w="108" w:type="dxa"/>
            </w:tcMar>
            <w:vAlign w:val="bottom"/>
            <w:hideMark/>
          </w:tcPr>
          <w:p w:rsidR="00824C3A" w:rsidRPr="001C5091" w:rsidP="00291426" w14:paraId="76CDC196" w14:textId="77777777">
            <w:pPr>
              <w:jc w:val="center"/>
              <w:rPr>
                <w:rFonts w:eastAsia="Calibri"/>
                <w:bCs/>
                <w:color w:val="000000"/>
              </w:rPr>
            </w:pPr>
          </w:p>
        </w:tc>
        <w:tc>
          <w:tcPr>
            <w:tcW w:w="1376" w:type="dxa"/>
            <w:shd w:val="clear" w:color="auto" w:fill="auto"/>
            <w:vAlign w:val="bottom"/>
          </w:tcPr>
          <w:p w:rsidR="00824C3A" w:rsidRPr="001C5091" w:rsidP="00291426" w14:paraId="4E889599" w14:textId="77777777">
            <w:pPr>
              <w:jc w:val="center"/>
              <w:rPr>
                <w:rFonts w:eastAsia="Calibri"/>
              </w:rPr>
            </w:pPr>
          </w:p>
        </w:tc>
        <w:tc>
          <w:tcPr>
            <w:tcW w:w="1376" w:type="dxa"/>
            <w:shd w:val="clear" w:color="auto" w:fill="auto"/>
            <w:noWrap/>
            <w:tcMar>
              <w:top w:w="0" w:type="dxa"/>
              <w:left w:w="108" w:type="dxa"/>
              <w:bottom w:w="0" w:type="dxa"/>
              <w:right w:w="108" w:type="dxa"/>
            </w:tcMar>
            <w:vAlign w:val="bottom"/>
            <w:hideMark/>
          </w:tcPr>
          <w:p w:rsidR="00824C3A" w:rsidRPr="001C5091" w:rsidP="00291426" w14:paraId="68DFDD08" w14:textId="77777777">
            <w:pPr>
              <w:jc w:val="center"/>
            </w:pPr>
          </w:p>
        </w:tc>
        <w:tc>
          <w:tcPr>
            <w:tcW w:w="1284" w:type="dxa"/>
            <w:shd w:val="clear" w:color="auto" w:fill="auto"/>
            <w:noWrap/>
            <w:tcMar>
              <w:top w:w="0" w:type="dxa"/>
              <w:left w:w="108" w:type="dxa"/>
              <w:bottom w:w="0" w:type="dxa"/>
              <w:right w:w="108" w:type="dxa"/>
            </w:tcMar>
            <w:vAlign w:val="bottom"/>
          </w:tcPr>
          <w:p w:rsidR="00824C3A" w:rsidRPr="001C5091" w:rsidP="00291426" w14:paraId="6F2F5C90" w14:textId="77777777">
            <w:pPr>
              <w:jc w:val="center"/>
              <w:rPr>
                <w:rFonts w:eastAsia="Calibri"/>
                <w:b/>
              </w:rPr>
            </w:pPr>
          </w:p>
        </w:tc>
        <w:tc>
          <w:tcPr>
            <w:tcW w:w="1427" w:type="dxa"/>
            <w:shd w:val="clear" w:color="auto" w:fill="auto"/>
            <w:vAlign w:val="bottom"/>
          </w:tcPr>
          <w:p w:rsidR="00824C3A" w:rsidRPr="001C5091" w:rsidP="00291426" w14:paraId="06FEE64B" w14:textId="77777777">
            <w:pPr>
              <w:jc w:val="center"/>
              <w:rPr>
                <w:b/>
              </w:rPr>
            </w:pPr>
          </w:p>
        </w:tc>
        <w:tc>
          <w:tcPr>
            <w:tcW w:w="1610" w:type="dxa"/>
            <w:shd w:val="clear" w:color="auto" w:fill="auto"/>
            <w:vAlign w:val="bottom"/>
          </w:tcPr>
          <w:p w:rsidR="00824C3A" w:rsidRPr="001C5091" w:rsidP="00291426" w14:paraId="7BD586F6" w14:textId="77777777">
            <w:pPr>
              <w:jc w:val="center"/>
              <w:rPr>
                <w:b/>
              </w:rPr>
            </w:pPr>
          </w:p>
        </w:tc>
      </w:tr>
      <w:tr w14:paraId="5F776389" w14:textId="77777777" w:rsidTr="00291426">
        <w:tblPrEx>
          <w:tblW w:w="9659" w:type="dxa"/>
          <w:tblLayout w:type="fixed"/>
          <w:tblCellMar>
            <w:left w:w="0" w:type="dxa"/>
            <w:right w:w="0" w:type="dxa"/>
          </w:tblCellMar>
          <w:tblLook w:val="04A0"/>
        </w:tblPrEx>
        <w:trPr>
          <w:trHeight w:val="312"/>
        </w:trPr>
        <w:tc>
          <w:tcPr>
            <w:tcW w:w="2586" w:type="dxa"/>
            <w:noWrap/>
            <w:tcMar>
              <w:top w:w="0" w:type="dxa"/>
              <w:left w:w="108" w:type="dxa"/>
              <w:bottom w:w="0" w:type="dxa"/>
              <w:right w:w="108" w:type="dxa"/>
            </w:tcMar>
            <w:vAlign w:val="bottom"/>
            <w:hideMark/>
          </w:tcPr>
          <w:p w:rsidR="00824C3A" w:rsidRPr="001C5091" w:rsidP="00291426" w14:paraId="3A4C211A" w14:textId="77777777">
            <w:pPr>
              <w:jc w:val="center"/>
            </w:pPr>
            <w:r>
              <w:t>Total</w:t>
            </w:r>
          </w:p>
        </w:tc>
        <w:tc>
          <w:tcPr>
            <w:tcW w:w="1376" w:type="dxa"/>
            <w:vAlign w:val="bottom"/>
          </w:tcPr>
          <w:p w:rsidR="00824C3A" w:rsidRPr="001C5091" w:rsidP="00291426" w14:paraId="159EB385" w14:textId="77777777">
            <w:pPr>
              <w:jc w:val="center"/>
              <w:rPr>
                <w:rFonts w:eastAsia="Calibri"/>
              </w:rPr>
            </w:pPr>
          </w:p>
        </w:tc>
        <w:tc>
          <w:tcPr>
            <w:tcW w:w="1376" w:type="dxa"/>
            <w:noWrap/>
            <w:tcMar>
              <w:top w:w="0" w:type="dxa"/>
              <w:left w:w="108" w:type="dxa"/>
              <w:bottom w:w="0" w:type="dxa"/>
              <w:right w:w="108" w:type="dxa"/>
            </w:tcMar>
            <w:vAlign w:val="bottom"/>
            <w:hideMark/>
          </w:tcPr>
          <w:p w:rsidR="00824C3A" w:rsidRPr="001C5091" w:rsidP="00291426" w14:paraId="0459BD54" w14:textId="77777777">
            <w:pPr>
              <w:jc w:val="center"/>
            </w:pPr>
          </w:p>
        </w:tc>
        <w:tc>
          <w:tcPr>
            <w:tcW w:w="1284" w:type="dxa"/>
            <w:noWrap/>
            <w:tcMar>
              <w:top w:w="0" w:type="dxa"/>
              <w:left w:w="108" w:type="dxa"/>
              <w:bottom w:w="0" w:type="dxa"/>
              <w:right w:w="108" w:type="dxa"/>
            </w:tcMar>
            <w:vAlign w:val="bottom"/>
            <w:hideMark/>
          </w:tcPr>
          <w:p w:rsidR="00824C3A" w:rsidRPr="001C5091" w:rsidP="00291426" w14:paraId="01C0E1FD" w14:textId="77777777">
            <w:pPr>
              <w:jc w:val="center"/>
            </w:pPr>
          </w:p>
        </w:tc>
        <w:tc>
          <w:tcPr>
            <w:tcW w:w="1427" w:type="dxa"/>
            <w:vAlign w:val="bottom"/>
          </w:tcPr>
          <w:p w:rsidR="00824C3A" w:rsidRPr="001C5091" w:rsidP="00291426" w14:paraId="5FAA494D" w14:textId="77777777">
            <w:pPr>
              <w:jc w:val="center"/>
            </w:pPr>
          </w:p>
        </w:tc>
        <w:tc>
          <w:tcPr>
            <w:tcW w:w="1610" w:type="dxa"/>
            <w:vAlign w:val="bottom"/>
          </w:tcPr>
          <w:p w:rsidR="00824C3A" w:rsidRPr="001C5091" w:rsidP="00291426" w14:paraId="22CAF721" w14:textId="5F8DD000">
            <w:pPr>
              <w:jc w:val="center"/>
            </w:pPr>
            <w:r>
              <w:t>171,495</w:t>
            </w:r>
          </w:p>
        </w:tc>
      </w:tr>
    </w:tbl>
    <w:p w:rsidR="0037291F" w:rsidRPr="0037291F" w:rsidP="0037291F" w14:paraId="0DBBBAA0" w14:textId="77777777">
      <w:pPr>
        <w:widowControl w:val="0"/>
        <w:adjustRightInd w:val="0"/>
        <w:snapToGrid w:val="0"/>
        <w:spacing w:after="0" w:line="240" w:lineRule="auto"/>
        <w:jc w:val="center"/>
        <w:rPr>
          <w:rFonts w:ascii="Times New Roman" w:eastAsia="Times New Roman" w:hAnsi="Times New Roman" w:cs="Times New Roman"/>
          <w:color w:val="0000FF"/>
          <w:sz w:val="24"/>
          <w:szCs w:val="24"/>
        </w:rPr>
      </w:pPr>
    </w:p>
    <w:p w:rsidR="00ED71F6" w:rsidP="00FF72FC" w14:paraId="74030D3D" w14:textId="44485871">
      <w:pPr>
        <w:rPr>
          <w:sz w:val="16"/>
          <w:szCs w:val="16"/>
        </w:rPr>
      </w:pPr>
      <w:r>
        <w:t>*</w:t>
      </w:r>
      <w:r w:rsidR="00B741BE">
        <w:t>*</w:t>
      </w:r>
      <w:r w:rsidRPr="00B741BE">
        <w:rPr>
          <w:sz w:val="16"/>
          <w:szCs w:val="16"/>
        </w:rPr>
        <w:t>the Salary in table above is cited from</w:t>
      </w:r>
      <w:r w:rsidR="002E60BB">
        <w:rPr>
          <w:sz w:val="16"/>
          <w:szCs w:val="16"/>
        </w:rPr>
        <w:t xml:space="preserve"> </w:t>
      </w:r>
      <w:hyperlink r:id="rId11" w:history="1">
        <w:r w:rsidRPr="0094485D" w:rsidR="002E60BB">
          <w:rPr>
            <w:rStyle w:val="Hyperlink"/>
            <w:sz w:val="16"/>
            <w:szCs w:val="16"/>
          </w:rPr>
          <w:t>https://www.opm.gov/policy-data-oversight/pay-leave/salaries-wages/salary-tables/pdf/2024/DCB.pdf</w:t>
        </w:r>
      </w:hyperlink>
      <w:r w:rsidR="002E60BB">
        <w:rPr>
          <w:sz w:val="16"/>
          <w:szCs w:val="16"/>
        </w:rPr>
        <w:t>.</w:t>
      </w:r>
    </w:p>
    <w:p w:rsidR="0037291F" w:rsidP="00FF72FC" w14:paraId="134E7E5A" w14:textId="77777777"/>
    <w:p w:rsidR="00FF72FC" w:rsidRPr="00E35DD1" w:rsidP="00CA3074" w14:paraId="4551EBE8" w14:textId="77777777">
      <w:pPr>
        <w:pStyle w:val="Heading2"/>
      </w:pPr>
      <w:bookmarkStart w:id="44" w:name="_Toc174029916"/>
      <w:r w:rsidRPr="00E35DD1">
        <w:t>A.15</w:t>
      </w:r>
      <w:r w:rsidRPr="00E35DD1">
        <w:tab/>
        <w:t>Explanation for Program Changes or Adjustments</w:t>
      </w:r>
      <w:bookmarkEnd w:id="44"/>
    </w:p>
    <w:p w:rsidR="002E60BB" w:rsidP="002E60BB" w14:paraId="09C04F81" w14:textId="6AC9746D">
      <w:pPr>
        <w:spacing w:line="480" w:lineRule="auto"/>
      </w:pPr>
      <w:bookmarkStart w:id="45" w:name="_Toc443881759"/>
      <w:bookmarkStart w:id="46" w:name="_Toc451592246"/>
      <w:bookmarkStart w:id="47" w:name="_Toc5610287"/>
      <w:bookmarkStart w:id="48" w:name="_Toc99178793"/>
      <w:r w:rsidRPr="005C32A8">
        <w:rPr>
          <w:highlight w:val="yellow"/>
        </w:rPr>
        <w:t xml:space="preserve">This revision request </w:t>
      </w:r>
      <w:r>
        <w:rPr>
          <w:highlight w:val="yellow"/>
        </w:rPr>
        <w:t xml:space="preserve">includes an estimated increase of 50,098 burden hours to align with the changes being implemented to the RPPR and Final RPPR for the collection of progress report information on the approved DMS Plan provide a structured, rather than free text, mechanism to report on information that was already required with the implementation of the 2023 NIH DMS Policy. </w:t>
      </w:r>
      <w:r w:rsidRPr="005C32A8">
        <w:rPr>
          <w:highlight w:val="yellow"/>
        </w:rPr>
        <w:t xml:space="preserve">The changes to the Training Data Tables are streamlining and clarifying the field elements and instructions but are not inherently changing the overall information being collected. The information collection that will be retained when the NIH Biographical Sketch Supplement replaces the NIH </w:t>
      </w:r>
      <w:r w:rsidRPr="005C32A8">
        <w:rPr>
          <w:highlight w:val="yellow"/>
        </w:rPr>
        <w:t>Biosketch</w:t>
      </w:r>
      <w:r w:rsidRPr="005C32A8">
        <w:rPr>
          <w:highlight w:val="yellow"/>
        </w:rPr>
        <w:t xml:space="preserve"> format are the narrative portions of that instrument that account for the majority of the burden. The addition of the NIH Biographical Sketch Supplement does not increase the overall burden as it will replace the NIH </w:t>
      </w:r>
      <w:r w:rsidRPr="005C32A8">
        <w:rPr>
          <w:highlight w:val="yellow"/>
        </w:rPr>
        <w:t>Biosketch</w:t>
      </w:r>
      <w:r w:rsidRPr="005C32A8">
        <w:rPr>
          <w:highlight w:val="yellow"/>
        </w:rPr>
        <w:t xml:space="preserve"> Format upon its implementation. In summary, the overall estimates to burden are not anticipated to change. </w:t>
      </w:r>
      <w:r>
        <w:rPr>
          <w:highlight w:val="yellow"/>
        </w:rPr>
        <w:t xml:space="preserve">The new estimated total annualized burden hours </w:t>
      </w:r>
      <w:r w:rsidRPr="00F86DA6">
        <w:rPr>
          <w:highlight w:val="yellow"/>
        </w:rPr>
        <w:t>are 629,088 hours. N</w:t>
      </w:r>
      <w:r w:rsidRPr="005C32A8">
        <w:rPr>
          <w:highlight w:val="yellow"/>
        </w:rPr>
        <w:t>IH is engaging in on-going efforts to evaluate the assessment of burden estimates how to improve them.</w:t>
      </w:r>
    </w:p>
    <w:p w:rsidR="00BC377B" w:rsidP="00BC377B" w14:paraId="66A9892A" w14:textId="77777777">
      <w:pPr>
        <w:ind w:right="-684"/>
      </w:pPr>
    </w:p>
    <w:p w:rsidR="00BC377B" w:rsidP="00BC377B" w14:paraId="1100097F" w14:textId="77777777">
      <w:pPr>
        <w:ind w:right="-684"/>
        <w:rPr>
          <w:bCs/>
        </w:rPr>
      </w:pPr>
      <w:r w:rsidRPr="00A37F8D">
        <w:rPr>
          <w:bCs/>
          <w:highlight w:val="yellow"/>
        </w:rPr>
        <w:t>A Summary Table of Noteworthy Changes or Adjustments:</w:t>
      </w:r>
      <w:r w:rsidRPr="0005792F">
        <w:rPr>
          <w:bCs/>
        </w:rPr>
        <w:t xml:space="preserve"> </w:t>
      </w:r>
    </w:p>
    <w:tbl>
      <w:tblPr>
        <w:tblStyle w:val="TableGrid"/>
        <w:tblW w:w="0" w:type="auto"/>
        <w:tblLook w:val="04A0"/>
      </w:tblPr>
      <w:tblGrid>
        <w:gridCol w:w="3710"/>
        <w:gridCol w:w="5640"/>
      </w:tblGrid>
      <w:tr w14:paraId="3B6FB99E" w14:textId="77777777" w:rsidTr="00291426">
        <w:tblPrEx>
          <w:tblW w:w="0" w:type="auto"/>
          <w:tblLook w:val="04A0"/>
        </w:tblPrEx>
        <w:trPr>
          <w:trHeight w:val="331"/>
        </w:trPr>
        <w:tc>
          <w:tcPr>
            <w:tcW w:w="3710" w:type="dxa"/>
            <w:hideMark/>
          </w:tcPr>
          <w:p w:rsidR="00287676" w:rsidRPr="00A349A9" w:rsidP="00291426" w14:paraId="2AE3D6AC" w14:textId="77777777">
            <w:pPr>
              <w:jc w:val="center"/>
              <w:rPr>
                <w:b/>
                <w:bCs/>
                <w:color w:val="000000"/>
                <w:u w:val="single"/>
              </w:rPr>
            </w:pPr>
            <w:r w:rsidRPr="00A349A9">
              <w:rPr>
                <w:b/>
                <w:bCs/>
                <w:color w:val="000000"/>
                <w:u w:val="single"/>
              </w:rPr>
              <w:t>Form</w:t>
            </w:r>
          </w:p>
        </w:tc>
        <w:tc>
          <w:tcPr>
            <w:tcW w:w="5640" w:type="dxa"/>
            <w:hideMark/>
          </w:tcPr>
          <w:p w:rsidR="00287676" w:rsidRPr="00A349A9" w:rsidP="00291426" w14:paraId="01AF417B" w14:textId="77777777">
            <w:pPr>
              <w:jc w:val="center"/>
              <w:rPr>
                <w:b/>
                <w:bCs/>
                <w:color w:val="000000"/>
                <w:u w:val="single"/>
              </w:rPr>
            </w:pPr>
            <w:r w:rsidRPr="00A349A9">
              <w:rPr>
                <w:b/>
                <w:bCs/>
                <w:color w:val="000000"/>
                <w:u w:val="single"/>
              </w:rPr>
              <w:t>Adjustments</w:t>
            </w:r>
          </w:p>
        </w:tc>
      </w:tr>
      <w:tr w14:paraId="5204E122" w14:textId="77777777" w:rsidTr="00291426">
        <w:tblPrEx>
          <w:tblW w:w="0" w:type="auto"/>
          <w:tblLook w:val="04A0"/>
        </w:tblPrEx>
        <w:trPr>
          <w:trHeight w:val="564"/>
        </w:trPr>
        <w:tc>
          <w:tcPr>
            <w:tcW w:w="3710" w:type="dxa"/>
          </w:tcPr>
          <w:p w:rsidR="00287676" w:rsidRPr="00B232E1" w:rsidP="00291426" w14:paraId="4830A323" w14:textId="77777777">
            <w:pPr>
              <w:rPr>
                <w:color w:val="000000"/>
                <w:highlight w:val="yellow"/>
              </w:rPr>
            </w:pPr>
            <w:r w:rsidRPr="00B232E1">
              <w:rPr>
                <w:color w:val="000000"/>
                <w:highlight w:val="yellow"/>
              </w:rPr>
              <w:t>Attachment 3-4:</w:t>
            </w:r>
          </w:p>
          <w:p w:rsidR="00287676" w:rsidRPr="00B232E1" w:rsidP="00291426" w14:paraId="0CEF642A" w14:textId="77777777">
            <w:pPr>
              <w:rPr>
                <w:color w:val="000000"/>
                <w:highlight w:val="yellow"/>
              </w:rPr>
            </w:pPr>
            <w:r w:rsidRPr="00B232E1">
              <w:rPr>
                <w:color w:val="000000"/>
                <w:highlight w:val="yellow"/>
              </w:rPr>
              <w:t>PHS 2590 Forms and Instructions</w:t>
            </w:r>
          </w:p>
        </w:tc>
        <w:tc>
          <w:tcPr>
            <w:tcW w:w="5640" w:type="dxa"/>
          </w:tcPr>
          <w:p w:rsidR="00287676" w:rsidRPr="00B232E1" w:rsidP="00291426" w14:paraId="56E248B1" w14:textId="77777777">
            <w:pPr>
              <w:rPr>
                <w:rFonts w:cs="Arial"/>
                <w:color w:val="000000"/>
                <w:highlight w:val="yellow"/>
              </w:rPr>
            </w:pPr>
            <w:r w:rsidRPr="00B232E1">
              <w:rPr>
                <w:rFonts w:cs="Arial"/>
                <w:color w:val="000000"/>
                <w:highlight w:val="yellow"/>
              </w:rPr>
              <w:t xml:space="preserve">Updated and further streamlined form and instructions to align with previous clearances and minor copy editing. </w:t>
            </w:r>
          </w:p>
          <w:p w:rsidR="00287676" w:rsidRPr="00B232E1" w:rsidP="00291426" w14:paraId="420B994C" w14:textId="77777777">
            <w:pPr>
              <w:rPr>
                <w:color w:val="000000"/>
                <w:highlight w:val="yellow"/>
              </w:rPr>
            </w:pPr>
          </w:p>
        </w:tc>
      </w:tr>
      <w:tr w14:paraId="52BF2E20" w14:textId="77777777" w:rsidTr="00291426">
        <w:tblPrEx>
          <w:tblW w:w="0" w:type="auto"/>
          <w:tblLook w:val="04A0"/>
        </w:tblPrEx>
        <w:trPr>
          <w:trHeight w:val="564"/>
        </w:trPr>
        <w:tc>
          <w:tcPr>
            <w:tcW w:w="3710" w:type="dxa"/>
          </w:tcPr>
          <w:p w:rsidR="00287676" w:rsidRPr="00B232E1" w:rsidP="00291426" w14:paraId="203DBE1B" w14:textId="77777777">
            <w:pPr>
              <w:rPr>
                <w:color w:val="000000"/>
                <w:highlight w:val="yellow"/>
              </w:rPr>
            </w:pPr>
            <w:r w:rsidRPr="00B232E1">
              <w:rPr>
                <w:color w:val="000000"/>
                <w:highlight w:val="yellow"/>
              </w:rPr>
              <w:t>Attachment 5 and 6:</w:t>
            </w:r>
          </w:p>
          <w:p w:rsidR="00287676" w:rsidRPr="00B232E1" w:rsidP="00291426" w14:paraId="7BB2C2BC" w14:textId="77777777">
            <w:pPr>
              <w:rPr>
                <w:color w:val="000000"/>
                <w:highlight w:val="yellow"/>
              </w:rPr>
            </w:pPr>
            <w:r w:rsidRPr="00B232E1">
              <w:rPr>
                <w:color w:val="000000"/>
                <w:highlight w:val="yellow"/>
              </w:rPr>
              <w:t>RPPR/Final RPPR core data and instructions</w:t>
            </w:r>
          </w:p>
        </w:tc>
        <w:tc>
          <w:tcPr>
            <w:tcW w:w="5640" w:type="dxa"/>
          </w:tcPr>
          <w:p w:rsidR="00287676" w:rsidRPr="00B232E1" w:rsidP="00291426" w14:paraId="13E59797" w14:textId="77777777">
            <w:pPr>
              <w:rPr>
                <w:color w:val="000000"/>
                <w:highlight w:val="yellow"/>
              </w:rPr>
            </w:pPr>
            <w:r w:rsidRPr="00B232E1">
              <w:rPr>
                <w:color w:val="000000"/>
                <w:highlight w:val="yellow"/>
              </w:rPr>
              <w:t xml:space="preserve">Updated instructions for C.5. subsections for reporting progress on data management and sharing activities, if applicable. </w:t>
            </w:r>
          </w:p>
          <w:p w:rsidR="00287676" w:rsidRPr="00B232E1" w:rsidP="00291426" w14:paraId="69F547E8" w14:textId="77777777">
            <w:pPr>
              <w:rPr>
                <w:color w:val="000000"/>
                <w:highlight w:val="yellow"/>
              </w:rPr>
            </w:pPr>
          </w:p>
          <w:p w:rsidR="00287676" w:rsidRPr="00B232E1" w:rsidP="00291426" w14:paraId="01D47723" w14:textId="77777777">
            <w:pPr>
              <w:rPr>
                <w:color w:val="000000"/>
                <w:highlight w:val="yellow"/>
              </w:rPr>
            </w:pPr>
            <w:r w:rsidRPr="00B232E1">
              <w:rPr>
                <w:color w:val="000000"/>
                <w:highlight w:val="yellow"/>
              </w:rPr>
              <w:t>Updated instructions for SBIR/STTR RPPRs required to address any changes to the SBIR/STTR Foreign Disclosure Form (Required Disclosures of Foreign Affiliations or Relationships to Foreign Countries [Exempt from Paperwork Reduction Act by SBIR and STTR Extension Act of 2022, P.L.  117-183]).</w:t>
            </w:r>
          </w:p>
          <w:p w:rsidR="00287676" w:rsidRPr="00B232E1" w:rsidP="00291426" w14:paraId="4EEB23C0" w14:textId="77777777">
            <w:pPr>
              <w:rPr>
                <w:color w:val="000000"/>
                <w:highlight w:val="yellow"/>
              </w:rPr>
            </w:pPr>
          </w:p>
          <w:p w:rsidR="00287676" w:rsidRPr="00B232E1" w:rsidP="00291426" w14:paraId="4521581C" w14:textId="77777777">
            <w:pPr>
              <w:rPr>
                <w:color w:val="000000"/>
                <w:highlight w:val="yellow"/>
              </w:rPr>
            </w:pPr>
            <w:r w:rsidRPr="00B232E1">
              <w:rPr>
                <w:color w:val="000000"/>
                <w:highlight w:val="yellow"/>
              </w:rPr>
              <w:t>Minor text updates.</w:t>
            </w:r>
          </w:p>
          <w:p w:rsidR="00070431" w:rsidRPr="00B232E1" w:rsidP="00291426" w14:paraId="2DC752C5" w14:textId="77777777">
            <w:pPr>
              <w:rPr>
                <w:color w:val="000000"/>
                <w:highlight w:val="yellow"/>
              </w:rPr>
            </w:pPr>
          </w:p>
        </w:tc>
      </w:tr>
      <w:tr w14:paraId="798D894B" w14:textId="77777777" w:rsidTr="00291426">
        <w:tblPrEx>
          <w:tblW w:w="0" w:type="auto"/>
          <w:tblLook w:val="04A0"/>
        </w:tblPrEx>
        <w:trPr>
          <w:trHeight w:val="564"/>
        </w:trPr>
        <w:tc>
          <w:tcPr>
            <w:tcW w:w="3710" w:type="dxa"/>
          </w:tcPr>
          <w:p w:rsidR="00287676" w:rsidRPr="00B232E1" w:rsidP="00291426" w14:paraId="0B59644F" w14:textId="77777777">
            <w:pPr>
              <w:spacing w:line="276" w:lineRule="auto"/>
              <w:rPr>
                <w:rFonts w:cs="Arial"/>
                <w:color w:val="000000"/>
                <w:highlight w:val="yellow"/>
              </w:rPr>
            </w:pPr>
            <w:r w:rsidRPr="00B232E1">
              <w:rPr>
                <w:rFonts w:cs="Arial"/>
                <w:color w:val="000000"/>
                <w:highlight w:val="yellow"/>
              </w:rPr>
              <w:t>Attachment 8A_Att A2/8B_Att B/9A_Att A1:</w:t>
            </w:r>
          </w:p>
          <w:p w:rsidR="00287676" w:rsidRPr="00B232E1" w:rsidP="00291426" w14:paraId="7F69E6A3" w14:textId="77777777">
            <w:pPr>
              <w:spacing w:line="276" w:lineRule="auto"/>
              <w:rPr>
                <w:rFonts w:cs="Arial"/>
                <w:color w:val="000000"/>
                <w:highlight w:val="yellow"/>
              </w:rPr>
            </w:pPr>
            <w:r w:rsidRPr="00B232E1">
              <w:rPr>
                <w:rFonts w:cs="Arial"/>
                <w:color w:val="000000"/>
                <w:highlight w:val="yellow"/>
              </w:rPr>
              <w:t>Biosketch</w:t>
            </w:r>
            <w:r w:rsidRPr="00B232E1">
              <w:rPr>
                <w:rFonts w:cs="Arial"/>
                <w:color w:val="000000"/>
                <w:highlight w:val="yellow"/>
              </w:rPr>
              <w:t xml:space="preserve"> (Non-fellowship) </w:t>
            </w:r>
          </w:p>
          <w:p w:rsidR="00287676" w:rsidRPr="00B232E1" w:rsidP="00291426" w14:paraId="1CC20768" w14:textId="77777777">
            <w:pPr>
              <w:spacing w:line="276" w:lineRule="auto"/>
              <w:rPr>
                <w:rFonts w:cs="Arial"/>
                <w:color w:val="000000"/>
                <w:highlight w:val="yellow"/>
              </w:rPr>
            </w:pPr>
            <w:r w:rsidRPr="00B232E1">
              <w:rPr>
                <w:rFonts w:cs="Arial"/>
                <w:color w:val="000000"/>
                <w:highlight w:val="yellow"/>
              </w:rPr>
              <w:t xml:space="preserve">General and Fellowship </w:t>
            </w:r>
            <w:r w:rsidRPr="00B232E1">
              <w:rPr>
                <w:rFonts w:cs="Arial"/>
                <w:color w:val="000000"/>
                <w:highlight w:val="yellow"/>
              </w:rPr>
              <w:t>Biosketch</w:t>
            </w:r>
            <w:r w:rsidRPr="00B232E1">
              <w:rPr>
                <w:rFonts w:cs="Arial"/>
                <w:color w:val="000000"/>
                <w:highlight w:val="yellow"/>
              </w:rPr>
              <w:t xml:space="preserve"> Instructions</w:t>
            </w:r>
          </w:p>
          <w:p w:rsidR="00287676" w:rsidRPr="00B232E1" w:rsidP="00291426" w14:paraId="5AA2F4ED" w14:textId="77777777">
            <w:pPr>
              <w:spacing w:line="276" w:lineRule="auto"/>
              <w:rPr>
                <w:rFonts w:cs="Arial"/>
                <w:color w:val="000000"/>
                <w:highlight w:val="yellow"/>
              </w:rPr>
            </w:pPr>
            <w:r w:rsidRPr="00B232E1">
              <w:rPr>
                <w:rFonts w:cs="Arial"/>
                <w:color w:val="000000"/>
                <w:highlight w:val="yellow"/>
              </w:rPr>
              <w:t>Biosketch</w:t>
            </w:r>
            <w:r w:rsidRPr="00B232E1">
              <w:rPr>
                <w:rFonts w:cs="Arial"/>
                <w:color w:val="000000"/>
                <w:highlight w:val="yellow"/>
              </w:rPr>
              <w:t xml:space="preserve"> (Fellowship)</w:t>
            </w:r>
          </w:p>
          <w:p w:rsidR="00287676" w:rsidRPr="00B232E1" w:rsidP="00291426" w14:paraId="389B0143" w14:textId="77777777">
            <w:pPr>
              <w:spacing w:line="276" w:lineRule="auto"/>
              <w:rPr>
                <w:rFonts w:cs="Arial"/>
                <w:color w:val="000000"/>
                <w:highlight w:val="yellow"/>
              </w:rPr>
            </w:pPr>
          </w:p>
        </w:tc>
        <w:tc>
          <w:tcPr>
            <w:tcW w:w="5640" w:type="dxa"/>
          </w:tcPr>
          <w:p w:rsidR="00287676" w:rsidRPr="00B232E1" w:rsidP="00291426" w14:paraId="2D8C4706" w14:textId="4711C166">
            <w:pPr>
              <w:rPr>
                <w:color w:val="000000"/>
                <w:highlight w:val="yellow"/>
              </w:rPr>
            </w:pPr>
            <w:r w:rsidRPr="00B232E1">
              <w:rPr>
                <w:rFonts w:cs="Arial"/>
                <w:color w:val="000000"/>
                <w:highlight w:val="yellow"/>
              </w:rPr>
              <w:t>Will no longer be used for due dates on or after May 25, 2025. Will be replace</w:t>
            </w:r>
            <w:r w:rsidRPr="003B5312">
              <w:rPr>
                <w:rFonts w:cs="Arial"/>
                <w:color w:val="000000"/>
                <w:highlight w:val="yellow"/>
              </w:rPr>
              <w:t>d by the Common Form for Biographical Sketch (OMB Number: 3145-0279</w:t>
            </w:r>
            <w:r w:rsidRPr="003B5312" w:rsidR="003B5312">
              <w:rPr>
                <w:rFonts w:cs="Arial"/>
                <w:color w:val="000000"/>
                <w:highlight w:val="yellow"/>
              </w:rPr>
              <w:t xml:space="preserve"> Expiration Date 10/31/2026</w:t>
            </w:r>
            <w:r w:rsidRPr="003B5312">
              <w:rPr>
                <w:rFonts w:cs="Arial"/>
                <w:color w:val="000000"/>
                <w:highlight w:val="yellow"/>
              </w:rPr>
              <w:t>) an</w:t>
            </w:r>
            <w:r w:rsidRPr="00B232E1">
              <w:rPr>
                <w:rFonts w:cs="Arial"/>
                <w:color w:val="000000"/>
                <w:highlight w:val="yellow"/>
              </w:rPr>
              <w:t>d the new NIH Biographical Sketch Supplement form (see Attachment 8D-E).</w:t>
            </w:r>
          </w:p>
        </w:tc>
      </w:tr>
      <w:tr w14:paraId="00C4E130" w14:textId="77777777" w:rsidTr="00291426">
        <w:tblPrEx>
          <w:tblW w:w="0" w:type="auto"/>
          <w:tblLook w:val="04A0"/>
        </w:tblPrEx>
        <w:trPr>
          <w:trHeight w:val="564"/>
        </w:trPr>
        <w:tc>
          <w:tcPr>
            <w:tcW w:w="3710" w:type="dxa"/>
          </w:tcPr>
          <w:p w:rsidR="00287676" w:rsidRPr="00B232E1" w:rsidP="00291426" w14:paraId="45D8F376" w14:textId="4DF182C9">
            <w:pPr>
              <w:spacing w:line="276" w:lineRule="auto"/>
              <w:rPr>
                <w:rFonts w:cs="Arial"/>
                <w:color w:val="000000"/>
                <w:highlight w:val="yellow"/>
              </w:rPr>
            </w:pPr>
            <w:r w:rsidRPr="00B232E1">
              <w:rPr>
                <w:rFonts w:cs="Arial"/>
                <w:color w:val="000000"/>
                <w:highlight w:val="yellow"/>
              </w:rPr>
              <w:t>Attachment 8D:</w:t>
            </w:r>
          </w:p>
          <w:p w:rsidR="00287676" w:rsidRPr="00B232E1" w:rsidP="00291426" w14:paraId="2F00E164" w14:textId="77777777">
            <w:pPr>
              <w:spacing w:line="276" w:lineRule="auto"/>
              <w:rPr>
                <w:rFonts w:cs="Arial"/>
                <w:color w:val="000000"/>
                <w:highlight w:val="yellow"/>
              </w:rPr>
            </w:pPr>
            <w:r w:rsidRPr="00B232E1">
              <w:rPr>
                <w:rFonts w:cs="Arial"/>
                <w:color w:val="000000"/>
                <w:highlight w:val="yellow"/>
              </w:rPr>
              <w:t>NIH Biographical Sketch Supplement and Instructions</w:t>
            </w:r>
          </w:p>
        </w:tc>
        <w:tc>
          <w:tcPr>
            <w:tcW w:w="5640" w:type="dxa"/>
          </w:tcPr>
          <w:p w:rsidR="00287676" w:rsidRPr="00B232E1" w:rsidP="00291426" w14:paraId="59F82902" w14:textId="28A6CBFF">
            <w:pPr>
              <w:rPr>
                <w:rFonts w:cs="Arial"/>
                <w:color w:val="000000"/>
                <w:highlight w:val="yellow"/>
              </w:rPr>
            </w:pPr>
            <w:r w:rsidRPr="00B232E1">
              <w:rPr>
                <w:rFonts w:cs="Arial"/>
                <w:color w:val="000000"/>
                <w:highlight w:val="yellow"/>
              </w:rPr>
              <w:t xml:space="preserve">New NIH Biographical Sketch Supplement form and instructions that will replace the current NIH </w:t>
            </w:r>
            <w:r w:rsidRPr="00B232E1">
              <w:rPr>
                <w:rFonts w:cs="Arial"/>
                <w:color w:val="000000"/>
                <w:highlight w:val="yellow"/>
              </w:rPr>
              <w:t>Biosketch</w:t>
            </w:r>
            <w:r w:rsidRPr="00B232E1">
              <w:rPr>
                <w:rFonts w:cs="Arial"/>
                <w:color w:val="000000"/>
                <w:highlight w:val="yellow"/>
              </w:rPr>
              <w:t xml:space="preserve"> format page for both fellowship and non-fellowship applications effective for due dates on or after May 25, 2025 when NIH transitions to the Common Forms for Biographical Sketch and Current and Pending (Other) Support (OMB Number: 3145-0279</w:t>
            </w:r>
            <w:r w:rsidRPr="003B5312" w:rsidR="003B5312">
              <w:rPr>
                <w:rFonts w:cs="Arial"/>
                <w:color w:val="000000"/>
                <w:highlight w:val="yellow"/>
              </w:rPr>
              <w:t xml:space="preserve"> Expiration Date 10/31/2026)</w:t>
            </w:r>
            <w:r w:rsidRPr="00B232E1">
              <w:rPr>
                <w:rFonts w:cs="Arial"/>
                <w:color w:val="000000"/>
                <w:highlight w:val="yellow"/>
              </w:rPr>
              <w:t xml:space="preserve">. This new form will collect a subset of NIH-specific items currently on the NIH </w:t>
            </w:r>
            <w:r w:rsidRPr="00B232E1">
              <w:rPr>
                <w:rFonts w:cs="Arial"/>
                <w:color w:val="000000"/>
                <w:highlight w:val="yellow"/>
              </w:rPr>
              <w:t>Biosketch</w:t>
            </w:r>
            <w:r w:rsidRPr="00B232E1">
              <w:rPr>
                <w:rFonts w:cs="Arial"/>
                <w:color w:val="000000"/>
                <w:highlight w:val="yellow"/>
              </w:rPr>
              <w:t xml:space="preserve"> format page.</w:t>
            </w:r>
          </w:p>
          <w:p w:rsidR="003F4533" w:rsidRPr="00B232E1" w:rsidP="00291426" w14:paraId="4FD385E7" w14:textId="77777777">
            <w:pPr>
              <w:rPr>
                <w:color w:val="000000"/>
                <w:highlight w:val="yellow"/>
              </w:rPr>
            </w:pPr>
          </w:p>
        </w:tc>
      </w:tr>
      <w:tr w14:paraId="098DC17D" w14:textId="77777777" w:rsidTr="00291426">
        <w:tblPrEx>
          <w:tblW w:w="0" w:type="auto"/>
          <w:tblLook w:val="04A0"/>
        </w:tblPrEx>
        <w:trPr>
          <w:trHeight w:val="564"/>
        </w:trPr>
        <w:tc>
          <w:tcPr>
            <w:tcW w:w="3710" w:type="dxa"/>
          </w:tcPr>
          <w:p w:rsidR="00287676" w:rsidRPr="00B232E1" w:rsidP="00291426" w14:paraId="1BFFA1FE" w14:textId="77777777">
            <w:pPr>
              <w:spacing w:line="276" w:lineRule="auto"/>
              <w:rPr>
                <w:rFonts w:cs="Arial"/>
                <w:color w:val="000000"/>
                <w:highlight w:val="yellow"/>
              </w:rPr>
            </w:pPr>
            <w:r w:rsidRPr="00B232E1">
              <w:rPr>
                <w:rFonts w:cs="Arial"/>
                <w:color w:val="000000"/>
                <w:highlight w:val="yellow"/>
              </w:rPr>
              <w:t>Attachment 10A-D:</w:t>
            </w:r>
          </w:p>
          <w:p w:rsidR="00287676" w:rsidRPr="00B232E1" w:rsidP="00291426" w14:paraId="38F63F8D" w14:textId="77777777">
            <w:pPr>
              <w:rPr>
                <w:color w:val="000000"/>
                <w:highlight w:val="yellow"/>
              </w:rPr>
            </w:pPr>
            <w:r w:rsidRPr="00B232E1">
              <w:rPr>
                <w:rFonts w:cs="Arial"/>
                <w:color w:val="000000"/>
                <w:highlight w:val="yellow"/>
              </w:rPr>
              <w:t>Training Data Tables</w:t>
            </w:r>
          </w:p>
        </w:tc>
        <w:tc>
          <w:tcPr>
            <w:tcW w:w="5640" w:type="dxa"/>
          </w:tcPr>
          <w:p w:rsidR="003F4533" w:rsidRPr="00B232E1" w:rsidP="003F4533" w14:paraId="765FC8C9" w14:textId="77777777">
            <w:pPr>
              <w:rPr>
                <w:rFonts w:cs="Arial"/>
                <w:color w:val="000000"/>
                <w:highlight w:val="yellow"/>
              </w:rPr>
            </w:pPr>
            <w:r w:rsidRPr="00B232E1">
              <w:rPr>
                <w:rFonts w:cs="Arial"/>
                <w:color w:val="000000"/>
                <w:highlight w:val="yellow"/>
              </w:rPr>
              <w:t xml:space="preserve">Updated table designations and formatting throughout data tables for consistent alignment with predoctoral, postdoctoral, undergraduate, etc. </w:t>
            </w:r>
          </w:p>
          <w:p w:rsidR="003F4533" w:rsidRPr="00B232E1" w:rsidP="003F4533" w14:paraId="53A6B085" w14:textId="77777777">
            <w:pPr>
              <w:rPr>
                <w:rFonts w:cs="Arial"/>
                <w:color w:val="000000"/>
                <w:highlight w:val="yellow"/>
              </w:rPr>
            </w:pPr>
          </w:p>
          <w:p w:rsidR="003F4533" w:rsidRPr="00B232E1" w:rsidP="003F4533" w14:paraId="3CCEAE91" w14:textId="77777777">
            <w:pPr>
              <w:rPr>
                <w:rFonts w:cs="Arial"/>
                <w:color w:val="000000"/>
                <w:highlight w:val="yellow"/>
              </w:rPr>
            </w:pPr>
            <w:r w:rsidRPr="00B232E1">
              <w:rPr>
                <w:rFonts w:cs="Arial"/>
                <w:color w:val="000000"/>
                <w:highlight w:val="yellow"/>
              </w:rPr>
              <w:t>Removed duplicative information covered in the RPPR.</w:t>
            </w:r>
          </w:p>
          <w:p w:rsidR="003F4533" w:rsidRPr="00B232E1" w:rsidP="003F4533" w14:paraId="600BB8C1" w14:textId="77777777">
            <w:pPr>
              <w:rPr>
                <w:rFonts w:cs="Arial"/>
                <w:color w:val="000000"/>
                <w:highlight w:val="yellow"/>
              </w:rPr>
            </w:pPr>
          </w:p>
          <w:p w:rsidR="00287676" w:rsidRPr="00B232E1" w:rsidP="003F4533" w14:paraId="571FE384" w14:textId="4642CB45">
            <w:pPr>
              <w:rPr>
                <w:rFonts w:cs="Arial"/>
                <w:color w:val="000000"/>
                <w:highlight w:val="yellow"/>
              </w:rPr>
            </w:pPr>
            <w:r w:rsidRPr="00B232E1">
              <w:rPr>
                <w:rFonts w:cs="Arial"/>
                <w:color w:val="000000"/>
                <w:highlight w:val="yellow"/>
              </w:rPr>
              <w:t>Updated and clarified instructions.</w:t>
            </w:r>
          </w:p>
          <w:p w:rsidR="003F4533" w:rsidRPr="00B232E1" w:rsidP="003F4533" w14:paraId="59F0E4FE" w14:textId="3CBBBA47">
            <w:pPr>
              <w:rPr>
                <w:color w:val="000000"/>
                <w:highlight w:val="yellow"/>
              </w:rPr>
            </w:pPr>
          </w:p>
        </w:tc>
      </w:tr>
      <w:tr w14:paraId="28F00AFB" w14:textId="77777777" w:rsidTr="00291426">
        <w:tblPrEx>
          <w:tblW w:w="0" w:type="auto"/>
          <w:tblLook w:val="04A0"/>
        </w:tblPrEx>
        <w:trPr>
          <w:trHeight w:val="564"/>
        </w:trPr>
        <w:tc>
          <w:tcPr>
            <w:tcW w:w="3710" w:type="dxa"/>
          </w:tcPr>
          <w:p w:rsidR="00287676" w:rsidRPr="00B232E1" w:rsidP="00291426" w14:paraId="1E448A64" w14:textId="77777777">
            <w:pPr>
              <w:rPr>
                <w:color w:val="000000"/>
                <w:highlight w:val="yellow"/>
              </w:rPr>
            </w:pPr>
            <w:r w:rsidRPr="00B232E1">
              <w:rPr>
                <w:color w:val="000000"/>
                <w:highlight w:val="yellow"/>
              </w:rPr>
              <w:t>Attachment 19B:</w:t>
            </w:r>
          </w:p>
          <w:p w:rsidR="00287676" w:rsidRPr="00B232E1" w:rsidP="00291426" w14:paraId="467DD7B9" w14:textId="77777777">
            <w:pPr>
              <w:rPr>
                <w:color w:val="000000"/>
                <w:highlight w:val="yellow"/>
              </w:rPr>
            </w:pPr>
            <w:r w:rsidRPr="00B232E1">
              <w:rPr>
                <w:color w:val="000000"/>
                <w:highlight w:val="yellow"/>
              </w:rPr>
              <w:t xml:space="preserve">Post-Award </w:t>
            </w:r>
            <w:r w:rsidRPr="00B232E1">
              <w:rPr>
                <w:color w:val="000000"/>
                <w:highlight w:val="yellow"/>
              </w:rPr>
              <w:t>eRA</w:t>
            </w:r>
            <w:r w:rsidRPr="00B232E1">
              <w:rPr>
                <w:color w:val="000000"/>
                <w:highlight w:val="yellow"/>
              </w:rPr>
              <w:t xml:space="preserve"> Commons Screen </w:t>
            </w:r>
            <w:r w:rsidRPr="00B232E1">
              <w:rPr>
                <w:color w:val="000000"/>
                <w:highlight w:val="yellow"/>
              </w:rPr>
              <w:t>Shots_xTrain</w:t>
            </w:r>
          </w:p>
        </w:tc>
        <w:tc>
          <w:tcPr>
            <w:tcW w:w="5640" w:type="dxa"/>
          </w:tcPr>
          <w:p w:rsidR="00287676" w:rsidRPr="00B232E1" w:rsidP="00291426" w14:paraId="64C9B34A" w14:textId="77777777">
            <w:pPr>
              <w:rPr>
                <w:color w:val="000000"/>
                <w:highlight w:val="yellow"/>
              </w:rPr>
            </w:pPr>
            <w:r w:rsidRPr="00B232E1">
              <w:rPr>
                <w:color w:val="000000"/>
                <w:highlight w:val="yellow"/>
              </w:rPr>
              <w:t xml:space="preserve">Updated screenshots to reflect most recent </w:t>
            </w:r>
            <w:r w:rsidRPr="00B232E1">
              <w:rPr>
                <w:color w:val="000000"/>
                <w:highlight w:val="yellow"/>
              </w:rPr>
              <w:t>xTrain</w:t>
            </w:r>
            <w:r w:rsidRPr="00B232E1">
              <w:rPr>
                <w:color w:val="000000"/>
                <w:highlight w:val="yellow"/>
              </w:rPr>
              <w:t xml:space="preserve"> system modernization.</w:t>
            </w:r>
          </w:p>
        </w:tc>
      </w:tr>
    </w:tbl>
    <w:p w:rsidR="00BC377B" w:rsidP="00BC377B" w14:paraId="4978FC91" w14:textId="77777777">
      <w:pPr>
        <w:ind w:right="-684"/>
        <w:rPr>
          <w:b/>
          <w:bCs/>
          <w:highlight w:val="yellow"/>
          <w:u w:val="single"/>
        </w:rPr>
      </w:pPr>
    </w:p>
    <w:p w:rsidR="00BC377B" w:rsidP="00BC377B" w14:paraId="34E337D3" w14:textId="77777777">
      <w:pPr>
        <w:spacing w:line="480" w:lineRule="auto"/>
        <w:ind w:right="-684"/>
        <w:rPr>
          <w:b/>
        </w:rPr>
      </w:pPr>
    </w:p>
    <w:p w:rsidR="00FF72FC" w:rsidRPr="005C4013" w:rsidP="00743A12" w14:paraId="4912A666" w14:textId="77777777">
      <w:pPr>
        <w:pStyle w:val="Heading2"/>
      </w:pPr>
      <w:bookmarkStart w:id="49" w:name="_Toc174029917"/>
      <w:r w:rsidRPr="005C4013">
        <w:t>A.16</w:t>
      </w:r>
      <w:r w:rsidRPr="005C4013">
        <w:tab/>
        <w:t>Plans for Tabulation and Publication and Project Time Schedule</w:t>
      </w:r>
      <w:bookmarkEnd w:id="45"/>
      <w:bookmarkEnd w:id="46"/>
      <w:bookmarkEnd w:id="47"/>
      <w:bookmarkEnd w:id="48"/>
      <w:bookmarkEnd w:id="49"/>
    </w:p>
    <w:p w:rsidR="00A2106F" w:rsidRPr="00847667" w:rsidP="00A2106F" w14:paraId="46BF30BC" w14:textId="77777777">
      <w:pPr>
        <w:pStyle w:val="BodyTextIndent"/>
        <w:spacing w:line="480" w:lineRule="auto"/>
        <w:ind w:left="0" w:right="-684"/>
        <w:rPr>
          <w:bCs/>
        </w:rPr>
      </w:pPr>
      <w:r w:rsidRPr="00847667">
        <w:rPr>
          <w:bCs/>
        </w:rPr>
        <w:t xml:space="preserve">There is no tabulation, publication, or project time schedule associated with use of forms.  </w:t>
      </w:r>
    </w:p>
    <w:p w:rsidR="00FF72FC" w:rsidRPr="00E35DD1" w:rsidP="00FF72FC" w14:paraId="6FE438DD" w14:textId="77777777"/>
    <w:p w:rsidR="00FF72FC" w:rsidRPr="005C4013" w:rsidP="00717D0F" w14:paraId="216672D1" w14:textId="77777777">
      <w:pPr>
        <w:pStyle w:val="Heading2"/>
      </w:pPr>
      <w:bookmarkStart w:id="50" w:name="_Toc174029918"/>
      <w:r w:rsidRPr="005C4013">
        <w:t>A.17</w:t>
      </w:r>
      <w:r w:rsidRPr="005C4013">
        <w:tab/>
        <w:t>Reason(s) Display of OMB Expiration Date is Inappropriate</w:t>
      </w:r>
      <w:bookmarkEnd w:id="50"/>
    </w:p>
    <w:p w:rsidR="007D4F47" w:rsidRPr="00847667" w:rsidP="007D4F47" w14:paraId="43D934E7" w14:textId="6804541B">
      <w:pPr>
        <w:spacing w:line="480" w:lineRule="auto"/>
        <w:ind w:right="-684"/>
        <w:rPr>
          <w:bCs/>
        </w:rPr>
      </w:pPr>
      <w:r w:rsidRPr="004C642A">
        <w:rPr>
          <w:bCs/>
        </w:rPr>
        <w:t xml:space="preserve">The OMB number </w:t>
      </w:r>
      <w:r>
        <w:rPr>
          <w:bCs/>
        </w:rPr>
        <w:t>and expiration date will be displayed in all electronic modules and</w:t>
      </w:r>
      <w:r w:rsidRPr="004C642A">
        <w:rPr>
          <w:bCs/>
        </w:rPr>
        <w:t xml:space="preserve"> on paper forms</w:t>
      </w:r>
      <w:r w:rsidRPr="00032804">
        <w:rPr>
          <w:bCs/>
        </w:rPr>
        <w:t xml:space="preserve">. </w:t>
      </w:r>
      <w:r>
        <w:rPr>
          <w:bCs/>
        </w:rPr>
        <w:t>Note: Forms developed by Grants.gov, under HHS, (i.e., Attachments 5</w:t>
      </w:r>
      <w:r w:rsidR="00F616E1">
        <w:rPr>
          <w:bCs/>
        </w:rPr>
        <w:t>B</w:t>
      </w:r>
      <w:r>
        <w:rPr>
          <w:bCs/>
        </w:rPr>
        <w:t>) display the OMB number and expiration date appropriately but the burden statement requires selecting a button to open the burden statement.</w:t>
      </w:r>
    </w:p>
    <w:p w:rsidR="003A21D9" w:rsidRPr="00847667" w:rsidP="003A21D9" w14:paraId="28A6B63C" w14:textId="7ECF4F8A">
      <w:pPr>
        <w:spacing w:line="480" w:lineRule="auto"/>
        <w:ind w:right="-684"/>
        <w:rPr>
          <w:bCs/>
        </w:rPr>
      </w:pPr>
    </w:p>
    <w:p w:rsidR="003A21D9" w:rsidRPr="00E35DD1" w:rsidP="00FF72FC" w14:paraId="21572EAF" w14:textId="77777777"/>
    <w:p w:rsidR="0057480E" w:rsidRPr="005C4013" w:rsidP="00717D0F" w14:paraId="7190591D" w14:textId="77777777">
      <w:pPr>
        <w:pStyle w:val="Heading2"/>
      </w:pPr>
      <w:bookmarkStart w:id="51" w:name="_Toc174029919"/>
      <w:r w:rsidRPr="005C4013">
        <w:t>A.18</w:t>
      </w:r>
      <w:r w:rsidRPr="005C4013">
        <w:tab/>
        <w:t>Exceptions to Certification for Paperwork Reduction Act Submissions</w:t>
      </w:r>
      <w:bookmarkEnd w:id="51"/>
    </w:p>
    <w:p w:rsidR="006A6181" w:rsidRPr="004E0735" w:rsidP="006A6181" w14:paraId="6CA58330" w14:textId="77777777">
      <w:pPr>
        <w:pStyle w:val="BodyTextIndent"/>
        <w:pBdr>
          <w:bottom w:val="single" w:sz="6" w:space="1" w:color="auto"/>
        </w:pBdr>
        <w:spacing w:line="480" w:lineRule="auto"/>
        <w:ind w:left="0" w:right="-684"/>
        <w:rPr>
          <w:bCs/>
        </w:rPr>
      </w:pPr>
      <w:r w:rsidRPr="00024899">
        <w:t xml:space="preserve"> </w:t>
      </w:r>
      <w:r w:rsidRPr="004E0735">
        <w:rPr>
          <w:bCs/>
        </w:rPr>
        <w:t xml:space="preserve">This project conforms to all of the 5 CFR 1320.9 requirements; no exceptions are requested. </w:t>
      </w:r>
    </w:p>
    <w:p w:rsidR="00FF72FC" w:rsidRPr="00E35DD1" w:rsidP="00FF72FC" w14:paraId="49B7AE09" w14:textId="24A6C233"/>
    <w:sectPr w:rsidSect="00FE6EA5">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403" w:rsidP="00291426"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E5403"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5403" w:rsidP="00291426"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AE5403" w:rsidP="00291426"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460F69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EB16FAA" w14:textId="59484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6C12"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41811"/>
    <w:multiLevelType w:val="hybridMultilevel"/>
    <w:tmpl w:val="DFB0F7E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A71801"/>
    <w:multiLevelType w:val="hybridMultilevel"/>
    <w:tmpl w:val="D9D69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927EB1"/>
    <w:multiLevelType w:val="hybridMultilevel"/>
    <w:tmpl w:val="D478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A11CBF"/>
    <w:multiLevelType w:val="hybridMultilevel"/>
    <w:tmpl w:val="0458150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9">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BC6E77"/>
    <w:multiLevelType w:val="hybridMultilevel"/>
    <w:tmpl w:val="2C1E043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D47C9F"/>
    <w:multiLevelType w:val="hybridMultilevel"/>
    <w:tmpl w:val="7CC03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0C14C0"/>
    <w:multiLevelType w:val="hybridMultilevel"/>
    <w:tmpl w:val="83803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F01529"/>
    <w:multiLevelType w:val="hybridMultilevel"/>
    <w:tmpl w:val="FFD4F702"/>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82195E"/>
    <w:multiLevelType w:val="hybridMultilevel"/>
    <w:tmpl w:val="DFB0F7EE"/>
    <w:lvl w:ilvl="0">
      <w:start w:val="1"/>
      <w:numFmt w:val="low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E063206"/>
    <w:multiLevelType w:val="hybridMultilevel"/>
    <w:tmpl w:val="BA6434B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39407628">
    <w:abstractNumId w:val="18"/>
  </w:num>
  <w:num w:numId="2" w16cid:durableId="2085106631">
    <w:abstractNumId w:val="4"/>
  </w:num>
  <w:num w:numId="3" w16cid:durableId="1371414105">
    <w:abstractNumId w:val="16"/>
  </w:num>
  <w:num w:numId="4" w16cid:durableId="336810384">
    <w:abstractNumId w:val="2"/>
  </w:num>
  <w:num w:numId="5" w16cid:durableId="981160037">
    <w:abstractNumId w:val="6"/>
  </w:num>
  <w:num w:numId="6" w16cid:durableId="1780176458">
    <w:abstractNumId w:val="5"/>
  </w:num>
  <w:num w:numId="7" w16cid:durableId="1613630337">
    <w:abstractNumId w:val="9"/>
  </w:num>
  <w:num w:numId="8" w16cid:durableId="75254146">
    <w:abstractNumId w:val="12"/>
  </w:num>
  <w:num w:numId="9" w16cid:durableId="1317223981">
    <w:abstractNumId w:val="11"/>
  </w:num>
  <w:num w:numId="10" w16cid:durableId="406925731">
    <w:abstractNumId w:val="17"/>
  </w:num>
  <w:num w:numId="11" w16cid:durableId="1858929036">
    <w:abstractNumId w:val="3"/>
  </w:num>
  <w:num w:numId="12" w16cid:durableId="257299486">
    <w:abstractNumId w:val="20"/>
  </w:num>
  <w:num w:numId="13" w16cid:durableId="2051373487">
    <w:abstractNumId w:val="15"/>
  </w:num>
  <w:num w:numId="14" w16cid:durableId="269319599">
    <w:abstractNumId w:val="10"/>
  </w:num>
  <w:num w:numId="15" w16cid:durableId="73283919">
    <w:abstractNumId w:val="19"/>
  </w:num>
  <w:num w:numId="16" w16cid:durableId="719326696">
    <w:abstractNumId w:val="8"/>
  </w:num>
  <w:num w:numId="17" w16cid:durableId="1535726768">
    <w:abstractNumId w:val="0"/>
  </w:num>
  <w:num w:numId="18" w16cid:durableId="455828620">
    <w:abstractNumId w:val="1"/>
  </w:num>
  <w:num w:numId="19" w16cid:durableId="1862473223">
    <w:abstractNumId w:val="13"/>
  </w:num>
  <w:num w:numId="20" w16cid:durableId="428309593">
    <w:abstractNumId w:val="7"/>
  </w:num>
  <w:num w:numId="21" w16cid:durableId="20589711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20A8"/>
    <w:rsid w:val="00003C28"/>
    <w:rsid w:val="00014772"/>
    <w:rsid w:val="00014D5B"/>
    <w:rsid w:val="00015039"/>
    <w:rsid w:val="00022D2E"/>
    <w:rsid w:val="00024899"/>
    <w:rsid w:val="000248E9"/>
    <w:rsid w:val="00026502"/>
    <w:rsid w:val="00032804"/>
    <w:rsid w:val="0004310F"/>
    <w:rsid w:val="00044ED1"/>
    <w:rsid w:val="000524BB"/>
    <w:rsid w:val="00054045"/>
    <w:rsid w:val="0005792F"/>
    <w:rsid w:val="00057E1E"/>
    <w:rsid w:val="00070431"/>
    <w:rsid w:val="00072EB1"/>
    <w:rsid w:val="00076F93"/>
    <w:rsid w:val="00090511"/>
    <w:rsid w:val="00095C92"/>
    <w:rsid w:val="000A5A76"/>
    <w:rsid w:val="000B050D"/>
    <w:rsid w:val="000B377C"/>
    <w:rsid w:val="000B65B3"/>
    <w:rsid w:val="000C28D7"/>
    <w:rsid w:val="000C3894"/>
    <w:rsid w:val="000C758E"/>
    <w:rsid w:val="000D1F92"/>
    <w:rsid w:val="000E5A9F"/>
    <w:rsid w:val="000F3043"/>
    <w:rsid w:val="00101959"/>
    <w:rsid w:val="001040A9"/>
    <w:rsid w:val="0010640E"/>
    <w:rsid w:val="001069AC"/>
    <w:rsid w:val="00111EA6"/>
    <w:rsid w:val="00114539"/>
    <w:rsid w:val="00117358"/>
    <w:rsid w:val="00120305"/>
    <w:rsid w:val="00124D68"/>
    <w:rsid w:val="00125DB3"/>
    <w:rsid w:val="00126CDB"/>
    <w:rsid w:val="00135590"/>
    <w:rsid w:val="0013562E"/>
    <w:rsid w:val="00154CCB"/>
    <w:rsid w:val="0016010F"/>
    <w:rsid w:val="0016041C"/>
    <w:rsid w:val="00162CB4"/>
    <w:rsid w:val="00170EC9"/>
    <w:rsid w:val="00182B60"/>
    <w:rsid w:val="00190C83"/>
    <w:rsid w:val="00195414"/>
    <w:rsid w:val="001A0C29"/>
    <w:rsid w:val="001B252D"/>
    <w:rsid w:val="001B3703"/>
    <w:rsid w:val="001B3739"/>
    <w:rsid w:val="001C5091"/>
    <w:rsid w:val="001D7CAD"/>
    <w:rsid w:val="001E018B"/>
    <w:rsid w:val="001E0EBE"/>
    <w:rsid w:val="001E0F8E"/>
    <w:rsid w:val="001E617A"/>
    <w:rsid w:val="001E768B"/>
    <w:rsid w:val="001F002C"/>
    <w:rsid w:val="0020073D"/>
    <w:rsid w:val="00211E23"/>
    <w:rsid w:val="002148AF"/>
    <w:rsid w:val="00221586"/>
    <w:rsid w:val="0023276A"/>
    <w:rsid w:val="00233B9B"/>
    <w:rsid w:val="00233DE4"/>
    <w:rsid w:val="0024230C"/>
    <w:rsid w:val="0024525D"/>
    <w:rsid w:val="00245CA8"/>
    <w:rsid w:val="00246611"/>
    <w:rsid w:val="002476B8"/>
    <w:rsid w:val="00252377"/>
    <w:rsid w:val="00255F7C"/>
    <w:rsid w:val="0026269B"/>
    <w:rsid w:val="002670CD"/>
    <w:rsid w:val="00267C68"/>
    <w:rsid w:val="00272FD2"/>
    <w:rsid w:val="00274A4C"/>
    <w:rsid w:val="002770FA"/>
    <w:rsid w:val="00282B33"/>
    <w:rsid w:val="00283540"/>
    <w:rsid w:val="0028414D"/>
    <w:rsid w:val="00287676"/>
    <w:rsid w:val="00291426"/>
    <w:rsid w:val="00291B8C"/>
    <w:rsid w:val="002934F2"/>
    <w:rsid w:val="00293915"/>
    <w:rsid w:val="00296BEC"/>
    <w:rsid w:val="002B1C2D"/>
    <w:rsid w:val="002B392A"/>
    <w:rsid w:val="002C3553"/>
    <w:rsid w:val="002C5D4F"/>
    <w:rsid w:val="002E393C"/>
    <w:rsid w:val="002E516F"/>
    <w:rsid w:val="002E60BB"/>
    <w:rsid w:val="002F0C48"/>
    <w:rsid w:val="002F0ED8"/>
    <w:rsid w:val="002F4317"/>
    <w:rsid w:val="002F50D7"/>
    <w:rsid w:val="002F79F0"/>
    <w:rsid w:val="002F7AC8"/>
    <w:rsid w:val="0030275C"/>
    <w:rsid w:val="00312856"/>
    <w:rsid w:val="0031560E"/>
    <w:rsid w:val="00340050"/>
    <w:rsid w:val="00344ED0"/>
    <w:rsid w:val="003478AF"/>
    <w:rsid w:val="0036135D"/>
    <w:rsid w:val="0036208F"/>
    <w:rsid w:val="00366A18"/>
    <w:rsid w:val="0037291F"/>
    <w:rsid w:val="00375435"/>
    <w:rsid w:val="00376AC9"/>
    <w:rsid w:val="00380509"/>
    <w:rsid w:val="003856DB"/>
    <w:rsid w:val="00386C76"/>
    <w:rsid w:val="00391ED0"/>
    <w:rsid w:val="0039368E"/>
    <w:rsid w:val="003948D2"/>
    <w:rsid w:val="003956E4"/>
    <w:rsid w:val="00397080"/>
    <w:rsid w:val="003A21D9"/>
    <w:rsid w:val="003B21FC"/>
    <w:rsid w:val="003B5312"/>
    <w:rsid w:val="003C069A"/>
    <w:rsid w:val="003C7724"/>
    <w:rsid w:val="003D4506"/>
    <w:rsid w:val="003D4680"/>
    <w:rsid w:val="003E1671"/>
    <w:rsid w:val="003E6A3E"/>
    <w:rsid w:val="003F1862"/>
    <w:rsid w:val="003F4533"/>
    <w:rsid w:val="004052A3"/>
    <w:rsid w:val="004107AD"/>
    <w:rsid w:val="00412090"/>
    <w:rsid w:val="00431303"/>
    <w:rsid w:val="00441896"/>
    <w:rsid w:val="00442AB0"/>
    <w:rsid w:val="00442B5B"/>
    <w:rsid w:val="00451124"/>
    <w:rsid w:val="00455CC9"/>
    <w:rsid w:val="004716CF"/>
    <w:rsid w:val="00486853"/>
    <w:rsid w:val="00486AE2"/>
    <w:rsid w:val="00487C25"/>
    <w:rsid w:val="0049063E"/>
    <w:rsid w:val="00490F83"/>
    <w:rsid w:val="0049482A"/>
    <w:rsid w:val="00497B81"/>
    <w:rsid w:val="004A11EC"/>
    <w:rsid w:val="004B2C0D"/>
    <w:rsid w:val="004B382D"/>
    <w:rsid w:val="004C4B9F"/>
    <w:rsid w:val="004C606B"/>
    <w:rsid w:val="004C642A"/>
    <w:rsid w:val="004D5B5B"/>
    <w:rsid w:val="004D7300"/>
    <w:rsid w:val="004E0735"/>
    <w:rsid w:val="004E1303"/>
    <w:rsid w:val="004E26B1"/>
    <w:rsid w:val="004F51BC"/>
    <w:rsid w:val="004F6520"/>
    <w:rsid w:val="005150E7"/>
    <w:rsid w:val="005216D6"/>
    <w:rsid w:val="005344E9"/>
    <w:rsid w:val="00535CE2"/>
    <w:rsid w:val="00536C12"/>
    <w:rsid w:val="00540A83"/>
    <w:rsid w:val="00541819"/>
    <w:rsid w:val="005422DF"/>
    <w:rsid w:val="005566AE"/>
    <w:rsid w:val="00563D6F"/>
    <w:rsid w:val="00565CA6"/>
    <w:rsid w:val="0057480E"/>
    <w:rsid w:val="00580C60"/>
    <w:rsid w:val="00583139"/>
    <w:rsid w:val="005901DE"/>
    <w:rsid w:val="00594ABC"/>
    <w:rsid w:val="005A2499"/>
    <w:rsid w:val="005A525F"/>
    <w:rsid w:val="005B1464"/>
    <w:rsid w:val="005C32A8"/>
    <w:rsid w:val="005C4013"/>
    <w:rsid w:val="005C741E"/>
    <w:rsid w:val="005D1B6A"/>
    <w:rsid w:val="005D223E"/>
    <w:rsid w:val="005D2CAF"/>
    <w:rsid w:val="005D4E5A"/>
    <w:rsid w:val="005E72AE"/>
    <w:rsid w:val="005E78AE"/>
    <w:rsid w:val="005F4A54"/>
    <w:rsid w:val="005F4F54"/>
    <w:rsid w:val="005F5A51"/>
    <w:rsid w:val="005F5C2E"/>
    <w:rsid w:val="0060177C"/>
    <w:rsid w:val="00601C17"/>
    <w:rsid w:val="00614DAF"/>
    <w:rsid w:val="00615791"/>
    <w:rsid w:val="00637D8D"/>
    <w:rsid w:val="00641209"/>
    <w:rsid w:val="00644341"/>
    <w:rsid w:val="0065164E"/>
    <w:rsid w:val="00651FA6"/>
    <w:rsid w:val="00660D48"/>
    <w:rsid w:val="0066319F"/>
    <w:rsid w:val="00671C46"/>
    <w:rsid w:val="006801EF"/>
    <w:rsid w:val="0068197C"/>
    <w:rsid w:val="00681F63"/>
    <w:rsid w:val="00683BA1"/>
    <w:rsid w:val="00685B30"/>
    <w:rsid w:val="0069308A"/>
    <w:rsid w:val="006932D1"/>
    <w:rsid w:val="006A45F9"/>
    <w:rsid w:val="006A6181"/>
    <w:rsid w:val="006A66CA"/>
    <w:rsid w:val="006B2ECD"/>
    <w:rsid w:val="006B4343"/>
    <w:rsid w:val="006B53F2"/>
    <w:rsid w:val="006B624F"/>
    <w:rsid w:val="006B6262"/>
    <w:rsid w:val="006C7118"/>
    <w:rsid w:val="006C79FD"/>
    <w:rsid w:val="006E368D"/>
    <w:rsid w:val="006F28B3"/>
    <w:rsid w:val="00700483"/>
    <w:rsid w:val="00703A8B"/>
    <w:rsid w:val="007063F8"/>
    <w:rsid w:val="00712916"/>
    <w:rsid w:val="00714BFA"/>
    <w:rsid w:val="00717158"/>
    <w:rsid w:val="00717D0F"/>
    <w:rsid w:val="00721A21"/>
    <w:rsid w:val="007277BE"/>
    <w:rsid w:val="00732841"/>
    <w:rsid w:val="00736728"/>
    <w:rsid w:val="00743A12"/>
    <w:rsid w:val="00745129"/>
    <w:rsid w:val="00746C39"/>
    <w:rsid w:val="00746FD8"/>
    <w:rsid w:val="0075072C"/>
    <w:rsid w:val="0075095C"/>
    <w:rsid w:val="00756657"/>
    <w:rsid w:val="00756DDA"/>
    <w:rsid w:val="007604E4"/>
    <w:rsid w:val="007672CA"/>
    <w:rsid w:val="00767C53"/>
    <w:rsid w:val="007730F1"/>
    <w:rsid w:val="0077453F"/>
    <w:rsid w:val="00774687"/>
    <w:rsid w:val="0078412B"/>
    <w:rsid w:val="00785B36"/>
    <w:rsid w:val="00791225"/>
    <w:rsid w:val="00792F8B"/>
    <w:rsid w:val="007A0CA3"/>
    <w:rsid w:val="007A19CA"/>
    <w:rsid w:val="007A6E6E"/>
    <w:rsid w:val="007B5FA7"/>
    <w:rsid w:val="007C083E"/>
    <w:rsid w:val="007D11BF"/>
    <w:rsid w:val="007D3802"/>
    <w:rsid w:val="007D402F"/>
    <w:rsid w:val="007D4F47"/>
    <w:rsid w:val="007D54A2"/>
    <w:rsid w:val="007D5FFB"/>
    <w:rsid w:val="007E7E3C"/>
    <w:rsid w:val="007F663C"/>
    <w:rsid w:val="00801624"/>
    <w:rsid w:val="00805884"/>
    <w:rsid w:val="00807ED4"/>
    <w:rsid w:val="00813E53"/>
    <w:rsid w:val="00816C92"/>
    <w:rsid w:val="00820D02"/>
    <w:rsid w:val="00824C3A"/>
    <w:rsid w:val="00825798"/>
    <w:rsid w:val="008359FA"/>
    <w:rsid w:val="00844818"/>
    <w:rsid w:val="00845DEE"/>
    <w:rsid w:val="00847667"/>
    <w:rsid w:val="008524CB"/>
    <w:rsid w:val="008574BF"/>
    <w:rsid w:val="008604F3"/>
    <w:rsid w:val="0086248B"/>
    <w:rsid w:val="0086693B"/>
    <w:rsid w:val="008670D5"/>
    <w:rsid w:val="008766AE"/>
    <w:rsid w:val="00882543"/>
    <w:rsid w:val="00885DB4"/>
    <w:rsid w:val="00891BA7"/>
    <w:rsid w:val="00893DC2"/>
    <w:rsid w:val="008942E9"/>
    <w:rsid w:val="00894FF4"/>
    <w:rsid w:val="00897A2E"/>
    <w:rsid w:val="008A0DFE"/>
    <w:rsid w:val="008A6EEF"/>
    <w:rsid w:val="008B3CD1"/>
    <w:rsid w:val="008B6541"/>
    <w:rsid w:val="008B75B0"/>
    <w:rsid w:val="008C3492"/>
    <w:rsid w:val="008D05CE"/>
    <w:rsid w:val="008D2027"/>
    <w:rsid w:val="008D202D"/>
    <w:rsid w:val="008D3329"/>
    <w:rsid w:val="008E4946"/>
    <w:rsid w:val="008E66AA"/>
    <w:rsid w:val="008E7BE5"/>
    <w:rsid w:val="008F0BF1"/>
    <w:rsid w:val="008F5058"/>
    <w:rsid w:val="008F62CD"/>
    <w:rsid w:val="008F721A"/>
    <w:rsid w:val="0090158F"/>
    <w:rsid w:val="009274B0"/>
    <w:rsid w:val="0094031F"/>
    <w:rsid w:val="00941822"/>
    <w:rsid w:val="0094485D"/>
    <w:rsid w:val="009747F4"/>
    <w:rsid w:val="00976490"/>
    <w:rsid w:val="00982AE6"/>
    <w:rsid w:val="0099387C"/>
    <w:rsid w:val="009969F6"/>
    <w:rsid w:val="009A0398"/>
    <w:rsid w:val="009A10D9"/>
    <w:rsid w:val="009A6B3E"/>
    <w:rsid w:val="009B03F4"/>
    <w:rsid w:val="009B0FDC"/>
    <w:rsid w:val="009C3E9D"/>
    <w:rsid w:val="009C5A8C"/>
    <w:rsid w:val="009C7EA8"/>
    <w:rsid w:val="009D510D"/>
    <w:rsid w:val="009F25F9"/>
    <w:rsid w:val="009F3292"/>
    <w:rsid w:val="00A00CF8"/>
    <w:rsid w:val="00A066FD"/>
    <w:rsid w:val="00A2106F"/>
    <w:rsid w:val="00A27C0C"/>
    <w:rsid w:val="00A33620"/>
    <w:rsid w:val="00A349A9"/>
    <w:rsid w:val="00A3727C"/>
    <w:rsid w:val="00A374BF"/>
    <w:rsid w:val="00A37F8D"/>
    <w:rsid w:val="00A400DB"/>
    <w:rsid w:val="00A40DA2"/>
    <w:rsid w:val="00A4174A"/>
    <w:rsid w:val="00A437C5"/>
    <w:rsid w:val="00A51DD4"/>
    <w:rsid w:val="00A6350F"/>
    <w:rsid w:val="00A6483A"/>
    <w:rsid w:val="00A651B7"/>
    <w:rsid w:val="00A657AB"/>
    <w:rsid w:val="00A74C52"/>
    <w:rsid w:val="00A822C8"/>
    <w:rsid w:val="00A8459C"/>
    <w:rsid w:val="00A87074"/>
    <w:rsid w:val="00A87133"/>
    <w:rsid w:val="00A902F2"/>
    <w:rsid w:val="00AA38A0"/>
    <w:rsid w:val="00AA3B1C"/>
    <w:rsid w:val="00AB28D2"/>
    <w:rsid w:val="00AB736C"/>
    <w:rsid w:val="00AC39B0"/>
    <w:rsid w:val="00AD17CA"/>
    <w:rsid w:val="00AD1DBB"/>
    <w:rsid w:val="00AE0562"/>
    <w:rsid w:val="00AE5403"/>
    <w:rsid w:val="00AE6774"/>
    <w:rsid w:val="00AF02AA"/>
    <w:rsid w:val="00AF56B8"/>
    <w:rsid w:val="00B00EB3"/>
    <w:rsid w:val="00B03736"/>
    <w:rsid w:val="00B10905"/>
    <w:rsid w:val="00B16DF6"/>
    <w:rsid w:val="00B232E1"/>
    <w:rsid w:val="00B2767E"/>
    <w:rsid w:val="00B31022"/>
    <w:rsid w:val="00B31AE3"/>
    <w:rsid w:val="00B3466F"/>
    <w:rsid w:val="00B45957"/>
    <w:rsid w:val="00B518D3"/>
    <w:rsid w:val="00B53BA3"/>
    <w:rsid w:val="00B57D68"/>
    <w:rsid w:val="00B646E7"/>
    <w:rsid w:val="00B66D3C"/>
    <w:rsid w:val="00B70C76"/>
    <w:rsid w:val="00B741BE"/>
    <w:rsid w:val="00B82A01"/>
    <w:rsid w:val="00B83DE4"/>
    <w:rsid w:val="00B93C77"/>
    <w:rsid w:val="00B95D8D"/>
    <w:rsid w:val="00B96691"/>
    <w:rsid w:val="00B97E92"/>
    <w:rsid w:val="00BA117B"/>
    <w:rsid w:val="00BA2EBD"/>
    <w:rsid w:val="00BA5CF1"/>
    <w:rsid w:val="00BB6951"/>
    <w:rsid w:val="00BC1D58"/>
    <w:rsid w:val="00BC228D"/>
    <w:rsid w:val="00BC2CBD"/>
    <w:rsid w:val="00BC377B"/>
    <w:rsid w:val="00BD2C63"/>
    <w:rsid w:val="00BE3733"/>
    <w:rsid w:val="00BE5EFA"/>
    <w:rsid w:val="00BE76A7"/>
    <w:rsid w:val="00BF048A"/>
    <w:rsid w:val="00BF491C"/>
    <w:rsid w:val="00BF5187"/>
    <w:rsid w:val="00BF6E1A"/>
    <w:rsid w:val="00C02857"/>
    <w:rsid w:val="00C02C97"/>
    <w:rsid w:val="00C2001F"/>
    <w:rsid w:val="00C24877"/>
    <w:rsid w:val="00C25A96"/>
    <w:rsid w:val="00C3071A"/>
    <w:rsid w:val="00C40F61"/>
    <w:rsid w:val="00C4161B"/>
    <w:rsid w:val="00C6331C"/>
    <w:rsid w:val="00C671F4"/>
    <w:rsid w:val="00C717E3"/>
    <w:rsid w:val="00C738DD"/>
    <w:rsid w:val="00C76797"/>
    <w:rsid w:val="00C76FE2"/>
    <w:rsid w:val="00C81370"/>
    <w:rsid w:val="00C82C4F"/>
    <w:rsid w:val="00C91499"/>
    <w:rsid w:val="00C91A93"/>
    <w:rsid w:val="00CA2D84"/>
    <w:rsid w:val="00CA3074"/>
    <w:rsid w:val="00CB36D3"/>
    <w:rsid w:val="00CC15EA"/>
    <w:rsid w:val="00CC505F"/>
    <w:rsid w:val="00CD76FA"/>
    <w:rsid w:val="00CE36FA"/>
    <w:rsid w:val="00CE50A0"/>
    <w:rsid w:val="00CF36BD"/>
    <w:rsid w:val="00CF4AA4"/>
    <w:rsid w:val="00D0563C"/>
    <w:rsid w:val="00D06AF7"/>
    <w:rsid w:val="00D1195E"/>
    <w:rsid w:val="00D177ED"/>
    <w:rsid w:val="00D20341"/>
    <w:rsid w:val="00D27A96"/>
    <w:rsid w:val="00D31F87"/>
    <w:rsid w:val="00D33EB6"/>
    <w:rsid w:val="00D34BE5"/>
    <w:rsid w:val="00D37BFF"/>
    <w:rsid w:val="00D4382C"/>
    <w:rsid w:val="00D44461"/>
    <w:rsid w:val="00D500F6"/>
    <w:rsid w:val="00D60FA7"/>
    <w:rsid w:val="00D70FDD"/>
    <w:rsid w:val="00D7280E"/>
    <w:rsid w:val="00D84114"/>
    <w:rsid w:val="00D8798B"/>
    <w:rsid w:val="00D95620"/>
    <w:rsid w:val="00DA5A6E"/>
    <w:rsid w:val="00DA6855"/>
    <w:rsid w:val="00DA6F58"/>
    <w:rsid w:val="00DB1217"/>
    <w:rsid w:val="00DB4686"/>
    <w:rsid w:val="00DB6C0C"/>
    <w:rsid w:val="00DC2FDE"/>
    <w:rsid w:val="00DC39EB"/>
    <w:rsid w:val="00DD2680"/>
    <w:rsid w:val="00DE36F4"/>
    <w:rsid w:val="00DE5570"/>
    <w:rsid w:val="00DE6823"/>
    <w:rsid w:val="00DE77BE"/>
    <w:rsid w:val="00DF326C"/>
    <w:rsid w:val="00E03967"/>
    <w:rsid w:val="00E109FF"/>
    <w:rsid w:val="00E27D96"/>
    <w:rsid w:val="00E31C90"/>
    <w:rsid w:val="00E33388"/>
    <w:rsid w:val="00E35B63"/>
    <w:rsid w:val="00E35DD1"/>
    <w:rsid w:val="00E53BE1"/>
    <w:rsid w:val="00E56374"/>
    <w:rsid w:val="00E62C84"/>
    <w:rsid w:val="00E67B10"/>
    <w:rsid w:val="00E707A5"/>
    <w:rsid w:val="00E72390"/>
    <w:rsid w:val="00E72C82"/>
    <w:rsid w:val="00E74F64"/>
    <w:rsid w:val="00E834BC"/>
    <w:rsid w:val="00E9112F"/>
    <w:rsid w:val="00E9197D"/>
    <w:rsid w:val="00E92B76"/>
    <w:rsid w:val="00E9464D"/>
    <w:rsid w:val="00E9642B"/>
    <w:rsid w:val="00E97F6A"/>
    <w:rsid w:val="00EA1CCB"/>
    <w:rsid w:val="00EA37D2"/>
    <w:rsid w:val="00EB644E"/>
    <w:rsid w:val="00EB7E3E"/>
    <w:rsid w:val="00EC24C3"/>
    <w:rsid w:val="00EC4E56"/>
    <w:rsid w:val="00EC7463"/>
    <w:rsid w:val="00ED71F6"/>
    <w:rsid w:val="00EE245F"/>
    <w:rsid w:val="00EE33D5"/>
    <w:rsid w:val="00EE5A75"/>
    <w:rsid w:val="00EF4E6C"/>
    <w:rsid w:val="00F03666"/>
    <w:rsid w:val="00F227BD"/>
    <w:rsid w:val="00F24E9A"/>
    <w:rsid w:val="00F33485"/>
    <w:rsid w:val="00F3517A"/>
    <w:rsid w:val="00F35D4D"/>
    <w:rsid w:val="00F369CC"/>
    <w:rsid w:val="00F44F2B"/>
    <w:rsid w:val="00F508A9"/>
    <w:rsid w:val="00F51F3C"/>
    <w:rsid w:val="00F57C0D"/>
    <w:rsid w:val="00F61067"/>
    <w:rsid w:val="00F616E1"/>
    <w:rsid w:val="00F7207C"/>
    <w:rsid w:val="00F86DA6"/>
    <w:rsid w:val="00F912F5"/>
    <w:rsid w:val="00F92B06"/>
    <w:rsid w:val="00FA3276"/>
    <w:rsid w:val="00FB346E"/>
    <w:rsid w:val="00FB7C1B"/>
    <w:rsid w:val="00FB7E83"/>
    <w:rsid w:val="00FC0A5A"/>
    <w:rsid w:val="00FE4FFA"/>
    <w:rsid w:val="00FE5047"/>
    <w:rsid w:val="00FE6EA5"/>
    <w:rsid w:val="00FF30CE"/>
    <w:rsid w:val="00FF72FC"/>
    <w:rsid w:val="00FF75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25A1A47E-B5AD-4D07-B223-9CC7B42F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autoRedefine/>
    <w:uiPriority w:val="9"/>
    <w:unhideWhenUsed/>
    <w:qFormat/>
    <w:rsid w:val="00743A12"/>
    <w:pPr>
      <w:keepNext/>
      <w:keepLines/>
      <w:spacing w:before="40" w:after="240" w:line="240" w:lineRule="auto"/>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uiPriority w:val="99"/>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743A12"/>
    <w:rPr>
      <w:rFonts w:asciiTheme="majorHAnsi" w:eastAsiaTheme="majorEastAsia" w:hAnsiTheme="majorHAnsi" w:cstheme="majorBidi"/>
      <w:b/>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TOC2">
    <w:name w:val="toc 2"/>
    <w:basedOn w:val="Normal"/>
    <w:next w:val="Normal"/>
    <w:autoRedefine/>
    <w:uiPriority w:val="39"/>
    <w:unhideWhenUsed/>
    <w:rsid w:val="00D70FDD"/>
    <w:pPr>
      <w:spacing w:after="100"/>
      <w:ind w:left="220"/>
    </w:pPr>
  </w:style>
  <w:style w:type="paragraph" w:styleId="BodyText">
    <w:name w:val="Body Text"/>
    <w:basedOn w:val="Normal"/>
    <w:link w:val="BodyTextChar"/>
    <w:rsid w:val="00C81370"/>
    <w:pPr>
      <w:spacing w:after="0" w:line="480" w:lineRule="auto"/>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C81370"/>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A2106F"/>
    <w:pPr>
      <w:spacing w:after="120"/>
      <w:ind w:left="360"/>
    </w:pPr>
  </w:style>
  <w:style w:type="character" w:customStyle="1" w:styleId="BodyTextIndentChar">
    <w:name w:val="Body Text Indent Char"/>
    <w:basedOn w:val="DefaultParagraphFont"/>
    <w:link w:val="BodyTextIndent"/>
    <w:uiPriority w:val="99"/>
    <w:semiHidden/>
    <w:rsid w:val="00A2106F"/>
  </w:style>
  <w:style w:type="paragraph" w:styleId="BlockText">
    <w:name w:val="Block Text"/>
    <w:basedOn w:val="Normal"/>
    <w:rsid w:val="00D1195E"/>
    <w:pPr>
      <w:spacing w:after="0" w:line="240" w:lineRule="auto"/>
      <w:ind w:left="720" w:right="720"/>
    </w:pPr>
    <w:rPr>
      <w:rFonts w:ascii="Times New Roman" w:eastAsia="Times New Roman" w:hAnsi="Times New Roman" w:cs="Times New Roman"/>
      <w:sz w:val="24"/>
      <w:szCs w:val="24"/>
    </w:rPr>
  </w:style>
  <w:style w:type="paragraph" w:styleId="Revision">
    <w:name w:val="Revision"/>
    <w:hidden/>
    <w:uiPriority w:val="99"/>
    <w:semiHidden/>
    <w:rsid w:val="00272FD2"/>
    <w:pPr>
      <w:spacing w:after="0" w:line="240" w:lineRule="auto"/>
    </w:pPr>
  </w:style>
  <w:style w:type="character" w:styleId="Mention">
    <w:name w:val="Mention"/>
    <w:basedOn w:val="DefaultParagraphFont"/>
    <w:uiPriority w:val="99"/>
    <w:unhideWhenUsed/>
    <w:rsid w:val="009274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ecec.t02.htm" TargetMode="External" /><Relationship Id="rId11" Type="http://schemas.openxmlformats.org/officeDocument/2006/relationships/hyperlink" Target="https://www.opm.gov/policy-data-oversight/pay-leave/salaries-wages/salary-tables/pdf/2024/DCB.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oma.od.nih.gov/ms/privacy/pa-files/003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349D52-3B1F-4E0F-8A3F-0FC320C440E1}">
  <ds:schemaRefs>
    <ds:schemaRef ds:uri="http://schemas.openxmlformats.org/officeDocument/2006/bibliography"/>
  </ds:schemaRefs>
</ds:datastoreItem>
</file>

<file path=customXml/itemProps3.xml><?xml version="1.0" encoding="utf-8"?>
<ds:datastoreItem xmlns:ds="http://schemas.openxmlformats.org/officeDocument/2006/customXml" ds:itemID="{01D6D024-8247-499B-8172-34349C751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E867F-921C-4ED8-BD57-05EDB42DBC1B}">
  <ds:schemaRefs>
    <ds:schemaRef ds:uri="http://schemas.microsoft.com/sharepoint/v3/contenttype/forms"/>
  </ds:schemaRefs>
</ds:datastoreItem>
</file>

<file path=customXml/itemProps5.xml><?xml version="1.0" encoding="utf-8"?>
<ds:datastoreItem xmlns:ds="http://schemas.openxmlformats.org/officeDocument/2006/customXml" ds:itemID="{E60EB285-7F2F-4412-B9A9-7472D1BB46C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6624</Words>
  <Characters>37759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44295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6</cp:revision>
  <dcterms:created xsi:type="dcterms:W3CDTF">2024-08-08T21:18:00Z</dcterms:created>
  <dcterms:modified xsi:type="dcterms:W3CDTF">2024-09-09T18:04:00Z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