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66222" w:rsidRPr="00981BB2" w:rsidP="00C66222" w14:paraId="339EBEF1" w14:textId="4904E61B">
      <w:pPr>
        <w:pStyle w:val="NormalWeb"/>
        <w:spacing w:after="240" w:afterAutospacing="0"/>
        <w:jc w:val="center"/>
        <w:rPr>
          <w:b/>
          <w:bCs/>
        </w:rPr>
      </w:pPr>
      <w:bookmarkStart w:id="0" w:name="_Hlk119483272"/>
      <w:r>
        <w:rPr>
          <w:b/>
          <w:bCs/>
        </w:rPr>
        <w:t xml:space="preserve"> </w:t>
      </w:r>
      <w:r w:rsidRPr="00981BB2" w:rsidR="005B31A9">
        <w:rPr>
          <w:b/>
          <w:bCs/>
        </w:rPr>
        <w:t xml:space="preserve">The </w:t>
      </w:r>
      <w:r w:rsidRPr="00981BB2" w:rsidR="00ED14AC">
        <w:rPr>
          <w:b/>
          <w:bCs/>
        </w:rPr>
        <w:t>S</w:t>
      </w:r>
      <w:r w:rsidRPr="00981BB2" w:rsidR="005B31A9">
        <w:rPr>
          <w:b/>
          <w:bCs/>
        </w:rPr>
        <w:t xml:space="preserve">ubstance </w:t>
      </w:r>
      <w:r w:rsidRPr="00981BB2" w:rsidR="00ED14AC">
        <w:rPr>
          <w:b/>
          <w:bCs/>
        </w:rPr>
        <w:t>A</w:t>
      </w:r>
      <w:r w:rsidRPr="00981BB2" w:rsidR="005B31A9">
        <w:rPr>
          <w:b/>
          <w:bCs/>
        </w:rPr>
        <w:t xml:space="preserve">buse and </w:t>
      </w:r>
      <w:r w:rsidRPr="00981BB2" w:rsidR="00ED14AC">
        <w:rPr>
          <w:b/>
          <w:bCs/>
        </w:rPr>
        <w:t>M</w:t>
      </w:r>
      <w:r w:rsidRPr="00981BB2" w:rsidR="005B31A9">
        <w:rPr>
          <w:b/>
          <w:bCs/>
        </w:rPr>
        <w:t xml:space="preserve">ental </w:t>
      </w:r>
      <w:r w:rsidRPr="00981BB2" w:rsidR="00ED14AC">
        <w:rPr>
          <w:b/>
          <w:bCs/>
        </w:rPr>
        <w:t>H</w:t>
      </w:r>
      <w:r w:rsidRPr="00981BB2" w:rsidR="005B31A9">
        <w:rPr>
          <w:b/>
          <w:bCs/>
        </w:rPr>
        <w:t xml:space="preserve">ealth </w:t>
      </w:r>
      <w:r w:rsidRPr="00981BB2" w:rsidR="00ED14AC">
        <w:rPr>
          <w:b/>
          <w:bCs/>
        </w:rPr>
        <w:t>S</w:t>
      </w:r>
      <w:r w:rsidRPr="00981BB2" w:rsidR="005B31A9">
        <w:rPr>
          <w:b/>
          <w:bCs/>
        </w:rPr>
        <w:t xml:space="preserve">ervices </w:t>
      </w:r>
      <w:r w:rsidRPr="00981BB2" w:rsidR="00ED14AC">
        <w:rPr>
          <w:b/>
          <w:bCs/>
        </w:rPr>
        <w:t>A</w:t>
      </w:r>
      <w:r w:rsidRPr="00981BB2" w:rsidR="005B31A9">
        <w:rPr>
          <w:b/>
          <w:bCs/>
        </w:rPr>
        <w:t>dministration</w:t>
      </w:r>
      <w:r w:rsidRPr="00981BB2" w:rsidR="00ED14AC">
        <w:rPr>
          <w:b/>
          <w:bCs/>
        </w:rPr>
        <w:t xml:space="preserve"> </w:t>
      </w:r>
      <w:r w:rsidRPr="00981BB2" w:rsidR="005B31A9">
        <w:rPr>
          <w:b/>
          <w:bCs/>
        </w:rPr>
        <w:t xml:space="preserve">(SAMHSA) </w:t>
      </w:r>
    </w:p>
    <w:p w:rsidR="008C0159" w:rsidRPr="00981BB2" w:rsidP="00C66222" w14:paraId="6C0FF9A4" w14:textId="1C1716FA">
      <w:pPr>
        <w:pStyle w:val="NormalWeb"/>
        <w:spacing w:after="240" w:afterAutospacing="0"/>
        <w:jc w:val="center"/>
        <w:rPr>
          <w:b/>
          <w:bCs/>
        </w:rPr>
      </w:pPr>
      <w:r w:rsidRPr="00B94EED">
        <w:rPr>
          <w:b/>
          <w:bCs/>
        </w:rPr>
        <w:t>Drug</w:t>
      </w:r>
      <w:r w:rsidRPr="00B94EED" w:rsidR="00982E07">
        <w:rPr>
          <w:b/>
          <w:bCs/>
        </w:rPr>
        <w:t xml:space="preserve"> and Alcohol </w:t>
      </w:r>
      <w:r w:rsidRPr="00B94EED">
        <w:rPr>
          <w:b/>
          <w:bCs/>
        </w:rPr>
        <w:t>Warning Network (DAWN)</w:t>
      </w:r>
    </w:p>
    <w:bookmarkEnd w:id="0"/>
    <w:p w:rsidR="006738BE" w:rsidP="00CF652B" w14:paraId="54F7A46A" w14:textId="6DB10AF6">
      <w:pPr>
        <w:pStyle w:val="NormalWeb"/>
        <w:spacing w:after="240" w:afterAutospacing="0"/>
        <w:jc w:val="center"/>
      </w:pPr>
      <w:r w:rsidRPr="00FA5ED0">
        <w:rPr>
          <w:b/>
          <w:bCs/>
        </w:rPr>
        <w:t>Supporting Statement</w:t>
      </w:r>
      <w:r w:rsidRPr="00FA5ED0" w:rsidR="00AA2EED">
        <w:rPr>
          <w:b/>
          <w:bCs/>
        </w:rPr>
        <w:t xml:space="preserve"> A</w:t>
      </w:r>
      <w:r w:rsidR="00CF652B">
        <w:rPr>
          <w:b/>
          <w:bCs/>
        </w:rPr>
        <w:t xml:space="preserve"> - </w:t>
      </w:r>
      <w:r w:rsidRPr="00CF652B" w:rsidR="00ED14AC">
        <w:rPr>
          <w:b/>
          <w:bCs/>
        </w:rPr>
        <w:t>Justification</w:t>
      </w:r>
      <w:r w:rsidRPr="004D4184" w:rsidR="00ED14AC">
        <w:t xml:space="preserve"> </w:t>
      </w:r>
    </w:p>
    <w:p w:rsidR="00670839" w:rsidP="00670839" w14:paraId="65A9D3E9" w14:textId="77777777">
      <w:pPr>
        <w:spacing w:before="120"/>
        <w:rPr>
          <w:rFonts w:eastAsia="Cambria"/>
          <w:b/>
        </w:rPr>
      </w:pPr>
      <w:r>
        <w:rPr>
          <w:rFonts w:eastAsia="Cambria"/>
          <w:b/>
        </w:rPr>
        <w:t>Check off which applies:</w:t>
      </w:r>
    </w:p>
    <w:p w:rsidR="00670839" w:rsidP="00670839" w14:paraId="3F33870F" w14:textId="77777777">
      <w:pPr>
        <w:rPr>
          <w:rFonts w:eastAsia="Cambria"/>
        </w:rPr>
      </w:pPr>
      <w:sdt>
        <w:sdtPr>
          <w:rPr>
            <w:rFonts w:eastAsia="Cambria"/>
          </w:rPr>
          <w:id w:val="-890880799"/>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eastAsia="Cambria"/>
        </w:rPr>
        <w:t xml:space="preserve"> New </w:t>
      </w:r>
    </w:p>
    <w:p w:rsidR="00670839" w:rsidP="00670839" w14:paraId="36D11621" w14:textId="102C7695">
      <w:pPr>
        <w:rPr>
          <w:rFonts w:eastAsia="Cambria"/>
        </w:rPr>
      </w:pPr>
      <w:sdt>
        <w:sdtPr>
          <w:rPr>
            <w:rFonts w:eastAsia="Cambria"/>
          </w:rPr>
          <w:id w:val="-330531051"/>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eastAsia="Cambria"/>
        </w:rPr>
        <w:t xml:space="preserve"> Revision </w:t>
      </w:r>
      <w:r>
        <w:rPr>
          <w:rFonts w:eastAsia="Cambria"/>
        </w:rPr>
        <w:tab/>
        <w:t xml:space="preserve"> </w:t>
      </w:r>
      <w:r>
        <w:rPr>
          <w:rFonts w:eastAsia="Cambria"/>
        </w:rPr>
        <w:tab/>
      </w:r>
      <w:r>
        <w:rPr>
          <w:rFonts w:eastAsia="Cambria"/>
        </w:rPr>
        <w:tab/>
      </w:r>
    </w:p>
    <w:p w:rsidR="00670839" w:rsidP="00670839" w14:paraId="0E4AB500" w14:textId="47B84D2E">
      <w:pPr>
        <w:rPr>
          <w:rFonts w:eastAsia="Cambria"/>
        </w:rPr>
      </w:pPr>
      <w:sdt>
        <w:sdtPr>
          <w:rPr>
            <w:rFonts w:eastAsia="Cambria"/>
          </w:rPr>
          <w:id w:val="-1627156151"/>
          <w14:checkbox>
            <w14:checked w14:val="1"/>
            <w14:checkedState w14:val="2612" w14:font="MS Gothic"/>
            <w14:uncheckedState w14:val="2610" w14:font="MS Gothic"/>
          </w14:checkbox>
        </w:sdtPr>
        <w:sdtContent>
          <w:r>
            <w:rPr>
              <w:rFonts w:ascii="MS Gothic" w:eastAsia="MS Gothic" w:hAnsi="MS Gothic" w:cs="MS Gothic" w:hint="eastAsia"/>
            </w:rPr>
            <w:t>☒</w:t>
          </w:r>
        </w:sdtContent>
      </w:sdt>
      <w:r>
        <w:rPr>
          <w:rFonts w:eastAsia="Cambria"/>
        </w:rPr>
        <w:t xml:space="preserve"> Reinstatement with Change </w:t>
      </w:r>
    </w:p>
    <w:p w:rsidR="00670839" w:rsidP="00670839" w14:paraId="630E7FA3" w14:textId="77777777">
      <w:pPr>
        <w:rPr>
          <w:rFonts w:eastAsia="Cambria"/>
        </w:rPr>
      </w:pPr>
      <w:sdt>
        <w:sdtPr>
          <w:rPr>
            <w:rFonts w:eastAsia="Cambria"/>
          </w:rPr>
          <w:id w:val="-1343470911"/>
          <w14:checkbox>
            <w14:checked w14:val="0"/>
            <w14:checkedState w14:val="2612" w14:font="MS Gothic"/>
            <w14:uncheckedState w14:val="2610" w14:font="MS Gothic"/>
          </w14:checkbox>
        </w:sdtPr>
        <w:sdtContent>
          <w:r>
            <w:rPr>
              <w:rFonts w:ascii="MS Gothic" w:eastAsia="MS Gothic" w:hAnsi="MS Gothic" w:cs="MS Gothic"/>
            </w:rPr>
            <w:t>☐</w:t>
          </w:r>
        </w:sdtContent>
      </w:sdt>
      <w:r>
        <w:rPr>
          <w:rFonts w:eastAsia="Cambria"/>
        </w:rPr>
        <w:t xml:space="preserve"> Reinstatement without Change </w:t>
      </w:r>
    </w:p>
    <w:p w:rsidR="00670839" w:rsidP="00670839" w14:paraId="3E438AB9" w14:textId="77777777">
      <w:pPr>
        <w:rPr>
          <w:rFonts w:eastAsia="Cambria"/>
        </w:rPr>
      </w:pPr>
      <w:sdt>
        <w:sdtPr>
          <w:rPr>
            <w:rFonts w:eastAsia="Cambria"/>
          </w:rPr>
          <w:id w:val="1950966554"/>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eastAsia="Cambria"/>
        </w:rPr>
        <w:t xml:space="preserve"> Extension</w:t>
      </w:r>
    </w:p>
    <w:p w:rsidR="00670839" w:rsidP="00670839" w14:paraId="402DB45F" w14:textId="77777777">
      <w:pPr>
        <w:rPr>
          <w:rFonts w:eastAsia="Cambria"/>
        </w:rPr>
      </w:pPr>
      <w:sdt>
        <w:sdtPr>
          <w:rPr>
            <w:rFonts w:eastAsia="Cambria"/>
          </w:rPr>
          <w:id w:val="-936752193"/>
          <w14:checkbox>
            <w14:checked w14:val="0"/>
            <w14:checkedState w14:val="2612" w14:font="MS Gothic"/>
            <w14:uncheckedState w14:val="2610" w14:font="MS Gothic"/>
          </w14:checkbox>
        </w:sdtPr>
        <w:sdtContent>
          <w:r>
            <w:rPr>
              <w:rFonts w:ascii="MS Gothic" w:eastAsia="MS Gothic" w:hAnsi="MS Gothic" w:cs="MS Gothic"/>
            </w:rPr>
            <w:t>☐</w:t>
          </w:r>
        </w:sdtContent>
      </w:sdt>
      <w:r>
        <w:rPr>
          <w:rFonts w:eastAsia="Cambria"/>
        </w:rPr>
        <w:t xml:space="preserve"> Emergency</w:t>
      </w:r>
    </w:p>
    <w:p w:rsidR="00670839" w:rsidP="00670839" w14:paraId="346D8032" w14:textId="77777777">
      <w:pPr>
        <w:rPr>
          <w:rFonts w:eastAsia="Cambria"/>
        </w:rPr>
      </w:pPr>
      <w:sdt>
        <w:sdtPr>
          <w:rPr>
            <w:rFonts w:eastAsia="Cambria"/>
          </w:rPr>
          <w:id w:val="-248038668"/>
          <w14:checkbox>
            <w14:checked w14:val="0"/>
            <w14:checkedState w14:val="2612" w14:font="MS Gothic"/>
            <w14:uncheckedState w14:val="2610" w14:font="MS Gothic"/>
          </w14:checkbox>
        </w:sdtPr>
        <w:sdtContent>
          <w:r>
            <w:rPr>
              <w:rFonts w:ascii="MS Gothic" w:eastAsia="MS Gothic" w:hAnsi="MS Gothic" w:cs="MS Gothic"/>
            </w:rPr>
            <w:t>☐</w:t>
          </w:r>
        </w:sdtContent>
      </w:sdt>
      <w:r>
        <w:rPr>
          <w:rFonts w:eastAsia="Cambria"/>
        </w:rPr>
        <w:t xml:space="preserve"> Existing</w:t>
      </w:r>
    </w:p>
    <w:p w:rsidR="004D4184" w:rsidP="004D4184" w14:paraId="3B6B590A" w14:textId="77777777">
      <w:pPr>
        <w:pStyle w:val="NormalWeb"/>
        <w:spacing w:before="0" w:beforeAutospacing="0" w:after="0" w:afterAutospacing="0"/>
      </w:pPr>
    </w:p>
    <w:p w:rsidR="00D67689" w:rsidRPr="00E149B9" w14:paraId="1FD14346" w14:textId="477EEC49">
      <w:pPr>
        <w:pStyle w:val="NormalWeb"/>
        <w:numPr>
          <w:ilvl w:val="0"/>
          <w:numId w:val="6"/>
        </w:numPr>
        <w:tabs>
          <w:tab w:val="left" w:pos="360"/>
        </w:tabs>
        <w:spacing w:before="0" w:beforeAutospacing="0" w:after="240" w:afterAutospacing="0"/>
        <w:ind w:left="0" w:firstLine="0"/>
        <w:rPr>
          <w:b/>
          <w:bCs/>
        </w:rPr>
      </w:pPr>
      <w:r w:rsidRPr="00E149B9">
        <w:rPr>
          <w:b/>
          <w:bCs/>
        </w:rPr>
        <w:t xml:space="preserve">Circumstances of Information Collection </w:t>
      </w:r>
    </w:p>
    <w:p w:rsidR="00D67689" w:rsidP="003B2841" w14:paraId="2CAFC522" w14:textId="2EFFC51A">
      <w:pPr>
        <w:pStyle w:val="ListParagraph"/>
        <w:shd w:val="clear" w:color="auto" w:fill="FFFFFF"/>
        <w:ind w:left="0"/>
      </w:pPr>
      <w:r>
        <w:t xml:space="preserve">The Substance Abuse and Mental Health Service Administration (SAMHSA) seeks OMB </w:t>
      </w:r>
      <w:r w:rsidRPr="00C907E5">
        <w:t xml:space="preserve">approval for a reinstatement </w:t>
      </w:r>
      <w:r w:rsidRPr="00C907E5" w:rsidR="00E53D4D">
        <w:t>with change</w:t>
      </w:r>
      <w:r w:rsidRPr="00C907E5">
        <w:t xml:space="preserve"> for</w:t>
      </w:r>
      <w:r>
        <w:t xml:space="preserve"> </w:t>
      </w:r>
      <w:r w:rsidRPr="00687796">
        <w:t>the Drug Abuse Warning Network</w:t>
      </w:r>
      <w:r>
        <w:t xml:space="preserve"> </w:t>
      </w:r>
      <w:r w:rsidRPr="00687796">
        <w:t>(DAWN)</w:t>
      </w:r>
      <w:r>
        <w:t xml:space="preserve"> (</w:t>
      </w:r>
      <w:r w:rsidR="008C0FE2">
        <w:t xml:space="preserve">referred to as “legacy DAWN”; </w:t>
      </w:r>
      <w:r w:rsidRPr="00D67689">
        <w:t>OMB No. 0930</w:t>
      </w:r>
      <w:r w:rsidR="00BA7387">
        <w:t>-</w:t>
      </w:r>
      <w:r w:rsidRPr="00D67689">
        <w:t>0078</w:t>
      </w:r>
      <w:r w:rsidR="001A309D">
        <w:t>).</w:t>
      </w:r>
      <w:r w:rsidR="003B2841">
        <w:t xml:space="preserve"> </w:t>
      </w:r>
    </w:p>
    <w:p w:rsidR="00D67689" w:rsidRPr="006A503C" w:rsidP="00D67689" w14:paraId="7DD496ED" w14:textId="77777777">
      <w:pPr>
        <w:pStyle w:val="NormalWeb"/>
        <w:spacing w:before="0" w:beforeAutospacing="0" w:after="0" w:afterAutospacing="0"/>
      </w:pPr>
    </w:p>
    <w:p w:rsidR="000230DA" w:rsidRPr="006A503C" w:rsidP="006A503C" w14:paraId="39FAACDC" w14:textId="57690A68">
      <w:r>
        <w:t xml:space="preserve">Legacy </w:t>
      </w:r>
      <w:r w:rsidRPr="006A503C">
        <w:t>DAWN</w:t>
      </w:r>
      <w:r w:rsidRPr="006A503C" w:rsidR="00E761A3">
        <w:t xml:space="preserve"> </w:t>
      </w:r>
      <w:r w:rsidRPr="006A503C">
        <w:t xml:space="preserve">was initiated in 1972 by the White House Special Action Office for Drug Abuse Prevention (SAODAP) and the Drug Enforcement Administration (DEA). </w:t>
      </w:r>
      <w:r w:rsidRPr="006A503C" w:rsidR="00F34D34">
        <w:t xml:space="preserve"> </w:t>
      </w:r>
      <w:r w:rsidRPr="006A503C" w:rsidR="00F8581E">
        <w:t>T</w:t>
      </w:r>
      <w:r w:rsidRPr="006A503C">
        <w:t>he National Institute on Drug Abuse (NIDA) assumed responsibility for the continued operation of DAWN</w:t>
      </w:r>
      <w:r w:rsidRPr="006A503C" w:rsidR="00F8581E">
        <w:t xml:space="preserve"> in 1981</w:t>
      </w:r>
      <w:r w:rsidRPr="006A503C">
        <w:t xml:space="preserve">. </w:t>
      </w:r>
      <w:r w:rsidRPr="006A503C" w:rsidR="00F34D34">
        <w:t xml:space="preserve"> </w:t>
      </w:r>
      <w:r w:rsidRPr="006A503C" w:rsidR="00F949AF">
        <w:t xml:space="preserve">SAMHSA administered the </w:t>
      </w:r>
      <w:r>
        <w:t xml:space="preserve">legacy </w:t>
      </w:r>
      <w:r w:rsidRPr="006A503C" w:rsidR="00F949AF">
        <w:t>DAWN data collection system from 1992 through 2011.  At the end of 2011, the legacy DAWN was discontinued.</w:t>
      </w:r>
    </w:p>
    <w:p w:rsidR="00AB4DEB" w:rsidP="000230DA" w14:paraId="1BA8EBF6" w14:textId="77777777">
      <w:pPr>
        <w:pStyle w:val="ListParagraph"/>
        <w:shd w:val="clear" w:color="auto" w:fill="FFFFFF"/>
        <w:ind w:left="0"/>
      </w:pPr>
    </w:p>
    <w:p w:rsidR="004507C0" w:rsidP="004507C0" w14:paraId="22EFD23C" w14:textId="496EF215">
      <w:pPr>
        <w:pStyle w:val="ListParagraph"/>
        <w:shd w:val="clear" w:color="auto" w:fill="FFFFFF"/>
        <w:ind w:left="0"/>
      </w:pPr>
      <w:r>
        <w:t>U</w:t>
      </w:r>
      <w:r w:rsidRPr="00426714">
        <w:t xml:space="preserve">nder </w:t>
      </w:r>
      <w:r>
        <w:t>the Public Health Service Act</w:t>
      </w:r>
      <w:r w:rsidR="00344D61">
        <w:t xml:space="preserve"> (</w:t>
      </w:r>
      <w:r w:rsidRPr="00735346" w:rsidR="00344D61">
        <w:t>42 U.S.C. §290aa</w:t>
      </w:r>
      <w:r w:rsidR="00344D61">
        <w:t>-4)</w:t>
      </w:r>
      <w:r>
        <w:t xml:space="preserve">, </w:t>
      </w:r>
      <w:r w:rsidR="00271D7F">
        <w:t>SAMHSA</w:t>
      </w:r>
      <w:r>
        <w:t xml:space="preserve"> </w:t>
      </w:r>
      <w:r w:rsidRPr="00426714">
        <w:t xml:space="preserve">is </w:t>
      </w:r>
      <w:r w:rsidR="00271D7F">
        <w:t>authorized</w:t>
      </w:r>
      <w:r w:rsidRPr="00426714">
        <w:t xml:space="preserve"> to collect</w:t>
      </w:r>
      <w:r w:rsidR="00271D7F">
        <w:t xml:space="preserve"> </w:t>
      </w:r>
      <w:r w:rsidRPr="00426714">
        <w:t>data on the number of individuals</w:t>
      </w:r>
      <w:r w:rsidR="00822A05">
        <w:t xml:space="preserve"> </w:t>
      </w:r>
      <w:r w:rsidRPr="00822A05" w:rsidR="00822A05">
        <w:t xml:space="preserve">admitted to </w:t>
      </w:r>
      <w:r w:rsidR="001A309D">
        <w:t xml:space="preserve">hospital </w:t>
      </w:r>
      <w:r w:rsidRPr="00822A05" w:rsidR="00822A05">
        <w:t>emergency rooms as a result of the abuse of alcohol or other drugs</w:t>
      </w:r>
      <w:r w:rsidRPr="00426714">
        <w:t xml:space="preserve">. </w:t>
      </w:r>
      <w:r w:rsidR="00F34D34">
        <w:t xml:space="preserve"> </w:t>
      </w:r>
      <w:r w:rsidR="00232B27">
        <w:t>The</w:t>
      </w:r>
      <w:r w:rsidRPr="00002A32" w:rsidR="00232B27">
        <w:t xml:space="preserve"> re</w:t>
      </w:r>
      <w:r w:rsidR="00232B27">
        <w:t>instatement</w:t>
      </w:r>
      <w:r w:rsidRPr="00002A32" w:rsidR="00232B27">
        <w:t xml:space="preserve"> of DAWN</w:t>
      </w:r>
      <w:r w:rsidR="00232B27">
        <w:t xml:space="preserve"> </w:t>
      </w:r>
      <w:r w:rsidRPr="00002A32" w:rsidR="00232B27">
        <w:t>stem</w:t>
      </w:r>
      <w:r w:rsidR="00204B0E">
        <w:t>med</w:t>
      </w:r>
      <w:r w:rsidRPr="00002A32" w:rsidR="00232B27">
        <w:t xml:space="preserve"> from HHS</w:t>
      </w:r>
      <w:r w:rsidR="00232B27">
        <w:t>’s</w:t>
      </w:r>
      <w:r w:rsidRPr="00002A32" w:rsidR="00232B27">
        <w:t xml:space="preserve"> </w:t>
      </w:r>
      <w:r w:rsidR="00232B27">
        <w:t xml:space="preserve">2017 </w:t>
      </w:r>
      <w:r w:rsidRPr="00002A32" w:rsidR="00232B27">
        <w:t>Five-Point Opioid Strategy</w:t>
      </w:r>
      <w:r w:rsidR="00232B27">
        <w:t xml:space="preserve"> </w:t>
      </w:r>
      <w:r w:rsidRPr="00426714" w:rsidR="00232B27">
        <w:t xml:space="preserve">to </w:t>
      </w:r>
      <w:r w:rsidRPr="006A503C" w:rsidR="00232B27">
        <w:t xml:space="preserve">strengthen public health data reporting and collection, </w:t>
      </w:r>
      <w:r w:rsidRPr="00002A32" w:rsidR="00232B27">
        <w:t>which was developed to respond to the opioid crisis</w:t>
      </w:r>
      <w:r w:rsidR="00232B27">
        <w:t>.</w:t>
      </w:r>
      <w:r w:rsidR="00271D7F">
        <w:t xml:space="preserve">  </w:t>
      </w:r>
      <w:r w:rsidRPr="00426714" w:rsidR="00172F9F">
        <w:t xml:space="preserve">SAMHSA’s authority to protect DAWN data from unauthorized disclosures resides in </w:t>
      </w:r>
      <w:r w:rsidRPr="002B5322" w:rsidR="00172F9F">
        <w:t>42 U.S.C. §290aa(p).</w:t>
      </w:r>
    </w:p>
    <w:p w:rsidR="004507C0" w:rsidP="000230DA" w14:paraId="67A77FC7" w14:textId="65611BF0">
      <w:pPr>
        <w:pStyle w:val="ListParagraph"/>
        <w:shd w:val="clear" w:color="auto" w:fill="FFFFFF"/>
        <w:ind w:left="0"/>
      </w:pPr>
    </w:p>
    <w:p w:rsidR="00DB5C2E" w:rsidP="000230DA" w14:paraId="6FDC4DE0" w14:textId="6CFC045E">
      <w:pPr>
        <w:pStyle w:val="ListParagraph"/>
        <w:shd w:val="clear" w:color="auto" w:fill="FFFFFF"/>
        <w:ind w:left="0"/>
      </w:pPr>
      <w:r>
        <w:t xml:space="preserve">The proposed </w:t>
      </w:r>
      <w:r w:rsidR="00EE7DBD">
        <w:t xml:space="preserve">reinstated </w:t>
      </w:r>
      <w:r w:rsidR="00942D21">
        <w:t xml:space="preserve">DAWN with changes (hereafter referred to as </w:t>
      </w:r>
      <w:r w:rsidR="0024693E">
        <w:t xml:space="preserve">the “Drug and Alcohol Warning Network” or </w:t>
      </w:r>
      <w:r w:rsidR="00942D21">
        <w:t>the “DAWN”)</w:t>
      </w:r>
      <w:r w:rsidR="00BA7387">
        <w:t xml:space="preserve"> is a </w:t>
      </w:r>
      <w:r>
        <w:t>nationwide public health surveillance system</w:t>
      </w:r>
      <w:r w:rsidR="00BA7387">
        <w:t xml:space="preserve"> to</w:t>
      </w:r>
      <w:r>
        <w:t xml:space="preserve"> improve </w:t>
      </w:r>
      <w:r w:rsidR="003A235B">
        <w:t>hospital emergency department (ED)</w:t>
      </w:r>
      <w:r>
        <w:t xml:space="preserve"> monitoring of substance use-related visits.</w:t>
      </w:r>
      <w:r w:rsidR="00F34D34">
        <w:t xml:space="preserve"> </w:t>
      </w:r>
      <w:r>
        <w:t xml:space="preserve"> It </w:t>
      </w:r>
      <w:r w:rsidR="00A25A2E">
        <w:t xml:space="preserve">captures data on ED visits related to recent substance use and misuse directly from the electronic health records (EHR) of participating hospitals. </w:t>
      </w:r>
      <w:r w:rsidR="00F34D34">
        <w:t xml:space="preserve"> </w:t>
      </w:r>
      <w:r>
        <w:t xml:space="preserve">The </w:t>
      </w:r>
      <w:r w:rsidR="00D62A8B">
        <w:t>new DAWN also</w:t>
      </w:r>
      <w:r w:rsidR="00A25A2E">
        <w:t xml:space="preserve"> helps SAMHSA and public health professionals, clinicians, and policymakers respond effectively to the </w:t>
      </w:r>
      <w:r w:rsidR="00204B0E">
        <w:t xml:space="preserve">overdose </w:t>
      </w:r>
      <w:r w:rsidR="00A25A2E">
        <w:t>crisis</w:t>
      </w:r>
      <w:r w:rsidR="00204B0E">
        <w:t xml:space="preserve"> </w:t>
      </w:r>
      <w:r w:rsidR="00A25A2E">
        <w:t>in the United States</w:t>
      </w:r>
      <w:r w:rsidRPr="006A503C" w:rsidR="00F83E1F">
        <w:t>.</w:t>
      </w:r>
    </w:p>
    <w:p w:rsidR="004252D1" w:rsidP="000230DA" w14:paraId="035666FB" w14:textId="24B96F12">
      <w:pPr>
        <w:pStyle w:val="ListParagraph"/>
        <w:shd w:val="clear" w:color="auto" w:fill="FFFFFF"/>
        <w:ind w:left="0"/>
      </w:pPr>
    </w:p>
    <w:p w:rsidR="00DB5C2E" w:rsidRPr="00F83E1F" w:rsidP="000230DA" w14:paraId="5DD5F957" w14:textId="77777777">
      <w:pPr>
        <w:pStyle w:val="ListParagraph"/>
        <w:shd w:val="clear" w:color="auto" w:fill="FFFFFF"/>
        <w:ind w:left="0"/>
        <w:rPr>
          <w:color w:val="202020"/>
        </w:rPr>
      </w:pPr>
    </w:p>
    <w:p w:rsidR="006738BE" w:rsidRPr="005E6A09" w14:paraId="7BBC8041" w14:textId="1A4BB3BB">
      <w:pPr>
        <w:pStyle w:val="NormalWeb"/>
        <w:numPr>
          <w:ilvl w:val="0"/>
          <w:numId w:val="6"/>
        </w:numPr>
        <w:tabs>
          <w:tab w:val="left" w:pos="360"/>
        </w:tabs>
        <w:spacing w:before="0" w:beforeAutospacing="0" w:after="240" w:afterAutospacing="0"/>
        <w:ind w:left="0" w:firstLine="0"/>
        <w:rPr>
          <w:b/>
          <w:bCs/>
        </w:rPr>
      </w:pPr>
      <w:r w:rsidRPr="005E6A09">
        <w:rPr>
          <w:b/>
          <w:bCs/>
        </w:rPr>
        <w:t xml:space="preserve">Purpose and Use of Information </w:t>
      </w:r>
    </w:p>
    <w:p w:rsidR="00875078" w:rsidRPr="00373ED2" w:rsidP="00D43C5D" w14:paraId="5D94705A" w14:textId="461BE3DD">
      <w:pPr>
        <w:spacing w:after="240"/>
        <w:rPr>
          <w:bCs/>
          <w:color w:val="000000"/>
          <w:u w:val="single"/>
        </w:rPr>
      </w:pPr>
      <w:r w:rsidRPr="00373ED2">
        <w:rPr>
          <w:bCs/>
          <w:color w:val="000000"/>
          <w:u w:val="single"/>
        </w:rPr>
        <w:t xml:space="preserve">Purpose of </w:t>
      </w:r>
      <w:r w:rsidRPr="00373ED2" w:rsidR="00C12BC9">
        <w:rPr>
          <w:bCs/>
          <w:color w:val="000000"/>
          <w:u w:val="single"/>
        </w:rPr>
        <w:t xml:space="preserve">the new </w:t>
      </w:r>
      <w:r w:rsidRPr="00373ED2">
        <w:rPr>
          <w:bCs/>
          <w:color w:val="000000"/>
          <w:u w:val="single"/>
        </w:rPr>
        <w:t xml:space="preserve">DAWN </w:t>
      </w:r>
    </w:p>
    <w:p w:rsidR="00A81FF0" w:rsidP="00B24B94" w14:paraId="106BADBD" w14:textId="20078F8C">
      <w:pPr>
        <w:rPr>
          <w:color w:val="000000"/>
        </w:rPr>
      </w:pPr>
      <w:r w:rsidRPr="00DC79E7">
        <w:rPr>
          <w:color w:val="000000"/>
        </w:rPr>
        <w:t>The guiding principle for the rein</w:t>
      </w:r>
      <w:r>
        <w:rPr>
          <w:color w:val="000000"/>
        </w:rPr>
        <w:t>statement</w:t>
      </w:r>
      <w:r w:rsidRPr="00DC79E7">
        <w:rPr>
          <w:color w:val="000000"/>
        </w:rPr>
        <w:t xml:space="preserve"> of DAWN</w:t>
      </w:r>
      <w:r>
        <w:rPr>
          <w:color w:val="000000"/>
        </w:rPr>
        <w:t xml:space="preserve"> was</w:t>
      </w:r>
      <w:r w:rsidRPr="00DC79E7">
        <w:rPr>
          <w:color w:val="000000"/>
        </w:rPr>
        <w:t xml:space="preserve"> to meet the criteria of a publ</w:t>
      </w:r>
      <w:r>
        <w:rPr>
          <w:color w:val="000000"/>
        </w:rPr>
        <w:t xml:space="preserve">ic health surveillance system: </w:t>
      </w:r>
      <w:r w:rsidRPr="00DC79E7">
        <w:rPr>
          <w:color w:val="000000"/>
        </w:rPr>
        <w:t>“…the systematic, ongoing collection, management, analysis, and interpretation of data followed by the dissemination of these data to public health programs to stimulate public health action</w:t>
      </w:r>
      <w:r w:rsidR="00DB707C">
        <w:rPr>
          <w:color w:val="000000"/>
        </w:rPr>
        <w:t>.</w:t>
      </w:r>
      <w:r w:rsidRPr="00697EF0" w:rsidR="00DB707C">
        <w:rPr>
          <w:color w:val="000000"/>
        </w:rPr>
        <w:t>”</w:t>
      </w:r>
      <w:r w:rsidR="00AA7001">
        <w:rPr>
          <w:rStyle w:val="CommentReference"/>
        </w:rPr>
        <w:t xml:space="preserve"> </w:t>
      </w:r>
      <w:r w:rsidRPr="00F317D3">
        <w:rPr>
          <w:color w:val="000000"/>
        </w:rPr>
        <w:t>The surveillance objectives most important for DAWN include the ability to quickly detect a</w:t>
      </w:r>
      <w:r w:rsidR="00E5162B">
        <w:rPr>
          <w:color w:val="000000"/>
        </w:rPr>
        <w:t xml:space="preserve"> substance use</w:t>
      </w:r>
      <w:r w:rsidRPr="00F317D3">
        <w:rPr>
          <w:color w:val="000000"/>
        </w:rPr>
        <w:t xml:space="preserve"> </w:t>
      </w:r>
      <w:r w:rsidR="005F0CE9">
        <w:rPr>
          <w:color w:val="000000"/>
        </w:rPr>
        <w:t>“</w:t>
      </w:r>
      <w:r w:rsidRPr="00F317D3">
        <w:rPr>
          <w:color w:val="000000"/>
        </w:rPr>
        <w:t>outbreak</w:t>
      </w:r>
      <w:r>
        <w:rPr>
          <w:color w:val="000000"/>
        </w:rPr>
        <w:t>,</w:t>
      </w:r>
      <w:r w:rsidR="005F0CE9">
        <w:rPr>
          <w:color w:val="000000"/>
        </w:rPr>
        <w:t>”</w:t>
      </w:r>
      <w:r w:rsidRPr="00F317D3">
        <w:rPr>
          <w:color w:val="000000"/>
        </w:rPr>
        <w:t xml:space="preserve"> to estimate the magnitude of the health effects from substance use (as reflected in ED visits), to document the geographic, temporal, and demographic distribution of the problem, and to yield data to inform planning and policy.</w:t>
      </w:r>
      <w:r w:rsidR="00D62A8B">
        <w:rPr>
          <w:color w:val="000000"/>
        </w:rPr>
        <w:t xml:space="preserve"> </w:t>
      </w:r>
    </w:p>
    <w:p w:rsidR="00A81FF0" w:rsidP="00B24B94" w14:paraId="05801AA2" w14:textId="77777777">
      <w:pPr>
        <w:rPr>
          <w:color w:val="000000"/>
        </w:rPr>
      </w:pPr>
    </w:p>
    <w:p w:rsidR="00D62A8B" w:rsidP="00B24B94" w14:paraId="6D4F0F72" w14:textId="5D1AA262">
      <w:r>
        <w:t xml:space="preserve">The new </w:t>
      </w:r>
      <w:r w:rsidR="00B24B94">
        <w:t>DAWN provides</w:t>
      </w:r>
      <w:r w:rsidRPr="00D268E9" w:rsidR="00B24B94">
        <w:t xml:space="preserve"> </w:t>
      </w:r>
      <w:r w:rsidR="00B24B94">
        <w:t>current</w:t>
      </w:r>
      <w:r w:rsidRPr="00D268E9" w:rsidR="00B24B94">
        <w:t xml:space="preserve"> data on an on-going basis to identify adverse drug reactions as well as the health consequences of drug use, misuse, and use</w:t>
      </w:r>
      <w:r w:rsidR="00DB707C">
        <w:t xml:space="preserve"> disorders</w:t>
      </w:r>
      <w:r w:rsidRPr="00D268E9" w:rsidR="00B24B94">
        <w:t>.</w:t>
      </w:r>
      <w:r>
        <w:t xml:space="preserve"> </w:t>
      </w:r>
      <w:r w:rsidR="00382B0C">
        <w:t xml:space="preserve"> </w:t>
      </w:r>
      <w:r>
        <w:t>The key objectives are</w:t>
      </w:r>
      <w:r w:rsidR="00445896">
        <w:t xml:space="preserve"> to</w:t>
      </w:r>
      <w:r>
        <w:t xml:space="preserve">: </w:t>
      </w:r>
    </w:p>
    <w:p w:rsidR="00D62A8B" w:rsidP="00850DA5" w14:paraId="7E4F8011" w14:textId="77777777">
      <w:pPr>
        <w:pStyle w:val="ListParagraph"/>
      </w:pPr>
      <w:r>
        <w:t xml:space="preserve">Monitor demographic and geographic distribution, and identify trends of substance-related ED visits; </w:t>
      </w:r>
    </w:p>
    <w:p w:rsidR="00850DA5" w:rsidP="00850DA5" w14:paraId="21E4B1F0" w14:textId="77777777">
      <w:pPr>
        <w:pStyle w:val="ListParagraph"/>
      </w:pPr>
    </w:p>
    <w:p w:rsidR="00A81FF0" w:rsidP="00850DA5" w14:paraId="40443721" w14:textId="77777777">
      <w:pPr>
        <w:pStyle w:val="ListParagraph"/>
      </w:pPr>
      <w:r>
        <w:t>Provide an early warning system that identifies emerging and novel psychoactive substances and/or combinations of substances; and</w:t>
      </w:r>
    </w:p>
    <w:p w:rsidR="00850DA5" w:rsidP="00850DA5" w14:paraId="38A7D6C8" w14:textId="77777777">
      <w:pPr>
        <w:pStyle w:val="ListParagraph"/>
      </w:pPr>
    </w:p>
    <w:p w:rsidR="00B24B94" w:rsidP="00850DA5" w14:paraId="7F355287" w14:textId="358D74EA">
      <w:pPr>
        <w:pStyle w:val="ListParagraph"/>
      </w:pPr>
      <w:r>
        <w:t>Provide national estimates of substance-related ED visits to key stakeholders and the public</w:t>
      </w:r>
      <w:r w:rsidR="00C53FF7">
        <w:t>.</w:t>
      </w:r>
    </w:p>
    <w:p w:rsidR="00B24B94" w:rsidP="00875078" w14:paraId="692FF35F" w14:textId="77777777">
      <w:pPr>
        <w:rPr>
          <w:color w:val="000000"/>
        </w:rPr>
      </w:pPr>
    </w:p>
    <w:p w:rsidR="00875078" w:rsidRPr="00373ED2" w:rsidP="009A2F17" w14:paraId="59B759A2" w14:textId="7C1F478D">
      <w:pPr>
        <w:spacing w:after="240"/>
        <w:rPr>
          <w:bCs/>
          <w:color w:val="000000"/>
          <w:u w:val="single"/>
        </w:rPr>
      </w:pPr>
      <w:r w:rsidRPr="00373ED2">
        <w:rPr>
          <w:bCs/>
          <w:color w:val="000000"/>
          <w:u w:val="single"/>
        </w:rPr>
        <w:t>Use of Information</w:t>
      </w:r>
    </w:p>
    <w:p w:rsidR="00BA22D1" w:rsidP="00BA22D1" w14:paraId="7B57687E" w14:textId="77777777">
      <w:pPr>
        <w:pStyle w:val="Pa1"/>
        <w:spacing w:line="240" w:lineRule="auto"/>
        <w:rPr>
          <w:rFonts w:ascii="Times New Roman" w:eastAsia="Times New Roman" w:hAnsi="Times New Roman"/>
        </w:rPr>
      </w:pPr>
      <w:r w:rsidRPr="002A36A9">
        <w:rPr>
          <w:rFonts w:ascii="Times New Roman" w:eastAsia="Times New Roman" w:hAnsi="Times New Roman"/>
        </w:rPr>
        <w:t xml:space="preserve">A key goal of </w:t>
      </w:r>
      <w:r w:rsidR="004D5955">
        <w:rPr>
          <w:rFonts w:ascii="Times New Roman" w:eastAsia="Times New Roman" w:hAnsi="Times New Roman"/>
        </w:rPr>
        <w:t xml:space="preserve">the new </w:t>
      </w:r>
      <w:r w:rsidRPr="002A36A9">
        <w:rPr>
          <w:rFonts w:ascii="Times New Roman" w:eastAsia="Times New Roman" w:hAnsi="Times New Roman"/>
        </w:rPr>
        <w:t xml:space="preserve">DAWN is to strengthen public health data reporting, providing a true “early warning” system </w:t>
      </w:r>
      <w:r w:rsidRPr="003F786D">
        <w:rPr>
          <w:rFonts w:ascii="Times New Roman" w:eastAsia="Times New Roman" w:hAnsi="Times New Roman"/>
        </w:rPr>
        <w:t>that can inform public health response efforts in local areas.</w:t>
      </w:r>
      <w:r w:rsidRPr="002A36A9">
        <w:rPr>
          <w:rFonts w:ascii="Times New Roman" w:eastAsia="Times New Roman" w:hAnsi="Times New Roman"/>
        </w:rPr>
        <w:t xml:space="preserve"> </w:t>
      </w:r>
    </w:p>
    <w:p w:rsidR="00BA22D1" w:rsidP="00BA22D1" w14:paraId="29E31E91" w14:textId="77777777">
      <w:pPr>
        <w:pStyle w:val="Pa1"/>
        <w:spacing w:line="240" w:lineRule="auto"/>
        <w:rPr>
          <w:rFonts w:ascii="Times New Roman" w:eastAsia="Times New Roman" w:hAnsi="Times New Roman"/>
        </w:rPr>
      </w:pPr>
    </w:p>
    <w:p w:rsidR="00BA22D1" w:rsidP="00BA22D1" w14:paraId="3B6C6883" w14:textId="6F20ADC1">
      <w:pPr>
        <w:pStyle w:val="Pa1"/>
        <w:spacing w:line="240" w:lineRule="auto"/>
        <w:rPr>
          <w:rFonts w:ascii="Times New Roman" w:eastAsia="Times New Roman" w:hAnsi="Times New Roman"/>
        </w:rPr>
      </w:pPr>
      <w:r>
        <w:rPr>
          <w:rFonts w:ascii="Times New Roman" w:eastAsia="Times New Roman" w:hAnsi="Times New Roman"/>
        </w:rPr>
        <w:t xml:space="preserve">The new </w:t>
      </w:r>
      <w:r w:rsidRPr="002A36A9" w:rsidR="001E6D3A">
        <w:rPr>
          <w:rFonts w:ascii="Times New Roman" w:eastAsia="Times New Roman" w:hAnsi="Times New Roman"/>
        </w:rPr>
        <w:t xml:space="preserve">DAWN data </w:t>
      </w:r>
      <w:r w:rsidRPr="003F786D" w:rsidR="001E6D3A">
        <w:rPr>
          <w:rFonts w:ascii="Times New Roman" w:eastAsia="Times New Roman" w:hAnsi="Times New Roman"/>
        </w:rPr>
        <w:t>are</w:t>
      </w:r>
      <w:r w:rsidRPr="002A36A9" w:rsidR="001E6D3A">
        <w:rPr>
          <w:rFonts w:ascii="Times New Roman" w:eastAsia="Times New Roman" w:hAnsi="Times New Roman"/>
        </w:rPr>
        <w:t xml:space="preserve"> available to participating hospital </w:t>
      </w:r>
      <w:r w:rsidR="001E6D3A">
        <w:rPr>
          <w:rFonts w:ascii="Times New Roman" w:eastAsia="Times New Roman" w:hAnsi="Times New Roman"/>
        </w:rPr>
        <w:t xml:space="preserve">staff through an online dashboard that provides </w:t>
      </w:r>
      <w:r w:rsidRPr="000B6B5C" w:rsidR="001E6D3A">
        <w:rPr>
          <w:rFonts w:ascii="Times New Roman" w:eastAsia="Times New Roman" w:hAnsi="Times New Roman"/>
        </w:rPr>
        <w:t xml:space="preserve">dynamic real-time visualizations </w:t>
      </w:r>
      <w:r w:rsidR="001E6D3A">
        <w:rPr>
          <w:rFonts w:ascii="Times New Roman" w:eastAsia="Times New Roman" w:hAnsi="Times New Roman"/>
        </w:rPr>
        <w:t xml:space="preserve">on </w:t>
      </w:r>
      <w:r w:rsidRPr="000B6B5C" w:rsidR="001E6D3A">
        <w:rPr>
          <w:rFonts w:ascii="Times New Roman" w:eastAsia="Times New Roman" w:hAnsi="Times New Roman"/>
        </w:rPr>
        <w:t>sentinel event findings, new drug mentions, and trends of interest over time</w:t>
      </w:r>
      <w:r w:rsidR="001E6D3A">
        <w:rPr>
          <w:rFonts w:ascii="Times New Roman" w:eastAsia="Times New Roman" w:hAnsi="Times New Roman"/>
        </w:rPr>
        <w:t xml:space="preserve"> for their hospital</w:t>
      </w:r>
      <w:r w:rsidRPr="000B6B5C" w:rsidR="001E6D3A">
        <w:rPr>
          <w:rFonts w:ascii="Times New Roman" w:eastAsia="Times New Roman" w:hAnsi="Times New Roman"/>
        </w:rPr>
        <w:t>.</w:t>
      </w:r>
      <w:r w:rsidR="001E6D3A">
        <w:rPr>
          <w:rFonts w:ascii="Times New Roman" w:eastAsia="Times New Roman" w:hAnsi="Times New Roman"/>
        </w:rPr>
        <w:t xml:space="preserve"> </w:t>
      </w:r>
      <w:r w:rsidR="00C53FF7">
        <w:rPr>
          <w:rFonts w:ascii="Times New Roman" w:eastAsia="Times New Roman" w:hAnsi="Times New Roman"/>
        </w:rPr>
        <w:t xml:space="preserve"> </w:t>
      </w:r>
      <w:r w:rsidR="001E6D3A">
        <w:rPr>
          <w:rFonts w:ascii="Times New Roman" w:eastAsia="Times New Roman" w:hAnsi="Times New Roman"/>
        </w:rPr>
        <w:t>Hospitals</w:t>
      </w:r>
      <w:r w:rsidRPr="000B6B5C" w:rsidR="001E6D3A">
        <w:rPr>
          <w:rFonts w:ascii="Times New Roman" w:eastAsia="Times New Roman" w:hAnsi="Times New Roman"/>
        </w:rPr>
        <w:t xml:space="preserve"> can use this information internally to improve quality of care, </w:t>
      </w:r>
      <w:r w:rsidR="001E6D3A">
        <w:rPr>
          <w:rFonts w:ascii="Times New Roman" w:eastAsia="Times New Roman" w:hAnsi="Times New Roman"/>
        </w:rPr>
        <w:t>allocate</w:t>
      </w:r>
      <w:r w:rsidRPr="000B6B5C" w:rsidR="001E6D3A">
        <w:rPr>
          <w:rFonts w:ascii="Times New Roman" w:eastAsia="Times New Roman" w:hAnsi="Times New Roman"/>
        </w:rPr>
        <w:t xml:space="preserve"> resour</w:t>
      </w:r>
      <w:r w:rsidR="001E6D3A">
        <w:rPr>
          <w:rFonts w:ascii="Times New Roman" w:eastAsia="Times New Roman" w:hAnsi="Times New Roman"/>
        </w:rPr>
        <w:t>ces for treating patients, and</w:t>
      </w:r>
      <w:r w:rsidRPr="000B6B5C" w:rsidR="001E6D3A">
        <w:rPr>
          <w:rFonts w:ascii="Times New Roman" w:eastAsia="Times New Roman" w:hAnsi="Times New Roman"/>
        </w:rPr>
        <w:t xml:space="preserve"> potentially apply for grants for prevention activities in their local service area</w:t>
      </w:r>
      <w:r w:rsidR="006F388B">
        <w:rPr>
          <w:rFonts w:ascii="Times New Roman" w:eastAsia="Times New Roman" w:hAnsi="Times New Roman"/>
        </w:rPr>
        <w:t>s</w:t>
      </w:r>
      <w:r w:rsidRPr="000B6B5C" w:rsidR="001E6D3A">
        <w:rPr>
          <w:rFonts w:ascii="Times New Roman" w:eastAsia="Times New Roman" w:hAnsi="Times New Roman"/>
        </w:rPr>
        <w:t>.</w:t>
      </w:r>
      <w:r w:rsidR="001E6D3A">
        <w:rPr>
          <w:rFonts w:ascii="Times New Roman" w:eastAsia="Times New Roman" w:hAnsi="Times New Roman"/>
        </w:rPr>
        <w:t xml:space="preserve"> </w:t>
      </w:r>
      <w:r w:rsidR="00C53FF7">
        <w:rPr>
          <w:rFonts w:ascii="Times New Roman" w:eastAsia="Times New Roman" w:hAnsi="Times New Roman"/>
        </w:rPr>
        <w:t xml:space="preserve"> </w:t>
      </w:r>
      <w:r w:rsidR="001E6D3A">
        <w:rPr>
          <w:rFonts w:ascii="Times New Roman" w:eastAsia="Times New Roman" w:hAnsi="Times New Roman"/>
        </w:rPr>
        <w:t xml:space="preserve">The dashboard </w:t>
      </w:r>
      <w:r w:rsidRPr="00DA33D0" w:rsidR="001E6D3A">
        <w:rPr>
          <w:rFonts w:ascii="Times New Roman" w:eastAsia="Times New Roman" w:hAnsi="Times New Roman"/>
        </w:rPr>
        <w:t>will be enhanced and tailored for additional data users (e.g., local, state, and national public health users) with specific data access rights and strong confidentiality protections.</w:t>
      </w:r>
      <w:r>
        <w:rPr>
          <w:rFonts w:ascii="Times New Roman" w:eastAsia="Times New Roman" w:hAnsi="Times New Roman"/>
        </w:rPr>
        <w:t xml:space="preserve"> </w:t>
      </w:r>
    </w:p>
    <w:p w:rsidR="00BA22D1" w:rsidP="00BA22D1" w14:paraId="0F797700" w14:textId="77777777">
      <w:pPr>
        <w:pStyle w:val="Pa1"/>
        <w:spacing w:line="240" w:lineRule="auto"/>
        <w:rPr>
          <w:rFonts w:ascii="Times New Roman" w:eastAsia="Times New Roman" w:hAnsi="Times New Roman"/>
        </w:rPr>
      </w:pPr>
    </w:p>
    <w:p w:rsidR="001E6D3A" w:rsidRPr="00BA22D1" w:rsidP="00BA22D1" w14:paraId="143155AB" w14:textId="43458540">
      <w:pPr>
        <w:pStyle w:val="Pa1"/>
        <w:spacing w:line="240" w:lineRule="auto"/>
        <w:rPr>
          <w:rFonts w:ascii="Times New Roman" w:eastAsia="Times New Roman" w:hAnsi="Times New Roman"/>
        </w:rPr>
      </w:pPr>
      <w:r>
        <w:rPr>
          <w:rFonts w:ascii="Times New Roman" w:eastAsia="Times New Roman" w:hAnsi="Times New Roman"/>
        </w:rPr>
        <w:t xml:space="preserve">The new </w:t>
      </w:r>
      <w:r w:rsidRPr="00BA22D1">
        <w:rPr>
          <w:rFonts w:ascii="Times New Roman" w:eastAsia="Times New Roman" w:hAnsi="Times New Roman"/>
        </w:rPr>
        <w:t xml:space="preserve">DAWN data </w:t>
      </w:r>
      <w:r>
        <w:rPr>
          <w:rFonts w:ascii="Times New Roman" w:eastAsia="Times New Roman" w:hAnsi="Times New Roman"/>
        </w:rPr>
        <w:t xml:space="preserve">will </w:t>
      </w:r>
      <w:r w:rsidRPr="00BA22D1">
        <w:rPr>
          <w:rFonts w:ascii="Times New Roman" w:eastAsia="Times New Roman" w:hAnsi="Times New Roman"/>
        </w:rPr>
        <w:t xml:space="preserve">also provide information on potential public health problems to state and local public health agencies and community groups. </w:t>
      </w:r>
      <w:r w:rsidR="00C53FF7">
        <w:rPr>
          <w:rFonts w:ascii="Times New Roman" w:eastAsia="Times New Roman" w:hAnsi="Times New Roman"/>
        </w:rPr>
        <w:t xml:space="preserve"> </w:t>
      </w:r>
      <w:r>
        <w:rPr>
          <w:rFonts w:ascii="Times New Roman" w:eastAsia="Times New Roman" w:hAnsi="Times New Roman"/>
        </w:rPr>
        <w:t xml:space="preserve">The new </w:t>
      </w:r>
      <w:r w:rsidRPr="00BA22D1">
        <w:rPr>
          <w:rFonts w:ascii="Times New Roman" w:eastAsia="Times New Roman" w:hAnsi="Times New Roman"/>
        </w:rPr>
        <w:t>DAWN data can help local agencies assess the need for public health resources and detect emerging drug problems before they become widespread.</w:t>
      </w:r>
      <w:r w:rsidR="00DF43BB">
        <w:rPr>
          <w:rFonts w:ascii="Times New Roman" w:eastAsia="Times New Roman" w:hAnsi="Times New Roman"/>
        </w:rPr>
        <w:t xml:space="preserve">  </w:t>
      </w:r>
    </w:p>
    <w:p w:rsidR="001E6D3A" w:rsidP="00875078" w14:paraId="71D8FA0D" w14:textId="77777777">
      <w:pPr>
        <w:rPr>
          <w:color w:val="000000"/>
        </w:rPr>
      </w:pPr>
    </w:p>
    <w:p w:rsidR="00B16045" w:rsidRPr="00A8148D" w:rsidP="009A2F17" w14:paraId="657181EC" w14:textId="2E79BDA1">
      <w:pPr>
        <w:spacing w:after="240"/>
        <w:rPr>
          <w:bCs/>
          <w:color w:val="000000"/>
          <w:u w:val="single"/>
        </w:rPr>
      </w:pPr>
      <w:r w:rsidRPr="00A8148D">
        <w:rPr>
          <w:bCs/>
          <w:color w:val="000000"/>
          <w:u w:val="single"/>
        </w:rPr>
        <w:t>Planned Changes</w:t>
      </w:r>
    </w:p>
    <w:p w:rsidR="002B486E" w:rsidP="00994D90" w14:paraId="5A1A53A4" w14:textId="4C204988">
      <w:pPr>
        <w:pStyle w:val="ListParagraph"/>
        <w:shd w:val="clear" w:color="auto" w:fill="FFFFFF"/>
        <w:ind w:left="0"/>
      </w:pPr>
      <w:r>
        <w:rPr>
          <w:color w:val="000000"/>
        </w:rPr>
        <w:t>The new DAWN</w:t>
      </w:r>
      <w:r w:rsidRPr="00F317D3">
        <w:rPr>
          <w:color w:val="000000"/>
        </w:rPr>
        <w:t xml:space="preserve"> </w:t>
      </w:r>
      <w:r>
        <w:rPr>
          <w:color w:val="000000"/>
        </w:rPr>
        <w:t xml:space="preserve">shares the uniqueness of legacy DAWN and </w:t>
      </w:r>
      <w:r w:rsidRPr="00F317D3">
        <w:rPr>
          <w:color w:val="000000"/>
        </w:rPr>
        <w:t>build</w:t>
      </w:r>
      <w:r>
        <w:rPr>
          <w:color w:val="000000"/>
        </w:rPr>
        <w:t>s</w:t>
      </w:r>
      <w:r w:rsidRPr="00F317D3">
        <w:rPr>
          <w:color w:val="000000"/>
        </w:rPr>
        <w:t xml:space="preserve"> </w:t>
      </w:r>
      <w:r>
        <w:rPr>
          <w:color w:val="000000"/>
        </w:rPr>
        <w:t>upon</w:t>
      </w:r>
      <w:r w:rsidRPr="00F317D3">
        <w:rPr>
          <w:color w:val="000000"/>
        </w:rPr>
        <w:t xml:space="preserve"> </w:t>
      </w:r>
      <w:r>
        <w:rPr>
          <w:color w:val="000000"/>
        </w:rPr>
        <w:t>it</w:t>
      </w:r>
      <w:r w:rsidRPr="00F317D3">
        <w:rPr>
          <w:color w:val="000000"/>
        </w:rPr>
        <w:t xml:space="preserve"> </w:t>
      </w:r>
      <w:r>
        <w:rPr>
          <w:color w:val="000000"/>
        </w:rPr>
        <w:t>in several ways</w:t>
      </w:r>
      <w:r w:rsidR="00D72464">
        <w:rPr>
          <w:color w:val="000000"/>
        </w:rPr>
        <w:t xml:space="preserve">, </w:t>
      </w:r>
      <w:r w:rsidR="00D72464">
        <w:t xml:space="preserve">allowing the new DAWN to function as </w:t>
      </w:r>
      <w:r w:rsidRPr="00F317D3" w:rsidR="00D72464">
        <w:t>a true “early warning” system and inform public health response efforts in local areas</w:t>
      </w:r>
      <w:r w:rsidR="00205B1F">
        <w:t xml:space="preserve"> (see Tabl</w:t>
      </w:r>
      <w:r w:rsidRPr="00512C7C" w:rsidR="00205B1F">
        <w:t xml:space="preserve">e </w:t>
      </w:r>
      <w:r w:rsidRPr="00512C7C" w:rsidR="00C675D2">
        <w:t>A</w:t>
      </w:r>
      <w:r w:rsidRPr="00512C7C" w:rsidR="00812D8F">
        <w:t>1</w:t>
      </w:r>
      <w:r w:rsidR="00205B1F">
        <w:t xml:space="preserve"> for</w:t>
      </w:r>
      <w:r w:rsidR="00BC5DA2">
        <w:t xml:space="preserve"> </w:t>
      </w:r>
      <w:r w:rsidR="00D66E85">
        <w:t xml:space="preserve">a summarized </w:t>
      </w:r>
      <w:r w:rsidR="00BC5DA2">
        <w:t xml:space="preserve">comparison </w:t>
      </w:r>
      <w:r w:rsidR="00BC5DA2">
        <w:t xml:space="preserve">between the legacy </w:t>
      </w:r>
      <w:r w:rsidR="00DB1475">
        <w:t xml:space="preserve">DAWN </w:t>
      </w:r>
      <w:r w:rsidR="00BC5DA2">
        <w:t xml:space="preserve">and the new DAWN). </w:t>
      </w:r>
    </w:p>
    <w:p w:rsidR="00C53FF7" w:rsidP="00994D90" w14:paraId="0493FBDB" w14:textId="77777777">
      <w:pPr>
        <w:pStyle w:val="ListParagraph"/>
        <w:shd w:val="clear" w:color="auto" w:fill="FFFFFF"/>
        <w:ind w:left="0"/>
      </w:pPr>
    </w:p>
    <w:p w:rsidR="00994D90" w:rsidP="00994D90" w14:paraId="0655D3CD" w14:textId="726FEDC8">
      <w:pPr>
        <w:pStyle w:val="ListParagraph"/>
        <w:shd w:val="clear" w:color="auto" w:fill="FFFFFF"/>
        <w:ind w:left="0"/>
        <w:rPr>
          <w:rFonts w:cstheme="minorHAnsi"/>
        </w:rPr>
      </w:pPr>
      <w:r w:rsidRPr="00662C10">
        <w:rPr>
          <w:rFonts w:cstheme="minorHAnsi"/>
        </w:rPr>
        <w:t xml:space="preserve">This </w:t>
      </w:r>
      <w:r>
        <w:rPr>
          <w:rFonts w:cstheme="minorHAnsi"/>
        </w:rPr>
        <w:t>information collection request</w:t>
      </w:r>
      <w:r w:rsidRPr="00662C10">
        <w:rPr>
          <w:rFonts w:cstheme="minorHAnsi"/>
        </w:rPr>
        <w:t xml:space="preserve"> </w:t>
      </w:r>
      <w:r>
        <w:rPr>
          <w:rFonts w:cstheme="minorHAnsi"/>
        </w:rPr>
        <w:t>proposes to</w:t>
      </w:r>
      <w:r w:rsidR="002B486E">
        <w:rPr>
          <w:rFonts w:cstheme="minorHAnsi"/>
        </w:rPr>
        <w:t xml:space="preserve"> make the following </w:t>
      </w:r>
      <w:r w:rsidR="00AA48D3">
        <w:rPr>
          <w:rFonts w:cstheme="minorHAnsi"/>
        </w:rPr>
        <w:t>changes</w:t>
      </w:r>
      <w:r w:rsidR="002B486E">
        <w:rPr>
          <w:rFonts w:cstheme="minorHAnsi"/>
        </w:rPr>
        <w:t xml:space="preserve"> from the legacy DAWN</w:t>
      </w:r>
      <w:r>
        <w:rPr>
          <w:rFonts w:cstheme="minorHAnsi"/>
        </w:rPr>
        <w:t xml:space="preserve">: </w:t>
      </w:r>
    </w:p>
    <w:p w:rsidR="002B486E" w:rsidRPr="002B486E" w:rsidP="002B486E" w14:paraId="096AFB9C" w14:textId="77777777">
      <w:pPr>
        <w:pStyle w:val="NormalWeb"/>
        <w:spacing w:before="0" w:beforeAutospacing="0" w:after="0" w:afterAutospacing="0"/>
        <w:ind w:left="720"/>
        <w:rPr>
          <w:sz w:val="16"/>
          <w:szCs w:val="16"/>
        </w:rPr>
      </w:pPr>
    </w:p>
    <w:p w:rsidR="00D72464" w:rsidRPr="000F0555" w:rsidP="00850DA5" w14:paraId="7725B577" w14:textId="53B6B488">
      <w:pPr>
        <w:pStyle w:val="NormalWeb"/>
        <w:spacing w:before="0" w:beforeAutospacing="0" w:after="0" w:afterAutospacing="0"/>
        <w:ind w:left="720"/>
      </w:pPr>
      <w:r w:rsidRPr="000F0555">
        <w:t>Revise the data collection title to “Drug and Alcohol Warning Network”</w:t>
      </w:r>
      <w:r w:rsidRPr="000F0555" w:rsidR="005D3A84">
        <w:t xml:space="preserve">, replacing existing </w:t>
      </w:r>
      <w:r w:rsidR="000A76E7">
        <w:t>“</w:t>
      </w:r>
      <w:r w:rsidRPr="000F0555" w:rsidR="005D3A84">
        <w:t>abuse</w:t>
      </w:r>
      <w:r w:rsidR="00BD7965">
        <w:t>”</w:t>
      </w:r>
      <w:r w:rsidRPr="000F0555" w:rsidR="005D3A84">
        <w:t xml:space="preserve"> term with a </w:t>
      </w:r>
      <w:r w:rsidRPr="000F0555" w:rsidR="005D3A84">
        <w:rPr>
          <w:rFonts w:ascii="TimesNewRomanPSMT" w:hAnsi="TimesNewRomanPSMT" w:cs="TimesNewRomanPSMT"/>
        </w:rPr>
        <w:t xml:space="preserve">clinically accurate, non-stigmatizing </w:t>
      </w:r>
      <w:r w:rsidRPr="000F0555" w:rsidR="005D3A84">
        <w:t>language for substance use to help reduce stigma and support treatment for substance use disorders.</w:t>
      </w:r>
      <w:r w:rsidRPr="000F0555" w:rsidR="00433E48">
        <w:t xml:space="preserve"> </w:t>
      </w:r>
      <w:r w:rsidRPr="000F0555" w:rsidR="005D3A84">
        <w:t xml:space="preserve"> This revision aligns with the current edition of </w:t>
      </w:r>
      <w:r w:rsidRPr="000F0555" w:rsidR="005D3A84">
        <w:rPr>
          <w:i/>
          <w:iCs/>
        </w:rPr>
        <w:t>The Diagnostic and Statistical Manual of Mental Disorders</w:t>
      </w:r>
      <w:r w:rsidRPr="000F0555" w:rsidR="005D3A84">
        <w:t> (5th ed., American Psychiatric Association, 2013)</w:t>
      </w:r>
      <w:r w:rsidRPr="000F0555" w:rsidR="00F657FC">
        <w:t>, where “abuse” has been replaced by “use</w:t>
      </w:r>
      <w:r w:rsidRPr="000F0555" w:rsidR="00321864">
        <w:t>.</w:t>
      </w:r>
      <w:r w:rsidRPr="000F0555" w:rsidR="00F657FC">
        <w:t xml:space="preserve">” </w:t>
      </w:r>
      <w:r w:rsidRPr="000F0555" w:rsidR="00433E48">
        <w:t xml:space="preserve"> </w:t>
      </w:r>
      <w:r w:rsidRPr="000F0555" w:rsidR="00F657FC">
        <w:t xml:space="preserve">This revision also aligns with the </w:t>
      </w:r>
      <w:r w:rsidRPr="000F0555" w:rsidR="00371741">
        <w:t>White House Office of National Drug Control Policy 2017 Memo on “</w:t>
      </w:r>
      <w:hyperlink r:id="rId9">
        <w:r w:rsidRPr="000F0555" w:rsidR="00371741">
          <w:rPr>
            <w:rStyle w:val="Hyperlink"/>
          </w:rPr>
          <w:t>Changing Federal Terminology regarding Substance Use and Substance Use Disorders</w:t>
        </w:r>
      </w:hyperlink>
      <w:r w:rsidRPr="000F0555" w:rsidR="00321864">
        <w:rPr>
          <w:rStyle w:val="Hyperlink"/>
        </w:rPr>
        <w:t>.</w:t>
      </w:r>
      <w:r w:rsidRPr="000F0555" w:rsidR="00371741">
        <w:t xml:space="preserve">” </w:t>
      </w:r>
      <w:r w:rsidRPr="000F0555" w:rsidR="00433E48">
        <w:t xml:space="preserve"> </w:t>
      </w:r>
      <w:r w:rsidRPr="000F0555" w:rsidR="00B27F60">
        <w:t xml:space="preserve">Including </w:t>
      </w:r>
      <w:r w:rsidRPr="000F0555" w:rsidR="00371741">
        <w:t xml:space="preserve">“alcohol” in the title </w:t>
      </w:r>
      <w:r w:rsidRPr="000F0555">
        <w:t>explicit</w:t>
      </w:r>
      <w:r w:rsidRPr="000F0555" w:rsidR="00371741">
        <w:t xml:space="preserve">ly and effectively </w:t>
      </w:r>
      <w:r w:rsidRPr="000F0555">
        <w:t>communicat</w:t>
      </w:r>
      <w:r w:rsidRPr="000F0555" w:rsidR="00371741">
        <w:t xml:space="preserve">es with stakeholders and data users </w:t>
      </w:r>
      <w:r w:rsidRPr="000F0555">
        <w:t xml:space="preserve">that </w:t>
      </w:r>
      <w:r w:rsidRPr="000F0555" w:rsidR="00371741">
        <w:t xml:space="preserve">the new </w:t>
      </w:r>
      <w:r w:rsidRPr="000F0555">
        <w:t xml:space="preserve">DAWN collects all alcohol cases regardless of age, which is a significant update </w:t>
      </w:r>
      <w:r w:rsidRPr="000F0555" w:rsidR="00371741">
        <w:t>of</w:t>
      </w:r>
      <w:r w:rsidRPr="000F0555">
        <w:t xml:space="preserve"> the </w:t>
      </w:r>
      <w:r w:rsidR="00931DE8">
        <w:t>legacy DAWN</w:t>
      </w:r>
      <w:r w:rsidRPr="000F0555">
        <w:t xml:space="preserve">.  </w:t>
      </w:r>
    </w:p>
    <w:p w:rsidR="00D72464" w:rsidRPr="00D72464" w:rsidP="00D72464" w14:paraId="5B73C7B3" w14:textId="77777777">
      <w:pPr>
        <w:pStyle w:val="ListParagraph"/>
        <w:shd w:val="clear" w:color="auto" w:fill="FFFFFF"/>
      </w:pPr>
    </w:p>
    <w:p w:rsidR="00D858A5" w:rsidRPr="00484B91" w:rsidP="00850DA5" w14:paraId="76FF215E" w14:textId="1203EB70">
      <w:pPr>
        <w:pStyle w:val="ListParagraph"/>
      </w:pPr>
      <w:r w:rsidRPr="00D858A5">
        <w:t>Remove</w:t>
      </w:r>
      <w:r w:rsidR="00B00D47">
        <w:t xml:space="preserve"> the</w:t>
      </w:r>
      <w:r w:rsidRPr="00D858A5">
        <w:t xml:space="preserve"> drug-</w:t>
      </w:r>
      <w:r w:rsidRPr="00484B91">
        <w:t xml:space="preserve">related death investigation records review component administered by state medical examiners (MEs) and individual medical examiners/coroners (ME/Cs). </w:t>
      </w:r>
    </w:p>
    <w:p w:rsidR="00D72464" w:rsidRPr="00484B91" w:rsidP="00D72464" w14:paraId="79B30BEB" w14:textId="77777777">
      <w:pPr>
        <w:pStyle w:val="NormalWeb"/>
        <w:spacing w:before="0" w:beforeAutospacing="0" w:after="0" w:afterAutospacing="0"/>
        <w:ind w:left="720"/>
      </w:pPr>
    </w:p>
    <w:p w:rsidR="00D956B0" w:rsidRPr="00C90B4E" w:rsidP="00850DA5" w14:paraId="4B7F4CD8" w14:textId="28597430">
      <w:pPr>
        <w:pStyle w:val="NormalWeb"/>
        <w:spacing w:before="0" w:beforeAutospacing="0" w:after="0" w:afterAutospacing="0"/>
        <w:ind w:left="720"/>
      </w:pPr>
      <w:r w:rsidRPr="00484B91">
        <w:t xml:space="preserve">Revise data collection procedures (see section B2 for details) and corresponding estimated burden hours (see section A12 for details). </w:t>
      </w:r>
      <w:r w:rsidRPr="00484B91" w:rsidR="00FE425F">
        <w:t xml:space="preserve"> </w:t>
      </w:r>
      <w:r w:rsidRPr="00484B91">
        <w:t xml:space="preserve">DAWN Medical Record Abstractors (hereafter referred to as </w:t>
      </w:r>
      <w:r w:rsidRPr="00484B91" w:rsidR="007D230E">
        <w:t>“</w:t>
      </w:r>
      <w:r w:rsidRPr="00484B91">
        <w:t>abstractor</w:t>
      </w:r>
      <w:r w:rsidRPr="00484B91" w:rsidR="007D230E">
        <w:t>”</w:t>
      </w:r>
      <w:r w:rsidRPr="00484B91">
        <w:t xml:space="preserve">), employed and supplied by the contractor, will review all the ED records and abstract DAWN eligible data if participating hospitals choose the direct chart review option. </w:t>
      </w:r>
      <w:r w:rsidRPr="00484B91" w:rsidR="00FE425F">
        <w:t xml:space="preserve"> </w:t>
      </w:r>
      <w:r w:rsidRPr="00484B91">
        <w:t xml:space="preserve">In this option, the hospital grants abstractors access to EHR records, either at the contractor’s operation center or at the hospital. </w:t>
      </w:r>
      <w:r w:rsidRPr="00484B91" w:rsidR="00FE425F">
        <w:t xml:space="preserve"> </w:t>
      </w:r>
      <w:r w:rsidRPr="00484B91">
        <w:t xml:space="preserve">Hospitals will also have the choice to select a home-based abstraction approach. </w:t>
      </w:r>
      <w:r w:rsidRPr="00484B91" w:rsidR="00FE425F">
        <w:t xml:space="preserve"> </w:t>
      </w:r>
      <w:r w:rsidRPr="00484B91">
        <w:t xml:space="preserve">In this option, the abstractor will work from a secure home environment using contractor-issued equipment. </w:t>
      </w:r>
      <w:r w:rsidRPr="00484B91" w:rsidR="00FE425F">
        <w:t xml:space="preserve"> </w:t>
      </w:r>
      <w:r w:rsidRPr="00484B91">
        <w:t xml:space="preserve">This option provides the benefit of a larger national recruitment pool of qualified abstractors and increased abstractor retention. </w:t>
      </w:r>
      <w:r w:rsidRPr="00484B91" w:rsidR="00FE425F">
        <w:t xml:space="preserve"> </w:t>
      </w:r>
      <w:r w:rsidRPr="00484B91">
        <w:t xml:space="preserve">Hospitals will also have the opportunity to select the machine learning with natural language processing (ML with NLP) option. </w:t>
      </w:r>
      <w:r w:rsidRPr="00484B91" w:rsidR="00FE425F">
        <w:t xml:space="preserve"> </w:t>
      </w:r>
      <w:r w:rsidRPr="00484B91">
        <w:t xml:space="preserve">This option involves the hospital securely sending a data extract from the EHR that contains the clinical information needed for DAWN data collection to the SAMHSA cloud environment. </w:t>
      </w:r>
      <w:r w:rsidRPr="00484B91" w:rsidR="00FE425F">
        <w:t xml:space="preserve"> </w:t>
      </w:r>
      <w:r w:rsidRPr="00484B91">
        <w:t xml:space="preserve">ML with NLP models will then review the file and identify drug-related visits for further review by an evaluator. </w:t>
      </w:r>
      <w:r w:rsidRPr="00484B91" w:rsidR="00FE425F">
        <w:t xml:space="preserve"> </w:t>
      </w:r>
      <w:r w:rsidRPr="00484B91">
        <w:t>For ED visits flagged by the models for review as potential DAWN cases, the abstractor</w:t>
      </w:r>
      <w:r w:rsidRPr="00C90B4E">
        <w:t xml:space="preserve"> will review the data, decide if the ED visit is a DAWN case, and then, construct the DAWN case so that it is formatted in the same manner as the cases obtained through direct chart review. </w:t>
      </w:r>
      <w:r w:rsidR="00FE425F">
        <w:t xml:space="preserve"> </w:t>
      </w:r>
      <w:r w:rsidRPr="00C90B4E">
        <w:t xml:space="preserve">The option for hospitals to use their own staff to abstract DAWN data as they did in the legacy DAWN is no longer offered. </w:t>
      </w:r>
    </w:p>
    <w:p w:rsidR="00D72464" w:rsidP="00D72464" w14:paraId="02A7A5C8" w14:textId="77777777">
      <w:pPr>
        <w:pStyle w:val="ListParagraph"/>
      </w:pPr>
    </w:p>
    <w:p w:rsidR="00D72464" w:rsidRPr="00984266" w:rsidP="00850DA5" w14:paraId="414E864D" w14:textId="2A9C8480">
      <w:pPr>
        <w:pStyle w:val="NormalWeb"/>
        <w:spacing w:before="0" w:beforeAutospacing="0" w:after="0" w:afterAutospacing="0"/>
        <w:ind w:left="720"/>
      </w:pPr>
      <w:r w:rsidRPr="00984266">
        <w:t>R</w:t>
      </w:r>
      <w:r w:rsidRPr="00984266" w:rsidR="00994D90">
        <w:t>evis</w:t>
      </w:r>
      <w:r w:rsidRPr="00984266">
        <w:t>e the</w:t>
      </w:r>
      <w:r w:rsidRPr="00984266" w:rsidR="00994D90">
        <w:t xml:space="preserve"> </w:t>
      </w:r>
      <w:r w:rsidRPr="00984266" w:rsidR="5A4FF14F">
        <w:t xml:space="preserve">hospital </w:t>
      </w:r>
      <w:r w:rsidRPr="00984266" w:rsidR="0011452F">
        <w:t xml:space="preserve">ED </w:t>
      </w:r>
      <w:r w:rsidRPr="00984266" w:rsidR="5A4FF14F">
        <w:t xml:space="preserve">selection </w:t>
      </w:r>
      <w:r w:rsidRPr="00984266" w:rsidR="00994D90">
        <w:t>design (See section B</w:t>
      </w:r>
      <w:r w:rsidRPr="00984266" w:rsidR="00F400D8">
        <w:t>2</w:t>
      </w:r>
      <w:r w:rsidRPr="00984266">
        <w:t xml:space="preserve"> for details</w:t>
      </w:r>
      <w:r w:rsidRPr="00984266" w:rsidR="00994D90">
        <w:t>)</w:t>
      </w:r>
      <w:r w:rsidRPr="00984266">
        <w:t xml:space="preserve"> to </w:t>
      </w:r>
      <w:r w:rsidRPr="00984266" w:rsidR="00791170">
        <w:rPr>
          <w:color w:val="000000" w:themeColor="text1"/>
        </w:rPr>
        <w:t xml:space="preserve">a hybrid system that combines sentinel hospitals and </w:t>
      </w:r>
      <w:r w:rsidRPr="00984266" w:rsidR="00791170">
        <w:t>probability</w:t>
      </w:r>
      <w:r w:rsidRPr="00984266" w:rsidR="0011452F">
        <w:t>-</w:t>
      </w:r>
      <w:r w:rsidRPr="00984266" w:rsidR="359A017C">
        <w:t>based</w:t>
      </w:r>
      <w:r w:rsidRPr="00984266" w:rsidR="00791170">
        <w:t xml:space="preserve"> </w:t>
      </w:r>
      <w:r w:rsidRPr="00984266" w:rsidR="5147A107">
        <w:t xml:space="preserve">selection </w:t>
      </w:r>
      <w:r w:rsidRPr="00984266" w:rsidR="00791170">
        <w:t xml:space="preserve">of </w:t>
      </w:r>
      <w:r w:rsidRPr="00984266" w:rsidR="00791170">
        <w:t>hospitals from high priority suburban/rural areas and remaining areas in the United States</w:t>
      </w:r>
      <w:r w:rsidRPr="00984266" w:rsidR="00791170">
        <w:rPr>
          <w:color w:val="000000" w:themeColor="text1"/>
        </w:rPr>
        <w:t xml:space="preserve">. </w:t>
      </w:r>
    </w:p>
    <w:p w:rsidR="00D72464" w:rsidRPr="00984266" w:rsidP="00D72464" w14:paraId="6DF26ED8" w14:textId="77777777">
      <w:pPr>
        <w:pStyle w:val="ListParagraph"/>
      </w:pPr>
    </w:p>
    <w:p w:rsidR="00165141" w:rsidRPr="00984266" w:rsidP="00850DA5" w14:paraId="348CAD67" w14:textId="5193F66B">
      <w:pPr>
        <w:pStyle w:val="NormalWeb"/>
        <w:spacing w:before="0" w:beforeAutospacing="0" w:after="0" w:afterAutospacing="0"/>
        <w:ind w:left="720"/>
        <w:rPr>
          <w:color w:val="000000"/>
        </w:rPr>
      </w:pPr>
      <w:r w:rsidRPr="00984266">
        <w:t>Change the</w:t>
      </w:r>
      <w:r w:rsidRPr="00984266" w:rsidR="00D72464">
        <w:t xml:space="preserve"> reporting and publication schedule</w:t>
      </w:r>
      <w:r w:rsidRPr="00984266" w:rsidR="00805934">
        <w:t xml:space="preserve"> to further increase the </w:t>
      </w:r>
      <w:r w:rsidRPr="00984266" w:rsidR="00D72464">
        <w:t xml:space="preserve">timeliness of </w:t>
      </w:r>
      <w:r w:rsidRPr="00984266" w:rsidR="00805934">
        <w:t xml:space="preserve">the new </w:t>
      </w:r>
      <w:r w:rsidRPr="00984266" w:rsidR="00D72464">
        <w:t>DAWN data availability and delivery to SAMHSA</w:t>
      </w:r>
      <w:r w:rsidRPr="00984266" w:rsidR="00805934">
        <w:t xml:space="preserve">. </w:t>
      </w:r>
      <w:r w:rsidRPr="00984266" w:rsidR="00233C52">
        <w:t xml:space="preserve"> </w:t>
      </w:r>
      <w:r w:rsidRPr="00984266" w:rsidR="00805934">
        <w:t>T</w:t>
      </w:r>
      <w:r w:rsidRPr="00984266" w:rsidR="00D72464">
        <w:t>he new</w:t>
      </w:r>
      <w:r w:rsidRPr="00984266" w:rsidR="00805934">
        <w:t xml:space="preserve"> </w:t>
      </w:r>
      <w:r w:rsidRPr="00984266" w:rsidR="00D72464">
        <w:t xml:space="preserve">DAWN data are collected on an ongoing basis and </w:t>
      </w:r>
      <w:r w:rsidRPr="00984266" w:rsidR="00805934">
        <w:t>could be</w:t>
      </w:r>
      <w:r w:rsidRPr="00984266" w:rsidR="00D72464">
        <w:t xml:space="preserve"> available to SAMHSA on demand. </w:t>
      </w:r>
      <w:r w:rsidRPr="00984266" w:rsidR="00233C52">
        <w:t xml:space="preserve"> </w:t>
      </w:r>
      <w:r w:rsidRPr="00984266" w:rsidR="00805934">
        <w:t>The new DAWN d</w:t>
      </w:r>
      <w:r w:rsidRPr="00984266" w:rsidR="00D72464">
        <w:t xml:space="preserve">ata are delivered to SAMHSA and available for analysis </w:t>
      </w:r>
      <w:r w:rsidRPr="00984266" w:rsidR="00805934">
        <w:t>at more frequent intervals than the legacy DAWN</w:t>
      </w:r>
      <w:r w:rsidRPr="00984266" w:rsidR="00E04C78">
        <w:t xml:space="preserve"> (see section A16 for details on time schedule)</w:t>
      </w:r>
      <w:r w:rsidRPr="00984266" w:rsidR="00D72464">
        <w:t>.</w:t>
      </w:r>
    </w:p>
    <w:p w:rsidR="00994D90" w:rsidP="003F786D" w14:paraId="0974C6CD" w14:textId="77777777">
      <w:pPr>
        <w:rPr>
          <w:color w:val="000000"/>
        </w:rPr>
      </w:pPr>
    </w:p>
    <w:p w:rsidR="00B3467C" w:rsidRPr="00617ED6" w:rsidP="00875078" w14:paraId="3769A486" w14:textId="08878B96">
      <w:pPr>
        <w:rPr>
          <w:b/>
          <w:bCs/>
          <w:color w:val="000000"/>
        </w:rPr>
      </w:pPr>
      <w:r w:rsidRPr="00617ED6">
        <w:rPr>
          <w:b/>
          <w:bCs/>
          <w:color w:val="000000"/>
        </w:rPr>
        <w:t xml:space="preserve">Table </w:t>
      </w:r>
      <w:r w:rsidRPr="00617ED6" w:rsidR="00872B1E">
        <w:rPr>
          <w:b/>
          <w:bCs/>
          <w:color w:val="000000"/>
        </w:rPr>
        <w:t>A</w:t>
      </w:r>
      <w:r w:rsidR="00812D8F">
        <w:rPr>
          <w:b/>
          <w:bCs/>
          <w:color w:val="000000"/>
        </w:rPr>
        <w:t>1</w:t>
      </w:r>
      <w:r w:rsidRPr="00617ED6">
        <w:rPr>
          <w:b/>
          <w:bCs/>
          <w:color w:val="000000"/>
        </w:rPr>
        <w:t xml:space="preserve">: Legacy DAWN (2008) and </w:t>
      </w:r>
      <w:r w:rsidRPr="00617ED6" w:rsidR="00A505D3">
        <w:rPr>
          <w:b/>
          <w:bCs/>
          <w:color w:val="000000"/>
        </w:rPr>
        <w:t xml:space="preserve">New </w:t>
      </w:r>
      <w:r w:rsidRPr="00617ED6">
        <w:rPr>
          <w:b/>
          <w:bCs/>
          <w:color w:val="000000"/>
        </w:rPr>
        <w:t>DAWN (2024) differences</w:t>
      </w:r>
    </w:p>
    <w:tbl>
      <w:tblPr>
        <w:tblStyle w:val="TableGrid"/>
        <w:tblW w:w="0" w:type="auto"/>
        <w:tblLook w:val="04A0"/>
      </w:tblPr>
      <w:tblGrid>
        <w:gridCol w:w="3055"/>
        <w:gridCol w:w="2790"/>
        <w:gridCol w:w="2785"/>
      </w:tblGrid>
      <w:tr w14:paraId="1B821B4F" w14:textId="77777777" w:rsidTr="00165544">
        <w:tblPrEx>
          <w:tblW w:w="0" w:type="auto"/>
          <w:tblLook w:val="04A0"/>
        </w:tblPrEx>
        <w:tc>
          <w:tcPr>
            <w:tcW w:w="3055" w:type="dxa"/>
            <w:shd w:val="clear" w:color="auto" w:fill="B4C6E7" w:themeFill="accent1" w:themeFillTint="66"/>
          </w:tcPr>
          <w:p w:rsidR="00B24B94" w:rsidRPr="00165544" w:rsidP="00FD15E8" w14:paraId="6BD97003" w14:textId="2FBDF097">
            <w:pPr>
              <w:rPr>
                <w:b/>
                <w:sz w:val="22"/>
                <w:szCs w:val="22"/>
              </w:rPr>
            </w:pPr>
            <w:r w:rsidRPr="00165544">
              <w:rPr>
                <w:b/>
                <w:sz w:val="22"/>
                <w:szCs w:val="22"/>
              </w:rPr>
              <w:t>System Design</w:t>
            </w:r>
          </w:p>
        </w:tc>
        <w:tc>
          <w:tcPr>
            <w:tcW w:w="2790" w:type="dxa"/>
            <w:shd w:val="clear" w:color="auto" w:fill="B4C6E7" w:themeFill="accent1" w:themeFillTint="66"/>
          </w:tcPr>
          <w:p w:rsidR="00DF20FE" w:rsidRPr="00165544" w:rsidP="00FD15E8" w14:paraId="51E7E452" w14:textId="77777777">
            <w:pPr>
              <w:rPr>
                <w:b/>
                <w:sz w:val="22"/>
                <w:szCs w:val="22"/>
              </w:rPr>
            </w:pPr>
            <w:r w:rsidRPr="00165544">
              <w:rPr>
                <w:b/>
                <w:sz w:val="22"/>
                <w:szCs w:val="22"/>
              </w:rPr>
              <w:t>Legacy DAWN</w:t>
            </w:r>
            <w:r w:rsidRPr="00165544" w:rsidR="007E4461">
              <w:rPr>
                <w:b/>
                <w:sz w:val="22"/>
                <w:szCs w:val="22"/>
              </w:rPr>
              <w:t xml:space="preserve"> </w:t>
            </w:r>
          </w:p>
          <w:p w:rsidR="00B24B94" w:rsidRPr="00165544" w:rsidP="00FD15E8" w14:paraId="0FAB0C38" w14:textId="4676AD6C">
            <w:pPr>
              <w:rPr>
                <w:b/>
                <w:sz w:val="22"/>
                <w:szCs w:val="22"/>
              </w:rPr>
            </w:pPr>
            <w:r w:rsidRPr="00165544">
              <w:rPr>
                <w:b/>
                <w:sz w:val="22"/>
                <w:szCs w:val="22"/>
              </w:rPr>
              <w:t>(2008</w:t>
            </w:r>
            <w:r w:rsidRPr="00165544" w:rsidR="00DF20FE">
              <w:rPr>
                <w:b/>
                <w:sz w:val="22"/>
                <w:szCs w:val="22"/>
              </w:rPr>
              <w:t>-2011</w:t>
            </w:r>
            <w:r w:rsidRPr="00165544">
              <w:rPr>
                <w:b/>
                <w:sz w:val="22"/>
                <w:szCs w:val="22"/>
              </w:rPr>
              <w:t>)</w:t>
            </w:r>
          </w:p>
        </w:tc>
        <w:tc>
          <w:tcPr>
            <w:tcW w:w="2785" w:type="dxa"/>
            <w:shd w:val="clear" w:color="auto" w:fill="B4C6E7" w:themeFill="accent1" w:themeFillTint="66"/>
          </w:tcPr>
          <w:p w:rsidR="00DF20FE" w:rsidRPr="00165544" w:rsidP="00FD15E8" w14:paraId="010FD9BD" w14:textId="77777777">
            <w:pPr>
              <w:rPr>
                <w:b/>
                <w:sz w:val="22"/>
                <w:szCs w:val="22"/>
              </w:rPr>
            </w:pPr>
            <w:r w:rsidRPr="00165544">
              <w:rPr>
                <w:b/>
                <w:sz w:val="22"/>
                <w:szCs w:val="22"/>
              </w:rPr>
              <w:t xml:space="preserve">New </w:t>
            </w:r>
            <w:r w:rsidRPr="00165544" w:rsidR="00B24B94">
              <w:rPr>
                <w:b/>
                <w:sz w:val="22"/>
                <w:szCs w:val="22"/>
              </w:rPr>
              <w:t>DAWN</w:t>
            </w:r>
            <w:r w:rsidRPr="00165544" w:rsidR="007E4461">
              <w:rPr>
                <w:b/>
                <w:sz w:val="22"/>
                <w:szCs w:val="22"/>
              </w:rPr>
              <w:t xml:space="preserve"> </w:t>
            </w:r>
          </w:p>
          <w:p w:rsidR="00B24B94" w:rsidRPr="00165544" w:rsidP="00FD15E8" w14:paraId="30006DD4" w14:textId="177510BD">
            <w:pPr>
              <w:rPr>
                <w:b/>
                <w:sz w:val="22"/>
                <w:szCs w:val="22"/>
              </w:rPr>
            </w:pPr>
            <w:r w:rsidRPr="00165544">
              <w:rPr>
                <w:b/>
                <w:sz w:val="22"/>
                <w:szCs w:val="22"/>
              </w:rPr>
              <w:t>(2024</w:t>
            </w:r>
            <w:r w:rsidRPr="00165544" w:rsidR="00DF20FE">
              <w:rPr>
                <w:b/>
                <w:sz w:val="22"/>
                <w:szCs w:val="22"/>
              </w:rPr>
              <w:t>-2026</w:t>
            </w:r>
            <w:r w:rsidRPr="00165544">
              <w:rPr>
                <w:b/>
                <w:sz w:val="22"/>
                <w:szCs w:val="22"/>
              </w:rPr>
              <w:t>)</w:t>
            </w:r>
          </w:p>
        </w:tc>
      </w:tr>
      <w:tr w14:paraId="0D9C7DE8" w14:textId="77777777" w:rsidTr="004F5636">
        <w:tblPrEx>
          <w:tblW w:w="0" w:type="auto"/>
          <w:tblLook w:val="04A0"/>
        </w:tblPrEx>
        <w:tc>
          <w:tcPr>
            <w:tcW w:w="3055" w:type="dxa"/>
          </w:tcPr>
          <w:p w:rsidR="00B24B94" w:rsidRPr="00165544" w:rsidP="00FD15E8" w14:paraId="695E6F80" w14:textId="77777777">
            <w:pPr>
              <w:rPr>
                <w:sz w:val="22"/>
                <w:szCs w:val="22"/>
              </w:rPr>
            </w:pPr>
            <w:r w:rsidRPr="00165544">
              <w:rPr>
                <w:sz w:val="22"/>
                <w:szCs w:val="22"/>
              </w:rPr>
              <w:t>Drug-related visits collected</w:t>
            </w:r>
          </w:p>
        </w:tc>
        <w:tc>
          <w:tcPr>
            <w:tcW w:w="2790" w:type="dxa"/>
          </w:tcPr>
          <w:p w:rsidR="00B24B94" w:rsidRPr="00165544" w:rsidP="00FD15E8" w14:paraId="66E87E7A" w14:textId="38A45EDC">
            <w:pPr>
              <w:rPr>
                <w:sz w:val="22"/>
                <w:szCs w:val="22"/>
              </w:rPr>
            </w:pPr>
            <w:r w:rsidRPr="00165544">
              <w:rPr>
                <w:sz w:val="22"/>
                <w:szCs w:val="22"/>
              </w:rPr>
              <w:t>All drugs</w:t>
            </w:r>
            <w:r w:rsidRPr="00165544" w:rsidR="00085D99">
              <w:rPr>
                <w:sz w:val="22"/>
                <w:szCs w:val="22"/>
              </w:rPr>
              <w:t xml:space="preserve"> and alcohol for patients &lt; 21 years of age</w:t>
            </w:r>
          </w:p>
        </w:tc>
        <w:tc>
          <w:tcPr>
            <w:tcW w:w="2785" w:type="dxa"/>
          </w:tcPr>
          <w:p w:rsidR="00B24B94" w:rsidRPr="00165544" w:rsidP="00FD15E8" w14:paraId="00490DA1" w14:textId="2B28ACD9">
            <w:pPr>
              <w:rPr>
                <w:sz w:val="22"/>
                <w:szCs w:val="22"/>
              </w:rPr>
            </w:pPr>
            <w:r w:rsidRPr="00165544">
              <w:rPr>
                <w:sz w:val="22"/>
                <w:szCs w:val="22"/>
              </w:rPr>
              <w:t>All drugs</w:t>
            </w:r>
            <w:r w:rsidRPr="00165544" w:rsidR="001C1E99">
              <w:rPr>
                <w:sz w:val="22"/>
                <w:szCs w:val="22"/>
              </w:rPr>
              <w:t xml:space="preserve"> and alcohol</w:t>
            </w:r>
            <w:r w:rsidRPr="00165544" w:rsidR="00085D99">
              <w:rPr>
                <w:sz w:val="22"/>
                <w:szCs w:val="22"/>
              </w:rPr>
              <w:t xml:space="preserve"> for all ages</w:t>
            </w:r>
          </w:p>
        </w:tc>
      </w:tr>
      <w:tr w14:paraId="613034AF" w14:textId="77777777" w:rsidTr="004F5636">
        <w:tblPrEx>
          <w:tblW w:w="0" w:type="auto"/>
          <w:tblLook w:val="04A0"/>
        </w:tblPrEx>
        <w:tc>
          <w:tcPr>
            <w:tcW w:w="3055" w:type="dxa"/>
          </w:tcPr>
          <w:p w:rsidR="00B24B94" w:rsidRPr="00165544" w:rsidP="00FD15E8" w14:paraId="4796EB66" w14:textId="77777777">
            <w:pPr>
              <w:rPr>
                <w:sz w:val="22"/>
                <w:szCs w:val="22"/>
              </w:rPr>
            </w:pPr>
            <w:r w:rsidRPr="00165544">
              <w:rPr>
                <w:sz w:val="22"/>
                <w:szCs w:val="22"/>
              </w:rPr>
              <w:t>Data collection method</w:t>
            </w:r>
          </w:p>
        </w:tc>
        <w:tc>
          <w:tcPr>
            <w:tcW w:w="2790" w:type="dxa"/>
          </w:tcPr>
          <w:p w:rsidR="00B24B94" w:rsidRPr="00165544" w:rsidP="00FD15E8" w14:paraId="03D18028" w14:textId="77777777">
            <w:pPr>
              <w:rPr>
                <w:sz w:val="22"/>
                <w:szCs w:val="22"/>
              </w:rPr>
            </w:pPr>
            <w:r w:rsidRPr="00165544">
              <w:rPr>
                <w:sz w:val="22"/>
                <w:szCs w:val="22"/>
              </w:rPr>
              <w:t>Direct chart review</w:t>
            </w:r>
          </w:p>
        </w:tc>
        <w:tc>
          <w:tcPr>
            <w:tcW w:w="2785" w:type="dxa"/>
          </w:tcPr>
          <w:p w:rsidR="00B24B94" w:rsidP="00FD15E8" w14:paraId="4DE1B9BD" w14:textId="77777777">
            <w:pPr>
              <w:rPr>
                <w:sz w:val="22"/>
                <w:szCs w:val="22"/>
              </w:rPr>
            </w:pPr>
            <w:r w:rsidRPr="00165544">
              <w:rPr>
                <w:sz w:val="22"/>
                <w:szCs w:val="22"/>
              </w:rPr>
              <w:t>Direct chart review</w:t>
            </w:r>
            <w:r w:rsidR="00B27F60">
              <w:rPr>
                <w:sz w:val="22"/>
                <w:szCs w:val="22"/>
              </w:rPr>
              <w:t xml:space="preserve"> or</w:t>
            </w:r>
          </w:p>
          <w:p w:rsidR="00B27F60" w:rsidRPr="00165544" w:rsidP="00FD15E8" w14:paraId="172E2AE4" w14:textId="29B69C3C">
            <w:pPr>
              <w:rPr>
                <w:sz w:val="22"/>
                <w:szCs w:val="22"/>
              </w:rPr>
            </w:pPr>
            <w:r>
              <w:rPr>
                <w:sz w:val="22"/>
                <w:szCs w:val="22"/>
              </w:rPr>
              <w:t>ML with NLP</w:t>
            </w:r>
          </w:p>
        </w:tc>
      </w:tr>
      <w:tr w14:paraId="653FC2F8" w14:textId="77777777" w:rsidTr="004F5636">
        <w:tblPrEx>
          <w:tblW w:w="0" w:type="auto"/>
          <w:tblLook w:val="04A0"/>
        </w:tblPrEx>
        <w:tc>
          <w:tcPr>
            <w:tcW w:w="3055" w:type="dxa"/>
          </w:tcPr>
          <w:p w:rsidR="007E4461" w:rsidRPr="00165544" w:rsidP="00FD15E8" w14:paraId="5D1C8F4A" w14:textId="75F5EC58">
            <w:pPr>
              <w:rPr>
                <w:sz w:val="22"/>
                <w:szCs w:val="22"/>
              </w:rPr>
            </w:pPr>
            <w:r w:rsidRPr="00165544">
              <w:rPr>
                <w:sz w:val="22"/>
                <w:szCs w:val="22"/>
              </w:rPr>
              <w:t>ED charts reviewed</w:t>
            </w:r>
          </w:p>
        </w:tc>
        <w:tc>
          <w:tcPr>
            <w:tcW w:w="2790" w:type="dxa"/>
          </w:tcPr>
          <w:p w:rsidR="007E4461" w:rsidRPr="00165544" w:rsidP="007E4461" w14:paraId="2BB202AB" w14:textId="5BD657A4">
            <w:pPr>
              <w:rPr>
                <w:sz w:val="22"/>
                <w:szCs w:val="22"/>
              </w:rPr>
            </w:pPr>
            <w:r w:rsidRPr="00165544">
              <w:rPr>
                <w:sz w:val="22"/>
                <w:szCs w:val="22"/>
              </w:rPr>
              <w:t>100% of visits reviewed or a sample of visits reviewed</w:t>
            </w:r>
          </w:p>
        </w:tc>
        <w:tc>
          <w:tcPr>
            <w:tcW w:w="2785" w:type="dxa"/>
          </w:tcPr>
          <w:p w:rsidR="007E4461" w:rsidRPr="00165544" w:rsidP="00FD15E8" w14:paraId="671D2C77" w14:textId="52124938">
            <w:pPr>
              <w:rPr>
                <w:sz w:val="22"/>
                <w:szCs w:val="22"/>
              </w:rPr>
            </w:pPr>
            <w:r w:rsidRPr="00165544">
              <w:rPr>
                <w:sz w:val="22"/>
                <w:szCs w:val="22"/>
              </w:rPr>
              <w:t>100% of visits reviewed at all hospitals</w:t>
            </w:r>
          </w:p>
        </w:tc>
      </w:tr>
      <w:tr w14:paraId="2B6B09B1" w14:textId="77777777" w:rsidTr="004F5636">
        <w:tblPrEx>
          <w:tblW w:w="0" w:type="auto"/>
          <w:tblLook w:val="04A0"/>
        </w:tblPrEx>
        <w:tc>
          <w:tcPr>
            <w:tcW w:w="3055" w:type="dxa"/>
          </w:tcPr>
          <w:p w:rsidR="007E4461" w:rsidRPr="00165544" w:rsidP="00FD15E8" w14:paraId="583E042E" w14:textId="39C36C29">
            <w:pPr>
              <w:rPr>
                <w:sz w:val="22"/>
                <w:szCs w:val="22"/>
              </w:rPr>
            </w:pPr>
            <w:r w:rsidRPr="00165544">
              <w:rPr>
                <w:sz w:val="22"/>
                <w:szCs w:val="22"/>
              </w:rPr>
              <w:t>Number of sampled hospitals</w:t>
            </w:r>
          </w:p>
        </w:tc>
        <w:tc>
          <w:tcPr>
            <w:tcW w:w="2790" w:type="dxa"/>
          </w:tcPr>
          <w:p w:rsidR="007E4461" w:rsidRPr="00165544" w:rsidP="007E4461" w14:paraId="5E334E92" w14:textId="4B8796E5">
            <w:pPr>
              <w:rPr>
                <w:sz w:val="22"/>
                <w:szCs w:val="22"/>
              </w:rPr>
            </w:pPr>
            <w:r w:rsidRPr="00165544">
              <w:rPr>
                <w:sz w:val="22"/>
                <w:szCs w:val="22"/>
              </w:rPr>
              <w:t>61</w:t>
            </w:r>
          </w:p>
        </w:tc>
        <w:tc>
          <w:tcPr>
            <w:tcW w:w="2785" w:type="dxa"/>
          </w:tcPr>
          <w:p w:rsidR="007E4461" w:rsidRPr="00165544" w:rsidP="00FD15E8" w14:paraId="715A2C86" w14:textId="41C6FBFB">
            <w:pPr>
              <w:rPr>
                <w:sz w:val="22"/>
                <w:szCs w:val="22"/>
              </w:rPr>
            </w:pPr>
            <w:r w:rsidRPr="00165544">
              <w:rPr>
                <w:sz w:val="22"/>
                <w:szCs w:val="22"/>
              </w:rPr>
              <w:t>128</w:t>
            </w:r>
          </w:p>
        </w:tc>
      </w:tr>
      <w:tr w14:paraId="55ED0614" w14:textId="77777777" w:rsidTr="004F5636">
        <w:tblPrEx>
          <w:tblW w:w="0" w:type="auto"/>
          <w:tblLook w:val="04A0"/>
        </w:tblPrEx>
        <w:tc>
          <w:tcPr>
            <w:tcW w:w="3055" w:type="dxa"/>
          </w:tcPr>
          <w:p w:rsidR="00B24B94" w:rsidRPr="00165544" w:rsidP="00FD15E8" w14:paraId="4B2FAC13" w14:textId="77777777">
            <w:pPr>
              <w:rPr>
                <w:sz w:val="22"/>
                <w:szCs w:val="22"/>
              </w:rPr>
            </w:pPr>
            <w:r w:rsidRPr="00165544">
              <w:rPr>
                <w:sz w:val="22"/>
                <w:szCs w:val="22"/>
              </w:rPr>
              <w:t>Data availability to SAMHSA</w:t>
            </w:r>
          </w:p>
        </w:tc>
        <w:tc>
          <w:tcPr>
            <w:tcW w:w="2790" w:type="dxa"/>
          </w:tcPr>
          <w:p w:rsidR="00B24B94" w:rsidRPr="00165544" w:rsidP="00FD15E8" w14:paraId="7EE9267F" w14:textId="77777777">
            <w:pPr>
              <w:rPr>
                <w:sz w:val="22"/>
                <w:szCs w:val="22"/>
              </w:rPr>
            </w:pPr>
            <w:r w:rsidRPr="00165544">
              <w:rPr>
                <w:sz w:val="22"/>
                <w:szCs w:val="22"/>
              </w:rPr>
              <w:t>Quarterly</w:t>
            </w:r>
          </w:p>
        </w:tc>
        <w:tc>
          <w:tcPr>
            <w:tcW w:w="2785" w:type="dxa"/>
          </w:tcPr>
          <w:p w:rsidR="00B24B94" w:rsidRPr="00165544" w:rsidP="00FD15E8" w14:paraId="5176CEEC" w14:textId="411A5907">
            <w:pPr>
              <w:rPr>
                <w:sz w:val="22"/>
                <w:szCs w:val="22"/>
              </w:rPr>
            </w:pPr>
            <w:r w:rsidRPr="00165544">
              <w:rPr>
                <w:sz w:val="22"/>
                <w:szCs w:val="22"/>
              </w:rPr>
              <w:t>On</w:t>
            </w:r>
            <w:r w:rsidRPr="00165544" w:rsidR="00BE3B9C">
              <w:rPr>
                <w:sz w:val="22"/>
                <w:szCs w:val="22"/>
              </w:rPr>
              <w:t>going</w:t>
            </w:r>
          </w:p>
        </w:tc>
      </w:tr>
      <w:tr w14:paraId="5A9B92D1" w14:textId="77777777" w:rsidTr="004F5636">
        <w:tblPrEx>
          <w:tblW w:w="0" w:type="auto"/>
          <w:tblLook w:val="04A0"/>
        </w:tblPrEx>
        <w:tc>
          <w:tcPr>
            <w:tcW w:w="3055" w:type="dxa"/>
          </w:tcPr>
          <w:p w:rsidR="00B24B94" w:rsidRPr="00165544" w:rsidP="00FD15E8" w14:paraId="467923AA" w14:textId="77777777">
            <w:pPr>
              <w:rPr>
                <w:sz w:val="22"/>
                <w:szCs w:val="22"/>
              </w:rPr>
            </w:pPr>
            <w:r w:rsidRPr="00165544">
              <w:rPr>
                <w:sz w:val="22"/>
                <w:szCs w:val="22"/>
              </w:rPr>
              <w:t>Medical Examiner/Coroner data collection</w:t>
            </w:r>
          </w:p>
        </w:tc>
        <w:tc>
          <w:tcPr>
            <w:tcW w:w="2790" w:type="dxa"/>
          </w:tcPr>
          <w:p w:rsidR="00B24B94" w:rsidRPr="00165544" w:rsidP="00FD15E8" w14:paraId="305A10E4" w14:textId="77777777">
            <w:pPr>
              <w:rPr>
                <w:sz w:val="22"/>
                <w:szCs w:val="22"/>
              </w:rPr>
            </w:pPr>
            <w:r w:rsidRPr="00165544">
              <w:rPr>
                <w:sz w:val="22"/>
                <w:szCs w:val="22"/>
              </w:rPr>
              <w:t>Yes</w:t>
            </w:r>
          </w:p>
        </w:tc>
        <w:tc>
          <w:tcPr>
            <w:tcW w:w="2785" w:type="dxa"/>
          </w:tcPr>
          <w:p w:rsidR="00B24B94" w:rsidRPr="00165544" w:rsidP="00FD15E8" w14:paraId="0A46D665" w14:textId="77777777">
            <w:pPr>
              <w:rPr>
                <w:sz w:val="22"/>
                <w:szCs w:val="22"/>
              </w:rPr>
            </w:pPr>
            <w:r w:rsidRPr="00165544">
              <w:rPr>
                <w:sz w:val="22"/>
                <w:szCs w:val="22"/>
              </w:rPr>
              <w:t>No</w:t>
            </w:r>
          </w:p>
        </w:tc>
      </w:tr>
      <w:tr w14:paraId="5D866E4F" w14:textId="77777777" w:rsidTr="004F5636">
        <w:tblPrEx>
          <w:tblW w:w="0" w:type="auto"/>
          <w:tblLook w:val="04A0"/>
        </w:tblPrEx>
        <w:tc>
          <w:tcPr>
            <w:tcW w:w="3055" w:type="dxa"/>
          </w:tcPr>
          <w:p w:rsidR="00B24B94" w:rsidRPr="00165544" w:rsidP="00FD15E8" w14:paraId="1D5C49A0" w14:textId="5F77E9C5">
            <w:pPr>
              <w:rPr>
                <w:sz w:val="22"/>
                <w:szCs w:val="22"/>
              </w:rPr>
            </w:pPr>
            <w:r w:rsidRPr="00165544">
              <w:rPr>
                <w:sz w:val="22"/>
                <w:szCs w:val="22"/>
              </w:rPr>
              <w:t xml:space="preserve">Sample </w:t>
            </w:r>
            <w:r w:rsidRPr="00165544" w:rsidR="001C1E99">
              <w:rPr>
                <w:sz w:val="22"/>
                <w:szCs w:val="22"/>
              </w:rPr>
              <w:t>Design</w:t>
            </w:r>
          </w:p>
        </w:tc>
        <w:tc>
          <w:tcPr>
            <w:tcW w:w="2790" w:type="dxa"/>
          </w:tcPr>
          <w:p w:rsidR="00B24B94" w:rsidRPr="00165544" w:rsidP="00FD15E8" w14:paraId="78812F9A" w14:textId="71081CF8">
            <w:pPr>
              <w:rPr>
                <w:sz w:val="22"/>
                <w:szCs w:val="22"/>
              </w:rPr>
            </w:pPr>
            <w:r w:rsidRPr="00165544">
              <w:rPr>
                <w:sz w:val="22"/>
                <w:szCs w:val="22"/>
              </w:rPr>
              <w:t>National sample and oversample in select metropolitan areas</w:t>
            </w:r>
          </w:p>
        </w:tc>
        <w:tc>
          <w:tcPr>
            <w:tcW w:w="2785" w:type="dxa"/>
          </w:tcPr>
          <w:p w:rsidR="00B24B94" w:rsidRPr="00165544" w:rsidP="00FD15E8" w14:paraId="0F0C14CB" w14:textId="0802C83E">
            <w:pPr>
              <w:rPr>
                <w:sz w:val="22"/>
                <w:szCs w:val="22"/>
              </w:rPr>
            </w:pPr>
            <w:r w:rsidRPr="00165544">
              <w:rPr>
                <w:sz w:val="22"/>
                <w:szCs w:val="22"/>
              </w:rPr>
              <w:t xml:space="preserve">Hybrid sentinel and probability-based surveillance design </w:t>
            </w:r>
          </w:p>
        </w:tc>
      </w:tr>
      <w:tr w14:paraId="5D0480E5" w14:textId="77777777" w:rsidTr="004F5636">
        <w:tblPrEx>
          <w:tblW w:w="0" w:type="auto"/>
          <w:tblLook w:val="04A0"/>
        </w:tblPrEx>
        <w:tc>
          <w:tcPr>
            <w:tcW w:w="3055" w:type="dxa"/>
          </w:tcPr>
          <w:p w:rsidR="00F25457" w:rsidRPr="00165544" w:rsidP="00FD15E8" w14:paraId="2ED73530" w14:textId="699E345A">
            <w:pPr>
              <w:rPr>
                <w:sz w:val="22"/>
                <w:szCs w:val="22"/>
              </w:rPr>
            </w:pPr>
            <w:r w:rsidRPr="00165544">
              <w:rPr>
                <w:sz w:val="22"/>
                <w:szCs w:val="22"/>
              </w:rPr>
              <w:t>Abstractor Options</w:t>
            </w:r>
          </w:p>
        </w:tc>
        <w:tc>
          <w:tcPr>
            <w:tcW w:w="2790" w:type="dxa"/>
          </w:tcPr>
          <w:p w:rsidR="00F25457" w:rsidRPr="00165544" w:rsidP="00FD15E8" w14:paraId="11204071" w14:textId="5E5A0036">
            <w:pPr>
              <w:rPr>
                <w:sz w:val="22"/>
                <w:szCs w:val="22"/>
              </w:rPr>
            </w:pPr>
            <w:r w:rsidRPr="00165544">
              <w:rPr>
                <w:sz w:val="22"/>
                <w:szCs w:val="22"/>
              </w:rPr>
              <w:t>Contractor-based abstractor or hospital-staff abstractor</w:t>
            </w:r>
          </w:p>
        </w:tc>
        <w:tc>
          <w:tcPr>
            <w:tcW w:w="2785" w:type="dxa"/>
          </w:tcPr>
          <w:p w:rsidR="00F25457" w:rsidRPr="00165544" w:rsidP="00FD15E8" w14:paraId="1D54E5E7" w14:textId="680D4AB9">
            <w:pPr>
              <w:rPr>
                <w:sz w:val="22"/>
                <w:szCs w:val="22"/>
              </w:rPr>
            </w:pPr>
            <w:r w:rsidRPr="00165544">
              <w:rPr>
                <w:sz w:val="22"/>
                <w:szCs w:val="22"/>
              </w:rPr>
              <w:t>Contractor-based abstractor</w:t>
            </w:r>
          </w:p>
        </w:tc>
      </w:tr>
      <w:tr w14:paraId="374E53EB" w14:textId="77777777" w:rsidTr="004F5636">
        <w:tblPrEx>
          <w:tblW w:w="0" w:type="auto"/>
          <w:tblLook w:val="04A0"/>
        </w:tblPrEx>
        <w:tc>
          <w:tcPr>
            <w:tcW w:w="3055" w:type="dxa"/>
          </w:tcPr>
          <w:p w:rsidR="001E6D3A" w:rsidRPr="00165544" w:rsidP="00FD15E8" w14:paraId="1BD81389" w14:textId="492D1552">
            <w:pPr>
              <w:rPr>
                <w:sz w:val="22"/>
                <w:szCs w:val="22"/>
              </w:rPr>
            </w:pPr>
            <w:r w:rsidRPr="00165544">
              <w:rPr>
                <w:sz w:val="22"/>
                <w:szCs w:val="22"/>
              </w:rPr>
              <w:t>Data report releases</w:t>
            </w:r>
          </w:p>
        </w:tc>
        <w:tc>
          <w:tcPr>
            <w:tcW w:w="2790" w:type="dxa"/>
          </w:tcPr>
          <w:p w:rsidR="001E6D3A" w:rsidRPr="00165544" w:rsidP="00FD15E8" w14:paraId="4B722338" w14:textId="270D5981">
            <w:pPr>
              <w:rPr>
                <w:sz w:val="22"/>
                <w:szCs w:val="22"/>
              </w:rPr>
            </w:pPr>
            <w:r w:rsidRPr="00165544">
              <w:rPr>
                <w:sz w:val="22"/>
                <w:szCs w:val="22"/>
              </w:rPr>
              <w:t>Annually and ad hoc</w:t>
            </w:r>
          </w:p>
        </w:tc>
        <w:tc>
          <w:tcPr>
            <w:tcW w:w="2785" w:type="dxa"/>
          </w:tcPr>
          <w:p w:rsidR="001E6D3A" w:rsidRPr="00165544" w:rsidP="00FD15E8" w14:paraId="74BDFAE0" w14:textId="118A2251">
            <w:pPr>
              <w:rPr>
                <w:sz w:val="22"/>
                <w:szCs w:val="22"/>
              </w:rPr>
            </w:pPr>
            <w:r>
              <w:rPr>
                <w:sz w:val="22"/>
                <w:szCs w:val="22"/>
              </w:rPr>
              <w:t>A</w:t>
            </w:r>
            <w:r w:rsidRPr="00165544" w:rsidR="00BE3B9C">
              <w:rPr>
                <w:sz w:val="22"/>
                <w:szCs w:val="22"/>
              </w:rPr>
              <w:t>nnually</w:t>
            </w:r>
            <w:r>
              <w:rPr>
                <w:sz w:val="22"/>
                <w:szCs w:val="22"/>
              </w:rPr>
              <w:t xml:space="preserve"> </w:t>
            </w:r>
            <w:r w:rsidRPr="00165544" w:rsidR="00BE3B9C">
              <w:rPr>
                <w:sz w:val="22"/>
                <w:szCs w:val="22"/>
              </w:rPr>
              <w:t xml:space="preserve">and </w:t>
            </w:r>
            <w:r>
              <w:rPr>
                <w:sz w:val="22"/>
                <w:szCs w:val="22"/>
              </w:rPr>
              <w:t>quarterly (</w:t>
            </w:r>
            <w:r w:rsidRPr="00165544" w:rsidR="00BE3B9C">
              <w:rPr>
                <w:sz w:val="22"/>
                <w:szCs w:val="22"/>
              </w:rPr>
              <w:t>ad hoc</w:t>
            </w:r>
            <w:r>
              <w:rPr>
                <w:sz w:val="22"/>
                <w:szCs w:val="22"/>
              </w:rPr>
              <w:t>)</w:t>
            </w:r>
          </w:p>
        </w:tc>
      </w:tr>
      <w:tr w14:paraId="62AB67C9" w14:textId="77777777" w:rsidTr="004F5636">
        <w:tblPrEx>
          <w:tblW w:w="0" w:type="auto"/>
          <w:tblLook w:val="04A0"/>
        </w:tblPrEx>
        <w:tc>
          <w:tcPr>
            <w:tcW w:w="3055" w:type="dxa"/>
          </w:tcPr>
          <w:p w:rsidR="00F25457" w:rsidRPr="00165544" w:rsidP="00FD15E8" w14:paraId="73110AE1" w14:textId="29930864">
            <w:pPr>
              <w:rPr>
                <w:sz w:val="22"/>
                <w:szCs w:val="22"/>
              </w:rPr>
            </w:pPr>
            <w:r w:rsidRPr="00165544">
              <w:rPr>
                <w:sz w:val="22"/>
                <w:szCs w:val="22"/>
              </w:rPr>
              <w:t>Data stakeholder access</w:t>
            </w:r>
          </w:p>
        </w:tc>
        <w:tc>
          <w:tcPr>
            <w:tcW w:w="2790" w:type="dxa"/>
          </w:tcPr>
          <w:p w:rsidR="00F25457" w:rsidRPr="00165544" w14:paraId="11B81577" w14:textId="77777777">
            <w:pPr>
              <w:pStyle w:val="ListParagraph"/>
              <w:numPr>
                <w:ilvl w:val="0"/>
                <w:numId w:val="4"/>
              </w:numPr>
              <w:rPr>
                <w:sz w:val="22"/>
                <w:szCs w:val="22"/>
              </w:rPr>
            </w:pPr>
            <w:r w:rsidRPr="00165544">
              <w:rPr>
                <w:sz w:val="22"/>
                <w:szCs w:val="22"/>
              </w:rPr>
              <w:t>Web-based query system available to participating hospitals</w:t>
            </w:r>
          </w:p>
          <w:p w:rsidR="00F25457" w:rsidRPr="00165544" w14:paraId="6FDB4F26" w14:textId="782EFD6B">
            <w:pPr>
              <w:pStyle w:val="ListParagraph"/>
              <w:numPr>
                <w:ilvl w:val="0"/>
                <w:numId w:val="4"/>
              </w:numPr>
              <w:rPr>
                <w:sz w:val="22"/>
                <w:szCs w:val="22"/>
              </w:rPr>
            </w:pPr>
            <w:r w:rsidRPr="00165544">
              <w:rPr>
                <w:sz w:val="22"/>
                <w:szCs w:val="22"/>
              </w:rPr>
              <w:t xml:space="preserve">Web-based query system aggregated to metro area data available to stakeholders </w:t>
            </w:r>
          </w:p>
        </w:tc>
        <w:tc>
          <w:tcPr>
            <w:tcW w:w="2785" w:type="dxa"/>
          </w:tcPr>
          <w:p w:rsidR="00F25457" w:rsidRPr="00165544" w14:paraId="55987E62" w14:textId="3283A7CA">
            <w:pPr>
              <w:pStyle w:val="ListParagraph"/>
              <w:numPr>
                <w:ilvl w:val="0"/>
                <w:numId w:val="4"/>
              </w:numPr>
              <w:rPr>
                <w:sz w:val="22"/>
                <w:szCs w:val="22"/>
              </w:rPr>
            </w:pPr>
            <w:r w:rsidRPr="00165544">
              <w:rPr>
                <w:sz w:val="22"/>
                <w:szCs w:val="22"/>
              </w:rPr>
              <w:t>Web-based visualizations available to participating hospitals</w:t>
            </w:r>
          </w:p>
          <w:p w:rsidR="00F25457" w:rsidRPr="00165544" w14:paraId="4B7856EC" w14:textId="103246BF">
            <w:pPr>
              <w:pStyle w:val="ListParagraph"/>
              <w:numPr>
                <w:ilvl w:val="0"/>
                <w:numId w:val="4"/>
              </w:numPr>
              <w:rPr>
                <w:sz w:val="22"/>
                <w:szCs w:val="22"/>
              </w:rPr>
            </w:pPr>
            <w:r w:rsidRPr="00165544">
              <w:rPr>
                <w:sz w:val="22"/>
                <w:szCs w:val="22"/>
              </w:rPr>
              <w:t>Web based query system aggregated at national level available to stakeholders</w:t>
            </w:r>
          </w:p>
        </w:tc>
      </w:tr>
    </w:tbl>
    <w:p w:rsidR="00B24B94" w:rsidP="00875078" w14:paraId="3836DC94" w14:textId="5B0E6940">
      <w:pPr>
        <w:rPr>
          <w:color w:val="000000"/>
        </w:rPr>
      </w:pPr>
    </w:p>
    <w:p w:rsidR="00B37174" w:rsidRPr="00AE7D8C" w:rsidP="00850DA5" w14:paraId="0A769D1A" w14:textId="6E460404">
      <w:pPr>
        <w:pStyle w:val="NormalWeb"/>
        <w:spacing w:before="0" w:beforeAutospacing="0" w:after="0" w:afterAutospacing="0"/>
        <w:ind w:left="720"/>
        <w:rPr>
          <w:b/>
          <w:bCs/>
        </w:rPr>
      </w:pPr>
      <w:r>
        <w:t xml:space="preserve">Propose </w:t>
      </w:r>
      <w:r w:rsidR="00742C78">
        <w:t xml:space="preserve">changes to </w:t>
      </w:r>
      <w:r w:rsidR="00FE11E3">
        <w:t xml:space="preserve">the </w:t>
      </w:r>
      <w:r w:rsidRPr="002E0D5D">
        <w:t>ED Case Report Form</w:t>
      </w:r>
      <w:r w:rsidR="002E0D5D">
        <w:t xml:space="preserve"> (</w:t>
      </w:r>
      <w:r w:rsidRPr="00BE3FC0" w:rsidR="002E0D5D">
        <w:t xml:space="preserve">Attachment </w:t>
      </w:r>
      <w:r w:rsidRPr="00BE3FC0" w:rsidR="00F23A78">
        <w:t>A</w:t>
      </w:r>
      <w:r w:rsidRPr="00BE3FC0" w:rsidR="009110DC">
        <w:t>)</w:t>
      </w:r>
      <w:r w:rsidRPr="00AE7D8C" w:rsidR="002E0D5D">
        <w:rPr>
          <w:b/>
          <w:bCs/>
        </w:rPr>
        <w:t xml:space="preserve"> </w:t>
      </w:r>
    </w:p>
    <w:p w:rsidR="002E0D5D" w:rsidP="00850DA5" w14:paraId="2002530F" w14:textId="3461517F">
      <w:pPr>
        <w:pStyle w:val="ListParagraph"/>
        <w:ind w:left="1080"/>
      </w:pPr>
      <w:r w:rsidRPr="00150842">
        <w:t>Add</w:t>
      </w:r>
      <w:r>
        <w:t xml:space="preserve"> “</w:t>
      </w:r>
      <w:r w:rsidRPr="00FE49EB">
        <w:t xml:space="preserve">Center </w:t>
      </w:r>
      <w:r w:rsidRPr="00565980">
        <w:t xml:space="preserve">for Behavioral Health Statistics and Quality” to specify the center responsible for DAWN data collection.  </w:t>
      </w:r>
    </w:p>
    <w:p w:rsidR="00850DA5" w:rsidP="00850DA5" w14:paraId="6390CA74" w14:textId="77777777">
      <w:pPr>
        <w:pStyle w:val="ListParagraph"/>
        <w:ind w:left="1080"/>
      </w:pPr>
    </w:p>
    <w:p w:rsidR="00B37174" w:rsidRPr="005F4634" w:rsidP="00850DA5" w14:paraId="537B44C6" w14:textId="14803AD3">
      <w:pPr>
        <w:pStyle w:val="ListParagraph"/>
        <w:ind w:left="1080"/>
      </w:pPr>
      <w:r w:rsidRPr="005F4634">
        <w:t xml:space="preserve">Revise the data collection title to “Drug and Alcohol Warning Network” from “Drug Abuse Warning Network” to explicitly and effectively communicates with stakeholders and data users that the reinstated DAWN collects all alcohol cases regardless of age, which is a significant change from the prior system.  </w:t>
      </w:r>
    </w:p>
    <w:p w:rsidR="00B37174" w:rsidP="00850DA5" w14:paraId="3B0A52B8" w14:textId="1FB2FC76">
      <w:pPr>
        <w:pStyle w:val="ListParagraph"/>
        <w:ind w:left="1080"/>
      </w:pPr>
      <w:r w:rsidRPr="005F4634">
        <w:t xml:space="preserve">Replace prior “Facility” data field title with “Hospital Emergency Department ID” to provide more precise description and ID number of the DAWN </w:t>
      </w:r>
      <w:r w:rsidRPr="005F4634">
        <w:t>participating hospitals.</w:t>
      </w:r>
    </w:p>
    <w:p w:rsidR="00850DA5" w:rsidRPr="005F4634" w:rsidP="00850DA5" w14:paraId="722CB00B" w14:textId="77777777">
      <w:pPr>
        <w:pStyle w:val="ListParagraph"/>
        <w:ind w:left="1080"/>
      </w:pPr>
    </w:p>
    <w:p w:rsidR="00B37174" w:rsidP="00850DA5" w14:paraId="1614412D" w14:textId="77777777">
      <w:pPr>
        <w:pStyle w:val="ListParagraph"/>
        <w:ind w:left="1080"/>
      </w:pPr>
      <w:r w:rsidRPr="00565980">
        <w:t>Q3 “Age”: replace prior option of “less than 1 year” with two detailed options of “4 weeks (28 days) or younger” and “Between 4 weeks and one year old (&gt;4 weeks, &lt;1 year)” to enable new identification of neonatal substance issues.</w:t>
      </w:r>
    </w:p>
    <w:p w:rsidR="00850DA5" w:rsidRPr="00565980" w:rsidP="00850DA5" w14:paraId="0EB7D836" w14:textId="77777777">
      <w:pPr>
        <w:pStyle w:val="ListParagraph"/>
        <w:ind w:left="1080"/>
      </w:pPr>
    </w:p>
    <w:p w:rsidR="00B37174" w:rsidRPr="00565980" w:rsidP="00850DA5" w14:paraId="22151725" w14:textId="165D6149">
      <w:pPr>
        <w:pStyle w:val="ListParagraph"/>
        <w:ind w:left="1080"/>
      </w:pPr>
      <w:r w:rsidRPr="00565980">
        <w:t xml:space="preserve">Q4 “County of Residence”: revise data field title from “patient’s home zip code” </w:t>
      </w:r>
      <w:r w:rsidR="008379BE">
        <w:t xml:space="preserve">to “Patient’s County of Residence” </w:t>
      </w:r>
      <w:r w:rsidRPr="00565980">
        <w:t xml:space="preserve">and add more accurate description on what data to be collected and clarify the purpose of data collection. </w:t>
      </w:r>
      <w:r w:rsidR="009F2E25">
        <w:t xml:space="preserve"> </w:t>
      </w:r>
      <w:r w:rsidRPr="00565980">
        <w:t>Add new “Unable to determine county” option to improve data accuracy and account for geographical variation.</w:t>
      </w:r>
    </w:p>
    <w:p w:rsidR="00850DA5" w:rsidP="00850DA5" w14:paraId="7A654C4F" w14:textId="77777777">
      <w:pPr>
        <w:pStyle w:val="ListParagraph"/>
        <w:ind w:left="1080"/>
      </w:pPr>
      <w:bookmarkStart w:id="1" w:name="_Hlk150424677"/>
    </w:p>
    <w:p w:rsidR="00941F45" w:rsidRPr="005F1031" w:rsidP="00850DA5" w14:paraId="5D709B70" w14:textId="3DEE4F4F">
      <w:pPr>
        <w:pStyle w:val="ListParagraph"/>
        <w:ind w:left="1080"/>
        <w:rPr>
          <w:noProof/>
        </w:rPr>
      </w:pPr>
      <w:r>
        <w:t>Q6 “Gender Identity” and Q7 “Sexual Orientation”</w:t>
      </w:r>
      <w:r w:rsidR="006D13B0">
        <w:t xml:space="preserve"> (SOGI)</w:t>
      </w:r>
      <w:r>
        <w:t>: add</w:t>
      </w:r>
      <w:r w:rsidR="00E2280F">
        <w:t xml:space="preserve">ed </w:t>
      </w:r>
      <w:r>
        <w:t xml:space="preserve">to </w:t>
      </w:r>
      <w:r w:rsidR="00DA5F2C">
        <w:t xml:space="preserve">provide inclusive measures and to </w:t>
      </w:r>
      <w:r w:rsidRPr="00BF4BDB" w:rsidR="00A70FED">
        <w:t xml:space="preserve">align with SAMHSA’s efforts in </w:t>
      </w:r>
      <w:r w:rsidRPr="00BF4BDB" w:rsidR="00BF4BDB">
        <w:t>enhancing</w:t>
      </w:r>
      <w:r w:rsidRPr="00BF4BDB" w:rsidR="00A70FED">
        <w:t xml:space="preserve"> behavioral health equities</w:t>
      </w:r>
      <w:r w:rsidRPr="00BF4BDB" w:rsidR="00BF4BDB">
        <w:t xml:space="preserve"> among diverse populations</w:t>
      </w:r>
      <w:r w:rsidRPr="00BF4BDB" w:rsidR="00A70FED">
        <w:t>.</w:t>
      </w:r>
      <w:r w:rsidR="00A70FED">
        <w:rPr>
          <w:color w:val="0A2458"/>
          <w:shd w:val="clear" w:color="auto" w:fill="FFFFFF"/>
        </w:rPr>
        <w:t xml:space="preserve"> </w:t>
      </w:r>
      <w:r w:rsidR="00A8253C">
        <w:rPr>
          <w:color w:val="0A2458"/>
          <w:shd w:val="clear" w:color="auto" w:fill="FFFFFF"/>
        </w:rPr>
        <w:t xml:space="preserve"> </w:t>
      </w:r>
      <w:r w:rsidRPr="00386065" w:rsidR="00492C76">
        <w:rPr>
          <w:shd w:val="clear" w:color="auto" w:fill="FFFFFF"/>
        </w:rPr>
        <w:t xml:space="preserve">With limited standards </w:t>
      </w:r>
      <w:r w:rsidRPr="00386065" w:rsidR="005F1031">
        <w:rPr>
          <w:shd w:val="clear" w:color="auto" w:fill="FFFFFF"/>
        </w:rPr>
        <w:t>in implementation</w:t>
      </w:r>
      <w:r w:rsidRPr="00386065" w:rsidR="00492C76">
        <w:rPr>
          <w:shd w:val="clear" w:color="auto" w:fill="FFFFFF"/>
        </w:rPr>
        <w:t xml:space="preserve"> and SOGI data spans multiple EHR systems of participating hospitals with inherent variations in format and structure, standard abstraction methodology is inadequate to the unstructured SOGI data elements. </w:t>
      </w:r>
      <w:r w:rsidRPr="00386065" w:rsidR="00262C01">
        <w:rPr>
          <w:shd w:val="clear" w:color="auto" w:fill="FFFFFF"/>
        </w:rPr>
        <w:t xml:space="preserve"> </w:t>
      </w:r>
      <w:r w:rsidRPr="00386065" w:rsidR="0070668A">
        <w:rPr>
          <w:shd w:val="clear" w:color="auto" w:fill="FFFFFF"/>
        </w:rPr>
        <w:t xml:space="preserve">SAMHSA proposes a free text data abstraction method to improve </w:t>
      </w:r>
      <w:r w:rsidRPr="00386065" w:rsidR="006D13B0">
        <w:rPr>
          <w:shd w:val="clear" w:color="auto" w:fill="FFFFFF"/>
        </w:rPr>
        <w:t xml:space="preserve">SOGI data </w:t>
      </w:r>
      <w:r w:rsidRPr="00386065" w:rsidR="0070668A">
        <w:rPr>
          <w:shd w:val="clear" w:color="auto" w:fill="FFFFFF"/>
        </w:rPr>
        <w:t xml:space="preserve">abstraction inclusiveness and reliability. </w:t>
      </w:r>
      <w:r w:rsidRPr="00386065" w:rsidR="006D13B0">
        <w:rPr>
          <w:shd w:val="clear" w:color="auto" w:fill="FFFFFF"/>
        </w:rPr>
        <w:t xml:space="preserve"> </w:t>
      </w:r>
      <w:r w:rsidRPr="00386065" w:rsidR="001F6CFA">
        <w:rPr>
          <w:shd w:val="clear" w:color="auto" w:fill="FFFFFF"/>
        </w:rPr>
        <w:t>Free text abstraction also</w:t>
      </w:r>
      <w:r w:rsidRPr="00386065" w:rsidR="0070668A">
        <w:rPr>
          <w:shd w:val="clear" w:color="auto" w:fill="FFFFFF"/>
        </w:rPr>
        <w:t xml:space="preserve"> provides greater flexibility in SOGI data re-coding</w:t>
      </w:r>
      <w:r w:rsidRPr="00386065" w:rsidR="006D13B0">
        <w:rPr>
          <w:shd w:val="clear" w:color="auto" w:fill="FFFFFF"/>
        </w:rPr>
        <w:t>,</w:t>
      </w:r>
      <w:r w:rsidRPr="00386065" w:rsidR="0070668A">
        <w:rPr>
          <w:shd w:val="clear" w:color="auto" w:fill="FFFFFF"/>
        </w:rPr>
        <w:t xml:space="preserve"> secondary analysis, </w:t>
      </w:r>
      <w:r w:rsidRPr="00386065" w:rsidR="006D13B0">
        <w:rPr>
          <w:shd w:val="clear" w:color="auto" w:fill="FFFFFF"/>
        </w:rPr>
        <w:t>and meeting</w:t>
      </w:r>
      <w:r w:rsidRPr="00386065" w:rsidR="0070668A">
        <w:rPr>
          <w:shd w:val="clear" w:color="auto" w:fill="FFFFFF"/>
        </w:rPr>
        <w:t xml:space="preserve"> various existing and new guidance and standards, such as the SOGI measurement strategies recommended by the National Academies of Sciences, Engineering, and Medicine in 2022.</w:t>
      </w:r>
    </w:p>
    <w:bookmarkEnd w:id="1"/>
    <w:p w:rsidR="00850DA5" w:rsidP="00850DA5" w14:paraId="369E5C1F" w14:textId="77777777">
      <w:pPr>
        <w:pStyle w:val="ListParagraph"/>
        <w:ind w:left="1080"/>
      </w:pPr>
    </w:p>
    <w:p w:rsidR="00B37174" w:rsidRPr="00565980" w:rsidP="00850DA5" w14:paraId="2343E168" w14:textId="1B2D5EE6">
      <w:pPr>
        <w:pStyle w:val="ListParagraph"/>
        <w:ind w:left="1080"/>
      </w:pPr>
      <w:r w:rsidRPr="00565980">
        <w:t>Q</w:t>
      </w:r>
      <w:r w:rsidR="00BF4BDB">
        <w:t>8</w:t>
      </w:r>
      <w:r w:rsidRPr="00565980">
        <w:t xml:space="preserve"> “Ethnicity” and Q</w:t>
      </w:r>
      <w:r w:rsidR="00BF4BDB">
        <w:t>9</w:t>
      </w:r>
      <w:r w:rsidRPr="00565980">
        <w:t xml:space="preserve"> “Race”: revise prior data field “Race/Ethnicity” to align with OMB 1997 Standards for Maintaining, Collecting, And Presenting Federal Data on Race and Ethnicity (Statistical Policy Directive No. 15) and to improve data accuracy and comprehensiveness.</w:t>
      </w:r>
    </w:p>
    <w:p w:rsidR="00850DA5" w:rsidP="00850DA5" w14:paraId="77A24BF8" w14:textId="77777777">
      <w:pPr>
        <w:pStyle w:val="ListParagraph"/>
        <w:ind w:left="1080"/>
      </w:pPr>
    </w:p>
    <w:p w:rsidR="00B37174" w:rsidRPr="00565980" w:rsidP="00850DA5" w14:paraId="7E2B243A" w14:textId="7440DE6F">
      <w:pPr>
        <w:pStyle w:val="ListParagraph"/>
        <w:ind w:left="1080"/>
      </w:pPr>
      <w:r w:rsidRPr="00565980">
        <w:t>Q</w:t>
      </w:r>
      <w:r w:rsidR="00BF4BDB">
        <w:t>10</w:t>
      </w:r>
      <w:r w:rsidRPr="00565980">
        <w:t xml:space="preserve"> “Case Description”: replace the word “drug(s)” with “substance(s)” to clarify that the DAWN collects data on all </w:t>
      </w:r>
      <w:r w:rsidR="005A7968">
        <w:t>substances including alcohol</w:t>
      </w:r>
      <w:r w:rsidRPr="00565980">
        <w:t xml:space="preserve">. </w:t>
      </w:r>
      <w:r w:rsidR="00FC6157">
        <w:t xml:space="preserve"> </w:t>
      </w:r>
      <w:r w:rsidRPr="00565980">
        <w:t xml:space="preserve">Add new instruction language of “Do not include information that could identify the patient or hospital” to </w:t>
      </w:r>
      <w:r w:rsidR="005A7968">
        <w:t xml:space="preserve">provide clear instruction and specify </w:t>
      </w:r>
      <w:r w:rsidRPr="00565980">
        <w:t>the importance of patient and hospital privacy protection.</w:t>
      </w:r>
    </w:p>
    <w:p w:rsidR="00850DA5" w:rsidP="00850DA5" w14:paraId="242E10CA" w14:textId="77777777">
      <w:pPr>
        <w:pStyle w:val="ListParagraph"/>
        <w:ind w:left="1080"/>
      </w:pPr>
    </w:p>
    <w:p w:rsidR="00B37174" w:rsidRPr="00565980" w:rsidP="00850DA5" w14:paraId="5819AFEB" w14:textId="28496ED8">
      <w:pPr>
        <w:pStyle w:val="ListParagraph"/>
        <w:ind w:left="1080"/>
      </w:pPr>
      <w:r w:rsidRPr="00565980">
        <w:t>Q</w:t>
      </w:r>
      <w:r w:rsidR="00BF4BDB">
        <w:t>11</w:t>
      </w:r>
      <w:r w:rsidRPr="00565980">
        <w:t xml:space="preserve"> “Substance(s) Involved and Route of Administration”: add two new options of “transdermal” and “vaped” to improve the comprehensiveness of the list on how substance is administered by the patient. </w:t>
      </w:r>
      <w:r w:rsidR="00C26622">
        <w:t xml:space="preserve"> </w:t>
      </w:r>
      <w:r w:rsidRPr="00565980">
        <w:t>Remove “Mark if confirmed by toxicology test” and “alcohol involved?”</w:t>
      </w:r>
    </w:p>
    <w:p w:rsidR="00850DA5" w:rsidP="00850DA5" w14:paraId="35D942FB" w14:textId="77777777">
      <w:pPr>
        <w:pStyle w:val="ListParagraph"/>
        <w:ind w:left="1080"/>
      </w:pPr>
    </w:p>
    <w:p w:rsidR="00B37174" w:rsidRPr="00565980" w:rsidP="00850DA5" w14:paraId="6C7EA51B" w14:textId="1646D154">
      <w:pPr>
        <w:pStyle w:val="ListParagraph"/>
        <w:ind w:left="1080"/>
      </w:pPr>
      <w:r w:rsidRPr="00565980">
        <w:t>Q1</w:t>
      </w:r>
      <w:r w:rsidR="00BF4BDB">
        <w:t>2</w:t>
      </w:r>
      <w:r w:rsidRPr="00565980">
        <w:t xml:space="preserve"> “Diagnosis”: change the question order and move the data field after Q</w:t>
      </w:r>
      <w:r w:rsidR="00BF4BDB">
        <w:t>11</w:t>
      </w:r>
      <w:r w:rsidR="00411D8D">
        <w:t>.</w:t>
      </w:r>
      <w:r w:rsidR="00093051">
        <w:t xml:space="preserve">  </w:t>
      </w:r>
      <w:r w:rsidRPr="00565980">
        <w:t>Revise prior instruction of “list up to 4 diagnoses”  to “list all diagnoses” to enhances new DAWN’s ability to identify novel drug, drug trends, and drug outbreaks.</w:t>
      </w:r>
    </w:p>
    <w:p w:rsidR="00850DA5" w:rsidP="00850DA5" w14:paraId="647E6ECF" w14:textId="77777777">
      <w:pPr>
        <w:pStyle w:val="ListParagraph"/>
        <w:ind w:left="1080"/>
      </w:pPr>
    </w:p>
    <w:p w:rsidR="00B37174" w:rsidRPr="00565980" w:rsidP="00850DA5" w14:paraId="5190FBBD" w14:textId="6AEB6B40">
      <w:pPr>
        <w:pStyle w:val="ListParagraph"/>
        <w:ind w:left="1080"/>
      </w:pPr>
      <w:r w:rsidRPr="00565980">
        <w:t>Q1</w:t>
      </w:r>
      <w:r w:rsidR="00E2280F">
        <w:t>3</w:t>
      </w:r>
      <w:r w:rsidRPr="00565980">
        <w:t xml:space="preserve"> “Type of Case”: remove instruction language of “using the decision tree</w:t>
      </w:r>
      <w:r w:rsidRPr="00565980" w:rsidR="00321864">
        <w:t>.</w:t>
      </w:r>
      <w:r w:rsidRPr="00565980">
        <w:t xml:space="preserve">” </w:t>
      </w:r>
      <w:r w:rsidRPr="00565980" w:rsidR="00321864">
        <w:t xml:space="preserve"> </w:t>
      </w:r>
      <w:r w:rsidRPr="00565980">
        <w:t xml:space="preserve">Revise the existing option of “seeking detox” to “seeking detox and/or substance abuse treatment only” and remove age restriction for “Alcohol only” option to </w:t>
      </w:r>
      <w:r w:rsidR="007E50F2">
        <w:t>include</w:t>
      </w:r>
      <w:r w:rsidRPr="00644388" w:rsidR="00411D8D">
        <w:t xml:space="preserve"> cases involving alcohol as the only substance of all ages.</w:t>
      </w:r>
    </w:p>
    <w:p w:rsidR="00850DA5" w:rsidP="00850DA5" w14:paraId="4F13E0F9" w14:textId="77777777">
      <w:pPr>
        <w:pStyle w:val="ListParagraph"/>
        <w:ind w:left="1080"/>
      </w:pPr>
    </w:p>
    <w:p w:rsidR="00B37174" w:rsidRPr="00565980" w:rsidP="00850DA5" w14:paraId="4216501C" w14:textId="616DDF14">
      <w:pPr>
        <w:pStyle w:val="ListParagraph"/>
        <w:ind w:left="1080"/>
      </w:pPr>
      <w:r w:rsidRPr="00565980">
        <w:t>Q1</w:t>
      </w:r>
      <w:r w:rsidR="00E2280F">
        <w:t>4</w:t>
      </w:r>
      <w:r w:rsidRPr="00565980">
        <w:t>, Q1</w:t>
      </w:r>
      <w:r w:rsidR="00E2280F">
        <w:t>5</w:t>
      </w:r>
      <w:r w:rsidRPr="00565980">
        <w:t xml:space="preserve"> and Q1</w:t>
      </w:r>
      <w:r w:rsidR="00E2280F">
        <w:t>6</w:t>
      </w:r>
      <w:r w:rsidRPr="00565980">
        <w:t xml:space="preserve"> “Was naloxone/buprenorphine/</w:t>
      </w:r>
      <w:r w:rsidR="008A1A22">
        <w:t>m</w:t>
      </w:r>
      <w:r w:rsidRPr="00565980">
        <w:t>ethadone administered to the patient in the ED”: added to capture new data on the implementation of medication-assisted treatment for opioid use disorder in the emergency department setting and understand why buprenorphine and methadone is administered.</w:t>
      </w:r>
    </w:p>
    <w:p w:rsidR="00850DA5" w:rsidP="00850DA5" w14:paraId="54F22FF7" w14:textId="77777777">
      <w:pPr>
        <w:pStyle w:val="ListParagraph"/>
        <w:ind w:left="1080"/>
      </w:pPr>
    </w:p>
    <w:p w:rsidR="00B37174" w:rsidRPr="00565980" w:rsidP="00850DA5" w14:paraId="6D0C22D4" w14:textId="48AAA113">
      <w:pPr>
        <w:pStyle w:val="ListParagraph"/>
        <w:ind w:left="1080"/>
      </w:pPr>
      <w:r w:rsidRPr="00565980">
        <w:t>Q1</w:t>
      </w:r>
      <w:r w:rsidR="00871412">
        <w:t>7</w:t>
      </w:r>
      <w:r w:rsidRPr="00565980">
        <w:t xml:space="preserve"> “Disposition”: add new options and re-categorize disposition to improve data accuracy and comprehensiveness and better understand where the patient went after their ED visit.</w:t>
      </w:r>
    </w:p>
    <w:p w:rsidR="00B37174" w:rsidRPr="00565980" w:rsidP="00875078" w14:paraId="5B057BAD" w14:textId="77777777">
      <w:pPr>
        <w:rPr>
          <w:color w:val="000000"/>
        </w:rPr>
      </w:pPr>
    </w:p>
    <w:p w:rsidR="001277F8" w:rsidRPr="001277F8" w:rsidP="00850DA5" w14:paraId="6AF5D3B5" w14:textId="66677CA3">
      <w:pPr>
        <w:pStyle w:val="NormalWeb"/>
        <w:autoSpaceDE w:val="0"/>
        <w:autoSpaceDN w:val="0"/>
        <w:adjustRightInd w:val="0"/>
        <w:spacing w:before="0" w:beforeAutospacing="0" w:after="0" w:afterAutospacing="0"/>
        <w:ind w:left="720"/>
        <w:rPr>
          <w:color w:val="000000"/>
          <w:sz w:val="22"/>
          <w:szCs w:val="22"/>
        </w:rPr>
      </w:pPr>
      <w:r w:rsidRPr="001277F8">
        <w:rPr>
          <w:color w:val="000000"/>
        </w:rPr>
        <w:t>Activity Report Form</w:t>
      </w:r>
      <w:r w:rsidR="00A549F8">
        <w:rPr>
          <w:color w:val="000000"/>
        </w:rPr>
        <w:t xml:space="preserve"> (Attachment B)</w:t>
      </w:r>
      <w:r w:rsidRPr="001277F8">
        <w:rPr>
          <w:color w:val="000000"/>
        </w:rPr>
        <w:t xml:space="preserve">: </w:t>
      </w:r>
      <w:r>
        <w:t xml:space="preserve">SAMHSA proposes a new Activity Report From to be submitted by the abstractors to collect information on the date of ED visits the abstractor has reviewed, counts of ED visits for that date, number of records reviewed, and number of </w:t>
      </w:r>
      <w:r w:rsidR="00AB485D">
        <w:t>“</w:t>
      </w:r>
      <w:r>
        <w:t>left without being seen</w:t>
      </w:r>
      <w:r w:rsidR="00AB485D">
        <w:t>”</w:t>
      </w:r>
      <w:r>
        <w:t xml:space="preserve"> (LWBS) visits for the ED visit date</w:t>
      </w:r>
      <w:r w:rsidR="00726755">
        <w:t>,</w:t>
      </w:r>
      <w:r w:rsidR="00DB7319">
        <w:t xml:space="preserve"> </w:t>
      </w:r>
      <w:r w:rsidRPr="002D41EA" w:rsidR="002D41EA">
        <w:t>if participating hospitals choose the direct chart review option</w:t>
      </w:r>
      <w:r w:rsidR="00DB7319">
        <w:t xml:space="preserve">. </w:t>
      </w:r>
      <w:r w:rsidR="005E100A">
        <w:t xml:space="preserve"> </w:t>
      </w:r>
    </w:p>
    <w:p w:rsidR="001277F8" w:rsidRPr="00742C78" w:rsidP="006D38D4" w14:paraId="2CCDB718" w14:textId="77777777">
      <w:pPr>
        <w:rPr>
          <w:color w:val="000000"/>
        </w:rPr>
      </w:pPr>
    </w:p>
    <w:p w:rsidR="00C41FEC" w:rsidRPr="008F3C78" w:rsidP="00037CEA" w14:paraId="0924D385" w14:textId="7CBDEAC6">
      <w:pPr>
        <w:pStyle w:val="NormalWeb"/>
        <w:spacing w:before="0" w:beforeAutospacing="0" w:after="0" w:afterAutospacing="0"/>
        <w:rPr>
          <w:rStyle w:val="CommentReference"/>
          <w:sz w:val="24"/>
          <w:szCs w:val="24"/>
        </w:rPr>
      </w:pPr>
    </w:p>
    <w:p w:rsidR="00577CAD" w:rsidP="00577CAD" w14:paraId="464F2BD3" w14:textId="77777777">
      <w:pPr>
        <w:pStyle w:val="NormalWeb"/>
        <w:numPr>
          <w:ilvl w:val="0"/>
          <w:numId w:val="6"/>
        </w:numPr>
        <w:tabs>
          <w:tab w:val="left" w:pos="360"/>
        </w:tabs>
        <w:spacing w:before="0" w:beforeAutospacing="0" w:after="240" w:afterAutospacing="0"/>
        <w:ind w:left="0" w:firstLine="0"/>
        <w:rPr>
          <w:b/>
          <w:bCs/>
        </w:rPr>
      </w:pPr>
      <w:r w:rsidRPr="00D43C5D">
        <w:rPr>
          <w:b/>
          <w:bCs/>
        </w:rPr>
        <w:t>Use of Information Technology</w:t>
      </w:r>
    </w:p>
    <w:p w:rsidR="005D2173" w:rsidRPr="00577CAD" w:rsidP="00577CAD" w14:paraId="09FBF7AF" w14:textId="637D02D0">
      <w:pPr>
        <w:pStyle w:val="NormalWeb"/>
        <w:tabs>
          <w:tab w:val="left" w:pos="360"/>
        </w:tabs>
        <w:spacing w:before="0" w:beforeAutospacing="0" w:after="0" w:afterAutospacing="0"/>
        <w:rPr>
          <w:b/>
          <w:bCs/>
        </w:rPr>
      </w:pPr>
      <w:r w:rsidRPr="00513C33">
        <w:t xml:space="preserve">The abstraction and dissemination of DAWN data involves the use of web-based technologies </w:t>
      </w:r>
      <w:r>
        <w:t>that</w:t>
      </w:r>
      <w:r w:rsidRPr="00513C33">
        <w:t xml:space="preserve"> reside and operate within SAMHSA’s AWS Cloud. </w:t>
      </w:r>
      <w:r w:rsidR="00CC698A">
        <w:t xml:space="preserve"> </w:t>
      </w:r>
      <w:r w:rsidRPr="00513C33">
        <w:t>All DAWN data are submitted electronically through a web-based system called the Case Reporting System (CRS)</w:t>
      </w:r>
      <w:r>
        <w:t>.</w:t>
      </w:r>
      <w:r w:rsidRPr="00513C33">
        <w:t xml:space="preserve"> </w:t>
      </w:r>
      <w:r w:rsidR="00CC698A">
        <w:t xml:space="preserve"> </w:t>
      </w:r>
      <w:r w:rsidRPr="00513C33">
        <w:t xml:space="preserve">DAWN </w:t>
      </w:r>
      <w:r>
        <w:t>data</w:t>
      </w:r>
      <w:r w:rsidRPr="00513C33">
        <w:t xml:space="preserve"> are available to </w:t>
      </w:r>
      <w:r>
        <w:t xml:space="preserve">authorized users at </w:t>
      </w:r>
      <w:r w:rsidRPr="00513C33">
        <w:t>participati</w:t>
      </w:r>
      <w:r>
        <w:t>ng hospitals</w:t>
      </w:r>
      <w:r w:rsidRPr="00513C33">
        <w:t xml:space="preserve"> through the same platform. </w:t>
      </w:r>
      <w:r w:rsidR="00CC698A">
        <w:t xml:space="preserve"> </w:t>
      </w:r>
      <w:r w:rsidRPr="00513C33">
        <w:t xml:space="preserve">DAWN data is collected by contractor-employed abstractors only. </w:t>
      </w:r>
      <w:r w:rsidR="00CC698A">
        <w:t xml:space="preserve"> </w:t>
      </w:r>
      <w:r w:rsidRPr="00513C33">
        <w:t xml:space="preserve">Participating hospitals </w:t>
      </w:r>
      <w:r>
        <w:t xml:space="preserve">grant access to their EHR system in one of two ways. </w:t>
      </w:r>
      <w:r w:rsidR="00CC698A">
        <w:t xml:space="preserve"> </w:t>
      </w:r>
      <w:r>
        <w:t xml:space="preserve">Either hospitals provide direct </w:t>
      </w:r>
      <w:r w:rsidRPr="00513C33">
        <w:t>access to</w:t>
      </w:r>
      <w:r>
        <w:t xml:space="preserve"> abstractors, enabling them to identify DAWN cases within</w:t>
      </w:r>
      <w:r w:rsidRPr="00513C33">
        <w:t xml:space="preserve"> their </w:t>
      </w:r>
      <w:r>
        <w:t>EHR</w:t>
      </w:r>
      <w:r w:rsidRPr="00513C33">
        <w:t xml:space="preserve"> system</w:t>
      </w:r>
      <w:r>
        <w:t xml:space="preserve">, or hospitals choose to </w:t>
      </w:r>
      <w:r w:rsidRPr="008A63C8">
        <w:t>se</w:t>
      </w:r>
      <w:r>
        <w:t xml:space="preserve">curely transmit </w:t>
      </w:r>
      <w:r w:rsidRPr="008A63C8">
        <w:t>extract</w:t>
      </w:r>
      <w:r>
        <w:t>s</w:t>
      </w:r>
      <w:r w:rsidRPr="008A63C8">
        <w:t xml:space="preserve"> from the </w:t>
      </w:r>
      <w:r>
        <w:t>EHR system</w:t>
      </w:r>
      <w:r w:rsidRPr="008A63C8">
        <w:t xml:space="preserve"> </w:t>
      </w:r>
      <w:r>
        <w:t xml:space="preserve">to the SAMHSA cloud environment. </w:t>
      </w:r>
      <w:r w:rsidR="00CC698A">
        <w:t xml:space="preserve"> </w:t>
      </w:r>
      <w:r>
        <w:t xml:space="preserve">These extracts will be evaluated by ML and NLP techniques that flag potential DAWN cases, which are then routed to abstractors for review and adjudication. </w:t>
      </w:r>
      <w:r w:rsidR="00CC698A">
        <w:t xml:space="preserve"> </w:t>
      </w:r>
      <w:r w:rsidRPr="00513C33">
        <w:t xml:space="preserve">Hospitals authorize access by </w:t>
      </w:r>
      <w:r w:rsidRPr="00A7631D">
        <w:t>signing a Data Access Agreement (DAA).</w:t>
      </w:r>
    </w:p>
    <w:p w:rsidR="005D2173" w:rsidP="005D2173" w14:paraId="08CF4569" w14:textId="77777777"/>
    <w:p w:rsidR="005D2173" w:rsidRPr="00513C33" w:rsidP="005D2173" w14:paraId="2259ADD2" w14:textId="5653FFB3">
      <w:r>
        <w:t xml:space="preserve">Regardless of the option selected above (i.e., direct chart review or ML with NLP), once a DAWN case is identified, abstractors collect </w:t>
      </w:r>
      <w:r w:rsidRPr="00513C33">
        <w:t>key data elements from the medical record</w:t>
      </w:r>
      <w:r>
        <w:t xml:space="preserve"> and enter that data</w:t>
      </w:r>
      <w:r w:rsidRPr="00513C33">
        <w:t xml:space="preserve"> into the web-based case form (see Attachment A). </w:t>
      </w:r>
      <w:r w:rsidR="00CC698A">
        <w:t xml:space="preserve"> </w:t>
      </w:r>
      <w:r w:rsidRPr="00513C33">
        <w:t xml:space="preserve">The CRS provides error and consistency checks throughout the data abstraction process. </w:t>
      </w:r>
      <w:r w:rsidR="00CC698A">
        <w:t xml:space="preserve"> </w:t>
      </w:r>
      <w:r>
        <w:t>For</w:t>
      </w:r>
      <w:r w:rsidRPr="00513C33">
        <w:t xml:space="preserve"> tracking and analysis purposes</w:t>
      </w:r>
      <w:r>
        <w:t>,</w:t>
      </w:r>
      <w:r w:rsidRPr="00513C33">
        <w:t xml:space="preserve"> DAWN abstractors </w:t>
      </w:r>
      <w:r>
        <w:t>enter</w:t>
      </w:r>
      <w:r w:rsidRPr="00513C33">
        <w:t xml:space="preserve"> activity reports that document the total number of ED records for each day and the number of records reviewed each day (see </w:t>
      </w:r>
      <w:r>
        <w:t>A</w:t>
      </w:r>
      <w:r w:rsidRPr="00513C33">
        <w:t>ttachment B).</w:t>
      </w:r>
    </w:p>
    <w:p w:rsidR="005D2173" w:rsidP="005D2173" w14:paraId="058B1F5A" w14:textId="77777777"/>
    <w:p w:rsidR="005D2173" w:rsidRPr="00513C33" w:rsidP="005D2173" w14:paraId="656E226F" w14:textId="0A4F6A73">
      <w:r w:rsidRPr="00513C33">
        <w:t>DAWN abstractors will access the CRS via a secure web browser and perform their work either in the hospital or remotely from a secure location (contractor-based or home-based).</w:t>
      </w:r>
      <w:r w:rsidR="00CC698A">
        <w:t xml:space="preserve"> </w:t>
      </w:r>
      <w:r w:rsidRPr="00513C33">
        <w:t xml:space="preserve"> Responding DAWN hospitals have specified which option – in-hospital or remote – is </w:t>
      </w:r>
      <w:r>
        <w:t>agreed</w:t>
      </w:r>
      <w:r w:rsidR="00747F1A">
        <w:t xml:space="preserve"> </w:t>
      </w:r>
      <w:r>
        <w:t>to</w:t>
      </w:r>
      <w:r w:rsidRPr="00513C33">
        <w:t xml:space="preserve"> in their DAA.</w:t>
      </w:r>
      <w:r w:rsidR="004C5CB0">
        <w:t xml:space="preserve">  </w:t>
      </w:r>
      <w:r w:rsidRPr="00513C33">
        <w:t>DAWN abstractors working within the hospital enter data into the CRS using either a contractor-provided laptop or a workstation at the hospital.</w:t>
      </w:r>
    </w:p>
    <w:p w:rsidR="00E2243B" w:rsidP="005D2173" w14:paraId="78E6426A" w14:textId="77777777"/>
    <w:p w:rsidR="005D2173" w:rsidRPr="00513C33" w:rsidP="005D2173" w14:paraId="4D2BF1A9" w14:textId="5D11A7A2">
      <w:r>
        <w:t xml:space="preserve">The same web application used for </w:t>
      </w:r>
      <w:r w:rsidRPr="00513C33">
        <w:t xml:space="preserve">DAWN data </w:t>
      </w:r>
      <w:r>
        <w:t>collection is used for DAWN data dissemination</w:t>
      </w:r>
      <w:r w:rsidRPr="00513C33">
        <w:t xml:space="preserve">. </w:t>
      </w:r>
      <w:r w:rsidR="009E4E08">
        <w:t xml:space="preserve"> </w:t>
      </w:r>
      <w:r w:rsidRPr="00513C33">
        <w:t xml:space="preserve">This part of the </w:t>
      </w:r>
      <w:r>
        <w:t>application</w:t>
      </w:r>
      <w:r w:rsidRPr="00513C33">
        <w:t xml:space="preserve">, called DAWN Data Highlights, shares data visualizations with </w:t>
      </w:r>
      <w:r>
        <w:t xml:space="preserve">authorized users at </w:t>
      </w:r>
      <w:r w:rsidRPr="00513C33">
        <w:t xml:space="preserve">SAMHSA and </w:t>
      </w:r>
      <w:r>
        <w:t xml:space="preserve">authorized users at </w:t>
      </w:r>
      <w:r w:rsidRPr="00513C33">
        <w:t>participating hospitals.</w:t>
      </w:r>
      <w:r w:rsidR="009E4E08">
        <w:t xml:space="preserve"> </w:t>
      </w:r>
      <w:r w:rsidRPr="00513C33">
        <w:t xml:space="preserve"> It provides users with data visualization tools to run or </w:t>
      </w:r>
      <w:r>
        <w:t>download</w:t>
      </w:r>
      <w:r w:rsidRPr="00513C33">
        <w:t xml:space="preserve"> analytic reports </w:t>
      </w:r>
      <w:r>
        <w:t>containing</w:t>
      </w:r>
      <w:r w:rsidRPr="00513C33">
        <w:t xml:space="preserve"> DAWN data.</w:t>
      </w:r>
      <w:r>
        <w:t xml:space="preserve"> </w:t>
      </w:r>
      <w:r w:rsidRPr="00513C33">
        <w:t>Each user type has a role assigned to limit the information seen.</w:t>
      </w:r>
      <w:r w:rsidR="009E4E08">
        <w:t xml:space="preserve"> </w:t>
      </w:r>
      <w:r w:rsidRPr="00513C33">
        <w:t xml:space="preserve"> For example, SAMHSA has access to data at the individual case level</w:t>
      </w:r>
      <w:r>
        <w:t>,</w:t>
      </w:r>
      <w:r w:rsidRPr="00513C33">
        <w:t xml:space="preserve"> the hospital user only has access to aggregated monthly totals of their own hospital’s data</w:t>
      </w:r>
      <w:r w:rsidRPr="00785D8D">
        <w:t>.</w:t>
      </w:r>
      <w:r w:rsidRPr="00513C33">
        <w:t xml:space="preserve"> </w:t>
      </w:r>
    </w:p>
    <w:p w:rsidR="00E2243B" w:rsidP="005D2173" w14:paraId="5DA01B4F" w14:textId="77777777"/>
    <w:p w:rsidR="005D2173" w:rsidP="005D2173" w14:paraId="16931D1A" w14:textId="2B43A866">
      <w:r w:rsidRPr="00513C33">
        <w:t xml:space="preserve">Users connect to the CRS using standard web browsers, using Hyper Text Transfer </w:t>
      </w:r>
    </w:p>
    <w:p w:rsidR="005D2173" w:rsidRPr="00513C33" w:rsidP="005D2173" w14:paraId="29E2CB78" w14:textId="54073968">
      <w:r w:rsidRPr="00513C33">
        <w:t xml:space="preserve">Protocol Secure (HTTPS). </w:t>
      </w:r>
      <w:r w:rsidR="00D32FDA">
        <w:t xml:space="preserve"> </w:t>
      </w:r>
      <w:r w:rsidRPr="00513C33">
        <w:t xml:space="preserve">HTTPS provides enhanced security by encrypting and decrypting user web page requests and pages returned by the web server. </w:t>
      </w:r>
      <w:r w:rsidR="00D32FDA">
        <w:t xml:space="preserve"> </w:t>
      </w:r>
      <w:r w:rsidRPr="00513C33">
        <w:t>Access to the DAWN system requires user login credentials that restrict the user to a predefined role and specific data.</w:t>
      </w:r>
      <w:r>
        <w:t xml:space="preserve"> </w:t>
      </w:r>
      <w:r w:rsidR="00D32FDA">
        <w:t xml:space="preserve"> </w:t>
      </w:r>
      <w:r w:rsidRPr="0087320C">
        <w:t xml:space="preserve">The DAWN website </w:t>
      </w:r>
      <w:r>
        <w:t>incorporates design principles</w:t>
      </w:r>
      <w:r w:rsidRPr="0087320C">
        <w:t xml:space="preserve"> to comply with Section 508 mandates as prescribed by the Americans with Disabilities Act (ADA)</w:t>
      </w:r>
      <w:r>
        <w:t>, including providing dynamically generated data in downloadable table form</w:t>
      </w:r>
      <w:r w:rsidRPr="0087320C">
        <w:t>.</w:t>
      </w:r>
    </w:p>
    <w:p w:rsidR="00334435" w:rsidP="005D2173" w14:paraId="59C84C94" w14:textId="7CA483B8"/>
    <w:p w:rsidR="00D045FB" w:rsidP="00607EB7" w14:paraId="0292A9B0" w14:textId="77777777"/>
    <w:p w:rsidR="00577CAD" w:rsidP="00577CAD" w14:paraId="4FF52006" w14:textId="77777777">
      <w:pPr>
        <w:pStyle w:val="NormalWeb"/>
        <w:numPr>
          <w:ilvl w:val="0"/>
          <w:numId w:val="6"/>
        </w:numPr>
        <w:tabs>
          <w:tab w:val="left" w:pos="360"/>
        </w:tabs>
        <w:spacing w:before="0" w:beforeAutospacing="0" w:after="240" w:afterAutospacing="0"/>
        <w:ind w:left="0" w:firstLine="0"/>
        <w:rPr>
          <w:b/>
          <w:bCs/>
        </w:rPr>
      </w:pPr>
      <w:bookmarkStart w:id="2" w:name="_Hlk142898540"/>
      <w:r w:rsidRPr="00B07488">
        <w:rPr>
          <w:b/>
          <w:bCs/>
        </w:rPr>
        <w:t>Efforts to Identify Duplication</w:t>
      </w:r>
    </w:p>
    <w:bookmarkEnd w:id="2"/>
    <w:p w:rsidR="00C02A8F" w:rsidRPr="00577CAD" w:rsidP="00577CAD" w14:paraId="1AC63EBF" w14:textId="09DA7035">
      <w:pPr>
        <w:pStyle w:val="NormalWeb"/>
        <w:tabs>
          <w:tab w:val="left" w:pos="360"/>
        </w:tabs>
        <w:spacing w:before="0" w:beforeAutospacing="0" w:after="240" w:afterAutospacing="0"/>
        <w:rPr>
          <w:b/>
          <w:bCs/>
        </w:rPr>
      </w:pPr>
      <w:r w:rsidRPr="00F5153B">
        <w:t>SAMHSA is aware of a number of other ED data collection initiatives</w:t>
      </w:r>
      <w:r>
        <w:t xml:space="preserve">, noted below, that </w:t>
      </w:r>
      <w:r w:rsidRPr="00F5153B">
        <w:t xml:space="preserve">are surveillance-based </w:t>
      </w:r>
      <w:r w:rsidRPr="007800BB">
        <w:t xml:space="preserve">systems or surveys administered or funded by HHS. </w:t>
      </w:r>
      <w:r>
        <w:t xml:space="preserve"> </w:t>
      </w:r>
      <w:r w:rsidRPr="007800BB">
        <w:t>The new</w:t>
      </w:r>
      <w:r>
        <w:t xml:space="preserve"> </w:t>
      </w:r>
      <w:r w:rsidRPr="00F5153B">
        <w:t xml:space="preserve">DAWN </w:t>
      </w:r>
      <w:r>
        <w:t>is</w:t>
      </w:r>
      <w:r w:rsidRPr="00F5153B">
        <w:t xml:space="preserve"> designed to augment, not duplicate, these other activities</w:t>
      </w:r>
      <w:r>
        <w:t xml:space="preserve">. </w:t>
      </w:r>
    </w:p>
    <w:p w:rsidR="00C02A8F" w:rsidRPr="00B07488" w:rsidP="00C02A8F" w14:paraId="4261D93D" w14:textId="77777777">
      <w:pPr>
        <w:pStyle w:val="NormalWeb"/>
        <w:tabs>
          <w:tab w:val="left" w:pos="360"/>
        </w:tabs>
        <w:spacing w:before="0" w:beforeAutospacing="0" w:after="0" w:afterAutospacing="0"/>
        <w:rPr>
          <w:b/>
          <w:bCs/>
        </w:rPr>
      </w:pPr>
    </w:p>
    <w:p w:rsidR="00C02A8F" w:rsidRPr="00B16045" w:rsidP="00C02A8F" w14:paraId="3ED7C750" w14:textId="3D783DB0">
      <w:r>
        <w:t xml:space="preserve">Existing ED data systems primarily rely on ICD-10 diagnostic coding systems, which provide information about </w:t>
      </w:r>
      <w:r w:rsidRPr="008E41D2">
        <w:rPr>
          <w:i/>
          <w:iCs/>
        </w:rPr>
        <w:t>categories</w:t>
      </w:r>
      <w:r>
        <w:t xml:space="preserve"> of drugs but not about specific drugs.  Existing ED data systems are often not equipped to identify new psychoactive substances or substance outbreaks.  The proposed new DAWN data provides</w:t>
      </w:r>
      <w:r w:rsidRPr="00F5153B">
        <w:t xml:space="preserve"> information over and beyond diagnostic codes</w:t>
      </w:r>
      <w:r>
        <w:t>.  It</w:t>
      </w:r>
      <w:r w:rsidRPr="00F5153B">
        <w:t xml:space="preserve"> capture</w:t>
      </w:r>
      <w:r>
        <w:t>s</w:t>
      </w:r>
      <w:r w:rsidRPr="00F5153B">
        <w:t xml:space="preserve"> ED visits involving </w:t>
      </w:r>
      <w:r>
        <w:t xml:space="preserve">both </w:t>
      </w:r>
      <w:r w:rsidRPr="00F5153B">
        <w:t>substance misuse and use</w:t>
      </w:r>
      <w:r w:rsidR="00DB707C">
        <w:t xml:space="preserve"> </w:t>
      </w:r>
      <w:r w:rsidR="00E2678F">
        <w:t>disorders</w:t>
      </w:r>
      <w:r>
        <w:t xml:space="preserve">.  The new DAWN </w:t>
      </w:r>
      <w:r>
        <w:rPr>
          <w:color w:val="000000"/>
        </w:rPr>
        <w:t xml:space="preserve">employs: </w:t>
      </w:r>
    </w:p>
    <w:p w:rsidR="00C02A8F" w:rsidP="00850DA5" w14:paraId="77060CD8" w14:textId="1C4C68E2">
      <w:pPr>
        <w:pStyle w:val="ListParagraph"/>
        <w:widowControl/>
        <w:autoSpaceDE/>
        <w:autoSpaceDN/>
        <w:adjustRightInd/>
        <w:ind w:left="900"/>
      </w:pPr>
      <w:r w:rsidRPr="00F317D3">
        <w:t xml:space="preserve">A case finding </w:t>
      </w:r>
      <w:r w:rsidR="008D6FD8">
        <w:t>method</w:t>
      </w:r>
      <w:r w:rsidRPr="00F317D3">
        <w:t xml:space="preserve">—direct </w:t>
      </w:r>
      <w:r>
        <w:t>record</w:t>
      </w:r>
      <w:r w:rsidRPr="00F317D3">
        <w:t xml:space="preserve"> review—that enabl</w:t>
      </w:r>
      <w:r>
        <w:t>es</w:t>
      </w:r>
      <w:r w:rsidRPr="00F317D3">
        <w:t xml:space="preserve"> the identification of ED visits related to recent drug use, rather than relying on diagnostic codes which paradoxically can yield a high percentage of false positives while also resulting in a high percentage of false negatives.</w:t>
      </w:r>
    </w:p>
    <w:p w:rsidR="00C02A8F" w:rsidP="00C02A8F" w14:paraId="3E27B0EE" w14:textId="77777777">
      <w:pPr>
        <w:pStyle w:val="ListParagraph"/>
        <w:widowControl/>
        <w:autoSpaceDE/>
        <w:autoSpaceDN/>
        <w:adjustRightInd/>
        <w:ind w:left="900"/>
      </w:pPr>
    </w:p>
    <w:p w:rsidR="00C02A8F" w:rsidP="00850DA5" w14:paraId="13BB7B0C" w14:textId="77777777">
      <w:pPr>
        <w:pStyle w:val="ListParagraph"/>
        <w:widowControl/>
        <w:autoSpaceDE/>
        <w:autoSpaceDN/>
        <w:adjustRightInd/>
        <w:ind w:left="900"/>
      </w:pPr>
      <w:r w:rsidRPr="00F317D3">
        <w:t xml:space="preserve">The collection of specific drug information (brand name of pharmaceuticals when available; slang </w:t>
      </w:r>
      <w:r>
        <w:t>t</w:t>
      </w:r>
      <w:r w:rsidRPr="00F317D3">
        <w:t>erms for illegal drugs and pharmaceuticals) that enabled a more granular understanding of drug use patterns.</w:t>
      </w:r>
      <w:r>
        <w:t xml:space="preserve">  It also c</w:t>
      </w:r>
      <w:r w:rsidRPr="00F5153B">
        <w:t>ollect</w:t>
      </w:r>
      <w:r>
        <w:t>s</w:t>
      </w:r>
      <w:r w:rsidRPr="00F5153B">
        <w:t xml:space="preserve"> </w:t>
      </w:r>
      <w:r>
        <w:t xml:space="preserve">detailed </w:t>
      </w:r>
      <w:r w:rsidRPr="00F5153B">
        <w:t xml:space="preserve">drug information </w:t>
      </w:r>
      <w:r>
        <w:t>on</w:t>
      </w:r>
      <w:r w:rsidRPr="00F5153B">
        <w:t xml:space="preserve"> </w:t>
      </w:r>
      <w:r>
        <w:t xml:space="preserve">illicit drugs, prescription medications, over-the-counter </w:t>
      </w:r>
      <w:r>
        <w:t xml:space="preserve">medications, dietary supplements, alcohol, and non-pharmaceutical inhalants with some restrictions. </w:t>
      </w:r>
    </w:p>
    <w:p w:rsidR="00C02A8F" w:rsidP="00C02A8F" w14:paraId="1A6C3402" w14:textId="77777777"/>
    <w:p w:rsidR="00C02A8F" w:rsidP="00850DA5" w14:paraId="4413F07E" w14:textId="76DE8125">
      <w:pPr>
        <w:pStyle w:val="ListParagraph"/>
        <w:widowControl/>
        <w:autoSpaceDE/>
        <w:autoSpaceDN/>
        <w:adjustRightInd/>
        <w:ind w:left="900"/>
      </w:pPr>
      <w:r>
        <w:t>The</w:t>
      </w:r>
      <w:r w:rsidRPr="004C1377">
        <w:t xml:space="preserve"> collecti</w:t>
      </w:r>
      <w:r>
        <w:t>on of</w:t>
      </w:r>
      <w:r w:rsidRPr="004C1377">
        <w:t xml:space="preserve"> all drug-related ED visits</w:t>
      </w:r>
      <w:r>
        <w:t>.  This approach</w:t>
      </w:r>
      <w:r w:rsidRPr="004C1377">
        <w:t xml:space="preserve"> </w:t>
      </w:r>
      <w:r>
        <w:t>allows DAWN to</w:t>
      </w:r>
      <w:r w:rsidRPr="004C1377">
        <w:t xml:space="preserve"> </w:t>
      </w:r>
      <w:r>
        <w:t>capture</w:t>
      </w:r>
      <w:r w:rsidRPr="004C1377">
        <w:t xml:space="preserve"> ED visits that involve drug misuse</w:t>
      </w:r>
      <w:r>
        <w:t xml:space="preserve">, but also </w:t>
      </w:r>
      <w:r w:rsidRPr="004C1377">
        <w:t>capture adverse reactions to prescription and over-the-counter medications, ED visits resulting from the accidental use of drugs, and intentional drug poisonings with malicious intent.</w:t>
      </w:r>
      <w:r>
        <w:t xml:space="preserve"> Essentially, the inclusive case definition enables the </w:t>
      </w:r>
      <w:r w:rsidRPr="00F317D3">
        <w:t xml:space="preserve">capture of ED visits that involved substance misuse but </w:t>
      </w:r>
      <w:r>
        <w:t xml:space="preserve">do </w:t>
      </w:r>
      <w:r w:rsidRPr="00F317D3">
        <w:t>not meet the classic criteria of “abuse” (drug use for psychoactive e</w:t>
      </w:r>
      <w:r>
        <w:t>ffects, dependence</w:t>
      </w:r>
      <w:r w:rsidR="007F26A1">
        <w:t>,</w:t>
      </w:r>
      <w:r>
        <w:t xml:space="preserve"> or suicide).</w:t>
      </w:r>
    </w:p>
    <w:p w:rsidR="00C02A8F" w:rsidP="00C02A8F" w14:paraId="4BFDDB5A" w14:textId="77777777"/>
    <w:p w:rsidR="00C02A8F" w:rsidP="00C02A8F" w14:paraId="64D4F3C5" w14:textId="032AFF6B">
      <w:r>
        <w:t>Table A</w:t>
      </w:r>
      <w:r w:rsidR="00812D8F">
        <w:t>2</w:t>
      </w:r>
      <w:r>
        <w:t xml:space="preserve"> summarizes some major differences between DAWN and existing ED data systems. </w:t>
      </w:r>
    </w:p>
    <w:p w:rsidR="00C02A8F" w:rsidRPr="00F5153B" w:rsidP="00850DA5" w14:paraId="5898B1DE" w14:textId="48713DD1">
      <w:pPr>
        <w:pStyle w:val="ListParagraph"/>
        <w:widowControl/>
        <w:autoSpaceDE/>
        <w:autoSpaceDN/>
        <w:adjustRightInd/>
      </w:pPr>
      <w:r w:rsidRPr="00F5153B">
        <w:t xml:space="preserve">CDC funds and operates the </w:t>
      </w:r>
      <w:hyperlink r:id="rId10" w:history="1">
        <w:r w:rsidRPr="00B17AA1">
          <w:rPr>
            <w:rStyle w:val="Hyperlink"/>
          </w:rPr>
          <w:t>National Syndromic Surveillance Program (NSSP)</w:t>
        </w:r>
      </w:hyperlink>
      <w:r w:rsidRPr="00F5153B">
        <w:t xml:space="preserve">, a collaboration between the CDC and state and local health departments for the timely exchange of syndromic data for situation awareness and responsiveness to hazardous </w:t>
      </w:r>
      <w:r>
        <w:t xml:space="preserve">events and disease outbreaks.  </w:t>
      </w:r>
      <w:r w:rsidRPr="00F5153B">
        <w:t xml:space="preserve">Public health officials submit data to the </w:t>
      </w:r>
      <w:r w:rsidR="00C46CB1">
        <w:t>cloud based</w:t>
      </w:r>
      <w:r>
        <w:t xml:space="preserve"> BioSense Platform. </w:t>
      </w:r>
      <w:r w:rsidRPr="00F5153B">
        <w:t>Data are collected in near</w:t>
      </w:r>
      <w:r w:rsidR="00C46CB1">
        <w:t xml:space="preserve"> </w:t>
      </w:r>
      <w:r w:rsidRPr="00F5153B">
        <w:t xml:space="preserve">real time. </w:t>
      </w:r>
      <w:r>
        <w:t xml:space="preserve"> </w:t>
      </w:r>
      <w:r w:rsidRPr="00F5153B">
        <w:t xml:space="preserve">ED data submitted include </w:t>
      </w:r>
      <w:r w:rsidRPr="00527869">
        <w:t xml:space="preserve">chief complaint, </w:t>
      </w:r>
      <w:r>
        <w:t>ICD-10 diagnostic</w:t>
      </w:r>
      <w:r w:rsidRPr="00527869">
        <w:t xml:space="preserve"> codes, patient characteristics, and location</w:t>
      </w:r>
      <w:r w:rsidRPr="00F5153B">
        <w:t xml:space="preserve">. </w:t>
      </w:r>
      <w:r w:rsidR="007F042B">
        <w:t xml:space="preserve"> </w:t>
      </w:r>
      <w:r w:rsidRPr="00F5153B">
        <w:t>State and local health departments using NSSP have access to their own detailed data and aggregated national and regional data, and can share their data with a</w:t>
      </w:r>
      <w:r>
        <w:t xml:space="preserve">ny other jurisdiction and CDC.  </w:t>
      </w:r>
      <w:r w:rsidRPr="00F5153B">
        <w:t>CDC can run queries against a subset of data elements and generate and report regional and national results.  CDC can only access the detailed data in collaboration with the jurisdictions.  Data are not nationally representative.</w:t>
      </w:r>
    </w:p>
    <w:p w:rsidR="00C02A8F" w:rsidRPr="00F5153B" w:rsidP="00C02A8F" w14:paraId="74EC81AA" w14:textId="77777777"/>
    <w:p w:rsidR="00C02A8F" w:rsidRPr="00F5153B" w:rsidP="00850DA5" w14:paraId="303745CE" w14:textId="2BEF5E26">
      <w:pPr>
        <w:pStyle w:val="ListParagraph"/>
        <w:widowControl/>
        <w:autoSpaceDE/>
        <w:autoSpaceDN/>
        <w:adjustRightInd/>
      </w:pPr>
      <w:r w:rsidRPr="00F5153B">
        <w:t xml:space="preserve">CDC’s National Center for Health Statistics administers the </w:t>
      </w:r>
      <w:hyperlink r:id="rId11" w:history="1">
        <w:r w:rsidRPr="00286E70">
          <w:rPr>
            <w:rStyle w:val="Hyperlink"/>
          </w:rPr>
          <w:t>National Hospital Care Survey</w:t>
        </w:r>
      </w:hyperlink>
      <w:r>
        <w:rPr>
          <w:rStyle w:val="Hyperlink"/>
        </w:rPr>
        <w:t xml:space="preserve"> </w:t>
      </w:r>
      <w:r w:rsidRPr="00227DE5">
        <w:rPr>
          <w:rStyle w:val="Hyperlink"/>
        </w:rPr>
        <w:t>(NHCS),</w:t>
      </w:r>
      <w:r w:rsidRPr="00F5153B">
        <w:t xml:space="preserve"> </w:t>
      </w:r>
      <w:r>
        <w:t xml:space="preserve">with a </w:t>
      </w:r>
      <w:r w:rsidRPr="00F5153B">
        <w:t>nationally representative sample of hospitals</w:t>
      </w:r>
      <w:r>
        <w:t xml:space="preserve">. </w:t>
      </w:r>
      <w:r w:rsidR="007F042B">
        <w:t xml:space="preserve"> </w:t>
      </w:r>
      <w:r>
        <w:t>NCHS</w:t>
      </w:r>
      <w:r w:rsidRPr="00F5153B">
        <w:t xml:space="preserve"> collects data on </w:t>
      </w:r>
      <w:r w:rsidRPr="00BA0782">
        <w:t xml:space="preserve">patient care to describe patterns of health care delivery and utilization in the United States. </w:t>
      </w:r>
      <w:r w:rsidR="007F042B">
        <w:t xml:space="preserve"> </w:t>
      </w:r>
      <w:r>
        <w:t>Hospital s</w:t>
      </w:r>
      <w:r w:rsidRPr="00BA0782">
        <w:t xml:space="preserve">ettings include inpatient, emergency </w:t>
      </w:r>
      <w:r>
        <w:t>departments</w:t>
      </w:r>
      <w:r w:rsidRPr="00BA0782">
        <w:t>, and outpatient departments</w:t>
      </w:r>
      <w:r>
        <w:t>.</w:t>
      </w:r>
      <w:r w:rsidR="007F042B">
        <w:t xml:space="preserve">  </w:t>
      </w:r>
      <w:r w:rsidRPr="00F5153B">
        <w:t xml:space="preserve">Drugs are identified by ICD-10 diagnostic codes. </w:t>
      </w:r>
      <w:r>
        <w:t xml:space="preserve"> </w:t>
      </w:r>
      <w:r w:rsidRPr="00F5153B">
        <w:t>Nationally representative</w:t>
      </w:r>
      <w:r>
        <w:t xml:space="preserve"> data are not yet available.  </w:t>
      </w:r>
      <w:r w:rsidRPr="00F5153B">
        <w:t>Restricted data are available through the CDC’s Research Data Centers.</w:t>
      </w:r>
    </w:p>
    <w:p w:rsidR="00C02A8F" w:rsidRPr="00F5153B" w:rsidP="00C02A8F" w14:paraId="537DAACE" w14:textId="77777777">
      <w:pPr>
        <w:pStyle w:val="ListParagraph"/>
        <w:ind w:left="900"/>
      </w:pPr>
    </w:p>
    <w:p w:rsidR="00C02A8F" w:rsidRPr="00227DE5" w:rsidP="00850DA5" w14:paraId="170E78CE" w14:textId="510289E9">
      <w:pPr>
        <w:pStyle w:val="ListParagraph"/>
        <w:widowControl/>
        <w:autoSpaceDE/>
        <w:autoSpaceDN/>
        <w:adjustRightInd/>
      </w:pPr>
      <w:r>
        <w:t xml:space="preserve">The Agency for Healthcare Research and Quality (AHRQ) </w:t>
      </w:r>
      <w:hyperlink r:id="rId12" w:history="1">
        <w:r w:rsidRPr="00286E70">
          <w:rPr>
            <w:rStyle w:val="Hyperlink"/>
          </w:rPr>
          <w:t>Healthcare Cost and Utilization Project Nationwide Emergency Department Sample (HCUP-NEDS)</w:t>
        </w:r>
      </w:hyperlink>
      <w:r>
        <w:t xml:space="preserve"> samples inpatient and ED claims data submitted by 40 participating states and the District of Columbia to produce nationwide estimates.  Drugs are identified by ICD-10 diagnostic codes.  Data become available 2-3 years following each data year.  There is an online query system; public use datasets and restricted data are available upon request.  Another </w:t>
      </w:r>
      <w:r w:rsidRPr="00227DE5">
        <w:t>component of HCUP, the</w:t>
      </w:r>
      <w:r w:rsidRPr="00462C5A">
        <w:t xml:space="preserve"> </w:t>
      </w:r>
      <w:r w:rsidRPr="00227DE5">
        <w:t xml:space="preserve">State Emergency Department Databases (SEDD), </w:t>
      </w:r>
      <w:r w:rsidRPr="001F60A5">
        <w:t>capture</w:t>
      </w:r>
      <w:r>
        <w:t>s</w:t>
      </w:r>
      <w:r w:rsidRPr="001F60A5">
        <w:t xml:space="preserve"> discharge information </w:t>
      </w:r>
      <w:r w:rsidRPr="00227DE5">
        <w:t xml:space="preserve">on ED visits that did not result in admission to the hospital.  Data organizations in </w:t>
      </w:r>
      <w:r>
        <w:t>42</w:t>
      </w:r>
      <w:r w:rsidRPr="00227DE5">
        <w:t xml:space="preserve"> states participate in SEDD.  There are several important differences between DAWN and </w:t>
      </w:r>
      <w:r w:rsidRPr="004A04A1">
        <w:t>SEDD: DAWN is able to produce estimates for the Nation.</w:t>
      </w:r>
      <w:r w:rsidRPr="00227DE5">
        <w:t xml:space="preserve">  Because SEDD does not sample hospitals, it is unable to provide </w:t>
      </w:r>
      <w:r w:rsidR="00C46CB1">
        <w:t>n</w:t>
      </w:r>
      <w:r w:rsidRPr="00227DE5">
        <w:t xml:space="preserve">ational estimates. </w:t>
      </w:r>
      <w:r>
        <w:t xml:space="preserve"> </w:t>
      </w:r>
      <w:r w:rsidRPr="004A04A1">
        <w:t xml:space="preserve">The SEDD </w:t>
      </w:r>
      <w:r w:rsidRPr="004A04A1">
        <w:t xml:space="preserve">databases do not have the detailed drug information </w:t>
      </w:r>
      <w:r>
        <w:t>that DAWN provides.</w:t>
      </w:r>
      <w:r w:rsidRPr="00227DE5">
        <w:t xml:space="preserve"> </w:t>
      </w:r>
      <w:r>
        <w:t xml:space="preserve"> In SEDD, c</w:t>
      </w:r>
      <w:r w:rsidRPr="00227DE5">
        <w:t xml:space="preserve">ase descriptions that could be used to make the link between a drug (if reported) and the ED visit are not available. </w:t>
      </w:r>
    </w:p>
    <w:p w:rsidR="00C02A8F" w:rsidRPr="00F5153B" w:rsidP="00C02A8F" w14:paraId="213D33C1" w14:textId="77777777">
      <w:pPr>
        <w:pStyle w:val="ListParagraph"/>
        <w:ind w:left="900"/>
      </w:pPr>
    </w:p>
    <w:p w:rsidR="00C02A8F" w:rsidP="00850DA5" w14:paraId="43F74070" w14:textId="5CF164D9">
      <w:pPr>
        <w:pStyle w:val="ListParagraph"/>
        <w:widowControl/>
        <w:autoSpaceDE/>
        <w:autoSpaceDN/>
        <w:adjustRightInd/>
      </w:pPr>
      <w:r w:rsidRPr="00F5153B">
        <w:t xml:space="preserve">CDC has partnered with the Consumer Product Safety Commission (CPSC) on the </w:t>
      </w:r>
      <w:hyperlink r:id="rId13" w:history="1">
        <w:r w:rsidRPr="0033014A">
          <w:rPr>
            <w:rStyle w:val="Hyperlink"/>
          </w:rPr>
          <w:t>National Electronic Injury Surveillance System Cooperative Adverse Drug Event Surveillance (NEISS-CADES)</w:t>
        </w:r>
      </w:hyperlink>
      <w:r w:rsidRPr="00F5153B">
        <w:t xml:space="preserve">.  NEISS-CADES collects data on </w:t>
      </w:r>
      <w:r w:rsidRPr="004B766F">
        <w:t>adverse drug events (ADEs) from a nationally representative sa</w:t>
      </w:r>
      <w:r>
        <w:t xml:space="preserve">mple of U.S. hospital </w:t>
      </w:r>
      <w:r w:rsidRPr="004B766F">
        <w:t xml:space="preserve">emergency departments; NEISS-CADES uses a subsample of </w:t>
      </w:r>
      <w:r>
        <w:t>these</w:t>
      </w:r>
      <w:r w:rsidRPr="004B766F">
        <w:t xml:space="preserve"> </w:t>
      </w:r>
      <w:r w:rsidR="00C46CB1">
        <w:t>EDs</w:t>
      </w:r>
      <w:r w:rsidRPr="004B766F">
        <w:t xml:space="preserve"> for its data collection.</w:t>
      </w:r>
      <w:r>
        <w:t xml:space="preserve"> </w:t>
      </w:r>
      <w:r w:rsidR="00F95CAC">
        <w:t xml:space="preserve"> </w:t>
      </w:r>
      <w:r>
        <w:t xml:space="preserve">Trained abstractors </w:t>
      </w:r>
      <w:r w:rsidRPr="004B766F">
        <w:t xml:space="preserve">review </w:t>
      </w:r>
      <w:r>
        <w:t xml:space="preserve">ED records at </w:t>
      </w:r>
      <w:r w:rsidRPr="004B766F">
        <w:t>participating hospitals to identify clinician</w:t>
      </w:r>
      <w:r w:rsidR="00C46CB1">
        <w:t xml:space="preserve"> </w:t>
      </w:r>
      <w:r w:rsidRPr="004B766F">
        <w:t xml:space="preserve">diagnosed </w:t>
      </w:r>
      <w:r>
        <w:t>ADEs</w:t>
      </w:r>
      <w:r w:rsidRPr="004B766F">
        <w:t xml:space="preserve"> and the medications implicated in each adverse event.</w:t>
      </w:r>
      <w:r>
        <w:t xml:space="preserve"> </w:t>
      </w:r>
      <w:r w:rsidR="00F95CAC">
        <w:t xml:space="preserve"> </w:t>
      </w:r>
      <w:r w:rsidRPr="00F5153B">
        <w:t xml:space="preserve">Data are nationally representative and available within two years; restricted data are available upon request. </w:t>
      </w:r>
    </w:p>
    <w:p w:rsidR="00C02A8F" w:rsidP="00C02A8F" w14:paraId="7F6FF3E8" w14:textId="77777777">
      <w:pPr>
        <w:pStyle w:val="ListParagraph"/>
        <w:widowControl/>
        <w:autoSpaceDE/>
        <w:autoSpaceDN/>
        <w:adjustRightInd/>
        <w:ind w:left="900"/>
      </w:pPr>
    </w:p>
    <w:p w:rsidR="00C02A8F" w:rsidP="00850DA5" w14:paraId="04ED08B7" w14:textId="33B6AF3A">
      <w:pPr>
        <w:pStyle w:val="ListParagraph"/>
        <w:widowControl/>
        <w:autoSpaceDE/>
        <w:autoSpaceDN/>
        <w:adjustRightInd/>
      </w:pPr>
      <w:r>
        <w:t xml:space="preserve">NIH’s National Institute on Drug Abuse (NIDA) funds the </w:t>
      </w:r>
      <w:hyperlink r:id="rId14" w:history="1">
        <w:r w:rsidRPr="0033014A">
          <w:rPr>
            <w:rStyle w:val="Hyperlink"/>
          </w:rPr>
          <w:t>National Drug Early Warning System (NDEWS)</w:t>
        </w:r>
      </w:hyperlink>
      <w:r>
        <w:t>.  The</w:t>
      </w:r>
      <w:r w:rsidRPr="00551527">
        <w:t xml:space="preserve"> second iteration of NDEWS incorporate</w:t>
      </w:r>
      <w:r>
        <w:t>s</w:t>
      </w:r>
      <w:r w:rsidRPr="00551527">
        <w:t xml:space="preserve"> real-time surveillance to detect early signals of potential drug epidemics. </w:t>
      </w:r>
      <w:r>
        <w:t xml:space="preserve">A coordinating center collects and </w:t>
      </w:r>
      <w:r w:rsidRPr="00375071">
        <w:t>harmonizes</w:t>
      </w:r>
      <w:r>
        <w:t xml:space="preserve"> data </w:t>
      </w:r>
      <w:r w:rsidRPr="00375071">
        <w:t xml:space="preserve">from </w:t>
      </w:r>
      <w:r w:rsidRPr="00551527">
        <w:t>18 urban, suburban, and rural areas in the US, compr</w:t>
      </w:r>
      <w:r>
        <w:t xml:space="preserve">ising the Early Warning Network. </w:t>
      </w:r>
      <w:r w:rsidR="00F95CAC">
        <w:t xml:space="preserve"> </w:t>
      </w:r>
      <w:r>
        <w:t xml:space="preserve">The sites </w:t>
      </w:r>
      <w:r w:rsidRPr="00551527">
        <w:t xml:space="preserve">regularly </w:t>
      </w:r>
      <w:r>
        <w:t>provide</w:t>
      </w:r>
      <w:r w:rsidRPr="00551527">
        <w:t xml:space="preserve"> a standardized set of community-level indicators including drug availability, use and consequences of emerging drugs, morbidity, and mortality to compare sites. </w:t>
      </w:r>
      <w:r w:rsidR="00F95CAC">
        <w:t xml:space="preserve"> </w:t>
      </w:r>
      <w:r>
        <w:t>Reports are produced for the sentinel community sites.</w:t>
      </w:r>
    </w:p>
    <w:p w:rsidR="00C02A8F" w:rsidP="00C02A8F" w14:paraId="14740AA8" w14:textId="77777777">
      <w:pPr>
        <w:pStyle w:val="ListParagraph"/>
      </w:pPr>
    </w:p>
    <w:p w:rsidR="00C02A8F" w:rsidP="00850DA5" w14:paraId="42C98F05" w14:textId="02CFE1FB">
      <w:pPr>
        <w:pStyle w:val="ListParagraph"/>
        <w:widowControl/>
        <w:autoSpaceDE/>
        <w:autoSpaceDN/>
        <w:adjustRightInd/>
      </w:pPr>
      <w:r>
        <w:t xml:space="preserve">CDC’s Overdose Data to Action program supports surveillance of nonfatal overdoses through the Drug Overdose Surveillance and Epidemiology (DOSE) system. </w:t>
      </w:r>
      <w:r w:rsidR="00F95CAC">
        <w:t xml:space="preserve"> </w:t>
      </w:r>
      <w:r>
        <w:t xml:space="preserve">Partnering state and local health departments collect data through syndromic and ED discharge data to identify outbreaks or changes in overdose trends. </w:t>
      </w:r>
      <w:r w:rsidR="00F95CAC">
        <w:t xml:space="preserve"> </w:t>
      </w:r>
      <w:r>
        <w:t xml:space="preserve">Estimates are not nationally representative and subject to ED discharge data limitations. </w:t>
      </w:r>
      <w:r>
        <w:br/>
      </w:r>
    </w:p>
    <w:p w:rsidR="00B3467C" w:rsidRPr="00D7501E" w:rsidP="00B3467C" w14:paraId="5ECB6982" w14:textId="4F9B0123">
      <w:pPr>
        <w:ind w:left="-90"/>
        <w:rPr>
          <w:b/>
          <w:bCs/>
        </w:rPr>
      </w:pPr>
      <w:r w:rsidRPr="00D7501E">
        <w:rPr>
          <w:b/>
          <w:bCs/>
        </w:rPr>
        <w:t>Table A</w:t>
      </w:r>
      <w:r w:rsidR="00812D8F">
        <w:rPr>
          <w:b/>
          <w:bCs/>
        </w:rPr>
        <w:t>2</w:t>
      </w:r>
      <w:r w:rsidRPr="00D7501E">
        <w:rPr>
          <w:b/>
          <w:bCs/>
        </w:rPr>
        <w:t>: Comparison of New DAWN with other ED data collection initiatives.</w:t>
      </w:r>
    </w:p>
    <w:tbl>
      <w:tblPr>
        <w:tblW w:w="10710" w:type="dxa"/>
        <w:tblInd w:w="-54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470"/>
        <w:gridCol w:w="1384"/>
        <w:gridCol w:w="1038"/>
        <w:gridCol w:w="1124"/>
        <w:gridCol w:w="1124"/>
        <w:gridCol w:w="1124"/>
        <w:gridCol w:w="1297"/>
        <w:gridCol w:w="2149"/>
      </w:tblGrid>
      <w:tr w14:paraId="05DA4843" w14:textId="77777777" w:rsidTr="00277E25">
        <w:tblPrEx>
          <w:tblW w:w="10710" w:type="dxa"/>
          <w:tblInd w:w="-54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Ex>
        <w:trPr>
          <w:trHeight w:val="327"/>
        </w:trPr>
        <w:tc>
          <w:tcPr>
            <w:tcW w:w="1470" w:type="dxa"/>
            <w:tcBorders>
              <w:top w:val="single" w:sz="6" w:space="0" w:color="000000"/>
              <w:left w:val="single" w:sz="6" w:space="0" w:color="000000"/>
              <w:bottom w:val="single" w:sz="6" w:space="0" w:color="000000"/>
              <w:right w:val="single" w:sz="6" w:space="0" w:color="000000"/>
            </w:tcBorders>
            <w:shd w:val="clear" w:color="auto" w:fill="B4C6E7" w:themeFill="accent1" w:themeFillTint="66"/>
            <w:hideMark/>
          </w:tcPr>
          <w:p w:rsidR="00C02A8F" w:rsidRPr="00B75818" w:rsidP="00277E25" w14:paraId="645312AF" w14:textId="77777777">
            <w:pPr>
              <w:rPr>
                <w:sz w:val="22"/>
                <w:szCs w:val="22"/>
              </w:rPr>
            </w:pPr>
            <w:r w:rsidRPr="00B75818">
              <w:rPr>
                <w:b/>
                <w:bCs/>
                <w:sz w:val="22"/>
                <w:szCs w:val="22"/>
              </w:rPr>
              <w:t>Characteristics</w:t>
            </w:r>
            <w:r w:rsidRPr="00B75818">
              <w:rPr>
                <w:sz w:val="22"/>
                <w:szCs w:val="22"/>
              </w:rPr>
              <w:t>​ </w:t>
            </w:r>
          </w:p>
        </w:tc>
        <w:tc>
          <w:tcPr>
            <w:tcW w:w="1384" w:type="dxa"/>
            <w:tcBorders>
              <w:top w:val="single" w:sz="6" w:space="0" w:color="000000"/>
              <w:left w:val="single" w:sz="6" w:space="0" w:color="000000"/>
              <w:bottom w:val="single" w:sz="6" w:space="0" w:color="000000"/>
              <w:right w:val="single" w:sz="6" w:space="0" w:color="000000"/>
            </w:tcBorders>
            <w:shd w:val="clear" w:color="auto" w:fill="B4C6E7" w:themeFill="accent1" w:themeFillTint="66"/>
            <w:hideMark/>
          </w:tcPr>
          <w:p w:rsidR="00C02A8F" w:rsidRPr="00B75818" w:rsidP="00277E25" w14:paraId="6200AA00" w14:textId="77777777">
            <w:pPr>
              <w:rPr>
                <w:sz w:val="22"/>
                <w:szCs w:val="22"/>
              </w:rPr>
            </w:pPr>
            <w:r w:rsidRPr="00B75818">
              <w:rPr>
                <w:b/>
                <w:bCs/>
                <w:sz w:val="22"/>
                <w:szCs w:val="22"/>
              </w:rPr>
              <w:t>NSSP</w:t>
            </w:r>
          </w:p>
        </w:tc>
        <w:tc>
          <w:tcPr>
            <w:tcW w:w="1038" w:type="dxa"/>
            <w:tcBorders>
              <w:top w:val="single" w:sz="6" w:space="0" w:color="000000"/>
              <w:left w:val="single" w:sz="6" w:space="0" w:color="000000"/>
              <w:bottom w:val="single" w:sz="6" w:space="0" w:color="000000"/>
              <w:right w:val="single" w:sz="6" w:space="0" w:color="000000"/>
            </w:tcBorders>
            <w:shd w:val="clear" w:color="auto" w:fill="B4C6E7" w:themeFill="accent1" w:themeFillTint="66"/>
          </w:tcPr>
          <w:p w:rsidR="00C02A8F" w:rsidRPr="00B75818" w:rsidP="00277E25" w14:paraId="4E86A774" w14:textId="77777777">
            <w:pPr>
              <w:rPr>
                <w:sz w:val="22"/>
                <w:szCs w:val="22"/>
              </w:rPr>
            </w:pPr>
            <w:r w:rsidRPr="00B75818">
              <w:rPr>
                <w:b/>
                <w:sz w:val="22"/>
                <w:szCs w:val="22"/>
              </w:rPr>
              <w:t>NHCS</w:t>
            </w:r>
          </w:p>
        </w:tc>
        <w:tc>
          <w:tcPr>
            <w:tcW w:w="1124" w:type="dxa"/>
            <w:tcBorders>
              <w:top w:val="single" w:sz="6" w:space="0" w:color="000000"/>
              <w:left w:val="single" w:sz="6" w:space="0" w:color="000000"/>
              <w:bottom w:val="single" w:sz="6" w:space="0" w:color="000000"/>
              <w:right w:val="single" w:sz="6" w:space="0" w:color="000000"/>
            </w:tcBorders>
            <w:shd w:val="clear" w:color="auto" w:fill="B4C6E7" w:themeFill="accent1" w:themeFillTint="66"/>
          </w:tcPr>
          <w:p w:rsidR="00C02A8F" w:rsidRPr="00B75818" w:rsidP="00277E25" w14:paraId="1ED2E4BC" w14:textId="77777777">
            <w:pPr>
              <w:rPr>
                <w:b/>
                <w:bCs/>
                <w:sz w:val="22"/>
                <w:szCs w:val="22"/>
              </w:rPr>
            </w:pPr>
            <w:r w:rsidRPr="00B75818">
              <w:rPr>
                <w:b/>
                <w:sz w:val="22"/>
                <w:szCs w:val="22"/>
              </w:rPr>
              <w:t>HCUP-NEDS</w:t>
            </w:r>
          </w:p>
        </w:tc>
        <w:tc>
          <w:tcPr>
            <w:tcW w:w="1124" w:type="dxa"/>
            <w:tcBorders>
              <w:top w:val="single" w:sz="6" w:space="0" w:color="000000"/>
              <w:left w:val="single" w:sz="6" w:space="0" w:color="000000"/>
              <w:bottom w:val="single" w:sz="6" w:space="0" w:color="000000"/>
              <w:right w:val="single" w:sz="6" w:space="0" w:color="000000"/>
            </w:tcBorders>
            <w:shd w:val="clear" w:color="auto" w:fill="B4C6E7" w:themeFill="accent1" w:themeFillTint="66"/>
          </w:tcPr>
          <w:p w:rsidR="00C02A8F" w:rsidRPr="00B75818" w:rsidP="00277E25" w14:paraId="1B9DC0BD" w14:textId="77777777">
            <w:pPr>
              <w:rPr>
                <w:b/>
                <w:bCs/>
                <w:sz w:val="22"/>
                <w:szCs w:val="22"/>
              </w:rPr>
            </w:pPr>
            <w:r w:rsidRPr="00B75818">
              <w:rPr>
                <w:b/>
                <w:sz w:val="22"/>
                <w:szCs w:val="22"/>
              </w:rPr>
              <w:t>NEISS-CADES</w:t>
            </w:r>
          </w:p>
        </w:tc>
        <w:tc>
          <w:tcPr>
            <w:tcW w:w="1124" w:type="dxa"/>
            <w:tcBorders>
              <w:top w:val="single" w:sz="6" w:space="0" w:color="000000"/>
              <w:left w:val="single" w:sz="6" w:space="0" w:color="000000"/>
              <w:bottom w:val="single" w:sz="6" w:space="0" w:color="000000"/>
              <w:right w:val="single" w:sz="6" w:space="0" w:color="000000"/>
            </w:tcBorders>
            <w:shd w:val="clear" w:color="auto" w:fill="B4C6E7" w:themeFill="accent1" w:themeFillTint="66"/>
          </w:tcPr>
          <w:p w:rsidR="00C02A8F" w:rsidRPr="00B75818" w:rsidP="00277E25" w14:paraId="0DF7CE3B" w14:textId="77777777">
            <w:pPr>
              <w:rPr>
                <w:b/>
                <w:bCs/>
                <w:sz w:val="22"/>
                <w:szCs w:val="22"/>
              </w:rPr>
            </w:pPr>
            <w:r>
              <w:rPr>
                <w:b/>
                <w:bCs/>
                <w:sz w:val="22"/>
                <w:szCs w:val="22"/>
              </w:rPr>
              <w:t>NDEWS</w:t>
            </w:r>
          </w:p>
        </w:tc>
        <w:tc>
          <w:tcPr>
            <w:tcW w:w="1297" w:type="dxa"/>
            <w:tcBorders>
              <w:top w:val="single" w:sz="6" w:space="0" w:color="000000"/>
              <w:left w:val="single" w:sz="6" w:space="0" w:color="000000"/>
              <w:bottom w:val="single" w:sz="6" w:space="0" w:color="000000"/>
              <w:right w:val="single" w:sz="6" w:space="0" w:color="000000"/>
            </w:tcBorders>
            <w:shd w:val="clear" w:color="auto" w:fill="B4C6E7" w:themeFill="accent1" w:themeFillTint="66"/>
          </w:tcPr>
          <w:p w:rsidR="00C02A8F" w:rsidRPr="00B75818" w:rsidP="00277E25" w14:paraId="76AF706B" w14:textId="77777777">
            <w:pPr>
              <w:rPr>
                <w:b/>
                <w:bCs/>
                <w:sz w:val="22"/>
                <w:szCs w:val="22"/>
              </w:rPr>
            </w:pPr>
            <w:r>
              <w:rPr>
                <w:b/>
                <w:bCs/>
                <w:sz w:val="22"/>
                <w:szCs w:val="22"/>
              </w:rPr>
              <w:t>DOSE</w:t>
            </w:r>
          </w:p>
        </w:tc>
        <w:tc>
          <w:tcPr>
            <w:tcW w:w="2149" w:type="dxa"/>
            <w:tcBorders>
              <w:top w:val="single" w:sz="6" w:space="0" w:color="000000"/>
              <w:left w:val="single" w:sz="6" w:space="0" w:color="000000"/>
              <w:bottom w:val="single" w:sz="6" w:space="0" w:color="000000"/>
              <w:right w:val="single" w:sz="6" w:space="0" w:color="000000"/>
            </w:tcBorders>
            <w:shd w:val="clear" w:color="auto" w:fill="B4C6E7" w:themeFill="accent1" w:themeFillTint="66"/>
          </w:tcPr>
          <w:p w:rsidR="00C02A8F" w:rsidRPr="00B75818" w:rsidP="00277E25" w14:paraId="4378A18C" w14:textId="77777777">
            <w:pPr>
              <w:rPr>
                <w:b/>
                <w:bCs/>
                <w:sz w:val="22"/>
                <w:szCs w:val="22"/>
              </w:rPr>
            </w:pPr>
            <w:r w:rsidRPr="00B75818">
              <w:rPr>
                <w:b/>
                <w:bCs/>
                <w:sz w:val="22"/>
                <w:szCs w:val="22"/>
              </w:rPr>
              <w:t>New DAWN </w:t>
            </w:r>
            <w:r w:rsidRPr="00B75818">
              <w:rPr>
                <w:sz w:val="22"/>
                <w:szCs w:val="22"/>
              </w:rPr>
              <w:t>​</w:t>
            </w:r>
          </w:p>
        </w:tc>
      </w:tr>
      <w:tr w14:paraId="16434712" w14:textId="77777777" w:rsidTr="00277E25">
        <w:tblPrEx>
          <w:tblW w:w="10710" w:type="dxa"/>
          <w:tblInd w:w="-548" w:type="dxa"/>
          <w:tblLayout w:type="fixed"/>
          <w:tblCellMar>
            <w:left w:w="0" w:type="dxa"/>
            <w:right w:w="0" w:type="dxa"/>
          </w:tblCellMar>
          <w:tblLook w:val="04A0"/>
        </w:tblPrEx>
        <w:trPr>
          <w:trHeight w:val="300"/>
        </w:trPr>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C02A8F" w:rsidRPr="00B75818" w:rsidP="00277E25" w14:paraId="2212E1FF" w14:textId="77777777">
            <w:pPr>
              <w:rPr>
                <w:sz w:val="22"/>
                <w:szCs w:val="22"/>
              </w:rPr>
            </w:pPr>
            <w:r>
              <w:rPr>
                <w:sz w:val="22"/>
                <w:szCs w:val="22"/>
              </w:rPr>
              <w:t>Type</w:t>
            </w:r>
          </w:p>
        </w:tc>
        <w:tc>
          <w:tcPr>
            <w:tcW w:w="1384" w:type="dxa"/>
            <w:tcBorders>
              <w:top w:val="single" w:sz="6" w:space="0" w:color="000000"/>
              <w:left w:val="single" w:sz="6" w:space="0" w:color="000000"/>
              <w:bottom w:val="single" w:sz="6" w:space="0" w:color="000000"/>
              <w:right w:val="single" w:sz="6" w:space="0" w:color="000000"/>
            </w:tcBorders>
            <w:shd w:val="clear" w:color="auto" w:fill="auto"/>
          </w:tcPr>
          <w:p w:rsidR="00C02A8F" w:rsidRPr="00B75818" w:rsidP="00277E25" w14:paraId="4974BB31" w14:textId="77777777">
            <w:pPr>
              <w:rPr>
                <w:sz w:val="22"/>
                <w:szCs w:val="22"/>
              </w:rPr>
            </w:pPr>
            <w:r>
              <w:rPr>
                <w:sz w:val="22"/>
                <w:szCs w:val="22"/>
              </w:rPr>
              <w:t xml:space="preserve">Syndromic, passive </w:t>
            </w:r>
          </w:p>
        </w:tc>
        <w:tc>
          <w:tcPr>
            <w:tcW w:w="1038" w:type="dxa"/>
            <w:tcBorders>
              <w:top w:val="single" w:sz="6" w:space="0" w:color="000000"/>
              <w:left w:val="single" w:sz="6" w:space="0" w:color="000000"/>
              <w:bottom w:val="single" w:sz="6" w:space="0" w:color="000000"/>
              <w:right w:val="single" w:sz="6" w:space="0" w:color="000000"/>
            </w:tcBorders>
            <w:shd w:val="clear" w:color="auto" w:fill="auto"/>
          </w:tcPr>
          <w:p w:rsidR="00C02A8F" w:rsidRPr="00B75818" w:rsidP="00277E25" w14:paraId="1E3E328D" w14:textId="77777777">
            <w:pPr>
              <w:rPr>
                <w:sz w:val="22"/>
                <w:szCs w:val="22"/>
              </w:rPr>
            </w:pPr>
            <w:r>
              <w:rPr>
                <w:sz w:val="22"/>
                <w:szCs w:val="22"/>
              </w:rPr>
              <w:t>Survey</w:t>
            </w:r>
          </w:p>
        </w:tc>
        <w:tc>
          <w:tcPr>
            <w:tcW w:w="1124" w:type="dxa"/>
            <w:tcBorders>
              <w:top w:val="single" w:sz="6" w:space="0" w:color="000000"/>
              <w:left w:val="single" w:sz="6" w:space="0" w:color="000000"/>
              <w:bottom w:val="single" w:sz="6" w:space="0" w:color="000000"/>
              <w:right w:val="single" w:sz="6" w:space="0" w:color="000000"/>
            </w:tcBorders>
          </w:tcPr>
          <w:p w:rsidR="00C02A8F" w:rsidRPr="00B75818" w:rsidP="00277E25" w14:paraId="53260657" w14:textId="77777777">
            <w:pPr>
              <w:rPr>
                <w:sz w:val="22"/>
                <w:szCs w:val="22"/>
              </w:rPr>
            </w:pPr>
            <w:r>
              <w:rPr>
                <w:sz w:val="22"/>
                <w:szCs w:val="22"/>
              </w:rPr>
              <w:t>Population, passive</w:t>
            </w:r>
          </w:p>
        </w:tc>
        <w:tc>
          <w:tcPr>
            <w:tcW w:w="1124" w:type="dxa"/>
            <w:tcBorders>
              <w:top w:val="single" w:sz="6" w:space="0" w:color="000000"/>
              <w:left w:val="single" w:sz="6" w:space="0" w:color="000000"/>
              <w:bottom w:val="single" w:sz="6" w:space="0" w:color="000000"/>
              <w:right w:val="single" w:sz="6" w:space="0" w:color="000000"/>
            </w:tcBorders>
          </w:tcPr>
          <w:p w:rsidR="00C02A8F" w:rsidRPr="00B75818" w:rsidP="00277E25" w14:paraId="74CE1D81" w14:textId="77777777">
            <w:pPr>
              <w:rPr>
                <w:sz w:val="22"/>
                <w:szCs w:val="22"/>
              </w:rPr>
            </w:pPr>
            <w:r>
              <w:rPr>
                <w:sz w:val="22"/>
                <w:szCs w:val="22"/>
              </w:rPr>
              <w:t>Population, passive</w:t>
            </w:r>
          </w:p>
        </w:tc>
        <w:tc>
          <w:tcPr>
            <w:tcW w:w="1124" w:type="dxa"/>
            <w:tcBorders>
              <w:top w:val="single" w:sz="6" w:space="0" w:color="000000"/>
              <w:left w:val="single" w:sz="6" w:space="0" w:color="000000"/>
              <w:bottom w:val="single" w:sz="6" w:space="0" w:color="000000"/>
              <w:right w:val="single" w:sz="6" w:space="0" w:color="000000"/>
            </w:tcBorders>
          </w:tcPr>
          <w:p w:rsidR="00C02A8F" w:rsidP="00277E25" w14:paraId="224EDF44" w14:textId="77777777">
            <w:pPr>
              <w:rPr>
                <w:sz w:val="22"/>
                <w:szCs w:val="22"/>
              </w:rPr>
            </w:pPr>
            <w:r>
              <w:rPr>
                <w:sz w:val="22"/>
                <w:szCs w:val="22"/>
              </w:rPr>
              <w:t>Sentinel</w:t>
            </w:r>
          </w:p>
        </w:tc>
        <w:tc>
          <w:tcPr>
            <w:tcW w:w="1297" w:type="dxa"/>
            <w:tcBorders>
              <w:top w:val="single" w:sz="6" w:space="0" w:color="000000"/>
              <w:left w:val="single" w:sz="6" w:space="0" w:color="000000"/>
              <w:bottom w:val="single" w:sz="6" w:space="0" w:color="000000"/>
              <w:right w:val="single" w:sz="6" w:space="0" w:color="000000"/>
            </w:tcBorders>
          </w:tcPr>
          <w:p w:rsidR="00C02A8F" w:rsidP="00277E25" w14:paraId="46D801DA" w14:textId="77777777">
            <w:pPr>
              <w:rPr>
                <w:sz w:val="22"/>
                <w:szCs w:val="22"/>
              </w:rPr>
            </w:pPr>
            <w:r>
              <w:rPr>
                <w:sz w:val="22"/>
                <w:szCs w:val="22"/>
              </w:rPr>
              <w:t>Integrative (syndromic &amp; discharge), passive</w:t>
            </w:r>
          </w:p>
        </w:tc>
        <w:tc>
          <w:tcPr>
            <w:tcW w:w="2149" w:type="dxa"/>
            <w:tcBorders>
              <w:top w:val="single" w:sz="6" w:space="0" w:color="000000"/>
              <w:left w:val="single" w:sz="6" w:space="0" w:color="000000"/>
              <w:bottom w:val="single" w:sz="6" w:space="0" w:color="000000"/>
              <w:right w:val="single" w:sz="6" w:space="0" w:color="000000"/>
            </w:tcBorders>
          </w:tcPr>
          <w:p w:rsidR="00C02A8F" w:rsidRPr="00B75818" w:rsidP="00277E25" w14:paraId="67CBF357" w14:textId="77777777">
            <w:pPr>
              <w:rPr>
                <w:sz w:val="22"/>
                <w:szCs w:val="22"/>
              </w:rPr>
            </w:pPr>
            <w:r>
              <w:rPr>
                <w:sz w:val="22"/>
                <w:szCs w:val="22"/>
              </w:rPr>
              <w:t>Integrative (sentinel &amp; population), active</w:t>
            </w:r>
          </w:p>
        </w:tc>
      </w:tr>
      <w:tr w14:paraId="046C0386" w14:textId="77777777" w:rsidTr="00277E25">
        <w:tblPrEx>
          <w:tblW w:w="10710" w:type="dxa"/>
          <w:tblInd w:w="-548" w:type="dxa"/>
          <w:tblLayout w:type="fixed"/>
          <w:tblCellMar>
            <w:left w:w="0" w:type="dxa"/>
            <w:right w:w="0" w:type="dxa"/>
          </w:tblCellMar>
          <w:tblLook w:val="04A0"/>
        </w:tblPrEx>
        <w:trPr>
          <w:trHeight w:val="300"/>
        </w:trPr>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C02A8F" w:rsidRPr="00B75818" w:rsidP="00277E25" w14:paraId="2E0A37AF" w14:textId="77777777">
            <w:pPr>
              <w:rPr>
                <w:sz w:val="22"/>
                <w:szCs w:val="22"/>
              </w:rPr>
            </w:pPr>
            <w:r>
              <w:rPr>
                <w:sz w:val="22"/>
                <w:szCs w:val="22"/>
              </w:rPr>
              <w:t>Focus</w:t>
            </w:r>
          </w:p>
        </w:tc>
        <w:tc>
          <w:tcPr>
            <w:tcW w:w="1384" w:type="dxa"/>
            <w:tcBorders>
              <w:top w:val="single" w:sz="6" w:space="0" w:color="000000"/>
              <w:left w:val="single" w:sz="6" w:space="0" w:color="000000"/>
              <w:bottom w:val="single" w:sz="6" w:space="0" w:color="000000"/>
              <w:right w:val="single" w:sz="6" w:space="0" w:color="000000"/>
            </w:tcBorders>
            <w:shd w:val="clear" w:color="auto" w:fill="auto"/>
          </w:tcPr>
          <w:p w:rsidR="00C02A8F" w:rsidRPr="00B75818" w:rsidP="00277E25" w14:paraId="59070C9D" w14:textId="77777777">
            <w:pPr>
              <w:rPr>
                <w:sz w:val="22"/>
                <w:szCs w:val="22"/>
              </w:rPr>
            </w:pPr>
            <w:r>
              <w:rPr>
                <w:sz w:val="22"/>
                <w:szCs w:val="22"/>
              </w:rPr>
              <w:t xml:space="preserve">ED outcomes, early warning </w:t>
            </w:r>
          </w:p>
        </w:tc>
        <w:tc>
          <w:tcPr>
            <w:tcW w:w="1038" w:type="dxa"/>
            <w:tcBorders>
              <w:top w:val="single" w:sz="6" w:space="0" w:color="000000"/>
              <w:left w:val="single" w:sz="6" w:space="0" w:color="000000"/>
              <w:bottom w:val="single" w:sz="6" w:space="0" w:color="000000"/>
              <w:right w:val="single" w:sz="6" w:space="0" w:color="000000"/>
            </w:tcBorders>
            <w:shd w:val="clear" w:color="auto" w:fill="auto"/>
          </w:tcPr>
          <w:p w:rsidR="00C02A8F" w:rsidRPr="00B75818" w:rsidP="00277E25" w14:paraId="7E7BCD48" w14:textId="77777777">
            <w:pPr>
              <w:rPr>
                <w:sz w:val="22"/>
                <w:szCs w:val="22"/>
              </w:rPr>
            </w:pPr>
            <w:r>
              <w:rPr>
                <w:sz w:val="22"/>
                <w:szCs w:val="22"/>
              </w:rPr>
              <w:t>ED outcomes</w:t>
            </w:r>
          </w:p>
        </w:tc>
        <w:tc>
          <w:tcPr>
            <w:tcW w:w="1124" w:type="dxa"/>
            <w:tcBorders>
              <w:top w:val="single" w:sz="6" w:space="0" w:color="000000"/>
              <w:left w:val="single" w:sz="6" w:space="0" w:color="000000"/>
              <w:bottom w:val="single" w:sz="6" w:space="0" w:color="000000"/>
              <w:right w:val="single" w:sz="6" w:space="0" w:color="000000"/>
            </w:tcBorders>
          </w:tcPr>
          <w:p w:rsidR="00C02A8F" w:rsidRPr="00B75818" w:rsidP="00277E25" w14:paraId="6E7F32B9" w14:textId="77777777">
            <w:pPr>
              <w:rPr>
                <w:sz w:val="22"/>
                <w:szCs w:val="22"/>
              </w:rPr>
            </w:pPr>
            <w:r>
              <w:rPr>
                <w:sz w:val="22"/>
                <w:szCs w:val="22"/>
              </w:rPr>
              <w:t>ED outcomes</w:t>
            </w:r>
          </w:p>
        </w:tc>
        <w:tc>
          <w:tcPr>
            <w:tcW w:w="1124" w:type="dxa"/>
            <w:tcBorders>
              <w:top w:val="single" w:sz="6" w:space="0" w:color="000000"/>
              <w:left w:val="single" w:sz="6" w:space="0" w:color="000000"/>
              <w:bottom w:val="single" w:sz="6" w:space="0" w:color="000000"/>
              <w:right w:val="single" w:sz="6" w:space="0" w:color="000000"/>
            </w:tcBorders>
          </w:tcPr>
          <w:p w:rsidR="00C02A8F" w:rsidRPr="00B75818" w:rsidP="00277E25" w14:paraId="20C9CEE2" w14:textId="77777777">
            <w:pPr>
              <w:rPr>
                <w:sz w:val="22"/>
                <w:szCs w:val="22"/>
              </w:rPr>
            </w:pPr>
            <w:r>
              <w:rPr>
                <w:sz w:val="22"/>
                <w:szCs w:val="22"/>
              </w:rPr>
              <w:t>Adverse drug events</w:t>
            </w:r>
          </w:p>
        </w:tc>
        <w:tc>
          <w:tcPr>
            <w:tcW w:w="1124" w:type="dxa"/>
            <w:tcBorders>
              <w:top w:val="single" w:sz="6" w:space="0" w:color="000000"/>
              <w:left w:val="single" w:sz="6" w:space="0" w:color="000000"/>
              <w:bottom w:val="single" w:sz="6" w:space="0" w:color="000000"/>
              <w:right w:val="single" w:sz="6" w:space="0" w:color="000000"/>
            </w:tcBorders>
          </w:tcPr>
          <w:p w:rsidR="00C02A8F" w:rsidP="00277E25" w14:paraId="79126853" w14:textId="77777777">
            <w:pPr>
              <w:rPr>
                <w:sz w:val="22"/>
                <w:szCs w:val="22"/>
              </w:rPr>
            </w:pPr>
            <w:r>
              <w:rPr>
                <w:sz w:val="22"/>
                <w:szCs w:val="22"/>
              </w:rPr>
              <w:t>Drug (not alcohol)</w:t>
            </w:r>
          </w:p>
        </w:tc>
        <w:tc>
          <w:tcPr>
            <w:tcW w:w="1297" w:type="dxa"/>
            <w:tcBorders>
              <w:top w:val="single" w:sz="6" w:space="0" w:color="000000"/>
              <w:left w:val="single" w:sz="6" w:space="0" w:color="000000"/>
              <w:bottom w:val="single" w:sz="6" w:space="0" w:color="000000"/>
              <w:right w:val="single" w:sz="6" w:space="0" w:color="000000"/>
            </w:tcBorders>
          </w:tcPr>
          <w:p w:rsidR="00C02A8F" w:rsidP="00277E25" w14:paraId="52392925" w14:textId="77777777">
            <w:pPr>
              <w:rPr>
                <w:sz w:val="22"/>
                <w:szCs w:val="22"/>
              </w:rPr>
            </w:pPr>
            <w:r>
              <w:rPr>
                <w:sz w:val="22"/>
                <w:szCs w:val="22"/>
              </w:rPr>
              <w:t>Overdose</w:t>
            </w:r>
          </w:p>
        </w:tc>
        <w:tc>
          <w:tcPr>
            <w:tcW w:w="2149" w:type="dxa"/>
            <w:tcBorders>
              <w:top w:val="single" w:sz="6" w:space="0" w:color="000000"/>
              <w:left w:val="single" w:sz="6" w:space="0" w:color="000000"/>
              <w:bottom w:val="single" w:sz="6" w:space="0" w:color="000000"/>
              <w:right w:val="single" w:sz="6" w:space="0" w:color="000000"/>
            </w:tcBorders>
          </w:tcPr>
          <w:p w:rsidR="00C02A8F" w:rsidRPr="00B75818" w:rsidP="00277E25" w14:paraId="75EC46FB" w14:textId="77777777">
            <w:pPr>
              <w:rPr>
                <w:sz w:val="22"/>
                <w:szCs w:val="22"/>
              </w:rPr>
            </w:pPr>
            <w:r>
              <w:rPr>
                <w:sz w:val="22"/>
                <w:szCs w:val="22"/>
              </w:rPr>
              <w:t>Substance (Alcohol and drugs)</w:t>
            </w:r>
          </w:p>
        </w:tc>
      </w:tr>
      <w:tr w14:paraId="0BB699B2" w14:textId="77777777" w:rsidTr="00277E25">
        <w:tblPrEx>
          <w:tblW w:w="10710" w:type="dxa"/>
          <w:tblInd w:w="-548" w:type="dxa"/>
          <w:tblLayout w:type="fixed"/>
          <w:tblCellMar>
            <w:left w:w="0" w:type="dxa"/>
            <w:right w:w="0" w:type="dxa"/>
          </w:tblCellMar>
          <w:tblLook w:val="04A0"/>
        </w:tblPrEx>
        <w:trPr>
          <w:trHeight w:val="300"/>
        </w:trPr>
        <w:tc>
          <w:tcPr>
            <w:tcW w:w="1470" w:type="dxa"/>
            <w:tcBorders>
              <w:top w:val="single" w:sz="6" w:space="0" w:color="000000"/>
              <w:left w:val="single" w:sz="6" w:space="0" w:color="000000"/>
              <w:bottom w:val="single" w:sz="6" w:space="0" w:color="000000"/>
              <w:right w:val="single" w:sz="6" w:space="0" w:color="000000"/>
            </w:tcBorders>
            <w:shd w:val="clear" w:color="auto" w:fill="auto"/>
            <w:hideMark/>
          </w:tcPr>
          <w:p w:rsidR="00C02A8F" w:rsidRPr="00B75818" w:rsidP="00277E25" w14:paraId="3ECFD45E" w14:textId="77777777">
            <w:pPr>
              <w:rPr>
                <w:sz w:val="22"/>
                <w:szCs w:val="22"/>
              </w:rPr>
            </w:pPr>
            <w:r w:rsidRPr="00B75818">
              <w:rPr>
                <w:sz w:val="22"/>
                <w:szCs w:val="22"/>
              </w:rPr>
              <w:t>Timeliness of data availability​ </w:t>
            </w:r>
          </w:p>
        </w:tc>
        <w:tc>
          <w:tcPr>
            <w:tcW w:w="1384" w:type="dxa"/>
            <w:tcBorders>
              <w:top w:val="single" w:sz="6" w:space="0" w:color="000000"/>
              <w:left w:val="single" w:sz="6" w:space="0" w:color="000000"/>
              <w:bottom w:val="single" w:sz="6" w:space="0" w:color="000000"/>
              <w:right w:val="single" w:sz="6" w:space="0" w:color="000000"/>
            </w:tcBorders>
            <w:shd w:val="clear" w:color="auto" w:fill="auto"/>
            <w:hideMark/>
          </w:tcPr>
          <w:p w:rsidR="00C02A8F" w:rsidRPr="00B75818" w:rsidP="00277E25" w14:paraId="4612E5D3" w14:textId="77777777">
            <w:pPr>
              <w:rPr>
                <w:sz w:val="22"/>
                <w:szCs w:val="22"/>
              </w:rPr>
            </w:pPr>
            <w:r>
              <w:rPr>
                <w:sz w:val="22"/>
                <w:szCs w:val="22"/>
              </w:rPr>
              <w:t>Near real-time (submitted within 24 hours)</w:t>
            </w:r>
            <w:r w:rsidRPr="00B75818">
              <w:rPr>
                <w:sz w:val="22"/>
                <w:szCs w:val="22"/>
              </w:rPr>
              <w:t> </w:t>
            </w:r>
          </w:p>
        </w:tc>
        <w:tc>
          <w:tcPr>
            <w:tcW w:w="1038" w:type="dxa"/>
            <w:tcBorders>
              <w:top w:val="single" w:sz="6" w:space="0" w:color="000000"/>
              <w:left w:val="single" w:sz="6" w:space="0" w:color="000000"/>
              <w:bottom w:val="single" w:sz="6" w:space="0" w:color="000000"/>
              <w:right w:val="single" w:sz="6" w:space="0" w:color="000000"/>
            </w:tcBorders>
            <w:shd w:val="clear" w:color="auto" w:fill="auto"/>
          </w:tcPr>
          <w:p w:rsidR="00C02A8F" w:rsidRPr="00B75818" w:rsidP="00277E25" w14:paraId="5E07BB06" w14:textId="77777777">
            <w:pPr>
              <w:rPr>
                <w:sz w:val="22"/>
                <w:szCs w:val="22"/>
              </w:rPr>
            </w:pPr>
            <w:r>
              <w:rPr>
                <w:sz w:val="22"/>
                <w:szCs w:val="22"/>
              </w:rPr>
              <w:t>&gt;1</w:t>
            </w:r>
            <w:r w:rsidRPr="00B75818">
              <w:rPr>
                <w:sz w:val="22"/>
                <w:szCs w:val="22"/>
              </w:rPr>
              <w:t xml:space="preserve"> year</w:t>
            </w:r>
          </w:p>
        </w:tc>
        <w:tc>
          <w:tcPr>
            <w:tcW w:w="1124" w:type="dxa"/>
            <w:tcBorders>
              <w:top w:val="single" w:sz="6" w:space="0" w:color="000000"/>
              <w:left w:val="single" w:sz="6" w:space="0" w:color="000000"/>
              <w:bottom w:val="single" w:sz="6" w:space="0" w:color="000000"/>
              <w:right w:val="single" w:sz="6" w:space="0" w:color="000000"/>
            </w:tcBorders>
          </w:tcPr>
          <w:p w:rsidR="00C02A8F" w:rsidRPr="00B75818" w:rsidP="00277E25" w14:paraId="699EBA2E" w14:textId="77777777">
            <w:pPr>
              <w:rPr>
                <w:sz w:val="22"/>
                <w:szCs w:val="22"/>
              </w:rPr>
            </w:pPr>
            <w:r w:rsidRPr="00B75818">
              <w:rPr>
                <w:sz w:val="22"/>
                <w:szCs w:val="22"/>
              </w:rPr>
              <w:t xml:space="preserve">2-3 years </w:t>
            </w:r>
          </w:p>
        </w:tc>
        <w:tc>
          <w:tcPr>
            <w:tcW w:w="1124" w:type="dxa"/>
            <w:tcBorders>
              <w:top w:val="single" w:sz="6" w:space="0" w:color="000000"/>
              <w:left w:val="single" w:sz="6" w:space="0" w:color="000000"/>
              <w:bottom w:val="single" w:sz="6" w:space="0" w:color="000000"/>
              <w:right w:val="single" w:sz="6" w:space="0" w:color="000000"/>
            </w:tcBorders>
          </w:tcPr>
          <w:p w:rsidR="00C02A8F" w:rsidRPr="00B75818" w:rsidP="00277E25" w14:paraId="09597139" w14:textId="77777777">
            <w:pPr>
              <w:rPr>
                <w:sz w:val="22"/>
                <w:szCs w:val="22"/>
              </w:rPr>
            </w:pPr>
            <w:r w:rsidRPr="00B75818">
              <w:rPr>
                <w:sz w:val="22"/>
                <w:szCs w:val="22"/>
              </w:rPr>
              <w:t>1-2 years</w:t>
            </w:r>
          </w:p>
        </w:tc>
        <w:tc>
          <w:tcPr>
            <w:tcW w:w="1124" w:type="dxa"/>
            <w:tcBorders>
              <w:top w:val="single" w:sz="6" w:space="0" w:color="000000"/>
              <w:left w:val="single" w:sz="6" w:space="0" w:color="000000"/>
              <w:bottom w:val="single" w:sz="6" w:space="0" w:color="000000"/>
              <w:right w:val="single" w:sz="6" w:space="0" w:color="000000"/>
            </w:tcBorders>
          </w:tcPr>
          <w:p w:rsidR="00C02A8F" w:rsidRPr="00B75818" w:rsidP="00277E25" w14:paraId="47594A82" w14:textId="77777777">
            <w:pPr>
              <w:rPr>
                <w:sz w:val="22"/>
                <w:szCs w:val="22"/>
              </w:rPr>
            </w:pPr>
            <w:r>
              <w:rPr>
                <w:sz w:val="22"/>
                <w:szCs w:val="22"/>
              </w:rPr>
              <w:t>&gt;2 years for site annual reports</w:t>
            </w:r>
          </w:p>
        </w:tc>
        <w:tc>
          <w:tcPr>
            <w:tcW w:w="1297" w:type="dxa"/>
            <w:tcBorders>
              <w:top w:val="single" w:sz="6" w:space="0" w:color="000000"/>
              <w:left w:val="single" w:sz="6" w:space="0" w:color="000000"/>
              <w:bottom w:val="single" w:sz="6" w:space="0" w:color="000000"/>
              <w:right w:val="single" w:sz="6" w:space="0" w:color="000000"/>
            </w:tcBorders>
          </w:tcPr>
          <w:p w:rsidR="00C02A8F" w:rsidRPr="00B75818" w:rsidP="00277E25" w14:paraId="478C3CE9" w14:textId="77777777">
            <w:pPr>
              <w:rPr>
                <w:sz w:val="22"/>
                <w:szCs w:val="22"/>
              </w:rPr>
            </w:pPr>
            <w:r>
              <w:rPr>
                <w:sz w:val="22"/>
                <w:szCs w:val="22"/>
              </w:rPr>
              <w:t>Quarterly</w:t>
            </w:r>
          </w:p>
        </w:tc>
        <w:tc>
          <w:tcPr>
            <w:tcW w:w="2149" w:type="dxa"/>
            <w:tcBorders>
              <w:top w:val="single" w:sz="6" w:space="0" w:color="000000"/>
              <w:left w:val="single" w:sz="6" w:space="0" w:color="000000"/>
              <w:bottom w:val="single" w:sz="6" w:space="0" w:color="000000"/>
              <w:right w:val="single" w:sz="6" w:space="0" w:color="000000"/>
            </w:tcBorders>
          </w:tcPr>
          <w:p w:rsidR="00C02A8F" w:rsidRPr="00B75818" w:rsidP="00277E25" w14:paraId="6A098EC2" w14:textId="77777777">
            <w:pPr>
              <w:rPr>
                <w:sz w:val="22"/>
                <w:szCs w:val="22"/>
              </w:rPr>
            </w:pPr>
            <w:r w:rsidRPr="00B75818">
              <w:rPr>
                <w:sz w:val="22"/>
                <w:szCs w:val="22"/>
              </w:rPr>
              <w:t>Monthly ​ </w:t>
            </w:r>
          </w:p>
        </w:tc>
      </w:tr>
      <w:tr w14:paraId="3C02880E" w14:textId="77777777" w:rsidTr="00277E25">
        <w:tblPrEx>
          <w:tblW w:w="10710" w:type="dxa"/>
          <w:tblInd w:w="-548" w:type="dxa"/>
          <w:tblLayout w:type="fixed"/>
          <w:tblCellMar>
            <w:left w:w="0" w:type="dxa"/>
            <w:right w:w="0" w:type="dxa"/>
          </w:tblCellMar>
          <w:tblLook w:val="04A0"/>
        </w:tblPrEx>
        <w:trPr>
          <w:trHeight w:val="962"/>
        </w:trPr>
        <w:tc>
          <w:tcPr>
            <w:tcW w:w="1470" w:type="dxa"/>
            <w:tcBorders>
              <w:top w:val="single" w:sz="6" w:space="0" w:color="000000"/>
              <w:left w:val="single" w:sz="6" w:space="0" w:color="000000"/>
              <w:bottom w:val="single" w:sz="6" w:space="0" w:color="000000"/>
              <w:right w:val="single" w:sz="6" w:space="0" w:color="000000"/>
            </w:tcBorders>
            <w:shd w:val="clear" w:color="auto" w:fill="auto"/>
            <w:hideMark/>
          </w:tcPr>
          <w:p w:rsidR="00C02A8F" w:rsidRPr="00B75818" w:rsidP="00277E25" w14:paraId="773306BF" w14:textId="77777777">
            <w:pPr>
              <w:rPr>
                <w:sz w:val="22"/>
                <w:szCs w:val="22"/>
              </w:rPr>
            </w:pPr>
            <w:r w:rsidRPr="00B75818">
              <w:rPr>
                <w:sz w:val="22"/>
                <w:szCs w:val="22"/>
              </w:rPr>
              <w:t>Time period of data​ </w:t>
            </w:r>
          </w:p>
          <w:p w:rsidR="00C02A8F" w:rsidRPr="00B75818" w:rsidP="00277E25" w14:paraId="7B96B95B" w14:textId="77777777">
            <w:pPr>
              <w:rPr>
                <w:sz w:val="22"/>
                <w:szCs w:val="22"/>
              </w:rPr>
            </w:pPr>
            <w:r w:rsidRPr="00B75818">
              <w:rPr>
                <w:sz w:val="22"/>
                <w:szCs w:val="22"/>
              </w:rPr>
              <w:t>​ </w:t>
            </w:r>
          </w:p>
        </w:tc>
        <w:tc>
          <w:tcPr>
            <w:tcW w:w="1384" w:type="dxa"/>
            <w:tcBorders>
              <w:top w:val="single" w:sz="6" w:space="0" w:color="000000"/>
              <w:left w:val="single" w:sz="6" w:space="0" w:color="000000"/>
              <w:bottom w:val="single" w:sz="6" w:space="0" w:color="000000"/>
              <w:right w:val="single" w:sz="6" w:space="0" w:color="000000"/>
            </w:tcBorders>
            <w:shd w:val="clear" w:color="auto" w:fill="auto"/>
            <w:hideMark/>
          </w:tcPr>
          <w:p w:rsidR="00C02A8F" w:rsidRPr="00B75818" w:rsidP="00277E25" w14:paraId="6051CE85" w14:textId="77777777">
            <w:pPr>
              <w:rPr>
                <w:sz w:val="22"/>
                <w:szCs w:val="22"/>
              </w:rPr>
            </w:pPr>
            <w:r>
              <w:rPr>
                <w:sz w:val="22"/>
                <w:szCs w:val="22"/>
              </w:rPr>
              <w:t>Near real-time, continuous collection</w:t>
            </w:r>
          </w:p>
        </w:tc>
        <w:tc>
          <w:tcPr>
            <w:tcW w:w="1038" w:type="dxa"/>
            <w:tcBorders>
              <w:top w:val="single" w:sz="6" w:space="0" w:color="000000"/>
              <w:left w:val="single" w:sz="6" w:space="0" w:color="000000"/>
              <w:bottom w:val="single" w:sz="6" w:space="0" w:color="000000"/>
              <w:right w:val="single" w:sz="6" w:space="0" w:color="000000"/>
            </w:tcBorders>
            <w:shd w:val="clear" w:color="auto" w:fill="auto"/>
          </w:tcPr>
          <w:p w:rsidR="00C02A8F" w:rsidRPr="00B75818" w:rsidP="00277E25" w14:paraId="3D6CA4E6" w14:textId="77777777">
            <w:pPr>
              <w:rPr>
                <w:sz w:val="22"/>
                <w:szCs w:val="22"/>
              </w:rPr>
            </w:pPr>
            <w:r w:rsidRPr="00B75818">
              <w:rPr>
                <w:sz w:val="22"/>
                <w:szCs w:val="22"/>
              </w:rPr>
              <w:t>Year</w:t>
            </w:r>
          </w:p>
        </w:tc>
        <w:tc>
          <w:tcPr>
            <w:tcW w:w="1124" w:type="dxa"/>
            <w:tcBorders>
              <w:top w:val="single" w:sz="6" w:space="0" w:color="000000"/>
              <w:left w:val="single" w:sz="6" w:space="0" w:color="000000"/>
              <w:bottom w:val="single" w:sz="6" w:space="0" w:color="000000"/>
              <w:right w:val="single" w:sz="6" w:space="0" w:color="000000"/>
            </w:tcBorders>
          </w:tcPr>
          <w:p w:rsidR="00C02A8F" w:rsidRPr="00B75818" w:rsidP="00277E25" w14:paraId="0BFEEA91" w14:textId="77777777">
            <w:pPr>
              <w:rPr>
                <w:sz w:val="22"/>
                <w:szCs w:val="22"/>
              </w:rPr>
            </w:pPr>
            <w:r w:rsidRPr="00B75818">
              <w:rPr>
                <w:sz w:val="22"/>
                <w:szCs w:val="22"/>
              </w:rPr>
              <w:t>Year</w:t>
            </w:r>
          </w:p>
        </w:tc>
        <w:tc>
          <w:tcPr>
            <w:tcW w:w="1124" w:type="dxa"/>
            <w:tcBorders>
              <w:top w:val="single" w:sz="6" w:space="0" w:color="000000"/>
              <w:left w:val="single" w:sz="6" w:space="0" w:color="000000"/>
              <w:bottom w:val="single" w:sz="6" w:space="0" w:color="000000"/>
              <w:right w:val="single" w:sz="6" w:space="0" w:color="000000"/>
            </w:tcBorders>
          </w:tcPr>
          <w:p w:rsidR="00C02A8F" w:rsidRPr="00B75818" w:rsidP="00277E25" w14:paraId="4D797C70" w14:textId="77777777">
            <w:pPr>
              <w:rPr>
                <w:sz w:val="22"/>
                <w:szCs w:val="22"/>
              </w:rPr>
            </w:pPr>
            <w:r w:rsidRPr="00B75818">
              <w:rPr>
                <w:sz w:val="22"/>
                <w:szCs w:val="22"/>
              </w:rPr>
              <w:t>Year</w:t>
            </w:r>
          </w:p>
        </w:tc>
        <w:tc>
          <w:tcPr>
            <w:tcW w:w="1124" w:type="dxa"/>
            <w:tcBorders>
              <w:top w:val="single" w:sz="6" w:space="0" w:color="000000"/>
              <w:left w:val="single" w:sz="6" w:space="0" w:color="000000"/>
              <w:bottom w:val="single" w:sz="6" w:space="0" w:color="000000"/>
              <w:right w:val="single" w:sz="6" w:space="0" w:color="000000"/>
            </w:tcBorders>
          </w:tcPr>
          <w:p w:rsidR="00C02A8F" w:rsidRPr="00B75818" w:rsidP="00277E25" w14:paraId="48A7C4A1" w14:textId="77777777">
            <w:pPr>
              <w:rPr>
                <w:sz w:val="22"/>
                <w:szCs w:val="22"/>
              </w:rPr>
            </w:pPr>
            <w:r>
              <w:rPr>
                <w:sz w:val="22"/>
                <w:szCs w:val="22"/>
              </w:rPr>
              <w:t xml:space="preserve">Annual </w:t>
            </w:r>
          </w:p>
        </w:tc>
        <w:tc>
          <w:tcPr>
            <w:tcW w:w="1297" w:type="dxa"/>
            <w:tcBorders>
              <w:top w:val="single" w:sz="6" w:space="0" w:color="000000"/>
              <w:left w:val="single" w:sz="6" w:space="0" w:color="000000"/>
              <w:bottom w:val="single" w:sz="6" w:space="0" w:color="000000"/>
              <w:right w:val="single" w:sz="6" w:space="0" w:color="000000"/>
            </w:tcBorders>
          </w:tcPr>
          <w:p w:rsidR="00C02A8F" w:rsidRPr="00B75818" w:rsidP="00277E25" w14:paraId="672F3C90" w14:textId="77777777">
            <w:pPr>
              <w:rPr>
                <w:sz w:val="22"/>
                <w:szCs w:val="22"/>
              </w:rPr>
            </w:pPr>
            <w:r>
              <w:rPr>
                <w:sz w:val="22"/>
                <w:szCs w:val="22"/>
              </w:rPr>
              <w:t>Month, Annual</w:t>
            </w:r>
          </w:p>
        </w:tc>
        <w:tc>
          <w:tcPr>
            <w:tcW w:w="2149" w:type="dxa"/>
            <w:tcBorders>
              <w:top w:val="single" w:sz="6" w:space="0" w:color="000000"/>
              <w:left w:val="single" w:sz="6" w:space="0" w:color="000000"/>
              <w:bottom w:val="single" w:sz="6" w:space="0" w:color="000000"/>
              <w:right w:val="single" w:sz="6" w:space="0" w:color="000000"/>
            </w:tcBorders>
          </w:tcPr>
          <w:p w:rsidR="00C02A8F" w:rsidRPr="00B75818" w:rsidP="00277E25" w14:paraId="1A33459E" w14:textId="77777777">
            <w:pPr>
              <w:rPr>
                <w:sz w:val="22"/>
                <w:szCs w:val="22"/>
              </w:rPr>
            </w:pPr>
            <w:r w:rsidRPr="00B75818">
              <w:rPr>
                <w:sz w:val="22"/>
                <w:szCs w:val="22"/>
              </w:rPr>
              <w:t>Continuous abstraction</w:t>
            </w:r>
          </w:p>
        </w:tc>
      </w:tr>
      <w:tr w14:paraId="1885D49A" w14:textId="77777777" w:rsidTr="00277E25">
        <w:tblPrEx>
          <w:tblW w:w="10710" w:type="dxa"/>
          <w:tblInd w:w="-548" w:type="dxa"/>
          <w:tblLayout w:type="fixed"/>
          <w:tblCellMar>
            <w:left w:w="0" w:type="dxa"/>
            <w:right w:w="0" w:type="dxa"/>
          </w:tblCellMar>
          <w:tblLook w:val="04A0"/>
        </w:tblPrEx>
        <w:trPr>
          <w:trHeight w:val="1037"/>
        </w:trPr>
        <w:tc>
          <w:tcPr>
            <w:tcW w:w="1470" w:type="dxa"/>
            <w:tcBorders>
              <w:top w:val="single" w:sz="6" w:space="0" w:color="000000"/>
              <w:left w:val="single" w:sz="6" w:space="0" w:color="000000"/>
              <w:bottom w:val="single" w:sz="6" w:space="0" w:color="000000"/>
              <w:right w:val="single" w:sz="6" w:space="0" w:color="000000"/>
            </w:tcBorders>
            <w:shd w:val="clear" w:color="auto" w:fill="auto"/>
            <w:hideMark/>
          </w:tcPr>
          <w:p w:rsidR="00C02A8F" w:rsidRPr="00B75818" w:rsidP="00277E25" w14:paraId="482A49C4" w14:textId="77777777">
            <w:pPr>
              <w:rPr>
                <w:sz w:val="22"/>
                <w:szCs w:val="22"/>
              </w:rPr>
            </w:pPr>
            <w:r w:rsidRPr="00B75818">
              <w:rPr>
                <w:sz w:val="22"/>
                <w:szCs w:val="22"/>
              </w:rPr>
              <w:t>Substance </w:t>
            </w:r>
          </w:p>
          <w:p w:rsidR="00C02A8F" w:rsidRPr="00B75818" w:rsidP="00277E25" w14:paraId="195CC563" w14:textId="77777777">
            <w:pPr>
              <w:rPr>
                <w:sz w:val="22"/>
                <w:szCs w:val="22"/>
              </w:rPr>
            </w:pPr>
          </w:p>
          <w:p w:rsidR="00C02A8F" w:rsidRPr="00B75818" w:rsidP="00277E25" w14:paraId="170D30FF" w14:textId="77777777">
            <w:pPr>
              <w:rPr>
                <w:sz w:val="22"/>
                <w:szCs w:val="22"/>
              </w:rPr>
            </w:pPr>
            <w:r w:rsidRPr="00B75818">
              <w:rPr>
                <w:sz w:val="22"/>
                <w:szCs w:val="22"/>
              </w:rPr>
              <w:t>detail​ </w:t>
            </w:r>
          </w:p>
        </w:tc>
        <w:tc>
          <w:tcPr>
            <w:tcW w:w="1384" w:type="dxa"/>
            <w:tcBorders>
              <w:top w:val="single" w:sz="6" w:space="0" w:color="000000"/>
              <w:left w:val="single" w:sz="6" w:space="0" w:color="000000"/>
              <w:bottom w:val="single" w:sz="6" w:space="0" w:color="000000"/>
              <w:right w:val="single" w:sz="6" w:space="0" w:color="000000"/>
            </w:tcBorders>
            <w:shd w:val="clear" w:color="auto" w:fill="auto"/>
            <w:hideMark/>
          </w:tcPr>
          <w:p w:rsidR="00C02A8F" w:rsidRPr="00B75818" w:rsidP="00277E25" w14:paraId="701D6BCB" w14:textId="77777777">
            <w:pPr>
              <w:rPr>
                <w:sz w:val="22"/>
                <w:szCs w:val="22"/>
              </w:rPr>
            </w:pPr>
            <w:r>
              <w:rPr>
                <w:sz w:val="22"/>
                <w:szCs w:val="22"/>
              </w:rPr>
              <w:t xml:space="preserve">Clinical symptoms or ICD-10-CM </w:t>
            </w:r>
          </w:p>
        </w:tc>
        <w:tc>
          <w:tcPr>
            <w:tcW w:w="1038" w:type="dxa"/>
            <w:tcBorders>
              <w:top w:val="single" w:sz="6" w:space="0" w:color="000000"/>
              <w:left w:val="single" w:sz="6" w:space="0" w:color="000000"/>
              <w:bottom w:val="single" w:sz="6" w:space="0" w:color="000000"/>
              <w:right w:val="single" w:sz="6" w:space="0" w:color="000000"/>
            </w:tcBorders>
            <w:shd w:val="clear" w:color="auto" w:fill="auto"/>
          </w:tcPr>
          <w:p w:rsidR="00C02A8F" w:rsidRPr="00B75818" w:rsidP="00277E25" w14:paraId="33BD3DB0" w14:textId="77777777">
            <w:pPr>
              <w:rPr>
                <w:sz w:val="22"/>
                <w:szCs w:val="22"/>
              </w:rPr>
            </w:pPr>
            <w:r w:rsidRPr="00B75818">
              <w:rPr>
                <w:sz w:val="22"/>
                <w:szCs w:val="22"/>
              </w:rPr>
              <w:t>ICD-10</w:t>
            </w:r>
            <w:r>
              <w:rPr>
                <w:sz w:val="22"/>
                <w:szCs w:val="22"/>
              </w:rPr>
              <w:t>-CM</w:t>
            </w:r>
          </w:p>
        </w:tc>
        <w:tc>
          <w:tcPr>
            <w:tcW w:w="1124" w:type="dxa"/>
            <w:tcBorders>
              <w:top w:val="single" w:sz="6" w:space="0" w:color="000000"/>
              <w:left w:val="single" w:sz="6" w:space="0" w:color="000000"/>
              <w:bottom w:val="single" w:sz="6" w:space="0" w:color="000000"/>
              <w:right w:val="single" w:sz="6" w:space="0" w:color="000000"/>
            </w:tcBorders>
          </w:tcPr>
          <w:p w:rsidR="00C02A8F" w:rsidRPr="00B75818" w:rsidP="00277E25" w14:paraId="7DF454FC" w14:textId="77777777">
            <w:pPr>
              <w:rPr>
                <w:sz w:val="22"/>
                <w:szCs w:val="22"/>
              </w:rPr>
            </w:pPr>
            <w:r w:rsidRPr="00B75818">
              <w:rPr>
                <w:sz w:val="22"/>
                <w:szCs w:val="22"/>
              </w:rPr>
              <w:t>ICD-10</w:t>
            </w:r>
            <w:r>
              <w:rPr>
                <w:sz w:val="22"/>
                <w:szCs w:val="22"/>
              </w:rPr>
              <w:t>-CM</w:t>
            </w:r>
          </w:p>
        </w:tc>
        <w:tc>
          <w:tcPr>
            <w:tcW w:w="1124" w:type="dxa"/>
            <w:tcBorders>
              <w:top w:val="single" w:sz="6" w:space="0" w:color="000000"/>
              <w:left w:val="single" w:sz="6" w:space="0" w:color="000000"/>
              <w:bottom w:val="single" w:sz="6" w:space="0" w:color="000000"/>
              <w:right w:val="single" w:sz="6" w:space="0" w:color="000000"/>
            </w:tcBorders>
          </w:tcPr>
          <w:p w:rsidR="00C02A8F" w:rsidRPr="00B75818" w:rsidP="00277E25" w14:paraId="216D55C3" w14:textId="77777777">
            <w:pPr>
              <w:rPr>
                <w:sz w:val="22"/>
                <w:szCs w:val="22"/>
              </w:rPr>
            </w:pPr>
            <w:r>
              <w:rPr>
                <w:sz w:val="22"/>
                <w:szCs w:val="22"/>
              </w:rPr>
              <w:t xml:space="preserve">ICD-10-CM, clinical notes </w:t>
            </w:r>
          </w:p>
        </w:tc>
        <w:tc>
          <w:tcPr>
            <w:tcW w:w="1124" w:type="dxa"/>
            <w:tcBorders>
              <w:top w:val="single" w:sz="6" w:space="0" w:color="000000"/>
              <w:left w:val="single" w:sz="6" w:space="0" w:color="000000"/>
              <w:bottom w:val="single" w:sz="6" w:space="0" w:color="000000"/>
              <w:right w:val="single" w:sz="6" w:space="0" w:color="000000"/>
            </w:tcBorders>
          </w:tcPr>
          <w:p w:rsidR="00C02A8F" w:rsidRPr="00B75818" w:rsidP="00277E25" w14:paraId="7A7FEA62" w14:textId="77777777">
            <w:pPr>
              <w:rPr>
                <w:sz w:val="22"/>
                <w:szCs w:val="22"/>
              </w:rPr>
            </w:pPr>
            <w:r>
              <w:rPr>
                <w:sz w:val="22"/>
                <w:szCs w:val="22"/>
              </w:rPr>
              <w:t>ICD-10-CM (ED)</w:t>
            </w:r>
          </w:p>
        </w:tc>
        <w:tc>
          <w:tcPr>
            <w:tcW w:w="1297" w:type="dxa"/>
            <w:tcBorders>
              <w:top w:val="single" w:sz="6" w:space="0" w:color="000000"/>
              <w:left w:val="single" w:sz="6" w:space="0" w:color="000000"/>
              <w:bottom w:val="single" w:sz="6" w:space="0" w:color="000000"/>
              <w:right w:val="single" w:sz="6" w:space="0" w:color="000000"/>
            </w:tcBorders>
          </w:tcPr>
          <w:p w:rsidR="00C02A8F" w:rsidRPr="00B75818" w:rsidP="00277E25" w14:paraId="184FBBEC" w14:textId="77777777">
            <w:pPr>
              <w:rPr>
                <w:sz w:val="22"/>
                <w:szCs w:val="22"/>
              </w:rPr>
            </w:pPr>
            <w:r>
              <w:rPr>
                <w:sz w:val="22"/>
                <w:szCs w:val="22"/>
              </w:rPr>
              <w:t>ICD-10-CM</w:t>
            </w:r>
          </w:p>
        </w:tc>
        <w:tc>
          <w:tcPr>
            <w:tcW w:w="2149" w:type="dxa"/>
            <w:tcBorders>
              <w:top w:val="single" w:sz="6" w:space="0" w:color="000000"/>
              <w:left w:val="single" w:sz="6" w:space="0" w:color="000000"/>
              <w:bottom w:val="single" w:sz="6" w:space="0" w:color="000000"/>
              <w:right w:val="single" w:sz="6" w:space="0" w:color="000000"/>
            </w:tcBorders>
          </w:tcPr>
          <w:p w:rsidR="00C02A8F" w:rsidRPr="00B75818" w:rsidP="00277E25" w14:paraId="45E90C33" w14:textId="42ACF10A">
            <w:pPr>
              <w:rPr>
                <w:sz w:val="22"/>
                <w:szCs w:val="22"/>
              </w:rPr>
            </w:pPr>
            <w:r>
              <w:rPr>
                <w:sz w:val="22"/>
                <w:szCs w:val="22"/>
              </w:rPr>
              <w:t>D</w:t>
            </w:r>
            <w:r w:rsidRPr="00B75818">
              <w:rPr>
                <w:sz w:val="22"/>
                <w:szCs w:val="22"/>
              </w:rPr>
              <w:t>etailed drug information</w:t>
            </w:r>
            <w:r>
              <w:rPr>
                <w:sz w:val="22"/>
                <w:szCs w:val="22"/>
              </w:rPr>
              <w:t>, specific combinations, novel substances</w:t>
            </w:r>
            <w:r w:rsidR="00C46CB1">
              <w:rPr>
                <w:sz w:val="22"/>
                <w:szCs w:val="22"/>
              </w:rPr>
              <w:t>,</w:t>
            </w:r>
            <w:r w:rsidRPr="00B75818">
              <w:rPr>
                <w:sz w:val="22"/>
                <w:szCs w:val="22"/>
              </w:rPr>
              <w:t xml:space="preserve"> and alcohol.</w:t>
            </w:r>
            <w:r w:rsidRPr="00B75818">
              <w:rPr>
                <w:b/>
                <w:bCs/>
                <w:sz w:val="22"/>
                <w:szCs w:val="22"/>
              </w:rPr>
              <w:t> </w:t>
            </w:r>
            <w:r w:rsidRPr="00B75818">
              <w:rPr>
                <w:sz w:val="22"/>
                <w:szCs w:val="22"/>
              </w:rPr>
              <w:t>​ </w:t>
            </w:r>
          </w:p>
        </w:tc>
      </w:tr>
      <w:tr w14:paraId="24E86120" w14:textId="77777777" w:rsidTr="00277E25">
        <w:tblPrEx>
          <w:tblW w:w="10710" w:type="dxa"/>
          <w:tblInd w:w="-548" w:type="dxa"/>
          <w:tblLayout w:type="fixed"/>
          <w:tblCellMar>
            <w:left w:w="0" w:type="dxa"/>
            <w:right w:w="0" w:type="dxa"/>
          </w:tblCellMar>
          <w:tblLook w:val="04A0"/>
        </w:tblPrEx>
        <w:trPr>
          <w:trHeight w:val="841"/>
        </w:trPr>
        <w:tc>
          <w:tcPr>
            <w:tcW w:w="1470" w:type="dxa"/>
            <w:tcBorders>
              <w:top w:val="single" w:sz="6" w:space="0" w:color="000000"/>
              <w:left w:val="single" w:sz="6" w:space="0" w:color="000000"/>
              <w:bottom w:val="single" w:sz="6" w:space="0" w:color="000000"/>
              <w:right w:val="single" w:sz="6" w:space="0" w:color="000000"/>
            </w:tcBorders>
            <w:shd w:val="clear" w:color="auto" w:fill="auto"/>
            <w:hideMark/>
          </w:tcPr>
          <w:p w:rsidR="00C02A8F" w:rsidRPr="00B75818" w:rsidP="00277E25" w14:paraId="6139C3C7" w14:textId="77777777">
            <w:pPr>
              <w:rPr>
                <w:sz w:val="22"/>
                <w:szCs w:val="22"/>
              </w:rPr>
            </w:pPr>
            <w:r w:rsidRPr="00B75818">
              <w:rPr>
                <w:sz w:val="22"/>
                <w:szCs w:val="22"/>
              </w:rPr>
              <w:t>Reporting level geography​ </w:t>
            </w:r>
          </w:p>
        </w:tc>
        <w:tc>
          <w:tcPr>
            <w:tcW w:w="1384" w:type="dxa"/>
            <w:tcBorders>
              <w:top w:val="single" w:sz="6" w:space="0" w:color="000000"/>
              <w:left w:val="single" w:sz="6" w:space="0" w:color="000000"/>
              <w:bottom w:val="single" w:sz="6" w:space="0" w:color="000000"/>
              <w:right w:val="single" w:sz="6" w:space="0" w:color="000000"/>
            </w:tcBorders>
            <w:shd w:val="clear" w:color="auto" w:fill="auto"/>
            <w:hideMark/>
          </w:tcPr>
          <w:p w:rsidR="00C02A8F" w:rsidRPr="00B75818" w:rsidP="00277E25" w14:paraId="00188D1A" w14:textId="77777777">
            <w:pPr>
              <w:rPr>
                <w:sz w:val="22"/>
                <w:szCs w:val="22"/>
              </w:rPr>
            </w:pPr>
            <w:r>
              <w:rPr>
                <w:sz w:val="22"/>
                <w:szCs w:val="22"/>
              </w:rPr>
              <w:t>Jurisdiction-level response</w:t>
            </w:r>
          </w:p>
        </w:tc>
        <w:tc>
          <w:tcPr>
            <w:tcW w:w="1038" w:type="dxa"/>
            <w:tcBorders>
              <w:top w:val="single" w:sz="6" w:space="0" w:color="000000"/>
              <w:left w:val="single" w:sz="6" w:space="0" w:color="000000"/>
              <w:bottom w:val="single" w:sz="6" w:space="0" w:color="000000"/>
              <w:right w:val="single" w:sz="6" w:space="0" w:color="000000"/>
            </w:tcBorders>
            <w:shd w:val="clear" w:color="auto" w:fill="auto"/>
          </w:tcPr>
          <w:p w:rsidR="00C02A8F" w:rsidRPr="00B75818" w:rsidP="00277E25" w14:paraId="48E9CFD3" w14:textId="77777777">
            <w:pPr>
              <w:rPr>
                <w:sz w:val="22"/>
                <w:szCs w:val="22"/>
              </w:rPr>
            </w:pPr>
            <w:r w:rsidRPr="00B75818">
              <w:rPr>
                <w:sz w:val="22"/>
                <w:szCs w:val="22"/>
              </w:rPr>
              <w:t>Nation</w:t>
            </w:r>
          </w:p>
        </w:tc>
        <w:tc>
          <w:tcPr>
            <w:tcW w:w="1124" w:type="dxa"/>
            <w:tcBorders>
              <w:top w:val="single" w:sz="6" w:space="0" w:color="000000"/>
              <w:left w:val="single" w:sz="6" w:space="0" w:color="000000"/>
              <w:bottom w:val="single" w:sz="6" w:space="0" w:color="000000"/>
              <w:right w:val="single" w:sz="6" w:space="0" w:color="000000"/>
            </w:tcBorders>
          </w:tcPr>
          <w:p w:rsidR="00C02A8F" w:rsidRPr="00B75818" w:rsidP="00277E25" w14:paraId="4CD6A007" w14:textId="77777777">
            <w:pPr>
              <w:rPr>
                <w:sz w:val="22"/>
                <w:szCs w:val="22"/>
              </w:rPr>
            </w:pPr>
            <w:r w:rsidRPr="00B75818">
              <w:rPr>
                <w:sz w:val="22"/>
                <w:szCs w:val="22"/>
              </w:rPr>
              <w:t>Nation</w:t>
            </w:r>
            <w:r>
              <w:rPr>
                <w:sz w:val="22"/>
                <w:szCs w:val="22"/>
              </w:rPr>
              <w:t>, region</w:t>
            </w:r>
          </w:p>
        </w:tc>
        <w:tc>
          <w:tcPr>
            <w:tcW w:w="1124" w:type="dxa"/>
            <w:tcBorders>
              <w:top w:val="single" w:sz="6" w:space="0" w:color="000000"/>
              <w:left w:val="single" w:sz="6" w:space="0" w:color="000000"/>
              <w:bottom w:val="single" w:sz="6" w:space="0" w:color="000000"/>
              <w:right w:val="single" w:sz="6" w:space="0" w:color="000000"/>
            </w:tcBorders>
          </w:tcPr>
          <w:p w:rsidR="00C02A8F" w:rsidRPr="00B75818" w:rsidP="00277E25" w14:paraId="60C613DE" w14:textId="77777777">
            <w:pPr>
              <w:rPr>
                <w:sz w:val="22"/>
                <w:szCs w:val="22"/>
              </w:rPr>
            </w:pPr>
            <w:r w:rsidRPr="00B75818">
              <w:rPr>
                <w:sz w:val="22"/>
                <w:szCs w:val="22"/>
              </w:rPr>
              <w:t>Nation</w:t>
            </w:r>
          </w:p>
        </w:tc>
        <w:tc>
          <w:tcPr>
            <w:tcW w:w="1124" w:type="dxa"/>
            <w:tcBorders>
              <w:top w:val="single" w:sz="6" w:space="0" w:color="000000"/>
              <w:left w:val="single" w:sz="6" w:space="0" w:color="000000"/>
              <w:bottom w:val="single" w:sz="6" w:space="0" w:color="000000"/>
              <w:right w:val="single" w:sz="6" w:space="0" w:color="000000"/>
            </w:tcBorders>
          </w:tcPr>
          <w:p w:rsidR="00C02A8F" w:rsidRPr="00B75818" w:rsidP="00277E25" w14:paraId="29F517FF" w14:textId="77777777">
            <w:pPr>
              <w:rPr>
                <w:sz w:val="22"/>
                <w:szCs w:val="22"/>
              </w:rPr>
            </w:pPr>
            <w:r>
              <w:rPr>
                <w:sz w:val="22"/>
                <w:szCs w:val="22"/>
              </w:rPr>
              <w:t xml:space="preserve">Sentinel site </w:t>
            </w:r>
          </w:p>
        </w:tc>
        <w:tc>
          <w:tcPr>
            <w:tcW w:w="1297" w:type="dxa"/>
            <w:tcBorders>
              <w:top w:val="single" w:sz="6" w:space="0" w:color="000000"/>
              <w:left w:val="single" w:sz="6" w:space="0" w:color="000000"/>
              <w:bottom w:val="single" w:sz="6" w:space="0" w:color="000000"/>
              <w:right w:val="single" w:sz="6" w:space="0" w:color="000000"/>
            </w:tcBorders>
          </w:tcPr>
          <w:p w:rsidR="00C02A8F" w:rsidRPr="00B75818" w:rsidP="00277E25" w14:paraId="3AA65E24" w14:textId="77777777">
            <w:pPr>
              <w:rPr>
                <w:sz w:val="22"/>
                <w:szCs w:val="22"/>
              </w:rPr>
            </w:pPr>
            <w:r>
              <w:rPr>
                <w:sz w:val="22"/>
                <w:szCs w:val="22"/>
              </w:rPr>
              <w:t>State, Jurisdiction- level response</w:t>
            </w:r>
          </w:p>
        </w:tc>
        <w:tc>
          <w:tcPr>
            <w:tcW w:w="2149" w:type="dxa"/>
            <w:tcBorders>
              <w:top w:val="single" w:sz="6" w:space="0" w:color="000000"/>
              <w:left w:val="single" w:sz="6" w:space="0" w:color="000000"/>
              <w:bottom w:val="single" w:sz="6" w:space="0" w:color="000000"/>
              <w:right w:val="single" w:sz="6" w:space="0" w:color="000000"/>
            </w:tcBorders>
          </w:tcPr>
          <w:p w:rsidR="00C02A8F" w:rsidRPr="00B75818" w:rsidP="00277E25" w14:paraId="1B765004" w14:textId="77777777">
            <w:pPr>
              <w:rPr>
                <w:sz w:val="22"/>
                <w:szCs w:val="22"/>
              </w:rPr>
            </w:pPr>
            <w:r>
              <w:rPr>
                <w:sz w:val="22"/>
                <w:szCs w:val="22"/>
              </w:rPr>
              <w:t xml:space="preserve">Nation, Hospital-level </w:t>
            </w:r>
          </w:p>
        </w:tc>
      </w:tr>
      <w:tr w14:paraId="4C983EB1" w14:textId="77777777" w:rsidTr="00277E25">
        <w:tblPrEx>
          <w:tblW w:w="10710" w:type="dxa"/>
          <w:tblInd w:w="-548" w:type="dxa"/>
          <w:tblLayout w:type="fixed"/>
          <w:tblCellMar>
            <w:left w:w="0" w:type="dxa"/>
            <w:right w:w="0" w:type="dxa"/>
          </w:tblCellMar>
          <w:tblLook w:val="04A0"/>
        </w:tblPrEx>
        <w:trPr>
          <w:trHeight w:val="511"/>
        </w:trPr>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C02A8F" w:rsidRPr="00B75818" w:rsidP="00277E25" w14:paraId="01E2E0E5" w14:textId="77777777">
            <w:pPr>
              <w:rPr>
                <w:sz w:val="22"/>
                <w:szCs w:val="22"/>
              </w:rPr>
            </w:pPr>
            <w:r w:rsidRPr="00B75818">
              <w:rPr>
                <w:sz w:val="22"/>
                <w:szCs w:val="22"/>
              </w:rPr>
              <w:t>Data available to the public</w:t>
            </w:r>
          </w:p>
        </w:tc>
        <w:tc>
          <w:tcPr>
            <w:tcW w:w="1384" w:type="dxa"/>
            <w:tcBorders>
              <w:top w:val="single" w:sz="6" w:space="0" w:color="000000"/>
              <w:left w:val="single" w:sz="6" w:space="0" w:color="000000"/>
              <w:bottom w:val="single" w:sz="6" w:space="0" w:color="000000"/>
              <w:right w:val="single" w:sz="6" w:space="0" w:color="000000"/>
            </w:tcBorders>
            <w:shd w:val="clear" w:color="auto" w:fill="auto"/>
          </w:tcPr>
          <w:p w:rsidR="00C02A8F" w:rsidRPr="00B75818" w:rsidP="00277E25" w14:paraId="77DA639D" w14:textId="77777777">
            <w:pPr>
              <w:rPr>
                <w:sz w:val="22"/>
                <w:szCs w:val="22"/>
              </w:rPr>
            </w:pPr>
            <w:r>
              <w:rPr>
                <w:sz w:val="22"/>
                <w:szCs w:val="22"/>
              </w:rPr>
              <w:t>Aggregated dashboard(s)</w:t>
            </w:r>
          </w:p>
        </w:tc>
        <w:tc>
          <w:tcPr>
            <w:tcW w:w="1038" w:type="dxa"/>
            <w:tcBorders>
              <w:top w:val="single" w:sz="6" w:space="0" w:color="000000"/>
              <w:left w:val="single" w:sz="6" w:space="0" w:color="000000"/>
              <w:bottom w:val="single" w:sz="6" w:space="0" w:color="000000"/>
              <w:right w:val="single" w:sz="6" w:space="0" w:color="000000"/>
            </w:tcBorders>
            <w:shd w:val="clear" w:color="auto" w:fill="auto"/>
          </w:tcPr>
          <w:p w:rsidR="00C02A8F" w:rsidRPr="00B75818" w:rsidP="00277E25" w14:paraId="102C879C" w14:textId="77777777">
            <w:pPr>
              <w:rPr>
                <w:sz w:val="22"/>
                <w:szCs w:val="22"/>
              </w:rPr>
            </w:pPr>
            <w:r w:rsidRPr="00B75818">
              <w:rPr>
                <w:sz w:val="22"/>
                <w:szCs w:val="22"/>
              </w:rPr>
              <w:t>Yes</w:t>
            </w:r>
          </w:p>
        </w:tc>
        <w:tc>
          <w:tcPr>
            <w:tcW w:w="1124" w:type="dxa"/>
            <w:tcBorders>
              <w:top w:val="single" w:sz="6" w:space="0" w:color="000000"/>
              <w:left w:val="single" w:sz="6" w:space="0" w:color="000000"/>
              <w:bottom w:val="single" w:sz="6" w:space="0" w:color="000000"/>
              <w:right w:val="single" w:sz="6" w:space="0" w:color="000000"/>
            </w:tcBorders>
          </w:tcPr>
          <w:p w:rsidR="00C02A8F" w:rsidRPr="00B75818" w:rsidP="00277E25" w14:paraId="175B22BF" w14:textId="77777777">
            <w:pPr>
              <w:rPr>
                <w:sz w:val="22"/>
                <w:szCs w:val="22"/>
              </w:rPr>
            </w:pPr>
            <w:r w:rsidRPr="00B75818">
              <w:rPr>
                <w:sz w:val="22"/>
                <w:szCs w:val="22"/>
              </w:rPr>
              <w:t>Yes</w:t>
            </w:r>
          </w:p>
        </w:tc>
        <w:tc>
          <w:tcPr>
            <w:tcW w:w="1124" w:type="dxa"/>
            <w:tcBorders>
              <w:top w:val="single" w:sz="6" w:space="0" w:color="000000"/>
              <w:left w:val="single" w:sz="6" w:space="0" w:color="000000"/>
              <w:bottom w:val="single" w:sz="6" w:space="0" w:color="000000"/>
              <w:right w:val="single" w:sz="6" w:space="0" w:color="000000"/>
            </w:tcBorders>
          </w:tcPr>
          <w:p w:rsidR="00C02A8F" w:rsidRPr="00B75818" w:rsidP="00277E25" w14:paraId="1E50C045" w14:textId="77777777">
            <w:pPr>
              <w:rPr>
                <w:sz w:val="22"/>
                <w:szCs w:val="22"/>
              </w:rPr>
            </w:pPr>
            <w:r>
              <w:rPr>
                <w:sz w:val="22"/>
                <w:szCs w:val="22"/>
              </w:rPr>
              <w:t>Yes</w:t>
            </w:r>
          </w:p>
        </w:tc>
        <w:tc>
          <w:tcPr>
            <w:tcW w:w="1124" w:type="dxa"/>
            <w:tcBorders>
              <w:top w:val="single" w:sz="6" w:space="0" w:color="000000"/>
              <w:left w:val="single" w:sz="6" w:space="0" w:color="000000"/>
              <w:bottom w:val="single" w:sz="6" w:space="0" w:color="000000"/>
              <w:right w:val="single" w:sz="6" w:space="0" w:color="000000"/>
            </w:tcBorders>
          </w:tcPr>
          <w:p w:rsidR="00C02A8F" w:rsidRPr="00B75818" w:rsidP="00277E25" w14:paraId="1AECEA77" w14:textId="77777777">
            <w:pPr>
              <w:rPr>
                <w:sz w:val="22"/>
                <w:szCs w:val="22"/>
              </w:rPr>
            </w:pPr>
            <w:r>
              <w:rPr>
                <w:sz w:val="22"/>
                <w:szCs w:val="22"/>
              </w:rPr>
              <w:t>Aggregated reports</w:t>
            </w:r>
          </w:p>
        </w:tc>
        <w:tc>
          <w:tcPr>
            <w:tcW w:w="1297" w:type="dxa"/>
            <w:tcBorders>
              <w:top w:val="single" w:sz="6" w:space="0" w:color="000000"/>
              <w:left w:val="single" w:sz="6" w:space="0" w:color="000000"/>
              <w:bottom w:val="single" w:sz="6" w:space="0" w:color="000000"/>
              <w:right w:val="single" w:sz="6" w:space="0" w:color="000000"/>
            </w:tcBorders>
          </w:tcPr>
          <w:p w:rsidR="00C02A8F" w:rsidRPr="00B75818" w:rsidP="00277E25" w14:paraId="0DEB9114" w14:textId="77777777">
            <w:pPr>
              <w:rPr>
                <w:sz w:val="22"/>
                <w:szCs w:val="22"/>
              </w:rPr>
            </w:pPr>
            <w:r>
              <w:rPr>
                <w:sz w:val="22"/>
                <w:szCs w:val="22"/>
              </w:rPr>
              <w:t>Aggregated dashboard(s)</w:t>
            </w:r>
          </w:p>
        </w:tc>
        <w:tc>
          <w:tcPr>
            <w:tcW w:w="2149" w:type="dxa"/>
            <w:tcBorders>
              <w:top w:val="single" w:sz="6" w:space="0" w:color="000000"/>
              <w:left w:val="single" w:sz="6" w:space="0" w:color="000000"/>
              <w:bottom w:val="single" w:sz="6" w:space="0" w:color="000000"/>
              <w:right w:val="single" w:sz="6" w:space="0" w:color="000000"/>
            </w:tcBorders>
          </w:tcPr>
          <w:p w:rsidR="00C02A8F" w:rsidRPr="00B75818" w:rsidP="00277E25" w14:paraId="2129686F" w14:textId="77777777">
            <w:pPr>
              <w:rPr>
                <w:sz w:val="22"/>
                <w:szCs w:val="22"/>
              </w:rPr>
            </w:pPr>
            <w:r>
              <w:rPr>
                <w:sz w:val="22"/>
                <w:szCs w:val="22"/>
              </w:rPr>
              <w:t>Aggregated dashboards and reports</w:t>
            </w:r>
            <w:r w:rsidRPr="00B75818">
              <w:rPr>
                <w:sz w:val="22"/>
                <w:szCs w:val="22"/>
              </w:rPr>
              <w:t xml:space="preserve"> </w:t>
            </w:r>
          </w:p>
        </w:tc>
      </w:tr>
    </w:tbl>
    <w:p w:rsidR="00C02A8F" w:rsidRPr="00F5153B" w:rsidP="00C02A8F" w14:paraId="07A9FA60" w14:textId="77777777"/>
    <w:p w:rsidR="00C02A8F" w:rsidRPr="00E4332C" w:rsidP="00C02A8F" w14:paraId="1EF6E1D6" w14:textId="77777777">
      <w:pPr>
        <w:keepNext/>
      </w:pPr>
      <w:r w:rsidRPr="00E4332C">
        <w:t>Other drug abuse data collection efforts operated by SAMHSA and other agencies typically provide information by general categories rather than by specific drugs of abuse or, if specific drug information is available, it typically involves only the most frequent such drugs; on a periodic rather than a continual basis; and/or in insufficient quantity to produce valid estimates or extrapolations.</w:t>
      </w:r>
    </w:p>
    <w:p w:rsidR="00C02A8F" w:rsidP="00C02A8F" w14:paraId="0042819F" w14:textId="377E874F"/>
    <w:p w:rsidR="00B3467C" w:rsidP="00C02A8F" w14:paraId="0C19C150" w14:textId="79B8F96C"/>
    <w:p w:rsidR="00F71B14" w:rsidP="00C02A8F" w14:paraId="48459A19" w14:textId="31358048"/>
    <w:p w:rsidR="00F71B14" w:rsidP="00C02A8F" w14:paraId="6C8723C5" w14:textId="77777777"/>
    <w:p w:rsidR="004D4184" w14:paraId="6E47C9B0" w14:textId="1393BF72">
      <w:pPr>
        <w:pStyle w:val="NormalWeb"/>
        <w:numPr>
          <w:ilvl w:val="0"/>
          <w:numId w:val="6"/>
        </w:numPr>
        <w:tabs>
          <w:tab w:val="left" w:pos="360"/>
        </w:tabs>
        <w:spacing w:before="0" w:beforeAutospacing="0" w:after="240" w:afterAutospacing="0"/>
        <w:ind w:left="0" w:firstLine="0"/>
        <w:rPr>
          <w:b/>
          <w:bCs/>
        </w:rPr>
      </w:pPr>
      <w:r w:rsidRPr="00722CDB">
        <w:rPr>
          <w:b/>
          <w:bCs/>
          <w:i/>
          <w:iCs/>
        </w:rPr>
        <w:t xml:space="preserve"> </w:t>
      </w:r>
      <w:r w:rsidRPr="00722CDB" w:rsidR="00ED14AC">
        <w:rPr>
          <w:b/>
          <w:bCs/>
        </w:rPr>
        <w:t xml:space="preserve">Involvement of Small Entities </w:t>
      </w:r>
    </w:p>
    <w:p w:rsidR="00607EB7" w:rsidP="00607EB7" w14:paraId="53114824" w14:textId="653C05CA">
      <w:pPr>
        <w:keepNext/>
      </w:pPr>
      <w:r w:rsidRPr="00687796">
        <w:t>The information requested from all participants (both small entities and otherwise) has been kept to the absolute minimum required to meet DAWN</w:t>
      </w:r>
      <w:r>
        <w:t>’</w:t>
      </w:r>
      <w:r w:rsidRPr="00687796">
        <w:t>s objectives.</w:t>
      </w:r>
      <w:r w:rsidRPr="00E17BC6">
        <w:t xml:space="preserve"> </w:t>
      </w:r>
      <w:r w:rsidR="00B8048A">
        <w:t xml:space="preserve"> </w:t>
      </w:r>
      <w:r>
        <w:t>SAMHSA contractor</w:t>
      </w:r>
      <w:r w:rsidR="00390010">
        <w:t>s</w:t>
      </w:r>
      <w:r>
        <w:t xml:space="preserve"> will provide abstractors to </w:t>
      </w:r>
      <w:r w:rsidR="00232504">
        <w:t xml:space="preserve">collect and submit </w:t>
      </w:r>
      <w:r>
        <w:t xml:space="preserve">all </w:t>
      </w:r>
      <w:r w:rsidR="00232504">
        <w:t xml:space="preserve">DAWN </w:t>
      </w:r>
      <w:r>
        <w:t>data for participating hospitals</w:t>
      </w:r>
      <w:r w:rsidR="00232504">
        <w:t xml:space="preserve">. </w:t>
      </w:r>
      <w:r w:rsidR="00B8048A">
        <w:t xml:space="preserve"> </w:t>
      </w:r>
      <w:r w:rsidRPr="00F548F9" w:rsidR="00F548F9">
        <w:t>Hospital staff</w:t>
      </w:r>
      <w:r w:rsidR="00232504">
        <w:t xml:space="preserve"> provides </w:t>
      </w:r>
      <w:r w:rsidRPr="00F548F9" w:rsidR="00F548F9">
        <w:t xml:space="preserve">support </w:t>
      </w:r>
      <w:r w:rsidR="00232504">
        <w:t xml:space="preserve">to abstractor for their </w:t>
      </w:r>
      <w:r w:rsidRPr="00F548F9" w:rsidR="00F548F9">
        <w:t>continuous access to the hospitals</w:t>
      </w:r>
      <w:r w:rsidR="00275AD4">
        <w:t>’</w:t>
      </w:r>
      <w:r w:rsidRPr="00F548F9" w:rsidR="00F548F9">
        <w:t xml:space="preserve"> EHR systems</w:t>
      </w:r>
      <w:r w:rsidR="00DC7884">
        <w:t xml:space="preserve"> </w:t>
      </w:r>
      <w:r w:rsidRPr="00DC7884" w:rsidR="00DC7884">
        <w:t>and automated process is used to minimize burden to</w:t>
      </w:r>
      <w:r w:rsidR="00DC7884">
        <w:t xml:space="preserve"> all participating hospitals.  There is minimal impact on small entities.  </w:t>
      </w:r>
    </w:p>
    <w:p w:rsidR="003A56A3" w:rsidP="00607EB7" w14:paraId="440595E3" w14:textId="61EA7F69">
      <w:pPr>
        <w:keepNext/>
      </w:pPr>
    </w:p>
    <w:p w:rsidR="00F720A3" w:rsidRPr="00E4332C" w:rsidP="00607EB7" w14:paraId="7C26DB86" w14:textId="77777777">
      <w:pPr>
        <w:keepNext/>
      </w:pPr>
    </w:p>
    <w:p w:rsidR="006738BE" w:rsidRPr="00BD23FC" w14:paraId="590979CC" w14:textId="2577043E">
      <w:pPr>
        <w:pStyle w:val="NormalWeb"/>
        <w:numPr>
          <w:ilvl w:val="0"/>
          <w:numId w:val="6"/>
        </w:numPr>
        <w:tabs>
          <w:tab w:val="left" w:pos="360"/>
        </w:tabs>
        <w:spacing w:before="0" w:beforeAutospacing="0" w:after="240" w:afterAutospacing="0"/>
        <w:ind w:left="0" w:firstLine="0"/>
        <w:rPr>
          <w:b/>
          <w:bCs/>
        </w:rPr>
      </w:pPr>
      <w:r w:rsidRPr="00F720A3">
        <w:rPr>
          <w:b/>
          <w:bCs/>
        </w:rPr>
        <w:t>Consequences If Information Collected Less Frequently</w:t>
      </w:r>
      <w:r w:rsidRPr="00BD23FC">
        <w:rPr>
          <w:b/>
          <w:bCs/>
        </w:rPr>
        <w:t xml:space="preserve"> </w:t>
      </w:r>
    </w:p>
    <w:p w:rsidR="00607EB7" w:rsidP="00607EB7" w14:paraId="65E14332" w14:textId="239B5760">
      <w:r>
        <w:t xml:space="preserve">When legacy DAWN was discontinued in 2011, it left a </w:t>
      </w:r>
      <w:r w:rsidR="00EB2D9D">
        <w:t xml:space="preserve">critical </w:t>
      </w:r>
      <w:r>
        <w:t xml:space="preserve">gap </w:t>
      </w:r>
      <w:r w:rsidR="00EB2D9D">
        <w:t>where</w:t>
      </w:r>
      <w:r>
        <w:t xml:space="preserve"> no other system was able to identify and track trends in ED visits for </w:t>
      </w:r>
      <w:r w:rsidRPr="009B1479">
        <w:t xml:space="preserve">specific drugs across the country. </w:t>
      </w:r>
      <w:r w:rsidR="00B8048A">
        <w:t xml:space="preserve"> </w:t>
      </w:r>
      <w:r w:rsidR="00EB2D9D">
        <w:t>The proposed new D</w:t>
      </w:r>
      <w:r w:rsidRPr="009B1479">
        <w:t xml:space="preserve">AWN </w:t>
      </w:r>
      <w:r w:rsidR="00EB2D9D">
        <w:t xml:space="preserve">adheres to Section 505 of the Public Health Service Act by collecting DAWN data on a continuous basis </w:t>
      </w:r>
      <w:r w:rsidRPr="0033683C" w:rsidR="00EB2D9D">
        <w:t>as soon after the ED visit as possible</w:t>
      </w:r>
      <w:r w:rsidR="00EB2D9D">
        <w:t xml:space="preserve">. </w:t>
      </w:r>
      <w:r w:rsidR="00B8048A">
        <w:t xml:space="preserve"> </w:t>
      </w:r>
      <w:r w:rsidR="00EB2D9D">
        <w:t xml:space="preserve">It </w:t>
      </w:r>
      <w:r w:rsidRPr="009B1479">
        <w:t xml:space="preserve">goes beyond </w:t>
      </w:r>
      <w:r w:rsidR="00EB2D9D">
        <w:t xml:space="preserve">the </w:t>
      </w:r>
      <w:r w:rsidRPr="009B1479">
        <w:t xml:space="preserve">legacy DAWN by proposing to release </w:t>
      </w:r>
      <w:r w:rsidRPr="009B1479" w:rsidR="00C56BA7">
        <w:t xml:space="preserve">weighted national estimates on an annual basis and </w:t>
      </w:r>
      <w:r w:rsidR="00EB2D9D">
        <w:t xml:space="preserve">to produce </w:t>
      </w:r>
      <w:r w:rsidR="00C8788A">
        <w:t>quarterly</w:t>
      </w:r>
      <w:r w:rsidR="00545825">
        <w:t xml:space="preserve"> </w:t>
      </w:r>
      <w:r w:rsidR="0033579F">
        <w:t>(</w:t>
      </w:r>
      <w:r w:rsidR="00C8788A">
        <w:t>ad-hoc</w:t>
      </w:r>
      <w:r w:rsidR="0033579F">
        <w:t>)</w:t>
      </w:r>
      <w:r w:rsidRPr="009B1479" w:rsidR="00C8788A">
        <w:t xml:space="preserve"> </w:t>
      </w:r>
      <w:r w:rsidRPr="009B1479" w:rsidR="00C56BA7">
        <w:t xml:space="preserve">reports </w:t>
      </w:r>
      <w:r w:rsidRPr="009B1479" w:rsidR="009B0D5C">
        <w:t>on targeted DAWN data topics</w:t>
      </w:r>
      <w:r w:rsidRPr="009B1479" w:rsidR="00C56BA7">
        <w:t xml:space="preserve">. </w:t>
      </w:r>
      <w:r w:rsidR="00B8048A">
        <w:t xml:space="preserve"> </w:t>
      </w:r>
      <w:r w:rsidRPr="009B1479" w:rsidR="00C56BA7">
        <w:t>This will ensure</w:t>
      </w:r>
      <w:r w:rsidRPr="009B1479">
        <w:t xml:space="preserve"> </w:t>
      </w:r>
      <w:r w:rsidRPr="009B1479" w:rsidR="00C56BA7">
        <w:t xml:space="preserve">critical </w:t>
      </w:r>
      <w:r w:rsidRPr="009B1479">
        <w:t>information about outbreaks</w:t>
      </w:r>
      <w:r w:rsidR="00EB2D9D">
        <w:t xml:space="preserve">, </w:t>
      </w:r>
      <w:r>
        <w:t xml:space="preserve">the </w:t>
      </w:r>
      <w:r w:rsidR="00C8788A">
        <w:t>appearance,</w:t>
      </w:r>
      <w:r w:rsidR="00EB2D9D">
        <w:t xml:space="preserve"> and </w:t>
      </w:r>
      <w:r w:rsidR="00C8788A">
        <w:t xml:space="preserve">the </w:t>
      </w:r>
      <w:r>
        <w:t xml:space="preserve">emergence of </w:t>
      </w:r>
      <w:r w:rsidR="00C8788A">
        <w:t xml:space="preserve">substances </w:t>
      </w:r>
      <w:r>
        <w:t>can be disseminated to local public health authorities</w:t>
      </w:r>
      <w:r w:rsidR="00B5425C">
        <w:t>,</w:t>
      </w:r>
      <w:r w:rsidR="00C56BA7">
        <w:t xml:space="preserve"> frequently</w:t>
      </w:r>
      <w:r>
        <w:t xml:space="preserve">. </w:t>
      </w:r>
      <w:r w:rsidR="00EB2D9D">
        <w:t xml:space="preserve"> </w:t>
      </w:r>
      <w:r>
        <w:t xml:space="preserve">Receiving </w:t>
      </w:r>
      <w:r w:rsidR="006E2F04">
        <w:t>information that is more frequent</w:t>
      </w:r>
      <w:r>
        <w:t xml:space="preserve"> will allow public health authorities to take </w:t>
      </w:r>
      <w:r w:rsidR="00C8788A">
        <w:t xml:space="preserve">action </w:t>
      </w:r>
      <w:r>
        <w:t>on emergent activity</w:t>
      </w:r>
      <w:r w:rsidR="00EB2D9D">
        <w:t xml:space="preserve">. </w:t>
      </w:r>
      <w:r w:rsidR="00B8048A">
        <w:t xml:space="preserve"> </w:t>
      </w:r>
      <w:r w:rsidR="00EB2D9D">
        <w:t>More frequent data collection will also</w:t>
      </w:r>
      <w:r>
        <w:t xml:space="preserve"> provide SAMHSA and other HHS agencies with a broad picture of what is happening across the country, in rural areas as well as the suburbs and cities.</w:t>
      </w:r>
      <w:r w:rsidR="00EB2D9D">
        <w:t xml:space="preserve">  </w:t>
      </w:r>
      <w:r w:rsidRPr="00E4332C">
        <w:t xml:space="preserve">Less frequent </w:t>
      </w:r>
      <w:r w:rsidR="008C0C02">
        <w:t xml:space="preserve">collection and </w:t>
      </w:r>
      <w:r w:rsidRPr="00E4332C">
        <w:t xml:space="preserve">reporting would </w:t>
      </w:r>
      <w:r w:rsidR="008C0C02">
        <w:t xml:space="preserve">therefore </w:t>
      </w:r>
      <w:r w:rsidRPr="00E4332C">
        <w:t>significantly diminish DAWN</w:t>
      </w:r>
      <w:r>
        <w:t>’s</w:t>
      </w:r>
      <w:r w:rsidRPr="00E4332C">
        <w:t xml:space="preserve"> effectiveness and could adversely affect the </w:t>
      </w:r>
      <w:r w:rsidR="00927180">
        <w:t>f</w:t>
      </w:r>
      <w:r w:rsidRPr="00E4332C">
        <w:t xml:space="preserve">ederal </w:t>
      </w:r>
      <w:r w:rsidR="00927180">
        <w:t>g</w:t>
      </w:r>
      <w:r w:rsidRPr="00E4332C">
        <w:t>overnment</w:t>
      </w:r>
      <w:r>
        <w:t xml:space="preserve">’s </w:t>
      </w:r>
      <w:r w:rsidRPr="00E4332C">
        <w:t>drug use monitoring and prevention efforts.</w:t>
      </w:r>
    </w:p>
    <w:p w:rsidR="00607EB7" w:rsidP="004D4184" w14:paraId="0DDBB47A" w14:textId="79C09199">
      <w:pPr>
        <w:pStyle w:val="NormalWeb"/>
        <w:spacing w:before="0" w:beforeAutospacing="0" w:after="0" w:afterAutospacing="0"/>
      </w:pPr>
    </w:p>
    <w:p w:rsidR="00F720A3" w:rsidP="004D4184" w14:paraId="6B9E8667" w14:textId="77777777">
      <w:pPr>
        <w:pStyle w:val="NormalWeb"/>
        <w:spacing w:before="0" w:beforeAutospacing="0" w:after="0" w:afterAutospacing="0"/>
      </w:pPr>
    </w:p>
    <w:p w:rsidR="006738BE" w:rsidRPr="00BD23FC" w14:paraId="40A76198" w14:textId="0B824AE9">
      <w:pPr>
        <w:pStyle w:val="NormalWeb"/>
        <w:numPr>
          <w:ilvl w:val="0"/>
          <w:numId w:val="6"/>
        </w:numPr>
        <w:tabs>
          <w:tab w:val="left" w:pos="360"/>
        </w:tabs>
        <w:spacing w:before="0" w:beforeAutospacing="0" w:after="240" w:afterAutospacing="0"/>
        <w:ind w:left="0" w:firstLine="0"/>
        <w:rPr>
          <w:b/>
          <w:bCs/>
        </w:rPr>
      </w:pPr>
      <w:r w:rsidRPr="00F720A3">
        <w:rPr>
          <w:b/>
          <w:bCs/>
        </w:rPr>
        <w:t xml:space="preserve">Consistency </w:t>
      </w:r>
      <w:r w:rsidRPr="00F720A3" w:rsidR="00BD23FC">
        <w:rPr>
          <w:b/>
          <w:bCs/>
        </w:rPr>
        <w:t>w</w:t>
      </w:r>
      <w:r w:rsidRPr="00F720A3">
        <w:rPr>
          <w:b/>
          <w:bCs/>
        </w:rPr>
        <w:t xml:space="preserve">ith the Guidelines in </w:t>
      </w:r>
      <w:r w:rsidRPr="00F720A3">
        <w:rPr>
          <w:b/>
          <w:bCs/>
          <w:iCs/>
        </w:rPr>
        <w:t>5</w:t>
      </w:r>
      <w:r w:rsidRPr="00F720A3">
        <w:rPr>
          <w:b/>
          <w:bCs/>
          <w:i/>
          <w:iCs/>
        </w:rPr>
        <w:t xml:space="preserve"> </w:t>
      </w:r>
      <w:r w:rsidRPr="00F720A3">
        <w:rPr>
          <w:b/>
          <w:bCs/>
        </w:rPr>
        <w:t>CFR 1320.5(d)(2)</w:t>
      </w:r>
      <w:r w:rsidRPr="00BD23FC">
        <w:rPr>
          <w:b/>
          <w:bCs/>
        </w:rPr>
        <w:t xml:space="preserve"> </w:t>
      </w:r>
    </w:p>
    <w:p w:rsidR="005C24DC" w:rsidP="005C24DC" w14:paraId="6994AAAB" w14:textId="77777777">
      <w:r>
        <w:t xml:space="preserve">SAMHSA is requesting an exemption of revisions of race and ethnicity data classification related to the revised Statistical Policy Directive No. 15: Standards for Maintaining, Collecting, and Presenting Federal Data on Race and Ethnicity (SPD 15), effective March 28, 2024. </w:t>
      </w:r>
    </w:p>
    <w:p w:rsidR="005C24DC" w:rsidP="005C24DC" w14:paraId="076443E8" w14:textId="77777777"/>
    <w:p w:rsidR="005C24DC" w:rsidP="005C24DC" w14:paraId="2C8DD055" w14:textId="77777777">
      <w:r>
        <w:t>In the “</w:t>
      </w:r>
      <w:r w:rsidRPr="002835C2">
        <w:t>Revisions to OMB's Statistical Policy Directive No. 15</w:t>
      </w:r>
      <w:r>
        <w:t>” Federal Register Notice (FRN) published on March 29, 2024 (89 FR 22182), OMB acknowledges that “</w:t>
      </w:r>
      <w:r w:rsidRPr="00B63707">
        <w:rPr>
          <w:i/>
          <w:iCs/>
        </w:rPr>
        <w:t>certain programs that involve interconnected data across multiple agencies or offices, or that rely on data collected and provided by non-Federal entities, may take longer to implement than programs like statistical surveys”.</w:t>
      </w:r>
      <w:r>
        <w:t xml:space="preserve"> </w:t>
      </w:r>
    </w:p>
    <w:p w:rsidR="005C24DC" w:rsidP="005C24DC" w14:paraId="577E176E" w14:textId="77777777"/>
    <w:p w:rsidR="005C24DC" w:rsidP="005C24DC" w14:paraId="1B55CCE7" w14:textId="4C782B89">
      <w:r>
        <w:t>DAWN abstracts data directly from the existing Electronic Health Records (EHR) system of participating hospitals.  All DAWN participating hospitals are non-federal entities and the hospital EHRs follow the standard and i</w:t>
      </w:r>
      <w:r w:rsidRPr="003B7113">
        <w:t xml:space="preserve">mplementation </w:t>
      </w:r>
      <w:r>
        <w:t>s</w:t>
      </w:r>
      <w:r w:rsidRPr="003B7113">
        <w:t>pecification</w:t>
      </w:r>
      <w:r>
        <w:t xml:space="preserve"> identified in the </w:t>
      </w:r>
      <w:r w:rsidRPr="00B63707">
        <w:t>Interoperability Standards Advisory (ISA)</w:t>
      </w:r>
      <w:r>
        <w:t>.  ISA is recommended, reviewed and updated by t</w:t>
      </w:r>
      <w:r w:rsidRPr="003B7113">
        <w:t>he Office of the National Coordinator for Health Information Technology (ONC)</w:t>
      </w:r>
      <w:r>
        <w:t xml:space="preserve"> on </w:t>
      </w:r>
      <w:r w:rsidRPr="003B7113">
        <w:t>a regular basis.</w:t>
      </w:r>
      <w:r>
        <w:t xml:space="preserve">  A</w:t>
      </w:r>
      <w:r w:rsidRPr="008A03D4">
        <w:t>s of</w:t>
      </w:r>
      <w:r>
        <w:t xml:space="preserve"> July 29</w:t>
      </w:r>
      <w:r w:rsidRPr="008A03D4">
        <w:t>,</w:t>
      </w:r>
      <w:r>
        <w:t xml:space="preserve"> </w:t>
      </w:r>
      <w:r w:rsidRPr="008A03D4">
        <w:t>2024</w:t>
      </w:r>
      <w:r>
        <w:t>, ISA references its race and ethnicity s</w:t>
      </w:r>
      <w:r w:rsidRPr="00A9095D">
        <w:t>tandard</w:t>
      </w:r>
      <w:r>
        <w:t xml:space="preserve"> and i</w:t>
      </w:r>
      <w:r w:rsidRPr="00A9095D">
        <w:t xml:space="preserve">mplementation </w:t>
      </w:r>
      <w:r>
        <w:t>s</w:t>
      </w:r>
      <w:r w:rsidRPr="00A9095D">
        <w:t>pecification</w:t>
      </w:r>
      <w:r>
        <w:t xml:space="preserve"> to the prior SPD 15 (1997).  In addition, </w:t>
      </w:r>
      <w:r w:rsidRPr="00D53143">
        <w:t>DAWN</w:t>
      </w:r>
      <w:r>
        <w:t xml:space="preserve"> data analysis and reporting involves interconnected data across federal agencies. DAWN utilizes U.S. Resident Population Estimates, provided by the Census Bureau, to generate nationally representative weighted estimates by demographic characteristic.  Updates to hospital EHR systems and Census Bureau U.S. Resident Population Estimates require additional time.  Therefore, it will take longer for DAWN to implement changes in race and ethnicity per SPD 15.</w:t>
      </w:r>
    </w:p>
    <w:p w:rsidR="005C24DC" w:rsidP="005C24DC" w14:paraId="45A269A6" w14:textId="77777777"/>
    <w:p w:rsidR="005C24DC" w:rsidP="005C24DC" w14:paraId="02BBD3D5" w14:textId="01E286E1">
      <w:pPr>
        <w:pStyle w:val="NormalWeb"/>
        <w:spacing w:before="0" w:beforeAutospacing="0" w:after="0" w:afterAutospacing="0"/>
      </w:pPr>
      <w:r>
        <w:t xml:space="preserve">OMB also acknowledges that </w:t>
      </w:r>
      <w:r>
        <w:rPr>
          <w:rStyle w:val="ui-provider"/>
        </w:rPr>
        <w:t>“w</w:t>
      </w:r>
      <w:r w:rsidRPr="00751501">
        <w:rPr>
          <w:i/>
          <w:iCs/>
        </w:rPr>
        <w:t>hen data are collected through visual observation, agencies are not required to collect detailed categories and are encouraged to instead use the minimum categories</w:t>
      </w:r>
      <w:r>
        <w:rPr>
          <w:rStyle w:val="ui-provider"/>
        </w:rPr>
        <w:t>.”</w:t>
      </w:r>
      <w:r w:rsidRPr="00E04AE0">
        <w:t xml:space="preserve"> </w:t>
      </w:r>
      <w:r>
        <w:t xml:space="preserve"> The </w:t>
      </w:r>
      <w:r>
        <w:rPr>
          <w:rStyle w:val="Emphasis"/>
        </w:rPr>
        <w:t>method</w:t>
      </w:r>
      <w:r>
        <w:t xml:space="preserve"> of how race and/or ethnicity data are collected (either self-reported, proxy reporting, record matching, or observer identification) varies from hospital to hospital.  With mixed data collection methods utilized for DAWN data, DAWN requests approval to use the minimal categories identified in SPD 15 (1997) until the full revision is implemented. </w:t>
      </w:r>
    </w:p>
    <w:p w:rsidR="005C24DC" w:rsidP="005C24DC" w14:paraId="7ABA53A3" w14:textId="77777777">
      <w:pPr>
        <w:pStyle w:val="NormalWeb"/>
        <w:spacing w:before="0" w:beforeAutospacing="0" w:after="0" w:afterAutospacing="0"/>
      </w:pPr>
    </w:p>
    <w:p w:rsidR="005C24DC" w:rsidP="005C24DC" w14:paraId="59279C70" w14:textId="77777777">
      <w:r>
        <w:t>DAWN will adopt revisions to race and ethnicity data collection in a timely manner and come into compliance with the revised SPD 15 not later than March 28, 2029.</w:t>
      </w:r>
    </w:p>
    <w:p w:rsidR="00E04AE0" w:rsidP="00DD612B" w14:paraId="4CAF0D75" w14:textId="77777777">
      <w:pPr>
        <w:pStyle w:val="NormalWeb"/>
        <w:spacing w:before="0" w:beforeAutospacing="0" w:after="0" w:afterAutospacing="0"/>
      </w:pPr>
    </w:p>
    <w:p w:rsidR="00DD612B" w:rsidP="00DD612B" w14:paraId="7C91A3CC" w14:textId="77777777">
      <w:pPr>
        <w:pStyle w:val="NormalWeb"/>
        <w:spacing w:before="0" w:beforeAutospacing="0" w:after="0" w:afterAutospacing="0"/>
      </w:pPr>
    </w:p>
    <w:p w:rsidR="004D4184" w:rsidRPr="00F720A3" w14:paraId="3094FF87" w14:textId="76D3534B">
      <w:pPr>
        <w:pStyle w:val="NormalWeb"/>
        <w:numPr>
          <w:ilvl w:val="0"/>
          <w:numId w:val="6"/>
        </w:numPr>
        <w:tabs>
          <w:tab w:val="left" w:pos="360"/>
        </w:tabs>
        <w:spacing w:before="0" w:beforeAutospacing="0" w:after="240" w:afterAutospacing="0"/>
        <w:ind w:left="0" w:firstLine="0"/>
        <w:rPr>
          <w:b/>
          <w:bCs/>
        </w:rPr>
      </w:pPr>
      <w:r w:rsidRPr="00F720A3">
        <w:rPr>
          <w:b/>
          <w:bCs/>
        </w:rPr>
        <w:t>Consultation Outside the Agency</w:t>
      </w:r>
      <w:r w:rsidRPr="008D2A30">
        <w:rPr>
          <w:b/>
          <w:bCs/>
        </w:rPr>
        <w:t xml:space="preserve"> </w:t>
      </w:r>
    </w:p>
    <w:p w:rsidR="0052398C" w:rsidP="004D4184" w14:paraId="5F1BA90B" w14:textId="0D1025C3">
      <w:r w:rsidRPr="00EF3C63">
        <w:t xml:space="preserve">The notice required in 5 CFR 1320.8(d) was published in the </w:t>
      </w:r>
      <w:r w:rsidRPr="00EF3C63">
        <w:rPr>
          <w:i/>
        </w:rPr>
        <w:t>Federal Register</w:t>
      </w:r>
      <w:r w:rsidRPr="00EF3C63">
        <w:t xml:space="preserve"> on </w:t>
      </w:r>
      <w:r w:rsidR="005C2BD3">
        <w:t>March 14, 2024</w:t>
      </w:r>
      <w:r w:rsidRPr="000838B8">
        <w:t xml:space="preserve"> (</w:t>
      </w:r>
      <w:r w:rsidR="005C2BD3">
        <w:t>89 FR 18655</w:t>
      </w:r>
      <w:r w:rsidRPr="000838B8">
        <w:t>).</w:t>
      </w:r>
      <w:r w:rsidRPr="00EF3C63">
        <w:t xml:space="preserve"> </w:t>
      </w:r>
      <w:r w:rsidRPr="00EF3C63">
        <w:rPr>
          <w:b/>
        </w:rPr>
        <w:t xml:space="preserve"> </w:t>
      </w:r>
      <w:r w:rsidR="00EF3C63">
        <w:t>No comments were received.</w:t>
      </w:r>
    </w:p>
    <w:p w:rsidR="00666643" w:rsidP="004D4184" w14:paraId="662CEA03" w14:textId="641A5B97"/>
    <w:p w:rsidR="00666643" w:rsidP="00666643" w14:paraId="396F4703" w14:textId="47C7DE5A">
      <w:r w:rsidRPr="001362EA">
        <w:t xml:space="preserve">In </w:t>
      </w:r>
      <w:r w:rsidRPr="00666643">
        <w:t xml:space="preserve">addition, SAMSHA has consulted with stakeholders </w:t>
      </w:r>
      <w:r w:rsidR="008D2A30">
        <w:t xml:space="preserve">and experts </w:t>
      </w:r>
      <w:r w:rsidRPr="00666643">
        <w:t xml:space="preserve">outside of the agency to obtain their views on the proposed information collection. </w:t>
      </w:r>
      <w:r w:rsidR="00B8048A">
        <w:t xml:space="preserve"> </w:t>
      </w:r>
      <w:r>
        <w:t>The following experts have been consulted</w:t>
      </w:r>
      <w:r w:rsidR="00B5398E">
        <w:t xml:space="preserve"> </w:t>
      </w:r>
      <w:r>
        <w:t xml:space="preserve">for their </w:t>
      </w:r>
      <w:r w:rsidR="00E32709">
        <w:t xml:space="preserve">technical and subject matter expert </w:t>
      </w:r>
      <w:r>
        <w:t>inputs on DAWN</w:t>
      </w:r>
      <w:r w:rsidR="00276697">
        <w:t>:</w:t>
      </w:r>
    </w:p>
    <w:p w:rsidR="00951973" w:rsidP="00850DA5" w14:paraId="1EA1751D" w14:textId="77777777">
      <w:pPr>
        <w:pStyle w:val="ListParagraph"/>
      </w:pPr>
      <w:r w:rsidRPr="00951973">
        <w:t>Keith Burkhart, M.D., Senior Advisor for Medical Toxicology, Center for Drug Evaluation and Research (CDER)/ Food and Drug Administration (FDA)</w:t>
      </w:r>
    </w:p>
    <w:p w:rsidR="00850DA5" w:rsidRPr="00951973" w:rsidP="00850DA5" w14:paraId="74D08CB9" w14:textId="77777777">
      <w:pPr>
        <w:pStyle w:val="ListParagraph"/>
      </w:pPr>
    </w:p>
    <w:p w:rsidR="00951973" w:rsidP="00850DA5" w14:paraId="530B943F" w14:textId="77777777">
      <w:pPr>
        <w:pStyle w:val="ListParagraph"/>
      </w:pPr>
      <w:r w:rsidRPr="00951973">
        <w:t xml:space="preserve">Phillip Coffin, M.D., M.I.A., Director, Substance Use Research, Center for Public Health Research, San Francisco Department of Public Health </w:t>
      </w:r>
    </w:p>
    <w:p w:rsidR="00850DA5" w:rsidRPr="00951973" w:rsidP="00850DA5" w14:paraId="25E54100" w14:textId="77777777">
      <w:pPr>
        <w:pStyle w:val="ListParagraph"/>
      </w:pPr>
    </w:p>
    <w:p w:rsidR="00951973" w:rsidP="00850DA5" w14:paraId="7A9F083F" w14:textId="77777777">
      <w:pPr>
        <w:pStyle w:val="ListParagraph"/>
      </w:pPr>
      <w:r w:rsidRPr="00951973">
        <w:t>MeLisa Creamer, Ph.D., Deputy Branch Chief, Epidemiology Research Branch, National Institute on Drug Abuse (NIDA)</w:t>
      </w:r>
    </w:p>
    <w:p w:rsidR="00850DA5" w:rsidRPr="00951973" w:rsidP="00850DA5" w14:paraId="53819C06" w14:textId="77777777">
      <w:pPr>
        <w:pStyle w:val="ListParagraph"/>
      </w:pPr>
    </w:p>
    <w:p w:rsidR="00951973" w:rsidRPr="00951973" w:rsidP="00850DA5" w14:paraId="315483F7" w14:textId="77777777">
      <w:pPr>
        <w:pStyle w:val="ListParagraph"/>
      </w:pPr>
      <w:r w:rsidRPr="00951973">
        <w:t>Rick Dart, Ph.D., Director, Rocky Mountain Poison and Drug Safety (RMPDS)</w:t>
      </w:r>
    </w:p>
    <w:p w:rsidR="008B1485" w:rsidP="00850DA5" w14:paraId="60D5CDD8" w14:textId="435B46EC">
      <w:pPr>
        <w:pStyle w:val="ListParagraph"/>
      </w:pPr>
      <w:r w:rsidRPr="00951973">
        <w:t>Brian J</w:t>
      </w:r>
      <w:r w:rsidRPr="00951973" w:rsidR="000F0144">
        <w:t>.</w:t>
      </w:r>
      <w:r w:rsidRPr="00951973">
        <w:t xml:space="preserve"> Dew,</w:t>
      </w:r>
      <w:r w:rsidRPr="00951973" w:rsidR="000F0144">
        <w:t xml:space="preserve"> P</w:t>
      </w:r>
      <w:r w:rsidRPr="00951973" w:rsidR="006A5DF1">
        <w:t>h.D.,</w:t>
      </w:r>
      <w:r w:rsidRPr="00951973">
        <w:t xml:space="preserve"> Chair</w:t>
      </w:r>
      <w:r w:rsidRPr="00951973" w:rsidR="005114C4">
        <w:t xml:space="preserve"> and Associate Professor</w:t>
      </w:r>
      <w:r w:rsidRPr="00951973" w:rsidR="00B71F7F">
        <w:t xml:space="preserve">, </w:t>
      </w:r>
      <w:r w:rsidRPr="00951973">
        <w:t>Department of Counseling and Psychological Services</w:t>
      </w:r>
      <w:r w:rsidRPr="00951973" w:rsidR="00446035">
        <w:t>,</w:t>
      </w:r>
      <w:r w:rsidRPr="00951973">
        <w:t xml:space="preserve"> Georgia State University</w:t>
      </w:r>
    </w:p>
    <w:p w:rsidR="00850DA5" w:rsidRPr="00951973" w:rsidP="00850DA5" w14:paraId="20B4F3E2" w14:textId="77777777">
      <w:pPr>
        <w:pStyle w:val="ListParagraph"/>
        <w:rPr>
          <w:rStyle w:val="Hyperlink"/>
          <w:color w:val="000000"/>
        </w:rPr>
      </w:pPr>
    </w:p>
    <w:p w:rsidR="00276697" w:rsidRPr="00951973" w:rsidP="00850DA5" w14:paraId="18ECB90D" w14:textId="3B0CFA2B">
      <w:pPr>
        <w:pStyle w:val="ListParagraph"/>
      </w:pPr>
      <w:r w:rsidRPr="00951973">
        <w:t xml:space="preserve">Zachary Dezman, M.D., Medical Officer. FDA/CDER </w:t>
      </w:r>
      <w:r w:rsidRPr="00951973" w:rsidR="008B1485">
        <w:t xml:space="preserve">Jim Hall, </w:t>
      </w:r>
      <w:r w:rsidRPr="00951973" w:rsidR="00B71F7F">
        <w:t xml:space="preserve">Epidemiologist, </w:t>
      </w:r>
      <w:r w:rsidRPr="00951973" w:rsidR="00EA06E6">
        <w:t>Center for Applied Research on Substance Use and Health Disparities</w:t>
      </w:r>
      <w:r w:rsidRPr="00951973" w:rsidR="00446035">
        <w:t xml:space="preserve">, </w:t>
      </w:r>
      <w:r w:rsidRPr="00951973" w:rsidR="00EA06E6">
        <w:t>Nova Southeastern University</w:t>
      </w:r>
      <w:r w:rsidRPr="00951973" w:rsidR="008B1485">
        <w:t xml:space="preserve"> </w:t>
      </w:r>
    </w:p>
    <w:p w:rsidR="00850DA5" w:rsidP="00850DA5" w14:paraId="7B2F47D8" w14:textId="77777777">
      <w:pPr>
        <w:pStyle w:val="ListParagraph"/>
        <w:spacing w:before="100" w:beforeAutospacing="1" w:after="100" w:afterAutospacing="1"/>
      </w:pPr>
    </w:p>
    <w:p w:rsidR="00951973" w:rsidRPr="00951973" w:rsidP="00850DA5" w14:paraId="4B66CA6C" w14:textId="58FCF426">
      <w:pPr>
        <w:pStyle w:val="ListParagraph"/>
        <w:spacing w:before="100" w:beforeAutospacing="1" w:after="100" w:afterAutospacing="1"/>
      </w:pPr>
      <w:r w:rsidRPr="00951973">
        <w:t>Stephen Liu, Ph.D., Health Scientist, ESB/DOP/NCIPC/CDC</w:t>
      </w:r>
    </w:p>
    <w:p w:rsidR="00850DA5" w:rsidP="00850DA5" w14:paraId="4C00612F" w14:textId="77777777">
      <w:pPr>
        <w:pStyle w:val="ListParagraph"/>
        <w:spacing w:before="100" w:beforeAutospacing="1" w:after="100" w:afterAutospacing="1"/>
      </w:pPr>
    </w:p>
    <w:p w:rsidR="00951973" w:rsidRPr="00951973" w:rsidP="00850DA5" w14:paraId="4D7C468D" w14:textId="5FE414D7">
      <w:pPr>
        <w:pStyle w:val="ListParagraph"/>
        <w:spacing w:before="100" w:beforeAutospacing="1" w:after="100" w:afterAutospacing="1"/>
        <w:rPr>
          <w:rFonts w:ascii="Calibri Light" w:hAnsi="Calibri Light" w:cs="Calibri Light"/>
        </w:rPr>
      </w:pPr>
      <w:r w:rsidRPr="00951973">
        <w:t>Jana Mcaninch, M.D., MPH, M.S., Acting Associate Director for Public Health Initiatives, Office of Surveillance and Epidemiology (OSE), Center for Drug Evaluation and Research (CDER), U.S. Food and Drug Administration</w:t>
      </w:r>
    </w:p>
    <w:p w:rsidR="00850DA5" w:rsidP="00850DA5" w14:paraId="385BBD7B" w14:textId="77777777">
      <w:pPr>
        <w:pStyle w:val="ListParagraph"/>
      </w:pPr>
    </w:p>
    <w:p w:rsidR="00951973" w:rsidRPr="00951973" w:rsidP="00850DA5" w14:paraId="61AC05A7" w14:textId="459D2330">
      <w:pPr>
        <w:pStyle w:val="ListParagraph"/>
      </w:pPr>
      <w:r w:rsidRPr="00951973">
        <w:t>Desiree Mustaquim, Ph.D.,  Overdose Morbidity Team, Epidemiology and Surveillance Branch (ESB), Division of Overdose Prevention (DOP), National Center for Injury Prevention and Control (NCIPC), Centers for Disease Control and Prevention (CDC)</w:t>
      </w:r>
    </w:p>
    <w:p w:rsidR="00850DA5" w:rsidP="00850DA5" w14:paraId="18AD089F" w14:textId="77777777">
      <w:pPr>
        <w:pStyle w:val="ListParagraph"/>
      </w:pPr>
    </w:p>
    <w:p w:rsidR="00951973" w:rsidRPr="00951973" w:rsidP="00850DA5" w14:paraId="2E736947" w14:textId="3280F7BE">
      <w:pPr>
        <w:pStyle w:val="ListParagraph"/>
      </w:pPr>
      <w:r w:rsidRPr="00951973">
        <w:t xml:space="preserve">Scott Oulton, Associate Deputy Assistant Administrator, Office of Forensic Sciences, Drug Enforcement Administration (DEA) </w:t>
      </w:r>
    </w:p>
    <w:p w:rsidR="00850DA5" w:rsidP="00850DA5" w14:paraId="7A92A40B" w14:textId="77777777">
      <w:pPr>
        <w:pStyle w:val="ListParagraph"/>
      </w:pPr>
    </w:p>
    <w:p w:rsidR="00951973" w:rsidRPr="00951973" w:rsidP="00850DA5" w14:paraId="139750D4" w14:textId="41307203">
      <w:pPr>
        <w:pStyle w:val="ListParagraph"/>
      </w:pPr>
      <w:r w:rsidRPr="00951973">
        <w:t>Rob Poirier, M.D., Clinical Chief, Department of Emergency Medicine at Barnes-Jewish Hospital, Associate Professor at Washington University School of Medicine in St. Louis</w:t>
      </w:r>
    </w:p>
    <w:p w:rsidR="00850DA5" w:rsidP="00850DA5" w14:paraId="7855A771" w14:textId="77777777">
      <w:pPr>
        <w:pStyle w:val="ListParagraph"/>
      </w:pPr>
    </w:p>
    <w:p w:rsidR="00276697" w:rsidRPr="00951973" w:rsidP="00850DA5" w14:paraId="44CE8ED3" w14:textId="66AC3AB9">
      <w:pPr>
        <w:pStyle w:val="ListParagraph"/>
        <w:rPr>
          <w:color w:val="000000"/>
          <w:u w:val="single"/>
        </w:rPr>
      </w:pPr>
      <w:r w:rsidRPr="00951973">
        <w:t xml:space="preserve">Sheila Sjolander, </w:t>
      </w:r>
      <w:r w:rsidRPr="00951973" w:rsidR="006E17D8">
        <w:t>Deputy</w:t>
      </w:r>
      <w:r w:rsidRPr="00951973">
        <w:t xml:space="preserve"> Director,</w:t>
      </w:r>
      <w:r w:rsidRPr="00951973" w:rsidR="001D503E">
        <w:t xml:space="preserve"> </w:t>
      </w:r>
      <w:r w:rsidRPr="00951973">
        <w:t>Public Health Services</w:t>
      </w:r>
      <w:r w:rsidRPr="00951973" w:rsidR="00446035">
        <w:t>,</w:t>
      </w:r>
      <w:r w:rsidRPr="00951973">
        <w:t xml:space="preserve"> Arizona Department of Health Services</w:t>
      </w:r>
      <w:r w:rsidRPr="00951973" w:rsidR="00B71F7F">
        <w:rPr>
          <w:rStyle w:val="Hyperlink"/>
          <w:color w:val="000000"/>
        </w:rPr>
        <w:t xml:space="preserve"> </w:t>
      </w:r>
    </w:p>
    <w:p w:rsidR="00850DA5" w:rsidP="00850DA5" w14:paraId="34AE3BF3" w14:textId="77777777">
      <w:pPr>
        <w:pStyle w:val="ListParagraph"/>
        <w:spacing w:before="100" w:beforeAutospacing="1" w:after="100" w:afterAutospacing="1"/>
      </w:pPr>
    </w:p>
    <w:p w:rsidR="00951973" w:rsidRPr="00951973" w:rsidP="00850DA5" w14:paraId="7D9F4094" w14:textId="09058AE5">
      <w:pPr>
        <w:pStyle w:val="ListParagraph"/>
        <w:spacing w:before="100" w:beforeAutospacing="1" w:after="100" w:afterAutospacing="1"/>
        <w:rPr>
          <w:rFonts w:ascii="Calibri Light" w:hAnsi="Calibri Light" w:cs="Calibri Light"/>
        </w:rPr>
      </w:pPr>
      <w:r w:rsidRPr="00951973">
        <w:t>Erin Stokes, Overdose Morbidity Team</w:t>
      </w:r>
      <w:r w:rsidRPr="00951973" w:rsidR="00FF421A">
        <w:t xml:space="preserve">, </w:t>
      </w:r>
      <w:r w:rsidRPr="00951973" w:rsidR="00506C39">
        <w:t>ESB/DOP/NCIPC/CDC</w:t>
      </w:r>
    </w:p>
    <w:p w:rsidR="00850DA5" w:rsidP="00850DA5" w14:paraId="4BCFA115" w14:textId="77777777">
      <w:pPr>
        <w:pStyle w:val="ListParagraph"/>
        <w:spacing w:before="100" w:beforeAutospacing="1" w:after="100" w:afterAutospacing="1"/>
      </w:pPr>
    </w:p>
    <w:p w:rsidR="009242A0" w:rsidRPr="00951973" w:rsidP="00850DA5" w14:paraId="0E888839" w14:textId="1B3E9B11">
      <w:pPr>
        <w:pStyle w:val="ListParagraph"/>
        <w:spacing w:before="100" w:beforeAutospacing="1" w:after="100" w:afterAutospacing="1"/>
        <w:rPr>
          <w:rFonts w:ascii="Calibri Light" w:hAnsi="Calibri Light" w:cs="Calibri Light"/>
        </w:rPr>
      </w:pPr>
      <w:r w:rsidRPr="00951973">
        <w:t xml:space="preserve">Nimalie Stone, </w:t>
      </w:r>
      <w:r w:rsidRPr="00951973" w:rsidR="004C78B4">
        <w:t xml:space="preserve">M.D., </w:t>
      </w:r>
      <w:r w:rsidRPr="00951973">
        <w:t>Director, Medication Safety Program, Division of Healthcare Quality Promotion, CDC</w:t>
      </w:r>
    </w:p>
    <w:p w:rsidR="004A3BA9" w:rsidP="00902600" w14:paraId="2B86632E" w14:textId="77777777">
      <w:pPr>
        <w:pStyle w:val="ListParagraph"/>
      </w:pPr>
    </w:p>
    <w:p w:rsidR="00BF5DD5" w:rsidP="00BF5DD5" w14:paraId="0F8695D2" w14:textId="77777777"/>
    <w:p w:rsidR="004D4184" w:rsidRPr="004374BC" w14:paraId="73A05ADD" w14:textId="02425386">
      <w:pPr>
        <w:pStyle w:val="NormalWeb"/>
        <w:numPr>
          <w:ilvl w:val="0"/>
          <w:numId w:val="6"/>
        </w:numPr>
        <w:tabs>
          <w:tab w:val="left" w:pos="360"/>
        </w:tabs>
        <w:spacing w:before="0" w:beforeAutospacing="0" w:after="240" w:afterAutospacing="0"/>
        <w:ind w:left="0" w:firstLine="0"/>
        <w:rPr>
          <w:b/>
          <w:bCs/>
        </w:rPr>
      </w:pPr>
      <w:r w:rsidRPr="004374BC">
        <w:rPr>
          <w:b/>
          <w:bCs/>
        </w:rPr>
        <w:t>Payment to Respondents</w:t>
      </w:r>
      <w:r w:rsidRPr="00EB61A2">
        <w:rPr>
          <w:b/>
          <w:bCs/>
        </w:rPr>
        <w:t xml:space="preserve"> </w:t>
      </w:r>
    </w:p>
    <w:p w:rsidR="0058029F" w:rsidP="0058029F" w14:paraId="553F1244" w14:textId="14138314">
      <w:r w:rsidRPr="006F7AD9">
        <w:t xml:space="preserve">SAMHSA </w:t>
      </w:r>
      <w:r w:rsidR="00C03AF0">
        <w:t>understands the</w:t>
      </w:r>
      <w:r w:rsidRPr="006F7AD9" w:rsidR="00666643">
        <w:t xml:space="preserve"> challenges </w:t>
      </w:r>
      <w:r w:rsidRPr="006F7AD9">
        <w:t>in recruiting and retaining hospitals</w:t>
      </w:r>
      <w:r>
        <w:t>.</w:t>
      </w:r>
      <w:r w:rsidRPr="006F7AD9">
        <w:t xml:space="preserve"> </w:t>
      </w:r>
      <w:r w:rsidR="00B8048A">
        <w:t xml:space="preserve"> </w:t>
      </w:r>
      <w:r w:rsidRPr="006F7AD9">
        <w:t>Hospitals have found it inconvenient to have abstractors in their facility and difficult to find the time, space, and staff support needed to allow access to ED records for the data abstraction.</w:t>
      </w:r>
      <w:r w:rsidR="00086AC0">
        <w:t xml:space="preserve"> </w:t>
      </w:r>
      <w:r w:rsidR="00B8048A">
        <w:t xml:space="preserve"> </w:t>
      </w:r>
      <w:r w:rsidRPr="0065242F">
        <w:t>Large hospitals are inundated with numerous data requests a</w:t>
      </w:r>
      <w:r w:rsidRPr="006F7AD9">
        <w:t>nd may be reluctant to accommodate any additional data requests.</w:t>
      </w:r>
      <w:r w:rsidR="00C03AF0">
        <w:t xml:space="preserve"> </w:t>
      </w:r>
      <w:r w:rsidR="006B7ADE">
        <w:t xml:space="preserve"> </w:t>
      </w:r>
      <w:r>
        <w:t xml:space="preserve">Based on its extensive experience managing the legacy </w:t>
      </w:r>
      <w:r w:rsidRPr="006F7AD9">
        <w:t>DAWN</w:t>
      </w:r>
      <w:r>
        <w:t xml:space="preserve">, SAMSHA </w:t>
      </w:r>
      <w:r w:rsidRPr="00D562BD">
        <w:t>recognizes</w:t>
      </w:r>
      <w:r>
        <w:t xml:space="preserve"> </w:t>
      </w:r>
      <w:r w:rsidRPr="00687796">
        <w:t xml:space="preserve">the necessity of </w:t>
      </w:r>
      <w:r w:rsidR="006B7ADE">
        <w:t xml:space="preserve">providing incentives to </w:t>
      </w:r>
      <w:r>
        <w:t xml:space="preserve">participating hospitals and the </w:t>
      </w:r>
      <w:r w:rsidRPr="00687796">
        <w:t>importan</w:t>
      </w:r>
      <w:r>
        <w:t>ce of</w:t>
      </w:r>
      <w:r w:rsidRPr="00687796">
        <w:t xml:space="preserve"> </w:t>
      </w:r>
      <w:r w:rsidR="00960535">
        <w:t>retaining</w:t>
      </w:r>
      <w:r w:rsidRPr="00687796">
        <w:t xml:space="preserve"> the statistical sample of selected participants to maintain</w:t>
      </w:r>
      <w:r>
        <w:t xml:space="preserve"> </w:t>
      </w:r>
      <w:r w:rsidRPr="00687796">
        <w:t>the validity of the DAWN estimates.</w:t>
      </w:r>
      <w:r>
        <w:t xml:space="preserve"> </w:t>
      </w:r>
      <w:r w:rsidR="00B8048A">
        <w:t xml:space="preserve"> </w:t>
      </w:r>
      <w:r>
        <w:t xml:space="preserve">SAMHSA </w:t>
      </w:r>
      <w:r w:rsidRPr="006F7AD9">
        <w:t>offer</w:t>
      </w:r>
      <w:r>
        <w:t>s</w:t>
      </w:r>
      <w:r w:rsidRPr="006F7AD9">
        <w:t xml:space="preserve"> hospitals data access payment</w:t>
      </w:r>
      <w:r w:rsidR="00DA2900">
        <w:t xml:space="preserve"> </w:t>
      </w:r>
      <w:r w:rsidRPr="006F7AD9">
        <w:t>to: (a) encourage selected hospitals to join DAWN, (b) retain the hospital once they join DAWN and (c) ensure timely access to ED records</w:t>
      </w:r>
      <w:r w:rsidR="006B7ADE">
        <w:t xml:space="preserve"> and receive support for ongoing data collection</w:t>
      </w:r>
      <w:r w:rsidRPr="006F7AD9">
        <w:t xml:space="preserve">. </w:t>
      </w:r>
      <w:r w:rsidR="00B8048A">
        <w:t xml:space="preserve"> </w:t>
      </w:r>
      <w:r>
        <w:t>SAMHSA</w:t>
      </w:r>
      <w:r w:rsidRPr="00D562BD">
        <w:t xml:space="preserve"> </w:t>
      </w:r>
      <w:r>
        <w:t xml:space="preserve">also </w:t>
      </w:r>
      <w:r w:rsidRPr="00D562BD">
        <w:t xml:space="preserve">recognizes that </w:t>
      </w:r>
      <w:r>
        <w:t xml:space="preserve">data access payment </w:t>
      </w:r>
      <w:r w:rsidRPr="00D562BD">
        <w:t xml:space="preserve">has to be part of a comprehensive </w:t>
      </w:r>
      <w:r>
        <w:t xml:space="preserve">outreach and </w:t>
      </w:r>
      <w:r w:rsidRPr="006F7AD9">
        <w:t xml:space="preserve">marketing </w:t>
      </w:r>
      <w:r>
        <w:t xml:space="preserve">strategy and </w:t>
      </w:r>
      <w:r w:rsidRPr="006F7AD9">
        <w:t>recruitment plan</w:t>
      </w:r>
      <w:r>
        <w:t xml:space="preserve"> </w:t>
      </w:r>
      <w:r w:rsidRPr="00D562BD">
        <w:t>that include both monetary and non-monetary incentives to encourage</w:t>
      </w:r>
      <w:r>
        <w:t xml:space="preserve"> hospitals’ DAWN participation</w:t>
      </w:r>
      <w:r w:rsidRPr="00D562BD">
        <w:t xml:space="preserve">.  </w:t>
      </w:r>
    </w:p>
    <w:p w:rsidR="0090001F" w:rsidP="0058029F" w14:paraId="4B9843BF" w14:textId="77777777"/>
    <w:p w:rsidR="0058029F" w:rsidP="00DC418A" w14:paraId="4A01BD44" w14:textId="52D8DF1E"/>
    <w:p w:rsidR="006738BE" w:rsidRPr="0024442E" w14:paraId="239369D5" w14:textId="7469E158">
      <w:pPr>
        <w:pStyle w:val="NormalWeb"/>
        <w:numPr>
          <w:ilvl w:val="0"/>
          <w:numId w:val="6"/>
        </w:numPr>
        <w:tabs>
          <w:tab w:val="left" w:pos="360"/>
        </w:tabs>
        <w:spacing w:before="0" w:beforeAutospacing="0" w:after="240" w:afterAutospacing="0"/>
        <w:ind w:left="0" w:firstLine="0"/>
        <w:rPr>
          <w:b/>
          <w:bCs/>
        </w:rPr>
      </w:pPr>
      <w:r w:rsidRPr="008324F6">
        <w:rPr>
          <w:b/>
          <w:bCs/>
        </w:rPr>
        <w:t>Assurance of Confidentiality</w:t>
      </w:r>
      <w:r w:rsidRPr="0024442E">
        <w:rPr>
          <w:b/>
          <w:bCs/>
        </w:rPr>
        <w:t xml:space="preserve"> </w:t>
      </w:r>
    </w:p>
    <w:p w:rsidR="00AA4841" w:rsidP="00281605" w14:paraId="1BAB502C" w14:textId="19FED297">
      <w:r>
        <w:t xml:space="preserve">Data will be kept private to the extent allowable by law. </w:t>
      </w:r>
      <w:r w:rsidRPr="00513C33" w:rsidR="00C170FD">
        <w:t>Health information privacy regulations issued pursuant to the Health Insurance Portability and Accountability Act</w:t>
      </w:r>
      <w:r w:rsidR="00CF21B3">
        <w:t xml:space="preserve"> (HIPPA)</w:t>
      </w:r>
      <w:r w:rsidRPr="00513C33" w:rsidR="00C170FD">
        <w:t xml:space="preserve"> of 1996 affect all hospital participants in DAWN. Hospitals were required to comply with these rules dated April 14, 2003.</w:t>
      </w:r>
      <w:r w:rsidR="00C170FD">
        <w:t xml:space="preserve"> </w:t>
      </w:r>
      <w:r w:rsidR="008A2352">
        <w:t xml:space="preserve"> </w:t>
      </w:r>
      <w:r w:rsidRPr="00513C33" w:rsidR="00C170FD">
        <w:t>Under the HIPAA Privacy Rule, hospitals may disclose individually identifiable data to DAWN under disclosures for public health activities authorized by law, 45 CFR 164.512(b)(1). These disclosures are permitted without individual consent or authorization.</w:t>
      </w:r>
      <w:r w:rsidR="00C170FD">
        <w:t xml:space="preserve"> </w:t>
      </w:r>
      <w:r w:rsidR="00FE188C">
        <w:t xml:space="preserve"> </w:t>
      </w:r>
      <w:r w:rsidRPr="00513C33" w:rsidR="00C170FD">
        <w:t>SAMHSA is a public health authority required by law Section 505 of the Public Health Service Act (42 U.S.C. 290 aa-4) to collect data on: the number of individuals admitted to the emergency rooms of hospitals as a result of the abuse of alcohol or other drugs.</w:t>
      </w:r>
    </w:p>
    <w:p w:rsidR="00AA4841" w:rsidP="00281605" w14:paraId="36387CF9" w14:textId="77777777"/>
    <w:p w:rsidR="00281605" w:rsidRPr="00B2343D" w:rsidP="00281605" w14:paraId="3BBE53C5" w14:textId="78A17EFB">
      <w:r w:rsidRPr="00513C33">
        <w:t>In accordance with the HIPAA Privacy Rule, SAMHSA requests only the minimum amount of information necessary to fulfill DAWN’s purpose.</w:t>
      </w:r>
      <w:r>
        <w:t xml:space="preserve"> </w:t>
      </w:r>
      <w:r w:rsidR="00C10EFD">
        <w:t xml:space="preserve"> </w:t>
      </w:r>
      <w:r w:rsidRPr="00513C33">
        <w:t xml:space="preserve">SAMHSA has developed </w:t>
      </w:r>
      <w:r w:rsidRPr="00B2343D">
        <w:t>and will follow the following policies and procedures that govern DAWN data abstraction and prevent misuse or disclosure of DAWN data:</w:t>
      </w:r>
    </w:p>
    <w:p w:rsidR="00281605" w:rsidRPr="00B2343D" w:rsidP="00850DA5" w14:paraId="0FA072B4" w14:textId="66914C4E">
      <w:pPr>
        <w:pStyle w:val="ListParagraph"/>
        <w:widowControl/>
        <w:autoSpaceDE/>
        <w:autoSpaceDN/>
        <w:adjustRightInd/>
        <w:ind w:left="900"/>
        <w:rPr>
          <w:rFonts w:eastAsiaTheme="minorHAnsi"/>
        </w:rPr>
      </w:pPr>
      <w:r w:rsidRPr="00B2343D">
        <w:rPr>
          <w:rFonts w:eastAsiaTheme="minorHAnsi"/>
        </w:rPr>
        <w:t>DAWN does not abstract direct identifiers (e.g., names, Social Security number, and medical record number) for patients.</w:t>
      </w:r>
    </w:p>
    <w:p w:rsidR="00850DA5" w:rsidP="00850DA5" w14:paraId="415F9A19" w14:textId="77777777">
      <w:pPr>
        <w:pStyle w:val="ListParagraph"/>
        <w:widowControl/>
        <w:autoSpaceDE/>
        <w:autoSpaceDN/>
        <w:adjustRightInd/>
        <w:ind w:left="900"/>
        <w:rPr>
          <w:rFonts w:eastAsiaTheme="minorHAnsi"/>
        </w:rPr>
      </w:pPr>
    </w:p>
    <w:p w:rsidR="00281605" w:rsidRPr="00B2343D" w:rsidP="00850DA5" w14:paraId="195D1778" w14:textId="77638E86">
      <w:pPr>
        <w:pStyle w:val="ListParagraph"/>
        <w:widowControl/>
        <w:autoSpaceDE/>
        <w:autoSpaceDN/>
        <w:adjustRightInd/>
        <w:ind w:left="900"/>
        <w:rPr>
          <w:rFonts w:eastAsiaTheme="minorHAnsi"/>
        </w:rPr>
      </w:pPr>
      <w:r w:rsidRPr="00B2343D">
        <w:rPr>
          <w:rFonts w:eastAsiaTheme="minorHAnsi"/>
        </w:rPr>
        <w:t>Hospital DAAs, the document executed with DAWN hospitals, contain specific clauses regarding the confidentiality of DAWN data and the obligations of each party with respect to confidentiality.</w:t>
      </w:r>
    </w:p>
    <w:p w:rsidR="00850DA5" w:rsidP="00850DA5" w14:paraId="361ECAAF" w14:textId="77777777">
      <w:pPr>
        <w:pStyle w:val="ListParagraph"/>
        <w:widowControl/>
        <w:autoSpaceDE/>
        <w:autoSpaceDN/>
        <w:adjustRightInd/>
        <w:ind w:left="900"/>
        <w:rPr>
          <w:rFonts w:eastAsiaTheme="minorHAnsi"/>
        </w:rPr>
      </w:pPr>
    </w:p>
    <w:p w:rsidR="00281605" w:rsidRPr="00B2343D" w:rsidP="00850DA5" w14:paraId="235A134A" w14:textId="0BA78ED2">
      <w:pPr>
        <w:pStyle w:val="ListParagraph"/>
        <w:widowControl/>
        <w:autoSpaceDE/>
        <w:autoSpaceDN/>
        <w:adjustRightInd/>
        <w:ind w:left="900"/>
        <w:rPr>
          <w:rFonts w:eastAsiaTheme="minorHAnsi"/>
        </w:rPr>
      </w:pPr>
      <w:r w:rsidRPr="00B2343D">
        <w:rPr>
          <w:rFonts w:eastAsiaTheme="minorHAnsi"/>
        </w:rPr>
        <w:t>Data collected electronically are encrypted and transmitted via secure connections to the SAMHSA’s AWS Cloud DAWN System.</w:t>
      </w:r>
    </w:p>
    <w:p w:rsidR="00850DA5" w:rsidP="00850DA5" w14:paraId="30FF9CC1" w14:textId="77777777">
      <w:pPr>
        <w:pStyle w:val="ListParagraph"/>
        <w:widowControl/>
        <w:autoSpaceDE/>
        <w:autoSpaceDN/>
        <w:adjustRightInd/>
        <w:ind w:left="900"/>
        <w:rPr>
          <w:rFonts w:eastAsiaTheme="minorHAnsi"/>
        </w:rPr>
      </w:pPr>
    </w:p>
    <w:p w:rsidR="00281605" w:rsidRPr="00B2343D" w:rsidP="00850DA5" w14:paraId="51A2B64E" w14:textId="56525E7C">
      <w:pPr>
        <w:pStyle w:val="ListParagraph"/>
        <w:widowControl/>
        <w:autoSpaceDE/>
        <w:autoSpaceDN/>
        <w:adjustRightInd/>
        <w:ind w:left="900"/>
        <w:rPr>
          <w:rFonts w:eastAsiaTheme="minorHAnsi"/>
        </w:rPr>
      </w:pPr>
      <w:r w:rsidRPr="00B2343D">
        <w:rPr>
          <w:rFonts w:eastAsiaTheme="minorHAnsi"/>
        </w:rPr>
        <w:t>Employees of Center for Behavioral Health Statistics and Quality (CBHSQ at SAMHSA and its contractor sign confidentiality agreements that spell out the confidentiality requirements, how those requirements affect employees’ behavior and use of data, and the penalties associated with violations.</w:t>
      </w:r>
    </w:p>
    <w:p w:rsidR="00850DA5" w:rsidP="00850DA5" w14:paraId="3EAA78A0" w14:textId="77777777">
      <w:pPr>
        <w:pStyle w:val="ListParagraph"/>
        <w:widowControl/>
        <w:autoSpaceDE/>
        <w:autoSpaceDN/>
        <w:adjustRightInd/>
        <w:ind w:left="900"/>
        <w:rPr>
          <w:rFonts w:eastAsiaTheme="minorHAnsi"/>
        </w:rPr>
      </w:pPr>
    </w:p>
    <w:p w:rsidR="00281605" w:rsidRPr="00B2343D" w:rsidP="00850DA5" w14:paraId="6A389F8E" w14:textId="592D6C8E">
      <w:pPr>
        <w:pStyle w:val="ListParagraph"/>
        <w:widowControl/>
        <w:autoSpaceDE/>
        <w:autoSpaceDN/>
        <w:adjustRightInd/>
        <w:ind w:left="900"/>
      </w:pPr>
      <w:r w:rsidRPr="00B2343D">
        <w:rPr>
          <w:rFonts w:eastAsiaTheme="minorHAnsi"/>
        </w:rPr>
        <w:t>Every individual affiliated with DAWN at SAMHSA and its contractor receives specific annual training on the confidentiality</w:t>
      </w:r>
      <w:r w:rsidRPr="00B2343D">
        <w:t xml:space="preserve"> and data protection rules that apply to DAWN.</w:t>
      </w:r>
    </w:p>
    <w:p w:rsidR="00850DA5" w:rsidP="00850DA5" w14:paraId="03BC86C5" w14:textId="77777777">
      <w:pPr>
        <w:pStyle w:val="ListParagraph"/>
        <w:widowControl/>
        <w:autoSpaceDE/>
        <w:autoSpaceDN/>
        <w:adjustRightInd/>
        <w:ind w:left="900"/>
      </w:pPr>
    </w:p>
    <w:p w:rsidR="00281605" w:rsidRPr="00B2343D" w:rsidP="00850DA5" w14:paraId="194E06E5" w14:textId="2CE26153">
      <w:pPr>
        <w:pStyle w:val="ListParagraph"/>
        <w:widowControl/>
        <w:autoSpaceDE/>
        <w:autoSpaceDN/>
        <w:adjustRightInd/>
        <w:ind w:left="900"/>
      </w:pPr>
      <w:r w:rsidRPr="00B2343D">
        <w:t xml:space="preserve">DAWN data are viewed and processed only by individuals who require access. Access to DAWN electronic data abstraction systems is limited to authorized DAWN staff and hospital abstractors with a valid user id and password. </w:t>
      </w:r>
      <w:r w:rsidR="004D6E7C">
        <w:t xml:space="preserve"> </w:t>
      </w:r>
      <w:r w:rsidRPr="00B2343D">
        <w:t>The central database is maintained on a secure server to which access is limited to authorized project staff only.</w:t>
      </w:r>
    </w:p>
    <w:p w:rsidR="00850DA5" w:rsidP="00850DA5" w14:paraId="5732D2A1" w14:textId="77777777">
      <w:pPr>
        <w:pStyle w:val="ListParagraph"/>
        <w:widowControl/>
        <w:autoSpaceDE/>
        <w:autoSpaceDN/>
        <w:adjustRightInd/>
        <w:ind w:left="900"/>
      </w:pPr>
    </w:p>
    <w:p w:rsidR="00281605" w:rsidRPr="00B2343D" w:rsidP="00850DA5" w14:paraId="616B3FC7" w14:textId="728AF055">
      <w:pPr>
        <w:pStyle w:val="ListParagraph"/>
        <w:widowControl/>
        <w:autoSpaceDE/>
        <w:autoSpaceDN/>
        <w:adjustRightInd/>
        <w:ind w:left="900"/>
      </w:pPr>
      <w:r w:rsidRPr="00B2343D">
        <w:t xml:space="preserve">An ED’s own data, located in the </w:t>
      </w:r>
      <w:r w:rsidRPr="00B2343D">
        <w:rPr>
          <w:rFonts w:eastAsiaTheme="minorHAnsi"/>
        </w:rPr>
        <w:t>SAMHSA’s AWS Cloud DAWN System</w:t>
      </w:r>
      <w:r w:rsidRPr="00B2343D">
        <w:t>, are accessible only to individuals authorized by the hospital and accessed using a unique user id and password.</w:t>
      </w:r>
    </w:p>
    <w:p w:rsidR="00850DA5" w:rsidP="00850DA5" w14:paraId="2271EFB4" w14:textId="77777777">
      <w:pPr>
        <w:pStyle w:val="ListParagraph"/>
        <w:widowControl/>
        <w:autoSpaceDE/>
        <w:autoSpaceDN/>
        <w:adjustRightInd/>
        <w:ind w:left="900"/>
      </w:pPr>
    </w:p>
    <w:p w:rsidR="00281605" w:rsidRPr="00B2343D" w:rsidP="00850DA5" w14:paraId="6A7AA529" w14:textId="53C75E1A">
      <w:pPr>
        <w:pStyle w:val="ListParagraph"/>
        <w:widowControl/>
        <w:autoSpaceDE/>
        <w:autoSpaceDN/>
        <w:adjustRightInd/>
        <w:ind w:left="900"/>
      </w:pPr>
      <w:r w:rsidRPr="00B2343D">
        <w:t xml:space="preserve">All data produced in tabular format are reviewed for confidentiality risks before release. </w:t>
      </w:r>
      <w:r w:rsidR="002537EC">
        <w:t xml:space="preserve"> </w:t>
      </w:r>
      <w:r w:rsidRPr="00B2343D">
        <w:t>Published reports suppress data where necessary if the publication of such data could potentially identify an individual hospital and/or patient.</w:t>
      </w:r>
    </w:p>
    <w:p w:rsidR="006F1317" w:rsidP="004D4184" w14:paraId="78CC2BC1" w14:textId="6CDB86E6">
      <w:pPr>
        <w:pStyle w:val="NormalWeb"/>
        <w:spacing w:before="0" w:beforeAutospacing="0" w:after="0" w:afterAutospacing="0"/>
      </w:pPr>
    </w:p>
    <w:p w:rsidR="006F1317" w14:paraId="3437198F" w14:textId="3C987FF6">
      <w:pPr>
        <w:pStyle w:val="NormalWeb"/>
        <w:numPr>
          <w:ilvl w:val="0"/>
          <w:numId w:val="6"/>
        </w:numPr>
        <w:tabs>
          <w:tab w:val="left" w:pos="360"/>
        </w:tabs>
        <w:spacing w:before="0" w:beforeAutospacing="0" w:after="240" w:afterAutospacing="0"/>
        <w:ind w:left="0" w:firstLine="0"/>
      </w:pPr>
      <w:r w:rsidRPr="00E6407A">
        <w:rPr>
          <w:b/>
          <w:bCs/>
        </w:rPr>
        <w:t xml:space="preserve">Questions of a Sensitive Nature </w:t>
      </w:r>
    </w:p>
    <w:p w:rsidR="00ED14AC" w:rsidP="00850DA5" w14:paraId="02658857" w14:textId="563AF6FE">
      <w:pPr>
        <w:pStyle w:val="NormalWeb"/>
        <w:tabs>
          <w:tab w:val="left" w:pos="360"/>
        </w:tabs>
        <w:spacing w:before="0" w:beforeAutospacing="0" w:after="240" w:afterAutospacing="0"/>
        <w:ind w:left="360"/>
      </w:pPr>
      <w:r w:rsidRPr="002C7AD8">
        <w:t xml:space="preserve">Information of a sensitive </w:t>
      </w:r>
      <w:r w:rsidRPr="00342928">
        <w:t xml:space="preserve">nature </w:t>
      </w:r>
      <w:r>
        <w:t>shall not be</w:t>
      </w:r>
      <w:r w:rsidRPr="00342928">
        <w:t xml:space="preserve"> solici</w:t>
      </w:r>
      <w:r>
        <w:t xml:space="preserve">ted directly from individuals. </w:t>
      </w:r>
      <w:r w:rsidR="00B8048A">
        <w:t xml:space="preserve"> </w:t>
      </w:r>
      <w:r w:rsidRPr="00342928">
        <w:t>The data collection form do</w:t>
      </w:r>
      <w:r>
        <w:t>es</w:t>
      </w:r>
      <w:r w:rsidRPr="00342928">
        <w:t xml:space="preserve"> not record direct identifiers for patients.</w:t>
      </w:r>
      <w:r>
        <w:t xml:space="preserve"> </w:t>
      </w:r>
      <w:r w:rsidR="00B8048A">
        <w:t xml:space="preserve"> </w:t>
      </w:r>
      <w:r>
        <w:t>No PHI or PII is collected.</w:t>
      </w:r>
      <w:r w:rsidRPr="00342928">
        <w:t xml:space="preserve">  DAWN’s data </w:t>
      </w:r>
      <w:r>
        <w:t>abstraction</w:t>
      </w:r>
      <w:r w:rsidRPr="00342928">
        <w:t xml:space="preserve"> procedures involve abstraction of information from existing records</w:t>
      </w:r>
      <w:r w:rsidR="00CF224D">
        <w:t>.</w:t>
      </w:r>
      <w:r w:rsidRPr="00342928">
        <w:t xml:space="preserve"> </w:t>
      </w:r>
      <w:r w:rsidR="00B8048A">
        <w:t xml:space="preserve"> I</w:t>
      </w:r>
      <w:r w:rsidRPr="00342928">
        <w:t xml:space="preserve">nformation contained on DAWN forms </w:t>
      </w:r>
      <w:r>
        <w:t>will be</w:t>
      </w:r>
      <w:r w:rsidRPr="00342928">
        <w:t xml:space="preserve"> a subset </w:t>
      </w:r>
      <w:r w:rsidRPr="002C7AD8">
        <w:t>of the</w:t>
      </w:r>
      <w:r>
        <w:t xml:space="preserve"> information available in</w:t>
      </w:r>
      <w:r w:rsidRPr="00342928">
        <w:t xml:space="preserve"> medical records</w:t>
      </w:r>
      <w:r>
        <w:t xml:space="preserve">. </w:t>
      </w:r>
      <w:r w:rsidR="00B8048A">
        <w:t xml:space="preserve"> </w:t>
      </w:r>
      <w:r>
        <w:t xml:space="preserve">The race and ethnicity questions follow </w:t>
      </w:r>
      <w:r w:rsidR="00F622B9">
        <w:t>the Office of Management and Budget (</w:t>
      </w:r>
      <w:r>
        <w:t>OMB</w:t>
      </w:r>
      <w:r w:rsidR="00F622B9">
        <w:t>)</w:t>
      </w:r>
      <w:r>
        <w:t xml:space="preserve"> </w:t>
      </w:r>
      <w:r w:rsidR="004619FF">
        <w:t>1997 Standards for Maintaining, Collecting, And Presenting Federal Data on Race and Ethnicity (Statistical Policy Directive No. 15).</w:t>
      </w:r>
    </w:p>
    <w:p w:rsidR="006E631D" w:rsidP="006E631D" w14:paraId="10E321D1" w14:textId="7AAD0DEA">
      <w:pPr>
        <w:pStyle w:val="ListParagraph"/>
        <w:numPr>
          <w:ilvl w:val="0"/>
          <w:numId w:val="6"/>
        </w:numPr>
        <w:rPr>
          <w:b/>
          <w:bCs/>
        </w:rPr>
      </w:pPr>
      <w:r>
        <w:rPr>
          <w:b/>
          <w:bCs/>
        </w:rPr>
        <w:t>Estimates of Hour Burden</w:t>
      </w:r>
    </w:p>
    <w:p w:rsidR="006E631D" w:rsidP="00461B7E" w14:paraId="284DB021" w14:textId="77777777">
      <w:pPr>
        <w:pStyle w:val="ListParagraph"/>
        <w:ind w:left="360"/>
        <w:rPr>
          <w:b/>
          <w:bCs/>
        </w:rPr>
      </w:pPr>
    </w:p>
    <w:p w:rsidR="006E631D" w:rsidRPr="00513C33" w:rsidP="00461B7E" w14:paraId="22E8BDB9" w14:textId="77777777">
      <w:pPr>
        <w:pStyle w:val="ListParagraph"/>
        <w:ind w:left="360"/>
      </w:pPr>
      <w:r w:rsidRPr="00513C33">
        <w:t>DAWN participating hospitals do not perform any data collection for DAWN.</w:t>
      </w:r>
      <w:r>
        <w:t xml:space="preserve">  </w:t>
      </w:r>
      <w:r w:rsidRPr="00513C33">
        <w:t xml:space="preserve">Instead, hospitals </w:t>
      </w:r>
      <w:r>
        <w:t xml:space="preserve">select one of the abstraction options to collect DAWN data.  The </w:t>
      </w:r>
      <w:r w:rsidRPr="00513C33">
        <w:t xml:space="preserve">direct chart review option </w:t>
      </w:r>
      <w:r>
        <w:t>provides</w:t>
      </w:r>
      <w:r w:rsidRPr="00513C33">
        <w:t xml:space="preserve"> </w:t>
      </w:r>
      <w:r>
        <w:t xml:space="preserve">abstractors with </w:t>
      </w:r>
      <w:r w:rsidRPr="00513C33">
        <w:t xml:space="preserve">read-only access to </w:t>
      </w:r>
      <w:r>
        <w:t>EHR</w:t>
      </w:r>
      <w:r w:rsidRPr="00513C33">
        <w:t xml:space="preserve"> records </w:t>
      </w:r>
      <w:r>
        <w:t>to</w:t>
      </w:r>
      <w:r w:rsidRPr="00513C33">
        <w:t xml:space="preserve"> review all ED visits </w:t>
      </w:r>
      <w:r>
        <w:t>and</w:t>
      </w:r>
      <w:r w:rsidRPr="00513C33">
        <w:t xml:space="preserve"> identify DAWN cases.</w:t>
      </w:r>
      <w:r>
        <w:t xml:space="preserve">  For the </w:t>
      </w:r>
      <w:r w:rsidRPr="00513C33">
        <w:t xml:space="preserve">direct chart review </w:t>
      </w:r>
      <w:r>
        <w:t>method, the majority of</w:t>
      </w:r>
      <w:r w:rsidRPr="00513C33">
        <w:t xml:space="preserve"> abstractor time </w:t>
      </w:r>
      <w:r>
        <w:t xml:space="preserve">(approximately 90 percent) </w:t>
      </w:r>
      <w:r w:rsidRPr="00513C33">
        <w:t>is spent reviewing ED records that do not meet the DAWN case definition.</w:t>
      </w:r>
      <w:r>
        <w:t xml:space="preserve">  The </w:t>
      </w:r>
      <w:r w:rsidRPr="00513C33">
        <w:t>ML with NLP option will reduce burden of data collection and cost</w:t>
      </w:r>
      <w:r>
        <w:t xml:space="preserve"> and</w:t>
      </w:r>
      <w:r w:rsidRPr="00513C33">
        <w:t xml:space="preserve"> HHS/SAMHSA to enhance timely reporting of data for early warning.</w:t>
      </w:r>
      <w:r>
        <w:t xml:space="preserve">  </w:t>
      </w:r>
      <w:r w:rsidRPr="00513C33">
        <w:t xml:space="preserve">SAMHSA will </w:t>
      </w:r>
      <w:r>
        <w:t>offer the</w:t>
      </w:r>
      <w:r w:rsidRPr="00513C33">
        <w:t xml:space="preserve"> ML with NLP option as the first option to participating hospitals with an objective of all hospital data to be abstracted through ML with NLP</w:t>
      </w:r>
      <w:r>
        <w:t xml:space="preserve"> eventually</w:t>
      </w:r>
      <w:r w:rsidRPr="00513C33">
        <w:t xml:space="preserve">, </w:t>
      </w:r>
      <w:r>
        <w:t>making exceptions for hospitals</w:t>
      </w:r>
      <w:r w:rsidRPr="00513C33">
        <w:t xml:space="preserve"> </w:t>
      </w:r>
      <w:r>
        <w:t xml:space="preserve">lacking </w:t>
      </w:r>
      <w:r w:rsidRPr="00513C33">
        <w:t>infrastructure</w:t>
      </w:r>
      <w:r>
        <w:t xml:space="preserve"> to support the option.</w:t>
      </w:r>
    </w:p>
    <w:p w:rsidR="006E631D" w:rsidRPr="006E631D" w:rsidP="00461B7E" w14:paraId="55C334C7" w14:textId="79D6F328">
      <w:pPr>
        <w:pStyle w:val="ListParagraph"/>
        <w:ind w:left="360"/>
        <w:rPr>
          <w:rFonts w:ascii="TimesNewRomanPSMT" w:hAnsi="TimesNewRomanPSMT" w:cs="TimesNewRomanPSMT"/>
        </w:rPr>
      </w:pPr>
    </w:p>
    <w:p w:rsidR="006E631D" w:rsidP="00461B7E" w14:paraId="47165FC0" w14:textId="463B3985">
      <w:r w:rsidRPr="006E631D">
        <w:rPr>
          <w:rFonts w:eastAsia="Calibri"/>
          <w:color w:val="000000" w:themeColor="text1"/>
        </w:rPr>
        <w:t>Under either data abstraction option, participating</w:t>
      </w:r>
      <w:r>
        <w:t xml:space="preserve"> hospital staff spend t</w:t>
      </w:r>
      <w:r w:rsidRPr="001F3BE4">
        <w:t xml:space="preserve">ime and effort required to set up the provision of </w:t>
      </w:r>
      <w:r>
        <w:t xml:space="preserve">DAWN </w:t>
      </w:r>
      <w:r w:rsidRPr="001F3BE4">
        <w:t>information</w:t>
      </w:r>
      <w:r>
        <w:t xml:space="preserve"> and provide ongoing assistance to maintain the DAWN information collection.  Table A3 details the burden estimate for each activity and Table A4 summarizes the Total Burden Hours.   </w:t>
      </w:r>
    </w:p>
    <w:p w:rsidR="006E631D" w:rsidP="006E631D" w14:paraId="0133B070" w14:textId="77777777">
      <w:pPr>
        <w:pStyle w:val="NormalWeb"/>
        <w:tabs>
          <w:tab w:val="left" w:pos="360"/>
        </w:tabs>
        <w:spacing w:before="0" w:beforeAutospacing="0"/>
        <w:ind w:left="360"/>
        <w:rPr>
          <w:b/>
          <w:bCs/>
        </w:rPr>
      </w:pPr>
    </w:p>
    <w:p w:rsidR="0086451E" w:rsidRPr="00EF2475" w:rsidP="00B3467C" w14:paraId="51E1B920" w14:textId="17158C1D">
      <w:pPr>
        <w:pStyle w:val="BodyText"/>
        <w:spacing w:before="240"/>
        <w:ind w:left="0" w:right="80"/>
        <w:rPr>
          <w:rFonts w:cs="Times New Roman"/>
          <w:b/>
          <w:bCs/>
          <w:spacing w:val="-1"/>
        </w:rPr>
      </w:pPr>
      <w:r w:rsidRPr="00AC26F4">
        <w:rPr>
          <w:b/>
        </w:rPr>
        <w:t xml:space="preserve">Table </w:t>
      </w:r>
      <w:r w:rsidRPr="00AC26F4" w:rsidR="00D7501E">
        <w:rPr>
          <w:b/>
        </w:rPr>
        <w:t>A</w:t>
      </w:r>
      <w:r w:rsidR="00812D8F">
        <w:rPr>
          <w:b/>
        </w:rPr>
        <w:t>3</w:t>
      </w:r>
      <w:r w:rsidRPr="00AC26F4">
        <w:rPr>
          <w:b/>
        </w:rPr>
        <w:t xml:space="preserve">:  </w:t>
      </w:r>
      <w:r w:rsidRPr="00243B79" w:rsidR="00EF2475">
        <w:rPr>
          <w:rFonts w:cs="Times New Roman"/>
          <w:b/>
          <w:bCs/>
        </w:rPr>
        <w:t>Esti</w:t>
      </w:r>
      <w:r w:rsidRPr="00243B79" w:rsidR="00EF2475">
        <w:rPr>
          <w:rFonts w:cs="Times New Roman"/>
          <w:b/>
          <w:bCs/>
          <w:spacing w:val="-2"/>
        </w:rPr>
        <w:t>m</w:t>
      </w:r>
      <w:r w:rsidRPr="00243B79" w:rsidR="00EF2475">
        <w:rPr>
          <w:rFonts w:cs="Times New Roman"/>
          <w:b/>
          <w:bCs/>
        </w:rPr>
        <w:t>ated</w:t>
      </w:r>
      <w:r w:rsidRPr="00243B79" w:rsidR="00EF2475">
        <w:rPr>
          <w:rFonts w:cs="Times New Roman"/>
          <w:b/>
          <w:bCs/>
          <w:spacing w:val="-1"/>
        </w:rPr>
        <w:t xml:space="preserve"> </w:t>
      </w:r>
      <w:r w:rsidRPr="00243B79" w:rsidR="00EF2475">
        <w:rPr>
          <w:rFonts w:cs="Times New Roman"/>
          <w:b/>
          <w:bCs/>
        </w:rPr>
        <w:t>annualized</w:t>
      </w:r>
      <w:r w:rsidRPr="00243B79" w:rsidR="00EF2475">
        <w:rPr>
          <w:rFonts w:cs="Times New Roman"/>
          <w:b/>
          <w:bCs/>
          <w:spacing w:val="-1"/>
        </w:rPr>
        <w:t xml:space="preserve"> </w:t>
      </w:r>
      <w:r w:rsidRPr="00243B79" w:rsidR="00EF2475">
        <w:rPr>
          <w:rFonts w:cs="Times New Roman"/>
          <w:b/>
          <w:bCs/>
        </w:rPr>
        <w:t>burden</w:t>
      </w:r>
      <w:r w:rsidRPr="00243B79" w:rsidR="00EF2475">
        <w:rPr>
          <w:rFonts w:cs="Times New Roman"/>
          <w:b/>
          <w:bCs/>
          <w:spacing w:val="-1"/>
        </w:rPr>
        <w:t xml:space="preserve"> </w:t>
      </w:r>
      <w:r w:rsidRPr="00243B79" w:rsidR="00EF2475">
        <w:rPr>
          <w:rFonts w:cs="Times New Roman"/>
          <w:b/>
          <w:bCs/>
        </w:rPr>
        <w:t>for</w:t>
      </w:r>
      <w:r w:rsidRPr="00243B79" w:rsidR="00EF2475">
        <w:rPr>
          <w:rFonts w:cs="Times New Roman"/>
          <w:b/>
          <w:bCs/>
          <w:spacing w:val="-1"/>
        </w:rPr>
        <w:t xml:space="preserve"> </w:t>
      </w:r>
      <w:r w:rsidRPr="00243B79" w:rsidR="00EF2475">
        <w:rPr>
          <w:rFonts w:cs="Times New Roman"/>
          <w:b/>
          <w:bCs/>
        </w:rPr>
        <w:t>the</w:t>
      </w:r>
      <w:r w:rsidRPr="00243B79" w:rsidR="00EF2475">
        <w:rPr>
          <w:rFonts w:cs="Times New Roman"/>
          <w:b/>
          <w:bCs/>
          <w:spacing w:val="-1"/>
        </w:rPr>
        <w:t xml:space="preserve"> </w:t>
      </w:r>
      <w:r w:rsidR="00EF2475">
        <w:rPr>
          <w:rFonts w:cs="Times New Roman"/>
          <w:b/>
          <w:bCs/>
          <w:spacing w:val="-1"/>
        </w:rPr>
        <w:t xml:space="preserve">DAWN </w:t>
      </w:r>
      <w:r w:rsidRPr="00ED0C36" w:rsidR="00EF2475">
        <w:rPr>
          <w:rFonts w:cs="Times New Roman"/>
          <w:b/>
          <w:bCs/>
        </w:rPr>
        <w:t>2024 - 2026:</w:t>
      </w:r>
    </w:p>
    <w:tbl>
      <w:tblPr>
        <w:tblStyle w:val="TableGrid1"/>
        <w:tblW w:w="10260" w:type="dxa"/>
        <w:tblInd w:w="-5" w:type="dxa"/>
        <w:tblLayout w:type="fixed"/>
        <w:tblLook w:val="01E0"/>
      </w:tblPr>
      <w:tblGrid>
        <w:gridCol w:w="2520"/>
        <w:gridCol w:w="1080"/>
        <w:gridCol w:w="1260"/>
        <w:gridCol w:w="1170"/>
        <w:gridCol w:w="1080"/>
        <w:gridCol w:w="900"/>
        <w:gridCol w:w="990"/>
        <w:gridCol w:w="1260"/>
      </w:tblGrid>
      <w:tr w14:paraId="24AE3FE0" w14:textId="77777777" w:rsidTr="6221A555">
        <w:tblPrEx>
          <w:tblW w:w="10260" w:type="dxa"/>
          <w:tblInd w:w="-5" w:type="dxa"/>
          <w:tblLayout w:type="fixed"/>
          <w:tblLook w:val="01E0"/>
        </w:tblPrEx>
        <w:trPr>
          <w:trHeight w:val="791"/>
        </w:trPr>
        <w:tc>
          <w:tcPr>
            <w:tcW w:w="2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3906" w:rsidRPr="00D700CE" w:rsidP="00277E25" w14:paraId="2641A18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 w:val="22"/>
                <w:szCs w:val="22"/>
              </w:rPr>
            </w:pPr>
            <w:r w:rsidRPr="00D700CE">
              <w:rPr>
                <w:bCs/>
                <w:sz w:val="22"/>
                <w:szCs w:val="22"/>
              </w:rPr>
              <w:t>Information Collection Title</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3906" w:rsidRPr="00D700CE" w:rsidP="00277E25" w14:paraId="3EDDF4F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 w:val="22"/>
                <w:szCs w:val="22"/>
              </w:rPr>
            </w:pPr>
            <w:r w:rsidRPr="00D700CE">
              <w:rPr>
                <w:bCs/>
                <w:sz w:val="22"/>
                <w:szCs w:val="22"/>
              </w:rPr>
              <w:t>Number of Respondents</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3906" w:rsidRPr="00D700CE" w:rsidP="00277E25" w14:paraId="640BCF9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 w:val="22"/>
                <w:szCs w:val="22"/>
              </w:rPr>
            </w:pPr>
            <w:r>
              <w:rPr>
                <w:bCs/>
                <w:sz w:val="22"/>
                <w:szCs w:val="22"/>
              </w:rPr>
              <w:t>Responses per</w:t>
            </w:r>
            <w:r w:rsidRPr="00D700CE">
              <w:rPr>
                <w:bCs/>
                <w:sz w:val="22"/>
                <w:szCs w:val="22"/>
              </w:rPr>
              <w:t xml:space="preserve"> Respon</w:t>
            </w:r>
            <w:r>
              <w:rPr>
                <w:bCs/>
                <w:sz w:val="22"/>
                <w:szCs w:val="22"/>
              </w:rPr>
              <w:t>dent</w:t>
            </w:r>
          </w:p>
        </w:tc>
        <w:tc>
          <w:tcPr>
            <w:tcW w:w="1170" w:type="dxa"/>
            <w:tcBorders>
              <w:top w:val="single" w:sz="4" w:space="0" w:color="auto"/>
              <w:left w:val="single" w:sz="4" w:space="0" w:color="auto"/>
              <w:bottom w:val="single" w:sz="4" w:space="0" w:color="auto"/>
              <w:right w:val="single" w:sz="4" w:space="0" w:color="auto"/>
            </w:tcBorders>
          </w:tcPr>
          <w:p w:rsidR="00053906" w:rsidP="00277E25" w14:paraId="3428590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 w:val="22"/>
                <w:szCs w:val="22"/>
              </w:rPr>
            </w:pPr>
          </w:p>
          <w:p w:rsidR="00053906" w:rsidRPr="00D700CE" w:rsidP="00277E25" w14:paraId="0AED4F9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 w:val="22"/>
                <w:szCs w:val="22"/>
              </w:rPr>
            </w:pPr>
            <w:r>
              <w:rPr>
                <w:bCs/>
                <w:sz w:val="22"/>
                <w:szCs w:val="22"/>
              </w:rPr>
              <w:t>Total Responses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3906" w:rsidRPr="00D700CE" w:rsidP="00277E25" w14:paraId="4D12539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 w:val="22"/>
                <w:szCs w:val="22"/>
              </w:rPr>
            </w:pPr>
            <w:r w:rsidRPr="00D700CE">
              <w:rPr>
                <w:bCs/>
                <w:sz w:val="22"/>
                <w:szCs w:val="22"/>
              </w:rPr>
              <w:t xml:space="preserve">Hours per Response (in hours) </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3906" w:rsidRPr="00D700CE" w:rsidP="00277E25" w14:paraId="531D2FC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 w:val="22"/>
                <w:szCs w:val="22"/>
              </w:rPr>
            </w:pPr>
            <w:r w:rsidRPr="00D700CE">
              <w:rPr>
                <w:bCs/>
                <w:sz w:val="22"/>
                <w:szCs w:val="22"/>
              </w:rPr>
              <w:t>Total Burden Hours</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3906" w:rsidRPr="00D700CE" w:rsidP="00277E25" w14:paraId="21BFBFE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 w:val="22"/>
                <w:szCs w:val="22"/>
              </w:rPr>
            </w:pPr>
            <w:r w:rsidRPr="00D700CE">
              <w:rPr>
                <w:bCs/>
                <w:sz w:val="22"/>
                <w:szCs w:val="22"/>
              </w:rPr>
              <w:t>Average Hourly Wage</w:t>
            </w:r>
            <w:r>
              <w:rPr>
                <w:rStyle w:val="FootnoteReference"/>
                <w:bCs/>
                <w:sz w:val="22"/>
                <w:szCs w:val="22"/>
              </w:rPr>
              <w:footnoteReference w:id="3"/>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3906" w:rsidRPr="00D700CE" w:rsidP="00277E25" w14:paraId="543231D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 w:val="22"/>
                <w:szCs w:val="22"/>
              </w:rPr>
            </w:pPr>
            <w:r w:rsidRPr="00D700CE">
              <w:rPr>
                <w:bCs/>
                <w:sz w:val="22"/>
                <w:szCs w:val="22"/>
              </w:rPr>
              <w:t>Total Annual Cost</w:t>
            </w:r>
          </w:p>
        </w:tc>
      </w:tr>
      <w:tr w14:paraId="3B4A7BBF" w14:textId="77777777" w:rsidTr="6221A555">
        <w:tblPrEx>
          <w:tblW w:w="10260" w:type="dxa"/>
          <w:tblInd w:w="-5" w:type="dxa"/>
          <w:tblLayout w:type="fixed"/>
          <w:tblLook w:val="01E0"/>
        </w:tblPrEx>
        <w:trPr>
          <w:trHeight w:val="288"/>
        </w:trPr>
        <w:tc>
          <w:tcPr>
            <w:tcW w:w="1026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EF2475" w:rsidRPr="00B92855" w:rsidP="00EF2475" w14:paraId="4023DFB8" w14:textId="2F4BBC5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2"/>
                <w:szCs w:val="22"/>
              </w:rPr>
            </w:pPr>
            <w:r w:rsidRPr="00B92855">
              <w:rPr>
                <w:b/>
                <w:bCs/>
                <w:sz w:val="22"/>
                <w:szCs w:val="22"/>
              </w:rPr>
              <w:t>Setting Up Activities*</w:t>
            </w:r>
          </w:p>
        </w:tc>
      </w:tr>
      <w:tr w14:paraId="211735B1" w14:textId="77777777" w:rsidTr="00696C72">
        <w:tblPrEx>
          <w:tblW w:w="10260" w:type="dxa"/>
          <w:tblInd w:w="-5" w:type="dxa"/>
          <w:tblLayout w:type="fixed"/>
          <w:tblLook w:val="01E0"/>
        </w:tblPrEx>
        <w:trPr>
          <w:trHeight w:val="288"/>
        </w:trPr>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2A3696" w:rsidRPr="00B92855" w:rsidP="002A3696" w14:paraId="544BAA8C" w14:textId="761C122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 w:val="22"/>
                <w:szCs w:val="22"/>
              </w:rPr>
            </w:pPr>
            <w:r w:rsidRPr="00B92855">
              <w:rPr>
                <w:bCs/>
                <w:sz w:val="22"/>
                <w:szCs w:val="22"/>
              </w:rPr>
              <w:t>Initial outreach and recruitment</w:t>
            </w:r>
            <w:r>
              <w:rPr>
                <w:bCs/>
                <w:sz w:val="22"/>
                <w:szCs w:val="22"/>
              </w:rPr>
              <w:t xml:space="preserve"> (all hospitals)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2A3696" w:rsidRPr="00B92855" w:rsidP="002A3696" w14:paraId="75DA9DD0" w14:textId="389BB59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sz w:val="22"/>
                <w:szCs w:val="22"/>
              </w:rPr>
            </w:pPr>
            <w:r>
              <w:rPr>
                <w:bCs/>
                <w:sz w:val="22"/>
                <w:szCs w:val="22"/>
              </w:rPr>
              <w:t>143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2A3696" w:rsidRPr="00B92855" w:rsidP="002A3696" w14:paraId="5EE53669" w14:textId="433C1FF5">
            <w:pPr>
              <w:jc w:val="center"/>
              <w:rPr>
                <w:sz w:val="22"/>
                <w:szCs w:val="22"/>
              </w:rPr>
            </w:pPr>
            <w:r w:rsidRPr="00B92855">
              <w:rPr>
                <w:sz w:val="22"/>
                <w:szCs w:val="22"/>
              </w:rPr>
              <w:t>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2A3696" w:rsidRPr="00B92855" w:rsidP="002A3696" w14:paraId="1A65521B" w14:textId="29D6A667">
            <w:pPr>
              <w:jc w:val="center"/>
              <w:rPr>
                <w:sz w:val="22"/>
                <w:szCs w:val="22"/>
              </w:rPr>
            </w:pPr>
            <w:r>
              <w:rPr>
                <w:sz w:val="22"/>
                <w:szCs w:val="22"/>
              </w:rPr>
              <w:t>143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2A3696" w:rsidRPr="00B92855" w:rsidP="002A3696" w14:paraId="3C0BA83B" w14:textId="5201DF64">
            <w:pPr>
              <w:jc w:val="center"/>
              <w:rPr>
                <w:sz w:val="22"/>
                <w:szCs w:val="22"/>
              </w:rPr>
            </w:pPr>
            <w:r>
              <w:rPr>
                <w:sz w:val="22"/>
                <w:szCs w:val="22"/>
              </w:rPr>
              <w:t>81.50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2A3696" w:rsidRPr="00B92855" w:rsidP="002A3696" w14:paraId="2641B1C8" w14:textId="3D6808C6">
            <w:pPr>
              <w:jc w:val="center"/>
              <w:rPr>
                <w:sz w:val="22"/>
                <w:szCs w:val="22"/>
              </w:rPr>
            </w:pPr>
            <w:r>
              <w:rPr>
                <w:sz w:val="22"/>
                <w:szCs w:val="22"/>
              </w:rPr>
              <w:t>11,655</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2A3696" w:rsidRPr="00B92855" w:rsidP="002A3696" w14:paraId="414E1109" w14:textId="11E80D3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Pr>
                <w:sz w:val="22"/>
                <w:szCs w:val="22"/>
              </w:rPr>
              <w:t>$48.72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2A3696" w:rsidRPr="00B92855" w:rsidP="002A3696" w14:paraId="6AF055C4" w14:textId="35F0F2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Pr>
                <w:sz w:val="22"/>
                <w:szCs w:val="22"/>
              </w:rPr>
              <w:t>$567,807</w:t>
            </w:r>
          </w:p>
        </w:tc>
      </w:tr>
      <w:tr w14:paraId="7D55A71F" w14:textId="77777777" w:rsidTr="6221A555">
        <w:tblPrEx>
          <w:tblW w:w="10260" w:type="dxa"/>
          <w:tblInd w:w="-5" w:type="dxa"/>
          <w:tblLayout w:type="fixed"/>
          <w:tblLook w:val="01E0"/>
        </w:tblPrEx>
        <w:trPr>
          <w:trHeight w:val="288"/>
        </w:trPr>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1320DE" w:rsidP="001320DE" w14:paraId="240BFA6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 w:val="22"/>
                <w:szCs w:val="22"/>
              </w:rPr>
            </w:pPr>
            <w:r w:rsidRPr="00B92855">
              <w:rPr>
                <w:bCs/>
                <w:sz w:val="22"/>
                <w:szCs w:val="22"/>
              </w:rPr>
              <w:t>ED record provision setting up</w:t>
            </w:r>
            <w:r>
              <w:rPr>
                <w:bCs/>
                <w:sz w:val="22"/>
                <w:szCs w:val="22"/>
              </w:rPr>
              <w:t xml:space="preserve"> </w:t>
            </w:r>
          </w:p>
          <w:p w:rsidR="001320DE" w:rsidRPr="00B92855" w:rsidP="001320DE" w14:paraId="1FCD9262" w14:textId="558159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 w:val="22"/>
                <w:szCs w:val="22"/>
              </w:rPr>
            </w:pPr>
            <w:r w:rsidRPr="00B92855">
              <w:rPr>
                <w:bCs/>
                <w:sz w:val="22"/>
                <w:szCs w:val="22"/>
              </w:rPr>
              <w:t>(</w:t>
            </w:r>
            <w:r w:rsidRPr="002C5278">
              <w:rPr>
                <w:bCs/>
                <w:sz w:val="22"/>
                <w:szCs w:val="22"/>
              </w:rPr>
              <w:t>direct chart review</w:t>
            </w:r>
            <w:r w:rsidRPr="00B92855">
              <w:rPr>
                <w:bCs/>
                <w:sz w:val="22"/>
                <w:szCs w:val="22"/>
              </w:rPr>
              <w:t>)</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1320DE" w:rsidRPr="000C30E3" w:rsidP="001320DE" w14:paraId="2C7575C5" w14:textId="328BC9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sz w:val="22"/>
                <w:szCs w:val="22"/>
              </w:rPr>
            </w:pPr>
            <w:r w:rsidRPr="000C30E3">
              <w:rPr>
                <w:bCs/>
                <w:sz w:val="22"/>
                <w:szCs w:val="22"/>
              </w:rPr>
              <w:t>58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1320DE" w:rsidRPr="00B92855" w:rsidP="001320DE" w14:paraId="3133DAF0" w14:textId="73D9E4E0">
            <w:pPr>
              <w:jc w:val="center"/>
              <w:rPr>
                <w:sz w:val="22"/>
                <w:szCs w:val="22"/>
              </w:rPr>
            </w:pPr>
            <w:r w:rsidRPr="00B92855">
              <w:rPr>
                <w:sz w:val="22"/>
                <w:szCs w:val="22"/>
              </w:rPr>
              <w:t>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1320DE" w:rsidRPr="00B92855" w:rsidP="001320DE" w14:paraId="2D62F0E5" w14:textId="3D9509B5">
            <w:pPr>
              <w:jc w:val="center"/>
              <w:rPr>
                <w:sz w:val="22"/>
                <w:szCs w:val="22"/>
              </w:rPr>
            </w:pPr>
            <w:r>
              <w:rPr>
                <w:sz w:val="22"/>
                <w:szCs w:val="22"/>
              </w:rPr>
              <w:t>58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1320DE" w:rsidRPr="00B92855" w:rsidP="001320DE" w14:paraId="47C05483" w14:textId="7E5C9500">
            <w:pPr>
              <w:jc w:val="center"/>
              <w:rPr>
                <w:bCs/>
                <w:sz w:val="22"/>
                <w:szCs w:val="22"/>
              </w:rPr>
            </w:pPr>
            <w:r>
              <w:rPr>
                <w:sz w:val="22"/>
                <w:szCs w:val="22"/>
              </w:rPr>
              <w:t>5.25</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1320DE" w:rsidRPr="00B92855" w:rsidP="001320DE" w14:paraId="3876FED5" w14:textId="1A8DA2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Pr>
                <w:sz w:val="22"/>
                <w:szCs w:val="22"/>
              </w:rPr>
              <w:t>305</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1320DE" w:rsidRPr="00B92855" w:rsidP="001320DE" w14:paraId="481AF1AB" w14:textId="6215AA8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Pr>
                <w:sz w:val="22"/>
                <w:szCs w:val="22"/>
              </w:rPr>
              <w:t xml:space="preserve">$26.71 </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1320DE" w:rsidRPr="00B92855" w:rsidP="001320DE" w14:paraId="4CB6011E" w14:textId="135964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Pr>
                <w:sz w:val="22"/>
                <w:szCs w:val="22"/>
              </w:rPr>
              <w:t>$8,133</w:t>
            </w:r>
          </w:p>
        </w:tc>
      </w:tr>
      <w:tr w14:paraId="78F89B9A" w14:textId="77777777" w:rsidTr="6221A555">
        <w:tblPrEx>
          <w:tblW w:w="10260" w:type="dxa"/>
          <w:tblInd w:w="-5" w:type="dxa"/>
          <w:tblLayout w:type="fixed"/>
          <w:tblLook w:val="01E0"/>
        </w:tblPrEx>
        <w:trPr>
          <w:trHeight w:val="288"/>
        </w:trPr>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AF3AFE" w:rsidRPr="00B92855" w:rsidP="00AF3AFE" w14:paraId="634E06F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 w:val="22"/>
                <w:szCs w:val="22"/>
              </w:rPr>
            </w:pPr>
            <w:r w:rsidRPr="00B92855">
              <w:rPr>
                <w:bCs/>
                <w:sz w:val="22"/>
                <w:szCs w:val="22"/>
              </w:rPr>
              <w:t xml:space="preserve">ED record provision setting up </w:t>
            </w:r>
          </w:p>
          <w:p w:rsidR="00AF3AFE" w:rsidRPr="00B92855" w:rsidP="00AF3AFE" w14:paraId="63054075" w14:textId="3E85ED9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 w:val="22"/>
                <w:szCs w:val="22"/>
              </w:rPr>
            </w:pPr>
            <w:r w:rsidRPr="00B92855">
              <w:rPr>
                <w:bCs/>
                <w:sz w:val="22"/>
                <w:szCs w:val="22"/>
              </w:rPr>
              <w:t>(ML with NLP)</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F3AFE" w:rsidRPr="000C30E3" w:rsidP="00AF3AFE" w14:paraId="5B86C076" w14:textId="5CA356B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sz w:val="22"/>
                <w:szCs w:val="22"/>
              </w:rPr>
            </w:pPr>
            <w:r w:rsidRPr="000C30E3">
              <w:rPr>
                <w:sz w:val="22"/>
                <w:szCs w:val="22"/>
              </w:rPr>
              <w:t>85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AF3AFE" w:rsidRPr="00B92855" w:rsidP="00AF3AFE" w14:paraId="5B9267A6" w14:textId="420D6EFE">
            <w:pPr>
              <w:jc w:val="center"/>
              <w:rPr>
                <w:sz w:val="22"/>
                <w:szCs w:val="22"/>
              </w:rPr>
            </w:pPr>
            <w:r w:rsidRPr="00B92855">
              <w:rPr>
                <w:sz w:val="22"/>
                <w:szCs w:val="22"/>
              </w:rPr>
              <w:t>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AF3AFE" w:rsidRPr="00B92855" w:rsidP="00AF3AFE" w14:paraId="1A9F4404" w14:textId="50A3E47D">
            <w:pPr>
              <w:jc w:val="center"/>
              <w:rPr>
                <w:sz w:val="22"/>
                <w:szCs w:val="22"/>
              </w:rPr>
            </w:pPr>
            <w:r>
              <w:rPr>
                <w:sz w:val="22"/>
                <w:szCs w:val="22"/>
              </w:rPr>
              <w:t>85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F3AFE" w:rsidRPr="00B92855" w:rsidP="00AF3AFE" w14:paraId="6B0118D4" w14:textId="1178F06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sz w:val="22"/>
                <w:szCs w:val="22"/>
              </w:rPr>
            </w:pPr>
            <w:r>
              <w:rPr>
                <w:sz w:val="22"/>
                <w:szCs w:val="22"/>
              </w:rPr>
              <w:t>36.00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AF3AFE" w:rsidRPr="00B92855" w:rsidP="00AF3AFE" w14:paraId="242272E1" w14:textId="160456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Pr>
                <w:sz w:val="22"/>
                <w:szCs w:val="22"/>
              </w:rPr>
              <w:t>3,060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AF3AFE" w:rsidRPr="00B92855" w:rsidP="00AF3AFE" w14:paraId="589DF0F0" w14:textId="7A5E6E0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Pr>
                <w:sz w:val="22"/>
                <w:szCs w:val="22"/>
              </w:rPr>
              <w:t xml:space="preserve">$26.71 </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AF3AFE" w:rsidRPr="00B92855" w:rsidP="00AF3AFE" w14:paraId="3E3100CD" w14:textId="63DEBA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Pr>
                <w:sz w:val="22"/>
                <w:szCs w:val="22"/>
              </w:rPr>
              <w:t>$81,733</w:t>
            </w:r>
          </w:p>
        </w:tc>
      </w:tr>
      <w:tr w14:paraId="45866E07" w14:textId="77777777" w:rsidTr="6221A555">
        <w:tblPrEx>
          <w:tblW w:w="10260" w:type="dxa"/>
          <w:tblInd w:w="-5" w:type="dxa"/>
          <w:tblLayout w:type="fixed"/>
          <w:tblLook w:val="01E0"/>
        </w:tblPrEx>
        <w:trPr>
          <w:trHeight w:val="314"/>
        </w:trPr>
        <w:tc>
          <w:tcPr>
            <w:tcW w:w="1026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D72543" w:rsidRPr="00B92855" w:rsidP="00D72543" w14:paraId="63AED74C" w14:textId="375EDE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2"/>
                <w:szCs w:val="22"/>
              </w:rPr>
            </w:pPr>
            <w:r w:rsidRPr="00B92855">
              <w:rPr>
                <w:b/>
                <w:bCs/>
                <w:sz w:val="22"/>
                <w:szCs w:val="22"/>
              </w:rPr>
              <w:t>Ongoing Maintenance Activities</w:t>
            </w:r>
          </w:p>
        </w:tc>
      </w:tr>
      <w:tr w14:paraId="671FBF9B" w14:textId="77777777" w:rsidTr="6221A555">
        <w:tblPrEx>
          <w:tblW w:w="10260" w:type="dxa"/>
          <w:tblInd w:w="-5" w:type="dxa"/>
          <w:tblLayout w:type="fixed"/>
          <w:tblLook w:val="01E0"/>
        </w:tblPrEx>
        <w:trPr>
          <w:trHeight w:val="288"/>
        </w:trPr>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AD67FC" w:rsidRPr="00B92855" w:rsidP="00AD67FC" w14:paraId="309561B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B92855">
              <w:rPr>
                <w:sz w:val="22"/>
                <w:szCs w:val="22"/>
              </w:rPr>
              <w:t>Ongoing Maintenance</w:t>
            </w:r>
          </w:p>
          <w:p w:rsidR="00AD67FC" w:rsidRPr="00B92855" w:rsidP="00AD67FC" w14:paraId="014B7628" w14:textId="54770E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r w:rsidRPr="00B92855">
              <w:rPr>
                <w:sz w:val="22"/>
                <w:szCs w:val="22"/>
              </w:rPr>
              <w:t>(</w:t>
            </w:r>
            <w:r w:rsidRPr="002C5278">
              <w:rPr>
                <w:bCs/>
                <w:sz w:val="22"/>
                <w:szCs w:val="22"/>
              </w:rPr>
              <w:t>direct chart review</w:t>
            </w:r>
            <w:r w:rsidRPr="00B92855">
              <w:rPr>
                <w:sz w:val="22"/>
                <w:szCs w:val="22"/>
              </w:rPr>
              <w:t>)</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D67FC" w:rsidRPr="00B92855" w:rsidP="00AD67FC" w14:paraId="47008B83" w14:textId="3F7B02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sz w:val="22"/>
                <w:szCs w:val="22"/>
              </w:rPr>
            </w:pPr>
            <w:r>
              <w:rPr>
                <w:bCs/>
                <w:sz w:val="22"/>
                <w:szCs w:val="22"/>
              </w:rPr>
              <w:t>58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AD67FC" w:rsidRPr="00B92855" w:rsidP="00AD67FC" w14:paraId="7AF4F628" w14:textId="7257162E">
            <w:pPr>
              <w:jc w:val="center"/>
              <w:rPr>
                <w:sz w:val="22"/>
                <w:szCs w:val="22"/>
              </w:rPr>
            </w:pPr>
            <w:r w:rsidRPr="00B92855">
              <w:rPr>
                <w:sz w:val="22"/>
                <w:szCs w:val="22"/>
              </w:rPr>
              <w:t>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AD67FC" w:rsidRPr="00B92855" w:rsidP="00AD67FC" w14:paraId="22945278" w14:textId="6BC9F143">
            <w:pPr>
              <w:jc w:val="center"/>
              <w:rPr>
                <w:sz w:val="22"/>
                <w:szCs w:val="22"/>
              </w:rPr>
            </w:pPr>
            <w:r>
              <w:rPr>
                <w:sz w:val="22"/>
                <w:szCs w:val="22"/>
              </w:rPr>
              <w:t>58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D67FC" w:rsidRPr="00B92855" w:rsidP="00AD67FC" w14:paraId="2F2C9BD6" w14:textId="624446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z w:val="22"/>
                <w:szCs w:val="22"/>
              </w:rPr>
            </w:pPr>
            <w:r>
              <w:rPr>
                <w:sz w:val="22"/>
                <w:szCs w:val="22"/>
              </w:rPr>
              <w:t>1.50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AD67FC" w:rsidRPr="00B92855" w:rsidP="00AD67FC" w14:paraId="5D633D34" w14:textId="22DA53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Pr>
                <w:sz w:val="22"/>
                <w:szCs w:val="22"/>
              </w:rPr>
              <w:t>87</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AD67FC" w:rsidRPr="00B92855" w:rsidP="00AD67FC" w14:paraId="432FD346" w14:textId="15DD66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Pr>
                <w:sz w:val="22"/>
                <w:szCs w:val="22"/>
              </w:rPr>
              <w:t xml:space="preserve">$26.71 </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AD67FC" w:rsidRPr="0076538F" w:rsidP="00AD67FC" w14:paraId="1CC9070A" w14:textId="16EFCE3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Pr>
                <w:sz w:val="22"/>
                <w:szCs w:val="22"/>
              </w:rPr>
              <w:t>$2,324</w:t>
            </w:r>
          </w:p>
        </w:tc>
      </w:tr>
      <w:tr w14:paraId="5F20163B" w14:textId="77777777" w:rsidTr="6221A555">
        <w:tblPrEx>
          <w:tblW w:w="10260" w:type="dxa"/>
          <w:tblInd w:w="-5" w:type="dxa"/>
          <w:tblLayout w:type="fixed"/>
          <w:tblLook w:val="01E0"/>
        </w:tblPrEx>
        <w:trPr>
          <w:trHeight w:val="288"/>
        </w:trPr>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0C30E3" w:rsidRPr="00B92855" w:rsidP="000C30E3" w14:paraId="36175AD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B92855">
              <w:rPr>
                <w:sz w:val="22"/>
                <w:szCs w:val="22"/>
              </w:rPr>
              <w:t>Ongoing Maintenance</w:t>
            </w:r>
          </w:p>
          <w:p w:rsidR="000C30E3" w:rsidRPr="00B92855" w:rsidP="000C30E3" w14:paraId="2ADEC1DC" w14:textId="5305F5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r w:rsidRPr="00B92855">
              <w:rPr>
                <w:sz w:val="22"/>
                <w:szCs w:val="22"/>
              </w:rPr>
              <w:t>(</w:t>
            </w:r>
            <w:r w:rsidRPr="00B92855">
              <w:rPr>
                <w:bCs/>
                <w:sz w:val="22"/>
                <w:szCs w:val="22"/>
              </w:rPr>
              <w:t>ML with NLP</w:t>
            </w:r>
            <w:r w:rsidRPr="00B92855">
              <w:rPr>
                <w:sz w:val="22"/>
                <w:szCs w:val="22"/>
              </w:rPr>
              <w:t>)</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C30E3" w:rsidRPr="00B92855" w:rsidP="000C30E3" w14:paraId="3EBFE386" w14:textId="15C773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sz w:val="22"/>
                <w:szCs w:val="22"/>
              </w:rPr>
            </w:pPr>
            <w:r>
              <w:rPr>
                <w:bCs/>
                <w:sz w:val="22"/>
                <w:szCs w:val="22"/>
              </w:rPr>
              <w:t>85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0C30E3" w:rsidRPr="00B92855" w:rsidP="000C30E3" w14:paraId="628853E9" w14:textId="11FACE50">
            <w:pPr>
              <w:jc w:val="center"/>
              <w:rPr>
                <w:sz w:val="22"/>
                <w:szCs w:val="22"/>
              </w:rPr>
            </w:pPr>
            <w:r w:rsidRPr="00B92855">
              <w:rPr>
                <w:sz w:val="22"/>
                <w:szCs w:val="22"/>
              </w:rPr>
              <w:t>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0C30E3" w:rsidRPr="00B92855" w:rsidP="000C30E3" w14:paraId="2307EF62" w14:textId="1B668A96">
            <w:pPr>
              <w:jc w:val="center"/>
              <w:rPr>
                <w:sz w:val="22"/>
                <w:szCs w:val="22"/>
              </w:rPr>
            </w:pPr>
            <w:r>
              <w:rPr>
                <w:sz w:val="22"/>
                <w:szCs w:val="22"/>
              </w:rPr>
              <w:t>85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C30E3" w:rsidRPr="00B92855" w:rsidP="000C30E3" w14:paraId="02773EFF" w14:textId="5D5C2B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z w:val="22"/>
                <w:szCs w:val="22"/>
              </w:rPr>
            </w:pPr>
            <w:r>
              <w:rPr>
                <w:sz w:val="22"/>
                <w:szCs w:val="22"/>
              </w:rPr>
              <w:t>6.00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C30E3" w:rsidRPr="00B92855" w:rsidP="000C30E3" w14:paraId="33B87F8C" w14:textId="19C451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Pr>
                <w:sz w:val="22"/>
                <w:szCs w:val="22"/>
              </w:rPr>
              <w:t>510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0C30E3" w:rsidRPr="00B92855" w:rsidP="000C30E3" w14:paraId="4801FF91" w14:textId="23926E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Pr>
                <w:sz w:val="22"/>
                <w:szCs w:val="22"/>
              </w:rPr>
              <w:t xml:space="preserve">$26.71 </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0C30E3" w:rsidRPr="0076538F" w:rsidP="000C30E3" w14:paraId="0FB64920" w14:textId="12A62E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Pr>
                <w:sz w:val="22"/>
                <w:szCs w:val="22"/>
              </w:rPr>
              <w:t>$13,622</w:t>
            </w:r>
          </w:p>
        </w:tc>
      </w:tr>
      <w:tr w14:paraId="25E196E5" w14:textId="77777777" w:rsidTr="6221A555">
        <w:tblPrEx>
          <w:tblW w:w="10260" w:type="dxa"/>
          <w:tblInd w:w="-5" w:type="dxa"/>
          <w:tblLayout w:type="fixed"/>
          <w:tblLook w:val="01E0"/>
        </w:tblPrEx>
        <w:trPr>
          <w:trHeight w:val="288"/>
        </w:trPr>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EF2475" w:rsidRPr="0076538F" w:rsidP="00EF2475" w14:paraId="7162362D" w14:textId="0C7DBE2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r w:rsidRPr="0076538F">
              <w:rPr>
                <w:b/>
                <w:bCs/>
                <w:sz w:val="22"/>
                <w:szCs w:val="22"/>
              </w:rPr>
              <w:t>Totals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EF2475" w:rsidRPr="0076538F" w:rsidP="00EF2475" w14:paraId="5FC555F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z w:val="22"/>
                <w:szCs w:val="22"/>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EF2475" w:rsidRPr="0076538F" w:rsidP="00EF2475" w14:paraId="307F6A5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EF2475" w:rsidRPr="00FC5621" w:rsidP="00EF2475" w14:paraId="231FCA13" w14:textId="28FBB277">
            <w:pPr>
              <w:jc w:val="center"/>
              <w:rPr>
                <w:rFonts w:ascii="Calibri" w:hAnsi="Calibri" w:cs="Calibri"/>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EF2475" w:rsidRPr="0076538F" w:rsidP="00EF2475" w14:paraId="15980A6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z w:val="22"/>
                <w:szCs w:val="22"/>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EF2475" w:rsidRPr="005A7CCF" w:rsidP="000D028F" w14:paraId="04D3E08C" w14:textId="1D2F5C53">
            <w:pPr>
              <w:jc w:val="center"/>
              <w:rPr>
                <w:b/>
                <w:bCs/>
                <w:sz w:val="22"/>
                <w:szCs w:val="22"/>
              </w:rPr>
            </w:pPr>
            <w:r>
              <w:rPr>
                <w:b/>
                <w:bCs/>
                <w:sz w:val="22"/>
                <w:szCs w:val="22"/>
              </w:rPr>
              <w:t>15,616</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EF2475" w:rsidRPr="0076538F" w:rsidP="00EF2475" w14:paraId="4F5A072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EF2475" w:rsidRPr="005A7CCF" w:rsidP="000C078B" w14:paraId="4BD0D754" w14:textId="46551612">
            <w:pPr>
              <w:jc w:val="center"/>
              <w:rPr>
                <w:b/>
                <w:bCs/>
                <w:sz w:val="22"/>
                <w:szCs w:val="22"/>
              </w:rPr>
            </w:pPr>
            <w:r>
              <w:rPr>
                <w:b/>
                <w:bCs/>
                <w:sz w:val="22"/>
                <w:szCs w:val="22"/>
              </w:rPr>
              <w:t>$673,619</w:t>
            </w:r>
          </w:p>
        </w:tc>
      </w:tr>
    </w:tbl>
    <w:p w:rsidR="00B14963" w:rsidP="004D4184" w14:paraId="5CE9A487" w14:textId="77777777">
      <w:pPr>
        <w:pStyle w:val="NormalWeb"/>
        <w:spacing w:before="0" w:beforeAutospacing="0" w:after="0" w:afterAutospacing="0"/>
      </w:pPr>
    </w:p>
    <w:p w:rsidR="00D71401" w:rsidP="00D71401" w14:paraId="405E709B" w14:textId="3981DEEA">
      <w:r w:rsidRPr="004678EB">
        <w:rPr>
          <w:rFonts w:cstheme="minorBidi"/>
          <w:b/>
        </w:rPr>
        <w:t xml:space="preserve">Table A4: </w:t>
      </w:r>
      <w:r w:rsidRPr="004678EB" w:rsidR="00CD7B5C">
        <w:rPr>
          <w:rFonts w:cstheme="minorBidi"/>
          <w:b/>
        </w:rPr>
        <w:t xml:space="preserve">Proportional </w:t>
      </w:r>
      <w:r w:rsidR="00696C72">
        <w:rPr>
          <w:rFonts w:cstheme="minorBidi"/>
          <w:b/>
        </w:rPr>
        <w:t xml:space="preserve">burden hours per response </w:t>
      </w:r>
    </w:p>
    <w:p w:rsidR="00D71401" w:rsidP="00D71401" w14:paraId="0212CF8A" w14:textId="77777777"/>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658"/>
        <w:gridCol w:w="1663"/>
        <w:gridCol w:w="1663"/>
        <w:gridCol w:w="1632"/>
        <w:gridCol w:w="1817"/>
        <w:gridCol w:w="1372"/>
      </w:tblGrid>
      <w:tr w14:paraId="4C21B9E3" w14:textId="77777777" w:rsidTr="00A07FC1">
        <w:tblPrEx>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cantSplit/>
          <w:trHeight w:val="432"/>
        </w:trPr>
        <w:tc>
          <w:tcPr>
            <w:tcW w:w="1658" w:type="dxa"/>
            <w:shd w:val="clear" w:color="auto" w:fill="auto"/>
            <w:tcMar>
              <w:top w:w="15" w:type="dxa"/>
              <w:left w:w="15" w:type="dxa"/>
              <w:bottom w:w="0" w:type="dxa"/>
              <w:right w:w="15" w:type="dxa"/>
            </w:tcMar>
            <w:vAlign w:val="center"/>
            <w:hideMark/>
          </w:tcPr>
          <w:p w:rsidR="009E5093" w:rsidRPr="004678EB" w14:paraId="29AD9307" w14:textId="77777777">
            <w:pPr>
              <w:jc w:val="center"/>
              <w:rPr>
                <w:b/>
                <w:bCs/>
                <w:color w:val="000000"/>
                <w:sz w:val="22"/>
                <w:szCs w:val="22"/>
              </w:rPr>
            </w:pPr>
            <w:r w:rsidRPr="004678EB">
              <w:rPr>
                <w:b/>
                <w:bCs/>
                <w:color w:val="000000"/>
                <w:sz w:val="22"/>
                <w:szCs w:val="22"/>
              </w:rPr>
              <w:t>SAMHSA Tool</w:t>
            </w:r>
          </w:p>
        </w:tc>
        <w:tc>
          <w:tcPr>
            <w:tcW w:w="1663" w:type="dxa"/>
            <w:shd w:val="clear" w:color="auto" w:fill="auto"/>
            <w:tcMar>
              <w:top w:w="15" w:type="dxa"/>
              <w:left w:w="15" w:type="dxa"/>
              <w:bottom w:w="0" w:type="dxa"/>
              <w:right w:w="15" w:type="dxa"/>
            </w:tcMar>
            <w:vAlign w:val="center"/>
            <w:hideMark/>
          </w:tcPr>
          <w:p w:rsidR="009E5093" w:rsidRPr="004678EB" w:rsidP="004678EB" w14:paraId="02EE340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bCs/>
                <w:sz w:val="22"/>
                <w:szCs w:val="22"/>
              </w:rPr>
            </w:pPr>
            <w:r w:rsidRPr="004678EB">
              <w:rPr>
                <w:bCs/>
                <w:sz w:val="22"/>
                <w:szCs w:val="22"/>
              </w:rPr>
              <w:t>Number of Respondents</w:t>
            </w:r>
          </w:p>
        </w:tc>
        <w:tc>
          <w:tcPr>
            <w:tcW w:w="1663" w:type="dxa"/>
            <w:shd w:val="clear" w:color="auto" w:fill="auto"/>
            <w:tcMar>
              <w:top w:w="15" w:type="dxa"/>
              <w:left w:w="15" w:type="dxa"/>
              <w:bottom w:w="0" w:type="dxa"/>
              <w:right w:w="15" w:type="dxa"/>
            </w:tcMar>
            <w:vAlign w:val="center"/>
            <w:hideMark/>
          </w:tcPr>
          <w:p w:rsidR="009E5093" w:rsidRPr="004678EB" w:rsidP="004678EB" w14:paraId="074FE5F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bCs/>
                <w:sz w:val="22"/>
                <w:szCs w:val="22"/>
              </w:rPr>
            </w:pPr>
            <w:r w:rsidRPr="004678EB">
              <w:rPr>
                <w:bCs/>
                <w:sz w:val="22"/>
                <w:szCs w:val="22"/>
              </w:rPr>
              <w:t>Responses per Respondent</w:t>
            </w:r>
          </w:p>
        </w:tc>
        <w:tc>
          <w:tcPr>
            <w:tcW w:w="1632" w:type="dxa"/>
            <w:shd w:val="clear" w:color="auto" w:fill="auto"/>
            <w:tcMar>
              <w:top w:w="15" w:type="dxa"/>
              <w:left w:w="15" w:type="dxa"/>
              <w:bottom w:w="0" w:type="dxa"/>
              <w:right w:w="15" w:type="dxa"/>
            </w:tcMar>
            <w:vAlign w:val="center"/>
            <w:hideMark/>
          </w:tcPr>
          <w:p w:rsidR="009E5093" w:rsidRPr="004678EB" w:rsidP="004678EB" w14:paraId="1F36D9C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bCs/>
                <w:sz w:val="22"/>
                <w:szCs w:val="22"/>
              </w:rPr>
            </w:pPr>
            <w:r w:rsidRPr="004678EB">
              <w:rPr>
                <w:bCs/>
                <w:sz w:val="22"/>
                <w:szCs w:val="22"/>
              </w:rPr>
              <w:t>Total Number of Responses</w:t>
            </w:r>
          </w:p>
        </w:tc>
        <w:tc>
          <w:tcPr>
            <w:tcW w:w="1817" w:type="dxa"/>
            <w:shd w:val="clear" w:color="auto" w:fill="auto"/>
            <w:tcMar>
              <w:top w:w="15" w:type="dxa"/>
              <w:left w:w="15" w:type="dxa"/>
              <w:bottom w:w="0" w:type="dxa"/>
              <w:right w:w="15" w:type="dxa"/>
            </w:tcMar>
            <w:vAlign w:val="center"/>
            <w:hideMark/>
          </w:tcPr>
          <w:p w:rsidR="009E5093" w:rsidRPr="004678EB" w:rsidP="004678EB" w14:paraId="164D80F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bCs/>
                <w:sz w:val="22"/>
                <w:szCs w:val="22"/>
              </w:rPr>
            </w:pPr>
            <w:r w:rsidRPr="004678EB">
              <w:rPr>
                <w:bCs/>
                <w:sz w:val="22"/>
                <w:szCs w:val="22"/>
              </w:rPr>
              <w:t>Burden Hours per Response</w:t>
            </w:r>
          </w:p>
        </w:tc>
        <w:tc>
          <w:tcPr>
            <w:tcW w:w="1372" w:type="dxa"/>
            <w:shd w:val="clear" w:color="auto" w:fill="auto"/>
            <w:tcMar>
              <w:top w:w="15" w:type="dxa"/>
              <w:left w:w="15" w:type="dxa"/>
              <w:bottom w:w="0" w:type="dxa"/>
              <w:right w:w="15" w:type="dxa"/>
            </w:tcMar>
            <w:vAlign w:val="center"/>
            <w:hideMark/>
          </w:tcPr>
          <w:p w:rsidR="009E5093" w:rsidRPr="004678EB" w:rsidP="004678EB" w14:paraId="3659AB4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bCs/>
                <w:sz w:val="22"/>
                <w:szCs w:val="22"/>
              </w:rPr>
            </w:pPr>
            <w:r w:rsidRPr="004678EB">
              <w:rPr>
                <w:bCs/>
                <w:sz w:val="22"/>
                <w:szCs w:val="22"/>
              </w:rPr>
              <w:t>Total Burden Hours</w:t>
            </w:r>
          </w:p>
        </w:tc>
      </w:tr>
      <w:tr w14:paraId="630FB156" w14:textId="77777777" w:rsidTr="00A07FC1">
        <w:tblPrEx>
          <w:tblW w:w="9805" w:type="dxa"/>
          <w:tblCellMar>
            <w:left w:w="0" w:type="dxa"/>
            <w:right w:w="0" w:type="dxa"/>
          </w:tblCellMar>
          <w:tblLook w:val="04A0"/>
        </w:tblPrEx>
        <w:trPr>
          <w:trHeight w:val="432"/>
        </w:trPr>
        <w:tc>
          <w:tcPr>
            <w:tcW w:w="1658" w:type="dxa"/>
            <w:shd w:val="clear" w:color="auto" w:fill="auto"/>
            <w:tcMar>
              <w:top w:w="15" w:type="dxa"/>
              <w:left w:w="15" w:type="dxa"/>
              <w:bottom w:w="0" w:type="dxa"/>
              <w:right w:w="15" w:type="dxa"/>
            </w:tcMar>
            <w:vAlign w:val="center"/>
            <w:hideMark/>
          </w:tcPr>
          <w:p w:rsidR="009E5093" w:rsidRPr="004678EB" w:rsidP="004678EB" w14:paraId="44E51148" w14:textId="77777777">
            <w:pPr>
              <w:widowControl w:val="0"/>
              <w:tabs>
                <w:tab w:val="left" w:pos="1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
              <w:rPr>
                <w:color w:val="000000"/>
                <w:sz w:val="22"/>
                <w:szCs w:val="22"/>
              </w:rPr>
            </w:pPr>
            <w:r w:rsidRPr="004678EB">
              <w:rPr>
                <w:color w:val="000000"/>
                <w:sz w:val="22"/>
                <w:szCs w:val="22"/>
              </w:rPr>
              <w:t xml:space="preserve">DAWN Case Report Form  </w:t>
            </w:r>
          </w:p>
        </w:tc>
        <w:tc>
          <w:tcPr>
            <w:tcW w:w="1663" w:type="dxa"/>
            <w:shd w:val="clear" w:color="auto" w:fill="auto"/>
            <w:tcMar>
              <w:top w:w="15" w:type="dxa"/>
              <w:left w:w="15" w:type="dxa"/>
              <w:bottom w:w="0" w:type="dxa"/>
              <w:right w:w="15" w:type="dxa"/>
            </w:tcMar>
            <w:vAlign w:val="center"/>
            <w:hideMark/>
          </w:tcPr>
          <w:p w:rsidR="009E5093" w:rsidRPr="004678EB" w:rsidP="00E901E0" w14:paraId="22D4CC80" w14:textId="77777777">
            <w:pPr>
              <w:jc w:val="center"/>
              <w:rPr>
                <w:color w:val="000000"/>
                <w:sz w:val="22"/>
                <w:szCs w:val="22"/>
              </w:rPr>
            </w:pPr>
            <w:r w:rsidRPr="004678EB">
              <w:rPr>
                <w:color w:val="000000"/>
                <w:sz w:val="22"/>
                <w:szCs w:val="22"/>
              </w:rPr>
              <w:t>143</w:t>
            </w:r>
          </w:p>
        </w:tc>
        <w:tc>
          <w:tcPr>
            <w:tcW w:w="1663" w:type="dxa"/>
            <w:shd w:val="clear" w:color="auto" w:fill="auto"/>
            <w:tcMar>
              <w:top w:w="15" w:type="dxa"/>
              <w:left w:w="15" w:type="dxa"/>
              <w:bottom w:w="0" w:type="dxa"/>
              <w:right w:w="15" w:type="dxa"/>
            </w:tcMar>
            <w:vAlign w:val="center"/>
            <w:hideMark/>
          </w:tcPr>
          <w:p w:rsidR="009E5093" w:rsidRPr="004678EB" w:rsidP="00E901E0" w14:paraId="58B62011" w14:textId="77777777">
            <w:pPr>
              <w:jc w:val="center"/>
              <w:rPr>
                <w:color w:val="000000"/>
                <w:sz w:val="22"/>
                <w:szCs w:val="22"/>
              </w:rPr>
            </w:pPr>
            <w:r w:rsidRPr="004678EB">
              <w:rPr>
                <w:color w:val="000000"/>
                <w:sz w:val="22"/>
                <w:szCs w:val="22"/>
              </w:rPr>
              <w:t>1</w:t>
            </w:r>
          </w:p>
        </w:tc>
        <w:tc>
          <w:tcPr>
            <w:tcW w:w="1632" w:type="dxa"/>
            <w:shd w:val="clear" w:color="auto" w:fill="auto"/>
            <w:tcMar>
              <w:top w:w="15" w:type="dxa"/>
              <w:left w:w="15" w:type="dxa"/>
              <w:bottom w:w="0" w:type="dxa"/>
              <w:right w:w="15" w:type="dxa"/>
            </w:tcMar>
            <w:vAlign w:val="center"/>
            <w:hideMark/>
          </w:tcPr>
          <w:p w:rsidR="009E5093" w:rsidRPr="004678EB" w:rsidP="00E901E0" w14:paraId="5DF916A6" w14:textId="77777777">
            <w:pPr>
              <w:jc w:val="center"/>
              <w:rPr>
                <w:color w:val="000000"/>
                <w:sz w:val="22"/>
                <w:szCs w:val="22"/>
              </w:rPr>
            </w:pPr>
            <w:r w:rsidRPr="004678EB">
              <w:rPr>
                <w:color w:val="000000"/>
                <w:sz w:val="22"/>
                <w:szCs w:val="22"/>
              </w:rPr>
              <w:t>143</w:t>
            </w:r>
          </w:p>
        </w:tc>
        <w:tc>
          <w:tcPr>
            <w:tcW w:w="1817" w:type="dxa"/>
            <w:shd w:val="clear" w:color="auto" w:fill="auto"/>
            <w:tcMar>
              <w:top w:w="15" w:type="dxa"/>
              <w:left w:w="15" w:type="dxa"/>
              <w:bottom w:w="0" w:type="dxa"/>
              <w:right w:w="15" w:type="dxa"/>
            </w:tcMar>
            <w:vAlign w:val="center"/>
            <w:hideMark/>
          </w:tcPr>
          <w:p w:rsidR="009E5093" w:rsidRPr="00E901E0" w:rsidP="00E901E0" w14:paraId="37E6BC6A" w14:textId="0D4C3D38">
            <w:pPr>
              <w:jc w:val="center"/>
              <w:rPr>
                <w:color w:val="000000"/>
                <w:sz w:val="22"/>
                <w:szCs w:val="22"/>
              </w:rPr>
            </w:pPr>
            <w:r w:rsidRPr="00E901E0">
              <w:rPr>
                <w:color w:val="000000"/>
                <w:sz w:val="22"/>
                <w:szCs w:val="22"/>
              </w:rPr>
              <w:t>81.5</w:t>
            </w:r>
          </w:p>
        </w:tc>
        <w:tc>
          <w:tcPr>
            <w:tcW w:w="1372" w:type="dxa"/>
            <w:shd w:val="clear" w:color="auto" w:fill="auto"/>
            <w:tcMar>
              <w:top w:w="15" w:type="dxa"/>
              <w:left w:w="15" w:type="dxa"/>
              <w:bottom w:w="0" w:type="dxa"/>
              <w:right w:w="15" w:type="dxa"/>
            </w:tcMar>
            <w:vAlign w:val="center"/>
            <w:hideMark/>
          </w:tcPr>
          <w:p w:rsidR="009E5093" w:rsidRPr="00E901E0" w:rsidP="00E901E0" w14:paraId="29D70DBE" w14:textId="4FDF8D10">
            <w:pPr>
              <w:jc w:val="center"/>
              <w:rPr>
                <w:color w:val="000000"/>
                <w:sz w:val="22"/>
                <w:szCs w:val="22"/>
              </w:rPr>
            </w:pPr>
            <w:r w:rsidRPr="00E901E0">
              <w:rPr>
                <w:color w:val="000000"/>
                <w:sz w:val="22"/>
                <w:szCs w:val="22"/>
              </w:rPr>
              <w:t>11,655</w:t>
            </w:r>
          </w:p>
        </w:tc>
      </w:tr>
      <w:tr w14:paraId="5484F666" w14:textId="77777777" w:rsidTr="00A07FC1">
        <w:tblPrEx>
          <w:tblW w:w="9805" w:type="dxa"/>
          <w:tblCellMar>
            <w:left w:w="0" w:type="dxa"/>
            <w:right w:w="0" w:type="dxa"/>
          </w:tblCellMar>
          <w:tblLook w:val="04A0"/>
        </w:tblPrEx>
        <w:trPr>
          <w:trHeight w:val="432"/>
        </w:trPr>
        <w:tc>
          <w:tcPr>
            <w:tcW w:w="1658" w:type="dxa"/>
            <w:shd w:val="clear" w:color="000000" w:fill="FFFFFF"/>
            <w:tcMar>
              <w:top w:w="15" w:type="dxa"/>
              <w:left w:w="15" w:type="dxa"/>
              <w:bottom w:w="0" w:type="dxa"/>
              <w:right w:w="15" w:type="dxa"/>
            </w:tcMar>
            <w:vAlign w:val="center"/>
            <w:hideMark/>
          </w:tcPr>
          <w:p w:rsidR="009E5093" w:rsidRPr="004678EB" w:rsidP="004678EB" w14:paraId="3A1A80ED" w14:textId="77777777">
            <w:pPr>
              <w:widowControl w:val="0"/>
              <w:tabs>
                <w:tab w:val="left" w:pos="1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
              <w:rPr>
                <w:color w:val="000000"/>
                <w:sz w:val="22"/>
                <w:szCs w:val="22"/>
              </w:rPr>
            </w:pPr>
            <w:r w:rsidRPr="004678EB">
              <w:rPr>
                <w:color w:val="000000"/>
                <w:sz w:val="22"/>
                <w:szCs w:val="22"/>
              </w:rPr>
              <w:t>DAWN Activity Report Form</w:t>
            </w:r>
          </w:p>
        </w:tc>
        <w:tc>
          <w:tcPr>
            <w:tcW w:w="1663" w:type="dxa"/>
            <w:shd w:val="clear" w:color="000000" w:fill="FFFFFF"/>
            <w:tcMar>
              <w:top w:w="15" w:type="dxa"/>
              <w:left w:w="15" w:type="dxa"/>
              <w:bottom w:w="0" w:type="dxa"/>
              <w:right w:w="15" w:type="dxa"/>
            </w:tcMar>
            <w:vAlign w:val="center"/>
            <w:hideMark/>
          </w:tcPr>
          <w:p w:rsidR="009E5093" w:rsidRPr="004678EB" w:rsidP="00E901E0" w14:paraId="25D0DCAA" w14:textId="77777777">
            <w:pPr>
              <w:jc w:val="center"/>
              <w:rPr>
                <w:color w:val="000000"/>
                <w:sz w:val="22"/>
                <w:szCs w:val="22"/>
              </w:rPr>
            </w:pPr>
            <w:r w:rsidRPr="004678EB">
              <w:rPr>
                <w:color w:val="000000"/>
                <w:sz w:val="22"/>
                <w:szCs w:val="22"/>
              </w:rPr>
              <w:t>143</w:t>
            </w:r>
          </w:p>
        </w:tc>
        <w:tc>
          <w:tcPr>
            <w:tcW w:w="1663" w:type="dxa"/>
            <w:shd w:val="clear" w:color="000000" w:fill="FFFFFF"/>
            <w:tcMar>
              <w:top w:w="15" w:type="dxa"/>
              <w:left w:w="15" w:type="dxa"/>
              <w:bottom w:w="0" w:type="dxa"/>
              <w:right w:w="15" w:type="dxa"/>
            </w:tcMar>
            <w:vAlign w:val="center"/>
            <w:hideMark/>
          </w:tcPr>
          <w:p w:rsidR="009E5093" w:rsidRPr="004678EB" w:rsidP="00E901E0" w14:paraId="58AE340F" w14:textId="77777777">
            <w:pPr>
              <w:jc w:val="center"/>
              <w:rPr>
                <w:color w:val="000000"/>
                <w:sz w:val="22"/>
                <w:szCs w:val="22"/>
              </w:rPr>
            </w:pPr>
            <w:r w:rsidRPr="004678EB">
              <w:rPr>
                <w:color w:val="000000"/>
                <w:sz w:val="22"/>
                <w:szCs w:val="22"/>
              </w:rPr>
              <w:t>1</w:t>
            </w:r>
          </w:p>
        </w:tc>
        <w:tc>
          <w:tcPr>
            <w:tcW w:w="1632" w:type="dxa"/>
            <w:shd w:val="clear" w:color="000000" w:fill="FFFFFF"/>
            <w:tcMar>
              <w:top w:w="15" w:type="dxa"/>
              <w:left w:w="15" w:type="dxa"/>
              <w:bottom w:w="0" w:type="dxa"/>
              <w:right w:w="15" w:type="dxa"/>
            </w:tcMar>
            <w:vAlign w:val="center"/>
            <w:hideMark/>
          </w:tcPr>
          <w:p w:rsidR="009E5093" w:rsidRPr="004678EB" w:rsidP="00E901E0" w14:paraId="2E0FF62C" w14:textId="77777777">
            <w:pPr>
              <w:jc w:val="center"/>
              <w:rPr>
                <w:color w:val="000000"/>
                <w:sz w:val="22"/>
                <w:szCs w:val="22"/>
              </w:rPr>
            </w:pPr>
            <w:r w:rsidRPr="004678EB">
              <w:rPr>
                <w:color w:val="000000"/>
                <w:sz w:val="22"/>
                <w:szCs w:val="22"/>
              </w:rPr>
              <w:t>143</w:t>
            </w:r>
          </w:p>
        </w:tc>
        <w:tc>
          <w:tcPr>
            <w:tcW w:w="1817" w:type="dxa"/>
            <w:shd w:val="clear" w:color="auto" w:fill="auto"/>
            <w:tcMar>
              <w:top w:w="15" w:type="dxa"/>
              <w:left w:w="15" w:type="dxa"/>
              <w:bottom w:w="0" w:type="dxa"/>
              <w:right w:w="15" w:type="dxa"/>
            </w:tcMar>
            <w:vAlign w:val="center"/>
            <w:hideMark/>
          </w:tcPr>
          <w:p w:rsidR="009E5093" w:rsidRPr="00E901E0" w:rsidP="00E901E0" w14:paraId="3563BDD7" w14:textId="10A6020F">
            <w:pPr>
              <w:jc w:val="center"/>
              <w:rPr>
                <w:color w:val="000000"/>
                <w:sz w:val="22"/>
                <w:szCs w:val="22"/>
              </w:rPr>
            </w:pPr>
            <w:r w:rsidRPr="00E901E0">
              <w:rPr>
                <w:color w:val="000000"/>
                <w:sz w:val="22"/>
                <w:szCs w:val="22"/>
              </w:rPr>
              <w:t>27.7</w:t>
            </w:r>
          </w:p>
        </w:tc>
        <w:tc>
          <w:tcPr>
            <w:tcW w:w="1372" w:type="dxa"/>
            <w:shd w:val="clear" w:color="auto" w:fill="auto"/>
            <w:tcMar>
              <w:top w:w="15" w:type="dxa"/>
              <w:left w:w="15" w:type="dxa"/>
              <w:bottom w:w="0" w:type="dxa"/>
              <w:right w:w="15" w:type="dxa"/>
            </w:tcMar>
            <w:vAlign w:val="center"/>
            <w:hideMark/>
          </w:tcPr>
          <w:p w:rsidR="009E5093" w:rsidRPr="00E901E0" w:rsidP="00E901E0" w14:paraId="4E76C25D" w14:textId="09EC7777">
            <w:pPr>
              <w:jc w:val="center"/>
              <w:rPr>
                <w:color w:val="000000"/>
                <w:sz w:val="22"/>
                <w:szCs w:val="22"/>
              </w:rPr>
            </w:pPr>
            <w:r w:rsidRPr="00E901E0">
              <w:rPr>
                <w:color w:val="000000"/>
                <w:sz w:val="22"/>
                <w:szCs w:val="22"/>
              </w:rPr>
              <w:t>3,961</w:t>
            </w:r>
          </w:p>
        </w:tc>
      </w:tr>
      <w:tr w14:paraId="6A1B409A" w14:textId="77777777" w:rsidTr="00A07FC1">
        <w:tblPrEx>
          <w:tblW w:w="9805" w:type="dxa"/>
          <w:tblCellMar>
            <w:left w:w="0" w:type="dxa"/>
            <w:right w:w="0" w:type="dxa"/>
          </w:tblCellMar>
          <w:tblLook w:val="04A0"/>
        </w:tblPrEx>
        <w:trPr>
          <w:trHeight w:val="432"/>
        </w:trPr>
        <w:tc>
          <w:tcPr>
            <w:tcW w:w="1658" w:type="dxa"/>
            <w:shd w:val="clear" w:color="000000" w:fill="FFFFFF"/>
            <w:tcMar>
              <w:top w:w="15" w:type="dxa"/>
              <w:left w:w="15" w:type="dxa"/>
              <w:bottom w:w="0" w:type="dxa"/>
              <w:right w:w="15" w:type="dxa"/>
            </w:tcMar>
            <w:vAlign w:val="center"/>
          </w:tcPr>
          <w:p w:rsidR="009E5093" w:rsidRPr="00B14963" w:rsidP="00B14963" w14:paraId="0A31F18B" w14:textId="23DE1EFF">
            <w:pPr>
              <w:jc w:val="center"/>
              <w:rPr>
                <w:color w:val="000000"/>
                <w:sz w:val="22"/>
                <w:szCs w:val="22"/>
              </w:rPr>
            </w:pPr>
            <w:r w:rsidRPr="0076538F">
              <w:rPr>
                <w:b/>
                <w:bCs/>
                <w:sz w:val="22"/>
                <w:szCs w:val="22"/>
              </w:rPr>
              <w:t>Totals</w:t>
            </w:r>
          </w:p>
        </w:tc>
        <w:tc>
          <w:tcPr>
            <w:tcW w:w="1663" w:type="dxa"/>
            <w:shd w:val="clear" w:color="000000" w:fill="FFFFFF"/>
            <w:tcMar>
              <w:top w:w="15" w:type="dxa"/>
              <w:left w:w="15" w:type="dxa"/>
              <w:bottom w:w="0" w:type="dxa"/>
              <w:right w:w="15" w:type="dxa"/>
            </w:tcMar>
            <w:vAlign w:val="center"/>
          </w:tcPr>
          <w:p w:rsidR="009E5093" w:rsidRPr="00B14963" w:rsidP="00B14963" w14:paraId="390C1F03" w14:textId="77777777">
            <w:pPr>
              <w:jc w:val="center"/>
              <w:rPr>
                <w:color w:val="000000"/>
                <w:sz w:val="22"/>
                <w:szCs w:val="22"/>
              </w:rPr>
            </w:pPr>
          </w:p>
        </w:tc>
        <w:tc>
          <w:tcPr>
            <w:tcW w:w="1663" w:type="dxa"/>
            <w:shd w:val="clear" w:color="000000" w:fill="FFFFFF"/>
            <w:tcMar>
              <w:top w:w="15" w:type="dxa"/>
              <w:left w:w="15" w:type="dxa"/>
              <w:bottom w:w="0" w:type="dxa"/>
              <w:right w:w="15" w:type="dxa"/>
            </w:tcMar>
            <w:vAlign w:val="center"/>
          </w:tcPr>
          <w:p w:rsidR="009E5093" w:rsidRPr="00B14963" w:rsidP="00B14963" w14:paraId="210E94CD" w14:textId="77777777">
            <w:pPr>
              <w:jc w:val="center"/>
              <w:rPr>
                <w:color w:val="000000"/>
                <w:sz w:val="22"/>
                <w:szCs w:val="22"/>
              </w:rPr>
            </w:pPr>
          </w:p>
        </w:tc>
        <w:tc>
          <w:tcPr>
            <w:tcW w:w="1632" w:type="dxa"/>
            <w:shd w:val="clear" w:color="000000" w:fill="FFFFFF"/>
            <w:tcMar>
              <w:top w:w="15" w:type="dxa"/>
              <w:left w:w="15" w:type="dxa"/>
              <w:bottom w:w="0" w:type="dxa"/>
              <w:right w:w="15" w:type="dxa"/>
            </w:tcMar>
            <w:vAlign w:val="center"/>
          </w:tcPr>
          <w:p w:rsidR="009E5093" w:rsidRPr="00A94028" w:rsidP="00B14963" w14:paraId="476F46BA" w14:textId="6AD87279">
            <w:pPr>
              <w:jc w:val="center"/>
              <w:rPr>
                <w:b/>
                <w:bCs/>
                <w:color w:val="000000"/>
                <w:sz w:val="22"/>
                <w:szCs w:val="22"/>
              </w:rPr>
            </w:pPr>
            <w:r w:rsidRPr="00A94028">
              <w:rPr>
                <w:b/>
                <w:bCs/>
                <w:color w:val="FF0000"/>
                <w:sz w:val="22"/>
                <w:szCs w:val="22"/>
              </w:rPr>
              <w:t>286</w:t>
            </w:r>
          </w:p>
        </w:tc>
        <w:tc>
          <w:tcPr>
            <w:tcW w:w="1817" w:type="dxa"/>
            <w:shd w:val="clear" w:color="auto" w:fill="auto"/>
            <w:tcMar>
              <w:top w:w="15" w:type="dxa"/>
              <w:left w:w="15" w:type="dxa"/>
              <w:bottom w:w="0" w:type="dxa"/>
              <w:right w:w="15" w:type="dxa"/>
            </w:tcMar>
            <w:vAlign w:val="center"/>
          </w:tcPr>
          <w:p w:rsidR="009E5093" w:rsidRPr="00B14963" w:rsidP="00B14963" w14:paraId="12F927A3" w14:textId="77777777">
            <w:pPr>
              <w:jc w:val="center"/>
              <w:rPr>
                <w:color w:val="000000"/>
                <w:sz w:val="22"/>
                <w:szCs w:val="22"/>
              </w:rPr>
            </w:pPr>
          </w:p>
        </w:tc>
        <w:tc>
          <w:tcPr>
            <w:tcW w:w="1372" w:type="dxa"/>
            <w:shd w:val="clear" w:color="auto" w:fill="auto"/>
            <w:tcMar>
              <w:top w:w="15" w:type="dxa"/>
              <w:left w:w="15" w:type="dxa"/>
              <w:bottom w:w="0" w:type="dxa"/>
              <w:right w:w="15" w:type="dxa"/>
            </w:tcMar>
            <w:vAlign w:val="center"/>
          </w:tcPr>
          <w:p w:rsidR="009E5093" w:rsidRPr="00B14963" w:rsidP="00B14963" w14:paraId="7B72586D" w14:textId="1B57D0B7">
            <w:pPr>
              <w:jc w:val="center"/>
              <w:rPr>
                <w:color w:val="000000"/>
                <w:sz w:val="22"/>
                <w:szCs w:val="22"/>
              </w:rPr>
            </w:pPr>
            <w:r w:rsidRPr="00A94028">
              <w:rPr>
                <w:b/>
                <w:bCs/>
                <w:color w:val="FF0000"/>
                <w:sz w:val="22"/>
                <w:szCs w:val="22"/>
              </w:rPr>
              <w:t>15,616</w:t>
            </w:r>
          </w:p>
        </w:tc>
      </w:tr>
    </w:tbl>
    <w:p w:rsidR="006E631D" w:rsidP="00BC116D" w14:paraId="610EF618" w14:textId="77777777">
      <w:pPr>
        <w:pStyle w:val="BodyText"/>
        <w:ind w:left="0" w:right="80"/>
        <w:rPr>
          <w:rFonts w:cs="Times New Roman"/>
          <w:b/>
          <w:bCs/>
          <w:u w:val="single" w:color="000000"/>
        </w:rPr>
      </w:pPr>
    </w:p>
    <w:p w:rsidR="00C13F96" w:rsidP="00BC116D" w14:paraId="009A7C40" w14:textId="103BCC08">
      <w:pPr>
        <w:pStyle w:val="BodyText"/>
        <w:ind w:left="0" w:right="80"/>
        <w:rPr>
          <w:rFonts w:cs="Times New Roman"/>
          <w:b/>
          <w:bCs/>
        </w:rPr>
      </w:pPr>
      <w:r w:rsidRPr="002F317E">
        <w:rPr>
          <w:rFonts w:cs="Times New Roman"/>
          <w:b/>
          <w:bCs/>
          <w:u w:val="single" w:color="000000"/>
        </w:rPr>
        <w:t>Basis for Burden Hour Esti</w:t>
      </w:r>
      <w:r w:rsidRPr="002F317E">
        <w:rPr>
          <w:rFonts w:cs="Times New Roman"/>
          <w:b/>
          <w:bCs/>
          <w:spacing w:val="-2"/>
          <w:u w:val="single" w:color="000000"/>
        </w:rPr>
        <w:t>m</w:t>
      </w:r>
      <w:r w:rsidRPr="002F317E">
        <w:rPr>
          <w:rFonts w:cs="Times New Roman"/>
          <w:b/>
          <w:bCs/>
          <w:u w:val="single" w:color="000000"/>
        </w:rPr>
        <w:t>ate</w:t>
      </w:r>
      <w:r w:rsidRPr="002F317E">
        <w:rPr>
          <w:rFonts w:cs="Times New Roman"/>
          <w:b/>
          <w:bCs/>
          <w:spacing w:val="-1"/>
          <w:u w:val="single" w:color="000000"/>
        </w:rPr>
        <w:t>s</w:t>
      </w:r>
      <w:r w:rsidRPr="002F317E">
        <w:rPr>
          <w:rFonts w:cs="Times New Roman"/>
          <w:b/>
          <w:bCs/>
        </w:rPr>
        <w:t>:</w:t>
      </w:r>
    </w:p>
    <w:p w:rsidR="00107E12" w:rsidP="00BC116D" w14:paraId="644C4503" w14:textId="77777777">
      <w:pPr>
        <w:pStyle w:val="BodyText"/>
        <w:ind w:left="0" w:right="80"/>
        <w:rPr>
          <w:rFonts w:cs="Times New Roman"/>
          <w:b/>
          <w:bCs/>
        </w:rPr>
      </w:pPr>
    </w:p>
    <w:p w:rsidR="00D53DDC" w:rsidP="00436B7D" w14:paraId="36D7A495" w14:textId="521FB3AD">
      <w:pPr>
        <w:pStyle w:val="NormalWeb"/>
        <w:tabs>
          <w:tab w:val="left" w:pos="360"/>
        </w:tabs>
        <w:spacing w:before="0" w:beforeAutospacing="0" w:after="0" w:afterAutospacing="0"/>
        <w:rPr>
          <w:rFonts w:eastAsia="Calibri"/>
          <w:b/>
          <w:bCs/>
          <w:color w:val="000000" w:themeColor="text1"/>
        </w:rPr>
      </w:pPr>
      <w:r w:rsidRPr="00D53DDC">
        <w:rPr>
          <w:rFonts w:eastAsia="Calibri"/>
          <w:b/>
          <w:bCs/>
          <w:color w:val="000000" w:themeColor="text1"/>
        </w:rPr>
        <w:t>DAWN Case Report Form </w:t>
      </w:r>
    </w:p>
    <w:p w:rsidR="001F3BE4" w:rsidRPr="00F626BE" w:rsidP="004678EB" w14:paraId="778B3F0C" w14:textId="7174A9E7">
      <w:pPr>
        <w:pStyle w:val="NormalWeb"/>
        <w:tabs>
          <w:tab w:val="left" w:pos="360"/>
        </w:tabs>
        <w:spacing w:before="0" w:beforeAutospacing="0" w:after="0" w:afterAutospacing="0"/>
      </w:pPr>
      <w:r>
        <w:t xml:space="preserve">While </w:t>
      </w:r>
      <w:r w:rsidRPr="00513C33">
        <w:t>DAWN participating hospitals do not perform any data collection for DAWN</w:t>
      </w:r>
      <w:r>
        <w:t xml:space="preserve">, they spent time responding to DAWN </w:t>
      </w:r>
      <w:r w:rsidRPr="004678EB">
        <w:t>i</w:t>
      </w:r>
      <w:r w:rsidRPr="004678EB" w:rsidR="00EF2475">
        <w:t xml:space="preserve">nitial outreach and </w:t>
      </w:r>
      <w:r w:rsidRPr="004678EB" w:rsidR="00436B7D">
        <w:t>recruitment</w:t>
      </w:r>
      <w:r>
        <w:t>.</w:t>
      </w:r>
      <w:r w:rsidR="00235D7C">
        <w:t xml:space="preserve"> </w:t>
      </w:r>
      <w:r>
        <w:t xml:space="preserve">Based on initial </w:t>
      </w:r>
      <w:r>
        <w:t xml:space="preserve">hospital recruitment outreach experience, </w:t>
      </w:r>
      <w:r w:rsidR="00EF2475">
        <w:rPr>
          <w:rFonts w:eastAsia="Calibri"/>
          <w:color w:val="000000" w:themeColor="text1"/>
        </w:rPr>
        <w:t xml:space="preserve">SAMHSA estimates that </w:t>
      </w:r>
      <w:r w:rsidRPr="00CD0055" w:rsidR="00EF2475">
        <w:rPr>
          <w:rFonts w:eastAsia="Calibri"/>
          <w:color w:val="000000" w:themeColor="text1"/>
        </w:rPr>
        <w:t>it take</w:t>
      </w:r>
      <w:r w:rsidR="00EF2475">
        <w:rPr>
          <w:rFonts w:eastAsia="Calibri"/>
          <w:color w:val="000000" w:themeColor="text1"/>
        </w:rPr>
        <w:t>s</w:t>
      </w:r>
      <w:r w:rsidR="00436B7D">
        <w:rPr>
          <w:rFonts w:eastAsia="Calibri"/>
          <w:color w:val="000000" w:themeColor="text1"/>
        </w:rPr>
        <w:t xml:space="preserve"> </w:t>
      </w:r>
      <w:r w:rsidR="00EF2475">
        <w:rPr>
          <w:rFonts w:eastAsia="Calibri"/>
          <w:color w:val="000000" w:themeColor="text1"/>
        </w:rPr>
        <w:t>a</w:t>
      </w:r>
      <w:r w:rsidRPr="00CD0055" w:rsidR="00EF2475">
        <w:rPr>
          <w:rFonts w:eastAsia="Calibri"/>
          <w:color w:val="000000" w:themeColor="text1"/>
        </w:rPr>
        <w:t xml:space="preserve"> </w:t>
      </w:r>
      <w:r w:rsidRPr="0043659E" w:rsidR="00EF2475">
        <w:rPr>
          <w:rFonts w:eastAsia="Calibri"/>
          <w:color w:val="000000" w:themeColor="text1"/>
        </w:rPr>
        <w:t xml:space="preserve">hospital </w:t>
      </w:r>
      <w:r w:rsidR="004577AD">
        <w:rPr>
          <w:rFonts w:eastAsia="Calibri"/>
          <w:color w:val="000000" w:themeColor="text1"/>
        </w:rPr>
        <w:t>81.5</w:t>
      </w:r>
      <w:r w:rsidRPr="00436B7D" w:rsidR="00EF2475">
        <w:rPr>
          <w:rFonts w:eastAsia="Calibri"/>
          <w:color w:val="000000" w:themeColor="text1"/>
        </w:rPr>
        <w:t xml:space="preserve"> </w:t>
      </w:r>
      <w:r w:rsidRPr="0043659E" w:rsidR="00EF2475">
        <w:rPr>
          <w:rFonts w:eastAsia="Calibri"/>
          <w:color w:val="000000" w:themeColor="text1"/>
        </w:rPr>
        <w:t>hours</w:t>
      </w:r>
      <w:r w:rsidR="00BA6634">
        <w:rPr>
          <w:rFonts w:eastAsia="Calibri"/>
          <w:color w:val="000000" w:themeColor="text1"/>
        </w:rPr>
        <w:t xml:space="preserve"> at the initial outreach and recruitment stage</w:t>
      </w:r>
      <w:r w:rsidR="00DF639A">
        <w:rPr>
          <w:rFonts w:eastAsia="Calibri"/>
          <w:color w:val="000000" w:themeColor="text1"/>
        </w:rPr>
        <w:t xml:space="preserve">. </w:t>
      </w:r>
      <w:r w:rsidRPr="00F626BE" w:rsidR="00EF2475">
        <w:t>This includes</w:t>
      </w:r>
      <w:r w:rsidRPr="00F626BE" w:rsidR="00BA6634">
        <w:t xml:space="preserve">: </w:t>
      </w:r>
    </w:p>
    <w:p w:rsidR="005573C8" w:rsidP="00850DA5" w14:paraId="457646A0" w14:textId="416F1587">
      <w:pPr>
        <w:pStyle w:val="NormalWeb"/>
        <w:tabs>
          <w:tab w:val="left" w:pos="360"/>
        </w:tabs>
        <w:spacing w:before="0" w:beforeAutospacing="0" w:after="0" w:afterAutospacing="0"/>
        <w:ind w:left="720"/>
        <w:rPr>
          <w:rFonts w:eastAsia="Calibri"/>
          <w:color w:val="000000" w:themeColor="text1"/>
        </w:rPr>
      </w:pPr>
      <w:r w:rsidRPr="00F626BE">
        <w:rPr>
          <w:rFonts w:eastAsia="Calibri"/>
          <w:color w:val="000000" w:themeColor="text1"/>
        </w:rPr>
        <w:t xml:space="preserve">40 hours of </w:t>
      </w:r>
      <w:r w:rsidRPr="00F626BE" w:rsidR="00EF2475">
        <w:rPr>
          <w:rFonts w:eastAsia="Calibri"/>
          <w:color w:val="000000" w:themeColor="text1"/>
        </w:rPr>
        <w:t>review</w:t>
      </w:r>
      <w:r w:rsidRPr="00F626BE">
        <w:rPr>
          <w:rFonts w:eastAsia="Calibri"/>
          <w:color w:val="000000" w:themeColor="text1"/>
        </w:rPr>
        <w:t>ing</w:t>
      </w:r>
      <w:r w:rsidRPr="00F626BE" w:rsidR="00EF2475">
        <w:rPr>
          <w:rFonts w:eastAsia="Calibri"/>
          <w:color w:val="000000" w:themeColor="text1"/>
        </w:rPr>
        <w:t xml:space="preserve"> DAWN outreach and recruitment materials; </w:t>
      </w:r>
    </w:p>
    <w:p w:rsidR="00850DA5" w:rsidRPr="00F626BE" w:rsidP="00850DA5" w14:paraId="5185CE96" w14:textId="77777777">
      <w:pPr>
        <w:pStyle w:val="NormalWeb"/>
        <w:tabs>
          <w:tab w:val="left" w:pos="360"/>
        </w:tabs>
        <w:spacing w:before="0" w:beforeAutospacing="0" w:after="0" w:afterAutospacing="0"/>
        <w:ind w:left="720"/>
      </w:pPr>
    </w:p>
    <w:p w:rsidR="001F3BE4" w:rsidRPr="00F626BE" w:rsidP="00850DA5" w14:paraId="5FCE9914" w14:textId="1A08E49D">
      <w:pPr>
        <w:pStyle w:val="NormalWeb"/>
        <w:tabs>
          <w:tab w:val="left" w:pos="360"/>
        </w:tabs>
        <w:spacing w:before="0" w:beforeAutospacing="0" w:after="0" w:afterAutospacing="0"/>
        <w:ind w:left="720"/>
      </w:pPr>
      <w:r>
        <w:rPr>
          <w:rFonts w:eastAsia="Calibri"/>
          <w:color w:val="000000" w:themeColor="text1"/>
        </w:rPr>
        <w:t xml:space="preserve">0.5 hours of </w:t>
      </w:r>
      <w:r w:rsidRPr="00F626BE" w:rsidR="005573C8">
        <w:rPr>
          <w:rFonts w:eastAsia="Calibri"/>
          <w:color w:val="000000" w:themeColor="text1"/>
        </w:rPr>
        <w:t xml:space="preserve">establishing </w:t>
      </w:r>
      <w:r w:rsidRPr="00F626BE" w:rsidR="00EF2475">
        <w:rPr>
          <w:rFonts w:eastAsia="Calibri"/>
          <w:color w:val="000000" w:themeColor="text1"/>
        </w:rPr>
        <w:t>initial contact between the contractor and an executive assistant to the Chief Executive Officer</w:t>
      </w:r>
      <w:r w:rsidRPr="00F626BE" w:rsidR="00BA6634">
        <w:rPr>
          <w:rFonts w:eastAsia="Calibri"/>
          <w:color w:val="000000" w:themeColor="text1"/>
        </w:rPr>
        <w:t xml:space="preserve"> and</w:t>
      </w:r>
      <w:r w:rsidRPr="00F626BE" w:rsidR="00EF2475">
        <w:rPr>
          <w:rFonts w:eastAsia="Calibri"/>
          <w:color w:val="000000" w:themeColor="text1"/>
        </w:rPr>
        <w:t xml:space="preserve"> engag</w:t>
      </w:r>
      <w:r>
        <w:rPr>
          <w:rFonts w:eastAsia="Calibri"/>
          <w:color w:val="000000" w:themeColor="text1"/>
        </w:rPr>
        <w:t>ing</w:t>
      </w:r>
      <w:r w:rsidRPr="00F626BE" w:rsidR="00EF2475">
        <w:rPr>
          <w:rFonts w:eastAsia="Calibri"/>
          <w:color w:val="000000" w:themeColor="text1"/>
        </w:rPr>
        <w:t xml:space="preserve"> in conversations with stakeholders, influencers, or decision makers</w:t>
      </w:r>
      <w:r w:rsidR="007D0864">
        <w:rPr>
          <w:rFonts w:eastAsia="Calibri"/>
          <w:color w:val="000000" w:themeColor="text1"/>
        </w:rPr>
        <w:t>;</w:t>
      </w:r>
    </w:p>
    <w:p w:rsidR="00850DA5" w:rsidP="00850DA5" w14:paraId="326F11D8" w14:textId="77777777">
      <w:pPr>
        <w:pStyle w:val="NormalWeb"/>
        <w:tabs>
          <w:tab w:val="left" w:pos="360"/>
        </w:tabs>
        <w:spacing w:before="0" w:beforeAutospacing="0" w:after="0" w:afterAutospacing="0"/>
        <w:ind w:left="720"/>
        <w:rPr>
          <w:rFonts w:eastAsia="Calibri"/>
          <w:color w:val="000000" w:themeColor="text1"/>
        </w:rPr>
      </w:pPr>
    </w:p>
    <w:p w:rsidR="001F3BE4" w:rsidRPr="00F626BE" w:rsidP="00850DA5" w14:paraId="5D384753" w14:textId="15532996">
      <w:pPr>
        <w:pStyle w:val="NormalWeb"/>
        <w:tabs>
          <w:tab w:val="left" w:pos="360"/>
        </w:tabs>
        <w:spacing w:before="0" w:beforeAutospacing="0" w:after="0" w:afterAutospacing="0"/>
        <w:ind w:left="720"/>
      </w:pPr>
      <w:r>
        <w:rPr>
          <w:rFonts w:eastAsia="Calibri"/>
          <w:color w:val="000000" w:themeColor="text1"/>
        </w:rPr>
        <w:t xml:space="preserve">40 hours of </w:t>
      </w:r>
      <w:r w:rsidRPr="00F626BE" w:rsidR="00EF2475">
        <w:rPr>
          <w:rFonts w:eastAsia="Calibri"/>
          <w:color w:val="000000" w:themeColor="text1"/>
        </w:rPr>
        <w:t>review</w:t>
      </w:r>
      <w:r w:rsidRPr="00F626BE">
        <w:rPr>
          <w:rFonts w:eastAsia="Calibri"/>
          <w:color w:val="000000" w:themeColor="text1"/>
        </w:rPr>
        <w:t>ing and executing</w:t>
      </w:r>
      <w:r w:rsidRPr="00F626BE" w:rsidR="00EF2475">
        <w:rPr>
          <w:rFonts w:eastAsia="Calibri"/>
          <w:color w:val="000000" w:themeColor="text1"/>
        </w:rPr>
        <w:t xml:space="preserve"> </w:t>
      </w:r>
      <w:r w:rsidRPr="000F465E" w:rsidR="00EF2475">
        <w:rPr>
          <w:rFonts w:eastAsia="Calibri"/>
          <w:color w:val="000000" w:themeColor="text1"/>
        </w:rPr>
        <w:t xml:space="preserve">the </w:t>
      </w:r>
      <w:r w:rsidRPr="000F465E" w:rsidR="007A1347">
        <w:rPr>
          <w:rFonts w:eastAsia="Calibri"/>
          <w:color w:val="000000" w:themeColor="text1"/>
        </w:rPr>
        <w:t>D</w:t>
      </w:r>
      <w:r w:rsidRPr="000F465E" w:rsidR="00436B7D">
        <w:rPr>
          <w:rFonts w:eastAsia="Calibri"/>
          <w:color w:val="000000" w:themeColor="text1"/>
        </w:rPr>
        <w:t>AA</w:t>
      </w:r>
      <w:r w:rsidRPr="00F626BE" w:rsidR="00EF2475">
        <w:rPr>
          <w:rFonts w:eastAsia="Calibri"/>
          <w:color w:val="000000" w:themeColor="text1"/>
        </w:rPr>
        <w:t xml:space="preserve">; and </w:t>
      </w:r>
    </w:p>
    <w:p w:rsidR="006E631D" w:rsidP="00850DA5" w14:paraId="48E004C7" w14:textId="342D6739">
      <w:pPr>
        <w:pStyle w:val="NormalWeb"/>
        <w:tabs>
          <w:tab w:val="left" w:pos="360"/>
        </w:tabs>
        <w:spacing w:before="0" w:beforeAutospacing="0" w:after="0" w:afterAutospacing="0"/>
        <w:ind w:left="720"/>
        <w:rPr>
          <w:rFonts w:eastAsia="Calibri"/>
          <w:color w:val="000000" w:themeColor="text1"/>
        </w:rPr>
      </w:pPr>
      <w:r w:rsidRPr="003D6D2C">
        <w:rPr>
          <w:rFonts w:eastAsia="Calibri"/>
          <w:color w:val="000000" w:themeColor="text1"/>
        </w:rPr>
        <w:t>attend</w:t>
      </w:r>
      <w:r w:rsidRPr="003D6D2C" w:rsidR="001F3BE4">
        <w:rPr>
          <w:rFonts w:eastAsia="Calibri"/>
          <w:color w:val="000000" w:themeColor="text1"/>
        </w:rPr>
        <w:t>ing</w:t>
      </w:r>
      <w:r w:rsidRPr="003D6D2C">
        <w:rPr>
          <w:rFonts w:eastAsia="Calibri"/>
          <w:color w:val="000000" w:themeColor="text1"/>
        </w:rPr>
        <w:t xml:space="preserve"> a one-hour conference call with the contractor once the </w:t>
      </w:r>
      <w:r w:rsidRPr="003D6D2C" w:rsidR="000F465E">
        <w:rPr>
          <w:rFonts w:eastAsia="Calibri"/>
          <w:color w:val="000000" w:themeColor="text1"/>
        </w:rPr>
        <w:t>D</w:t>
      </w:r>
      <w:r w:rsidRPr="003D6D2C">
        <w:rPr>
          <w:rFonts w:eastAsia="Calibri"/>
          <w:color w:val="000000" w:themeColor="text1"/>
        </w:rPr>
        <w:t>AA is signed</w:t>
      </w:r>
      <w:r w:rsidR="003D6D2C">
        <w:rPr>
          <w:rFonts w:eastAsia="Calibri"/>
          <w:color w:val="000000" w:themeColor="text1"/>
        </w:rPr>
        <w:t>.</w:t>
      </w:r>
    </w:p>
    <w:p w:rsidR="003D6D2C" w:rsidRPr="003D6D2C" w:rsidP="00461B7E" w14:paraId="307A3277" w14:textId="77777777">
      <w:pPr>
        <w:pStyle w:val="NormalWeb"/>
        <w:tabs>
          <w:tab w:val="left" w:pos="360"/>
        </w:tabs>
        <w:spacing w:before="0" w:beforeAutospacing="0" w:after="0" w:afterAutospacing="0"/>
        <w:ind w:left="720"/>
        <w:rPr>
          <w:rFonts w:eastAsia="Calibri"/>
          <w:color w:val="000000" w:themeColor="text1"/>
        </w:rPr>
      </w:pPr>
    </w:p>
    <w:p w:rsidR="00D53DDC" w:rsidRPr="004678EB" w:rsidP="00D53DDC" w14:paraId="32BF4C91" w14:textId="7C3B4FC4">
      <w:pPr>
        <w:pStyle w:val="NormalWeb"/>
        <w:spacing w:before="0" w:beforeAutospacing="0" w:after="0" w:afterAutospacing="0"/>
        <w:rPr>
          <w:rFonts w:eastAsia="Calibri"/>
          <w:b/>
          <w:bCs/>
          <w:color w:val="000000" w:themeColor="text1"/>
        </w:rPr>
      </w:pPr>
      <w:r w:rsidRPr="004678EB">
        <w:rPr>
          <w:rFonts w:eastAsia="Calibri"/>
          <w:b/>
          <w:bCs/>
          <w:color w:val="000000" w:themeColor="text1"/>
        </w:rPr>
        <w:t>DAWN Activity Report Form</w:t>
      </w:r>
    </w:p>
    <w:p w:rsidR="00D53DDC" w:rsidP="00D53DDC" w14:paraId="6AB6EDE8" w14:textId="60E7EE81">
      <w:pPr>
        <w:pStyle w:val="NormalWeb"/>
        <w:spacing w:before="0" w:beforeAutospacing="0" w:after="0" w:afterAutospacing="0"/>
      </w:pPr>
      <w:r>
        <w:t xml:space="preserve">Based on initial hospital recruitment outreach and </w:t>
      </w:r>
      <w:r w:rsidR="00DE0B72">
        <w:t>experience from prior DAWN data abstraction experience</w:t>
      </w:r>
      <w:r>
        <w:t>, SAMHSA anticipat</w:t>
      </w:r>
      <w:r w:rsidR="00F73464">
        <w:t>es</w:t>
      </w:r>
      <w:r>
        <w:t xml:space="preserve"> that 58 hospitals choose “direct chart review” option and 85 hospitals choose “ML with NLP” option for data abstraction.  </w:t>
      </w:r>
      <w:r w:rsidR="005E2820">
        <w:t>Both</w:t>
      </w:r>
      <w:r>
        <w:t xml:space="preserve"> option</w:t>
      </w:r>
      <w:r w:rsidR="005E2820">
        <w:t>s</w:t>
      </w:r>
      <w:r>
        <w:t xml:space="preserve"> </w:t>
      </w:r>
      <w:r w:rsidR="005E2820">
        <w:t>require</w:t>
      </w:r>
      <w:r>
        <w:t xml:space="preserve"> participating hospitals’ ED record provision setting up and ongoing system maintenance activities</w:t>
      </w:r>
      <w:r w:rsidR="00D71401">
        <w:t xml:space="preserve"> (b</w:t>
      </w:r>
      <w:r w:rsidR="00DE0B72">
        <w:t>asis for each activity’s burden hour estimate</w:t>
      </w:r>
      <w:r w:rsidR="005E2820">
        <w:t xml:space="preserve"> </w:t>
      </w:r>
      <w:r w:rsidR="00DE0B72">
        <w:t>is explained respectively below</w:t>
      </w:r>
      <w:r w:rsidR="00D71401">
        <w:t xml:space="preserve"> and is summarized in </w:t>
      </w:r>
      <w:r w:rsidR="00DE0B72">
        <w:t>Table A3)</w:t>
      </w:r>
      <w:r w:rsidR="00D71401">
        <w:t>. T</w:t>
      </w:r>
      <w:r w:rsidR="00DE0B72">
        <w:t>he</w:t>
      </w:r>
      <w:r w:rsidR="0095652E">
        <w:t xml:space="preserve"> proportional </w:t>
      </w:r>
      <w:r w:rsidR="00DE0B72">
        <w:t xml:space="preserve">Burden Hour per Response </w:t>
      </w:r>
      <w:r w:rsidR="00F73464">
        <w:t xml:space="preserve">is </w:t>
      </w:r>
      <w:r w:rsidR="00DE0B72">
        <w:t>estimate</w:t>
      </w:r>
      <w:r w:rsidR="00F73464">
        <w:t>d to be 27.7 hours per response</w:t>
      </w:r>
      <w:r w:rsidR="00D71401">
        <w:t xml:space="preserve"> (Table A4).</w:t>
      </w:r>
    </w:p>
    <w:p w:rsidR="00235D7C" w:rsidRPr="00F626BE" w:rsidP="004678EB" w14:paraId="02F525FB" w14:textId="77777777">
      <w:pPr>
        <w:pStyle w:val="NormalWeb"/>
        <w:spacing w:before="0" w:beforeAutospacing="0" w:after="0" w:afterAutospacing="0"/>
      </w:pPr>
    </w:p>
    <w:p w:rsidR="005573C8" w:rsidP="00850DA5" w14:paraId="64D471E6" w14:textId="300155DC">
      <w:pPr>
        <w:pStyle w:val="NormalWeb"/>
        <w:tabs>
          <w:tab w:val="left" w:pos="360"/>
        </w:tabs>
        <w:spacing w:before="0" w:beforeAutospacing="0" w:after="0" w:afterAutospacing="0"/>
        <w:ind w:left="720"/>
        <w:rPr>
          <w:rFonts w:eastAsia="Calibri"/>
          <w:color w:val="000000" w:themeColor="text1"/>
        </w:rPr>
      </w:pPr>
      <w:r w:rsidRPr="00F626BE">
        <w:rPr>
          <w:b/>
        </w:rPr>
        <w:t>ED record provision setting up (</w:t>
      </w:r>
      <w:r w:rsidRPr="00F626BE" w:rsidR="00F51A36">
        <w:rPr>
          <w:b/>
        </w:rPr>
        <w:t>direst chart review</w:t>
      </w:r>
      <w:r w:rsidRPr="00F626BE">
        <w:rPr>
          <w:b/>
        </w:rPr>
        <w:t>):</w:t>
      </w:r>
      <w:r w:rsidRPr="00F626BE">
        <w:rPr>
          <w:bCs/>
        </w:rPr>
        <w:t xml:space="preserve"> </w:t>
      </w:r>
      <w:r w:rsidRPr="00F626BE" w:rsidR="00B27F61">
        <w:rPr>
          <w:rFonts w:eastAsia="Calibri"/>
          <w:color w:val="000000" w:themeColor="text1"/>
        </w:rPr>
        <w:t xml:space="preserve">SAMHSA estimates that </w:t>
      </w:r>
      <w:r w:rsidRPr="00F626BE" w:rsidR="00D46661">
        <w:rPr>
          <w:rFonts w:eastAsia="Calibri"/>
          <w:color w:val="000000" w:themeColor="text1"/>
        </w:rPr>
        <w:t>hospital</w:t>
      </w:r>
      <w:r w:rsidRPr="00F626BE" w:rsidR="00B27F61">
        <w:rPr>
          <w:rFonts w:eastAsia="Calibri"/>
          <w:color w:val="000000" w:themeColor="text1"/>
        </w:rPr>
        <w:t xml:space="preserve"> staff on average spend</w:t>
      </w:r>
      <w:r w:rsidRPr="00F626BE" w:rsidR="00D46661">
        <w:rPr>
          <w:rFonts w:eastAsia="Calibri"/>
          <w:color w:val="000000" w:themeColor="text1"/>
        </w:rPr>
        <w:t xml:space="preserve"> 5.25 hours</w:t>
      </w:r>
      <w:r w:rsidRPr="00F626BE" w:rsidR="00B60796">
        <w:rPr>
          <w:rFonts w:eastAsia="Calibri"/>
          <w:color w:val="000000" w:themeColor="text1"/>
        </w:rPr>
        <w:t xml:space="preserve"> </w:t>
      </w:r>
      <w:r w:rsidRPr="00F626BE" w:rsidR="00D46661">
        <w:rPr>
          <w:rFonts w:eastAsia="Calibri"/>
          <w:color w:val="000000" w:themeColor="text1"/>
        </w:rPr>
        <w:t xml:space="preserve">to set up </w:t>
      </w:r>
      <w:r w:rsidRPr="00F626BE" w:rsidR="0077047F">
        <w:rPr>
          <w:rFonts w:eastAsia="Calibri"/>
          <w:color w:val="000000" w:themeColor="text1"/>
        </w:rPr>
        <w:t xml:space="preserve">electronic health record </w:t>
      </w:r>
      <w:r w:rsidRPr="00F626BE" w:rsidR="00D46661">
        <w:rPr>
          <w:rFonts w:eastAsia="Calibri"/>
          <w:color w:val="000000" w:themeColor="text1"/>
        </w:rPr>
        <w:t>access for the</w:t>
      </w:r>
      <w:r w:rsidRPr="00F626BE" w:rsidR="00F51A36">
        <w:rPr>
          <w:rFonts w:eastAsia="Calibri"/>
          <w:color w:val="000000" w:themeColor="text1"/>
        </w:rPr>
        <w:t xml:space="preserve"> contracted</w:t>
      </w:r>
      <w:r w:rsidRPr="00F626BE" w:rsidR="00D46661">
        <w:rPr>
          <w:rFonts w:eastAsia="Calibri"/>
          <w:color w:val="000000" w:themeColor="text1"/>
        </w:rPr>
        <w:t xml:space="preserve"> abstractor</w:t>
      </w:r>
      <w:r w:rsidRPr="00F626BE" w:rsidR="00B27F61">
        <w:rPr>
          <w:rFonts w:eastAsia="Calibri"/>
          <w:color w:val="000000" w:themeColor="text1"/>
        </w:rPr>
        <w:t>s</w:t>
      </w:r>
      <w:r w:rsidRPr="00F626BE" w:rsidR="00D46661">
        <w:rPr>
          <w:rFonts w:eastAsia="Calibri"/>
          <w:color w:val="000000" w:themeColor="text1"/>
        </w:rPr>
        <w:t>.</w:t>
      </w:r>
      <w:r w:rsidR="00A62CD4">
        <w:rPr>
          <w:rFonts w:eastAsia="Calibri"/>
          <w:color w:val="000000" w:themeColor="text1"/>
        </w:rPr>
        <w:t xml:space="preserve"> </w:t>
      </w:r>
      <w:r w:rsidRPr="00F626BE" w:rsidR="00D46661">
        <w:rPr>
          <w:rFonts w:eastAsia="Calibri"/>
          <w:color w:val="000000" w:themeColor="text1"/>
        </w:rPr>
        <w:t xml:space="preserve"> This </w:t>
      </w:r>
      <w:r w:rsidRPr="00F626BE">
        <w:rPr>
          <w:rFonts w:eastAsia="Calibri"/>
          <w:color w:val="000000" w:themeColor="text1"/>
        </w:rPr>
        <w:t>includes</w:t>
      </w:r>
      <w:r w:rsidR="00F626BE">
        <w:rPr>
          <w:rFonts w:eastAsia="Calibri"/>
          <w:color w:val="000000" w:themeColor="text1"/>
        </w:rPr>
        <w:t xml:space="preserve"> </w:t>
      </w:r>
      <w:r w:rsidRPr="00F626BE">
        <w:rPr>
          <w:rFonts w:eastAsia="Calibri"/>
          <w:color w:val="000000" w:themeColor="text1"/>
        </w:rPr>
        <w:t>a o</w:t>
      </w:r>
      <w:r w:rsidRPr="00F626BE" w:rsidR="00D46661">
        <w:rPr>
          <w:rFonts w:eastAsia="Calibri"/>
          <w:color w:val="000000" w:themeColor="text1"/>
        </w:rPr>
        <w:t xml:space="preserve">ne-hour EHR training for the </w:t>
      </w:r>
      <w:r w:rsidRPr="00F626BE" w:rsidR="00E843F2">
        <w:rPr>
          <w:rFonts w:eastAsia="Calibri"/>
          <w:color w:val="000000" w:themeColor="text1"/>
        </w:rPr>
        <w:t>a</w:t>
      </w:r>
      <w:r w:rsidRPr="00F626BE" w:rsidR="00D46661">
        <w:rPr>
          <w:rFonts w:eastAsia="Calibri"/>
          <w:color w:val="000000" w:themeColor="text1"/>
        </w:rPr>
        <w:t xml:space="preserve">bstractors and the DAWN </w:t>
      </w:r>
      <w:r w:rsidRPr="00F626BE" w:rsidR="00D46661">
        <w:rPr>
          <w:bCs/>
        </w:rPr>
        <w:t>supervisors</w:t>
      </w:r>
      <w:r w:rsidRPr="00F626BE" w:rsidR="00F626BE">
        <w:rPr>
          <w:bCs/>
        </w:rPr>
        <w:t xml:space="preserve">; and </w:t>
      </w:r>
      <w:r w:rsidRPr="00F626BE" w:rsidR="00D46661">
        <w:rPr>
          <w:bCs/>
        </w:rPr>
        <w:t>4.25 hours to work with DAWN’s</w:t>
      </w:r>
      <w:r w:rsidRPr="00F626BE" w:rsidR="00D46661">
        <w:rPr>
          <w:rFonts w:eastAsia="Calibri"/>
          <w:color w:val="000000" w:themeColor="text1"/>
        </w:rPr>
        <w:t xml:space="preserve"> IT staff to facilitate the process of gaining access to the hospital’s EHR system.</w:t>
      </w:r>
      <w:r w:rsidRPr="00F626BE" w:rsidR="00B27F61">
        <w:rPr>
          <w:rFonts w:eastAsia="Calibri"/>
          <w:color w:val="000000" w:themeColor="text1"/>
        </w:rPr>
        <w:t xml:space="preserve"> </w:t>
      </w:r>
      <w:r w:rsidRPr="00F626BE" w:rsidR="00FC5621">
        <w:rPr>
          <w:rFonts w:eastAsia="Calibri"/>
          <w:color w:val="000000" w:themeColor="text1"/>
        </w:rPr>
        <w:t xml:space="preserve"> </w:t>
      </w:r>
    </w:p>
    <w:p w:rsidR="00F626BE" w:rsidRPr="00F626BE" w:rsidP="00F626BE" w14:paraId="01F11D32" w14:textId="77777777">
      <w:pPr>
        <w:pStyle w:val="NormalWeb"/>
        <w:tabs>
          <w:tab w:val="left" w:pos="360"/>
        </w:tabs>
        <w:spacing w:before="0" w:beforeAutospacing="0" w:after="0" w:afterAutospacing="0"/>
        <w:ind w:left="720"/>
        <w:rPr>
          <w:rFonts w:eastAsia="Calibri"/>
          <w:color w:val="000000" w:themeColor="text1"/>
        </w:rPr>
      </w:pPr>
    </w:p>
    <w:p w:rsidR="005573C8" w:rsidRPr="00F626BE" w:rsidP="00850DA5" w14:paraId="58599FB9" w14:textId="7B982F9A">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Calibri"/>
          <w:color w:val="000000" w:themeColor="text1"/>
        </w:rPr>
      </w:pPr>
      <w:r w:rsidRPr="00F626BE">
        <w:rPr>
          <w:b/>
        </w:rPr>
        <w:t>ED record provision setting up (ML with NLP):</w:t>
      </w:r>
      <w:r w:rsidRPr="00F626BE">
        <w:rPr>
          <w:bCs/>
        </w:rPr>
        <w:t xml:space="preserve"> </w:t>
      </w:r>
      <w:r w:rsidRPr="00F626BE" w:rsidR="00B27F61">
        <w:rPr>
          <w:rFonts w:eastAsia="Calibri"/>
          <w:color w:val="000000" w:themeColor="text1"/>
        </w:rPr>
        <w:t>SAMHSA</w:t>
      </w:r>
      <w:r w:rsidRPr="00F626BE" w:rsidR="00FC5E18">
        <w:rPr>
          <w:rFonts w:eastAsia="Calibri"/>
          <w:color w:val="000000" w:themeColor="text1"/>
        </w:rPr>
        <w:t xml:space="preserve"> </w:t>
      </w:r>
      <w:r w:rsidR="00F626BE">
        <w:rPr>
          <w:rFonts w:eastAsia="Calibri"/>
          <w:color w:val="000000" w:themeColor="text1"/>
        </w:rPr>
        <w:t xml:space="preserve">estimates </w:t>
      </w:r>
      <w:r w:rsidRPr="00F626BE" w:rsidR="00FC5E18">
        <w:rPr>
          <w:rFonts w:eastAsia="Calibri"/>
          <w:color w:val="000000" w:themeColor="text1"/>
        </w:rPr>
        <w:t xml:space="preserve">36 hours of hospital employee time to establish ongoing data feeds to </w:t>
      </w:r>
      <w:r w:rsidRPr="00F626BE">
        <w:rPr>
          <w:rFonts w:eastAsia="Calibri"/>
          <w:color w:val="000000" w:themeColor="text1"/>
        </w:rPr>
        <w:t>send electronic records to abstractors</w:t>
      </w:r>
      <w:r w:rsidR="00B27F60">
        <w:rPr>
          <w:rFonts w:eastAsia="Calibri"/>
          <w:color w:val="000000" w:themeColor="text1"/>
        </w:rPr>
        <w:t xml:space="preserve"> for </w:t>
      </w:r>
      <w:r w:rsidRPr="00F626BE" w:rsidR="00F51A36">
        <w:rPr>
          <w:rFonts w:eastAsia="Calibri"/>
          <w:color w:val="000000" w:themeColor="text1"/>
        </w:rPr>
        <w:t>hospital</w:t>
      </w:r>
      <w:r w:rsidR="00B27F60">
        <w:rPr>
          <w:rFonts w:eastAsia="Calibri"/>
          <w:color w:val="000000" w:themeColor="text1"/>
        </w:rPr>
        <w:t>s</w:t>
      </w:r>
      <w:r w:rsidR="00F33081">
        <w:rPr>
          <w:rFonts w:eastAsia="Calibri"/>
          <w:color w:val="000000" w:themeColor="text1"/>
        </w:rPr>
        <w:t xml:space="preserve"> choos</w:t>
      </w:r>
      <w:r w:rsidR="00290BD5">
        <w:rPr>
          <w:rFonts w:eastAsia="Calibri"/>
          <w:color w:val="000000" w:themeColor="text1"/>
        </w:rPr>
        <w:t>ing the</w:t>
      </w:r>
      <w:r w:rsidRPr="00F626BE" w:rsidR="00F51A36">
        <w:rPr>
          <w:rFonts w:eastAsia="Calibri"/>
          <w:color w:val="000000" w:themeColor="text1"/>
        </w:rPr>
        <w:t xml:space="preserve"> ML with </w:t>
      </w:r>
      <w:r w:rsidRPr="00F33081" w:rsidR="00F51A36">
        <w:rPr>
          <w:rFonts w:eastAsia="Calibri"/>
          <w:color w:val="000000" w:themeColor="text1"/>
        </w:rPr>
        <w:t xml:space="preserve">NPL </w:t>
      </w:r>
      <w:r w:rsidRPr="00F33081" w:rsidR="00F33081">
        <w:t>option</w:t>
      </w:r>
      <w:r w:rsidRPr="00F33081" w:rsidR="00FC5E18">
        <w:t xml:space="preserve">. </w:t>
      </w:r>
      <w:r w:rsidR="001121B6">
        <w:t xml:space="preserve"> </w:t>
      </w:r>
      <w:r w:rsidRPr="00F33081" w:rsidR="00FC5E18">
        <w:t xml:space="preserve">The </w:t>
      </w:r>
      <w:r w:rsidRPr="00F33081" w:rsidR="0077047F">
        <w:t>estimated</w:t>
      </w:r>
      <w:r w:rsidRPr="00F626BE" w:rsidR="00FC5E18">
        <w:rPr>
          <w:rFonts w:eastAsia="Calibri"/>
          <w:color w:val="000000" w:themeColor="text1"/>
        </w:rPr>
        <w:t xml:space="preserve"> breakdown of tasks is</w:t>
      </w:r>
      <w:r w:rsidRPr="00F626BE">
        <w:rPr>
          <w:rFonts w:eastAsia="Calibri"/>
          <w:color w:val="000000" w:themeColor="text1"/>
        </w:rPr>
        <w:t xml:space="preserve">: </w:t>
      </w:r>
    </w:p>
    <w:p w:rsidR="005573C8" w:rsidRPr="00F626BE" w:rsidP="00850DA5" w14:paraId="2950512B" w14:textId="516A9226">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eastAsia="Calibri"/>
          <w:color w:val="000000" w:themeColor="text1"/>
        </w:rPr>
      </w:pPr>
      <w:r w:rsidRPr="00F626BE">
        <w:rPr>
          <w:rFonts w:eastAsia="Calibri"/>
          <w:color w:val="000000" w:themeColor="text1"/>
        </w:rPr>
        <w:t xml:space="preserve">6 hours for discussion of requirements (2 hour each, average of 3 hospital attendees); </w:t>
      </w:r>
    </w:p>
    <w:p w:rsidR="005573C8" w:rsidP="00850DA5" w14:paraId="78EBA65E" w14:textId="4833301A">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eastAsia="Calibri"/>
          <w:color w:val="000000" w:themeColor="text1"/>
        </w:rPr>
      </w:pPr>
      <w:r w:rsidRPr="00F626BE">
        <w:rPr>
          <w:rFonts w:eastAsia="Calibri"/>
          <w:color w:val="000000" w:themeColor="text1"/>
        </w:rPr>
        <w:t>22 hours for hospital staff to engage with their EHR vendor and complete documentation needed for a DAWN-specific report or for internal hospital staff to develop and test a DAWN</w:t>
      </w:r>
      <w:r w:rsidRPr="005573C8">
        <w:rPr>
          <w:rFonts w:eastAsia="Calibri"/>
          <w:color w:val="000000" w:themeColor="text1"/>
        </w:rPr>
        <w:t xml:space="preserve">-specific report; </w:t>
      </w:r>
    </w:p>
    <w:p w:rsidR="005573C8" w:rsidP="00850DA5" w14:paraId="39C7E096" w14:textId="6EC940E4">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eastAsia="Calibri"/>
          <w:color w:val="000000" w:themeColor="text1"/>
        </w:rPr>
      </w:pPr>
      <w:r w:rsidRPr="005573C8">
        <w:rPr>
          <w:rFonts w:eastAsia="Calibri"/>
          <w:color w:val="000000" w:themeColor="text1"/>
        </w:rPr>
        <w:t xml:space="preserve">2 hours to establish, test, and validate the data transfer connection between the hospital and DAWN; and </w:t>
      </w:r>
    </w:p>
    <w:p w:rsidR="005573C8" w:rsidP="00850DA5" w14:paraId="41296FE8" w14:textId="77777777">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eastAsia="Calibri"/>
          <w:color w:val="000000" w:themeColor="text1"/>
        </w:rPr>
      </w:pPr>
      <w:r w:rsidRPr="005573C8">
        <w:rPr>
          <w:rFonts w:eastAsia="Calibri"/>
          <w:color w:val="000000" w:themeColor="text1"/>
        </w:rPr>
        <w:t xml:space="preserve">6 hours to allow for refining and remediating any validating any issues found during the test transmission phase. </w:t>
      </w:r>
    </w:p>
    <w:p w:rsidR="00DF111B" w:rsidRPr="00DF111B" w:rsidP="008B5F76" w14:paraId="789A6464" w14:textId="580A5B33">
      <w:pPr>
        <w:rPr>
          <w:rFonts w:eastAsia="Calibri"/>
          <w:b/>
          <w:bCs/>
          <w:color w:val="000000" w:themeColor="text1"/>
        </w:rPr>
      </w:pPr>
    </w:p>
    <w:p w:rsidR="006B1A49" w:rsidP="00850DA5" w14:paraId="1794EE2B" w14:textId="793A99E5">
      <w:pPr>
        <w:pStyle w:val="ListParagraph"/>
        <w:spacing w:after="100" w:afterAutospacing="1"/>
        <w:rPr>
          <w:color w:val="000000" w:themeColor="text1"/>
        </w:rPr>
      </w:pPr>
      <w:r w:rsidRPr="00DF111B">
        <w:rPr>
          <w:rFonts w:eastAsia="Calibri"/>
          <w:b/>
          <w:bCs/>
          <w:color w:val="000000" w:themeColor="text1"/>
        </w:rPr>
        <w:t xml:space="preserve">Ongoing maintenance </w:t>
      </w:r>
      <w:r w:rsidRPr="00DF111B" w:rsidR="00DF111B">
        <w:rPr>
          <w:rFonts w:eastAsia="Calibri"/>
          <w:b/>
          <w:bCs/>
          <w:color w:val="000000" w:themeColor="text1"/>
        </w:rPr>
        <w:t>(</w:t>
      </w:r>
      <w:r w:rsidR="00B23FDF">
        <w:rPr>
          <w:rFonts w:eastAsia="Calibri"/>
          <w:b/>
          <w:bCs/>
          <w:color w:val="000000" w:themeColor="text1"/>
        </w:rPr>
        <w:t>direct chart review</w:t>
      </w:r>
      <w:r w:rsidRPr="00DF111B" w:rsidR="00DF111B">
        <w:rPr>
          <w:rFonts w:eastAsia="Calibri"/>
          <w:b/>
          <w:bCs/>
          <w:color w:val="000000" w:themeColor="text1"/>
        </w:rPr>
        <w:t>)</w:t>
      </w:r>
      <w:r w:rsidRPr="00DF111B">
        <w:rPr>
          <w:rFonts w:eastAsia="Calibri"/>
          <w:b/>
          <w:bCs/>
          <w:color w:val="000000" w:themeColor="text1"/>
        </w:rPr>
        <w:t>:</w:t>
      </w:r>
      <w:r w:rsidRPr="00DF111B">
        <w:rPr>
          <w:rFonts w:eastAsia="Calibri"/>
          <w:color w:val="000000" w:themeColor="text1"/>
        </w:rPr>
        <w:t xml:space="preserve"> </w:t>
      </w:r>
      <w:r w:rsidRPr="00DF111B" w:rsidR="00613130">
        <w:rPr>
          <w:rFonts w:eastAsia="Calibri"/>
          <w:color w:val="000000" w:themeColor="text1"/>
        </w:rPr>
        <w:t xml:space="preserve">SAMHSA estimates that </w:t>
      </w:r>
      <w:r w:rsidRPr="00DF111B" w:rsidR="009120ED">
        <w:rPr>
          <w:rFonts w:eastAsia="Calibri"/>
          <w:color w:val="000000" w:themeColor="text1"/>
        </w:rPr>
        <w:t>participating hospitals allocate 1.5 hours for ongoing maintenance activities</w:t>
      </w:r>
      <w:r w:rsidR="00B27F60">
        <w:rPr>
          <w:rFonts w:eastAsia="Calibri"/>
          <w:color w:val="000000" w:themeColor="text1"/>
        </w:rPr>
        <w:t>, including</w:t>
      </w:r>
      <w:r w:rsidRPr="00DF111B" w:rsidR="009120ED">
        <w:rPr>
          <w:rFonts w:eastAsia="Calibri"/>
          <w:color w:val="000000" w:themeColor="text1"/>
        </w:rPr>
        <w:t xml:space="preserve"> 0.5 hours annually to conduct EHR audits to track appropriate HIPAA related activities</w:t>
      </w:r>
      <w:r w:rsidRPr="00DF111B" w:rsidR="00613130">
        <w:rPr>
          <w:rFonts w:eastAsia="Calibri"/>
          <w:color w:val="000000" w:themeColor="text1"/>
        </w:rPr>
        <w:t xml:space="preserve"> and</w:t>
      </w:r>
      <w:r w:rsidRPr="00DF111B" w:rsidR="009120ED">
        <w:rPr>
          <w:color w:val="000000" w:themeColor="text1"/>
        </w:rPr>
        <w:t xml:space="preserve"> 1 hour annually to undergo ongoing </w:t>
      </w:r>
      <w:r w:rsidR="00DF111B">
        <w:rPr>
          <w:color w:val="000000" w:themeColor="text1"/>
        </w:rPr>
        <w:t>data access</w:t>
      </w:r>
      <w:r w:rsidRPr="00DF111B" w:rsidR="009120ED">
        <w:rPr>
          <w:color w:val="000000" w:themeColor="text1"/>
        </w:rPr>
        <w:t xml:space="preserve"> maintenance.</w:t>
      </w:r>
      <w:r w:rsidRPr="00DF111B" w:rsidR="00613130">
        <w:rPr>
          <w:color w:val="000000" w:themeColor="text1"/>
        </w:rPr>
        <w:t xml:space="preserve"> </w:t>
      </w:r>
    </w:p>
    <w:p w:rsidR="00B27F60" w:rsidRPr="00DF111B" w:rsidP="00B27F60" w14:paraId="57F15FB7" w14:textId="77777777">
      <w:pPr>
        <w:pStyle w:val="ListParagraph"/>
        <w:spacing w:after="100" w:afterAutospacing="1"/>
        <w:rPr>
          <w:color w:val="000000" w:themeColor="text1"/>
        </w:rPr>
      </w:pPr>
    </w:p>
    <w:p w:rsidR="009D41DD" w:rsidRPr="001A61CE" w:rsidP="00850DA5" w14:paraId="4D8AB991" w14:textId="0B5854FA">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00" w:afterAutospacing="1"/>
        <w:rPr>
          <w:rFonts w:eastAsia="Calibri"/>
          <w:color w:val="000000" w:themeColor="text1"/>
        </w:rPr>
      </w:pPr>
      <w:r w:rsidRPr="001A61CE">
        <w:rPr>
          <w:rFonts w:eastAsia="Calibri"/>
          <w:b/>
          <w:bCs/>
          <w:color w:val="000000" w:themeColor="text1"/>
        </w:rPr>
        <w:t>Ongoing Maintenance (ML with NLP)</w:t>
      </w:r>
      <w:r>
        <w:rPr>
          <w:rFonts w:eastAsia="Calibri"/>
          <w:b/>
          <w:bCs/>
          <w:color w:val="000000" w:themeColor="text1"/>
        </w:rPr>
        <w:t xml:space="preserve">: </w:t>
      </w:r>
      <w:r w:rsidRPr="001A61CE" w:rsidR="00613130">
        <w:rPr>
          <w:rFonts w:eastAsia="Calibri"/>
          <w:color w:val="000000" w:themeColor="text1"/>
        </w:rPr>
        <w:t>SAMHSA</w:t>
      </w:r>
      <w:r w:rsidRPr="001A61CE">
        <w:rPr>
          <w:rFonts w:eastAsia="Calibri"/>
          <w:color w:val="000000" w:themeColor="text1"/>
        </w:rPr>
        <w:t xml:space="preserve"> estimate</w:t>
      </w:r>
      <w:r w:rsidR="00A94E38">
        <w:rPr>
          <w:rFonts w:eastAsia="Calibri"/>
          <w:color w:val="000000" w:themeColor="text1"/>
        </w:rPr>
        <w:t>s</w:t>
      </w:r>
      <w:r w:rsidRPr="001A61CE">
        <w:rPr>
          <w:rFonts w:eastAsia="Calibri"/>
          <w:color w:val="000000" w:themeColor="text1"/>
        </w:rPr>
        <w:t xml:space="preserve"> 6 hours of hospital staff time in post-setup years for technical support and maintenance for the automated data transfer routine</w:t>
      </w:r>
      <w:r w:rsidRPr="001A61CE" w:rsidR="00327689">
        <w:rPr>
          <w:rFonts w:eastAsia="Calibri"/>
          <w:color w:val="000000" w:themeColor="text1"/>
        </w:rPr>
        <w:t xml:space="preserve"> and</w:t>
      </w:r>
      <w:r w:rsidRPr="001A61CE">
        <w:rPr>
          <w:rFonts w:eastAsia="Calibri"/>
          <w:color w:val="000000" w:themeColor="text1"/>
        </w:rPr>
        <w:t xml:space="preserve"> </w:t>
      </w:r>
      <w:r w:rsidRPr="001A61CE" w:rsidR="00327689">
        <w:rPr>
          <w:rFonts w:eastAsia="Calibri"/>
          <w:color w:val="000000" w:themeColor="text1"/>
        </w:rPr>
        <w:t>user accounts</w:t>
      </w:r>
      <w:r w:rsidR="00B27F60">
        <w:rPr>
          <w:rFonts w:eastAsia="Calibri"/>
          <w:color w:val="000000" w:themeColor="text1"/>
        </w:rPr>
        <w:t xml:space="preserve"> for </w:t>
      </w:r>
      <w:r w:rsidRPr="00F626BE" w:rsidR="00B27F60">
        <w:rPr>
          <w:rFonts w:eastAsia="Calibri"/>
          <w:color w:val="000000" w:themeColor="text1"/>
        </w:rPr>
        <w:t>hospital</w:t>
      </w:r>
      <w:r w:rsidR="00B27F60">
        <w:rPr>
          <w:rFonts w:eastAsia="Calibri"/>
          <w:color w:val="000000" w:themeColor="text1"/>
        </w:rPr>
        <w:t>s choos</w:t>
      </w:r>
      <w:r w:rsidR="00A94E38">
        <w:rPr>
          <w:rFonts w:eastAsia="Calibri"/>
          <w:color w:val="000000" w:themeColor="text1"/>
        </w:rPr>
        <w:t>ing the</w:t>
      </w:r>
      <w:r w:rsidRPr="00F626BE" w:rsidR="00B27F60">
        <w:rPr>
          <w:rFonts w:eastAsia="Calibri"/>
          <w:color w:val="000000" w:themeColor="text1"/>
        </w:rPr>
        <w:t xml:space="preserve"> ML with </w:t>
      </w:r>
      <w:r w:rsidRPr="00F33081" w:rsidR="00B27F60">
        <w:rPr>
          <w:rFonts w:eastAsia="Calibri"/>
          <w:color w:val="000000" w:themeColor="text1"/>
        </w:rPr>
        <w:t xml:space="preserve">NPL </w:t>
      </w:r>
      <w:r w:rsidRPr="00F33081" w:rsidR="00B27F60">
        <w:t>option</w:t>
      </w:r>
      <w:r w:rsidR="00A94E38">
        <w:t>.</w:t>
      </w:r>
    </w:p>
    <w:p w:rsidR="00891886" w:rsidP="00891886" w14:paraId="102061EB" w14:textId="531EF942">
      <w:pPr>
        <w:pStyle w:val="BodyText"/>
        <w:ind w:left="0" w:right="80"/>
        <w:rPr>
          <w:rFonts w:cs="Times New Roman"/>
          <w:b/>
          <w:bCs/>
        </w:rPr>
      </w:pPr>
      <w:r w:rsidRPr="007162B8">
        <w:rPr>
          <w:rFonts w:cs="Times New Roman"/>
          <w:b/>
          <w:bCs/>
          <w:u w:val="single" w:color="000000"/>
        </w:rPr>
        <w:t>Basis for Hour Costs Esti</w:t>
      </w:r>
      <w:r w:rsidRPr="007162B8">
        <w:rPr>
          <w:rFonts w:cs="Times New Roman"/>
          <w:b/>
          <w:bCs/>
          <w:spacing w:val="-2"/>
          <w:u w:val="single" w:color="000000"/>
        </w:rPr>
        <w:t>m</w:t>
      </w:r>
      <w:r w:rsidRPr="007162B8">
        <w:rPr>
          <w:rFonts w:cs="Times New Roman"/>
          <w:b/>
          <w:bCs/>
          <w:u w:val="single" w:color="000000"/>
        </w:rPr>
        <w:t>ate</w:t>
      </w:r>
      <w:r w:rsidRPr="007162B8">
        <w:rPr>
          <w:rFonts w:cs="Times New Roman"/>
          <w:b/>
          <w:bCs/>
          <w:spacing w:val="-1"/>
          <w:u w:val="single" w:color="000000"/>
        </w:rPr>
        <w:t>s</w:t>
      </w:r>
      <w:r w:rsidRPr="007162B8">
        <w:rPr>
          <w:rFonts w:cs="Times New Roman"/>
          <w:b/>
          <w:bCs/>
        </w:rPr>
        <w:t>:</w:t>
      </w:r>
    </w:p>
    <w:p w:rsidR="002F0E8B" w:rsidP="00850DA5" w14:paraId="798B24EA" w14:textId="56C09FC2">
      <w:pPr>
        <w:pStyle w:val="NormalWeb"/>
        <w:tabs>
          <w:tab w:val="left" w:pos="360"/>
        </w:tabs>
        <w:spacing w:before="0" w:beforeAutospacing="0" w:after="0" w:afterAutospacing="0"/>
        <w:ind w:left="720"/>
      </w:pPr>
      <w:r w:rsidRPr="000B574C">
        <w:rPr>
          <w:spacing w:val="-2"/>
        </w:rPr>
        <w:t>T</w:t>
      </w:r>
      <w:r w:rsidRPr="000B574C">
        <w:t>he</w:t>
      </w:r>
      <w:r w:rsidRPr="000B574C">
        <w:rPr>
          <w:spacing w:val="-1"/>
        </w:rPr>
        <w:t xml:space="preserve"> </w:t>
      </w:r>
      <w:r>
        <w:t xml:space="preserve">hospital </w:t>
      </w:r>
      <w:r w:rsidRPr="000B574C">
        <w:t>staff</w:t>
      </w:r>
      <w:r w:rsidRPr="000B574C">
        <w:rPr>
          <w:spacing w:val="-1"/>
        </w:rPr>
        <w:t xml:space="preserve"> </w:t>
      </w:r>
      <w:r w:rsidRPr="000B574C">
        <w:t>that</w:t>
      </w:r>
      <w:r>
        <w:t xml:space="preserve"> spend time </w:t>
      </w:r>
      <w:r w:rsidR="00DF639A">
        <w:t>during the initial outreach and recruitment stage</w:t>
      </w:r>
      <w:r>
        <w:rPr>
          <w:spacing w:val="-1"/>
        </w:rPr>
        <w:t xml:space="preserve"> </w:t>
      </w:r>
      <w:r w:rsidR="00DF639A">
        <w:rPr>
          <w:spacing w:val="-1"/>
        </w:rPr>
        <w:t>(</w:t>
      </w:r>
      <w:r w:rsidR="00DF639A">
        <w:rPr>
          <w:rFonts w:eastAsia="Calibri"/>
          <w:color w:val="000000" w:themeColor="text1"/>
        </w:rPr>
        <w:t xml:space="preserve">reviewing the outreach material, engage in discussion with DAWN contractor, review and execute the agreement) </w:t>
      </w:r>
      <w:r w:rsidR="00DF639A">
        <w:t>are</w:t>
      </w:r>
      <w:r w:rsidRPr="000B574C">
        <w:t xml:space="preserve"> generally </w:t>
      </w:r>
      <w:r w:rsidRPr="000B574C">
        <w:rPr>
          <w:spacing w:val="-2"/>
        </w:rPr>
        <w:t>m</w:t>
      </w:r>
      <w:r w:rsidRPr="000B574C">
        <w:t>id- to</w:t>
      </w:r>
      <w:r w:rsidRPr="000B574C">
        <w:rPr>
          <w:spacing w:val="-3"/>
        </w:rPr>
        <w:t xml:space="preserve"> </w:t>
      </w:r>
      <w:r w:rsidRPr="000B574C">
        <w:rPr>
          <w:spacing w:val="-1"/>
        </w:rPr>
        <w:t>senior-leve</w:t>
      </w:r>
      <w:r w:rsidRPr="000B574C">
        <w:t>l</w:t>
      </w:r>
      <w:r w:rsidRPr="000B574C">
        <w:rPr>
          <w:spacing w:val="-1"/>
        </w:rPr>
        <w:t xml:space="preserve"> staff</w:t>
      </w:r>
      <w:r w:rsidRPr="000B574C">
        <w:t xml:space="preserve">.  Based on </w:t>
      </w:r>
      <w:r>
        <w:t xml:space="preserve">latest </w:t>
      </w:r>
      <w:r w:rsidRPr="000B574C">
        <w:t xml:space="preserve">data from the Bureau of Labor Statistics’ </w:t>
      </w:r>
      <w:r w:rsidRPr="000B574C">
        <w:rPr>
          <w:i/>
        </w:rPr>
        <w:t>Occupational Outlook Handbook</w:t>
      </w:r>
      <w:r>
        <w:rPr>
          <w:i/>
        </w:rPr>
        <w:t xml:space="preserve"> (2021)</w:t>
      </w:r>
      <w:r w:rsidRPr="000B574C">
        <w:rPr>
          <w:i/>
        </w:rPr>
        <w:t xml:space="preserve">, </w:t>
      </w:r>
      <w:r w:rsidRPr="000B574C">
        <w:t>the</w:t>
      </w:r>
      <w:r w:rsidRPr="000B574C">
        <w:rPr>
          <w:spacing w:val="-1"/>
        </w:rPr>
        <w:t xml:space="preserve"> </w:t>
      </w:r>
      <w:r>
        <w:t xml:space="preserve">median wage </w:t>
      </w:r>
      <w:r w:rsidRPr="000B574C">
        <w:t>for</w:t>
      </w:r>
      <w:r w:rsidRPr="000B574C">
        <w:rPr>
          <w:spacing w:val="-1"/>
        </w:rPr>
        <w:t xml:space="preserve"> </w:t>
      </w:r>
      <w:r w:rsidRPr="000B574C">
        <w:t>this</w:t>
      </w:r>
      <w:r w:rsidRPr="000B574C">
        <w:rPr>
          <w:spacing w:val="-1"/>
        </w:rPr>
        <w:t xml:space="preserve"> </w:t>
      </w:r>
      <w:r w:rsidRPr="000B574C">
        <w:t>level (medical and health</w:t>
      </w:r>
      <w:r>
        <w:t xml:space="preserve"> service</w:t>
      </w:r>
      <w:r w:rsidRPr="000B574C">
        <w:t xml:space="preserve"> managers)</w:t>
      </w:r>
      <w:r w:rsidRPr="000B574C">
        <w:rPr>
          <w:spacing w:val="-1"/>
        </w:rPr>
        <w:t xml:space="preserve"> </w:t>
      </w:r>
      <w:r w:rsidRPr="00DB5A85">
        <w:t>is</w:t>
      </w:r>
      <w:r w:rsidRPr="00DB5A85">
        <w:rPr>
          <w:spacing w:val="-1"/>
        </w:rPr>
        <w:t xml:space="preserve"> </w:t>
      </w:r>
      <w:r w:rsidRPr="00DB5A85">
        <w:t>$48.72</w:t>
      </w:r>
      <w:r w:rsidRPr="000B574C">
        <w:t xml:space="preserve"> per</w:t>
      </w:r>
      <w:r w:rsidRPr="000B574C">
        <w:rPr>
          <w:spacing w:val="-1"/>
        </w:rPr>
        <w:t xml:space="preserve"> </w:t>
      </w:r>
      <w:r w:rsidRPr="000B574C">
        <w:t>hour</w:t>
      </w:r>
      <w:r>
        <w:t>.</w:t>
      </w:r>
    </w:p>
    <w:p w:rsidR="002F0E8B" w:rsidP="002F0E8B" w14:paraId="22ECCE78" w14:textId="77777777">
      <w:pPr>
        <w:pStyle w:val="NormalWeb"/>
        <w:tabs>
          <w:tab w:val="left" w:pos="360"/>
        </w:tabs>
        <w:spacing w:before="0" w:beforeAutospacing="0" w:after="0" w:afterAutospacing="0"/>
      </w:pPr>
    </w:p>
    <w:p w:rsidR="00EF2475" w:rsidP="00850DA5" w14:paraId="18EC3E34" w14:textId="36BDC45F">
      <w:pPr>
        <w:pStyle w:val="NormalWeb"/>
        <w:tabs>
          <w:tab w:val="left" w:pos="360"/>
        </w:tabs>
        <w:spacing w:before="0" w:beforeAutospacing="0" w:after="0" w:afterAutospacing="0"/>
        <w:ind w:left="720"/>
      </w:pPr>
      <w:r w:rsidRPr="002F0E8B">
        <w:rPr>
          <w:spacing w:val="-2"/>
        </w:rPr>
        <w:t>T</w:t>
      </w:r>
      <w:r w:rsidRPr="000B574C">
        <w:t>he</w:t>
      </w:r>
      <w:r w:rsidRPr="002F0E8B" w:rsidR="00626641">
        <w:rPr>
          <w:spacing w:val="-1"/>
        </w:rPr>
        <w:t xml:space="preserve"> hospital</w:t>
      </w:r>
      <w:r w:rsidRPr="002F0E8B">
        <w:rPr>
          <w:spacing w:val="-1"/>
        </w:rPr>
        <w:t xml:space="preserve"> </w:t>
      </w:r>
      <w:r w:rsidRPr="000B574C">
        <w:t>staff</w:t>
      </w:r>
      <w:r w:rsidRPr="002F0E8B">
        <w:rPr>
          <w:spacing w:val="-1"/>
        </w:rPr>
        <w:t xml:space="preserve"> </w:t>
      </w:r>
      <w:r w:rsidRPr="000B574C">
        <w:t>that</w:t>
      </w:r>
      <w:r w:rsidRPr="002F0E8B" w:rsidR="00A726E5">
        <w:rPr>
          <w:spacing w:val="-1"/>
        </w:rPr>
        <w:t xml:space="preserve"> </w:t>
      </w:r>
      <w:r w:rsidRPr="002F0E8B" w:rsidR="006F591B">
        <w:rPr>
          <w:spacing w:val="-1"/>
        </w:rPr>
        <w:t>spend time on</w:t>
      </w:r>
      <w:r w:rsidRPr="002F0E8B" w:rsidR="00A726E5">
        <w:rPr>
          <w:spacing w:val="-1"/>
        </w:rPr>
        <w:t xml:space="preserve"> </w:t>
      </w:r>
      <w:r w:rsidRPr="002F0E8B" w:rsidR="00A726E5">
        <w:rPr>
          <w:rFonts w:eastAsia="Calibri"/>
          <w:color w:val="000000" w:themeColor="text1"/>
        </w:rPr>
        <w:t xml:space="preserve">setting up </w:t>
      </w:r>
      <w:r w:rsidRPr="002F0E8B" w:rsidR="002F0E8B">
        <w:rPr>
          <w:rFonts w:eastAsia="Calibri"/>
          <w:color w:val="000000" w:themeColor="text1"/>
        </w:rPr>
        <w:t xml:space="preserve">ED record provision </w:t>
      </w:r>
      <w:r w:rsidRPr="002F0E8B" w:rsidR="00626641">
        <w:rPr>
          <w:rFonts w:eastAsia="Calibri"/>
          <w:color w:val="000000" w:themeColor="text1"/>
        </w:rPr>
        <w:t xml:space="preserve">and ongoing maintenance activities </w:t>
      </w:r>
      <w:r w:rsidRPr="002F0E8B" w:rsidR="00A726E5">
        <w:rPr>
          <w:rFonts w:eastAsia="Calibri"/>
          <w:color w:val="000000" w:themeColor="text1"/>
        </w:rPr>
        <w:t xml:space="preserve">for </w:t>
      </w:r>
      <w:r w:rsidRPr="002F0E8B" w:rsidR="006F591B">
        <w:rPr>
          <w:rFonts w:eastAsia="Calibri"/>
          <w:color w:val="000000" w:themeColor="text1"/>
        </w:rPr>
        <w:t xml:space="preserve">DAWN data collection are usually </w:t>
      </w:r>
      <w:r w:rsidRPr="000B574C" w:rsidR="006F591B">
        <w:t>juni</w:t>
      </w:r>
      <w:r w:rsidRPr="00DB5A85" w:rsidR="006F591B">
        <w:t>or sta</w:t>
      </w:r>
      <w:r w:rsidRPr="002F0E8B" w:rsidR="006F591B">
        <w:rPr>
          <w:spacing w:val="-2"/>
        </w:rPr>
        <w:t>f</w:t>
      </w:r>
      <w:r w:rsidRPr="00DB5A85" w:rsidR="006F591B">
        <w:t>f (health information techn</w:t>
      </w:r>
      <w:r w:rsidR="00D97A2E">
        <w:t>ologist</w:t>
      </w:r>
      <w:r w:rsidRPr="00DB5A85" w:rsidR="006F591B">
        <w:t>)</w:t>
      </w:r>
      <w:r w:rsidR="006F591B">
        <w:t xml:space="preserve">. </w:t>
      </w:r>
      <w:r w:rsidR="00267DCB">
        <w:t xml:space="preserve"> </w:t>
      </w:r>
      <w:r w:rsidRPr="000B574C">
        <w:t xml:space="preserve">Based on </w:t>
      </w:r>
      <w:r>
        <w:t xml:space="preserve">latest </w:t>
      </w:r>
      <w:r w:rsidRPr="000B574C">
        <w:t xml:space="preserve">data from the Bureau of </w:t>
      </w:r>
      <w:r w:rsidR="00DF639A">
        <w:t>L</w:t>
      </w:r>
      <w:r w:rsidRPr="000B574C">
        <w:t xml:space="preserve">abor Statistics’ </w:t>
      </w:r>
      <w:r w:rsidRPr="002F0E8B">
        <w:rPr>
          <w:i/>
        </w:rPr>
        <w:t xml:space="preserve">Occupational Outlook Handbook (2021), </w:t>
      </w:r>
      <w:r w:rsidRPr="000B574C">
        <w:t>the</w:t>
      </w:r>
      <w:r w:rsidRPr="002F0E8B">
        <w:rPr>
          <w:spacing w:val="-1"/>
        </w:rPr>
        <w:t xml:space="preserve"> </w:t>
      </w:r>
      <w:r>
        <w:t xml:space="preserve">median wage </w:t>
      </w:r>
      <w:r w:rsidRPr="000B574C">
        <w:t>for</w:t>
      </w:r>
      <w:r w:rsidRPr="007A02F1" w:rsidR="007A02F1">
        <w:t xml:space="preserve"> </w:t>
      </w:r>
      <w:r w:rsidRPr="00DB5A85" w:rsidR="007A02F1">
        <w:t>health information techn</w:t>
      </w:r>
      <w:r w:rsidR="007A02F1">
        <w:t>ologist</w:t>
      </w:r>
      <w:r w:rsidRPr="002F0E8B">
        <w:rPr>
          <w:spacing w:val="-1"/>
        </w:rPr>
        <w:t xml:space="preserve"> </w:t>
      </w:r>
      <w:r w:rsidR="006F591B">
        <w:t xml:space="preserve">is </w:t>
      </w:r>
      <w:r w:rsidRPr="00EC26A5" w:rsidR="006F591B">
        <w:t>$</w:t>
      </w:r>
      <w:r w:rsidRPr="00DB5A85" w:rsidR="00D97A2E">
        <w:t>26.71</w:t>
      </w:r>
      <w:r w:rsidRPr="002F0E8B" w:rsidR="00D97A2E">
        <w:rPr>
          <w:spacing w:val="-1"/>
        </w:rPr>
        <w:t xml:space="preserve"> </w:t>
      </w:r>
      <w:r w:rsidRPr="00EC26A5" w:rsidR="006F591B">
        <w:t xml:space="preserve"> per hour.</w:t>
      </w:r>
      <w:r w:rsidR="006F591B">
        <w:t xml:space="preserve">  </w:t>
      </w:r>
    </w:p>
    <w:p w:rsidR="00A52739" w:rsidP="0090001F" w14:paraId="46D2E3D1" w14:textId="0E02E5AE">
      <w:pPr>
        <w:pStyle w:val="BodyText"/>
        <w:ind w:left="0" w:right="80"/>
        <w:rPr>
          <w:rFonts w:cs="Times New Roman"/>
        </w:rPr>
      </w:pPr>
    </w:p>
    <w:p w:rsidR="003A5BE7" w:rsidRPr="003E6FF2" w:rsidP="006F591B" w14:paraId="20320B8C" w14:textId="77777777">
      <w:pPr>
        <w:pStyle w:val="BodyText"/>
        <w:spacing w:before="88"/>
        <w:ind w:left="0" w:right="80"/>
        <w:rPr>
          <w:rFonts w:cs="Times New Roman"/>
        </w:rPr>
      </w:pPr>
    </w:p>
    <w:p w:rsidR="000D02B6" w:rsidRPr="00CD0055" w14:paraId="4C07320B" w14:textId="33459815">
      <w:pPr>
        <w:pStyle w:val="NormalWeb"/>
        <w:numPr>
          <w:ilvl w:val="0"/>
          <w:numId w:val="6"/>
        </w:numPr>
        <w:tabs>
          <w:tab w:val="left" w:pos="360"/>
        </w:tabs>
        <w:spacing w:before="0" w:beforeAutospacing="0"/>
        <w:ind w:hanging="720"/>
        <w:rPr>
          <w:b/>
          <w:bCs/>
        </w:rPr>
      </w:pPr>
      <w:r w:rsidRPr="00CD0055">
        <w:rPr>
          <w:b/>
          <w:bCs/>
        </w:rPr>
        <w:t xml:space="preserve">Estimates of Annualized Cost Burden to Respondents </w:t>
      </w:r>
    </w:p>
    <w:p w:rsidR="00E65A60" w:rsidP="000D02B6" w14:paraId="5D8E0AEB" w14:textId="035FF92A">
      <w:pPr>
        <w:pStyle w:val="NormalWeb"/>
        <w:tabs>
          <w:tab w:val="left" w:pos="360"/>
        </w:tabs>
        <w:spacing w:before="0" w:beforeAutospacing="0" w:after="0" w:afterAutospacing="0"/>
      </w:pPr>
      <w:r w:rsidRPr="0043659E">
        <w:t xml:space="preserve">Respondent (participating hospitals) will not incur capital or start-up costs such as purchasing computers or software, monitoring, sampling, equipment, or record storage when participating in DAWN. </w:t>
      </w:r>
      <w:r w:rsidRPr="0043659E" w:rsidR="00F07D06">
        <w:t xml:space="preserve"> </w:t>
      </w:r>
      <w:r w:rsidRPr="0043659E">
        <w:t>Office</w:t>
      </w:r>
      <w:r w:rsidRPr="00CD0055">
        <w:t xml:space="preserve"> space and computer equipment used by </w:t>
      </w:r>
      <w:r w:rsidR="00E843F2">
        <w:t>a</w:t>
      </w:r>
      <w:r w:rsidRPr="00CD0055">
        <w:t xml:space="preserve">bstractors are already in place for participating hospitals’ general operational purposes and are not resulting from participating in DAWN. </w:t>
      </w:r>
      <w:r w:rsidRPr="00CD0055" w:rsidR="00F07D06">
        <w:t xml:space="preserve"> </w:t>
      </w:r>
      <w:r w:rsidRPr="00CD0055">
        <w:t xml:space="preserve">Where necessary, DAWN </w:t>
      </w:r>
      <w:r w:rsidR="00EE234A">
        <w:t xml:space="preserve">contractor </w:t>
      </w:r>
      <w:r w:rsidRPr="00CD0055">
        <w:t xml:space="preserve">provides laptop computers and internet connections so data can be collected and submitted electronically </w:t>
      </w:r>
      <w:r w:rsidRPr="00CD0055" w:rsidR="00B726A5">
        <w:t xml:space="preserve">by </w:t>
      </w:r>
      <w:r w:rsidR="00EE234A">
        <w:t>a</w:t>
      </w:r>
      <w:r w:rsidRPr="00CD0055" w:rsidR="00B726A5">
        <w:t>bstractors</w:t>
      </w:r>
      <w:r w:rsidRPr="00CD0055" w:rsidR="003C69CE">
        <w:t>.</w:t>
      </w:r>
    </w:p>
    <w:p w:rsidR="0043659E" w:rsidP="000D02B6" w14:paraId="71142C0F" w14:textId="77777777">
      <w:pPr>
        <w:pStyle w:val="NormalWeb"/>
        <w:tabs>
          <w:tab w:val="left" w:pos="360"/>
        </w:tabs>
        <w:spacing w:before="0" w:beforeAutospacing="0" w:after="0" w:afterAutospacing="0"/>
      </w:pPr>
    </w:p>
    <w:p w:rsidR="00EE234A" w:rsidRPr="000D02B6" w:rsidP="000D02B6" w14:paraId="595EBDC6" w14:textId="77777777">
      <w:pPr>
        <w:pStyle w:val="NormalWeb"/>
        <w:tabs>
          <w:tab w:val="left" w:pos="360"/>
        </w:tabs>
        <w:spacing w:before="0" w:beforeAutospacing="0" w:after="0" w:afterAutospacing="0"/>
        <w:rPr>
          <w:b/>
          <w:bCs/>
        </w:rPr>
      </w:pPr>
    </w:p>
    <w:p w:rsidR="00461B7E" w14:paraId="6360DEEA" w14:textId="77777777">
      <w:pPr>
        <w:pStyle w:val="NormalWeb"/>
        <w:numPr>
          <w:ilvl w:val="0"/>
          <w:numId w:val="6"/>
        </w:numPr>
        <w:tabs>
          <w:tab w:val="left" w:pos="360"/>
        </w:tabs>
        <w:spacing w:before="0" w:beforeAutospacing="0"/>
        <w:ind w:hanging="720"/>
        <w:rPr>
          <w:b/>
          <w:bCs/>
        </w:rPr>
      </w:pPr>
      <w:r w:rsidRPr="00741AF7">
        <w:rPr>
          <w:b/>
          <w:bCs/>
        </w:rPr>
        <w:t>Estimates of Annualized Cost to the Government</w:t>
      </w:r>
    </w:p>
    <w:p w:rsidR="00F10FFE" w:rsidRPr="00055066" w:rsidP="00F10FFE" w14:paraId="1ABE09C6" w14:textId="13E66D84">
      <w:pPr>
        <w:rPr>
          <w:b/>
          <w:bCs/>
        </w:rPr>
      </w:pPr>
      <w:r w:rsidRPr="6221A555">
        <w:rPr>
          <w:rStyle w:val="BodyTextChar"/>
          <w:rFonts w:eastAsiaTheme="minorEastAsia"/>
          <w:i/>
          <w:iCs/>
        </w:rPr>
        <w:t xml:space="preserve">Contract Cost: </w:t>
      </w:r>
      <w:r w:rsidRPr="6221A555">
        <w:rPr>
          <w:rStyle w:val="BodyTextChar"/>
          <w:rFonts w:eastAsiaTheme="minorEastAsia"/>
        </w:rPr>
        <w:t xml:space="preserve">The annualized cost to the Government for the DAWN contract is approximately </w:t>
      </w:r>
      <w:r w:rsidRPr="00DC7F9F">
        <w:rPr>
          <w:rStyle w:val="BodyTextChar"/>
          <w:rFonts w:eastAsiaTheme="minorEastAsia"/>
        </w:rPr>
        <w:t>$1</w:t>
      </w:r>
      <w:r w:rsidRPr="00DC7F9F" w:rsidR="1085072C">
        <w:rPr>
          <w:rStyle w:val="BodyTextChar"/>
          <w:rFonts w:eastAsiaTheme="minorEastAsia"/>
        </w:rPr>
        <w:t>4</w:t>
      </w:r>
      <w:r w:rsidRPr="00DC7F9F">
        <w:rPr>
          <w:rStyle w:val="BodyTextChar"/>
          <w:rFonts w:eastAsiaTheme="minorEastAsia"/>
        </w:rPr>
        <w:t>,</w:t>
      </w:r>
      <w:r w:rsidRPr="00DC7F9F" w:rsidR="35D550DC">
        <w:rPr>
          <w:rStyle w:val="BodyTextChar"/>
          <w:rFonts w:eastAsiaTheme="minorEastAsia"/>
        </w:rPr>
        <w:t>000</w:t>
      </w:r>
      <w:r w:rsidRPr="00DC7F9F" w:rsidR="00DC7F9F">
        <w:rPr>
          <w:rStyle w:val="BodyTextChar"/>
          <w:rFonts w:eastAsiaTheme="minorEastAsia"/>
        </w:rPr>
        <w:t>,</w:t>
      </w:r>
      <w:r w:rsidRPr="00DC7F9F" w:rsidR="35D550DC">
        <w:rPr>
          <w:rStyle w:val="BodyTextChar"/>
          <w:rFonts w:eastAsiaTheme="minorEastAsia"/>
        </w:rPr>
        <w:t>000</w:t>
      </w:r>
      <w:r w:rsidRPr="00DC7F9F">
        <w:rPr>
          <w:rStyle w:val="BodyTextChar"/>
          <w:rFonts w:eastAsiaTheme="minorEastAsia"/>
        </w:rPr>
        <w:t>.</w:t>
      </w:r>
      <w:r w:rsidRPr="6221A555">
        <w:rPr>
          <w:rStyle w:val="BodyTextChar"/>
          <w:rFonts w:eastAsiaTheme="minorEastAsia"/>
        </w:rPr>
        <w:t xml:space="preserve"> </w:t>
      </w:r>
    </w:p>
    <w:p w:rsidR="00F10FFE" w:rsidP="00F10FFE" w14:paraId="7777690F" w14:textId="77777777">
      <w:pPr>
        <w:pStyle w:val="BodyText"/>
        <w:tabs>
          <w:tab w:val="left" w:pos="460"/>
        </w:tabs>
        <w:ind w:left="0" w:right="80"/>
        <w:rPr>
          <w:rFonts w:cs="Times New Roman"/>
          <w:i/>
          <w:iCs/>
        </w:rPr>
      </w:pPr>
    </w:p>
    <w:p w:rsidR="00F10FFE" w:rsidP="00F10FFE" w14:paraId="3B06657A" w14:textId="0A042FB5">
      <w:pPr>
        <w:pStyle w:val="BodyText"/>
        <w:tabs>
          <w:tab w:val="left" w:pos="460"/>
        </w:tabs>
        <w:ind w:left="0" w:right="80"/>
      </w:pPr>
      <w:r w:rsidRPr="000B574C">
        <w:rPr>
          <w:rFonts w:cs="Times New Roman"/>
          <w:i/>
          <w:iCs/>
        </w:rPr>
        <w:t xml:space="preserve">SAMHSA </w:t>
      </w:r>
      <w:r>
        <w:rPr>
          <w:rFonts w:cs="Times New Roman"/>
          <w:i/>
          <w:iCs/>
        </w:rPr>
        <w:t>Staff</w:t>
      </w:r>
      <w:r w:rsidRPr="2B8A5540">
        <w:rPr>
          <w:rFonts w:cs="Times New Roman"/>
        </w:rPr>
        <w:t>:</w:t>
      </w:r>
      <w:r w:rsidRPr="000B574C">
        <w:rPr>
          <w:rFonts w:cs="Times New Roman"/>
          <w:b/>
          <w:bCs/>
        </w:rPr>
        <w:t xml:space="preserve"> </w:t>
      </w:r>
      <w:r w:rsidRPr="000B574C">
        <w:rPr>
          <w:rFonts w:cs="Times New Roman"/>
        </w:rPr>
        <w:t xml:space="preserve">The cost for </w:t>
      </w:r>
      <w:r>
        <w:rPr>
          <w:rFonts w:cs="Times New Roman"/>
        </w:rPr>
        <w:t xml:space="preserve">multiple federal staff’s time spent on </w:t>
      </w:r>
      <w:r w:rsidRPr="2B8A5540">
        <w:t xml:space="preserve">monitoring the contract, overseeing </w:t>
      </w:r>
      <w:r w:rsidR="00F172F5">
        <w:t xml:space="preserve">DAWN </w:t>
      </w:r>
      <w:r w:rsidRPr="2B8A5540">
        <w:t>data collection and operation, reviewing and drafting analytic reports, conducting quality control of all reports, designing and implementing ad ho</w:t>
      </w:r>
      <w:r>
        <w:t>c</w:t>
      </w:r>
      <w:r w:rsidRPr="2B8A5540">
        <w:t xml:space="preserve"> analysis and assessment </w:t>
      </w:r>
      <w:r>
        <w:t xml:space="preserve">is estimated to be </w:t>
      </w:r>
      <w:r w:rsidRPr="2B8A5540">
        <w:t xml:space="preserve">approximately </w:t>
      </w:r>
      <w:r w:rsidRPr="008A6D1F">
        <w:t>$</w:t>
      </w:r>
      <w:r w:rsidR="008A6D1F">
        <w:t>750</w:t>
      </w:r>
      <w:r w:rsidRPr="2B8A5540">
        <w:t>,000</w:t>
      </w:r>
      <w:r>
        <w:t xml:space="preserve"> annually.  The cost estimate is based on proportionate annual rates of </w:t>
      </w:r>
      <w:r w:rsidR="00D9329D">
        <w:t>two GS 11 staff</w:t>
      </w:r>
      <w:r w:rsidR="00045EEF">
        <w:t xml:space="preserve"> (spending 75% of th</w:t>
      </w:r>
      <w:r w:rsidR="002F09D8">
        <w:t>eir time)</w:t>
      </w:r>
      <w:r w:rsidR="00D9329D">
        <w:t xml:space="preserve">, </w:t>
      </w:r>
      <w:r w:rsidR="00BE2B77">
        <w:t>one</w:t>
      </w:r>
      <w:r>
        <w:t xml:space="preserve"> GS 12 staff</w:t>
      </w:r>
      <w:r w:rsidR="007F5ABD">
        <w:t xml:space="preserve"> </w:t>
      </w:r>
      <w:r w:rsidR="00C50AF9">
        <w:t xml:space="preserve">(75% of </w:t>
      </w:r>
      <w:r w:rsidR="002F09D8">
        <w:t>its</w:t>
      </w:r>
      <w:r w:rsidR="00C50AF9">
        <w:t xml:space="preserve"> time)</w:t>
      </w:r>
      <w:r>
        <w:t xml:space="preserve">, </w:t>
      </w:r>
      <w:r w:rsidR="00BE2B77">
        <w:t xml:space="preserve">two </w:t>
      </w:r>
      <w:r>
        <w:t>GS 13 staff</w:t>
      </w:r>
      <w:r w:rsidR="00045EEF">
        <w:t xml:space="preserve"> (75% of their time),</w:t>
      </w:r>
      <w:r w:rsidR="002F09D8">
        <w:t xml:space="preserve"> two </w:t>
      </w:r>
      <w:r>
        <w:t>GS 14 staff (</w:t>
      </w:r>
      <w:r w:rsidR="002B0CEB">
        <w:t>75</w:t>
      </w:r>
      <w:r>
        <w:t xml:space="preserve">% </w:t>
      </w:r>
      <w:r w:rsidR="002F09D8">
        <w:t xml:space="preserve">and 15% </w:t>
      </w:r>
      <w:r>
        <w:t>of their time</w:t>
      </w:r>
      <w:r w:rsidR="002F09D8">
        <w:t xml:space="preserve"> respectively</w:t>
      </w:r>
      <w:r>
        <w:t xml:space="preserve">), </w:t>
      </w:r>
      <w:r w:rsidR="00294197">
        <w:t xml:space="preserve">and two </w:t>
      </w:r>
      <w:r>
        <w:t>GS 15 staff (</w:t>
      </w:r>
      <w:r w:rsidR="00294197">
        <w:t>75% and 50</w:t>
      </w:r>
      <w:r>
        <w:t>% of their time</w:t>
      </w:r>
      <w:r w:rsidR="00294197">
        <w:t xml:space="preserve"> respectively</w:t>
      </w:r>
      <w:r>
        <w:t>).  The 2023 mid-point grade level annual rates for GS 1</w:t>
      </w:r>
      <w:r w:rsidR="00F459C5">
        <w:t>1</w:t>
      </w:r>
      <w:r>
        <w:t xml:space="preserve"> to GS 15 (Step 5) are </w:t>
      </w:r>
      <w:r w:rsidR="00D9329D">
        <w:t>$</w:t>
      </w:r>
      <w:r w:rsidRPr="00D9329D" w:rsidR="00D9329D">
        <w:t>89</w:t>
      </w:r>
      <w:r w:rsidR="00D9329D">
        <w:t>,</w:t>
      </w:r>
      <w:r w:rsidRPr="00D9329D" w:rsidR="00D9329D">
        <w:t>069</w:t>
      </w:r>
      <w:r w:rsidR="00D9329D">
        <w:t xml:space="preserve">, </w:t>
      </w:r>
      <w:r>
        <w:t>$</w:t>
      </w:r>
      <w:r w:rsidRPr="00813A09">
        <w:t>106</w:t>
      </w:r>
      <w:r>
        <w:t>,</w:t>
      </w:r>
      <w:r w:rsidRPr="00813A09">
        <w:t>759</w:t>
      </w:r>
      <w:r>
        <w:t xml:space="preserve">, </w:t>
      </w:r>
      <w:r w:rsidRPr="00C02FC9">
        <w:t>$126,949</w:t>
      </w:r>
      <w:r>
        <w:t xml:space="preserve">, </w:t>
      </w:r>
      <w:r w:rsidRPr="002F4759">
        <w:t>$150,016</w:t>
      </w:r>
      <w:r>
        <w:t>, and $</w:t>
      </w:r>
      <w:r w:rsidRPr="007001B1">
        <w:t>176</w:t>
      </w:r>
      <w:r>
        <w:t>,</w:t>
      </w:r>
      <w:r w:rsidRPr="007001B1">
        <w:t>458</w:t>
      </w:r>
      <w:r>
        <w:t xml:space="preserve"> for SAMHSA headquarter federal staff in Maryland.</w:t>
      </w:r>
    </w:p>
    <w:p w:rsidR="00F10FFE" w:rsidP="00F10FFE" w14:paraId="7F6FCB10" w14:textId="77777777">
      <w:pPr>
        <w:pStyle w:val="BodyText"/>
        <w:tabs>
          <w:tab w:val="left" w:pos="460"/>
        </w:tabs>
        <w:ind w:left="0" w:right="80"/>
      </w:pPr>
      <w:r w:rsidRPr="2B8A5540">
        <w:t xml:space="preserve"> </w:t>
      </w:r>
      <w:r>
        <w:t xml:space="preserve"> </w:t>
      </w:r>
    </w:p>
    <w:p w:rsidR="00461B7E" w:rsidP="00F10FFE" w14:paraId="2C1A568A" w14:textId="305E98A4">
      <w:r w:rsidRPr="000B574C">
        <w:t>Total</w:t>
      </w:r>
      <w:r w:rsidRPr="000B574C">
        <w:rPr>
          <w:spacing w:val="-1"/>
        </w:rPr>
        <w:t xml:space="preserve"> </w:t>
      </w:r>
      <w:r w:rsidRPr="000B574C">
        <w:t>annualized</w:t>
      </w:r>
      <w:r w:rsidRPr="000B574C">
        <w:rPr>
          <w:spacing w:val="-1"/>
        </w:rPr>
        <w:t xml:space="preserve"> </w:t>
      </w:r>
      <w:r w:rsidRPr="000B574C">
        <w:t>co</w:t>
      </w:r>
      <w:r w:rsidRPr="000B574C">
        <w:rPr>
          <w:spacing w:val="-1"/>
        </w:rPr>
        <w:t>s</w:t>
      </w:r>
      <w:r w:rsidRPr="000B574C">
        <w:t>t to</w:t>
      </w:r>
      <w:r w:rsidRPr="000B574C">
        <w:rPr>
          <w:spacing w:val="-1"/>
        </w:rPr>
        <w:t xml:space="preserve"> </w:t>
      </w:r>
      <w:r w:rsidRPr="000B574C">
        <w:t>the</w:t>
      </w:r>
      <w:r w:rsidRPr="000B574C">
        <w:rPr>
          <w:spacing w:val="-1"/>
        </w:rPr>
        <w:t xml:space="preserve"> </w:t>
      </w:r>
      <w:r w:rsidRPr="000B574C">
        <w:t>government</w:t>
      </w:r>
      <w:r w:rsidRPr="000B574C">
        <w:rPr>
          <w:spacing w:val="-1"/>
        </w:rPr>
        <w:t xml:space="preserve"> </w:t>
      </w:r>
      <w:r w:rsidRPr="00BE4140">
        <w:t>is</w:t>
      </w:r>
      <w:r w:rsidRPr="00BE4140">
        <w:rPr>
          <w:spacing w:val="-1"/>
        </w:rPr>
        <w:t xml:space="preserve"> </w:t>
      </w:r>
      <w:r w:rsidRPr="00361E43">
        <w:t>$</w:t>
      </w:r>
      <w:r w:rsidRPr="00361E43" w:rsidR="00361E43">
        <w:t>14</w:t>
      </w:r>
      <w:r w:rsidRPr="00361E43">
        <w:t>,</w:t>
      </w:r>
      <w:r w:rsidRPr="00361E43" w:rsidR="00361E43">
        <w:t>750</w:t>
      </w:r>
      <w:r w:rsidRPr="00361E43">
        <w:t>,000.</w:t>
      </w:r>
    </w:p>
    <w:p w:rsidR="0080576C" w:rsidRPr="005603D8" w:rsidP="009D4B6D" w14:paraId="61AF6969" w14:textId="77777777">
      <w:pPr>
        <w:pStyle w:val="CommentText"/>
        <w:rPr>
          <w:sz w:val="24"/>
          <w:szCs w:val="24"/>
        </w:rPr>
      </w:pPr>
    </w:p>
    <w:p w:rsidR="00461B7E" w:rsidP="00461B7E" w14:paraId="34CE4076" w14:textId="77777777">
      <w:pPr>
        <w:pStyle w:val="NormalWeb"/>
        <w:numPr>
          <w:ilvl w:val="0"/>
          <w:numId w:val="6"/>
        </w:numPr>
        <w:tabs>
          <w:tab w:val="left" w:pos="360"/>
        </w:tabs>
        <w:spacing w:before="0" w:beforeAutospacing="0"/>
        <w:ind w:hanging="720"/>
        <w:rPr>
          <w:b/>
          <w:bCs/>
        </w:rPr>
      </w:pPr>
      <w:r>
        <w:rPr>
          <w:b/>
          <w:bCs/>
        </w:rPr>
        <w:t xml:space="preserve">Program or Burden Changes </w:t>
      </w:r>
    </w:p>
    <w:p w:rsidR="003D6D2C" w:rsidRPr="005603D8" w:rsidP="003D6D2C" w14:paraId="48097619" w14:textId="77777777">
      <w:pPr>
        <w:pStyle w:val="CommentText"/>
        <w:rPr>
          <w:sz w:val="24"/>
          <w:szCs w:val="24"/>
        </w:rPr>
      </w:pPr>
      <w:r w:rsidRPr="005603D8">
        <w:rPr>
          <w:sz w:val="24"/>
          <w:szCs w:val="24"/>
        </w:rPr>
        <w:t>In 2008, the annualized burden hours w</w:t>
      </w:r>
      <w:r>
        <w:rPr>
          <w:sz w:val="24"/>
          <w:szCs w:val="24"/>
        </w:rPr>
        <w:t>ere</w:t>
      </w:r>
      <w:r w:rsidRPr="005603D8">
        <w:rPr>
          <w:sz w:val="24"/>
          <w:szCs w:val="24"/>
        </w:rPr>
        <w:t xml:space="preserve"> </w:t>
      </w:r>
      <w:r>
        <w:rPr>
          <w:sz w:val="24"/>
          <w:szCs w:val="24"/>
        </w:rPr>
        <w:t xml:space="preserve">estimated at </w:t>
      </w:r>
      <w:r w:rsidRPr="005603D8">
        <w:rPr>
          <w:sz w:val="24"/>
          <w:szCs w:val="24"/>
        </w:rPr>
        <w:t>72,227 hours compared to</w:t>
      </w:r>
      <w:r>
        <w:rPr>
          <w:sz w:val="24"/>
          <w:szCs w:val="24"/>
        </w:rPr>
        <w:t xml:space="preserve"> 15,616 </w:t>
      </w:r>
      <w:r w:rsidRPr="00701B7D">
        <w:rPr>
          <w:sz w:val="24"/>
          <w:szCs w:val="24"/>
        </w:rPr>
        <w:t>hours</w:t>
      </w:r>
      <w:r>
        <w:rPr>
          <w:sz w:val="24"/>
          <w:szCs w:val="24"/>
        </w:rPr>
        <w:t xml:space="preserve"> </w:t>
      </w:r>
      <w:r w:rsidRPr="005603D8">
        <w:rPr>
          <w:sz w:val="24"/>
          <w:szCs w:val="24"/>
        </w:rPr>
        <w:t xml:space="preserve">in this submission.  Program changes from the legacy DAWN to this </w:t>
      </w:r>
      <w:r>
        <w:rPr>
          <w:sz w:val="24"/>
          <w:szCs w:val="24"/>
        </w:rPr>
        <w:t xml:space="preserve">proposed new version of </w:t>
      </w:r>
      <w:r w:rsidRPr="005603D8">
        <w:rPr>
          <w:sz w:val="24"/>
          <w:szCs w:val="24"/>
        </w:rPr>
        <w:t xml:space="preserve">DAWN result in a decrease of </w:t>
      </w:r>
      <w:r>
        <w:rPr>
          <w:sz w:val="24"/>
          <w:szCs w:val="24"/>
        </w:rPr>
        <w:t xml:space="preserve">56,611 </w:t>
      </w:r>
      <w:r w:rsidRPr="005603D8">
        <w:rPr>
          <w:sz w:val="24"/>
          <w:szCs w:val="24"/>
        </w:rPr>
        <w:t>hours.</w:t>
      </w:r>
    </w:p>
    <w:p w:rsidR="003D6D2C" w:rsidRPr="005603D8" w:rsidP="003D6D2C" w14:paraId="2E046F0E" w14:textId="77777777">
      <w:pPr>
        <w:pStyle w:val="CommentText"/>
        <w:rPr>
          <w:sz w:val="24"/>
          <w:szCs w:val="24"/>
        </w:rPr>
      </w:pPr>
    </w:p>
    <w:p w:rsidR="003D6D2C" w:rsidRPr="005603D8" w:rsidP="003D6D2C" w14:paraId="7B253AFB" w14:textId="77777777">
      <w:pPr>
        <w:pStyle w:val="CommentText"/>
        <w:rPr>
          <w:sz w:val="24"/>
          <w:szCs w:val="24"/>
        </w:rPr>
      </w:pPr>
      <w:r w:rsidRPr="005603D8">
        <w:rPr>
          <w:sz w:val="24"/>
          <w:szCs w:val="24"/>
        </w:rPr>
        <w:t>Several program changes led to the decrease in DAWN’s burden on respondent hospitals.</w:t>
      </w:r>
    </w:p>
    <w:p w:rsidR="003D6D2C" w:rsidRPr="005603D8" w:rsidP="00850DA5" w14:paraId="5E54B9A6" w14:textId="77777777">
      <w:pPr>
        <w:pStyle w:val="CommentText"/>
        <w:ind w:left="720"/>
        <w:rPr>
          <w:sz w:val="24"/>
          <w:szCs w:val="24"/>
        </w:rPr>
      </w:pPr>
      <w:r w:rsidRPr="005603D8">
        <w:rPr>
          <w:sz w:val="24"/>
          <w:szCs w:val="24"/>
        </w:rPr>
        <w:t>Th</w:t>
      </w:r>
      <w:r>
        <w:rPr>
          <w:sz w:val="24"/>
          <w:szCs w:val="24"/>
        </w:rPr>
        <w:t>e new</w:t>
      </w:r>
      <w:r w:rsidRPr="005603D8">
        <w:rPr>
          <w:sz w:val="24"/>
          <w:szCs w:val="24"/>
        </w:rPr>
        <w:t xml:space="preserve"> DAWN </w:t>
      </w:r>
      <w:r>
        <w:rPr>
          <w:sz w:val="24"/>
          <w:szCs w:val="24"/>
        </w:rPr>
        <w:t>removes</w:t>
      </w:r>
      <w:r w:rsidRPr="005603D8">
        <w:rPr>
          <w:sz w:val="24"/>
          <w:szCs w:val="24"/>
        </w:rPr>
        <w:t xml:space="preserve"> the mortality component</w:t>
      </w:r>
      <w:r>
        <w:rPr>
          <w:sz w:val="24"/>
          <w:szCs w:val="24"/>
        </w:rPr>
        <w:t xml:space="preserve"> from the legacy DAWN</w:t>
      </w:r>
      <w:r w:rsidRPr="005603D8">
        <w:rPr>
          <w:sz w:val="24"/>
          <w:szCs w:val="24"/>
        </w:rPr>
        <w:t xml:space="preserve">. </w:t>
      </w:r>
      <w:r>
        <w:rPr>
          <w:sz w:val="24"/>
          <w:szCs w:val="24"/>
        </w:rPr>
        <w:t xml:space="preserve"> Thus, </w:t>
      </w:r>
      <w:r w:rsidRPr="005603D8">
        <w:rPr>
          <w:sz w:val="24"/>
          <w:szCs w:val="24"/>
        </w:rPr>
        <w:t>data collection</w:t>
      </w:r>
      <w:r>
        <w:rPr>
          <w:sz w:val="24"/>
          <w:szCs w:val="24"/>
        </w:rPr>
        <w:t xml:space="preserve"> and the related burden of 8,025 hours associated with</w:t>
      </w:r>
      <w:r w:rsidRPr="005603D8">
        <w:rPr>
          <w:sz w:val="24"/>
          <w:szCs w:val="24"/>
        </w:rPr>
        <w:t xml:space="preserve"> drug-related deaths </w:t>
      </w:r>
      <w:r>
        <w:rPr>
          <w:sz w:val="24"/>
          <w:szCs w:val="24"/>
        </w:rPr>
        <w:t xml:space="preserve">information collected by State Medical Examiners and individual </w:t>
      </w:r>
      <w:r w:rsidRPr="005603D8">
        <w:rPr>
          <w:sz w:val="24"/>
          <w:szCs w:val="24"/>
        </w:rPr>
        <w:t xml:space="preserve">Medical Examiner and Coroner </w:t>
      </w:r>
      <w:r>
        <w:rPr>
          <w:sz w:val="24"/>
          <w:szCs w:val="24"/>
        </w:rPr>
        <w:t xml:space="preserve">(ME/C) in the legacy DAWN is eliminated in this proposed new DAWN burden estimate. </w:t>
      </w:r>
    </w:p>
    <w:p w:rsidR="00850DA5" w:rsidP="00850DA5" w14:paraId="78F3553B" w14:textId="77777777">
      <w:pPr>
        <w:pStyle w:val="CommentText"/>
        <w:ind w:left="720"/>
        <w:rPr>
          <w:sz w:val="24"/>
          <w:szCs w:val="24"/>
        </w:rPr>
      </w:pPr>
    </w:p>
    <w:p w:rsidR="00461B7E" w:rsidRPr="00461B7E" w:rsidP="00850DA5" w14:paraId="463CF52F" w14:textId="6A0C67B4">
      <w:pPr>
        <w:pStyle w:val="CommentText"/>
        <w:ind w:left="720"/>
        <w:rPr>
          <w:sz w:val="24"/>
          <w:szCs w:val="24"/>
        </w:rPr>
      </w:pPr>
      <w:r>
        <w:rPr>
          <w:sz w:val="24"/>
          <w:szCs w:val="24"/>
        </w:rPr>
        <w:t>Under legacy DAWN, participating hospitals used their own staff to perform data collection activities.  The new</w:t>
      </w:r>
      <w:r w:rsidRPr="005603D8">
        <w:rPr>
          <w:sz w:val="24"/>
          <w:szCs w:val="24"/>
        </w:rPr>
        <w:t xml:space="preserve"> DAWN does not offer an option for the hospitals to perform data collection activities themselves</w:t>
      </w:r>
      <w:r>
        <w:rPr>
          <w:sz w:val="24"/>
          <w:szCs w:val="24"/>
        </w:rPr>
        <w:t>.  Hospitals are offered to use direct chart review data abstraction option or ML with NLP option, both of which are implemented by the contractor.  Participating hospital staff spend time and efforts setting up record provision and providing ongoing maintenance for DAWN data collection.  Thus, estimated annualized burden hours of 64,202 hours associated with</w:t>
      </w:r>
      <w:r w:rsidRPr="005603D8">
        <w:rPr>
          <w:sz w:val="24"/>
          <w:szCs w:val="24"/>
        </w:rPr>
        <w:t xml:space="preserve"> </w:t>
      </w:r>
      <w:r>
        <w:rPr>
          <w:sz w:val="24"/>
          <w:szCs w:val="24"/>
        </w:rPr>
        <w:t xml:space="preserve">hospital staff performing ED data collection in the legacy DAWN is now decreased to 15,616 hours in this new DAWN. </w:t>
      </w:r>
    </w:p>
    <w:p w:rsidR="00E41EE4" w:rsidP="007034E7" w14:paraId="04F8B927" w14:textId="77777777">
      <w:pPr>
        <w:tabs>
          <w:tab w:val="left" w:pos="0"/>
          <w:tab w:val="left" w:pos="589"/>
          <w:tab w:val="left" w:pos="720"/>
          <w:tab w:val="left" w:pos="1440"/>
          <w:tab w:val="left" w:pos="2160"/>
          <w:tab w:val="left" w:pos="2880"/>
          <w:tab w:val="left" w:pos="3600"/>
          <w:tab w:val="left" w:pos="4320"/>
          <w:tab w:val="left" w:pos="5040"/>
          <w:tab w:val="left" w:pos="5760"/>
          <w:tab w:val="left" w:pos="6480"/>
          <w:tab w:val="left" w:pos="7200"/>
          <w:tab w:val="left" w:pos="7573"/>
          <w:tab w:val="left" w:pos="7920"/>
          <w:tab w:val="left" w:pos="8640"/>
          <w:tab w:val="left" w:pos="9356"/>
        </w:tabs>
        <w:rPr>
          <w:bCs/>
          <w:u w:val="single"/>
        </w:rPr>
      </w:pPr>
    </w:p>
    <w:p w:rsidR="00461B7E" w:rsidRPr="00741AF7" w:rsidP="00461B7E" w14:paraId="150C4134" w14:textId="77777777">
      <w:pPr>
        <w:pStyle w:val="NormalWeb"/>
        <w:numPr>
          <w:ilvl w:val="0"/>
          <w:numId w:val="6"/>
        </w:numPr>
        <w:tabs>
          <w:tab w:val="left" w:pos="360"/>
        </w:tabs>
        <w:spacing w:before="0" w:beforeAutospacing="0"/>
        <w:rPr>
          <w:b/>
          <w:bCs/>
        </w:rPr>
      </w:pPr>
      <w:r>
        <w:rPr>
          <w:b/>
          <w:bCs/>
        </w:rPr>
        <w:t>Publication and Tabulation Dates</w:t>
      </w:r>
    </w:p>
    <w:p w:rsidR="00BA4B34" w:rsidP="00461B7E" w14:paraId="1939EB97" w14:textId="639FE467">
      <w:pPr>
        <w:ind w:left="360"/>
      </w:pPr>
      <w:r>
        <w:t>DAWN data</w:t>
      </w:r>
      <w:r w:rsidRPr="00497740">
        <w:t xml:space="preserve"> </w:t>
      </w:r>
      <w:r>
        <w:t>are abstracted in</w:t>
      </w:r>
      <w:r w:rsidRPr="00497740">
        <w:t xml:space="preserve"> participating hospital EDs on a continuous basis. </w:t>
      </w:r>
      <w:r w:rsidR="000D001D">
        <w:t xml:space="preserve"> </w:t>
      </w:r>
      <w:r>
        <w:t xml:space="preserve">Data are stored on a secure Cloud site with access </w:t>
      </w:r>
      <w:r w:rsidR="00F844A9">
        <w:t xml:space="preserve">given </w:t>
      </w:r>
      <w:r>
        <w:t xml:space="preserve">to authorized SAMHSA team and contractor staff. </w:t>
      </w:r>
      <w:r w:rsidR="00217B73">
        <w:t xml:space="preserve"> </w:t>
      </w:r>
      <w:r>
        <w:t xml:space="preserve">All reports will be stored on the SAMHSA website. </w:t>
      </w:r>
      <w:r w:rsidR="000D001D">
        <w:t xml:space="preserve"> </w:t>
      </w:r>
      <w:r w:rsidRPr="00B4239B">
        <w:t>The following describes the schedule and information for each planned DAWN report:</w:t>
      </w:r>
    </w:p>
    <w:p w:rsidR="00217B73" w:rsidP="00BA4B34" w14:paraId="76E21907" w14:textId="77777777"/>
    <w:p w:rsidR="00BA4B34" w:rsidP="00850DA5" w14:paraId="5E0FBCB2" w14:textId="475FCAD8">
      <w:pPr>
        <w:pStyle w:val="ListParagraph"/>
        <w:widowControl/>
        <w:autoSpaceDE/>
        <w:autoSpaceDN/>
        <w:adjustRightInd/>
        <w:ind w:left="774"/>
      </w:pPr>
      <w:r>
        <w:t>Findings from Drug-Related Emergency Department Visits: th</w:t>
      </w:r>
      <w:r w:rsidR="00A702CA">
        <w:t>e</w:t>
      </w:r>
      <w:r>
        <w:t xml:space="preserve"> </w:t>
      </w:r>
      <w:r w:rsidR="001E00A9">
        <w:t xml:space="preserve">annual </w:t>
      </w:r>
      <w:r>
        <w:t>report may present information on (1) nationally representative weighted estimates, including percent and unadjusted rates per 100,000, for all drug-related emergency department visits, (2) nationally representative weighted estimates for the top five drugs in drug-related ED visits, (3)</w:t>
      </w:r>
      <w:r w:rsidR="0034451E">
        <w:t xml:space="preserve"> </w:t>
      </w:r>
      <w:r w:rsidRPr="00102307">
        <w:t>weighted national estimates of all drug related ED visits with percentage and rates per 100,000 by age, sex, race, ethnicity, region and quarter</w:t>
      </w:r>
      <w:r>
        <w:t xml:space="preserve"> , and (4) the identification of drugs new to DAWN’s Drug Reference Vocabulary. </w:t>
      </w:r>
    </w:p>
    <w:p w:rsidR="00217B73" w:rsidP="00217B73" w14:paraId="6CF8914F" w14:textId="77777777">
      <w:pPr>
        <w:pStyle w:val="ListParagraph"/>
        <w:widowControl/>
        <w:autoSpaceDE/>
        <w:autoSpaceDN/>
        <w:adjustRightInd/>
        <w:ind w:left="774"/>
      </w:pPr>
    </w:p>
    <w:p w:rsidR="00BA4B34" w:rsidP="00850DA5" w14:paraId="1CC6E563" w14:textId="2359DADD">
      <w:pPr>
        <w:pStyle w:val="ListParagraph"/>
        <w:widowControl/>
        <w:autoSpaceDE/>
        <w:autoSpaceDN/>
        <w:adjustRightInd/>
        <w:ind w:left="774"/>
      </w:pPr>
      <w:r>
        <w:t xml:space="preserve">Quarterly reports on sentinel event reporting related to an early warning system and/or emerging trends: these reports may include drug advisories, visualizations, demographics analyses, and/or </w:t>
      </w:r>
      <w:r w:rsidR="3B3DACDF">
        <w:t xml:space="preserve">geographical analysis </w:t>
      </w:r>
      <w:r>
        <w:t>of at-risk population.</w:t>
      </w:r>
    </w:p>
    <w:p w:rsidR="00217B73" w:rsidP="00217B73" w14:paraId="35B8688D" w14:textId="77777777"/>
    <w:p w:rsidR="00BA4B34" w:rsidP="00850DA5" w14:paraId="155ACFF3" w14:textId="40F5985C">
      <w:pPr>
        <w:pStyle w:val="ListParagraph"/>
        <w:widowControl/>
        <w:autoSpaceDE/>
        <w:autoSpaceDN/>
        <w:adjustRightInd/>
        <w:ind w:left="774"/>
      </w:pPr>
      <w:r>
        <w:t xml:space="preserve">Dashboards with both internal and public facing components based customized requirements and </w:t>
      </w:r>
      <w:bookmarkStart w:id="3" w:name="_Hlk137465371"/>
      <w:r>
        <w:t>disclosure requirements to protect confidentiality</w:t>
      </w:r>
      <w:bookmarkEnd w:id="3"/>
      <w:r>
        <w:t xml:space="preserve">. </w:t>
      </w:r>
      <w:r w:rsidR="00FE7B1B">
        <w:t xml:space="preserve"> </w:t>
      </w:r>
      <w:r>
        <w:t xml:space="preserve">Different profiles will be built to accommodate different levels of access from </w:t>
      </w:r>
      <w:r w:rsidRPr="00E3662A">
        <w:t>SAMHSA super-users and stakeholders associated with participating DAWN hospitals and those in the local public health/epidemiology community</w:t>
      </w:r>
      <w:r>
        <w:t xml:space="preserve">.  </w:t>
      </w:r>
    </w:p>
    <w:p w:rsidR="00217B73" w:rsidP="00217B73" w14:paraId="7AB90552" w14:textId="77777777"/>
    <w:p w:rsidR="007E6093" w:rsidP="00850DA5" w14:paraId="295DD642" w14:textId="24173C6C">
      <w:pPr>
        <w:pStyle w:val="ListParagraph"/>
        <w:widowControl/>
        <w:adjustRightInd/>
        <w:ind w:left="774"/>
      </w:pPr>
      <w:r>
        <w:t xml:space="preserve">Special topic short reports with infographics: these reports will target timely topics by including descriptive statistics with visualizations for communication to general audiences.  </w:t>
      </w:r>
    </w:p>
    <w:p w:rsidR="000B66DA" w:rsidP="000B66DA" w14:paraId="6F05FCE5" w14:textId="77777777"/>
    <w:p w:rsidR="001E00A9" w:rsidRPr="0021254C" w:rsidP="00850DA5" w14:paraId="0F8524C6" w14:textId="28E2DDBC">
      <w:pPr>
        <w:pStyle w:val="ListParagraph"/>
        <w:ind w:left="774"/>
      </w:pPr>
      <w:r>
        <w:t xml:space="preserve">DAWN data </w:t>
      </w:r>
      <w:r w:rsidRPr="0021254C">
        <w:t>presented to the public include</w:t>
      </w:r>
      <w:r>
        <w:t>s</w:t>
      </w:r>
      <w:r w:rsidRPr="0021254C">
        <w:t xml:space="preserve"> counts and/or associated rates of specific drugs involved in ED visits or other such information as determined by </w:t>
      </w:r>
      <w:r>
        <w:t>SAMHSA</w:t>
      </w:r>
      <w:r w:rsidRPr="0021254C">
        <w:t>.</w:t>
      </w:r>
    </w:p>
    <w:p w:rsidR="00BA4B34" w:rsidP="00BA4B34" w14:paraId="05F61338" w14:textId="77777777"/>
    <w:p w:rsidR="00BA4B34" w:rsidRPr="00426714" w:rsidP="00461B7E" w14:paraId="4C4C1200" w14:textId="08E3D1E0">
      <w:pPr>
        <w:autoSpaceDE w:val="0"/>
        <w:autoSpaceDN w:val="0"/>
        <w:adjustRightInd w:val="0"/>
        <w:ind w:left="414"/>
      </w:pPr>
      <w:r w:rsidRPr="6221A555">
        <w:rPr>
          <w:rFonts w:ascii="TimesNewRomanPSMT" w:hAnsi="TimesNewRomanPSMT" w:cs="TimesNewRomanPSMT"/>
        </w:rPr>
        <w:t xml:space="preserve">In addition to the reports, the data produced by the DAWN is continuously monitored and examined to identify meaningful trends, changes, and events that may be of reporting interest. </w:t>
      </w:r>
      <w:r w:rsidRPr="6221A555" w:rsidR="00FE7B1B">
        <w:rPr>
          <w:rFonts w:ascii="TimesNewRomanPSMT" w:hAnsi="TimesNewRomanPSMT" w:cs="TimesNewRomanPSMT"/>
        </w:rPr>
        <w:t xml:space="preserve"> </w:t>
      </w:r>
      <w:r w:rsidRPr="6221A555">
        <w:rPr>
          <w:rFonts w:ascii="TimesNewRomanPSMT" w:hAnsi="TimesNewRomanPSMT" w:cs="TimesNewRomanPSMT"/>
        </w:rPr>
        <w:t xml:space="preserve">Statistical </w:t>
      </w:r>
      <w:r w:rsidRPr="6221A555" w:rsidR="001E00A9">
        <w:rPr>
          <w:rFonts w:ascii="TimesNewRomanPSMT" w:hAnsi="TimesNewRomanPSMT" w:cs="TimesNewRomanPSMT"/>
        </w:rPr>
        <w:t>p</w:t>
      </w:r>
      <w:r w:rsidRPr="6221A555">
        <w:rPr>
          <w:rFonts w:ascii="TimesNewRomanPSMT" w:hAnsi="TimesNewRomanPSMT" w:cs="TimesNewRomanPSMT"/>
        </w:rPr>
        <w:t xml:space="preserve">rocess </w:t>
      </w:r>
      <w:r w:rsidRPr="6221A555" w:rsidR="001E00A9">
        <w:rPr>
          <w:rFonts w:ascii="TimesNewRomanPSMT" w:hAnsi="TimesNewRomanPSMT" w:cs="TimesNewRomanPSMT"/>
        </w:rPr>
        <w:t>c</w:t>
      </w:r>
      <w:r w:rsidRPr="6221A555">
        <w:rPr>
          <w:rFonts w:ascii="TimesNewRomanPSMT" w:hAnsi="TimesNewRomanPSMT" w:cs="TimesNewRomanPSMT"/>
        </w:rPr>
        <w:t>ontrol</w:t>
      </w:r>
      <w:r w:rsidRPr="6221A555" w:rsidR="704DE122">
        <w:rPr>
          <w:rFonts w:ascii="TimesNewRomanPSMT" w:hAnsi="TimesNewRomanPSMT" w:cs="TimesNewRomanPSMT"/>
        </w:rPr>
        <w:t xml:space="preserve"> (SPC)</w:t>
      </w:r>
      <w:r w:rsidRPr="6221A555">
        <w:rPr>
          <w:rFonts w:ascii="TimesNewRomanPSMT" w:hAnsi="TimesNewRomanPSMT" w:cs="TimesNewRomanPSMT"/>
        </w:rPr>
        <w:t xml:space="preserve"> is currently used to identify anomalies in incoming data</w:t>
      </w:r>
      <w:r w:rsidRPr="6221A555" w:rsidR="54F62354">
        <w:rPr>
          <w:rFonts w:ascii="TimesNewRomanPSMT" w:hAnsi="TimesNewRomanPSMT" w:cs="TimesNewRomanPSMT"/>
        </w:rPr>
        <w:t xml:space="preserve"> for dissemination through DAWN Data Highlights portal (DDH) for hospitals to monitor early warning</w:t>
      </w:r>
      <w:r w:rsidRPr="6221A555">
        <w:rPr>
          <w:rFonts w:ascii="TimesNewRomanPSMT" w:hAnsi="TimesNewRomanPSMT" w:cs="TimesNewRomanPSMT"/>
        </w:rPr>
        <w:t>.</w:t>
      </w:r>
    </w:p>
    <w:p w:rsidR="006E631D" w:rsidRPr="0021254C" w:rsidP="00BA4B34" w14:paraId="4364AE87" w14:textId="77777777">
      <w:pPr>
        <w:autoSpaceDE w:val="0"/>
        <w:autoSpaceDN w:val="0"/>
        <w:adjustRightInd w:val="0"/>
      </w:pPr>
    </w:p>
    <w:p w:rsidR="006738BE" w:rsidRPr="00BA02E1" w:rsidP="00461B7E" w14:paraId="5A9523CF" w14:textId="14A1CC45">
      <w:pPr>
        <w:pStyle w:val="NormalWeb"/>
        <w:tabs>
          <w:tab w:val="left" w:pos="360"/>
        </w:tabs>
        <w:spacing w:before="0" w:beforeAutospacing="0"/>
        <w:rPr>
          <w:b/>
          <w:bCs/>
        </w:rPr>
      </w:pPr>
      <w:r>
        <w:rPr>
          <w:b/>
          <w:bCs/>
        </w:rPr>
        <w:t>1</w:t>
      </w:r>
      <w:r w:rsidR="006E631D">
        <w:rPr>
          <w:b/>
          <w:bCs/>
        </w:rPr>
        <w:t>7</w:t>
      </w:r>
      <w:r>
        <w:rPr>
          <w:b/>
          <w:bCs/>
        </w:rPr>
        <w:t xml:space="preserve">. </w:t>
      </w:r>
      <w:r w:rsidRPr="00BA02E1" w:rsidR="00C170FD">
        <w:rPr>
          <w:b/>
          <w:bCs/>
        </w:rPr>
        <w:t xml:space="preserve">Display of Expiration Date </w:t>
      </w:r>
    </w:p>
    <w:p w:rsidR="00080C75" w:rsidRPr="00497740" w:rsidP="00080C75" w14:paraId="54162EA8" w14:textId="26F7329A">
      <w:pPr>
        <w:keepNext/>
      </w:pPr>
      <w:r w:rsidRPr="00497740">
        <w:t xml:space="preserve">All DAWN </w:t>
      </w:r>
      <w:r>
        <w:t xml:space="preserve">data will be collected via the web. The OMB expiration date will be included </w:t>
      </w:r>
      <w:r w:rsidR="00330B7B">
        <w:t xml:space="preserve">and displayed </w:t>
      </w:r>
      <w:r>
        <w:t>on all web instruments.</w:t>
      </w:r>
    </w:p>
    <w:p w:rsidR="00080C75" w:rsidP="00080C75" w14:paraId="7208CE2D" w14:textId="335BBF9D"/>
    <w:p w:rsidR="006738BE" w:rsidRPr="007B3C65" w:rsidP="00461B7E" w14:paraId="56DA8ACF" w14:textId="125DDF26">
      <w:pPr>
        <w:pStyle w:val="NormalWeb"/>
        <w:tabs>
          <w:tab w:val="left" w:pos="360"/>
        </w:tabs>
        <w:spacing w:before="0" w:beforeAutospacing="0"/>
        <w:rPr>
          <w:b/>
          <w:bCs/>
        </w:rPr>
      </w:pPr>
      <w:r>
        <w:rPr>
          <w:b/>
          <w:bCs/>
        </w:rPr>
        <w:t>1</w:t>
      </w:r>
      <w:r w:rsidR="006E631D">
        <w:rPr>
          <w:b/>
          <w:bCs/>
        </w:rPr>
        <w:t>8</w:t>
      </w:r>
      <w:r w:rsidR="004C515E">
        <w:rPr>
          <w:b/>
          <w:bCs/>
        </w:rPr>
        <w:t xml:space="preserve">. </w:t>
      </w:r>
      <w:r w:rsidRPr="007B3C65" w:rsidR="00C170FD">
        <w:rPr>
          <w:b/>
          <w:bCs/>
        </w:rPr>
        <w:t xml:space="preserve">Exceptions to Certification Statement </w:t>
      </w:r>
    </w:p>
    <w:p w:rsidR="00F04FA1" w:rsidRPr="002F1B3F" w:rsidP="00F04FA1" w14:paraId="11F09991" w14:textId="5744CF84">
      <w:pPr>
        <w:tabs>
          <w:tab w:val="left" w:pos="0"/>
          <w:tab w:val="left" w:pos="589"/>
          <w:tab w:val="left" w:pos="720"/>
          <w:tab w:val="left" w:pos="1440"/>
          <w:tab w:val="left" w:pos="2160"/>
          <w:tab w:val="left" w:pos="2880"/>
          <w:tab w:val="left" w:pos="3600"/>
          <w:tab w:val="left" w:pos="4320"/>
          <w:tab w:val="left" w:pos="5040"/>
          <w:tab w:val="left" w:pos="5760"/>
          <w:tab w:val="left" w:pos="6480"/>
          <w:tab w:val="left" w:pos="7200"/>
          <w:tab w:val="left" w:pos="7573"/>
          <w:tab w:val="left" w:pos="7920"/>
          <w:tab w:val="left" w:pos="8640"/>
          <w:tab w:val="left" w:pos="9356"/>
        </w:tabs>
      </w:pPr>
      <w:r>
        <w:t>This collection of information involves no exceptions to the Certificati</w:t>
      </w:r>
      <w:r w:rsidR="00822346">
        <w:t>on for Paperwork Reduction Act s</w:t>
      </w:r>
      <w:r>
        <w:t xml:space="preserve">ubmissions. </w:t>
      </w:r>
      <w:r>
        <w:br/>
      </w:r>
    </w:p>
    <w:p w:rsidR="00F04FA1" w:rsidRPr="002F1B3F" w:rsidP="00F04FA1" w14:paraId="6DA28FF3" w14:textId="11EEC144">
      <w:pPr>
        <w:tabs>
          <w:tab w:val="left" w:pos="0"/>
          <w:tab w:val="left" w:pos="589"/>
          <w:tab w:val="left" w:pos="720"/>
          <w:tab w:val="left" w:pos="1440"/>
          <w:tab w:val="left" w:pos="2160"/>
          <w:tab w:val="left" w:pos="2880"/>
          <w:tab w:val="left" w:pos="3600"/>
          <w:tab w:val="left" w:pos="4320"/>
          <w:tab w:val="left" w:pos="5040"/>
          <w:tab w:val="left" w:pos="5760"/>
          <w:tab w:val="left" w:pos="6480"/>
          <w:tab w:val="left" w:pos="7200"/>
          <w:tab w:val="left" w:pos="7573"/>
          <w:tab w:val="left" w:pos="7920"/>
          <w:tab w:val="left" w:pos="8640"/>
          <w:tab w:val="left" w:pos="9356"/>
        </w:tabs>
      </w:pPr>
    </w:p>
    <w:p w:rsidR="00F04FA1" w:rsidRPr="002F1B3F" w:rsidP="00F04FA1" w14:paraId="1079431C" w14:textId="77777777"/>
    <w:p w:rsidR="00F04FA1" w:rsidRPr="00B0752C" w:rsidP="00F04FA1" w14:paraId="171036F5" w14:textId="77777777">
      <w:pPr>
        <w:tabs>
          <w:tab w:val="left" w:pos="0"/>
          <w:tab w:val="left" w:pos="589"/>
          <w:tab w:val="left" w:pos="720"/>
          <w:tab w:val="left" w:pos="1440"/>
          <w:tab w:val="left" w:pos="2160"/>
          <w:tab w:val="left" w:pos="2880"/>
          <w:tab w:val="left" w:pos="3600"/>
          <w:tab w:val="left" w:pos="4320"/>
          <w:tab w:val="left" w:pos="5040"/>
          <w:tab w:val="left" w:pos="5760"/>
          <w:tab w:val="left" w:pos="6480"/>
          <w:tab w:val="left" w:pos="7200"/>
          <w:tab w:val="left" w:pos="7573"/>
          <w:tab w:val="left" w:pos="7920"/>
          <w:tab w:val="left" w:pos="8640"/>
          <w:tab w:val="left" w:pos="9356"/>
        </w:tabs>
        <w:spacing w:line="360" w:lineRule="auto"/>
      </w:pPr>
    </w:p>
    <w:p w:rsidR="00884999" w:rsidP="001B564F" w14:paraId="25AA09F4" w14:textId="641907CE">
      <w:pPr>
        <w:pStyle w:val="NormalWeb"/>
        <w:spacing w:before="0" w:beforeAutospacing="0" w:after="0" w:afterAutospacing="0"/>
      </w:pPr>
    </w:p>
    <w:sectPr w:rsidSect="00186C16">
      <w:footerReference w:type="even" r:id="rId15"/>
      <w:footerReference w:type="default" r:id="rId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Frutiger">
    <w:altName w:val="Calibri"/>
    <w:panose1 w:val="00000000000000000000"/>
    <w:charset w:val="00"/>
    <w:family w:val="auto"/>
    <w:notTrueType/>
    <w:pitch w:val="default"/>
    <w:sig w:usb0="00000003" w:usb1="00000000" w:usb2="00000000" w:usb3="00000000" w:csb0="00000001" w:csb1="00000000"/>
  </w:font>
  <w:font w:name="Frutiger LT Std 45 Light">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7001" w:rsidP="004C2A67" w14:paraId="759868F5" w14:textId="5EAC14D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F5DA4">
      <w:rPr>
        <w:rStyle w:val="PageNumber"/>
        <w:noProof/>
      </w:rPr>
      <w:t>2</w:t>
    </w:r>
    <w:r>
      <w:rPr>
        <w:rStyle w:val="PageNumber"/>
      </w:rPr>
      <w:fldChar w:fldCharType="end"/>
    </w:r>
  </w:p>
  <w:p w:rsidR="00AA7001" w14:paraId="72FF7E0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7001" w14:paraId="4E80D02E" w14:textId="08790068">
    <w:pPr>
      <w:pStyle w:val="Footer"/>
      <w:jc w:val="center"/>
    </w:pPr>
    <w:r>
      <w:fldChar w:fldCharType="begin"/>
    </w:r>
    <w:r>
      <w:instrText xml:space="preserve"> PAGE   \* MERGEFORMAT </w:instrText>
    </w:r>
    <w:r>
      <w:fldChar w:fldCharType="separate"/>
    </w:r>
    <w:r w:rsidR="00574B7F">
      <w:rPr>
        <w:noProof/>
      </w:rPr>
      <w:t>14</w:t>
    </w:r>
    <w:r>
      <w:rPr>
        <w:noProof/>
      </w:rPr>
      <w:fldChar w:fldCharType="end"/>
    </w:r>
  </w:p>
  <w:p w:rsidR="00AA7001" w14:paraId="3EBF662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73E8D" w14:paraId="63AA4E12" w14:textId="77777777">
      <w:r>
        <w:separator/>
      </w:r>
    </w:p>
  </w:footnote>
  <w:footnote w:type="continuationSeparator" w:id="1">
    <w:p w:rsidR="00273E8D" w14:paraId="6D942C5F" w14:textId="77777777">
      <w:r>
        <w:continuationSeparator/>
      </w:r>
    </w:p>
  </w:footnote>
  <w:footnote w:type="continuationNotice" w:id="2">
    <w:p w:rsidR="00273E8D" w14:paraId="40321CF4" w14:textId="77777777"/>
  </w:footnote>
  <w:footnote w:id="3">
    <w:p w:rsidR="00053906" w:rsidRPr="006A5200" w:rsidP="00053906" w14:paraId="337A296D" w14:textId="5BC6E3B6">
      <w:pPr>
        <w:pStyle w:val="CommentText"/>
        <w:rPr>
          <w:color w:val="FF0000"/>
          <w:sz w:val="22"/>
          <w:szCs w:val="22"/>
        </w:rPr>
      </w:pPr>
      <w:r>
        <w:rPr>
          <w:rStyle w:val="FootnoteReference"/>
        </w:rPr>
        <w:footnoteRef/>
      </w:r>
      <w:r>
        <w:t xml:space="preserve"> </w:t>
      </w:r>
      <w:r w:rsidRPr="002C1F7F">
        <w:t>Average hourly wage is based on Bureau of Labor Statistic’s latest data on national median wages of health information tech</w:t>
      </w:r>
      <w:r w:rsidR="007A02F1">
        <w:t>nologists</w:t>
      </w:r>
      <w:r w:rsidRPr="002C1F7F">
        <w:t>.  Further information on hourly rate calculations is summarized under “Basis for Hour Costs Estimates” below.</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56446F"/>
    <w:multiLevelType w:val="hybridMultilevel"/>
    <w:tmpl w:val="5128F148"/>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08E4424C"/>
    <w:multiLevelType w:val="hybridMultilevel"/>
    <w:tmpl w:val="309C5F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96F1B93"/>
    <w:multiLevelType w:val="hybridMultilevel"/>
    <w:tmpl w:val="085037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9C330F4"/>
    <w:multiLevelType w:val="hybridMultilevel"/>
    <w:tmpl w:val="FD60DB5C"/>
    <w:lvl w:ilvl="0">
      <w:start w:val="1"/>
      <w:numFmt w:val="bullet"/>
      <w:lvlText w:val=""/>
      <w:lvlJc w:val="left"/>
      <w:pPr>
        <w:ind w:left="720" w:hanging="360"/>
      </w:pPr>
      <w:rPr>
        <w:rFonts w:ascii="Symbol" w:hAnsi="Symbol" w:hint="default"/>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D6C2229"/>
    <w:multiLevelType w:val="hybridMultilevel"/>
    <w:tmpl w:val="E492369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F0A1AEB"/>
    <w:multiLevelType w:val="hybridMultilevel"/>
    <w:tmpl w:val="71A6641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FCB1464"/>
    <w:multiLevelType w:val="hybridMultilevel"/>
    <w:tmpl w:val="CB82DF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DD40632"/>
    <w:multiLevelType w:val="hybridMultilevel"/>
    <w:tmpl w:val="F4BC6EE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nsid w:val="269C5EBC"/>
    <w:multiLevelType w:val="hybridMultilevel"/>
    <w:tmpl w:val="0CAC7B10"/>
    <w:lvl w:ilvl="0">
      <w:start w:val="1"/>
      <w:numFmt w:val="bullet"/>
      <w:lvlText w:val=""/>
      <w:lvlJc w:val="left"/>
      <w:pPr>
        <w:ind w:left="774" w:hanging="360"/>
      </w:pPr>
      <w:rPr>
        <w:rFonts w:ascii="Symbol" w:hAnsi="Symbol" w:hint="default"/>
      </w:rPr>
    </w:lvl>
    <w:lvl w:ilvl="1">
      <w:start w:val="1"/>
      <w:numFmt w:val="bullet"/>
      <w:lvlText w:val="o"/>
      <w:lvlJc w:val="left"/>
      <w:pPr>
        <w:ind w:left="1494" w:hanging="360"/>
      </w:pPr>
      <w:rPr>
        <w:rFonts w:ascii="Courier New" w:hAnsi="Courier New" w:cs="Courier New" w:hint="default"/>
      </w:rPr>
    </w:lvl>
    <w:lvl w:ilvl="2" w:tentative="1">
      <w:start w:val="1"/>
      <w:numFmt w:val="bullet"/>
      <w:lvlText w:val=""/>
      <w:lvlJc w:val="left"/>
      <w:pPr>
        <w:ind w:left="2214" w:hanging="360"/>
      </w:pPr>
      <w:rPr>
        <w:rFonts w:ascii="Wingdings" w:hAnsi="Wingdings" w:hint="default"/>
      </w:rPr>
    </w:lvl>
    <w:lvl w:ilvl="3" w:tentative="1">
      <w:start w:val="1"/>
      <w:numFmt w:val="bullet"/>
      <w:lvlText w:val=""/>
      <w:lvlJc w:val="left"/>
      <w:pPr>
        <w:ind w:left="2934" w:hanging="360"/>
      </w:pPr>
      <w:rPr>
        <w:rFonts w:ascii="Symbol" w:hAnsi="Symbol" w:hint="default"/>
      </w:rPr>
    </w:lvl>
    <w:lvl w:ilvl="4" w:tentative="1">
      <w:start w:val="1"/>
      <w:numFmt w:val="bullet"/>
      <w:lvlText w:val="o"/>
      <w:lvlJc w:val="left"/>
      <w:pPr>
        <w:ind w:left="3654" w:hanging="360"/>
      </w:pPr>
      <w:rPr>
        <w:rFonts w:ascii="Courier New" w:hAnsi="Courier New" w:cs="Courier New" w:hint="default"/>
      </w:rPr>
    </w:lvl>
    <w:lvl w:ilvl="5" w:tentative="1">
      <w:start w:val="1"/>
      <w:numFmt w:val="bullet"/>
      <w:lvlText w:val=""/>
      <w:lvlJc w:val="left"/>
      <w:pPr>
        <w:ind w:left="4374" w:hanging="360"/>
      </w:pPr>
      <w:rPr>
        <w:rFonts w:ascii="Wingdings" w:hAnsi="Wingdings" w:hint="default"/>
      </w:rPr>
    </w:lvl>
    <w:lvl w:ilvl="6" w:tentative="1">
      <w:start w:val="1"/>
      <w:numFmt w:val="bullet"/>
      <w:lvlText w:val=""/>
      <w:lvlJc w:val="left"/>
      <w:pPr>
        <w:ind w:left="5094" w:hanging="360"/>
      </w:pPr>
      <w:rPr>
        <w:rFonts w:ascii="Symbol" w:hAnsi="Symbol" w:hint="default"/>
      </w:rPr>
    </w:lvl>
    <w:lvl w:ilvl="7" w:tentative="1">
      <w:start w:val="1"/>
      <w:numFmt w:val="bullet"/>
      <w:lvlText w:val="o"/>
      <w:lvlJc w:val="left"/>
      <w:pPr>
        <w:ind w:left="5814" w:hanging="360"/>
      </w:pPr>
      <w:rPr>
        <w:rFonts w:ascii="Courier New" w:hAnsi="Courier New" w:cs="Courier New" w:hint="default"/>
      </w:rPr>
    </w:lvl>
    <w:lvl w:ilvl="8" w:tentative="1">
      <w:start w:val="1"/>
      <w:numFmt w:val="bullet"/>
      <w:lvlText w:val=""/>
      <w:lvlJc w:val="left"/>
      <w:pPr>
        <w:ind w:left="6534" w:hanging="360"/>
      </w:pPr>
      <w:rPr>
        <w:rFonts w:ascii="Wingdings" w:hAnsi="Wingdings" w:hint="default"/>
      </w:rPr>
    </w:lvl>
  </w:abstractNum>
  <w:abstractNum w:abstractNumId="9">
    <w:nsid w:val="37D10B61"/>
    <w:multiLevelType w:val="hybridMultilevel"/>
    <w:tmpl w:val="512C93E6"/>
    <w:lvl w:ilvl="0">
      <w:start w:val="1"/>
      <w:numFmt w:val="decimal"/>
      <w:lvlText w:val="%1."/>
      <w:lvlJc w:val="left"/>
      <w:pPr>
        <w:ind w:left="360" w:hanging="360"/>
      </w:pPr>
      <w:rPr>
        <w:rFonts w:hint="default"/>
        <w:b/>
        <w:bCs/>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B8B7296"/>
    <w:multiLevelType w:val="hybridMultilevel"/>
    <w:tmpl w:val="0E0ADA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C14641E"/>
    <w:multiLevelType w:val="multilevel"/>
    <w:tmpl w:val="58F8920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
    <w:nsid w:val="592A57AA"/>
    <w:multiLevelType w:val="hybridMultilevel"/>
    <w:tmpl w:val="EBE076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D1A6573"/>
    <w:multiLevelType w:val="hybridMultilevel"/>
    <w:tmpl w:val="8DA09D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DB539DA"/>
    <w:multiLevelType w:val="hybridMultilevel"/>
    <w:tmpl w:val="0FE8A8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AB31A53"/>
    <w:multiLevelType w:val="hybridMultilevel"/>
    <w:tmpl w:val="559252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FFF5A76"/>
    <w:multiLevelType w:val="hybridMultilevel"/>
    <w:tmpl w:val="6E5884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582109410">
    <w:abstractNumId w:val="10"/>
  </w:num>
  <w:num w:numId="2" w16cid:durableId="1137142800">
    <w:abstractNumId w:val="8"/>
  </w:num>
  <w:num w:numId="3" w16cid:durableId="144392255">
    <w:abstractNumId w:val="1"/>
  </w:num>
  <w:num w:numId="4" w16cid:durableId="1457404019">
    <w:abstractNumId w:val="7"/>
  </w:num>
  <w:num w:numId="5" w16cid:durableId="1284965228">
    <w:abstractNumId w:val="15"/>
  </w:num>
  <w:num w:numId="6" w16cid:durableId="1705130588">
    <w:abstractNumId w:val="9"/>
  </w:num>
  <w:num w:numId="7" w16cid:durableId="1517766506">
    <w:abstractNumId w:val="16"/>
  </w:num>
  <w:num w:numId="8" w16cid:durableId="550001558">
    <w:abstractNumId w:val="3"/>
  </w:num>
  <w:num w:numId="9" w16cid:durableId="285934245">
    <w:abstractNumId w:val="0"/>
  </w:num>
  <w:num w:numId="10" w16cid:durableId="279923922">
    <w:abstractNumId w:val="12"/>
  </w:num>
  <w:num w:numId="11" w16cid:durableId="1934433457">
    <w:abstractNumId w:val="13"/>
  </w:num>
  <w:num w:numId="12" w16cid:durableId="739641941">
    <w:abstractNumId w:val="6"/>
  </w:num>
  <w:num w:numId="13" w16cid:durableId="1325813708">
    <w:abstractNumId w:val="2"/>
  </w:num>
  <w:num w:numId="14" w16cid:durableId="14356104">
    <w:abstractNumId w:val="5"/>
  </w:num>
  <w:num w:numId="15" w16cid:durableId="951594837">
    <w:abstractNumId w:val="14"/>
  </w:num>
  <w:num w:numId="16" w16cid:durableId="465509249">
    <w:abstractNumId w:val="11"/>
  </w:num>
  <w:num w:numId="17" w16cid:durableId="43912772">
    <w:abstractNumId w:val="4"/>
  </w:num>
  <w:num w:numId="18" w16cid:durableId="1483766616">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4AC"/>
    <w:rsid w:val="000003E4"/>
    <w:rsid w:val="000007F7"/>
    <w:rsid w:val="000013E8"/>
    <w:rsid w:val="00002A32"/>
    <w:rsid w:val="00002C68"/>
    <w:rsid w:val="000046FB"/>
    <w:rsid w:val="00004C73"/>
    <w:rsid w:val="00005600"/>
    <w:rsid w:val="0001083D"/>
    <w:rsid w:val="00012286"/>
    <w:rsid w:val="00012E29"/>
    <w:rsid w:val="0001320D"/>
    <w:rsid w:val="00013332"/>
    <w:rsid w:val="000164E5"/>
    <w:rsid w:val="00016AF8"/>
    <w:rsid w:val="00022839"/>
    <w:rsid w:val="000230DA"/>
    <w:rsid w:val="00024AB2"/>
    <w:rsid w:val="00024D5B"/>
    <w:rsid w:val="00026171"/>
    <w:rsid w:val="000268D8"/>
    <w:rsid w:val="0002772F"/>
    <w:rsid w:val="000302D6"/>
    <w:rsid w:val="00031B0C"/>
    <w:rsid w:val="000325B2"/>
    <w:rsid w:val="00034789"/>
    <w:rsid w:val="000362D9"/>
    <w:rsid w:val="00036C66"/>
    <w:rsid w:val="000375A7"/>
    <w:rsid w:val="00037CEA"/>
    <w:rsid w:val="000402EE"/>
    <w:rsid w:val="00045B70"/>
    <w:rsid w:val="00045E7D"/>
    <w:rsid w:val="00045EEF"/>
    <w:rsid w:val="00050A98"/>
    <w:rsid w:val="00053360"/>
    <w:rsid w:val="00053906"/>
    <w:rsid w:val="00054BA3"/>
    <w:rsid w:val="00055066"/>
    <w:rsid w:val="000628A7"/>
    <w:rsid w:val="000674C4"/>
    <w:rsid w:val="00073C57"/>
    <w:rsid w:val="0007443C"/>
    <w:rsid w:val="00074FD6"/>
    <w:rsid w:val="0008047C"/>
    <w:rsid w:val="00080C75"/>
    <w:rsid w:val="0008206E"/>
    <w:rsid w:val="000820B7"/>
    <w:rsid w:val="00083011"/>
    <w:rsid w:val="000838B8"/>
    <w:rsid w:val="0008569B"/>
    <w:rsid w:val="00085D99"/>
    <w:rsid w:val="00086AC0"/>
    <w:rsid w:val="00086F23"/>
    <w:rsid w:val="00090F3D"/>
    <w:rsid w:val="00090FEB"/>
    <w:rsid w:val="00091E2E"/>
    <w:rsid w:val="00093051"/>
    <w:rsid w:val="00094E42"/>
    <w:rsid w:val="000A29EF"/>
    <w:rsid w:val="000A3CBE"/>
    <w:rsid w:val="000A4450"/>
    <w:rsid w:val="000A5152"/>
    <w:rsid w:val="000A6A18"/>
    <w:rsid w:val="000A76E7"/>
    <w:rsid w:val="000A795E"/>
    <w:rsid w:val="000B36A1"/>
    <w:rsid w:val="000B574C"/>
    <w:rsid w:val="000B66DA"/>
    <w:rsid w:val="000B6B5C"/>
    <w:rsid w:val="000B79C5"/>
    <w:rsid w:val="000C078B"/>
    <w:rsid w:val="000C2BCD"/>
    <w:rsid w:val="000C30E3"/>
    <w:rsid w:val="000C42EE"/>
    <w:rsid w:val="000C4770"/>
    <w:rsid w:val="000C4FA6"/>
    <w:rsid w:val="000C6C90"/>
    <w:rsid w:val="000D001D"/>
    <w:rsid w:val="000D028F"/>
    <w:rsid w:val="000D02B6"/>
    <w:rsid w:val="000D0986"/>
    <w:rsid w:val="000D109A"/>
    <w:rsid w:val="000D116F"/>
    <w:rsid w:val="000D1B7D"/>
    <w:rsid w:val="000D47F7"/>
    <w:rsid w:val="000D4CC4"/>
    <w:rsid w:val="000D54E8"/>
    <w:rsid w:val="000D58E6"/>
    <w:rsid w:val="000D6268"/>
    <w:rsid w:val="000E35DF"/>
    <w:rsid w:val="000E4CFC"/>
    <w:rsid w:val="000E68D9"/>
    <w:rsid w:val="000E6D80"/>
    <w:rsid w:val="000F0144"/>
    <w:rsid w:val="000F0555"/>
    <w:rsid w:val="000F32B2"/>
    <w:rsid w:val="000F41C8"/>
    <w:rsid w:val="000F465E"/>
    <w:rsid w:val="000F4918"/>
    <w:rsid w:val="000F51F3"/>
    <w:rsid w:val="000F5EC2"/>
    <w:rsid w:val="000F7F5D"/>
    <w:rsid w:val="00100F6D"/>
    <w:rsid w:val="00102307"/>
    <w:rsid w:val="00104AB7"/>
    <w:rsid w:val="00107012"/>
    <w:rsid w:val="001072FE"/>
    <w:rsid w:val="00107E12"/>
    <w:rsid w:val="00111627"/>
    <w:rsid w:val="00111654"/>
    <w:rsid w:val="001121B6"/>
    <w:rsid w:val="00112E73"/>
    <w:rsid w:val="0011401B"/>
    <w:rsid w:val="0011452F"/>
    <w:rsid w:val="001222EE"/>
    <w:rsid w:val="00123B32"/>
    <w:rsid w:val="001261A9"/>
    <w:rsid w:val="00126FA6"/>
    <w:rsid w:val="001277F8"/>
    <w:rsid w:val="00130343"/>
    <w:rsid w:val="001320DE"/>
    <w:rsid w:val="0013494D"/>
    <w:rsid w:val="001352BA"/>
    <w:rsid w:val="001362EA"/>
    <w:rsid w:val="00136CEC"/>
    <w:rsid w:val="00137055"/>
    <w:rsid w:val="0013751A"/>
    <w:rsid w:val="00143885"/>
    <w:rsid w:val="00144D84"/>
    <w:rsid w:val="00147C89"/>
    <w:rsid w:val="00150172"/>
    <w:rsid w:val="0015018B"/>
    <w:rsid w:val="00150842"/>
    <w:rsid w:val="001510B4"/>
    <w:rsid w:val="00153B29"/>
    <w:rsid w:val="0015432A"/>
    <w:rsid w:val="001557D4"/>
    <w:rsid w:val="001611DE"/>
    <w:rsid w:val="00164490"/>
    <w:rsid w:val="00165141"/>
    <w:rsid w:val="00165544"/>
    <w:rsid w:val="00166573"/>
    <w:rsid w:val="00170B15"/>
    <w:rsid w:val="00171025"/>
    <w:rsid w:val="00172820"/>
    <w:rsid w:val="00172F9F"/>
    <w:rsid w:val="00173E03"/>
    <w:rsid w:val="00174AE7"/>
    <w:rsid w:val="00174B81"/>
    <w:rsid w:val="00176443"/>
    <w:rsid w:val="001774F0"/>
    <w:rsid w:val="00181F5E"/>
    <w:rsid w:val="0018332C"/>
    <w:rsid w:val="00183FF4"/>
    <w:rsid w:val="00186C16"/>
    <w:rsid w:val="0019057F"/>
    <w:rsid w:val="0019161C"/>
    <w:rsid w:val="001968E8"/>
    <w:rsid w:val="00196C3D"/>
    <w:rsid w:val="00197D05"/>
    <w:rsid w:val="001A0294"/>
    <w:rsid w:val="001A02C0"/>
    <w:rsid w:val="001A051C"/>
    <w:rsid w:val="001A0C16"/>
    <w:rsid w:val="001A309D"/>
    <w:rsid w:val="001A4145"/>
    <w:rsid w:val="001A58B0"/>
    <w:rsid w:val="001A61CE"/>
    <w:rsid w:val="001B36BE"/>
    <w:rsid w:val="001B3DCE"/>
    <w:rsid w:val="001B53FD"/>
    <w:rsid w:val="001B564F"/>
    <w:rsid w:val="001B65C5"/>
    <w:rsid w:val="001C0631"/>
    <w:rsid w:val="001C1E99"/>
    <w:rsid w:val="001C4571"/>
    <w:rsid w:val="001C45B9"/>
    <w:rsid w:val="001C55DD"/>
    <w:rsid w:val="001C5D00"/>
    <w:rsid w:val="001C6903"/>
    <w:rsid w:val="001D0BAD"/>
    <w:rsid w:val="001D1FA9"/>
    <w:rsid w:val="001D503E"/>
    <w:rsid w:val="001D6D80"/>
    <w:rsid w:val="001D7DD0"/>
    <w:rsid w:val="001E00A9"/>
    <w:rsid w:val="001E0B6B"/>
    <w:rsid w:val="001E192F"/>
    <w:rsid w:val="001E1CC7"/>
    <w:rsid w:val="001E3669"/>
    <w:rsid w:val="001E3AE0"/>
    <w:rsid w:val="001E6D3A"/>
    <w:rsid w:val="001E75A3"/>
    <w:rsid w:val="001F1794"/>
    <w:rsid w:val="001F1E2C"/>
    <w:rsid w:val="001F3BE4"/>
    <w:rsid w:val="001F43EF"/>
    <w:rsid w:val="001F51EE"/>
    <w:rsid w:val="001F60A5"/>
    <w:rsid w:val="001F6CFA"/>
    <w:rsid w:val="001F77B2"/>
    <w:rsid w:val="002030B9"/>
    <w:rsid w:val="00204B0E"/>
    <w:rsid w:val="002056D8"/>
    <w:rsid w:val="00205B1F"/>
    <w:rsid w:val="00207C00"/>
    <w:rsid w:val="00207DBC"/>
    <w:rsid w:val="00211D80"/>
    <w:rsid w:val="0021254C"/>
    <w:rsid w:val="002135DB"/>
    <w:rsid w:val="0021548B"/>
    <w:rsid w:val="00215CB6"/>
    <w:rsid w:val="002161C7"/>
    <w:rsid w:val="00217B73"/>
    <w:rsid w:val="00221318"/>
    <w:rsid w:val="00221347"/>
    <w:rsid w:val="002232AA"/>
    <w:rsid w:val="0022344D"/>
    <w:rsid w:val="002245D1"/>
    <w:rsid w:val="00224A20"/>
    <w:rsid w:val="00226ADD"/>
    <w:rsid w:val="00227DE5"/>
    <w:rsid w:val="00232504"/>
    <w:rsid w:val="00232B27"/>
    <w:rsid w:val="0023313D"/>
    <w:rsid w:val="00233A30"/>
    <w:rsid w:val="00233C52"/>
    <w:rsid w:val="00235561"/>
    <w:rsid w:val="00235D7C"/>
    <w:rsid w:val="0024058D"/>
    <w:rsid w:val="002417E3"/>
    <w:rsid w:val="00243897"/>
    <w:rsid w:val="002439C9"/>
    <w:rsid w:val="00243B79"/>
    <w:rsid w:val="0024442E"/>
    <w:rsid w:val="0024693E"/>
    <w:rsid w:val="00247818"/>
    <w:rsid w:val="00247FDD"/>
    <w:rsid w:val="0025108A"/>
    <w:rsid w:val="002537EC"/>
    <w:rsid w:val="00253EC5"/>
    <w:rsid w:val="00256748"/>
    <w:rsid w:val="0026031E"/>
    <w:rsid w:val="00261C32"/>
    <w:rsid w:val="00262C01"/>
    <w:rsid w:val="00262E72"/>
    <w:rsid w:val="00264467"/>
    <w:rsid w:val="00266440"/>
    <w:rsid w:val="00267DCB"/>
    <w:rsid w:val="0027138D"/>
    <w:rsid w:val="00271D25"/>
    <w:rsid w:val="00271D7F"/>
    <w:rsid w:val="0027356C"/>
    <w:rsid w:val="00273D94"/>
    <w:rsid w:val="00273E8D"/>
    <w:rsid w:val="00274F93"/>
    <w:rsid w:val="0027507C"/>
    <w:rsid w:val="00275AD4"/>
    <w:rsid w:val="00276697"/>
    <w:rsid w:val="002771A8"/>
    <w:rsid w:val="0027782C"/>
    <w:rsid w:val="00277E25"/>
    <w:rsid w:val="00281605"/>
    <w:rsid w:val="00282FA8"/>
    <w:rsid w:val="002835C2"/>
    <w:rsid w:val="002856CC"/>
    <w:rsid w:val="00286D8E"/>
    <w:rsid w:val="00286E70"/>
    <w:rsid w:val="00290BD5"/>
    <w:rsid w:val="002910F9"/>
    <w:rsid w:val="0029130F"/>
    <w:rsid w:val="00291338"/>
    <w:rsid w:val="0029162A"/>
    <w:rsid w:val="002922C3"/>
    <w:rsid w:val="00293C2C"/>
    <w:rsid w:val="00294197"/>
    <w:rsid w:val="00294801"/>
    <w:rsid w:val="0029606A"/>
    <w:rsid w:val="002968D3"/>
    <w:rsid w:val="00297BA3"/>
    <w:rsid w:val="002A2B47"/>
    <w:rsid w:val="002A3696"/>
    <w:rsid w:val="002A36A9"/>
    <w:rsid w:val="002A3B96"/>
    <w:rsid w:val="002A42DB"/>
    <w:rsid w:val="002A5A31"/>
    <w:rsid w:val="002B0CEB"/>
    <w:rsid w:val="002B11CF"/>
    <w:rsid w:val="002B1C09"/>
    <w:rsid w:val="002B22E4"/>
    <w:rsid w:val="002B486E"/>
    <w:rsid w:val="002B5322"/>
    <w:rsid w:val="002B5E3A"/>
    <w:rsid w:val="002B6C23"/>
    <w:rsid w:val="002C0678"/>
    <w:rsid w:val="002C146F"/>
    <w:rsid w:val="002C1F7F"/>
    <w:rsid w:val="002C2209"/>
    <w:rsid w:val="002C2EC1"/>
    <w:rsid w:val="002C2F0C"/>
    <w:rsid w:val="002C34F1"/>
    <w:rsid w:val="002C4039"/>
    <w:rsid w:val="002C5278"/>
    <w:rsid w:val="002C620A"/>
    <w:rsid w:val="002C7AD8"/>
    <w:rsid w:val="002D242A"/>
    <w:rsid w:val="002D2B7B"/>
    <w:rsid w:val="002D2BBA"/>
    <w:rsid w:val="002D3974"/>
    <w:rsid w:val="002D41EA"/>
    <w:rsid w:val="002D44A9"/>
    <w:rsid w:val="002D4D4F"/>
    <w:rsid w:val="002D626A"/>
    <w:rsid w:val="002D73C8"/>
    <w:rsid w:val="002E0BD4"/>
    <w:rsid w:val="002E0D5D"/>
    <w:rsid w:val="002E0FBA"/>
    <w:rsid w:val="002E12F8"/>
    <w:rsid w:val="002E1EEA"/>
    <w:rsid w:val="002E3040"/>
    <w:rsid w:val="002E3D8F"/>
    <w:rsid w:val="002F09D8"/>
    <w:rsid w:val="002F0E8B"/>
    <w:rsid w:val="002F1B3F"/>
    <w:rsid w:val="002F2E57"/>
    <w:rsid w:val="002F317E"/>
    <w:rsid w:val="002F4759"/>
    <w:rsid w:val="002F7926"/>
    <w:rsid w:val="0030048F"/>
    <w:rsid w:val="003008C0"/>
    <w:rsid w:val="00302324"/>
    <w:rsid w:val="00303FEF"/>
    <w:rsid w:val="00306A28"/>
    <w:rsid w:val="00306BA3"/>
    <w:rsid w:val="003115C9"/>
    <w:rsid w:val="00311B6D"/>
    <w:rsid w:val="00312777"/>
    <w:rsid w:val="003135EB"/>
    <w:rsid w:val="00314613"/>
    <w:rsid w:val="00315444"/>
    <w:rsid w:val="00315C9A"/>
    <w:rsid w:val="00321864"/>
    <w:rsid w:val="0032252F"/>
    <w:rsid w:val="00322ABC"/>
    <w:rsid w:val="00327689"/>
    <w:rsid w:val="0033014A"/>
    <w:rsid w:val="003302D2"/>
    <w:rsid w:val="0033077B"/>
    <w:rsid w:val="00330AC6"/>
    <w:rsid w:val="00330B7B"/>
    <w:rsid w:val="00331F79"/>
    <w:rsid w:val="00332174"/>
    <w:rsid w:val="00332545"/>
    <w:rsid w:val="00333C91"/>
    <w:rsid w:val="00334435"/>
    <w:rsid w:val="0033579F"/>
    <w:rsid w:val="0033683C"/>
    <w:rsid w:val="00337714"/>
    <w:rsid w:val="00337F53"/>
    <w:rsid w:val="003405D0"/>
    <w:rsid w:val="00342928"/>
    <w:rsid w:val="0034451E"/>
    <w:rsid w:val="003449EF"/>
    <w:rsid w:val="00344D61"/>
    <w:rsid w:val="00345FB7"/>
    <w:rsid w:val="003516DE"/>
    <w:rsid w:val="00354400"/>
    <w:rsid w:val="00354F8E"/>
    <w:rsid w:val="003571C4"/>
    <w:rsid w:val="00357F5B"/>
    <w:rsid w:val="0036063E"/>
    <w:rsid w:val="00361435"/>
    <w:rsid w:val="00361E43"/>
    <w:rsid w:val="0036636D"/>
    <w:rsid w:val="00366ACA"/>
    <w:rsid w:val="00371222"/>
    <w:rsid w:val="00371741"/>
    <w:rsid w:val="0037350E"/>
    <w:rsid w:val="00373600"/>
    <w:rsid w:val="00373ADB"/>
    <w:rsid w:val="00373ED2"/>
    <w:rsid w:val="00375071"/>
    <w:rsid w:val="003755C3"/>
    <w:rsid w:val="00375952"/>
    <w:rsid w:val="003769F7"/>
    <w:rsid w:val="00377DBC"/>
    <w:rsid w:val="003812C3"/>
    <w:rsid w:val="00382B0C"/>
    <w:rsid w:val="00383CA9"/>
    <w:rsid w:val="003858FE"/>
    <w:rsid w:val="00386065"/>
    <w:rsid w:val="0038792A"/>
    <w:rsid w:val="00390010"/>
    <w:rsid w:val="0039141C"/>
    <w:rsid w:val="0039355B"/>
    <w:rsid w:val="00394AF1"/>
    <w:rsid w:val="0039527C"/>
    <w:rsid w:val="00395F6B"/>
    <w:rsid w:val="003A04DB"/>
    <w:rsid w:val="003A235B"/>
    <w:rsid w:val="003A38C8"/>
    <w:rsid w:val="003A3E2F"/>
    <w:rsid w:val="003A3F65"/>
    <w:rsid w:val="003A4F55"/>
    <w:rsid w:val="003A56A3"/>
    <w:rsid w:val="003A5BE7"/>
    <w:rsid w:val="003A62D6"/>
    <w:rsid w:val="003A65B3"/>
    <w:rsid w:val="003A6D2B"/>
    <w:rsid w:val="003A7030"/>
    <w:rsid w:val="003B03AD"/>
    <w:rsid w:val="003B2841"/>
    <w:rsid w:val="003B31D0"/>
    <w:rsid w:val="003B3967"/>
    <w:rsid w:val="003B51A2"/>
    <w:rsid w:val="003B5B5C"/>
    <w:rsid w:val="003B7113"/>
    <w:rsid w:val="003C24BB"/>
    <w:rsid w:val="003C2BB7"/>
    <w:rsid w:val="003C47CB"/>
    <w:rsid w:val="003C5254"/>
    <w:rsid w:val="003C5B91"/>
    <w:rsid w:val="003C60DD"/>
    <w:rsid w:val="003C69CE"/>
    <w:rsid w:val="003C6A6F"/>
    <w:rsid w:val="003D1409"/>
    <w:rsid w:val="003D277F"/>
    <w:rsid w:val="003D28B0"/>
    <w:rsid w:val="003D430D"/>
    <w:rsid w:val="003D58F1"/>
    <w:rsid w:val="003D6869"/>
    <w:rsid w:val="003D6C15"/>
    <w:rsid w:val="003D6D2C"/>
    <w:rsid w:val="003D75FA"/>
    <w:rsid w:val="003D77A2"/>
    <w:rsid w:val="003E2C52"/>
    <w:rsid w:val="003E2F66"/>
    <w:rsid w:val="003E37E5"/>
    <w:rsid w:val="003E3C04"/>
    <w:rsid w:val="003E6FF2"/>
    <w:rsid w:val="003E7248"/>
    <w:rsid w:val="003E7502"/>
    <w:rsid w:val="003F52AC"/>
    <w:rsid w:val="003F5803"/>
    <w:rsid w:val="003F60E5"/>
    <w:rsid w:val="003F786D"/>
    <w:rsid w:val="00401935"/>
    <w:rsid w:val="00402875"/>
    <w:rsid w:val="00402A3B"/>
    <w:rsid w:val="0040451E"/>
    <w:rsid w:val="004070D5"/>
    <w:rsid w:val="00411D8D"/>
    <w:rsid w:val="00417857"/>
    <w:rsid w:val="0042037B"/>
    <w:rsid w:val="00421AEB"/>
    <w:rsid w:val="00421CBE"/>
    <w:rsid w:val="00421EBC"/>
    <w:rsid w:val="00422F57"/>
    <w:rsid w:val="004236BB"/>
    <w:rsid w:val="00423AFE"/>
    <w:rsid w:val="004252D1"/>
    <w:rsid w:val="0042640D"/>
    <w:rsid w:val="00426714"/>
    <w:rsid w:val="00426D6D"/>
    <w:rsid w:val="004309DC"/>
    <w:rsid w:val="004327B6"/>
    <w:rsid w:val="004331F0"/>
    <w:rsid w:val="00433646"/>
    <w:rsid w:val="00433E08"/>
    <w:rsid w:val="00433E48"/>
    <w:rsid w:val="00434B8D"/>
    <w:rsid w:val="0043659E"/>
    <w:rsid w:val="00436B7D"/>
    <w:rsid w:val="004374BC"/>
    <w:rsid w:val="00441206"/>
    <w:rsid w:val="00442E7E"/>
    <w:rsid w:val="004443DA"/>
    <w:rsid w:val="00445896"/>
    <w:rsid w:val="00446035"/>
    <w:rsid w:val="00447756"/>
    <w:rsid w:val="00447D34"/>
    <w:rsid w:val="004507C0"/>
    <w:rsid w:val="004508D6"/>
    <w:rsid w:val="00452BD7"/>
    <w:rsid w:val="00453878"/>
    <w:rsid w:val="00453AE3"/>
    <w:rsid w:val="00455066"/>
    <w:rsid w:val="004557DD"/>
    <w:rsid w:val="00457218"/>
    <w:rsid w:val="004575F8"/>
    <w:rsid w:val="004577AD"/>
    <w:rsid w:val="004619FF"/>
    <w:rsid w:val="00461B7E"/>
    <w:rsid w:val="0046280F"/>
    <w:rsid w:val="00462C5A"/>
    <w:rsid w:val="004678EB"/>
    <w:rsid w:val="00470370"/>
    <w:rsid w:val="004708C8"/>
    <w:rsid w:val="004718EC"/>
    <w:rsid w:val="004733AB"/>
    <w:rsid w:val="00473C9A"/>
    <w:rsid w:val="00474695"/>
    <w:rsid w:val="004746A3"/>
    <w:rsid w:val="004747A3"/>
    <w:rsid w:val="0047587E"/>
    <w:rsid w:val="004774CC"/>
    <w:rsid w:val="00483819"/>
    <w:rsid w:val="00483C0B"/>
    <w:rsid w:val="00484410"/>
    <w:rsid w:val="0048458F"/>
    <w:rsid w:val="00484B91"/>
    <w:rsid w:val="00485BFA"/>
    <w:rsid w:val="00491735"/>
    <w:rsid w:val="0049227A"/>
    <w:rsid w:val="00492C76"/>
    <w:rsid w:val="004938DD"/>
    <w:rsid w:val="004953A0"/>
    <w:rsid w:val="00496071"/>
    <w:rsid w:val="00497740"/>
    <w:rsid w:val="004A04A1"/>
    <w:rsid w:val="004A25D9"/>
    <w:rsid w:val="004A3A53"/>
    <w:rsid w:val="004A3BA9"/>
    <w:rsid w:val="004A40F1"/>
    <w:rsid w:val="004A4363"/>
    <w:rsid w:val="004A470D"/>
    <w:rsid w:val="004A490A"/>
    <w:rsid w:val="004A4C42"/>
    <w:rsid w:val="004A7235"/>
    <w:rsid w:val="004B1109"/>
    <w:rsid w:val="004B1CAF"/>
    <w:rsid w:val="004B25DE"/>
    <w:rsid w:val="004B59B2"/>
    <w:rsid w:val="004B7644"/>
    <w:rsid w:val="004B766F"/>
    <w:rsid w:val="004C0221"/>
    <w:rsid w:val="004C07C6"/>
    <w:rsid w:val="004C0AA2"/>
    <w:rsid w:val="004C1377"/>
    <w:rsid w:val="004C1EF0"/>
    <w:rsid w:val="004C2A67"/>
    <w:rsid w:val="004C3337"/>
    <w:rsid w:val="004C46A3"/>
    <w:rsid w:val="004C4A93"/>
    <w:rsid w:val="004C515E"/>
    <w:rsid w:val="004C5CB0"/>
    <w:rsid w:val="004C6021"/>
    <w:rsid w:val="004C6123"/>
    <w:rsid w:val="004C78B4"/>
    <w:rsid w:val="004D0360"/>
    <w:rsid w:val="004D0C1B"/>
    <w:rsid w:val="004D2C73"/>
    <w:rsid w:val="004D3A98"/>
    <w:rsid w:val="004D3B29"/>
    <w:rsid w:val="004D4184"/>
    <w:rsid w:val="004D4957"/>
    <w:rsid w:val="004D5955"/>
    <w:rsid w:val="004D6E7C"/>
    <w:rsid w:val="004E7205"/>
    <w:rsid w:val="004F2FFC"/>
    <w:rsid w:val="004F3DF1"/>
    <w:rsid w:val="004F3E32"/>
    <w:rsid w:val="004F5636"/>
    <w:rsid w:val="00500063"/>
    <w:rsid w:val="00505134"/>
    <w:rsid w:val="00506C39"/>
    <w:rsid w:val="00511095"/>
    <w:rsid w:val="005113C9"/>
    <w:rsid w:val="005114C4"/>
    <w:rsid w:val="005120B7"/>
    <w:rsid w:val="00512C7C"/>
    <w:rsid w:val="00513C19"/>
    <w:rsid w:val="00513C33"/>
    <w:rsid w:val="00514D1F"/>
    <w:rsid w:val="005178E7"/>
    <w:rsid w:val="00517F07"/>
    <w:rsid w:val="00522F3F"/>
    <w:rsid w:val="0052398C"/>
    <w:rsid w:val="005246B8"/>
    <w:rsid w:val="0052662E"/>
    <w:rsid w:val="0052675C"/>
    <w:rsid w:val="00527869"/>
    <w:rsid w:val="005324A1"/>
    <w:rsid w:val="0053357A"/>
    <w:rsid w:val="00536BE6"/>
    <w:rsid w:val="00544383"/>
    <w:rsid w:val="00545455"/>
    <w:rsid w:val="00545779"/>
    <w:rsid w:val="00545825"/>
    <w:rsid w:val="0054776F"/>
    <w:rsid w:val="00550714"/>
    <w:rsid w:val="005509EE"/>
    <w:rsid w:val="00551527"/>
    <w:rsid w:val="00553914"/>
    <w:rsid w:val="00555514"/>
    <w:rsid w:val="0055570E"/>
    <w:rsid w:val="00556461"/>
    <w:rsid w:val="005573C8"/>
    <w:rsid w:val="0056012D"/>
    <w:rsid w:val="005603D8"/>
    <w:rsid w:val="005619EB"/>
    <w:rsid w:val="00563AED"/>
    <w:rsid w:val="00565980"/>
    <w:rsid w:val="00565CBC"/>
    <w:rsid w:val="00565D9E"/>
    <w:rsid w:val="00567157"/>
    <w:rsid w:val="00570C9F"/>
    <w:rsid w:val="00573923"/>
    <w:rsid w:val="00574B7F"/>
    <w:rsid w:val="00574BCF"/>
    <w:rsid w:val="00576091"/>
    <w:rsid w:val="00577CAD"/>
    <w:rsid w:val="0058029F"/>
    <w:rsid w:val="00582C47"/>
    <w:rsid w:val="0058370E"/>
    <w:rsid w:val="00585161"/>
    <w:rsid w:val="00586734"/>
    <w:rsid w:val="005901CB"/>
    <w:rsid w:val="00590EAB"/>
    <w:rsid w:val="0059257B"/>
    <w:rsid w:val="00594188"/>
    <w:rsid w:val="00594AC9"/>
    <w:rsid w:val="00596714"/>
    <w:rsid w:val="005975B0"/>
    <w:rsid w:val="005A34B0"/>
    <w:rsid w:val="005A45CD"/>
    <w:rsid w:val="005A678C"/>
    <w:rsid w:val="005A7968"/>
    <w:rsid w:val="005A7CCF"/>
    <w:rsid w:val="005B004B"/>
    <w:rsid w:val="005B0514"/>
    <w:rsid w:val="005B31A9"/>
    <w:rsid w:val="005B5D83"/>
    <w:rsid w:val="005B72DF"/>
    <w:rsid w:val="005B7A96"/>
    <w:rsid w:val="005C24DC"/>
    <w:rsid w:val="005C2B2C"/>
    <w:rsid w:val="005C2BD3"/>
    <w:rsid w:val="005C3B9E"/>
    <w:rsid w:val="005C3D24"/>
    <w:rsid w:val="005C61A5"/>
    <w:rsid w:val="005C7A32"/>
    <w:rsid w:val="005D05A0"/>
    <w:rsid w:val="005D05A9"/>
    <w:rsid w:val="005D0A1A"/>
    <w:rsid w:val="005D2173"/>
    <w:rsid w:val="005D2CCD"/>
    <w:rsid w:val="005D35F5"/>
    <w:rsid w:val="005D3A84"/>
    <w:rsid w:val="005D40D9"/>
    <w:rsid w:val="005D6275"/>
    <w:rsid w:val="005D6E1F"/>
    <w:rsid w:val="005E092B"/>
    <w:rsid w:val="005E100A"/>
    <w:rsid w:val="005E2820"/>
    <w:rsid w:val="005E2E90"/>
    <w:rsid w:val="005E5949"/>
    <w:rsid w:val="005E6A09"/>
    <w:rsid w:val="005E7524"/>
    <w:rsid w:val="005F0CE9"/>
    <w:rsid w:val="005F1031"/>
    <w:rsid w:val="005F1628"/>
    <w:rsid w:val="005F202F"/>
    <w:rsid w:val="005F3B37"/>
    <w:rsid w:val="005F4634"/>
    <w:rsid w:val="005F51AD"/>
    <w:rsid w:val="00601E34"/>
    <w:rsid w:val="00603589"/>
    <w:rsid w:val="006042E9"/>
    <w:rsid w:val="00604343"/>
    <w:rsid w:val="006045FC"/>
    <w:rsid w:val="00605291"/>
    <w:rsid w:val="00605967"/>
    <w:rsid w:val="006069FB"/>
    <w:rsid w:val="00607B77"/>
    <w:rsid w:val="00607EB7"/>
    <w:rsid w:val="00610EF0"/>
    <w:rsid w:val="00613130"/>
    <w:rsid w:val="00616ECF"/>
    <w:rsid w:val="00617ED6"/>
    <w:rsid w:val="00620A7B"/>
    <w:rsid w:val="00620D5C"/>
    <w:rsid w:val="00621135"/>
    <w:rsid w:val="00625DA1"/>
    <w:rsid w:val="00626641"/>
    <w:rsid w:val="00626FE2"/>
    <w:rsid w:val="00631755"/>
    <w:rsid w:val="006331CD"/>
    <w:rsid w:val="006416DB"/>
    <w:rsid w:val="0064233A"/>
    <w:rsid w:val="006431F9"/>
    <w:rsid w:val="00644388"/>
    <w:rsid w:val="006459A0"/>
    <w:rsid w:val="00646B91"/>
    <w:rsid w:val="00646C9D"/>
    <w:rsid w:val="006519A1"/>
    <w:rsid w:val="00651CC0"/>
    <w:rsid w:val="0065242F"/>
    <w:rsid w:val="006605DD"/>
    <w:rsid w:val="00660ED0"/>
    <w:rsid w:val="006611CE"/>
    <w:rsid w:val="00662975"/>
    <w:rsid w:val="00662C10"/>
    <w:rsid w:val="00663F3E"/>
    <w:rsid w:val="0066457D"/>
    <w:rsid w:val="00664C57"/>
    <w:rsid w:val="00666643"/>
    <w:rsid w:val="00666B00"/>
    <w:rsid w:val="00667591"/>
    <w:rsid w:val="006677A7"/>
    <w:rsid w:val="00670839"/>
    <w:rsid w:val="00672F73"/>
    <w:rsid w:val="006738BE"/>
    <w:rsid w:val="00674EDF"/>
    <w:rsid w:val="006751A1"/>
    <w:rsid w:val="006773B0"/>
    <w:rsid w:val="006777B7"/>
    <w:rsid w:val="00677B82"/>
    <w:rsid w:val="00681EEF"/>
    <w:rsid w:val="00687796"/>
    <w:rsid w:val="00694E0C"/>
    <w:rsid w:val="00695F3D"/>
    <w:rsid w:val="00696C72"/>
    <w:rsid w:val="00697290"/>
    <w:rsid w:val="00697EF0"/>
    <w:rsid w:val="006A00FE"/>
    <w:rsid w:val="006A054C"/>
    <w:rsid w:val="006A115E"/>
    <w:rsid w:val="006A1314"/>
    <w:rsid w:val="006A204A"/>
    <w:rsid w:val="006A2080"/>
    <w:rsid w:val="006A2833"/>
    <w:rsid w:val="006A36B9"/>
    <w:rsid w:val="006A3853"/>
    <w:rsid w:val="006A3AA8"/>
    <w:rsid w:val="006A503C"/>
    <w:rsid w:val="006A5200"/>
    <w:rsid w:val="006A5DF1"/>
    <w:rsid w:val="006A6C1B"/>
    <w:rsid w:val="006A6DA2"/>
    <w:rsid w:val="006A7913"/>
    <w:rsid w:val="006B1661"/>
    <w:rsid w:val="006B1A49"/>
    <w:rsid w:val="006B393A"/>
    <w:rsid w:val="006B3D67"/>
    <w:rsid w:val="006B579F"/>
    <w:rsid w:val="006B6688"/>
    <w:rsid w:val="006B6F99"/>
    <w:rsid w:val="006B7ADE"/>
    <w:rsid w:val="006C2636"/>
    <w:rsid w:val="006C2B94"/>
    <w:rsid w:val="006C462E"/>
    <w:rsid w:val="006C497B"/>
    <w:rsid w:val="006C6BF1"/>
    <w:rsid w:val="006C7C21"/>
    <w:rsid w:val="006D13B0"/>
    <w:rsid w:val="006D2F61"/>
    <w:rsid w:val="006D3129"/>
    <w:rsid w:val="006D3598"/>
    <w:rsid w:val="006D38D4"/>
    <w:rsid w:val="006D5CC1"/>
    <w:rsid w:val="006D63AD"/>
    <w:rsid w:val="006D6929"/>
    <w:rsid w:val="006E026E"/>
    <w:rsid w:val="006E02D1"/>
    <w:rsid w:val="006E05EF"/>
    <w:rsid w:val="006E0C57"/>
    <w:rsid w:val="006E12FF"/>
    <w:rsid w:val="006E17D8"/>
    <w:rsid w:val="006E2941"/>
    <w:rsid w:val="006E2C7A"/>
    <w:rsid w:val="006E2F04"/>
    <w:rsid w:val="006E404B"/>
    <w:rsid w:val="006E4772"/>
    <w:rsid w:val="006E5A11"/>
    <w:rsid w:val="006E631D"/>
    <w:rsid w:val="006F1317"/>
    <w:rsid w:val="006F1B39"/>
    <w:rsid w:val="006F1C3A"/>
    <w:rsid w:val="006F26EA"/>
    <w:rsid w:val="006F388B"/>
    <w:rsid w:val="006F591B"/>
    <w:rsid w:val="006F6820"/>
    <w:rsid w:val="006F7AD9"/>
    <w:rsid w:val="00700053"/>
    <w:rsid w:val="007001B1"/>
    <w:rsid w:val="007012A3"/>
    <w:rsid w:val="00701B7D"/>
    <w:rsid w:val="00702544"/>
    <w:rsid w:val="00702E3F"/>
    <w:rsid w:val="007034E7"/>
    <w:rsid w:val="007052B6"/>
    <w:rsid w:val="00705FE6"/>
    <w:rsid w:val="0070668A"/>
    <w:rsid w:val="00707812"/>
    <w:rsid w:val="0071097C"/>
    <w:rsid w:val="00710980"/>
    <w:rsid w:val="0071439A"/>
    <w:rsid w:val="00715928"/>
    <w:rsid w:val="00715DDD"/>
    <w:rsid w:val="007162B8"/>
    <w:rsid w:val="00716495"/>
    <w:rsid w:val="00717B68"/>
    <w:rsid w:val="00721539"/>
    <w:rsid w:val="00721603"/>
    <w:rsid w:val="0072213D"/>
    <w:rsid w:val="00722CDB"/>
    <w:rsid w:val="007235FF"/>
    <w:rsid w:val="007240CD"/>
    <w:rsid w:val="0072480E"/>
    <w:rsid w:val="00725672"/>
    <w:rsid w:val="00726755"/>
    <w:rsid w:val="0073152C"/>
    <w:rsid w:val="0073410A"/>
    <w:rsid w:val="00735346"/>
    <w:rsid w:val="00736127"/>
    <w:rsid w:val="00736638"/>
    <w:rsid w:val="0074013D"/>
    <w:rsid w:val="00740837"/>
    <w:rsid w:val="0074092D"/>
    <w:rsid w:val="00741AF7"/>
    <w:rsid w:val="00741C06"/>
    <w:rsid w:val="00742089"/>
    <w:rsid w:val="00742C78"/>
    <w:rsid w:val="00742D72"/>
    <w:rsid w:val="007431E9"/>
    <w:rsid w:val="007436E3"/>
    <w:rsid w:val="0074659A"/>
    <w:rsid w:val="0074711D"/>
    <w:rsid w:val="00747F1A"/>
    <w:rsid w:val="00751501"/>
    <w:rsid w:val="00755292"/>
    <w:rsid w:val="007579A3"/>
    <w:rsid w:val="007602EC"/>
    <w:rsid w:val="00761486"/>
    <w:rsid w:val="00762FB5"/>
    <w:rsid w:val="00764459"/>
    <w:rsid w:val="0076457F"/>
    <w:rsid w:val="0076538F"/>
    <w:rsid w:val="0077047F"/>
    <w:rsid w:val="00771829"/>
    <w:rsid w:val="0077187B"/>
    <w:rsid w:val="00772836"/>
    <w:rsid w:val="007737DA"/>
    <w:rsid w:val="00776620"/>
    <w:rsid w:val="00777208"/>
    <w:rsid w:val="007800BB"/>
    <w:rsid w:val="00782D7F"/>
    <w:rsid w:val="0078371A"/>
    <w:rsid w:val="00783B69"/>
    <w:rsid w:val="00785D8D"/>
    <w:rsid w:val="00786D4E"/>
    <w:rsid w:val="00787047"/>
    <w:rsid w:val="00791170"/>
    <w:rsid w:val="00795EE3"/>
    <w:rsid w:val="00796004"/>
    <w:rsid w:val="00797D25"/>
    <w:rsid w:val="007A02F1"/>
    <w:rsid w:val="007A1347"/>
    <w:rsid w:val="007A36B9"/>
    <w:rsid w:val="007A3B70"/>
    <w:rsid w:val="007A429E"/>
    <w:rsid w:val="007A633F"/>
    <w:rsid w:val="007A7E20"/>
    <w:rsid w:val="007B1D5A"/>
    <w:rsid w:val="007B3474"/>
    <w:rsid w:val="007B3C65"/>
    <w:rsid w:val="007B507F"/>
    <w:rsid w:val="007B6AA9"/>
    <w:rsid w:val="007B7895"/>
    <w:rsid w:val="007C1632"/>
    <w:rsid w:val="007C2D60"/>
    <w:rsid w:val="007C5099"/>
    <w:rsid w:val="007C5B3E"/>
    <w:rsid w:val="007C5BD0"/>
    <w:rsid w:val="007C6170"/>
    <w:rsid w:val="007D0755"/>
    <w:rsid w:val="007D0864"/>
    <w:rsid w:val="007D08D3"/>
    <w:rsid w:val="007D1057"/>
    <w:rsid w:val="007D17E3"/>
    <w:rsid w:val="007D230E"/>
    <w:rsid w:val="007D3402"/>
    <w:rsid w:val="007D3BA0"/>
    <w:rsid w:val="007D4BE6"/>
    <w:rsid w:val="007D56CF"/>
    <w:rsid w:val="007D650D"/>
    <w:rsid w:val="007E0335"/>
    <w:rsid w:val="007E18C9"/>
    <w:rsid w:val="007E4461"/>
    <w:rsid w:val="007E48BC"/>
    <w:rsid w:val="007E50F2"/>
    <w:rsid w:val="007E6093"/>
    <w:rsid w:val="007E6933"/>
    <w:rsid w:val="007F042B"/>
    <w:rsid w:val="007F0FC0"/>
    <w:rsid w:val="007F26A1"/>
    <w:rsid w:val="007F5ABD"/>
    <w:rsid w:val="007F5DA4"/>
    <w:rsid w:val="007F654E"/>
    <w:rsid w:val="0080280F"/>
    <w:rsid w:val="00804446"/>
    <w:rsid w:val="008045A9"/>
    <w:rsid w:val="008048A6"/>
    <w:rsid w:val="00804DF0"/>
    <w:rsid w:val="0080576C"/>
    <w:rsid w:val="00805934"/>
    <w:rsid w:val="00805DDF"/>
    <w:rsid w:val="00806D00"/>
    <w:rsid w:val="008126EE"/>
    <w:rsid w:val="00812D8F"/>
    <w:rsid w:val="00813A09"/>
    <w:rsid w:val="0081461A"/>
    <w:rsid w:val="00814E50"/>
    <w:rsid w:val="00816C1F"/>
    <w:rsid w:val="00816DC7"/>
    <w:rsid w:val="00822346"/>
    <w:rsid w:val="00822385"/>
    <w:rsid w:val="00822A05"/>
    <w:rsid w:val="00822D7D"/>
    <w:rsid w:val="00823614"/>
    <w:rsid w:val="008251CD"/>
    <w:rsid w:val="008260FA"/>
    <w:rsid w:val="008271FF"/>
    <w:rsid w:val="008304E1"/>
    <w:rsid w:val="008324F6"/>
    <w:rsid w:val="0083283D"/>
    <w:rsid w:val="00833BFC"/>
    <w:rsid w:val="00833C20"/>
    <w:rsid w:val="00836F6E"/>
    <w:rsid w:val="008379BE"/>
    <w:rsid w:val="00841298"/>
    <w:rsid w:val="00841838"/>
    <w:rsid w:val="00842BEB"/>
    <w:rsid w:val="00843B35"/>
    <w:rsid w:val="0084403B"/>
    <w:rsid w:val="008447B6"/>
    <w:rsid w:val="008461B4"/>
    <w:rsid w:val="008466B2"/>
    <w:rsid w:val="00847B29"/>
    <w:rsid w:val="00847C4B"/>
    <w:rsid w:val="00847E5A"/>
    <w:rsid w:val="00850DA5"/>
    <w:rsid w:val="008510AE"/>
    <w:rsid w:val="00855366"/>
    <w:rsid w:val="0085552A"/>
    <w:rsid w:val="008609BB"/>
    <w:rsid w:val="0086451E"/>
    <w:rsid w:val="008651D4"/>
    <w:rsid w:val="008653C9"/>
    <w:rsid w:val="00866E8E"/>
    <w:rsid w:val="00867A23"/>
    <w:rsid w:val="008704AD"/>
    <w:rsid w:val="00871412"/>
    <w:rsid w:val="0087191F"/>
    <w:rsid w:val="00871BC9"/>
    <w:rsid w:val="00872B1E"/>
    <w:rsid w:val="0087320C"/>
    <w:rsid w:val="00873EEE"/>
    <w:rsid w:val="0087413A"/>
    <w:rsid w:val="00874F7E"/>
    <w:rsid w:val="00875078"/>
    <w:rsid w:val="00875ACE"/>
    <w:rsid w:val="00875D45"/>
    <w:rsid w:val="00877858"/>
    <w:rsid w:val="00880929"/>
    <w:rsid w:val="00881406"/>
    <w:rsid w:val="00881E5D"/>
    <w:rsid w:val="00884999"/>
    <w:rsid w:val="00885FB8"/>
    <w:rsid w:val="008869DA"/>
    <w:rsid w:val="00890DCF"/>
    <w:rsid w:val="00891886"/>
    <w:rsid w:val="00891CB2"/>
    <w:rsid w:val="008938D1"/>
    <w:rsid w:val="0089409E"/>
    <w:rsid w:val="00894E20"/>
    <w:rsid w:val="008965BE"/>
    <w:rsid w:val="00896DB9"/>
    <w:rsid w:val="008A03D4"/>
    <w:rsid w:val="008A1A22"/>
    <w:rsid w:val="008A2352"/>
    <w:rsid w:val="008A3220"/>
    <w:rsid w:val="008A63C8"/>
    <w:rsid w:val="008A6D1F"/>
    <w:rsid w:val="008B12D4"/>
    <w:rsid w:val="008B1485"/>
    <w:rsid w:val="008B3666"/>
    <w:rsid w:val="008B4C3B"/>
    <w:rsid w:val="008B5F76"/>
    <w:rsid w:val="008B66A0"/>
    <w:rsid w:val="008C0159"/>
    <w:rsid w:val="008C0C02"/>
    <w:rsid w:val="008C0F4B"/>
    <w:rsid w:val="008C0FE2"/>
    <w:rsid w:val="008C36C0"/>
    <w:rsid w:val="008D234C"/>
    <w:rsid w:val="008D2A30"/>
    <w:rsid w:val="008D6218"/>
    <w:rsid w:val="008D6A7C"/>
    <w:rsid w:val="008D6AF7"/>
    <w:rsid w:val="008D6FD8"/>
    <w:rsid w:val="008D7128"/>
    <w:rsid w:val="008E2961"/>
    <w:rsid w:val="008E2D9E"/>
    <w:rsid w:val="008E41D2"/>
    <w:rsid w:val="008E51D9"/>
    <w:rsid w:val="008F0B31"/>
    <w:rsid w:val="008F3C78"/>
    <w:rsid w:val="008F47D8"/>
    <w:rsid w:val="008F6175"/>
    <w:rsid w:val="008F6641"/>
    <w:rsid w:val="0090001F"/>
    <w:rsid w:val="00902600"/>
    <w:rsid w:val="00905F14"/>
    <w:rsid w:val="00906884"/>
    <w:rsid w:val="009079AB"/>
    <w:rsid w:val="00910277"/>
    <w:rsid w:val="009110DC"/>
    <w:rsid w:val="009120ED"/>
    <w:rsid w:val="00912D75"/>
    <w:rsid w:val="009137B9"/>
    <w:rsid w:val="00913FA9"/>
    <w:rsid w:val="00914150"/>
    <w:rsid w:val="00914485"/>
    <w:rsid w:val="0091673A"/>
    <w:rsid w:val="0092065D"/>
    <w:rsid w:val="0092180E"/>
    <w:rsid w:val="009242A0"/>
    <w:rsid w:val="0092650B"/>
    <w:rsid w:val="00927180"/>
    <w:rsid w:val="00931DE8"/>
    <w:rsid w:val="00932549"/>
    <w:rsid w:val="00932732"/>
    <w:rsid w:val="00933DDF"/>
    <w:rsid w:val="009345A3"/>
    <w:rsid w:val="00934667"/>
    <w:rsid w:val="009351E3"/>
    <w:rsid w:val="00935432"/>
    <w:rsid w:val="00940BDB"/>
    <w:rsid w:val="00941F45"/>
    <w:rsid w:val="00942AE1"/>
    <w:rsid w:val="00942D21"/>
    <w:rsid w:val="00942F0D"/>
    <w:rsid w:val="0094352D"/>
    <w:rsid w:val="00945E68"/>
    <w:rsid w:val="00950EA6"/>
    <w:rsid w:val="00951973"/>
    <w:rsid w:val="0095369E"/>
    <w:rsid w:val="00953A7F"/>
    <w:rsid w:val="00953E2C"/>
    <w:rsid w:val="009556DE"/>
    <w:rsid w:val="009558BC"/>
    <w:rsid w:val="0095652E"/>
    <w:rsid w:val="009577EB"/>
    <w:rsid w:val="009577F7"/>
    <w:rsid w:val="00960535"/>
    <w:rsid w:val="009610AE"/>
    <w:rsid w:val="009626A2"/>
    <w:rsid w:val="009627C2"/>
    <w:rsid w:val="00963A7F"/>
    <w:rsid w:val="00965BA0"/>
    <w:rsid w:val="00966215"/>
    <w:rsid w:val="009663F8"/>
    <w:rsid w:val="00966B14"/>
    <w:rsid w:val="00967F76"/>
    <w:rsid w:val="0097170D"/>
    <w:rsid w:val="00973E65"/>
    <w:rsid w:val="00981BB2"/>
    <w:rsid w:val="00981D4C"/>
    <w:rsid w:val="00982E07"/>
    <w:rsid w:val="00984266"/>
    <w:rsid w:val="00985835"/>
    <w:rsid w:val="00986B81"/>
    <w:rsid w:val="00987933"/>
    <w:rsid w:val="0099275C"/>
    <w:rsid w:val="00994D90"/>
    <w:rsid w:val="009A039C"/>
    <w:rsid w:val="009A09AB"/>
    <w:rsid w:val="009A22DD"/>
    <w:rsid w:val="009A2F17"/>
    <w:rsid w:val="009A49B3"/>
    <w:rsid w:val="009A5172"/>
    <w:rsid w:val="009A5D61"/>
    <w:rsid w:val="009B01E9"/>
    <w:rsid w:val="009B0D5C"/>
    <w:rsid w:val="009B1479"/>
    <w:rsid w:val="009B1B38"/>
    <w:rsid w:val="009B2170"/>
    <w:rsid w:val="009B3AAC"/>
    <w:rsid w:val="009B5E17"/>
    <w:rsid w:val="009B670B"/>
    <w:rsid w:val="009C1D71"/>
    <w:rsid w:val="009C3649"/>
    <w:rsid w:val="009C481E"/>
    <w:rsid w:val="009C70B7"/>
    <w:rsid w:val="009D3717"/>
    <w:rsid w:val="009D41DD"/>
    <w:rsid w:val="009D4718"/>
    <w:rsid w:val="009D4B6D"/>
    <w:rsid w:val="009D787A"/>
    <w:rsid w:val="009E4901"/>
    <w:rsid w:val="009E4E08"/>
    <w:rsid w:val="009E5093"/>
    <w:rsid w:val="009E79C2"/>
    <w:rsid w:val="009F2422"/>
    <w:rsid w:val="009F2E25"/>
    <w:rsid w:val="009F335E"/>
    <w:rsid w:val="009F627B"/>
    <w:rsid w:val="009F631E"/>
    <w:rsid w:val="009F6B40"/>
    <w:rsid w:val="00A0269D"/>
    <w:rsid w:val="00A027CD"/>
    <w:rsid w:val="00A06AFB"/>
    <w:rsid w:val="00A07FC1"/>
    <w:rsid w:val="00A12E25"/>
    <w:rsid w:val="00A14C30"/>
    <w:rsid w:val="00A17504"/>
    <w:rsid w:val="00A21FED"/>
    <w:rsid w:val="00A22DCF"/>
    <w:rsid w:val="00A23D52"/>
    <w:rsid w:val="00A24B9C"/>
    <w:rsid w:val="00A252C1"/>
    <w:rsid w:val="00A25A2E"/>
    <w:rsid w:val="00A32E3C"/>
    <w:rsid w:val="00A3446C"/>
    <w:rsid w:val="00A3470C"/>
    <w:rsid w:val="00A361EB"/>
    <w:rsid w:val="00A36853"/>
    <w:rsid w:val="00A369A3"/>
    <w:rsid w:val="00A370DA"/>
    <w:rsid w:val="00A3784D"/>
    <w:rsid w:val="00A37928"/>
    <w:rsid w:val="00A42502"/>
    <w:rsid w:val="00A45AE4"/>
    <w:rsid w:val="00A47134"/>
    <w:rsid w:val="00A47212"/>
    <w:rsid w:val="00A505D3"/>
    <w:rsid w:val="00A52739"/>
    <w:rsid w:val="00A549F8"/>
    <w:rsid w:val="00A54A6E"/>
    <w:rsid w:val="00A55ACC"/>
    <w:rsid w:val="00A60A96"/>
    <w:rsid w:val="00A620FB"/>
    <w:rsid w:val="00A625BE"/>
    <w:rsid w:val="00A62CD4"/>
    <w:rsid w:val="00A65071"/>
    <w:rsid w:val="00A6561C"/>
    <w:rsid w:val="00A65D1A"/>
    <w:rsid w:val="00A66490"/>
    <w:rsid w:val="00A6661F"/>
    <w:rsid w:val="00A700CD"/>
    <w:rsid w:val="00A702CA"/>
    <w:rsid w:val="00A70FED"/>
    <w:rsid w:val="00A726E5"/>
    <w:rsid w:val="00A74BEE"/>
    <w:rsid w:val="00A75718"/>
    <w:rsid w:val="00A75AD6"/>
    <w:rsid w:val="00A7631D"/>
    <w:rsid w:val="00A77554"/>
    <w:rsid w:val="00A800C9"/>
    <w:rsid w:val="00A8148D"/>
    <w:rsid w:val="00A81FF0"/>
    <w:rsid w:val="00A8253C"/>
    <w:rsid w:val="00A85630"/>
    <w:rsid w:val="00A8586E"/>
    <w:rsid w:val="00A9002F"/>
    <w:rsid w:val="00A9095D"/>
    <w:rsid w:val="00A91412"/>
    <w:rsid w:val="00A932FC"/>
    <w:rsid w:val="00A93D00"/>
    <w:rsid w:val="00A94028"/>
    <w:rsid w:val="00A94CDB"/>
    <w:rsid w:val="00A94E38"/>
    <w:rsid w:val="00A95C8A"/>
    <w:rsid w:val="00AA13C5"/>
    <w:rsid w:val="00AA1B47"/>
    <w:rsid w:val="00AA2A66"/>
    <w:rsid w:val="00AA2EED"/>
    <w:rsid w:val="00AA4841"/>
    <w:rsid w:val="00AA48D3"/>
    <w:rsid w:val="00AA6549"/>
    <w:rsid w:val="00AA7001"/>
    <w:rsid w:val="00AB3E6C"/>
    <w:rsid w:val="00AB47BE"/>
    <w:rsid w:val="00AB485D"/>
    <w:rsid w:val="00AB4AE4"/>
    <w:rsid w:val="00AB4DEB"/>
    <w:rsid w:val="00AB643B"/>
    <w:rsid w:val="00AB6E56"/>
    <w:rsid w:val="00AC10F9"/>
    <w:rsid w:val="00AC26F4"/>
    <w:rsid w:val="00AC2AC8"/>
    <w:rsid w:val="00AC3C0B"/>
    <w:rsid w:val="00AC43AE"/>
    <w:rsid w:val="00AC4EEA"/>
    <w:rsid w:val="00AC4F46"/>
    <w:rsid w:val="00AC5A70"/>
    <w:rsid w:val="00AC66C7"/>
    <w:rsid w:val="00AD1707"/>
    <w:rsid w:val="00AD2952"/>
    <w:rsid w:val="00AD3D36"/>
    <w:rsid w:val="00AD67FC"/>
    <w:rsid w:val="00AE2780"/>
    <w:rsid w:val="00AE5996"/>
    <w:rsid w:val="00AE73A0"/>
    <w:rsid w:val="00AE750B"/>
    <w:rsid w:val="00AE7D8C"/>
    <w:rsid w:val="00AF0702"/>
    <w:rsid w:val="00AF199D"/>
    <w:rsid w:val="00AF1EA1"/>
    <w:rsid w:val="00AF2547"/>
    <w:rsid w:val="00AF288E"/>
    <w:rsid w:val="00AF3AFE"/>
    <w:rsid w:val="00AF4293"/>
    <w:rsid w:val="00AF6D3D"/>
    <w:rsid w:val="00AF705D"/>
    <w:rsid w:val="00AF76A9"/>
    <w:rsid w:val="00B002C1"/>
    <w:rsid w:val="00B00D47"/>
    <w:rsid w:val="00B01BC1"/>
    <w:rsid w:val="00B03391"/>
    <w:rsid w:val="00B047C6"/>
    <w:rsid w:val="00B07488"/>
    <w:rsid w:val="00B0752C"/>
    <w:rsid w:val="00B10D8D"/>
    <w:rsid w:val="00B12DEB"/>
    <w:rsid w:val="00B13010"/>
    <w:rsid w:val="00B146E5"/>
    <w:rsid w:val="00B14963"/>
    <w:rsid w:val="00B16045"/>
    <w:rsid w:val="00B16B6F"/>
    <w:rsid w:val="00B176A0"/>
    <w:rsid w:val="00B17AA1"/>
    <w:rsid w:val="00B20271"/>
    <w:rsid w:val="00B214FF"/>
    <w:rsid w:val="00B2343D"/>
    <w:rsid w:val="00B23816"/>
    <w:rsid w:val="00B23D97"/>
    <w:rsid w:val="00B23FDF"/>
    <w:rsid w:val="00B24B94"/>
    <w:rsid w:val="00B257FA"/>
    <w:rsid w:val="00B25B36"/>
    <w:rsid w:val="00B27460"/>
    <w:rsid w:val="00B27768"/>
    <w:rsid w:val="00B27A08"/>
    <w:rsid w:val="00B27F60"/>
    <w:rsid w:val="00B27F61"/>
    <w:rsid w:val="00B319D3"/>
    <w:rsid w:val="00B331C1"/>
    <w:rsid w:val="00B33D10"/>
    <w:rsid w:val="00B3467C"/>
    <w:rsid w:val="00B34B6B"/>
    <w:rsid w:val="00B34DFD"/>
    <w:rsid w:val="00B37174"/>
    <w:rsid w:val="00B4239B"/>
    <w:rsid w:val="00B47A7C"/>
    <w:rsid w:val="00B50B4C"/>
    <w:rsid w:val="00B51FEB"/>
    <w:rsid w:val="00B5398E"/>
    <w:rsid w:val="00B5425C"/>
    <w:rsid w:val="00B549D1"/>
    <w:rsid w:val="00B566FE"/>
    <w:rsid w:val="00B56A3D"/>
    <w:rsid w:val="00B605FE"/>
    <w:rsid w:val="00B60796"/>
    <w:rsid w:val="00B61B07"/>
    <w:rsid w:val="00B62E45"/>
    <w:rsid w:val="00B63707"/>
    <w:rsid w:val="00B63DC0"/>
    <w:rsid w:val="00B6696E"/>
    <w:rsid w:val="00B67816"/>
    <w:rsid w:val="00B71F7F"/>
    <w:rsid w:val="00B72210"/>
    <w:rsid w:val="00B726A5"/>
    <w:rsid w:val="00B72715"/>
    <w:rsid w:val="00B75818"/>
    <w:rsid w:val="00B77D65"/>
    <w:rsid w:val="00B8048A"/>
    <w:rsid w:val="00B80CE4"/>
    <w:rsid w:val="00B81DFF"/>
    <w:rsid w:val="00B83367"/>
    <w:rsid w:val="00B83E05"/>
    <w:rsid w:val="00B86819"/>
    <w:rsid w:val="00B86B3A"/>
    <w:rsid w:val="00B879CC"/>
    <w:rsid w:val="00B92855"/>
    <w:rsid w:val="00B94907"/>
    <w:rsid w:val="00B94EED"/>
    <w:rsid w:val="00B97CFB"/>
    <w:rsid w:val="00BA02E1"/>
    <w:rsid w:val="00BA0782"/>
    <w:rsid w:val="00BA1A77"/>
    <w:rsid w:val="00BA22D1"/>
    <w:rsid w:val="00BA46AB"/>
    <w:rsid w:val="00BA49A9"/>
    <w:rsid w:val="00BA4B34"/>
    <w:rsid w:val="00BA5950"/>
    <w:rsid w:val="00BA6634"/>
    <w:rsid w:val="00BA7387"/>
    <w:rsid w:val="00BA74A4"/>
    <w:rsid w:val="00BA75B8"/>
    <w:rsid w:val="00BA78E4"/>
    <w:rsid w:val="00BB4097"/>
    <w:rsid w:val="00BB48A3"/>
    <w:rsid w:val="00BB7FF6"/>
    <w:rsid w:val="00BC06EF"/>
    <w:rsid w:val="00BC116D"/>
    <w:rsid w:val="00BC2832"/>
    <w:rsid w:val="00BC30AA"/>
    <w:rsid w:val="00BC3E7D"/>
    <w:rsid w:val="00BC550C"/>
    <w:rsid w:val="00BC5DA2"/>
    <w:rsid w:val="00BC77DD"/>
    <w:rsid w:val="00BD2034"/>
    <w:rsid w:val="00BD23FC"/>
    <w:rsid w:val="00BD3A06"/>
    <w:rsid w:val="00BD75AE"/>
    <w:rsid w:val="00BD7965"/>
    <w:rsid w:val="00BE2B77"/>
    <w:rsid w:val="00BE3B9C"/>
    <w:rsid w:val="00BE3FC0"/>
    <w:rsid w:val="00BE4140"/>
    <w:rsid w:val="00BE58E2"/>
    <w:rsid w:val="00BE612D"/>
    <w:rsid w:val="00BF0219"/>
    <w:rsid w:val="00BF39F7"/>
    <w:rsid w:val="00BF45FC"/>
    <w:rsid w:val="00BF4BDB"/>
    <w:rsid w:val="00BF50E0"/>
    <w:rsid w:val="00BF5DD5"/>
    <w:rsid w:val="00BF6AF9"/>
    <w:rsid w:val="00BF6F70"/>
    <w:rsid w:val="00BF6F92"/>
    <w:rsid w:val="00BF7B5E"/>
    <w:rsid w:val="00C015AE"/>
    <w:rsid w:val="00C016FC"/>
    <w:rsid w:val="00C02A8F"/>
    <w:rsid w:val="00C02DA5"/>
    <w:rsid w:val="00C02FC9"/>
    <w:rsid w:val="00C03AF0"/>
    <w:rsid w:val="00C043FF"/>
    <w:rsid w:val="00C05319"/>
    <w:rsid w:val="00C064BF"/>
    <w:rsid w:val="00C0689E"/>
    <w:rsid w:val="00C06903"/>
    <w:rsid w:val="00C0753B"/>
    <w:rsid w:val="00C07E0A"/>
    <w:rsid w:val="00C07EF4"/>
    <w:rsid w:val="00C10EFD"/>
    <w:rsid w:val="00C11664"/>
    <w:rsid w:val="00C117E9"/>
    <w:rsid w:val="00C11880"/>
    <w:rsid w:val="00C12BC9"/>
    <w:rsid w:val="00C12D5A"/>
    <w:rsid w:val="00C13F96"/>
    <w:rsid w:val="00C14A3A"/>
    <w:rsid w:val="00C170FD"/>
    <w:rsid w:val="00C178AA"/>
    <w:rsid w:val="00C17B89"/>
    <w:rsid w:val="00C2048A"/>
    <w:rsid w:val="00C2205E"/>
    <w:rsid w:val="00C23656"/>
    <w:rsid w:val="00C26622"/>
    <w:rsid w:val="00C30153"/>
    <w:rsid w:val="00C30602"/>
    <w:rsid w:val="00C318E6"/>
    <w:rsid w:val="00C32B72"/>
    <w:rsid w:val="00C33243"/>
    <w:rsid w:val="00C4176C"/>
    <w:rsid w:val="00C41AFC"/>
    <w:rsid w:val="00C41FEC"/>
    <w:rsid w:val="00C42ACC"/>
    <w:rsid w:val="00C43E76"/>
    <w:rsid w:val="00C44F93"/>
    <w:rsid w:val="00C452E3"/>
    <w:rsid w:val="00C46CB1"/>
    <w:rsid w:val="00C50910"/>
    <w:rsid w:val="00C50AF9"/>
    <w:rsid w:val="00C53FF7"/>
    <w:rsid w:val="00C5472C"/>
    <w:rsid w:val="00C5497F"/>
    <w:rsid w:val="00C55BBE"/>
    <w:rsid w:val="00C562FF"/>
    <w:rsid w:val="00C56BA7"/>
    <w:rsid w:val="00C56F18"/>
    <w:rsid w:val="00C57A69"/>
    <w:rsid w:val="00C62E2F"/>
    <w:rsid w:val="00C6328C"/>
    <w:rsid w:val="00C636E7"/>
    <w:rsid w:val="00C65928"/>
    <w:rsid w:val="00C65B53"/>
    <w:rsid w:val="00C66222"/>
    <w:rsid w:val="00C675D2"/>
    <w:rsid w:val="00C70125"/>
    <w:rsid w:val="00C7326C"/>
    <w:rsid w:val="00C7519D"/>
    <w:rsid w:val="00C81C37"/>
    <w:rsid w:val="00C85ACC"/>
    <w:rsid w:val="00C85B35"/>
    <w:rsid w:val="00C8788A"/>
    <w:rsid w:val="00C90585"/>
    <w:rsid w:val="00C907E5"/>
    <w:rsid w:val="00C90B4E"/>
    <w:rsid w:val="00C921CB"/>
    <w:rsid w:val="00C9457B"/>
    <w:rsid w:val="00C96318"/>
    <w:rsid w:val="00C974E5"/>
    <w:rsid w:val="00C97D1D"/>
    <w:rsid w:val="00CA1130"/>
    <w:rsid w:val="00CA1786"/>
    <w:rsid w:val="00CA221D"/>
    <w:rsid w:val="00CA3F28"/>
    <w:rsid w:val="00CAA3F0"/>
    <w:rsid w:val="00CB4930"/>
    <w:rsid w:val="00CB6619"/>
    <w:rsid w:val="00CB7152"/>
    <w:rsid w:val="00CB7D4A"/>
    <w:rsid w:val="00CC00A6"/>
    <w:rsid w:val="00CC0992"/>
    <w:rsid w:val="00CC12B6"/>
    <w:rsid w:val="00CC1B0F"/>
    <w:rsid w:val="00CC6659"/>
    <w:rsid w:val="00CC698A"/>
    <w:rsid w:val="00CC6F80"/>
    <w:rsid w:val="00CD0055"/>
    <w:rsid w:val="00CD3DEF"/>
    <w:rsid w:val="00CD3E43"/>
    <w:rsid w:val="00CD570A"/>
    <w:rsid w:val="00CD68D7"/>
    <w:rsid w:val="00CD692C"/>
    <w:rsid w:val="00CD7B5C"/>
    <w:rsid w:val="00CE76CB"/>
    <w:rsid w:val="00CE7F51"/>
    <w:rsid w:val="00CE7F8A"/>
    <w:rsid w:val="00CF04B3"/>
    <w:rsid w:val="00CF0D7A"/>
    <w:rsid w:val="00CF21B3"/>
    <w:rsid w:val="00CF224D"/>
    <w:rsid w:val="00CF3758"/>
    <w:rsid w:val="00CF40DD"/>
    <w:rsid w:val="00CF4C20"/>
    <w:rsid w:val="00CF4D93"/>
    <w:rsid w:val="00CF652B"/>
    <w:rsid w:val="00D00968"/>
    <w:rsid w:val="00D02A2D"/>
    <w:rsid w:val="00D045FB"/>
    <w:rsid w:val="00D04D64"/>
    <w:rsid w:val="00D06C8C"/>
    <w:rsid w:val="00D07FF4"/>
    <w:rsid w:val="00D103F1"/>
    <w:rsid w:val="00D1532E"/>
    <w:rsid w:val="00D171EC"/>
    <w:rsid w:val="00D224D1"/>
    <w:rsid w:val="00D23DB9"/>
    <w:rsid w:val="00D25645"/>
    <w:rsid w:val="00D261FB"/>
    <w:rsid w:val="00D268E9"/>
    <w:rsid w:val="00D32201"/>
    <w:rsid w:val="00D32FDA"/>
    <w:rsid w:val="00D335D7"/>
    <w:rsid w:val="00D33A02"/>
    <w:rsid w:val="00D33D0E"/>
    <w:rsid w:val="00D33E0A"/>
    <w:rsid w:val="00D351E2"/>
    <w:rsid w:val="00D352F5"/>
    <w:rsid w:val="00D3658A"/>
    <w:rsid w:val="00D407BA"/>
    <w:rsid w:val="00D414B3"/>
    <w:rsid w:val="00D41E66"/>
    <w:rsid w:val="00D42289"/>
    <w:rsid w:val="00D43C5D"/>
    <w:rsid w:val="00D458AB"/>
    <w:rsid w:val="00D46661"/>
    <w:rsid w:val="00D46E48"/>
    <w:rsid w:val="00D512C1"/>
    <w:rsid w:val="00D52BC0"/>
    <w:rsid w:val="00D52E46"/>
    <w:rsid w:val="00D53143"/>
    <w:rsid w:val="00D53495"/>
    <w:rsid w:val="00D53DDC"/>
    <w:rsid w:val="00D53FD9"/>
    <w:rsid w:val="00D55FAA"/>
    <w:rsid w:val="00D562BD"/>
    <w:rsid w:val="00D562E1"/>
    <w:rsid w:val="00D6075F"/>
    <w:rsid w:val="00D619AA"/>
    <w:rsid w:val="00D62A8B"/>
    <w:rsid w:val="00D635E6"/>
    <w:rsid w:val="00D63C1C"/>
    <w:rsid w:val="00D66E85"/>
    <w:rsid w:val="00D67689"/>
    <w:rsid w:val="00D676D5"/>
    <w:rsid w:val="00D67B0C"/>
    <w:rsid w:val="00D700CE"/>
    <w:rsid w:val="00D70F87"/>
    <w:rsid w:val="00D71401"/>
    <w:rsid w:val="00D72464"/>
    <w:rsid w:val="00D72543"/>
    <w:rsid w:val="00D72B4C"/>
    <w:rsid w:val="00D7501E"/>
    <w:rsid w:val="00D76B40"/>
    <w:rsid w:val="00D76D31"/>
    <w:rsid w:val="00D7799F"/>
    <w:rsid w:val="00D810C6"/>
    <w:rsid w:val="00D8210C"/>
    <w:rsid w:val="00D858A5"/>
    <w:rsid w:val="00D85B94"/>
    <w:rsid w:val="00D86C91"/>
    <w:rsid w:val="00D86EC5"/>
    <w:rsid w:val="00D87FC7"/>
    <w:rsid w:val="00D90455"/>
    <w:rsid w:val="00D92A60"/>
    <w:rsid w:val="00D92CE3"/>
    <w:rsid w:val="00D9329D"/>
    <w:rsid w:val="00D936FE"/>
    <w:rsid w:val="00D956B0"/>
    <w:rsid w:val="00D959F5"/>
    <w:rsid w:val="00D96462"/>
    <w:rsid w:val="00D97750"/>
    <w:rsid w:val="00D97A2E"/>
    <w:rsid w:val="00DA09FB"/>
    <w:rsid w:val="00DA19DA"/>
    <w:rsid w:val="00DA2900"/>
    <w:rsid w:val="00DA2F32"/>
    <w:rsid w:val="00DA33D0"/>
    <w:rsid w:val="00DA5D15"/>
    <w:rsid w:val="00DA5D34"/>
    <w:rsid w:val="00DA5F2C"/>
    <w:rsid w:val="00DB1475"/>
    <w:rsid w:val="00DB2F48"/>
    <w:rsid w:val="00DB3F91"/>
    <w:rsid w:val="00DB43FA"/>
    <w:rsid w:val="00DB5A85"/>
    <w:rsid w:val="00DB5C2E"/>
    <w:rsid w:val="00DB707C"/>
    <w:rsid w:val="00DB7319"/>
    <w:rsid w:val="00DC1207"/>
    <w:rsid w:val="00DC28A3"/>
    <w:rsid w:val="00DC332C"/>
    <w:rsid w:val="00DC3522"/>
    <w:rsid w:val="00DC418A"/>
    <w:rsid w:val="00DC6CE6"/>
    <w:rsid w:val="00DC7884"/>
    <w:rsid w:val="00DC79E7"/>
    <w:rsid w:val="00DC7F9F"/>
    <w:rsid w:val="00DD1C82"/>
    <w:rsid w:val="00DD1F02"/>
    <w:rsid w:val="00DD30BF"/>
    <w:rsid w:val="00DD3630"/>
    <w:rsid w:val="00DD3ED6"/>
    <w:rsid w:val="00DD612B"/>
    <w:rsid w:val="00DD6C30"/>
    <w:rsid w:val="00DD6EED"/>
    <w:rsid w:val="00DE0B72"/>
    <w:rsid w:val="00DE1072"/>
    <w:rsid w:val="00DE3DA2"/>
    <w:rsid w:val="00DE475C"/>
    <w:rsid w:val="00DE4893"/>
    <w:rsid w:val="00DE562A"/>
    <w:rsid w:val="00DF111B"/>
    <w:rsid w:val="00DF1392"/>
    <w:rsid w:val="00DF20FE"/>
    <w:rsid w:val="00DF228A"/>
    <w:rsid w:val="00DF43BB"/>
    <w:rsid w:val="00DF57CF"/>
    <w:rsid w:val="00DF5D84"/>
    <w:rsid w:val="00DF639A"/>
    <w:rsid w:val="00DF7277"/>
    <w:rsid w:val="00E00926"/>
    <w:rsid w:val="00E03E2D"/>
    <w:rsid w:val="00E04AE0"/>
    <w:rsid w:val="00E04C78"/>
    <w:rsid w:val="00E04F31"/>
    <w:rsid w:val="00E05A14"/>
    <w:rsid w:val="00E1015A"/>
    <w:rsid w:val="00E101B5"/>
    <w:rsid w:val="00E134B3"/>
    <w:rsid w:val="00E149B9"/>
    <w:rsid w:val="00E152D5"/>
    <w:rsid w:val="00E16868"/>
    <w:rsid w:val="00E17BC6"/>
    <w:rsid w:val="00E21638"/>
    <w:rsid w:val="00E2243B"/>
    <w:rsid w:val="00E2245F"/>
    <w:rsid w:val="00E2280F"/>
    <w:rsid w:val="00E244C7"/>
    <w:rsid w:val="00E2484F"/>
    <w:rsid w:val="00E2678F"/>
    <w:rsid w:val="00E2688C"/>
    <w:rsid w:val="00E27A2C"/>
    <w:rsid w:val="00E317D9"/>
    <w:rsid w:val="00E32709"/>
    <w:rsid w:val="00E33329"/>
    <w:rsid w:val="00E3662A"/>
    <w:rsid w:val="00E41EE4"/>
    <w:rsid w:val="00E42E40"/>
    <w:rsid w:val="00E4332C"/>
    <w:rsid w:val="00E44F56"/>
    <w:rsid w:val="00E46B39"/>
    <w:rsid w:val="00E5162B"/>
    <w:rsid w:val="00E519C5"/>
    <w:rsid w:val="00E53613"/>
    <w:rsid w:val="00E53D4D"/>
    <w:rsid w:val="00E55A62"/>
    <w:rsid w:val="00E61BFF"/>
    <w:rsid w:val="00E61C98"/>
    <w:rsid w:val="00E6407A"/>
    <w:rsid w:val="00E65A60"/>
    <w:rsid w:val="00E65E00"/>
    <w:rsid w:val="00E6735D"/>
    <w:rsid w:val="00E6767B"/>
    <w:rsid w:val="00E70852"/>
    <w:rsid w:val="00E71043"/>
    <w:rsid w:val="00E721A9"/>
    <w:rsid w:val="00E75C78"/>
    <w:rsid w:val="00E761A3"/>
    <w:rsid w:val="00E76CC9"/>
    <w:rsid w:val="00E827E0"/>
    <w:rsid w:val="00E834CD"/>
    <w:rsid w:val="00E83FE8"/>
    <w:rsid w:val="00E84050"/>
    <w:rsid w:val="00E843F2"/>
    <w:rsid w:val="00E85800"/>
    <w:rsid w:val="00E8588B"/>
    <w:rsid w:val="00E862E0"/>
    <w:rsid w:val="00E86CAF"/>
    <w:rsid w:val="00E86FEF"/>
    <w:rsid w:val="00E901E0"/>
    <w:rsid w:val="00E91450"/>
    <w:rsid w:val="00E92881"/>
    <w:rsid w:val="00E93ECC"/>
    <w:rsid w:val="00E93F35"/>
    <w:rsid w:val="00E94F66"/>
    <w:rsid w:val="00E94FBD"/>
    <w:rsid w:val="00EA06E6"/>
    <w:rsid w:val="00EA4177"/>
    <w:rsid w:val="00EA4CBB"/>
    <w:rsid w:val="00EB0272"/>
    <w:rsid w:val="00EB06E8"/>
    <w:rsid w:val="00EB2D9D"/>
    <w:rsid w:val="00EB3F0C"/>
    <w:rsid w:val="00EB41F5"/>
    <w:rsid w:val="00EB521A"/>
    <w:rsid w:val="00EB61A2"/>
    <w:rsid w:val="00EB6CF9"/>
    <w:rsid w:val="00EB77A3"/>
    <w:rsid w:val="00EC1D27"/>
    <w:rsid w:val="00EC26A5"/>
    <w:rsid w:val="00EC3B7B"/>
    <w:rsid w:val="00EC40CE"/>
    <w:rsid w:val="00EC416C"/>
    <w:rsid w:val="00EC649F"/>
    <w:rsid w:val="00EC662C"/>
    <w:rsid w:val="00EC7B80"/>
    <w:rsid w:val="00ED06A3"/>
    <w:rsid w:val="00ED0C36"/>
    <w:rsid w:val="00ED10AF"/>
    <w:rsid w:val="00ED14AC"/>
    <w:rsid w:val="00ED3F7B"/>
    <w:rsid w:val="00ED45B5"/>
    <w:rsid w:val="00ED5180"/>
    <w:rsid w:val="00ED5786"/>
    <w:rsid w:val="00ED6647"/>
    <w:rsid w:val="00EE234A"/>
    <w:rsid w:val="00EE58B6"/>
    <w:rsid w:val="00EE7727"/>
    <w:rsid w:val="00EE781E"/>
    <w:rsid w:val="00EE7D64"/>
    <w:rsid w:val="00EE7DBD"/>
    <w:rsid w:val="00EF079D"/>
    <w:rsid w:val="00EF0AFA"/>
    <w:rsid w:val="00EF2475"/>
    <w:rsid w:val="00EF3388"/>
    <w:rsid w:val="00EF3C63"/>
    <w:rsid w:val="00EF41BF"/>
    <w:rsid w:val="00EF525F"/>
    <w:rsid w:val="00EF5C75"/>
    <w:rsid w:val="00EF78E8"/>
    <w:rsid w:val="00F01E47"/>
    <w:rsid w:val="00F049D7"/>
    <w:rsid w:val="00F04E56"/>
    <w:rsid w:val="00F04FA1"/>
    <w:rsid w:val="00F07D06"/>
    <w:rsid w:val="00F10FFE"/>
    <w:rsid w:val="00F172F5"/>
    <w:rsid w:val="00F23A78"/>
    <w:rsid w:val="00F24892"/>
    <w:rsid w:val="00F25457"/>
    <w:rsid w:val="00F25DCB"/>
    <w:rsid w:val="00F317D3"/>
    <w:rsid w:val="00F31DAD"/>
    <w:rsid w:val="00F31EED"/>
    <w:rsid w:val="00F329AA"/>
    <w:rsid w:val="00F33081"/>
    <w:rsid w:val="00F3331A"/>
    <w:rsid w:val="00F34D34"/>
    <w:rsid w:val="00F35974"/>
    <w:rsid w:val="00F400D8"/>
    <w:rsid w:val="00F43EAC"/>
    <w:rsid w:val="00F43FE5"/>
    <w:rsid w:val="00F459C5"/>
    <w:rsid w:val="00F461C7"/>
    <w:rsid w:val="00F463C9"/>
    <w:rsid w:val="00F5153B"/>
    <w:rsid w:val="00F51A36"/>
    <w:rsid w:val="00F536FE"/>
    <w:rsid w:val="00F53737"/>
    <w:rsid w:val="00F543E5"/>
    <w:rsid w:val="00F548F9"/>
    <w:rsid w:val="00F54C87"/>
    <w:rsid w:val="00F5523D"/>
    <w:rsid w:val="00F55A2C"/>
    <w:rsid w:val="00F56C09"/>
    <w:rsid w:val="00F60596"/>
    <w:rsid w:val="00F614B0"/>
    <w:rsid w:val="00F61B77"/>
    <w:rsid w:val="00F62077"/>
    <w:rsid w:val="00F622B9"/>
    <w:rsid w:val="00F626BE"/>
    <w:rsid w:val="00F629FF"/>
    <w:rsid w:val="00F6398A"/>
    <w:rsid w:val="00F647E0"/>
    <w:rsid w:val="00F64AB6"/>
    <w:rsid w:val="00F657FC"/>
    <w:rsid w:val="00F66049"/>
    <w:rsid w:val="00F67287"/>
    <w:rsid w:val="00F71B14"/>
    <w:rsid w:val="00F72066"/>
    <w:rsid w:val="00F720A3"/>
    <w:rsid w:val="00F7261A"/>
    <w:rsid w:val="00F73464"/>
    <w:rsid w:val="00F73473"/>
    <w:rsid w:val="00F73CED"/>
    <w:rsid w:val="00F73E8E"/>
    <w:rsid w:val="00F76274"/>
    <w:rsid w:val="00F763F9"/>
    <w:rsid w:val="00F7722C"/>
    <w:rsid w:val="00F773F4"/>
    <w:rsid w:val="00F829B4"/>
    <w:rsid w:val="00F838F7"/>
    <w:rsid w:val="00F83AC4"/>
    <w:rsid w:val="00F83E1F"/>
    <w:rsid w:val="00F844A9"/>
    <w:rsid w:val="00F8561F"/>
    <w:rsid w:val="00F8581E"/>
    <w:rsid w:val="00F85DC1"/>
    <w:rsid w:val="00F92300"/>
    <w:rsid w:val="00F949AF"/>
    <w:rsid w:val="00F95924"/>
    <w:rsid w:val="00F95AFA"/>
    <w:rsid w:val="00F95CAC"/>
    <w:rsid w:val="00F96945"/>
    <w:rsid w:val="00F96AD7"/>
    <w:rsid w:val="00F97CBC"/>
    <w:rsid w:val="00FA2774"/>
    <w:rsid w:val="00FA3417"/>
    <w:rsid w:val="00FA59EC"/>
    <w:rsid w:val="00FA5ED0"/>
    <w:rsid w:val="00FB0CA7"/>
    <w:rsid w:val="00FB1195"/>
    <w:rsid w:val="00FB2DCF"/>
    <w:rsid w:val="00FB3225"/>
    <w:rsid w:val="00FB5173"/>
    <w:rsid w:val="00FB6CBE"/>
    <w:rsid w:val="00FC018E"/>
    <w:rsid w:val="00FC1D41"/>
    <w:rsid w:val="00FC1DCE"/>
    <w:rsid w:val="00FC307F"/>
    <w:rsid w:val="00FC384F"/>
    <w:rsid w:val="00FC5621"/>
    <w:rsid w:val="00FC572D"/>
    <w:rsid w:val="00FC5CB9"/>
    <w:rsid w:val="00FC5E18"/>
    <w:rsid w:val="00FC60C4"/>
    <w:rsid w:val="00FC60DE"/>
    <w:rsid w:val="00FC6157"/>
    <w:rsid w:val="00FD0E3E"/>
    <w:rsid w:val="00FD15E8"/>
    <w:rsid w:val="00FD272E"/>
    <w:rsid w:val="00FD5587"/>
    <w:rsid w:val="00FD55B2"/>
    <w:rsid w:val="00FD5831"/>
    <w:rsid w:val="00FE11E3"/>
    <w:rsid w:val="00FE157C"/>
    <w:rsid w:val="00FE188C"/>
    <w:rsid w:val="00FE2794"/>
    <w:rsid w:val="00FE40DD"/>
    <w:rsid w:val="00FE425F"/>
    <w:rsid w:val="00FE49EB"/>
    <w:rsid w:val="00FE7B1B"/>
    <w:rsid w:val="00FF0A72"/>
    <w:rsid w:val="00FF35E1"/>
    <w:rsid w:val="00FF421A"/>
    <w:rsid w:val="00FF574F"/>
    <w:rsid w:val="00FF7CF1"/>
    <w:rsid w:val="01D41686"/>
    <w:rsid w:val="03911387"/>
    <w:rsid w:val="0488F051"/>
    <w:rsid w:val="087E5A58"/>
    <w:rsid w:val="08DF7CDE"/>
    <w:rsid w:val="0967F197"/>
    <w:rsid w:val="0B4789F7"/>
    <w:rsid w:val="0B5D13CF"/>
    <w:rsid w:val="0B9E793E"/>
    <w:rsid w:val="0C39A186"/>
    <w:rsid w:val="0CB56570"/>
    <w:rsid w:val="1001D2BD"/>
    <w:rsid w:val="1085072C"/>
    <w:rsid w:val="12403718"/>
    <w:rsid w:val="12851F8E"/>
    <w:rsid w:val="14F94C8B"/>
    <w:rsid w:val="15313E47"/>
    <w:rsid w:val="17EC4CC0"/>
    <w:rsid w:val="18BCDF96"/>
    <w:rsid w:val="19B6BE74"/>
    <w:rsid w:val="1AC289C5"/>
    <w:rsid w:val="1B08AAEB"/>
    <w:rsid w:val="1EC58018"/>
    <w:rsid w:val="20029284"/>
    <w:rsid w:val="22484F97"/>
    <w:rsid w:val="22C4F847"/>
    <w:rsid w:val="24B22848"/>
    <w:rsid w:val="25894415"/>
    <w:rsid w:val="292BE7BF"/>
    <w:rsid w:val="2A12D2CC"/>
    <w:rsid w:val="2B8A5540"/>
    <w:rsid w:val="2E679F9D"/>
    <w:rsid w:val="306173ED"/>
    <w:rsid w:val="33969AF8"/>
    <w:rsid w:val="3561C9EA"/>
    <w:rsid w:val="3568D2A6"/>
    <w:rsid w:val="359A017C"/>
    <w:rsid w:val="35D550DC"/>
    <w:rsid w:val="36A1F415"/>
    <w:rsid w:val="3827F15F"/>
    <w:rsid w:val="3940CA02"/>
    <w:rsid w:val="3A138E62"/>
    <w:rsid w:val="3B3DACDF"/>
    <w:rsid w:val="3DDF58F9"/>
    <w:rsid w:val="3E77658D"/>
    <w:rsid w:val="40B73C80"/>
    <w:rsid w:val="40E09D7B"/>
    <w:rsid w:val="421D7BF2"/>
    <w:rsid w:val="4304B828"/>
    <w:rsid w:val="43B94C53"/>
    <w:rsid w:val="441A9EFA"/>
    <w:rsid w:val="45023A52"/>
    <w:rsid w:val="45551CB4"/>
    <w:rsid w:val="45B54F9C"/>
    <w:rsid w:val="45C79F81"/>
    <w:rsid w:val="477B6301"/>
    <w:rsid w:val="488E7943"/>
    <w:rsid w:val="49D97526"/>
    <w:rsid w:val="4BB4FF69"/>
    <w:rsid w:val="4C069940"/>
    <w:rsid w:val="4D6F8D14"/>
    <w:rsid w:val="4DE4B15D"/>
    <w:rsid w:val="4DFBBB59"/>
    <w:rsid w:val="4E14722C"/>
    <w:rsid w:val="4F167A9E"/>
    <w:rsid w:val="50E7E72B"/>
    <w:rsid w:val="5147A107"/>
    <w:rsid w:val="536F8CF9"/>
    <w:rsid w:val="54F62354"/>
    <w:rsid w:val="550B5D5A"/>
    <w:rsid w:val="56CA5DD8"/>
    <w:rsid w:val="5771F54C"/>
    <w:rsid w:val="582B0968"/>
    <w:rsid w:val="59A009D1"/>
    <w:rsid w:val="5A4FF14F"/>
    <w:rsid w:val="5AD61F35"/>
    <w:rsid w:val="5B5B03E1"/>
    <w:rsid w:val="5BD95DB8"/>
    <w:rsid w:val="5D12352A"/>
    <w:rsid w:val="5F00E7ED"/>
    <w:rsid w:val="603F0611"/>
    <w:rsid w:val="609CB84E"/>
    <w:rsid w:val="6221A555"/>
    <w:rsid w:val="64081B76"/>
    <w:rsid w:val="64604B59"/>
    <w:rsid w:val="650E8794"/>
    <w:rsid w:val="6555311A"/>
    <w:rsid w:val="657D503E"/>
    <w:rsid w:val="67B11478"/>
    <w:rsid w:val="6B789AD8"/>
    <w:rsid w:val="6BF6BEA5"/>
    <w:rsid w:val="6DAFD29D"/>
    <w:rsid w:val="6DEBE7FA"/>
    <w:rsid w:val="6FBD4398"/>
    <w:rsid w:val="6FE0554C"/>
    <w:rsid w:val="704DE122"/>
    <w:rsid w:val="710A605F"/>
    <w:rsid w:val="74EDA5F7"/>
    <w:rsid w:val="756A3216"/>
    <w:rsid w:val="75F0FD7F"/>
    <w:rsid w:val="75F2A487"/>
    <w:rsid w:val="7909310C"/>
    <w:rsid w:val="7C461426"/>
    <w:rsid w:val="7CCA7BF6"/>
    <w:rsid w:val="7D994CA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18E85D3"/>
  <w15:chartTrackingRefBased/>
  <w15:docId w15:val="{6DD0AADC-3096-4D09-9F81-373799411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Body Text" w:uiPriority="1"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aliases w:val="H1-Doc. Head"/>
    <w:basedOn w:val="Normal"/>
    <w:next w:val="Normal"/>
    <w:link w:val="Heading1Char"/>
    <w:qFormat/>
    <w:rsid w:val="00607EB7"/>
    <w:pPr>
      <w:keepNext/>
      <w:keepLines/>
      <w:spacing w:after="600"/>
      <w:jc w:val="center"/>
      <w:outlineLvl w:val="0"/>
    </w:pPr>
    <w:rPr>
      <w:rFonts w:ascii="Franklin Gothic Medium" w:hAnsi="Franklin Gothic Medium"/>
      <w:b/>
      <w:color w:val="00467F"/>
      <w:sz w:val="48"/>
      <w:szCs w:val="20"/>
    </w:rPr>
  </w:style>
  <w:style w:type="paragraph" w:styleId="Heading2">
    <w:name w:val="heading 2"/>
    <w:basedOn w:val="Normal"/>
    <w:next w:val="Normal"/>
    <w:link w:val="Heading2Char"/>
    <w:semiHidden/>
    <w:unhideWhenUsed/>
    <w:qFormat/>
    <w:rsid w:val="002D2B7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D67689"/>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D14AC"/>
    <w:pPr>
      <w:spacing w:before="100" w:beforeAutospacing="1" w:after="100" w:afterAutospacing="1"/>
    </w:pPr>
  </w:style>
  <w:style w:type="paragraph" w:styleId="Footer">
    <w:name w:val="footer"/>
    <w:basedOn w:val="Normal"/>
    <w:link w:val="FooterChar"/>
    <w:uiPriority w:val="99"/>
    <w:rsid w:val="00253EC5"/>
    <w:pPr>
      <w:tabs>
        <w:tab w:val="center" w:pos="4320"/>
        <w:tab w:val="right" w:pos="8640"/>
      </w:tabs>
    </w:pPr>
  </w:style>
  <w:style w:type="character" w:styleId="PageNumber">
    <w:name w:val="page number"/>
    <w:basedOn w:val="DefaultParagraphFont"/>
    <w:rsid w:val="00253EC5"/>
  </w:style>
  <w:style w:type="paragraph" w:styleId="BalloonText">
    <w:name w:val="Balloon Text"/>
    <w:basedOn w:val="Normal"/>
    <w:link w:val="BalloonTextChar"/>
    <w:rsid w:val="00E16868"/>
    <w:rPr>
      <w:rFonts w:ascii="Tahoma" w:hAnsi="Tahoma" w:cs="Tahoma"/>
      <w:sz w:val="16"/>
      <w:szCs w:val="16"/>
    </w:rPr>
  </w:style>
  <w:style w:type="character" w:customStyle="1" w:styleId="BalloonTextChar">
    <w:name w:val="Balloon Text Char"/>
    <w:link w:val="BalloonText"/>
    <w:rsid w:val="00E16868"/>
    <w:rPr>
      <w:rFonts w:ascii="Tahoma" w:hAnsi="Tahoma" w:cs="Tahoma"/>
      <w:sz w:val="16"/>
      <w:szCs w:val="16"/>
    </w:rPr>
  </w:style>
  <w:style w:type="paragraph" w:styleId="Header">
    <w:name w:val="header"/>
    <w:basedOn w:val="Normal"/>
    <w:link w:val="HeaderChar"/>
    <w:rsid w:val="0074659A"/>
    <w:pPr>
      <w:tabs>
        <w:tab w:val="center" w:pos="4680"/>
        <w:tab w:val="right" w:pos="9360"/>
      </w:tabs>
    </w:pPr>
  </w:style>
  <w:style w:type="character" w:customStyle="1" w:styleId="HeaderChar">
    <w:name w:val="Header Char"/>
    <w:link w:val="Header"/>
    <w:rsid w:val="0074659A"/>
    <w:rPr>
      <w:sz w:val="24"/>
      <w:szCs w:val="24"/>
    </w:rPr>
  </w:style>
  <w:style w:type="character" w:customStyle="1" w:styleId="FooterChar">
    <w:name w:val="Footer Char"/>
    <w:link w:val="Footer"/>
    <w:uiPriority w:val="99"/>
    <w:rsid w:val="0074659A"/>
    <w:rPr>
      <w:sz w:val="24"/>
      <w:szCs w:val="24"/>
    </w:rPr>
  </w:style>
  <w:style w:type="character" w:styleId="CommentReference">
    <w:name w:val="annotation reference"/>
    <w:uiPriority w:val="99"/>
    <w:rsid w:val="00973E65"/>
    <w:rPr>
      <w:sz w:val="16"/>
      <w:szCs w:val="16"/>
    </w:rPr>
  </w:style>
  <w:style w:type="paragraph" w:styleId="CommentText">
    <w:name w:val="annotation text"/>
    <w:basedOn w:val="Normal"/>
    <w:link w:val="CommentTextChar"/>
    <w:uiPriority w:val="99"/>
    <w:rsid w:val="00973E65"/>
    <w:rPr>
      <w:sz w:val="20"/>
      <w:szCs w:val="20"/>
    </w:rPr>
  </w:style>
  <w:style w:type="character" w:customStyle="1" w:styleId="CommentTextChar">
    <w:name w:val="Comment Text Char"/>
    <w:basedOn w:val="DefaultParagraphFont"/>
    <w:link w:val="CommentText"/>
    <w:uiPriority w:val="99"/>
    <w:rsid w:val="00973E65"/>
  </w:style>
  <w:style w:type="paragraph" w:styleId="CommentSubject">
    <w:name w:val="annotation subject"/>
    <w:basedOn w:val="CommentText"/>
    <w:next w:val="CommentText"/>
    <w:link w:val="CommentSubjectChar"/>
    <w:rsid w:val="00973E65"/>
    <w:rPr>
      <w:b/>
      <w:bCs/>
    </w:rPr>
  </w:style>
  <w:style w:type="character" w:customStyle="1" w:styleId="CommentSubjectChar">
    <w:name w:val="Comment Subject Char"/>
    <w:link w:val="CommentSubject"/>
    <w:rsid w:val="00973E65"/>
    <w:rPr>
      <w:b/>
      <w:bCs/>
    </w:rPr>
  </w:style>
  <w:style w:type="character" w:styleId="Hyperlink">
    <w:name w:val="Hyperlink"/>
    <w:rsid w:val="006677A7"/>
    <w:rPr>
      <w:color w:val="0563C1"/>
      <w:u w:val="single"/>
    </w:rPr>
  </w:style>
  <w:style w:type="character" w:customStyle="1" w:styleId="UnresolvedMention1">
    <w:name w:val="Unresolved Mention1"/>
    <w:uiPriority w:val="99"/>
    <w:semiHidden/>
    <w:unhideWhenUsed/>
    <w:rsid w:val="00A9002F"/>
    <w:rPr>
      <w:color w:val="605E5C"/>
      <w:shd w:val="clear" w:color="auto" w:fill="E1DFDD"/>
    </w:rPr>
  </w:style>
  <w:style w:type="paragraph" w:styleId="ListParagraph">
    <w:name w:val="List Paragraph"/>
    <w:basedOn w:val="Normal"/>
    <w:link w:val="ListParagraphChar"/>
    <w:uiPriority w:val="34"/>
    <w:qFormat/>
    <w:rsid w:val="00DA5D15"/>
    <w:pPr>
      <w:widowControl w:val="0"/>
      <w:autoSpaceDE w:val="0"/>
      <w:autoSpaceDN w:val="0"/>
      <w:adjustRightInd w:val="0"/>
      <w:ind w:left="720"/>
      <w:contextualSpacing/>
    </w:pPr>
  </w:style>
  <w:style w:type="paragraph" w:customStyle="1" w:styleId="Level1">
    <w:name w:val="Level 1"/>
    <w:basedOn w:val="Normal"/>
    <w:rsid w:val="000230DA"/>
    <w:pPr>
      <w:widowControl w:val="0"/>
      <w:autoSpaceDE w:val="0"/>
      <w:autoSpaceDN w:val="0"/>
      <w:adjustRightInd w:val="0"/>
      <w:ind w:left="720" w:hanging="720"/>
      <w:outlineLvl w:val="0"/>
    </w:pPr>
  </w:style>
  <w:style w:type="character" w:styleId="FootnoteReference">
    <w:name w:val="footnote reference"/>
    <w:aliases w:val="callout"/>
    <w:uiPriority w:val="99"/>
    <w:unhideWhenUsed/>
    <w:rsid w:val="000230DA"/>
    <w:rPr>
      <w:vertAlign w:val="superscript"/>
    </w:rPr>
  </w:style>
  <w:style w:type="paragraph" w:styleId="FootnoteText">
    <w:name w:val="footnote text"/>
    <w:aliases w:val="F1,FT,Footnote Text - MITRE 2007"/>
    <w:link w:val="FootnoteTextChar"/>
    <w:uiPriority w:val="99"/>
    <w:rsid w:val="000230DA"/>
    <w:pPr>
      <w:tabs>
        <w:tab w:val="left" w:pos="120"/>
      </w:tabs>
      <w:spacing w:before="120"/>
      <w:ind w:left="115" w:hanging="115"/>
    </w:pPr>
    <w:rPr>
      <w:rFonts w:ascii="Garamond" w:hAnsi="Garamond"/>
    </w:rPr>
  </w:style>
  <w:style w:type="character" w:customStyle="1" w:styleId="FootnoteTextChar">
    <w:name w:val="Footnote Text Char"/>
    <w:aliases w:val="F1 Char,FT Char,Footnote Text - MITRE 2007 Char"/>
    <w:link w:val="FootnoteText"/>
    <w:uiPriority w:val="99"/>
    <w:rsid w:val="000230DA"/>
    <w:rPr>
      <w:rFonts w:ascii="Garamond" w:hAnsi="Garamond"/>
    </w:rPr>
  </w:style>
  <w:style w:type="character" w:customStyle="1" w:styleId="ListParagraphChar">
    <w:name w:val="List Paragraph Char"/>
    <w:link w:val="ListParagraph"/>
    <w:uiPriority w:val="34"/>
    <w:rsid w:val="000230DA"/>
    <w:rPr>
      <w:sz w:val="24"/>
      <w:szCs w:val="24"/>
    </w:rPr>
  </w:style>
  <w:style w:type="paragraph" w:customStyle="1" w:styleId="Default">
    <w:name w:val="Default"/>
    <w:rsid w:val="00607EB7"/>
    <w:pPr>
      <w:autoSpaceDE w:val="0"/>
      <w:autoSpaceDN w:val="0"/>
      <w:adjustRightInd w:val="0"/>
    </w:pPr>
    <w:rPr>
      <w:rFonts w:ascii="Frutiger" w:hAnsi="Frutiger" w:cs="Frutiger"/>
      <w:color w:val="000000"/>
      <w:sz w:val="24"/>
      <w:szCs w:val="24"/>
    </w:rPr>
  </w:style>
  <w:style w:type="paragraph" w:customStyle="1" w:styleId="Pa1">
    <w:name w:val="Pa1"/>
    <w:basedOn w:val="Default"/>
    <w:next w:val="Default"/>
    <w:uiPriority w:val="99"/>
    <w:rsid w:val="00607EB7"/>
    <w:pPr>
      <w:spacing w:line="201" w:lineRule="atLeast"/>
    </w:pPr>
    <w:rPr>
      <w:rFonts w:ascii="Frutiger LT Std 45 Light" w:eastAsia="Calibri" w:hAnsi="Frutiger LT Std 45 Light" w:cs="Times New Roman"/>
      <w:color w:val="auto"/>
    </w:rPr>
  </w:style>
  <w:style w:type="table" w:styleId="TableGrid">
    <w:name w:val="Table Grid"/>
    <w:basedOn w:val="TableNormal"/>
    <w:uiPriority w:val="59"/>
    <w:rsid w:val="00607EB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AppendixTableTitle">
    <w:name w:val="AT-Appendix_Table Title"/>
    <w:basedOn w:val="Normal"/>
    <w:rsid w:val="00607EB7"/>
    <w:pPr>
      <w:keepNext/>
      <w:keepLines/>
      <w:tabs>
        <w:tab w:val="left" w:pos="1440"/>
      </w:tabs>
      <w:spacing w:after="240"/>
      <w:ind w:left="1440" w:hanging="1440"/>
    </w:pPr>
    <w:rPr>
      <w:rFonts w:ascii="Franklin Gothic Medium" w:hAnsi="Franklin Gothic Medium"/>
      <w:sz w:val="22"/>
      <w:szCs w:val="20"/>
    </w:rPr>
  </w:style>
  <w:style w:type="character" w:customStyle="1" w:styleId="Heading1Char">
    <w:name w:val="Heading 1 Char"/>
    <w:aliases w:val="H1-Doc. Head Char"/>
    <w:link w:val="Heading1"/>
    <w:rsid w:val="00607EB7"/>
    <w:rPr>
      <w:rFonts w:ascii="Franklin Gothic Medium" w:hAnsi="Franklin Gothic Medium"/>
      <w:b/>
      <w:color w:val="00467F"/>
      <w:sz w:val="48"/>
    </w:rPr>
  </w:style>
  <w:style w:type="paragraph" w:customStyle="1" w:styleId="NormalLeft144pt">
    <w:name w:val="Normal + Left:  144 pt"/>
    <w:basedOn w:val="Normal"/>
    <w:link w:val="NormalLeft144ptChar"/>
    <w:rsid w:val="00913FA9"/>
    <w:pPr>
      <w:autoSpaceDE w:val="0"/>
      <w:autoSpaceDN w:val="0"/>
      <w:adjustRightInd w:val="0"/>
      <w:ind w:left="2880"/>
    </w:pPr>
  </w:style>
  <w:style w:type="character" w:customStyle="1" w:styleId="NormalLeft144ptChar">
    <w:name w:val="Normal + Left:  144 pt Char"/>
    <w:link w:val="NormalLeft144pt"/>
    <w:rsid w:val="00913FA9"/>
    <w:rPr>
      <w:sz w:val="24"/>
      <w:szCs w:val="24"/>
    </w:rPr>
  </w:style>
  <w:style w:type="paragraph" w:customStyle="1" w:styleId="paragraph">
    <w:name w:val="paragraph"/>
    <w:basedOn w:val="Normal"/>
    <w:rsid w:val="00207C00"/>
    <w:pPr>
      <w:spacing w:before="100" w:beforeAutospacing="1" w:after="100" w:afterAutospacing="1"/>
    </w:pPr>
  </w:style>
  <w:style w:type="character" w:customStyle="1" w:styleId="normaltextrun">
    <w:name w:val="normaltextrun"/>
    <w:basedOn w:val="DefaultParagraphFont"/>
    <w:rsid w:val="00207C00"/>
  </w:style>
  <w:style w:type="character" w:customStyle="1" w:styleId="eop">
    <w:name w:val="eop"/>
    <w:basedOn w:val="DefaultParagraphFont"/>
    <w:rsid w:val="00207C00"/>
  </w:style>
  <w:style w:type="character" w:customStyle="1" w:styleId="contextualspellingandgrammarerror">
    <w:name w:val="contextualspellingandgrammarerror"/>
    <w:basedOn w:val="DefaultParagraphFont"/>
    <w:rsid w:val="0086451E"/>
  </w:style>
  <w:style w:type="character" w:customStyle="1" w:styleId="findhit">
    <w:name w:val="findhit"/>
    <w:basedOn w:val="DefaultParagraphFont"/>
    <w:rsid w:val="0086451E"/>
  </w:style>
  <w:style w:type="paragraph" w:styleId="BodyText">
    <w:name w:val="Body Text"/>
    <w:basedOn w:val="Normal"/>
    <w:link w:val="BodyTextChar"/>
    <w:uiPriority w:val="1"/>
    <w:qFormat/>
    <w:rsid w:val="00C81C37"/>
    <w:pPr>
      <w:widowControl w:val="0"/>
      <w:ind w:left="100"/>
    </w:pPr>
    <w:rPr>
      <w:rFonts w:cstheme="minorBidi"/>
    </w:rPr>
  </w:style>
  <w:style w:type="character" w:customStyle="1" w:styleId="BodyTextChar">
    <w:name w:val="Body Text Char"/>
    <w:basedOn w:val="DefaultParagraphFont"/>
    <w:link w:val="BodyText"/>
    <w:uiPriority w:val="1"/>
    <w:rsid w:val="00C81C37"/>
    <w:rPr>
      <w:rFonts w:cstheme="minorBidi"/>
      <w:sz w:val="24"/>
      <w:szCs w:val="24"/>
    </w:rPr>
  </w:style>
  <w:style w:type="paragraph" w:styleId="Revision">
    <w:name w:val="Revision"/>
    <w:hidden/>
    <w:uiPriority w:val="99"/>
    <w:semiHidden/>
    <w:rsid w:val="00AF705D"/>
    <w:rPr>
      <w:sz w:val="24"/>
      <w:szCs w:val="24"/>
    </w:rPr>
  </w:style>
  <w:style w:type="character" w:styleId="Emphasis">
    <w:name w:val="Emphasis"/>
    <w:basedOn w:val="DefaultParagraphFont"/>
    <w:uiPriority w:val="20"/>
    <w:qFormat/>
    <w:rsid w:val="00024AB2"/>
    <w:rPr>
      <w:i/>
      <w:iCs/>
    </w:rPr>
  </w:style>
  <w:style w:type="character" w:styleId="UnresolvedMention">
    <w:name w:val="Unresolved Mention"/>
    <w:basedOn w:val="DefaultParagraphFont"/>
    <w:uiPriority w:val="99"/>
    <w:semiHidden/>
    <w:unhideWhenUsed/>
    <w:rsid w:val="00B17AA1"/>
    <w:rPr>
      <w:color w:val="605E5C"/>
      <w:shd w:val="clear" w:color="auto" w:fill="E1DFDD"/>
    </w:rPr>
  </w:style>
  <w:style w:type="character" w:styleId="FollowedHyperlink">
    <w:name w:val="FollowedHyperlink"/>
    <w:basedOn w:val="DefaultParagraphFont"/>
    <w:rsid w:val="00286E70"/>
    <w:rPr>
      <w:color w:val="954F72" w:themeColor="followedHyperlink"/>
      <w:u w:val="single"/>
    </w:rPr>
  </w:style>
  <w:style w:type="character" w:customStyle="1" w:styleId="Heading2Char">
    <w:name w:val="Heading 2 Char"/>
    <w:basedOn w:val="DefaultParagraphFont"/>
    <w:link w:val="Heading2"/>
    <w:semiHidden/>
    <w:rsid w:val="002D2B7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semiHidden/>
    <w:rsid w:val="00D67689"/>
    <w:rPr>
      <w:rFonts w:asciiTheme="majorHAnsi" w:eastAsiaTheme="majorEastAsia" w:hAnsiTheme="majorHAnsi" w:cstheme="majorBidi"/>
      <w:color w:val="1F3763" w:themeColor="accent1" w:themeShade="7F"/>
      <w:sz w:val="24"/>
      <w:szCs w:val="24"/>
    </w:rPr>
  </w:style>
  <w:style w:type="paragraph" w:customStyle="1" w:styleId="Level5">
    <w:name w:val="Level 5"/>
    <w:basedOn w:val="Normal"/>
    <w:link w:val="Level5Char"/>
    <w:rsid w:val="00334435"/>
    <w:pPr>
      <w:widowControl w:val="0"/>
      <w:tabs>
        <w:tab w:val="num" w:pos="3240"/>
      </w:tabs>
      <w:autoSpaceDE w:val="0"/>
      <w:autoSpaceDN w:val="0"/>
      <w:adjustRightInd w:val="0"/>
      <w:ind w:left="3600" w:hanging="720"/>
      <w:outlineLvl w:val="4"/>
    </w:pPr>
  </w:style>
  <w:style w:type="character" w:customStyle="1" w:styleId="Level5Char">
    <w:name w:val="Level 5 Char"/>
    <w:link w:val="Level5"/>
    <w:rsid w:val="00334435"/>
    <w:rPr>
      <w:sz w:val="24"/>
      <w:szCs w:val="24"/>
    </w:rPr>
  </w:style>
  <w:style w:type="paragraph" w:customStyle="1" w:styleId="Level4">
    <w:name w:val="Level 4"/>
    <w:basedOn w:val="Normal"/>
    <w:rsid w:val="00334435"/>
    <w:pPr>
      <w:widowControl w:val="0"/>
      <w:autoSpaceDE w:val="0"/>
      <w:autoSpaceDN w:val="0"/>
      <w:adjustRightInd w:val="0"/>
      <w:ind w:left="2880" w:hanging="720"/>
      <w:outlineLvl w:val="3"/>
    </w:pPr>
  </w:style>
  <w:style w:type="paragraph" w:customStyle="1" w:styleId="Bulleted">
    <w:name w:val="Bulleted"/>
    <w:aliases w:val="Hanging:  36 pt,Left:  0 pt,WP TypographicSymbols"/>
    <w:basedOn w:val="Normal"/>
    <w:rsid w:val="00ED45B5"/>
    <w:pPr>
      <w:autoSpaceDE w:val="0"/>
      <w:autoSpaceDN w:val="0"/>
      <w:adjustRightInd w:val="0"/>
    </w:pPr>
  </w:style>
  <w:style w:type="table" w:customStyle="1" w:styleId="TableGrid1">
    <w:name w:val="Table Grid1"/>
    <w:basedOn w:val="TableNormal"/>
    <w:next w:val="TableGrid"/>
    <w:uiPriority w:val="59"/>
    <w:rsid w:val="00053906"/>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DC7884"/>
    <w:rPr>
      <w:rFonts w:ascii="Segoe UI" w:hAnsi="Segoe UI" w:cs="Segoe UI" w:hint="default"/>
      <w:sz w:val="18"/>
      <w:szCs w:val="18"/>
    </w:rPr>
  </w:style>
  <w:style w:type="character" w:customStyle="1" w:styleId="fa">
    <w:name w:val="fa"/>
    <w:basedOn w:val="DefaultParagraphFont"/>
    <w:rsid w:val="009C481E"/>
  </w:style>
  <w:style w:type="character" w:customStyle="1" w:styleId="ui-provider">
    <w:name w:val="ui-provider"/>
    <w:basedOn w:val="DefaultParagraphFont"/>
    <w:rsid w:val="00565C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cdc.gov/nssp/index.html" TargetMode="External" /><Relationship Id="rId11" Type="http://schemas.openxmlformats.org/officeDocument/2006/relationships/hyperlink" Target="https://www.cdc.gov/nchs/nhcs/index.htm" TargetMode="External" /><Relationship Id="rId12" Type="http://schemas.openxmlformats.org/officeDocument/2006/relationships/hyperlink" Target="https://hcup-us.ahrq.gov/databases.jsp" TargetMode="External" /><Relationship Id="rId13" Type="http://schemas.openxmlformats.org/officeDocument/2006/relationships/hyperlink" Target="https://www.cdc.gov/medicationsafety/program_focus_activities.html" TargetMode="External" /><Relationship Id="rId14" Type="http://schemas.openxmlformats.org/officeDocument/2006/relationships/hyperlink" Target="https://ndews.org" TargetMode="Externa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obamawhitehouse.archives.gov/sites/whitehouse.gov/files/images/Memo%20-%20Changing%20Federal%20Terminology%20Regrading%20Substance%20Use%20and%20Substance%20Use%20Disorders.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49f71bca-6bbc-4f80-bff3-58f6213e961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F6C292F54C3940B9AB52108ACDC4EC" ma:contentTypeVersion="16" ma:contentTypeDescription="Create a new document." ma:contentTypeScope="" ma:versionID="17df5bb9b49c2be814f46ea575985ce6">
  <xsd:schema xmlns:xsd="http://www.w3.org/2001/XMLSchema" xmlns:xs="http://www.w3.org/2001/XMLSchema" xmlns:p="http://schemas.microsoft.com/office/2006/metadata/properties" xmlns:ns1="http://schemas.microsoft.com/sharepoint/v3" xmlns:ns3="1bc67485-b7a0-4ce6-b5b3-7c5df16ed538" xmlns:ns4="49f71bca-6bbc-4f80-bff3-58f6213e9614" targetNamespace="http://schemas.microsoft.com/office/2006/metadata/properties" ma:root="true" ma:fieldsID="63e0ae17e9bd45dee6d41cb2a4d4bf5b" ns1:_="" ns3:_="" ns4:_="">
    <xsd:import namespace="http://schemas.microsoft.com/sharepoint/v3"/>
    <xsd:import namespace="1bc67485-b7a0-4ce6-b5b3-7c5df16ed538"/>
    <xsd:import namespace="49f71bca-6bbc-4f80-bff3-58f6213e9614"/>
    <xsd:element name="properties">
      <xsd:complexType>
        <xsd:sequence>
          <xsd:element name="documentManagement">
            <xsd:complexType>
              <xsd:all>
                <xsd:element ref="ns3:SharedWithUsers" minOccurs="0"/>
                <xsd:element ref="ns3:SharedWithDetails" minOccurs="0"/>
                <xsd:element ref="ns3:SharingHintHash" minOccurs="0"/>
                <xsd:element ref="ns1:_ip_UnifiedCompliancePolicyProperties" minOccurs="0"/>
                <xsd:element ref="ns1:_ip_UnifiedCompliancePolicyUIAction"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_activity" minOccurs="0"/>
                <xsd:element ref="ns4:MediaServiceObjectDetectorVersions"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c67485-b7a0-4ce6-b5b3-7c5df16ed5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f71bca-6bbc-4f80-bff3-58f6213e9614"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090EEA-1896-437A-A8EF-BE0DEFEF4A96}">
  <ds:schemaRefs>
    <ds:schemaRef ds:uri="http://purl.org/dc/terms/"/>
    <ds:schemaRef ds:uri="http://schemas.microsoft.com/office/infopath/2007/PartnerControls"/>
    <ds:schemaRef ds:uri="49f71bca-6bbc-4f80-bff3-58f6213e9614"/>
    <ds:schemaRef ds:uri="http://purl.org/dc/elements/1.1/"/>
    <ds:schemaRef ds:uri="http://www.w3.org/XML/1998/namespace"/>
    <ds:schemaRef ds:uri="http://schemas.microsoft.com/office/2006/metadata/properties"/>
    <ds:schemaRef ds:uri="http://purl.org/dc/dcmitype/"/>
    <ds:schemaRef ds:uri="http://schemas.microsoft.com/office/2006/documentManagement/types"/>
    <ds:schemaRef ds:uri="http://schemas.openxmlformats.org/package/2006/metadata/core-properties"/>
    <ds:schemaRef ds:uri="1bc67485-b7a0-4ce6-b5b3-7c5df16ed538"/>
    <ds:schemaRef ds:uri="http://schemas.microsoft.com/sharepoint/v3"/>
  </ds:schemaRefs>
</ds:datastoreItem>
</file>

<file path=customXml/itemProps2.xml><?xml version="1.0" encoding="utf-8"?>
<ds:datastoreItem xmlns:ds="http://schemas.openxmlformats.org/officeDocument/2006/customXml" ds:itemID="{A7CA7CAC-50DD-43EF-B707-ED3441707B8B}">
  <ds:schemaRefs>
    <ds:schemaRef ds:uri="http://schemas.microsoft.com/sharepoint/v3/contenttype/forms"/>
  </ds:schemaRefs>
</ds:datastoreItem>
</file>

<file path=customXml/itemProps3.xml><?xml version="1.0" encoding="utf-8"?>
<ds:datastoreItem xmlns:ds="http://schemas.openxmlformats.org/officeDocument/2006/customXml" ds:itemID="{49759EF3-5844-4E6F-AF2D-BCE6549240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bc67485-b7a0-4ce6-b5b3-7c5df16ed538"/>
    <ds:schemaRef ds:uri="49f71bca-6bbc-4f80-bff3-58f6213e96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C7A0D3-4A52-4BCE-85CF-0E5D5F352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19</Pages>
  <Words>7018</Words>
  <Characters>41256</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Supporting Statement</vt:lpstr>
    </vt:vector>
  </TitlesOfParts>
  <Company/>
  <LinksUpToDate>false</LinksUpToDate>
  <CharactersWithSpaces>48178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dwilson</dc:creator>
  <cp:lastModifiedBy>Broadus, Alicia (SAMHSA/CBHSQ)</cp:lastModifiedBy>
  <cp:revision>5</cp:revision>
  <cp:lastPrinted>2016-06-08T13:03:00Z</cp:lastPrinted>
  <dcterms:created xsi:type="dcterms:W3CDTF">2024-08-16T22:10:00Z</dcterms:created>
  <dcterms:modified xsi:type="dcterms:W3CDTF">2024-08-16T22:25:00Z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0x0101000FF6C292F54C3940B9AB52108ACDC4EC</vt:lpwstr>
  </property>
  <property fmtid="{D5CDD505-2E9C-101B-9397-08002B2CF9AE}" pid="3" name="GrammarlyDocumentId">
    <vt:lpwstr>e4d03a736587e21617f79759920fed1076ee29262c0d5e0feff7cdd9a458a978</vt:lpwstr>
  </property>
  <property fmtid="{D5CDD505-2E9C-101B-9397-08002B2CF9AE}" pid="4" name="MediaServiceImageTags">
    <vt:lpwstr/>
  </property>
</Properties>
</file>