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77C0B" w:rsidP="00E77C0B" w14:paraId="2913AEBD" w14:textId="365CFA0F">
      <w:pPr>
        <w:tabs>
          <w:tab w:val="center" w:pos="4752"/>
          <w:tab w:val="left" w:pos="5040"/>
          <w:tab w:val="left" w:pos="5760"/>
          <w:tab w:val="left" w:pos="6480"/>
          <w:tab w:val="left" w:pos="7200"/>
          <w:tab w:val="left" w:pos="7920"/>
          <w:tab w:val="left" w:pos="8640"/>
          <w:tab w:val="left" w:pos="9360"/>
        </w:tabs>
        <w:jc w:val="center"/>
        <w:rPr>
          <w:sz w:val="24"/>
        </w:rPr>
      </w:pPr>
      <w:r w:rsidRPr="00E77C0B">
        <w:rPr>
          <w:sz w:val="24"/>
        </w:rPr>
        <w:t xml:space="preserve">Supporting Statement </w:t>
      </w:r>
      <w:r>
        <w:rPr>
          <w:sz w:val="24"/>
        </w:rPr>
        <w:t>A</w:t>
      </w:r>
    </w:p>
    <w:p w:rsidR="008F1EB4" w:rsidRPr="00E77C0B" w:rsidP="00E77C0B" w14:paraId="51AFD176" w14:textId="74DC2E8B">
      <w:pPr>
        <w:tabs>
          <w:tab w:val="center" w:pos="4752"/>
          <w:tab w:val="left" w:pos="5040"/>
          <w:tab w:val="left" w:pos="5760"/>
          <w:tab w:val="left" w:pos="6480"/>
          <w:tab w:val="left" w:pos="7200"/>
          <w:tab w:val="left" w:pos="7920"/>
          <w:tab w:val="left" w:pos="8640"/>
          <w:tab w:val="left" w:pos="9360"/>
        </w:tabs>
        <w:jc w:val="center"/>
        <w:rPr>
          <w:sz w:val="24"/>
        </w:rPr>
      </w:pPr>
      <w:r w:rsidRPr="00E77C0B">
        <w:rPr>
          <w:sz w:val="24"/>
        </w:rPr>
        <w:t>Dispute Resolution for Discarded Drug Refunds</w:t>
      </w:r>
    </w:p>
    <w:p w:rsidR="00AC0958" w:rsidRPr="00E77C0B" w:rsidP="00E77C0B" w14:paraId="51AFD177" w14:textId="03D353B6">
      <w:pPr>
        <w:tabs>
          <w:tab w:val="center" w:pos="4752"/>
          <w:tab w:val="left" w:pos="5040"/>
          <w:tab w:val="left" w:pos="5760"/>
          <w:tab w:val="left" w:pos="6480"/>
          <w:tab w:val="left" w:pos="7200"/>
          <w:tab w:val="left" w:pos="7920"/>
          <w:tab w:val="left" w:pos="8640"/>
          <w:tab w:val="left" w:pos="9360"/>
        </w:tabs>
        <w:jc w:val="center"/>
        <w:rPr>
          <w:sz w:val="24"/>
        </w:rPr>
      </w:pPr>
      <w:r w:rsidRPr="00E77C0B">
        <w:rPr>
          <w:sz w:val="24"/>
        </w:rPr>
        <w:t>(CMS-10835</w:t>
      </w:r>
      <w:r w:rsidR="00E77C0B">
        <w:rPr>
          <w:sz w:val="24"/>
        </w:rPr>
        <w:t xml:space="preserve">, </w:t>
      </w:r>
      <w:r w:rsidRPr="00E77C0B" w:rsidR="00E77C0B">
        <w:rPr>
          <w:sz w:val="24"/>
        </w:rPr>
        <w:t>OMB 0938-1435</w:t>
      </w:r>
      <w:r w:rsidRPr="00E77C0B">
        <w:rPr>
          <w:sz w:val="24"/>
        </w:rPr>
        <w:t>)</w:t>
      </w:r>
    </w:p>
    <w:p w:rsidR="008F1EB4" w:rsidRPr="00953F20" w:rsidP="00E77C0B" w14:paraId="51AFD1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1A7D10" w:rsidP="00E77C0B" w14:paraId="51AFD17A" w14:textId="251891C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1A7D10">
        <w:rPr>
          <w:b/>
          <w:bCs/>
          <w:sz w:val="24"/>
        </w:rPr>
        <w:t>Background</w:t>
      </w:r>
    </w:p>
    <w:p w:rsidR="001A7D10" w:rsidRPr="00953F20" w:rsidP="00E77C0B" w14:paraId="344C4C5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708CC" w:rsidP="007862B1" w14:paraId="7758FA4C" w14:textId="5F2427C9">
      <w:pPr>
        <w:pStyle w:val="PlainText"/>
        <w:rPr>
          <w:color w:val="auto"/>
          <w:sz w:val="24"/>
          <w:szCs w:val="24"/>
        </w:rPr>
      </w:pPr>
      <w:r w:rsidRPr="00953F20">
        <w:rPr>
          <w:color w:val="auto"/>
          <w:sz w:val="24"/>
          <w:szCs w:val="24"/>
        </w:rPr>
        <w:t>Section 90004 of the Infrastructure Investment and Jobs Act (Pub. L. 117-9, November 15, 2021) (hereinafter is referred to as “the Infrastructure Act”) amended section 1847A of the Social Security Act</w:t>
      </w:r>
      <w:r w:rsidRPr="00953F20" w:rsidR="00AB1D29">
        <w:rPr>
          <w:color w:val="auto"/>
          <w:sz w:val="24"/>
          <w:szCs w:val="24"/>
        </w:rPr>
        <w:t xml:space="preserve"> (hereinafter is referred to as “the Act”)</w:t>
      </w:r>
      <w:r w:rsidRPr="00953F20">
        <w:rPr>
          <w:color w:val="auto"/>
          <w:sz w:val="24"/>
          <w:szCs w:val="24"/>
        </w:rPr>
        <w:t xml:space="preserve"> to require manufacturers to provide a refund to CMS for certain discarded amounts from a refundable single-dose container or single-use package drug.  The refund amount is the amount of discarded drug </w:t>
      </w:r>
      <w:r>
        <w:rPr>
          <w:color w:val="auto"/>
          <w:sz w:val="24"/>
          <w:szCs w:val="24"/>
        </w:rPr>
        <w:t>or biological (hereafter, drug)</w:t>
      </w:r>
      <w:r w:rsidRPr="00953F20">
        <w:rPr>
          <w:color w:val="auto"/>
          <w:sz w:val="24"/>
          <w:szCs w:val="24"/>
        </w:rPr>
        <w:t xml:space="preserve"> </w:t>
      </w:r>
      <w:r w:rsidRPr="00953F20">
        <w:rPr>
          <w:color w:val="auto"/>
          <w:sz w:val="24"/>
          <w:szCs w:val="24"/>
        </w:rPr>
        <w:t xml:space="preserve">that exceeds an applicable percentage, which is required to be at least 10 percent, of total charges for the drug </w:t>
      </w:r>
      <w:r w:rsidRPr="00953F20">
        <w:rPr>
          <w:color w:val="auto"/>
          <w:sz w:val="24"/>
          <w:szCs w:val="24"/>
        </w:rPr>
        <w:t>in a given</w:t>
      </w:r>
      <w:r w:rsidRPr="00953F20">
        <w:rPr>
          <w:color w:val="auto"/>
          <w:sz w:val="24"/>
          <w:szCs w:val="24"/>
        </w:rPr>
        <w:t xml:space="preserve"> calendar quarter.  A refundable single-dose container or single-use package drug does not include a radiopharmaceutical or imaging agent, certain drugs requiring filtration, and certain new drugs.  </w:t>
      </w:r>
      <w:bookmarkStart w:id="0" w:name="_Hlk104990695"/>
      <w:r w:rsidR="00E35DF2">
        <w:rPr>
          <w:color w:val="auto"/>
          <w:sz w:val="24"/>
          <w:szCs w:val="24"/>
        </w:rPr>
        <w:t xml:space="preserve">There are two aspects to implementation of this provision (one finalized in the Calendar Year (CY) 2023 Physician Fee Schedule (PFS) final </w:t>
      </w:r>
      <w:r w:rsidR="00E35DF2">
        <w:rPr>
          <w:color w:val="auto"/>
          <w:sz w:val="24"/>
          <w:szCs w:val="24"/>
        </w:rPr>
        <w:t>rule</w:t>
      </w:r>
      <w:r w:rsidR="00E35DF2">
        <w:rPr>
          <w:color w:val="auto"/>
          <w:sz w:val="24"/>
          <w:szCs w:val="24"/>
        </w:rPr>
        <w:t xml:space="preserve"> and one </w:t>
      </w:r>
      <w:r w:rsidR="00813B69">
        <w:rPr>
          <w:color w:val="auto"/>
          <w:sz w:val="24"/>
          <w:szCs w:val="24"/>
        </w:rPr>
        <w:t xml:space="preserve">finalized </w:t>
      </w:r>
      <w:r w:rsidR="00E35DF2">
        <w:rPr>
          <w:color w:val="auto"/>
          <w:sz w:val="24"/>
          <w:szCs w:val="24"/>
        </w:rPr>
        <w:t xml:space="preserve">in the CY 2024 PFS </w:t>
      </w:r>
      <w:r w:rsidR="00813B69">
        <w:rPr>
          <w:color w:val="auto"/>
          <w:sz w:val="24"/>
          <w:szCs w:val="24"/>
        </w:rPr>
        <w:t>final rule</w:t>
      </w:r>
      <w:r w:rsidR="00E35DF2">
        <w:rPr>
          <w:color w:val="auto"/>
          <w:sz w:val="24"/>
          <w:szCs w:val="24"/>
        </w:rPr>
        <w:t>)</w:t>
      </w:r>
      <w:r w:rsidR="007D3D52">
        <w:rPr>
          <w:color w:val="auto"/>
          <w:sz w:val="24"/>
          <w:szCs w:val="24"/>
        </w:rPr>
        <w:t xml:space="preserve"> that require collection of information. </w:t>
      </w:r>
    </w:p>
    <w:p w:rsidR="001A7D10" w:rsidP="00E77C0B" w14:paraId="337BC611" w14:textId="77777777">
      <w:pPr>
        <w:pStyle w:val="PlainText"/>
        <w:rPr>
          <w:color w:val="auto"/>
          <w:sz w:val="24"/>
          <w:szCs w:val="24"/>
        </w:rPr>
      </w:pPr>
    </w:p>
    <w:p w:rsidR="001F0B64" w:rsidP="00E77C0B" w14:paraId="51AFD17C" w14:textId="180545B6">
      <w:pPr>
        <w:pStyle w:val="PlainText"/>
        <w:rPr>
          <w:color w:val="auto"/>
          <w:sz w:val="24"/>
          <w:szCs w:val="24"/>
        </w:rPr>
      </w:pPr>
      <w:r>
        <w:rPr>
          <w:color w:val="auto"/>
          <w:sz w:val="24"/>
          <w:szCs w:val="24"/>
        </w:rPr>
        <w:t>First, i</w:t>
      </w:r>
      <w:r w:rsidRPr="00953F20" w:rsidR="009E3640">
        <w:rPr>
          <w:color w:val="auto"/>
          <w:sz w:val="24"/>
          <w:szCs w:val="24"/>
        </w:rPr>
        <w:t xml:space="preserve">n the </w:t>
      </w:r>
      <w:r w:rsidR="00E35DF2">
        <w:rPr>
          <w:color w:val="auto"/>
          <w:sz w:val="24"/>
          <w:szCs w:val="24"/>
        </w:rPr>
        <w:t>CY</w:t>
      </w:r>
      <w:r w:rsidR="002708CC">
        <w:rPr>
          <w:color w:val="auto"/>
          <w:sz w:val="24"/>
          <w:szCs w:val="24"/>
        </w:rPr>
        <w:t xml:space="preserve"> </w:t>
      </w:r>
      <w:r w:rsidRPr="00953F20" w:rsidR="009E3640">
        <w:rPr>
          <w:color w:val="auto"/>
          <w:sz w:val="24"/>
          <w:szCs w:val="24"/>
        </w:rPr>
        <w:t xml:space="preserve">2023 </w:t>
      </w:r>
      <w:r w:rsidR="00E35DF2">
        <w:rPr>
          <w:color w:val="auto"/>
          <w:sz w:val="24"/>
          <w:szCs w:val="24"/>
        </w:rPr>
        <w:t>PFS</w:t>
      </w:r>
      <w:r w:rsidRPr="00953F20" w:rsidR="009E3640">
        <w:rPr>
          <w:color w:val="auto"/>
          <w:sz w:val="24"/>
          <w:szCs w:val="24"/>
        </w:rPr>
        <w:t xml:space="preserve"> </w:t>
      </w:r>
      <w:r w:rsidR="002708CC">
        <w:rPr>
          <w:color w:val="auto"/>
          <w:sz w:val="24"/>
          <w:szCs w:val="24"/>
        </w:rPr>
        <w:t>final</w:t>
      </w:r>
      <w:r w:rsidRPr="00953F20" w:rsidR="009E3640">
        <w:rPr>
          <w:color w:val="auto"/>
          <w:sz w:val="24"/>
          <w:szCs w:val="24"/>
        </w:rPr>
        <w:t xml:space="preserve"> rule, w</w:t>
      </w:r>
      <w:r w:rsidRPr="00953F20" w:rsidR="000F1AD4">
        <w:rPr>
          <w:color w:val="auto"/>
          <w:sz w:val="24"/>
          <w:szCs w:val="24"/>
        </w:rPr>
        <w:t xml:space="preserve">e </w:t>
      </w:r>
      <w:r w:rsidR="002708CC">
        <w:rPr>
          <w:color w:val="auto"/>
          <w:sz w:val="24"/>
          <w:szCs w:val="24"/>
        </w:rPr>
        <w:t>finalized</w:t>
      </w:r>
      <w:r w:rsidRPr="00BA2F1F" w:rsidR="000F1AD4">
        <w:rPr>
          <w:color w:val="auto"/>
          <w:sz w:val="24"/>
          <w:szCs w:val="24"/>
        </w:rPr>
        <w:t xml:space="preserve"> </w:t>
      </w:r>
      <w:r w:rsidRPr="00BA2F1F" w:rsidR="00BA2F1F">
        <w:rPr>
          <w:color w:val="auto"/>
          <w:sz w:val="24"/>
          <w:szCs w:val="24"/>
        </w:rPr>
        <w:t>at §414.940</w:t>
      </w:r>
      <w:r w:rsidR="002708CC">
        <w:rPr>
          <w:color w:val="auto"/>
          <w:sz w:val="24"/>
          <w:szCs w:val="24"/>
        </w:rPr>
        <w:t xml:space="preserve"> the</w:t>
      </w:r>
      <w:r w:rsidRPr="00BA2F1F" w:rsidR="00BA2F1F">
        <w:rPr>
          <w:color w:val="auto"/>
        </w:rPr>
        <w:t xml:space="preserve"> </w:t>
      </w:r>
      <w:r w:rsidRPr="00953F20" w:rsidR="000F1AD4">
        <w:rPr>
          <w:color w:val="auto"/>
          <w:sz w:val="24"/>
          <w:szCs w:val="24"/>
        </w:rPr>
        <w:t xml:space="preserve">implementation of section 90004 of the Infrastructure Act </w:t>
      </w:r>
      <w:r w:rsidR="002708CC">
        <w:rPr>
          <w:color w:val="auto"/>
          <w:sz w:val="24"/>
          <w:szCs w:val="24"/>
        </w:rPr>
        <w:t>including</w:t>
      </w:r>
      <w:r w:rsidRPr="00953F20" w:rsidR="00350AC5">
        <w:rPr>
          <w:color w:val="auto"/>
          <w:sz w:val="24"/>
          <w:szCs w:val="24"/>
        </w:rPr>
        <w:t xml:space="preserve"> </w:t>
      </w:r>
      <w:r w:rsidRPr="00953F20" w:rsidR="000F1AD4">
        <w:rPr>
          <w:color w:val="auto"/>
          <w:sz w:val="24"/>
          <w:szCs w:val="24"/>
        </w:rPr>
        <w:t>a dispute resolution process</w:t>
      </w:r>
      <w:r w:rsidRPr="00953F20" w:rsidR="00350AC5">
        <w:rPr>
          <w:color w:val="auto"/>
          <w:sz w:val="24"/>
          <w:szCs w:val="24"/>
        </w:rPr>
        <w:t>, which requires collection of information</w:t>
      </w:r>
      <w:r w:rsidRPr="00953F20" w:rsidR="00740B52">
        <w:rPr>
          <w:color w:val="auto"/>
          <w:sz w:val="24"/>
          <w:szCs w:val="24"/>
        </w:rPr>
        <w:t xml:space="preserve">. </w:t>
      </w:r>
      <w:r w:rsidRPr="00953F20" w:rsidR="000F1AD4">
        <w:rPr>
          <w:color w:val="auto"/>
          <w:sz w:val="24"/>
          <w:szCs w:val="24"/>
        </w:rPr>
        <w:t xml:space="preserve"> </w:t>
      </w:r>
      <w:bookmarkEnd w:id="0"/>
      <w:r w:rsidR="00E35DF2">
        <w:rPr>
          <w:color w:val="auto"/>
          <w:sz w:val="24"/>
          <w:szCs w:val="24"/>
        </w:rPr>
        <w:t>We</w:t>
      </w:r>
      <w:r w:rsidR="002708CC">
        <w:rPr>
          <w:color w:val="auto"/>
          <w:sz w:val="24"/>
          <w:szCs w:val="24"/>
        </w:rPr>
        <w:t xml:space="preserve"> finalized</w:t>
      </w:r>
      <w:r w:rsidRPr="00953F20" w:rsidR="002708CC">
        <w:rPr>
          <w:color w:val="auto"/>
          <w:sz w:val="24"/>
          <w:szCs w:val="24"/>
        </w:rPr>
        <w:t xml:space="preserve"> </w:t>
      </w:r>
      <w:r w:rsidRPr="00953F20" w:rsidR="000F1AD4">
        <w:rPr>
          <w:color w:val="auto"/>
          <w:sz w:val="24"/>
          <w:szCs w:val="24"/>
        </w:rPr>
        <w:t>that the dispute must include the following information</w:t>
      </w:r>
      <w:r w:rsidR="00E35DF2">
        <w:rPr>
          <w:color w:val="auto"/>
          <w:sz w:val="24"/>
          <w:szCs w:val="24"/>
        </w:rPr>
        <w:t xml:space="preserve"> on an error report</w:t>
      </w:r>
      <w:r w:rsidRPr="00953F20" w:rsidR="000F1AD4">
        <w:rPr>
          <w:color w:val="auto"/>
          <w:sz w:val="24"/>
          <w:szCs w:val="24"/>
        </w:rPr>
        <w:t>: (1) Manufacturer name and address; (2) The name, telephone number, and email address of one or more employees or representatives of the manufacturer with whom the Secretary may discuss the claimed errors;</w:t>
      </w:r>
      <w:r w:rsidRPr="00953F20" w:rsidR="000F1AD4">
        <w:rPr>
          <w:sz w:val="24"/>
          <w:szCs w:val="24"/>
        </w:rPr>
        <w:t xml:space="preserve"> </w:t>
      </w:r>
      <w:r w:rsidRPr="00953F20" w:rsidR="000F1AD4">
        <w:rPr>
          <w:color w:val="auto"/>
          <w:sz w:val="24"/>
          <w:szCs w:val="24"/>
        </w:rPr>
        <w:t xml:space="preserve">(3) For a mathematical calculation error, the specific calculation element(s) that the manufacturer disputes and its proposed corrected calculation; and (4) For any other asserted error, an explanation of the nature of the error, how the error affects the refund calculation, an explanation of how the manufacturer established that an error occurred, the proposed correction to the error, </w:t>
      </w:r>
      <w:bookmarkStart w:id="1" w:name="_Hlk104968686"/>
      <w:r w:rsidRPr="00953F20" w:rsidR="000F1AD4">
        <w:rPr>
          <w:color w:val="auto"/>
          <w:sz w:val="24"/>
          <w:szCs w:val="24"/>
        </w:rPr>
        <w:t>and an explanation of why CMS should use the proposed corrected data</w:t>
      </w:r>
      <w:bookmarkEnd w:id="1"/>
      <w:r w:rsidRPr="00953F20" w:rsidR="000F1AD4">
        <w:rPr>
          <w:color w:val="auto"/>
          <w:sz w:val="24"/>
          <w:szCs w:val="24"/>
        </w:rPr>
        <w:t xml:space="preserve">.  </w:t>
      </w:r>
    </w:p>
    <w:p w:rsidR="001A7D10" w:rsidP="00E77C0B" w14:paraId="5B45CAFD" w14:textId="77777777">
      <w:pPr>
        <w:pStyle w:val="PlainText"/>
        <w:rPr>
          <w:color w:val="auto"/>
          <w:sz w:val="24"/>
          <w:szCs w:val="24"/>
        </w:rPr>
      </w:pPr>
    </w:p>
    <w:p w:rsidR="002708CC" w:rsidP="00E77C0B" w14:paraId="4C361F4E" w14:textId="3352FDE2">
      <w:pPr>
        <w:pStyle w:val="PlainText"/>
        <w:rPr>
          <w:color w:val="auto"/>
          <w:sz w:val="24"/>
          <w:szCs w:val="24"/>
        </w:rPr>
      </w:pPr>
      <w:r>
        <w:rPr>
          <w:color w:val="auto"/>
          <w:sz w:val="24"/>
          <w:szCs w:val="24"/>
        </w:rPr>
        <w:t xml:space="preserve">Second, we </w:t>
      </w:r>
      <w:r w:rsidR="00D9776C">
        <w:rPr>
          <w:color w:val="auto"/>
          <w:sz w:val="24"/>
          <w:szCs w:val="24"/>
        </w:rPr>
        <w:t xml:space="preserve">finalized </w:t>
      </w:r>
      <w:r>
        <w:rPr>
          <w:color w:val="auto"/>
          <w:sz w:val="24"/>
          <w:szCs w:val="24"/>
        </w:rPr>
        <w:t xml:space="preserve">an application process through which manufacturers can request increased applicable percentage for a drug in the CY 2024 PFS </w:t>
      </w:r>
      <w:r w:rsidR="00D9776C">
        <w:rPr>
          <w:color w:val="auto"/>
          <w:sz w:val="24"/>
          <w:szCs w:val="24"/>
        </w:rPr>
        <w:t>final rule</w:t>
      </w:r>
      <w:r>
        <w:rPr>
          <w:color w:val="auto"/>
          <w:sz w:val="24"/>
          <w:szCs w:val="24"/>
        </w:rPr>
        <w:t xml:space="preserve">. </w:t>
      </w:r>
      <w:r>
        <w:rPr>
          <w:color w:val="auto"/>
          <w:sz w:val="24"/>
          <w:szCs w:val="24"/>
        </w:rPr>
        <w:t xml:space="preserve">Paragraph (3)(B)(ii) of the new section </w:t>
      </w:r>
      <w:r w:rsidR="00786B9E">
        <w:rPr>
          <w:color w:val="auto"/>
          <w:sz w:val="24"/>
          <w:szCs w:val="24"/>
        </w:rPr>
        <w:t>provides that, in the case of a refundable single-dose container or single-use package drug that has unique circumstances involving similar loss of product as that described in section 1847A</w:t>
      </w:r>
      <w:r w:rsidRPr="00786B9E" w:rsidR="00786B9E">
        <w:rPr>
          <w:color w:val="auto"/>
          <w:sz w:val="24"/>
          <w:szCs w:val="24"/>
        </w:rPr>
        <w:t>(h)(8)(B)(ii)</w:t>
      </w:r>
      <w:r w:rsidR="00786B9E">
        <w:rPr>
          <w:color w:val="auto"/>
          <w:sz w:val="24"/>
          <w:szCs w:val="24"/>
        </w:rPr>
        <w:t xml:space="preserve"> of the Act</w:t>
      </w:r>
      <w:r>
        <w:rPr>
          <w:color w:val="auto"/>
          <w:sz w:val="24"/>
          <w:szCs w:val="24"/>
        </w:rPr>
        <w:t xml:space="preserve">, </w:t>
      </w:r>
      <w:r w:rsidR="00786B9E">
        <w:rPr>
          <w:color w:val="auto"/>
          <w:sz w:val="24"/>
          <w:szCs w:val="24"/>
        </w:rPr>
        <w:t xml:space="preserve">the Secretary may, </w:t>
      </w:r>
      <w:r>
        <w:rPr>
          <w:color w:val="auto"/>
          <w:sz w:val="24"/>
          <w:szCs w:val="24"/>
        </w:rPr>
        <w:t xml:space="preserve">through notice and comment rulemaking, </w:t>
      </w:r>
      <w:r w:rsidR="00786B9E">
        <w:rPr>
          <w:color w:val="auto"/>
          <w:sz w:val="24"/>
          <w:szCs w:val="24"/>
        </w:rPr>
        <w:t>increase the applicable percentage otherwise applicable as determined appropriate by the Secretary</w:t>
      </w:r>
      <w:r>
        <w:rPr>
          <w:color w:val="auto"/>
          <w:sz w:val="24"/>
          <w:szCs w:val="24"/>
        </w:rPr>
        <w:t xml:space="preserve">. In the CY 2024 </w:t>
      </w:r>
      <w:r w:rsidR="00DB758C">
        <w:rPr>
          <w:color w:val="auto"/>
          <w:sz w:val="24"/>
          <w:szCs w:val="24"/>
        </w:rPr>
        <w:t xml:space="preserve">PFS </w:t>
      </w:r>
      <w:r w:rsidR="00813B69">
        <w:rPr>
          <w:color w:val="auto"/>
          <w:sz w:val="24"/>
          <w:szCs w:val="24"/>
        </w:rPr>
        <w:t>final rule</w:t>
      </w:r>
      <w:r>
        <w:rPr>
          <w:color w:val="auto"/>
          <w:sz w:val="24"/>
          <w:szCs w:val="24"/>
        </w:rPr>
        <w:t xml:space="preserve">, we </w:t>
      </w:r>
      <w:r w:rsidR="00813B69">
        <w:rPr>
          <w:color w:val="auto"/>
          <w:sz w:val="24"/>
          <w:szCs w:val="24"/>
        </w:rPr>
        <w:t>finalized</w:t>
      </w:r>
      <w:r>
        <w:rPr>
          <w:color w:val="auto"/>
          <w:sz w:val="24"/>
          <w:szCs w:val="24"/>
        </w:rPr>
        <w:t xml:space="preserve"> modifications to </w:t>
      </w:r>
      <w:r w:rsidRPr="00BA2F1F">
        <w:rPr>
          <w:color w:val="auto"/>
          <w:sz w:val="24"/>
          <w:szCs w:val="24"/>
        </w:rPr>
        <w:t>§414.940</w:t>
      </w:r>
      <w:r>
        <w:rPr>
          <w:color w:val="auto"/>
          <w:sz w:val="24"/>
          <w:szCs w:val="24"/>
        </w:rPr>
        <w:t xml:space="preserve"> to establish an application process </w:t>
      </w:r>
      <w:r w:rsidR="00DB758C">
        <w:rPr>
          <w:color w:val="auto"/>
          <w:sz w:val="24"/>
          <w:szCs w:val="24"/>
        </w:rPr>
        <w:t xml:space="preserve">so manufacturers may request that CMS consider whether an increased applicable percentage would be appropriate for a particular drug </w:t>
      </w:r>
      <w:r w:rsidR="00DB758C">
        <w:rPr>
          <w:color w:val="auto"/>
          <w:sz w:val="24"/>
          <w:szCs w:val="24"/>
        </w:rPr>
        <w:t>in light of</w:t>
      </w:r>
      <w:r w:rsidR="00DB758C">
        <w:rPr>
          <w:color w:val="auto"/>
          <w:sz w:val="24"/>
          <w:szCs w:val="24"/>
        </w:rPr>
        <w:t xml:space="preserve"> its unique circumstances</w:t>
      </w:r>
      <w:r>
        <w:rPr>
          <w:color w:val="auto"/>
          <w:sz w:val="24"/>
          <w:szCs w:val="24"/>
        </w:rPr>
        <w:t>.</w:t>
      </w:r>
    </w:p>
    <w:p w:rsidR="001A7D10" w:rsidRPr="00953F20" w:rsidP="00E77C0B" w14:paraId="58622B54" w14:textId="77777777">
      <w:pPr>
        <w:pStyle w:val="PlainText"/>
        <w:rPr>
          <w:color w:val="auto"/>
          <w:sz w:val="24"/>
          <w:szCs w:val="24"/>
        </w:rPr>
      </w:pPr>
    </w:p>
    <w:p w:rsidR="002708CC" w:rsidP="00E77C0B" w14:paraId="7E93A00D" w14:textId="3BF209FE">
      <w:pPr>
        <w:pStyle w:val="PlainText"/>
        <w:rPr>
          <w:color w:val="auto"/>
          <w:sz w:val="24"/>
          <w:szCs w:val="24"/>
        </w:rPr>
      </w:pPr>
      <w:r w:rsidRPr="002708CC">
        <w:rPr>
          <w:color w:val="auto"/>
          <w:sz w:val="24"/>
          <w:szCs w:val="24"/>
        </w:rPr>
        <w:t xml:space="preserve">In the </w:t>
      </w:r>
      <w:r w:rsidRPr="00294C90">
        <w:rPr>
          <w:color w:val="auto"/>
          <w:sz w:val="24"/>
          <w:szCs w:val="24"/>
        </w:rPr>
        <w:t xml:space="preserve">CY 2024 </w:t>
      </w:r>
      <w:r w:rsidR="00813B69">
        <w:rPr>
          <w:color w:val="auto"/>
          <w:sz w:val="24"/>
          <w:szCs w:val="24"/>
        </w:rPr>
        <w:t>final rule</w:t>
      </w:r>
      <w:r w:rsidRPr="00294C90">
        <w:rPr>
          <w:color w:val="auto"/>
          <w:sz w:val="24"/>
          <w:szCs w:val="24"/>
        </w:rPr>
        <w:t xml:space="preserve">, we </w:t>
      </w:r>
      <w:r w:rsidR="00813B69">
        <w:rPr>
          <w:color w:val="auto"/>
          <w:sz w:val="24"/>
          <w:szCs w:val="24"/>
        </w:rPr>
        <w:t>finalized</w:t>
      </w:r>
      <w:r w:rsidRPr="00294C90">
        <w:rPr>
          <w:color w:val="auto"/>
          <w:sz w:val="24"/>
          <w:szCs w:val="24"/>
        </w:rPr>
        <w:t xml:space="preserve"> that</w:t>
      </w:r>
      <w:r w:rsidRPr="00294C90" w:rsidR="004C7F2E">
        <w:rPr>
          <w:color w:val="auto"/>
          <w:sz w:val="24"/>
          <w:szCs w:val="24"/>
        </w:rPr>
        <w:t>, to request we consider increasing the applicable percentage for a particular refundable drug, a manufacturer must submit the following</w:t>
      </w:r>
      <w:r w:rsidRPr="00294C90">
        <w:rPr>
          <w:color w:val="auto"/>
          <w:sz w:val="24"/>
          <w:szCs w:val="24"/>
        </w:rPr>
        <w:t xml:space="preserve">: (1) a written request that a drug be considered </w:t>
      </w:r>
      <w:r w:rsidRPr="006C74DA" w:rsidR="004C7F2E">
        <w:rPr>
          <w:rFonts w:eastAsia="Times New Roman"/>
          <w:bCs/>
          <w:color w:val="auto"/>
          <w:sz w:val="24"/>
          <w:szCs w:val="24"/>
        </w:rPr>
        <w:t>for an increased applicable percentage based on its unique circumstances</w:t>
      </w:r>
      <w:r w:rsidRPr="00294C90">
        <w:rPr>
          <w:color w:val="auto"/>
          <w:sz w:val="24"/>
          <w:szCs w:val="24"/>
        </w:rPr>
        <w:t>; (2) FDA-approved labeling</w:t>
      </w:r>
      <w:r w:rsidRPr="00294C90" w:rsidR="00FE5B97">
        <w:rPr>
          <w:color w:val="auto"/>
          <w:sz w:val="24"/>
          <w:szCs w:val="24"/>
        </w:rPr>
        <w:t xml:space="preserve"> for the drug</w:t>
      </w:r>
      <w:r w:rsidRPr="00294C90">
        <w:rPr>
          <w:color w:val="auto"/>
          <w:sz w:val="24"/>
          <w:szCs w:val="24"/>
        </w:rPr>
        <w:t xml:space="preserve">; (3) justification for the </w:t>
      </w:r>
      <w:r w:rsidRPr="00294C90">
        <w:rPr>
          <w:color w:val="auto"/>
          <w:sz w:val="24"/>
          <w:szCs w:val="24"/>
        </w:rPr>
        <w:t xml:space="preserve">consideration of </w:t>
      </w:r>
      <w:r w:rsidRPr="006C74DA" w:rsidR="004C7F2E">
        <w:rPr>
          <w:rFonts w:eastAsia="Times New Roman"/>
          <w:bCs/>
          <w:color w:val="auto"/>
          <w:sz w:val="24"/>
          <w:szCs w:val="24"/>
        </w:rPr>
        <w:t>an increased applicable percentage based on such unique circumstances</w:t>
      </w:r>
      <w:r w:rsidRPr="00294C90">
        <w:rPr>
          <w:color w:val="auto"/>
          <w:sz w:val="24"/>
          <w:szCs w:val="24"/>
        </w:rPr>
        <w:t xml:space="preserve">; and (4) justification for the requested </w:t>
      </w:r>
      <w:r w:rsidRPr="00294C90" w:rsidR="00FE5B97">
        <w:rPr>
          <w:color w:val="auto"/>
          <w:sz w:val="24"/>
          <w:szCs w:val="24"/>
        </w:rPr>
        <w:t xml:space="preserve">increase in the </w:t>
      </w:r>
      <w:r w:rsidRPr="00294C90">
        <w:rPr>
          <w:color w:val="auto"/>
          <w:sz w:val="24"/>
          <w:szCs w:val="24"/>
        </w:rPr>
        <w:t>applicable percentage.</w:t>
      </w:r>
    </w:p>
    <w:p w:rsidR="001A7D10" w:rsidP="00E77C0B" w14:paraId="38636B6A" w14:textId="77777777">
      <w:pPr>
        <w:pStyle w:val="PlainText"/>
        <w:rPr>
          <w:color w:val="auto"/>
          <w:sz w:val="24"/>
          <w:szCs w:val="24"/>
        </w:rPr>
      </w:pPr>
    </w:p>
    <w:p w:rsidR="0021380A" w:rsidP="00E77C0B" w14:paraId="6FAC45D1" w14:textId="6479D67C">
      <w:pPr>
        <w:pStyle w:val="PlainText"/>
        <w:rPr>
          <w:color w:val="auto"/>
          <w:sz w:val="24"/>
          <w:szCs w:val="24"/>
        </w:rPr>
      </w:pPr>
      <w:r>
        <w:rPr>
          <w:color w:val="auto"/>
          <w:sz w:val="24"/>
          <w:szCs w:val="24"/>
        </w:rPr>
        <w:t xml:space="preserve">The </w:t>
      </w:r>
      <w:r w:rsidR="00D9776C">
        <w:rPr>
          <w:color w:val="auto"/>
          <w:sz w:val="24"/>
          <w:szCs w:val="24"/>
        </w:rPr>
        <w:t xml:space="preserve">final </w:t>
      </w:r>
      <w:r>
        <w:rPr>
          <w:color w:val="auto"/>
          <w:sz w:val="24"/>
          <w:szCs w:val="24"/>
        </w:rPr>
        <w:t xml:space="preserve">rule </w:t>
      </w:r>
      <w:r w:rsidR="00D9776C">
        <w:rPr>
          <w:color w:val="auto"/>
          <w:sz w:val="24"/>
          <w:szCs w:val="24"/>
        </w:rPr>
        <w:t>adds</w:t>
      </w:r>
      <w:r>
        <w:rPr>
          <w:color w:val="auto"/>
          <w:sz w:val="24"/>
          <w:szCs w:val="24"/>
        </w:rPr>
        <w:t xml:space="preserve"> 135 hours of burden at a cost of $</w:t>
      </w:r>
      <w:r w:rsidRPr="00952616">
        <w:rPr>
          <w:color w:val="auto"/>
          <w:sz w:val="24"/>
          <w:szCs w:val="24"/>
        </w:rPr>
        <w:t>7,528</w:t>
      </w:r>
      <w:r>
        <w:rPr>
          <w:color w:val="auto"/>
          <w:sz w:val="24"/>
          <w:szCs w:val="24"/>
        </w:rPr>
        <w:t xml:space="preserve">. </w:t>
      </w:r>
    </w:p>
    <w:p w:rsidR="0021380A" w:rsidP="00E77C0B" w14:paraId="130EC53C" w14:textId="77777777">
      <w:pPr>
        <w:pStyle w:val="PlainText"/>
        <w:rPr>
          <w:color w:val="auto"/>
          <w:sz w:val="24"/>
          <w:szCs w:val="24"/>
        </w:rPr>
      </w:pPr>
    </w:p>
    <w:p w:rsidR="00952616" w:rsidP="00E77C0B" w14:paraId="26934064" w14:textId="1162B6E2">
      <w:pPr>
        <w:pStyle w:val="PlainText"/>
        <w:rPr>
          <w:color w:val="auto"/>
          <w:sz w:val="24"/>
          <w:szCs w:val="24"/>
        </w:rPr>
      </w:pPr>
      <w:r>
        <w:rPr>
          <w:color w:val="auto"/>
          <w:sz w:val="24"/>
          <w:szCs w:val="24"/>
        </w:rPr>
        <w:t>This collection of information request does not include any reporting instruments. The requirements a</w:t>
      </w:r>
      <w:r w:rsidRPr="00952616">
        <w:rPr>
          <w:color w:val="auto"/>
          <w:sz w:val="24"/>
          <w:szCs w:val="24"/>
        </w:rPr>
        <w:t xml:space="preserve">re provided in the </w:t>
      </w:r>
      <w:r w:rsidRPr="00952616">
        <w:rPr>
          <w:color w:val="auto"/>
          <w:sz w:val="24"/>
          <w:szCs w:val="24"/>
        </w:rPr>
        <w:t>aforementioned rules</w:t>
      </w:r>
      <w:r w:rsidRPr="00952616">
        <w:rPr>
          <w:color w:val="auto"/>
          <w:sz w:val="24"/>
          <w:szCs w:val="24"/>
        </w:rPr>
        <w:t xml:space="preserve"> as codified in the CFR.</w:t>
      </w:r>
    </w:p>
    <w:p w:rsidR="00952616" w:rsidRPr="00294C90" w:rsidP="00E77C0B" w14:paraId="14CC30B9" w14:textId="77777777">
      <w:pPr>
        <w:pStyle w:val="PlainText"/>
        <w:rPr>
          <w:color w:val="auto"/>
          <w:sz w:val="24"/>
          <w:szCs w:val="24"/>
        </w:rPr>
      </w:pPr>
    </w:p>
    <w:p w:rsidR="008F1EB4" w:rsidRPr="001A7D10" w:rsidP="00E77C0B" w14:paraId="51AFD1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A7D10">
        <w:rPr>
          <w:b/>
          <w:bCs/>
          <w:sz w:val="24"/>
        </w:rPr>
        <w:t>A.</w:t>
      </w:r>
      <w:r w:rsidRPr="001A7D10">
        <w:rPr>
          <w:b/>
          <w:bCs/>
          <w:sz w:val="24"/>
        </w:rPr>
        <w:tab/>
        <w:t>Justification</w:t>
      </w:r>
    </w:p>
    <w:p w:rsidR="008F1EB4" w:rsidRPr="00953F20" w:rsidP="00E77C0B" w14:paraId="51AFD1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7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1 .</w:t>
      </w:r>
      <w:r w:rsidRPr="00953F20">
        <w:rPr>
          <w:sz w:val="24"/>
        </w:rPr>
        <w:tab/>
      </w:r>
      <w:r w:rsidRPr="00953F20">
        <w:rPr>
          <w:sz w:val="24"/>
          <w:u w:val="single"/>
        </w:rPr>
        <w:t>Need and Legal Basis</w:t>
      </w:r>
    </w:p>
    <w:p w:rsidR="008F1EB4" w:rsidRPr="00953F20" w:rsidP="00E77C0B" w14:paraId="51AFD18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64D86" w:rsidP="00E77C0B" w14:paraId="51AFD181" w14:textId="2FF3EB9A">
      <w:pPr>
        <w:pStyle w:val="PlainText"/>
        <w:rPr>
          <w:color w:val="auto"/>
          <w:sz w:val="24"/>
          <w:szCs w:val="24"/>
        </w:rPr>
      </w:pPr>
      <w:r w:rsidRPr="00953F20">
        <w:rPr>
          <w:color w:val="auto"/>
          <w:sz w:val="24"/>
          <w:szCs w:val="24"/>
        </w:rPr>
        <w:t xml:space="preserve">As a part of implementing </w:t>
      </w:r>
      <w:r w:rsidRPr="00953F20" w:rsidR="00817CDA">
        <w:rPr>
          <w:color w:val="auto"/>
          <w:sz w:val="24"/>
          <w:szCs w:val="24"/>
        </w:rPr>
        <w:t>section 90004 of the Infrastructure Act</w:t>
      </w:r>
      <w:r w:rsidRPr="00953F20">
        <w:rPr>
          <w:color w:val="auto"/>
          <w:sz w:val="24"/>
          <w:szCs w:val="24"/>
        </w:rPr>
        <w:t xml:space="preserve">, we recognize the need for establishing a dispute resolution process because of the nature of determining the estimated total allowed charges for a given calendar quarter and the methods by which the estimated refund amount is determined.  Although a dispute resolution process is not expressly required by section 1847A(h) of the Act, we believe that proactively establishing such a process will aid in the successful implementation of this provision.  We </w:t>
      </w:r>
      <w:r w:rsidR="00A606E0">
        <w:rPr>
          <w:color w:val="auto"/>
          <w:sz w:val="24"/>
          <w:szCs w:val="24"/>
        </w:rPr>
        <w:t>finalized in the CY 2023 PFS</w:t>
      </w:r>
      <w:r w:rsidRPr="00953F20" w:rsidR="00A606E0">
        <w:rPr>
          <w:color w:val="auto"/>
          <w:sz w:val="24"/>
          <w:szCs w:val="24"/>
        </w:rPr>
        <w:t xml:space="preserve"> </w:t>
      </w:r>
      <w:r w:rsidRPr="00953F20">
        <w:rPr>
          <w:color w:val="auto"/>
          <w:sz w:val="24"/>
          <w:szCs w:val="24"/>
        </w:rPr>
        <w:t xml:space="preserve">that each manufacturer </w:t>
      </w:r>
      <w:r w:rsidRPr="00953F20" w:rsidR="00A606E0">
        <w:rPr>
          <w:color w:val="auto"/>
          <w:sz w:val="24"/>
          <w:szCs w:val="24"/>
        </w:rPr>
        <w:t>ha</w:t>
      </w:r>
      <w:r w:rsidR="00A606E0">
        <w:rPr>
          <w:color w:val="auto"/>
          <w:sz w:val="24"/>
          <w:szCs w:val="24"/>
        </w:rPr>
        <w:t>s</w:t>
      </w:r>
      <w:r w:rsidRPr="00953F20" w:rsidR="00A606E0">
        <w:rPr>
          <w:color w:val="auto"/>
          <w:sz w:val="24"/>
          <w:szCs w:val="24"/>
        </w:rPr>
        <w:t xml:space="preserve"> </w:t>
      </w:r>
      <w:r w:rsidRPr="00953F20">
        <w:rPr>
          <w:color w:val="auto"/>
          <w:sz w:val="24"/>
          <w:szCs w:val="24"/>
        </w:rPr>
        <w:t xml:space="preserve">an opportunity to dispute the report by submitting an error report as described in this section. </w:t>
      </w:r>
    </w:p>
    <w:p w:rsidR="001A7D10" w:rsidP="00E77C0B" w14:paraId="7149ECD9" w14:textId="77777777">
      <w:pPr>
        <w:pStyle w:val="PlainText"/>
        <w:rPr>
          <w:color w:val="auto"/>
          <w:sz w:val="24"/>
          <w:szCs w:val="24"/>
        </w:rPr>
      </w:pPr>
    </w:p>
    <w:p w:rsidR="00A606E0" w:rsidRPr="00953F20" w:rsidP="007862B1" w14:paraId="2D192D5C" w14:textId="75327E42">
      <w:pPr>
        <w:pStyle w:val="PlainText"/>
        <w:rPr>
          <w:color w:val="auto"/>
          <w:sz w:val="24"/>
          <w:szCs w:val="24"/>
        </w:rPr>
      </w:pPr>
      <w:r>
        <w:rPr>
          <w:color w:val="auto"/>
          <w:sz w:val="24"/>
          <w:szCs w:val="24"/>
        </w:rPr>
        <w:t xml:space="preserve">In addition, we recognize that there are products subject to the discarded drug refund provision that </w:t>
      </w:r>
      <w:r w:rsidRPr="0074393F">
        <w:rPr>
          <w:color w:val="auto"/>
          <w:sz w:val="24"/>
          <w:szCs w:val="24"/>
        </w:rPr>
        <w:t>may indeed have a unique circumstance, and an increased applicable percentage for these products would have to be determined through future notice and comment rulemaking as required by the statutory provision</w:t>
      </w:r>
      <w:r>
        <w:rPr>
          <w:color w:val="auto"/>
          <w:sz w:val="24"/>
          <w:szCs w:val="24"/>
        </w:rPr>
        <w:t>. Although we finalized a</w:t>
      </w:r>
      <w:r w:rsidR="00583A48">
        <w:rPr>
          <w:color w:val="auto"/>
          <w:sz w:val="24"/>
          <w:szCs w:val="24"/>
        </w:rPr>
        <w:t xml:space="preserve">n increased applicable percentage for one drug with </w:t>
      </w:r>
      <w:r>
        <w:rPr>
          <w:color w:val="auto"/>
          <w:sz w:val="24"/>
          <w:szCs w:val="24"/>
        </w:rPr>
        <w:t>unique circumstance</w:t>
      </w:r>
      <w:r w:rsidR="00583A48">
        <w:rPr>
          <w:color w:val="auto"/>
          <w:sz w:val="24"/>
          <w:szCs w:val="24"/>
        </w:rPr>
        <w:t>s</w:t>
      </w:r>
      <w:r>
        <w:rPr>
          <w:color w:val="auto"/>
          <w:sz w:val="24"/>
          <w:szCs w:val="24"/>
        </w:rPr>
        <w:t xml:space="preserve"> in the CY 2023 final rule and we </w:t>
      </w:r>
      <w:r w:rsidR="00D9776C">
        <w:rPr>
          <w:color w:val="auto"/>
          <w:sz w:val="24"/>
          <w:szCs w:val="24"/>
        </w:rPr>
        <w:t>finalized</w:t>
      </w:r>
      <w:r w:rsidR="00583A48">
        <w:rPr>
          <w:color w:val="auto"/>
          <w:sz w:val="24"/>
          <w:szCs w:val="24"/>
        </w:rPr>
        <w:t xml:space="preserve"> an increased applicable percentage for </w:t>
      </w:r>
      <w:r>
        <w:rPr>
          <w:color w:val="auto"/>
          <w:sz w:val="24"/>
          <w:szCs w:val="24"/>
        </w:rPr>
        <w:t xml:space="preserve">two </w:t>
      </w:r>
      <w:r w:rsidR="00583A48">
        <w:rPr>
          <w:color w:val="auto"/>
          <w:sz w:val="24"/>
          <w:szCs w:val="24"/>
        </w:rPr>
        <w:t>categories of drugs with</w:t>
      </w:r>
      <w:r>
        <w:rPr>
          <w:color w:val="auto"/>
          <w:sz w:val="24"/>
          <w:szCs w:val="24"/>
        </w:rPr>
        <w:t xml:space="preserve"> unique circumstances in the CY 2024 </w:t>
      </w:r>
      <w:r w:rsidR="00D9776C">
        <w:rPr>
          <w:color w:val="auto"/>
          <w:sz w:val="24"/>
          <w:szCs w:val="24"/>
        </w:rPr>
        <w:t xml:space="preserve">final </w:t>
      </w:r>
      <w:r w:rsidR="004D5B10">
        <w:rPr>
          <w:color w:val="auto"/>
          <w:sz w:val="24"/>
          <w:szCs w:val="24"/>
        </w:rPr>
        <w:t>rule</w:t>
      </w:r>
      <w:r>
        <w:rPr>
          <w:color w:val="auto"/>
          <w:sz w:val="24"/>
          <w:szCs w:val="24"/>
        </w:rPr>
        <w:t xml:space="preserve">, we believe a formal application process </w:t>
      </w:r>
      <w:r w:rsidR="00CD5C0D">
        <w:rPr>
          <w:color w:val="auto"/>
          <w:sz w:val="24"/>
          <w:szCs w:val="24"/>
        </w:rPr>
        <w:t>provides</w:t>
      </w:r>
      <w:r>
        <w:rPr>
          <w:color w:val="auto"/>
          <w:sz w:val="24"/>
          <w:szCs w:val="24"/>
        </w:rPr>
        <w:t xml:space="preserve"> drug manufacturers a transparent avenue to provide CMS with information that could justify that a drug has a unique circumstance and should have an increased applicable percentage. </w:t>
      </w:r>
      <w:r w:rsidR="00583A48">
        <w:rPr>
          <w:color w:val="auto"/>
          <w:sz w:val="24"/>
          <w:szCs w:val="24"/>
        </w:rPr>
        <w:t xml:space="preserve">The </w:t>
      </w:r>
      <w:r w:rsidR="00D9776C">
        <w:rPr>
          <w:color w:val="auto"/>
          <w:sz w:val="24"/>
          <w:szCs w:val="24"/>
        </w:rPr>
        <w:t xml:space="preserve">finalized </w:t>
      </w:r>
      <w:r w:rsidR="00583A48">
        <w:rPr>
          <w:color w:val="auto"/>
          <w:sz w:val="24"/>
          <w:szCs w:val="24"/>
        </w:rPr>
        <w:t>application process</w:t>
      </w:r>
      <w:r>
        <w:rPr>
          <w:color w:val="auto"/>
          <w:sz w:val="24"/>
          <w:szCs w:val="24"/>
        </w:rPr>
        <w:t xml:space="preserve"> </w:t>
      </w:r>
      <w:r w:rsidR="00D9776C">
        <w:rPr>
          <w:color w:val="auto"/>
          <w:sz w:val="24"/>
          <w:szCs w:val="24"/>
        </w:rPr>
        <w:t>is</w:t>
      </w:r>
      <w:r>
        <w:rPr>
          <w:color w:val="auto"/>
          <w:sz w:val="24"/>
          <w:szCs w:val="24"/>
        </w:rPr>
        <w:t xml:space="preserve"> advantageous to manufacturers </w:t>
      </w:r>
      <w:r w:rsidR="00D9776C">
        <w:rPr>
          <w:color w:val="auto"/>
          <w:sz w:val="24"/>
          <w:szCs w:val="24"/>
        </w:rPr>
        <w:t>because it provides</w:t>
      </w:r>
      <w:r>
        <w:rPr>
          <w:color w:val="auto"/>
          <w:sz w:val="24"/>
          <w:szCs w:val="24"/>
        </w:rPr>
        <w:t xml:space="preserve"> a clear process in regulation</w:t>
      </w:r>
      <w:r w:rsidR="00583A48">
        <w:rPr>
          <w:color w:val="auto"/>
          <w:sz w:val="24"/>
          <w:szCs w:val="24"/>
        </w:rPr>
        <w:t xml:space="preserve"> by which an increased applicable percentage can be requested</w:t>
      </w:r>
      <w:r>
        <w:rPr>
          <w:color w:val="auto"/>
          <w:sz w:val="24"/>
          <w:szCs w:val="24"/>
        </w:rPr>
        <w:t xml:space="preserve">, particularly </w:t>
      </w:r>
      <w:r w:rsidR="00583A48">
        <w:rPr>
          <w:color w:val="auto"/>
          <w:sz w:val="24"/>
          <w:szCs w:val="24"/>
        </w:rPr>
        <w:t>because of the statutory</w:t>
      </w:r>
      <w:r>
        <w:rPr>
          <w:color w:val="auto"/>
          <w:sz w:val="24"/>
          <w:szCs w:val="24"/>
        </w:rPr>
        <w:t xml:space="preserve"> requirement that these determinations be made through notice and comment rulemaking. </w:t>
      </w:r>
    </w:p>
    <w:p w:rsidR="008F1EB4" w:rsidRPr="00953F20" w:rsidP="00E77C0B" w14:paraId="51AFD18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2.</w:t>
      </w:r>
      <w:r w:rsidRPr="00953F20">
        <w:rPr>
          <w:sz w:val="24"/>
        </w:rPr>
        <w:tab/>
      </w:r>
      <w:r w:rsidRPr="00953F20">
        <w:rPr>
          <w:sz w:val="24"/>
          <w:u w:val="single"/>
        </w:rPr>
        <w:t>Information Users</w:t>
      </w:r>
    </w:p>
    <w:p w:rsidR="008F1EB4" w:rsidRPr="00953F20" w:rsidP="00E77C0B" w14:paraId="51AFD18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4D1F56" w:rsidP="00E77C0B" w14:paraId="51AFD185" w14:textId="3AAB111A">
      <w:pPr>
        <w:pStyle w:val="PlainText"/>
        <w:rPr>
          <w:color w:val="auto"/>
          <w:sz w:val="24"/>
          <w:szCs w:val="24"/>
        </w:rPr>
      </w:pPr>
      <w:r w:rsidRPr="003B45FE">
        <w:rPr>
          <w:color w:val="auto"/>
          <w:sz w:val="24"/>
          <w:szCs w:val="24"/>
        </w:rPr>
        <w:t>Error Report:</w:t>
      </w:r>
      <w:r>
        <w:rPr>
          <w:color w:val="auto"/>
          <w:sz w:val="24"/>
          <w:szCs w:val="24"/>
        </w:rPr>
        <w:t xml:space="preserve"> </w:t>
      </w:r>
      <w:r w:rsidRPr="00953F20" w:rsidR="000F1AD4">
        <w:rPr>
          <w:color w:val="auto"/>
          <w:sz w:val="24"/>
          <w:szCs w:val="24"/>
        </w:rPr>
        <w:t xml:space="preserve">Manufacturers of drugs for which refunds are owed may submit an error report to CMS.  This error report will contain information as described in the background section above.  CMS will use this information to evaluate the refund amount and make any corrections or adjustments to the refund amount if CMS finds there was indeed an error. </w:t>
      </w:r>
      <w:r w:rsidRPr="00953F20" w:rsidR="00A77648">
        <w:rPr>
          <w:color w:val="auto"/>
          <w:sz w:val="24"/>
          <w:szCs w:val="24"/>
        </w:rPr>
        <w:t xml:space="preserve"> We </w:t>
      </w:r>
      <w:r w:rsidRPr="00953F20">
        <w:rPr>
          <w:color w:val="auto"/>
          <w:sz w:val="24"/>
          <w:szCs w:val="24"/>
        </w:rPr>
        <w:t>w</w:t>
      </w:r>
      <w:r>
        <w:rPr>
          <w:color w:val="auto"/>
          <w:sz w:val="24"/>
          <w:szCs w:val="24"/>
        </w:rPr>
        <w:t>ill</w:t>
      </w:r>
      <w:r w:rsidRPr="00953F20">
        <w:rPr>
          <w:color w:val="auto"/>
          <w:sz w:val="24"/>
          <w:szCs w:val="24"/>
        </w:rPr>
        <w:t xml:space="preserve"> </w:t>
      </w:r>
      <w:r w:rsidRPr="00953F20" w:rsidR="00A77648">
        <w:rPr>
          <w:color w:val="auto"/>
          <w:sz w:val="24"/>
          <w:szCs w:val="24"/>
        </w:rPr>
        <w:t xml:space="preserve">evaluate error reports and </w:t>
      </w:r>
      <w:r w:rsidRPr="00953F20">
        <w:rPr>
          <w:color w:val="auto"/>
          <w:sz w:val="24"/>
          <w:szCs w:val="24"/>
        </w:rPr>
        <w:t>w</w:t>
      </w:r>
      <w:r>
        <w:rPr>
          <w:color w:val="auto"/>
          <w:sz w:val="24"/>
          <w:szCs w:val="24"/>
        </w:rPr>
        <w:t>ill</w:t>
      </w:r>
      <w:r w:rsidRPr="00953F20">
        <w:rPr>
          <w:color w:val="auto"/>
          <w:sz w:val="24"/>
          <w:szCs w:val="24"/>
        </w:rPr>
        <w:t xml:space="preserve"> </w:t>
      </w:r>
      <w:r w:rsidRPr="00953F20" w:rsidR="00A77648">
        <w:rPr>
          <w:color w:val="auto"/>
          <w:sz w:val="24"/>
          <w:szCs w:val="24"/>
        </w:rPr>
        <w:t xml:space="preserve">decide whether the information (such as number of discarded billing units or refund amount calculation) requires correction based on the information provided.  </w:t>
      </w:r>
      <w:r>
        <w:rPr>
          <w:color w:val="auto"/>
          <w:sz w:val="24"/>
          <w:szCs w:val="24"/>
        </w:rPr>
        <w:t>In the CY 2023 final rule, we finalized</w:t>
      </w:r>
      <w:r w:rsidRPr="00953F20">
        <w:rPr>
          <w:color w:val="auto"/>
          <w:sz w:val="24"/>
          <w:szCs w:val="24"/>
        </w:rPr>
        <w:t xml:space="preserve"> </w:t>
      </w:r>
      <w:r w:rsidRPr="00953F20" w:rsidR="00A77648">
        <w:rPr>
          <w:color w:val="auto"/>
          <w:sz w:val="24"/>
          <w:szCs w:val="24"/>
        </w:rPr>
        <w:t xml:space="preserve">that if we find that a different refund amount is owed than what was stated on the report, we </w:t>
      </w:r>
      <w:r w:rsidRPr="00953F20">
        <w:rPr>
          <w:color w:val="auto"/>
          <w:sz w:val="24"/>
          <w:szCs w:val="24"/>
        </w:rPr>
        <w:t>w</w:t>
      </w:r>
      <w:r>
        <w:rPr>
          <w:color w:val="auto"/>
          <w:sz w:val="24"/>
          <w:szCs w:val="24"/>
        </w:rPr>
        <w:t>ill</w:t>
      </w:r>
      <w:r w:rsidRPr="00953F20">
        <w:rPr>
          <w:color w:val="auto"/>
          <w:sz w:val="24"/>
          <w:szCs w:val="24"/>
        </w:rPr>
        <w:t xml:space="preserve"> </w:t>
      </w:r>
      <w:r w:rsidRPr="00953F20" w:rsidR="00A77648">
        <w:rPr>
          <w:color w:val="auto"/>
          <w:sz w:val="24"/>
          <w:szCs w:val="24"/>
        </w:rPr>
        <w:t xml:space="preserve">issue a new report with updated discarded amounts and/or refund.  We </w:t>
      </w:r>
      <w:r w:rsidR="007231E7">
        <w:rPr>
          <w:color w:val="auto"/>
          <w:sz w:val="24"/>
          <w:szCs w:val="24"/>
        </w:rPr>
        <w:t>finalized</w:t>
      </w:r>
      <w:r w:rsidRPr="00953F20" w:rsidR="00A77648">
        <w:rPr>
          <w:color w:val="auto"/>
          <w:sz w:val="24"/>
          <w:szCs w:val="24"/>
        </w:rPr>
        <w:t xml:space="preserve"> that if we disagree with the dispute, we </w:t>
      </w:r>
      <w:r w:rsidR="007231E7">
        <w:rPr>
          <w:color w:val="auto"/>
          <w:sz w:val="24"/>
          <w:szCs w:val="24"/>
        </w:rPr>
        <w:t xml:space="preserve">will </w:t>
      </w:r>
      <w:r w:rsidRPr="00953F20" w:rsidR="00A77648">
        <w:rPr>
          <w:color w:val="auto"/>
          <w:sz w:val="24"/>
          <w:szCs w:val="24"/>
        </w:rPr>
        <w:t>notify the manufacturer that refund amount on the report is still owed and should be paid.</w:t>
      </w:r>
    </w:p>
    <w:p w:rsidR="009046A6" w:rsidP="009046A6" w14:paraId="26634448" w14:textId="77777777">
      <w:pPr>
        <w:pStyle w:val="PlainText"/>
        <w:rPr>
          <w:color w:val="auto"/>
          <w:sz w:val="24"/>
          <w:szCs w:val="24"/>
        </w:rPr>
      </w:pPr>
    </w:p>
    <w:p w:rsidR="007231E7" w:rsidRPr="00294C90" w:rsidP="007862B1" w14:paraId="3F7C35D3" w14:textId="664C9AFF">
      <w:pPr>
        <w:pStyle w:val="PlainText"/>
        <w:rPr>
          <w:color w:val="auto"/>
          <w:sz w:val="24"/>
          <w:szCs w:val="24"/>
        </w:rPr>
      </w:pPr>
      <w:r>
        <w:rPr>
          <w:color w:val="auto"/>
          <w:sz w:val="24"/>
          <w:szCs w:val="24"/>
        </w:rPr>
        <w:t>Application process for increased applicable percentage</w:t>
      </w:r>
      <w:r>
        <w:rPr>
          <w:color w:val="auto"/>
          <w:sz w:val="24"/>
          <w:szCs w:val="24"/>
        </w:rPr>
        <w:t xml:space="preserve">: In the CY 2024 PFS </w:t>
      </w:r>
      <w:r w:rsidR="00813B69">
        <w:rPr>
          <w:color w:val="auto"/>
          <w:sz w:val="24"/>
          <w:szCs w:val="24"/>
        </w:rPr>
        <w:t>final rule</w:t>
      </w:r>
      <w:r>
        <w:rPr>
          <w:color w:val="auto"/>
          <w:sz w:val="24"/>
          <w:szCs w:val="24"/>
        </w:rPr>
        <w:t xml:space="preserve">, we </w:t>
      </w:r>
      <w:r w:rsidR="00813B69">
        <w:rPr>
          <w:color w:val="auto"/>
          <w:sz w:val="24"/>
          <w:szCs w:val="24"/>
        </w:rPr>
        <w:t>finalized</w:t>
      </w:r>
      <w:r>
        <w:rPr>
          <w:color w:val="auto"/>
          <w:sz w:val="24"/>
          <w:szCs w:val="24"/>
        </w:rPr>
        <w:t xml:space="preserve"> that manufacturers of drugs or biologicals may apply for </w:t>
      </w:r>
      <w:r w:rsidR="001D763F">
        <w:rPr>
          <w:color w:val="auto"/>
          <w:sz w:val="24"/>
          <w:szCs w:val="24"/>
        </w:rPr>
        <w:t xml:space="preserve">an increased applicable percentage </w:t>
      </w:r>
      <w:r>
        <w:rPr>
          <w:color w:val="auto"/>
          <w:sz w:val="24"/>
          <w:szCs w:val="24"/>
        </w:rPr>
        <w:t>(</w:t>
      </w:r>
      <w:r w:rsidR="001D763F">
        <w:rPr>
          <w:color w:val="auto"/>
          <w:sz w:val="24"/>
          <w:szCs w:val="24"/>
        </w:rPr>
        <w:t xml:space="preserve">based on </w:t>
      </w:r>
      <w:r>
        <w:rPr>
          <w:color w:val="auto"/>
          <w:sz w:val="24"/>
          <w:szCs w:val="24"/>
        </w:rPr>
        <w:t>unique circumstance</w:t>
      </w:r>
      <w:r w:rsidR="001D763F">
        <w:rPr>
          <w:color w:val="auto"/>
          <w:sz w:val="24"/>
          <w:szCs w:val="24"/>
        </w:rPr>
        <w:t>s</w:t>
      </w:r>
      <w:r>
        <w:rPr>
          <w:color w:val="auto"/>
          <w:sz w:val="24"/>
          <w:szCs w:val="24"/>
        </w:rPr>
        <w:t>)</w:t>
      </w:r>
      <w:r>
        <w:rPr>
          <w:color w:val="auto"/>
          <w:sz w:val="24"/>
          <w:szCs w:val="24"/>
        </w:rPr>
        <w:t xml:space="preserve"> on an annual basis</w:t>
      </w:r>
      <w:r>
        <w:rPr>
          <w:color w:val="auto"/>
          <w:sz w:val="24"/>
          <w:szCs w:val="24"/>
        </w:rPr>
        <w:t xml:space="preserve">, which </w:t>
      </w:r>
      <w:r w:rsidR="00C75DD3">
        <w:rPr>
          <w:color w:val="auto"/>
          <w:sz w:val="24"/>
          <w:szCs w:val="24"/>
        </w:rPr>
        <w:t xml:space="preserve">we </w:t>
      </w:r>
      <w:r w:rsidR="00D9776C">
        <w:rPr>
          <w:color w:val="auto"/>
          <w:sz w:val="24"/>
          <w:szCs w:val="24"/>
        </w:rPr>
        <w:t xml:space="preserve">finalized </w:t>
      </w:r>
      <w:r>
        <w:rPr>
          <w:color w:val="auto"/>
          <w:sz w:val="24"/>
          <w:szCs w:val="24"/>
        </w:rPr>
        <w:t xml:space="preserve">to be submitted to CMS by February 1 of the calendar year prior to the year the increased applicable percentage would </w:t>
      </w:r>
      <w:r w:rsidRPr="00294C90">
        <w:rPr>
          <w:color w:val="auto"/>
          <w:sz w:val="24"/>
          <w:szCs w:val="24"/>
        </w:rPr>
        <w:t xml:space="preserve">apply </w:t>
      </w:r>
      <w:r w:rsidRPr="006C74DA">
        <w:rPr>
          <w:color w:val="auto"/>
          <w:sz w:val="24"/>
          <w:szCs w:val="24"/>
        </w:rPr>
        <w:t xml:space="preserve">(for example, applications for increased applicable percentages effective January 1, 2025 </w:t>
      </w:r>
      <w:r w:rsidR="00C75DD3">
        <w:rPr>
          <w:color w:val="auto"/>
          <w:sz w:val="24"/>
          <w:szCs w:val="24"/>
        </w:rPr>
        <w:t>are</w:t>
      </w:r>
      <w:r w:rsidRPr="006C74DA">
        <w:rPr>
          <w:color w:val="auto"/>
          <w:sz w:val="24"/>
          <w:szCs w:val="24"/>
        </w:rPr>
        <w:t xml:space="preserve"> due to CMS by February 1, 2024)</w:t>
      </w:r>
      <w:r w:rsidRPr="00294C90">
        <w:rPr>
          <w:color w:val="auto"/>
          <w:sz w:val="24"/>
          <w:szCs w:val="24"/>
        </w:rPr>
        <w:t xml:space="preserve">. </w:t>
      </w:r>
      <w:r w:rsidRPr="006C74DA" w:rsidR="00AF288E">
        <w:rPr>
          <w:color w:val="auto"/>
          <w:sz w:val="24"/>
          <w:szCs w:val="24"/>
        </w:rPr>
        <w:t xml:space="preserve">We </w:t>
      </w:r>
      <w:r w:rsidR="00D9776C">
        <w:rPr>
          <w:color w:val="auto"/>
          <w:sz w:val="24"/>
          <w:szCs w:val="24"/>
        </w:rPr>
        <w:t xml:space="preserve">finalized that we </w:t>
      </w:r>
      <w:r w:rsidR="00D9776C">
        <w:rPr>
          <w:color w:val="auto"/>
          <w:sz w:val="24"/>
          <w:szCs w:val="24"/>
        </w:rPr>
        <w:t>will</w:t>
      </w:r>
      <w:r w:rsidRPr="006C74DA" w:rsidR="00AF288E">
        <w:rPr>
          <w:color w:val="auto"/>
          <w:sz w:val="24"/>
          <w:szCs w:val="24"/>
        </w:rPr>
        <w:t xml:space="preserve"> discuss our analyses of applications in the PFS rulemaking immediately following the application period, and to communicate in the proposed rule whether we consider the drug to have unique circumstances that warrant an increased applicable percentage. We </w:t>
      </w:r>
      <w:r w:rsidR="006B3BE4">
        <w:rPr>
          <w:color w:val="auto"/>
          <w:sz w:val="24"/>
          <w:szCs w:val="24"/>
        </w:rPr>
        <w:t>will</w:t>
      </w:r>
      <w:r w:rsidRPr="006C74DA" w:rsidR="006B3BE4">
        <w:rPr>
          <w:color w:val="auto"/>
          <w:sz w:val="24"/>
          <w:szCs w:val="24"/>
        </w:rPr>
        <w:t xml:space="preserve"> </w:t>
      </w:r>
      <w:r w:rsidRPr="006C74DA" w:rsidR="00AF288E">
        <w:rPr>
          <w:color w:val="auto"/>
          <w:sz w:val="24"/>
          <w:szCs w:val="24"/>
        </w:rPr>
        <w:t>also include proposals, if any, for increased applicable percentages, along with a summary of any applications for which we determined not to propose an increase in the applicable percentage.</w:t>
      </w:r>
    </w:p>
    <w:p w:rsidR="008F1EB4" w:rsidRPr="00294C90" w:rsidP="00E77C0B" w14:paraId="51AFD18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8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3.</w:t>
      </w:r>
      <w:r w:rsidRPr="00953F20">
        <w:rPr>
          <w:sz w:val="24"/>
        </w:rPr>
        <w:tab/>
      </w:r>
      <w:r w:rsidRPr="00953F20">
        <w:rPr>
          <w:sz w:val="24"/>
          <w:u w:val="single"/>
        </w:rPr>
        <w:t>Use of Information Technology</w:t>
      </w:r>
    </w:p>
    <w:p w:rsidR="008F1EB4" w:rsidRPr="00953F20" w:rsidP="00E77C0B" w14:paraId="51AFD1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06DEF" w:rsidP="00E77C0B" w14:paraId="51AFD189" w14:textId="5EB30D5C">
      <w:pPr>
        <w:pStyle w:val="PlainText"/>
        <w:rPr>
          <w:color w:val="auto"/>
          <w:sz w:val="24"/>
          <w:szCs w:val="24"/>
        </w:rPr>
      </w:pPr>
      <w:r w:rsidRPr="00953F20">
        <w:rPr>
          <w:color w:val="auto"/>
          <w:sz w:val="24"/>
          <w:szCs w:val="24"/>
        </w:rPr>
        <w:t>Th</w:t>
      </w:r>
      <w:r>
        <w:rPr>
          <w:color w:val="auto"/>
          <w:sz w:val="24"/>
          <w:szCs w:val="24"/>
        </w:rPr>
        <w:t>e</w:t>
      </w:r>
      <w:r w:rsidRPr="00953F20">
        <w:rPr>
          <w:color w:val="auto"/>
          <w:sz w:val="24"/>
          <w:szCs w:val="24"/>
        </w:rPr>
        <w:t xml:space="preserve"> </w:t>
      </w:r>
      <w:r w:rsidRPr="00953F20" w:rsidR="000F1AD4">
        <w:rPr>
          <w:color w:val="auto"/>
          <w:sz w:val="24"/>
          <w:szCs w:val="24"/>
        </w:rPr>
        <w:t xml:space="preserve">collection of information </w:t>
      </w:r>
      <w:r>
        <w:rPr>
          <w:color w:val="auto"/>
          <w:sz w:val="24"/>
          <w:szCs w:val="24"/>
        </w:rPr>
        <w:t>for neither the error report nor the unique circumstance application</w:t>
      </w:r>
      <w:r w:rsidRPr="00953F20" w:rsidR="000F1AD4">
        <w:rPr>
          <w:color w:val="auto"/>
          <w:sz w:val="24"/>
          <w:szCs w:val="24"/>
        </w:rPr>
        <w:t xml:space="preserve"> involve</w:t>
      </w:r>
      <w:r>
        <w:rPr>
          <w:color w:val="auto"/>
          <w:sz w:val="24"/>
          <w:szCs w:val="24"/>
        </w:rPr>
        <w:t>s</w:t>
      </w:r>
      <w:r w:rsidRPr="00953F20" w:rsidR="000F1AD4">
        <w:rPr>
          <w:color w:val="auto"/>
          <w:sz w:val="24"/>
          <w:szCs w:val="24"/>
        </w:rPr>
        <w:t xml:space="preserve"> use of automated, electronic, mechanical, or other technological collection techniques.  An electronic collection system of such information is not currently available.  We would require a signature from respondents and if CMS had the capability of accepting electronic signatures, we could consider that the error report be submitted electronically. </w:t>
      </w:r>
    </w:p>
    <w:p w:rsidR="009046A6" w:rsidRPr="00953F20" w:rsidP="009046A6" w14:paraId="75751219" w14:textId="77777777">
      <w:pPr>
        <w:pStyle w:val="PlainText"/>
        <w:rPr>
          <w:color w:val="auto"/>
          <w:sz w:val="24"/>
          <w:szCs w:val="24"/>
        </w:rPr>
      </w:pPr>
    </w:p>
    <w:p w:rsidR="004D1F56" w:rsidRPr="00953F20" w:rsidP="007862B1" w14:paraId="51AFD18A" w14:textId="23E3168F">
      <w:pPr>
        <w:pStyle w:val="PlainText"/>
        <w:rPr>
          <w:color w:val="auto"/>
          <w:sz w:val="24"/>
          <w:szCs w:val="24"/>
        </w:rPr>
      </w:pPr>
      <w:r w:rsidRPr="00953F20">
        <w:rPr>
          <w:color w:val="auto"/>
          <w:sz w:val="24"/>
          <w:szCs w:val="24"/>
        </w:rPr>
        <w:t xml:space="preserve">Since </w:t>
      </w:r>
      <w:r>
        <w:rPr>
          <w:color w:val="auto"/>
          <w:sz w:val="24"/>
          <w:szCs w:val="24"/>
        </w:rPr>
        <w:t xml:space="preserve">both </w:t>
      </w:r>
      <w:r w:rsidRPr="00953F20">
        <w:rPr>
          <w:color w:val="auto"/>
          <w:sz w:val="24"/>
          <w:szCs w:val="24"/>
        </w:rPr>
        <w:t xml:space="preserve">the error report </w:t>
      </w:r>
      <w:r>
        <w:rPr>
          <w:color w:val="auto"/>
          <w:sz w:val="24"/>
          <w:szCs w:val="24"/>
        </w:rPr>
        <w:t xml:space="preserve">and the </w:t>
      </w:r>
      <w:r w:rsidR="00E44D13">
        <w:rPr>
          <w:color w:val="auto"/>
          <w:sz w:val="24"/>
          <w:szCs w:val="24"/>
        </w:rPr>
        <w:t>application process for increased applicable percentage</w:t>
      </w:r>
      <w:r>
        <w:rPr>
          <w:color w:val="auto"/>
          <w:sz w:val="24"/>
          <w:szCs w:val="24"/>
        </w:rPr>
        <w:t xml:space="preserve"> </w:t>
      </w:r>
      <w:r w:rsidRPr="00953F20">
        <w:rPr>
          <w:color w:val="auto"/>
          <w:sz w:val="24"/>
          <w:szCs w:val="24"/>
        </w:rPr>
        <w:t>contain very specific information</w:t>
      </w:r>
      <w:r>
        <w:rPr>
          <w:color w:val="auto"/>
          <w:sz w:val="24"/>
          <w:szCs w:val="24"/>
        </w:rPr>
        <w:t>,</w:t>
      </w:r>
      <w:r w:rsidRPr="00953F20">
        <w:rPr>
          <w:color w:val="auto"/>
          <w:sz w:val="24"/>
          <w:szCs w:val="24"/>
        </w:rPr>
        <w:t xml:space="preserve"> regarding the refund amount owed and the amount of discarded drug</w:t>
      </w:r>
      <w:r>
        <w:rPr>
          <w:color w:val="auto"/>
          <w:sz w:val="24"/>
          <w:szCs w:val="24"/>
        </w:rPr>
        <w:t xml:space="preserve"> for the error report, and regarding the FDA-approved label, drug properties, and/or minimum fill amount for the unique circumstance application</w:t>
      </w:r>
      <w:r w:rsidRPr="00953F20">
        <w:rPr>
          <w:color w:val="auto"/>
          <w:sz w:val="24"/>
          <w:szCs w:val="24"/>
        </w:rPr>
        <w:t>, there is very little opportunity for automation.  We anticipate a very small number of error reports (10 or less</w:t>
      </w:r>
      <w:r>
        <w:rPr>
          <w:color w:val="auto"/>
          <w:sz w:val="24"/>
          <w:szCs w:val="24"/>
        </w:rPr>
        <w:t xml:space="preserve"> per year</w:t>
      </w:r>
      <w:r w:rsidRPr="00953F20">
        <w:rPr>
          <w:color w:val="auto"/>
          <w:sz w:val="24"/>
          <w:szCs w:val="24"/>
        </w:rPr>
        <w:t>)</w:t>
      </w:r>
      <w:r>
        <w:rPr>
          <w:color w:val="auto"/>
          <w:sz w:val="24"/>
          <w:szCs w:val="24"/>
        </w:rPr>
        <w:t xml:space="preserve"> and </w:t>
      </w:r>
      <w:r w:rsidR="00E44D13">
        <w:rPr>
          <w:color w:val="auto"/>
          <w:sz w:val="24"/>
          <w:szCs w:val="24"/>
        </w:rPr>
        <w:t>increased applicable percentage</w:t>
      </w:r>
      <w:r>
        <w:rPr>
          <w:color w:val="auto"/>
          <w:sz w:val="24"/>
          <w:szCs w:val="24"/>
        </w:rPr>
        <w:t xml:space="preserve"> applications (30 or less per year</w:t>
      </w:r>
      <w:r>
        <w:rPr>
          <w:color w:val="auto"/>
          <w:sz w:val="24"/>
          <w:szCs w:val="24"/>
        </w:rPr>
        <w:t>)</w:t>
      </w:r>
      <w:r w:rsidRPr="00953F20">
        <w:rPr>
          <w:color w:val="auto"/>
          <w:sz w:val="24"/>
          <w:szCs w:val="24"/>
        </w:rPr>
        <w:t>,</w:t>
      </w:r>
      <w:r w:rsidRPr="00953F20">
        <w:rPr>
          <w:color w:val="auto"/>
          <w:sz w:val="24"/>
          <w:szCs w:val="24"/>
        </w:rPr>
        <w:t xml:space="preserve"> therefore, it would not be cost effective to develop </w:t>
      </w:r>
      <w:r>
        <w:rPr>
          <w:color w:val="auto"/>
          <w:sz w:val="24"/>
          <w:szCs w:val="24"/>
        </w:rPr>
        <w:t>novel</w:t>
      </w:r>
      <w:r w:rsidRPr="00953F20">
        <w:rPr>
          <w:color w:val="auto"/>
          <w:sz w:val="24"/>
          <w:szCs w:val="24"/>
        </w:rPr>
        <w:t xml:space="preserve"> collection system</w:t>
      </w:r>
      <w:r>
        <w:rPr>
          <w:color w:val="auto"/>
          <w:sz w:val="24"/>
          <w:szCs w:val="24"/>
        </w:rPr>
        <w:t>s</w:t>
      </w:r>
      <w:r w:rsidRPr="00953F20">
        <w:rPr>
          <w:color w:val="auto"/>
          <w:sz w:val="24"/>
          <w:szCs w:val="24"/>
        </w:rPr>
        <w:t xml:space="preserve">. </w:t>
      </w:r>
    </w:p>
    <w:p w:rsidR="008F1EB4" w:rsidRPr="00953F20" w:rsidP="00E77C0B" w14:paraId="51AFD18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8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4.</w:t>
      </w:r>
      <w:r w:rsidRPr="00953F20">
        <w:rPr>
          <w:sz w:val="24"/>
        </w:rPr>
        <w:tab/>
      </w:r>
      <w:r w:rsidRPr="00953F20">
        <w:rPr>
          <w:sz w:val="24"/>
          <w:u w:val="single"/>
        </w:rPr>
        <w:t>Duplication of Efforts</w:t>
      </w:r>
    </w:p>
    <w:p w:rsidR="008F1EB4" w:rsidRPr="00953F20" w:rsidP="00E77C0B" w14:paraId="51AFD18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7862B1" w14:paraId="51AFD18E" w14:textId="071C921A">
      <w:pPr>
        <w:pStyle w:val="PlainText"/>
        <w:rPr>
          <w:color w:val="auto"/>
          <w:sz w:val="24"/>
          <w:szCs w:val="24"/>
        </w:rPr>
      </w:pPr>
      <w:r w:rsidRPr="00953F20">
        <w:rPr>
          <w:color w:val="auto"/>
          <w:sz w:val="24"/>
          <w:szCs w:val="24"/>
        </w:rPr>
        <w:t>Th</w:t>
      </w:r>
      <w:r>
        <w:rPr>
          <w:color w:val="auto"/>
          <w:sz w:val="24"/>
          <w:szCs w:val="24"/>
        </w:rPr>
        <w:t>ese</w:t>
      </w:r>
      <w:r w:rsidRPr="00953F20">
        <w:rPr>
          <w:color w:val="auto"/>
          <w:sz w:val="24"/>
          <w:szCs w:val="24"/>
        </w:rPr>
        <w:t xml:space="preserve"> </w:t>
      </w:r>
      <w:r w:rsidRPr="00953F20" w:rsidR="000F1AD4">
        <w:rPr>
          <w:color w:val="auto"/>
          <w:sz w:val="24"/>
          <w:szCs w:val="24"/>
        </w:rPr>
        <w:t>information collection</w:t>
      </w:r>
      <w:r>
        <w:rPr>
          <w:color w:val="auto"/>
          <w:sz w:val="24"/>
          <w:szCs w:val="24"/>
        </w:rPr>
        <w:t>s</w:t>
      </w:r>
      <w:r w:rsidRPr="00953F20" w:rsidR="000F1AD4">
        <w:rPr>
          <w:color w:val="auto"/>
          <w:sz w:val="24"/>
          <w:szCs w:val="24"/>
        </w:rPr>
        <w:t xml:space="preserve"> do not duplicate any other effort and the information cannot be obtained from any other source.</w:t>
      </w:r>
    </w:p>
    <w:p w:rsidR="008F1EB4" w:rsidRPr="00953F20" w:rsidP="00E77C0B" w14:paraId="51AFD1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9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953F20">
        <w:rPr>
          <w:sz w:val="24"/>
        </w:rPr>
        <w:t>5.</w:t>
      </w:r>
      <w:r w:rsidRPr="00953F20">
        <w:rPr>
          <w:sz w:val="24"/>
        </w:rPr>
        <w:tab/>
      </w:r>
      <w:r w:rsidRPr="00953F20">
        <w:rPr>
          <w:sz w:val="24"/>
          <w:u w:val="single"/>
        </w:rPr>
        <w:t>Small Businesses</w:t>
      </w:r>
    </w:p>
    <w:p w:rsidR="00817CDA" w:rsidRPr="00953F20" w:rsidP="00E77C0B" w14:paraId="51AFD19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E77C0B" w14:paraId="51AFD192" w14:textId="77777777">
      <w:pPr>
        <w:pStyle w:val="PlainText"/>
        <w:rPr>
          <w:color w:val="auto"/>
          <w:sz w:val="24"/>
          <w:szCs w:val="24"/>
        </w:rPr>
      </w:pPr>
      <w:r w:rsidRPr="00953F20">
        <w:rPr>
          <w:color w:val="auto"/>
          <w:sz w:val="24"/>
          <w:szCs w:val="24"/>
        </w:rPr>
        <w:t xml:space="preserve">Manufacturers of drugs and biologicals are generally not considered small businesses.  Therefore, the collection of error reports does not impact small businesses. </w:t>
      </w:r>
    </w:p>
    <w:p w:rsidR="009046A6" w:rsidRPr="00953F20" w:rsidP="009046A6" w14:paraId="646CD52E" w14:textId="77777777">
      <w:pPr>
        <w:pStyle w:val="PlainText"/>
        <w:rPr>
          <w:color w:val="auto"/>
          <w:sz w:val="24"/>
          <w:szCs w:val="24"/>
        </w:rPr>
      </w:pPr>
    </w:p>
    <w:p w:rsidR="008F1EB4" w:rsidRPr="00953F20" w:rsidP="00E77C0B" w14:paraId="51AFD19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6.</w:t>
      </w:r>
      <w:r w:rsidRPr="00953F20">
        <w:rPr>
          <w:sz w:val="24"/>
        </w:rPr>
        <w:tab/>
      </w:r>
      <w:r w:rsidRPr="00953F20">
        <w:rPr>
          <w:sz w:val="24"/>
          <w:u w:val="single"/>
        </w:rPr>
        <w:t>Less Frequent Collection</w:t>
      </w:r>
    </w:p>
    <w:p w:rsidR="008F1EB4" w:rsidRPr="00953F20" w:rsidP="00E77C0B" w14:paraId="51AFD19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E77C0B" w14:paraId="51AFD195" w14:textId="48A26B5C">
      <w:pPr>
        <w:pStyle w:val="PlainText"/>
        <w:rPr>
          <w:color w:val="auto"/>
          <w:sz w:val="24"/>
          <w:szCs w:val="24"/>
        </w:rPr>
      </w:pPr>
      <w:r>
        <w:rPr>
          <w:color w:val="auto"/>
          <w:sz w:val="24"/>
          <w:szCs w:val="24"/>
        </w:rPr>
        <w:t xml:space="preserve">Error report: </w:t>
      </w:r>
      <w:r w:rsidRPr="00953F20" w:rsidR="000F1AD4">
        <w:rPr>
          <w:color w:val="auto"/>
          <w:sz w:val="24"/>
          <w:szCs w:val="24"/>
        </w:rPr>
        <w:t xml:space="preserve">We </w:t>
      </w:r>
      <w:r w:rsidR="00F220E2">
        <w:rPr>
          <w:color w:val="auto"/>
          <w:sz w:val="24"/>
          <w:szCs w:val="24"/>
        </w:rPr>
        <w:t>finalized in the CY 2023 PFS final rule</w:t>
      </w:r>
      <w:r w:rsidRPr="00953F20" w:rsidR="000F1AD4">
        <w:rPr>
          <w:color w:val="auto"/>
          <w:sz w:val="24"/>
          <w:szCs w:val="24"/>
        </w:rPr>
        <w:t xml:space="preserve"> that reports described in section 1847A(h) of the Act be sent from CMS to manufacturers of refundable single-dose container or single-use package drug </w:t>
      </w:r>
      <w:r w:rsidRPr="00953F20" w:rsidR="00C36AE4">
        <w:rPr>
          <w:color w:val="auto"/>
          <w:sz w:val="24"/>
          <w:szCs w:val="24"/>
        </w:rPr>
        <w:t xml:space="preserve">once annually.  Therefore, the submission of error reports from manufacturers to CMS is to be done once annually.  We would not be able to decrease the frequency of the collection of error reports to adequately address disputes in a timely manner.  </w:t>
      </w:r>
      <w:r w:rsidRPr="00953F20" w:rsidR="00C36AE4">
        <w:rPr>
          <w:color w:val="auto"/>
          <w:sz w:val="24"/>
          <w:szCs w:val="24"/>
        </w:rPr>
        <w:t xml:space="preserve">Less frequent error reports could have negative impacts on implementation such as delaying payment of refunds.  We considered a quarterly process for implementation of this </w:t>
      </w:r>
      <w:r w:rsidRPr="00953F20" w:rsidR="00C36AE4">
        <w:rPr>
          <w:color w:val="auto"/>
          <w:sz w:val="24"/>
          <w:szCs w:val="24"/>
        </w:rPr>
        <w:t>provision, but</w:t>
      </w:r>
      <w:r w:rsidRPr="00953F20" w:rsidR="00C36AE4">
        <w:rPr>
          <w:color w:val="auto"/>
          <w:sz w:val="24"/>
          <w:szCs w:val="24"/>
        </w:rPr>
        <w:t xml:space="preserve"> thought it less burdensome for CMS resources and for manufacturers to </w:t>
      </w:r>
      <w:r w:rsidR="00D9776C">
        <w:rPr>
          <w:color w:val="auto"/>
          <w:sz w:val="24"/>
          <w:szCs w:val="24"/>
        </w:rPr>
        <w:t>administer the process annually</w:t>
      </w:r>
      <w:r w:rsidRPr="00953F20" w:rsidR="00C36AE4">
        <w:rPr>
          <w:color w:val="auto"/>
          <w:sz w:val="24"/>
          <w:szCs w:val="24"/>
        </w:rPr>
        <w:t xml:space="preserve"> (including the collection of error reports). </w:t>
      </w:r>
    </w:p>
    <w:p w:rsidR="00424724" w:rsidP="00424724" w14:paraId="4724BFFB" w14:textId="77777777">
      <w:pPr>
        <w:pStyle w:val="PlainText"/>
        <w:rPr>
          <w:color w:val="auto"/>
          <w:sz w:val="24"/>
          <w:szCs w:val="24"/>
        </w:rPr>
      </w:pPr>
    </w:p>
    <w:p w:rsidR="007231E7" w:rsidRPr="00953F20" w:rsidP="007862B1" w14:paraId="2940B223" w14:textId="4050E2E0">
      <w:pPr>
        <w:pStyle w:val="PlainText"/>
        <w:rPr>
          <w:sz w:val="24"/>
          <w:szCs w:val="24"/>
        </w:rPr>
      </w:pPr>
      <w:r>
        <w:rPr>
          <w:color w:val="auto"/>
          <w:sz w:val="24"/>
          <w:szCs w:val="24"/>
        </w:rPr>
        <w:t>Application process for increased applicable percentage</w:t>
      </w:r>
      <w:r>
        <w:rPr>
          <w:color w:val="auto"/>
          <w:sz w:val="24"/>
          <w:szCs w:val="24"/>
        </w:rPr>
        <w:t xml:space="preserve">: In the CY 2024 </w:t>
      </w:r>
      <w:r w:rsidR="00813B69">
        <w:rPr>
          <w:color w:val="auto"/>
          <w:sz w:val="24"/>
          <w:szCs w:val="24"/>
        </w:rPr>
        <w:t>final rule</w:t>
      </w:r>
      <w:r>
        <w:rPr>
          <w:color w:val="auto"/>
          <w:sz w:val="24"/>
          <w:szCs w:val="24"/>
        </w:rPr>
        <w:t xml:space="preserve">, we </w:t>
      </w:r>
      <w:r w:rsidR="00813B69">
        <w:rPr>
          <w:color w:val="auto"/>
          <w:sz w:val="24"/>
          <w:szCs w:val="24"/>
        </w:rPr>
        <w:t xml:space="preserve">finalized </w:t>
      </w:r>
      <w:r>
        <w:rPr>
          <w:color w:val="auto"/>
          <w:sz w:val="24"/>
          <w:szCs w:val="24"/>
        </w:rPr>
        <w:t xml:space="preserve"> a process through which drug manufacturers will have the opportunity to submit a unique circumstance application once annually. Since we are implementing all aspects of section 1847A(h)</w:t>
      </w:r>
      <w:r>
        <w:rPr>
          <w:color w:val="auto"/>
          <w:sz w:val="24"/>
          <w:szCs w:val="24"/>
        </w:rPr>
        <w:t xml:space="preserve"> of the Act</w:t>
      </w:r>
      <w:r>
        <w:rPr>
          <w:color w:val="auto"/>
          <w:sz w:val="24"/>
          <w:szCs w:val="24"/>
        </w:rPr>
        <w:t xml:space="preserve"> through </w:t>
      </w:r>
      <w:r>
        <w:rPr>
          <w:color w:val="auto"/>
          <w:sz w:val="24"/>
          <w:szCs w:val="24"/>
        </w:rPr>
        <w:t xml:space="preserve">notice-and-comment </w:t>
      </w:r>
      <w:r>
        <w:rPr>
          <w:color w:val="auto"/>
          <w:sz w:val="24"/>
          <w:szCs w:val="24"/>
        </w:rPr>
        <w:t>rulemaking</w:t>
      </w:r>
      <w:r>
        <w:rPr>
          <w:color w:val="auto"/>
          <w:sz w:val="24"/>
          <w:szCs w:val="24"/>
        </w:rPr>
        <w:t xml:space="preserve"> (generally, on an annual basis through the PFS CY rule)</w:t>
      </w:r>
      <w:r>
        <w:rPr>
          <w:color w:val="auto"/>
          <w:sz w:val="24"/>
          <w:szCs w:val="24"/>
        </w:rPr>
        <w:t>, we cannot have a more frequent application process. As we anticipate new drugs subject to the discarded drug refund provision to be marketed each year, and that some manufacturers will make changes to their packaging to reduce liabilities under the provision, a process with application periods less frequent than once a year would pose a disadvantage to manufacturers.</w:t>
      </w:r>
    </w:p>
    <w:p w:rsidR="008F1EB4" w:rsidRPr="00953F20" w:rsidP="00E77C0B" w14:paraId="51AFD19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9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7.</w:t>
      </w:r>
      <w:r w:rsidRPr="00953F20">
        <w:rPr>
          <w:sz w:val="24"/>
        </w:rPr>
        <w:tab/>
      </w:r>
      <w:r w:rsidRPr="00953F20">
        <w:rPr>
          <w:sz w:val="24"/>
          <w:u w:val="single"/>
        </w:rPr>
        <w:t>Special Circumstances</w:t>
      </w:r>
    </w:p>
    <w:p w:rsidR="008F1EB4" w:rsidRPr="00953F20" w:rsidP="00E77C0B" w14:paraId="51AFD19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46689" w:rsidP="00E77C0B" w14:paraId="51AFD19A" w14:textId="7A1C8F8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Neither t</w:t>
      </w:r>
      <w:r w:rsidRPr="00953F20">
        <w:rPr>
          <w:sz w:val="24"/>
        </w:rPr>
        <w:t xml:space="preserve">he </w:t>
      </w:r>
      <w:r w:rsidR="006D3A1E">
        <w:rPr>
          <w:sz w:val="24"/>
        </w:rPr>
        <w:t xml:space="preserve">finalized </w:t>
      </w:r>
      <w:r w:rsidRPr="00953F20">
        <w:rPr>
          <w:sz w:val="24"/>
        </w:rPr>
        <w:t>collection of error reports</w:t>
      </w:r>
      <w:r>
        <w:rPr>
          <w:sz w:val="24"/>
        </w:rPr>
        <w:t xml:space="preserve"> nor </w:t>
      </w:r>
      <w:r w:rsidR="006D3A1E">
        <w:rPr>
          <w:sz w:val="24"/>
        </w:rPr>
        <w:t xml:space="preserve">the </w:t>
      </w:r>
      <w:r w:rsidR="00813B69">
        <w:rPr>
          <w:sz w:val="24"/>
        </w:rPr>
        <w:t>finalized</w:t>
      </w:r>
      <w:r w:rsidR="006D3A1E">
        <w:rPr>
          <w:sz w:val="24"/>
        </w:rPr>
        <w:t xml:space="preserve"> application process for increased applicable percentage</w:t>
      </w:r>
      <w:r w:rsidRPr="00953F20">
        <w:rPr>
          <w:sz w:val="24"/>
        </w:rPr>
        <w:t xml:space="preserve"> </w:t>
      </w:r>
      <w:r>
        <w:rPr>
          <w:sz w:val="24"/>
        </w:rPr>
        <w:t>has</w:t>
      </w:r>
      <w:r w:rsidRPr="00953F20">
        <w:rPr>
          <w:sz w:val="24"/>
        </w:rPr>
        <w:t xml:space="preserve"> any special circumstances. </w:t>
      </w:r>
    </w:p>
    <w:p w:rsidR="009046A6" w:rsidRPr="00953F20" w:rsidP="009046A6" w14:paraId="769E0268"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9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4C7907">
        <w:rPr>
          <w:sz w:val="24"/>
        </w:rPr>
        <w:t>8.</w:t>
      </w:r>
      <w:r w:rsidRPr="004C7907">
        <w:rPr>
          <w:sz w:val="24"/>
        </w:rPr>
        <w:tab/>
      </w:r>
      <w:r w:rsidRPr="004C7907">
        <w:rPr>
          <w:sz w:val="24"/>
          <w:u w:val="single"/>
        </w:rPr>
        <w:t>Federal Register/Outside Consultation</w:t>
      </w:r>
    </w:p>
    <w:p w:rsidR="009B2D12" w:rsidRPr="00953F20" w:rsidP="007862B1" w14:paraId="51AFD19C" w14:textId="77777777">
      <w:pPr>
        <w:pStyle w:val="P1-StandParaCharCharChar"/>
        <w:spacing w:line="240" w:lineRule="auto"/>
        <w:ind w:firstLine="0"/>
        <w:jc w:val="left"/>
        <w:rPr>
          <w:sz w:val="24"/>
          <w:szCs w:val="24"/>
        </w:rPr>
      </w:pPr>
    </w:p>
    <w:p w:rsidR="00605872" w:rsidP="00605872" w14:paraId="47C4F36B" w14:textId="34BC0EC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Serving as the </w:t>
      </w:r>
      <w:r w:rsidR="007231E7">
        <w:rPr>
          <w:sz w:val="24"/>
        </w:rPr>
        <w:t>60-day notice</w:t>
      </w:r>
      <w:r>
        <w:rPr>
          <w:sz w:val="24"/>
        </w:rPr>
        <w:t xml:space="preserve">, the </w:t>
      </w:r>
      <w:r w:rsidR="007231E7">
        <w:rPr>
          <w:sz w:val="24"/>
        </w:rPr>
        <w:t xml:space="preserve">proposed rule </w:t>
      </w:r>
      <w:r>
        <w:rPr>
          <w:sz w:val="24"/>
        </w:rPr>
        <w:t>(</w:t>
      </w:r>
      <w:r w:rsidRPr="00A4720D">
        <w:rPr>
          <w:sz w:val="24"/>
        </w:rPr>
        <w:t>CMS-1784-P</w:t>
      </w:r>
      <w:r>
        <w:rPr>
          <w:sz w:val="24"/>
        </w:rPr>
        <w:t>; R</w:t>
      </w:r>
      <w:r w:rsidRPr="00A4720D">
        <w:rPr>
          <w:sz w:val="24"/>
        </w:rPr>
        <w:t>IN 0938-AV07</w:t>
      </w:r>
      <w:r>
        <w:rPr>
          <w:sz w:val="24"/>
        </w:rPr>
        <w:t xml:space="preserve">) published in the Federal Register on </w:t>
      </w:r>
      <w:r w:rsidRPr="00A4720D">
        <w:rPr>
          <w:sz w:val="24"/>
        </w:rPr>
        <w:t>August 7, 2023</w:t>
      </w:r>
      <w:r>
        <w:rPr>
          <w:sz w:val="24"/>
        </w:rPr>
        <w:t xml:space="preserve"> (88 FR </w:t>
      </w:r>
      <w:r w:rsidRPr="00A4720D">
        <w:rPr>
          <w:sz w:val="24"/>
        </w:rPr>
        <w:t>52262</w:t>
      </w:r>
      <w:r>
        <w:rPr>
          <w:sz w:val="24"/>
        </w:rPr>
        <w:t>)</w:t>
      </w:r>
      <w:r w:rsidRPr="00A4720D">
        <w:rPr>
          <w:sz w:val="24"/>
        </w:rPr>
        <w:t>.</w:t>
      </w:r>
      <w:r>
        <w:rPr>
          <w:sz w:val="24"/>
        </w:rPr>
        <w:t xml:space="preserve"> While the rule’s collection of information request was posted on our website for public review, it was no</w:t>
      </w:r>
      <w:r w:rsidR="007D3684">
        <w:rPr>
          <w:sz w:val="24"/>
        </w:rPr>
        <w:t>t</w:t>
      </w:r>
      <w:r>
        <w:rPr>
          <w:sz w:val="24"/>
        </w:rPr>
        <w:t xml:space="preserve"> submitted to OMB. We are addressing that oversight by submitting the proposed collection of information request </w:t>
      </w:r>
      <w:r w:rsidR="007D3684">
        <w:rPr>
          <w:sz w:val="24"/>
        </w:rPr>
        <w:t>i</w:t>
      </w:r>
      <w:r>
        <w:rPr>
          <w:sz w:val="24"/>
        </w:rPr>
        <w:t xml:space="preserve">n May 2024. </w:t>
      </w:r>
      <w:r w:rsidR="0021380A">
        <w:rPr>
          <w:sz w:val="24"/>
        </w:rPr>
        <w:t xml:space="preserve"> We did not receive any comments pertaining to this collection of information request.</w:t>
      </w:r>
    </w:p>
    <w:p w:rsidR="00CD1731" w:rsidP="00605872" w14:paraId="26C6467E"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D1731" w:rsidP="00605872" w14:paraId="3B35EC79" w14:textId="7182258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w:t>
      </w:r>
      <w:r>
        <w:rPr>
          <w:sz w:val="24"/>
        </w:rPr>
        <w:t xml:space="preserve">he </w:t>
      </w:r>
      <w:r>
        <w:rPr>
          <w:sz w:val="24"/>
        </w:rPr>
        <w:t xml:space="preserve">final </w:t>
      </w:r>
      <w:r>
        <w:rPr>
          <w:sz w:val="24"/>
        </w:rPr>
        <w:t>rule (</w:t>
      </w:r>
      <w:r w:rsidRPr="00A4720D">
        <w:rPr>
          <w:sz w:val="24"/>
        </w:rPr>
        <w:t>CMS-1784-</w:t>
      </w:r>
      <w:r>
        <w:rPr>
          <w:sz w:val="24"/>
        </w:rPr>
        <w:t>F</w:t>
      </w:r>
      <w:r>
        <w:rPr>
          <w:sz w:val="24"/>
        </w:rPr>
        <w:t>; R</w:t>
      </w:r>
      <w:r w:rsidRPr="00A4720D">
        <w:rPr>
          <w:sz w:val="24"/>
        </w:rPr>
        <w:t>IN 0938-AV07</w:t>
      </w:r>
      <w:r>
        <w:rPr>
          <w:sz w:val="24"/>
        </w:rPr>
        <w:t xml:space="preserve">) published in the Federal Register on </w:t>
      </w:r>
      <w:r>
        <w:rPr>
          <w:sz w:val="24"/>
        </w:rPr>
        <w:t>November 16</w:t>
      </w:r>
      <w:r w:rsidRPr="00A4720D">
        <w:rPr>
          <w:sz w:val="24"/>
        </w:rPr>
        <w:t>, 2023</w:t>
      </w:r>
      <w:r>
        <w:rPr>
          <w:sz w:val="24"/>
        </w:rPr>
        <w:t xml:space="preserve"> (88 FR </w:t>
      </w:r>
      <w:r>
        <w:rPr>
          <w:sz w:val="24"/>
        </w:rPr>
        <w:t>7881</w:t>
      </w:r>
      <w:r w:rsidR="008D30D3">
        <w:rPr>
          <w:sz w:val="24"/>
        </w:rPr>
        <w:t>8</w:t>
      </w:r>
      <w:r>
        <w:rPr>
          <w:sz w:val="24"/>
        </w:rPr>
        <w:t>)</w:t>
      </w:r>
      <w:r w:rsidRPr="00A4720D">
        <w:rPr>
          <w:sz w:val="24"/>
        </w:rPr>
        <w:t>.</w:t>
      </w:r>
    </w:p>
    <w:p w:rsidR="00A4720D" w:rsidRPr="00953F20" w:rsidP="009046A6" w14:paraId="2B0899F7"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9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9.</w:t>
      </w:r>
      <w:r w:rsidRPr="00953F20">
        <w:rPr>
          <w:sz w:val="24"/>
        </w:rPr>
        <w:tab/>
      </w:r>
      <w:r w:rsidRPr="00953F20">
        <w:rPr>
          <w:sz w:val="24"/>
          <w:u w:val="single"/>
        </w:rPr>
        <w:t>Payments/Gifts to Respondents</w:t>
      </w:r>
    </w:p>
    <w:p w:rsidR="008F1EB4" w:rsidRPr="00953F20" w:rsidP="00E77C0B" w14:paraId="51AFD1A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84822" w:rsidP="00E77C0B" w14:paraId="51AFD1A1" w14:textId="17A7677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Respondents will not receive any payments or gifts as a condition of complying with this information collection request.</w:t>
      </w:r>
      <w:r w:rsidRPr="00953F20" w:rsidR="00105767">
        <w:rPr>
          <w:sz w:val="24"/>
        </w:rPr>
        <w:t xml:space="preserve">  Although the respondents will not receive payments or gifts, </w:t>
      </w:r>
      <w:r w:rsidRPr="00953F20" w:rsidR="00105767">
        <w:rPr>
          <w:sz w:val="24"/>
        </w:rPr>
        <w:t>the end result</w:t>
      </w:r>
      <w:r w:rsidRPr="00953F20" w:rsidR="00105767">
        <w:rPr>
          <w:sz w:val="24"/>
        </w:rPr>
        <w:t xml:space="preserve"> of the dispute </w:t>
      </w:r>
      <w:r w:rsidR="007231E7">
        <w:rPr>
          <w:sz w:val="24"/>
        </w:rPr>
        <w:t xml:space="preserve">or application for an increased applicable percentage </w:t>
      </w:r>
      <w:r w:rsidRPr="00953F20" w:rsidR="00105767">
        <w:rPr>
          <w:sz w:val="24"/>
        </w:rPr>
        <w:t xml:space="preserve">may result in a change to the refund amount owed by the respondent. </w:t>
      </w:r>
    </w:p>
    <w:p w:rsidR="009046A6" w:rsidRPr="00953F20" w:rsidP="009046A6" w14:paraId="0EC69907"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A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10.</w:t>
      </w:r>
      <w:r w:rsidRPr="00953F20">
        <w:rPr>
          <w:sz w:val="24"/>
        </w:rPr>
        <w:tab/>
      </w:r>
      <w:r w:rsidRPr="00953F20">
        <w:rPr>
          <w:sz w:val="24"/>
          <w:u w:val="single"/>
        </w:rPr>
        <w:t>Confidentiality</w:t>
      </w:r>
    </w:p>
    <w:p w:rsidR="000F3AF4" w:rsidRPr="00953F20" w:rsidP="00E77C0B" w14:paraId="51AFD1A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E77C0B" w14:paraId="51AFD1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 xml:space="preserve">We are not providing any assurance of confidentiality to the respondents. </w:t>
      </w:r>
    </w:p>
    <w:p w:rsidR="009046A6" w:rsidRPr="00953F20" w:rsidP="009046A6" w14:paraId="6C44B05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A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11.</w:t>
      </w:r>
      <w:r w:rsidRPr="00953F20">
        <w:rPr>
          <w:sz w:val="24"/>
        </w:rPr>
        <w:tab/>
      </w:r>
      <w:r w:rsidRPr="00953F20">
        <w:rPr>
          <w:sz w:val="24"/>
          <w:u w:val="single"/>
        </w:rPr>
        <w:t>Sensitive Questions</w:t>
      </w:r>
    </w:p>
    <w:p w:rsidR="008F1EB4" w:rsidRPr="00953F20" w:rsidP="00E77C0B" w14:paraId="51AFD1A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E77C0B" w14:paraId="51AFD1A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There is no collection of information that is of a sensitive nature.</w:t>
      </w:r>
    </w:p>
    <w:p w:rsidR="009046A6" w:rsidRPr="00953F20" w:rsidP="009046A6" w14:paraId="7D06F59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BC4857" w:rsidP="00E77C0B" w14:paraId="51AFD1A8" w14:textId="290A58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953F20">
        <w:rPr>
          <w:sz w:val="24"/>
        </w:rPr>
        <w:t>12.</w:t>
      </w:r>
      <w:r w:rsidRPr="00953F20">
        <w:rPr>
          <w:sz w:val="24"/>
        </w:rPr>
        <w:tab/>
      </w:r>
      <w:r w:rsidRPr="00BC4857" w:rsidR="00BC4857">
        <w:rPr>
          <w:sz w:val="24"/>
          <w:u w:val="single"/>
        </w:rPr>
        <w:t xml:space="preserve">Collection of Information Requirements and Associated </w:t>
      </w:r>
      <w:r w:rsidRPr="00BC4857">
        <w:rPr>
          <w:sz w:val="24"/>
          <w:u w:val="single"/>
        </w:rPr>
        <w:t>Burden Estimates</w:t>
      </w:r>
    </w:p>
    <w:p w:rsidR="008F1EB4" w:rsidP="00E77C0B" w14:paraId="51AFD1A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C4857" w:rsidRPr="00BC4857" w:rsidP="00E77C0B" w14:paraId="7F4B6011" w14:textId="7B83142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4"/>
        </w:rPr>
      </w:pPr>
      <w:r w:rsidRPr="00BC4857">
        <w:rPr>
          <w:i/>
          <w:iCs/>
          <w:sz w:val="24"/>
        </w:rPr>
        <w:t>Wage Estimates</w:t>
      </w:r>
    </w:p>
    <w:p w:rsidR="00BC4857" w:rsidP="00E77C0B" w14:paraId="1EEE623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93D1F" w:rsidRPr="000635C9" w:rsidP="00093D1F" w14:paraId="307FDB15" w14:textId="4A764AFA">
      <w:pPr>
        <w:pStyle w:val="BodyText"/>
        <w:spacing w:line="242" w:lineRule="auto"/>
      </w:pPr>
      <w:r w:rsidRPr="000635C9">
        <w:t xml:space="preserve">To </w:t>
      </w:r>
      <w:r w:rsidRPr="000635C9">
        <w:rPr>
          <w:spacing w:val="-5"/>
        </w:rPr>
        <w:t>develop our cost estimates</w:t>
      </w:r>
      <w:r w:rsidRPr="000635C9">
        <w:t xml:space="preserve">, we used data from </w:t>
      </w:r>
      <w:r w:rsidRPr="000635C9">
        <w:rPr>
          <w:spacing w:val="-4"/>
        </w:rPr>
        <w:t xml:space="preserve">the </w:t>
      </w:r>
      <w:r w:rsidRPr="000635C9">
        <w:t xml:space="preserve">U.S. Bureau </w:t>
      </w:r>
      <w:r w:rsidRPr="000635C9">
        <w:rPr>
          <w:spacing w:val="-4"/>
        </w:rPr>
        <w:t xml:space="preserve">of </w:t>
      </w:r>
      <w:r w:rsidRPr="000635C9">
        <w:rPr>
          <w:spacing w:val="-3"/>
        </w:rPr>
        <w:t xml:space="preserve">Labor </w:t>
      </w:r>
      <w:r w:rsidRPr="000635C9">
        <w:rPr>
          <w:spacing w:val="-4"/>
        </w:rPr>
        <w:t xml:space="preserve">Statistics’ </w:t>
      </w:r>
      <w:r w:rsidRPr="000635C9">
        <w:t>May 2023</w:t>
      </w:r>
      <w:r w:rsidRPr="000635C9">
        <w:rPr>
          <w:spacing w:val="-6"/>
        </w:rPr>
        <w:t xml:space="preserve"> </w:t>
      </w:r>
      <w:r w:rsidRPr="000635C9">
        <w:rPr>
          <w:spacing w:val="-4"/>
        </w:rPr>
        <w:t xml:space="preserve">National </w:t>
      </w:r>
      <w:r w:rsidRPr="000635C9">
        <w:rPr>
          <w:spacing w:val="-5"/>
        </w:rPr>
        <w:t xml:space="preserve">Industry-Specific </w:t>
      </w:r>
      <w:r w:rsidRPr="000635C9">
        <w:rPr>
          <w:spacing w:val="-3"/>
        </w:rPr>
        <w:t xml:space="preserve">Occupational </w:t>
      </w:r>
      <w:r w:rsidRPr="000635C9">
        <w:rPr>
          <w:spacing w:val="-8"/>
        </w:rPr>
        <w:t xml:space="preserve">Employment </w:t>
      </w:r>
      <w:r w:rsidRPr="000635C9">
        <w:t xml:space="preserve">and Wage </w:t>
      </w:r>
      <w:r w:rsidRPr="000635C9">
        <w:rPr>
          <w:spacing w:val="-3"/>
        </w:rPr>
        <w:t>Estimates</w:t>
      </w:r>
      <w:bookmarkStart w:id="2" w:name="https://www.bls.gov/oes/current/naics5_5"/>
      <w:bookmarkEnd w:id="2"/>
      <w:r w:rsidRPr="000635C9">
        <w:rPr>
          <w:spacing w:val="-3"/>
        </w:rPr>
        <w:t xml:space="preserve"> (</w:t>
      </w:r>
      <w:hyperlink r:id="rId8" w:history="1">
        <w:r w:rsidRPr="004418FA" w:rsidR="00D749C7">
          <w:rPr>
            <w:rStyle w:val="Hyperlink"/>
            <w:spacing w:val="-3"/>
          </w:rPr>
          <w:t>https://www.bls.gov/oes/2023/may/oes_dc.htm</w:t>
        </w:r>
      </w:hyperlink>
      <w:r w:rsidRPr="000635C9">
        <w:rPr>
          <w:spacing w:val="-3"/>
        </w:rPr>
        <w:t>)</w:t>
      </w:r>
      <w:r w:rsidRPr="000635C9">
        <w:t xml:space="preserve">. In </w:t>
      </w:r>
      <w:r w:rsidRPr="000635C9">
        <w:rPr>
          <w:spacing w:val="-8"/>
        </w:rPr>
        <w:t xml:space="preserve">this </w:t>
      </w:r>
      <w:r w:rsidRPr="000635C9">
        <w:t xml:space="preserve">regard, </w:t>
      </w:r>
      <w:r w:rsidRPr="000635C9">
        <w:rPr>
          <w:spacing w:val="-4"/>
        </w:rPr>
        <w:t xml:space="preserve">the </w:t>
      </w:r>
      <w:r w:rsidRPr="000635C9">
        <w:rPr>
          <w:spacing w:val="-10"/>
        </w:rPr>
        <w:t xml:space="preserve">following </w:t>
      </w:r>
      <w:r w:rsidRPr="000635C9">
        <w:rPr>
          <w:spacing w:val="-5"/>
        </w:rPr>
        <w:t xml:space="preserve">table </w:t>
      </w:r>
      <w:r w:rsidRPr="000635C9">
        <w:t xml:space="preserve">presents BLS’ </w:t>
      </w:r>
      <w:r w:rsidRPr="000635C9">
        <w:rPr>
          <w:spacing w:val="-5"/>
        </w:rPr>
        <w:t xml:space="preserve">mean </w:t>
      </w:r>
      <w:r w:rsidRPr="000635C9">
        <w:rPr>
          <w:spacing w:val="-8"/>
        </w:rPr>
        <w:t xml:space="preserve">hourly </w:t>
      </w:r>
      <w:r w:rsidRPr="000635C9">
        <w:t xml:space="preserve">wage, our estimated cost </w:t>
      </w:r>
      <w:r w:rsidRPr="000635C9">
        <w:rPr>
          <w:spacing w:val="-4"/>
        </w:rPr>
        <w:t xml:space="preserve">of </w:t>
      </w:r>
      <w:r w:rsidRPr="000635C9">
        <w:rPr>
          <w:spacing w:val="-6"/>
        </w:rPr>
        <w:t xml:space="preserve">fringe </w:t>
      </w:r>
      <w:r w:rsidRPr="000635C9">
        <w:rPr>
          <w:spacing w:val="-4"/>
        </w:rPr>
        <w:t>benefits and other indirect costs</w:t>
      </w:r>
      <w:r w:rsidRPr="000635C9">
        <w:t xml:space="preserve">, and our </w:t>
      </w:r>
      <w:r w:rsidRPr="000635C9">
        <w:rPr>
          <w:spacing w:val="-4"/>
        </w:rPr>
        <w:t xml:space="preserve">adjusted </w:t>
      </w:r>
      <w:r w:rsidRPr="000635C9">
        <w:rPr>
          <w:spacing w:val="-8"/>
        </w:rPr>
        <w:t xml:space="preserve">hourly </w:t>
      </w:r>
      <w:r w:rsidRPr="000635C9">
        <w:t>wage.</w:t>
      </w:r>
    </w:p>
    <w:p w:rsidR="00093D1F" w:rsidRPr="000635C9" w:rsidP="00093D1F" w14:paraId="34047BF6" w14:textId="77777777">
      <w:pPr>
        <w:pStyle w:val="BodyText"/>
        <w:spacing w:before="5"/>
      </w:pPr>
    </w:p>
    <w:tbl>
      <w:tblPr>
        <w:tblW w:w="9504" w:type="dxa"/>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04"/>
        <w:gridCol w:w="1585"/>
        <w:gridCol w:w="2070"/>
        <w:gridCol w:w="2070"/>
        <w:gridCol w:w="1875"/>
      </w:tblGrid>
      <w:tr w14:paraId="57590BD0" w14:textId="77777777" w:rsidTr="00525A42">
        <w:tblPrEx>
          <w:tblW w:w="9504" w:type="dxa"/>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cantSplit/>
          <w:trHeight w:hRule="exact" w:val="1152"/>
          <w:tblHeader/>
        </w:trPr>
        <w:tc>
          <w:tcPr>
            <w:tcW w:w="1904" w:type="dxa"/>
          </w:tcPr>
          <w:p w:rsidR="00093D1F" w:rsidRPr="000635C9" w:rsidP="00525A42" w14:paraId="2B146336" w14:textId="77777777">
            <w:pPr>
              <w:pStyle w:val="TableParagraph"/>
              <w:spacing w:line="221" w:lineRule="exact"/>
              <w:ind w:left="111"/>
              <w:jc w:val="center"/>
              <w:rPr>
                <w:sz w:val="18"/>
                <w:szCs w:val="18"/>
              </w:rPr>
            </w:pPr>
            <w:r w:rsidRPr="000635C9">
              <w:rPr>
                <w:sz w:val="18"/>
                <w:szCs w:val="18"/>
              </w:rPr>
              <w:t>Occupation Title</w:t>
            </w:r>
          </w:p>
        </w:tc>
        <w:tc>
          <w:tcPr>
            <w:tcW w:w="1585" w:type="dxa"/>
          </w:tcPr>
          <w:p w:rsidR="00093D1F" w:rsidRPr="000635C9" w:rsidP="00525A42" w14:paraId="482ED619" w14:textId="77777777">
            <w:pPr>
              <w:pStyle w:val="TableParagraph"/>
              <w:spacing w:line="221" w:lineRule="exact"/>
              <w:ind w:left="111"/>
              <w:jc w:val="center"/>
              <w:rPr>
                <w:sz w:val="18"/>
                <w:szCs w:val="18"/>
              </w:rPr>
            </w:pPr>
            <w:r w:rsidRPr="000635C9">
              <w:rPr>
                <w:sz w:val="18"/>
                <w:szCs w:val="18"/>
              </w:rPr>
              <w:t>Occupation Code</w:t>
            </w:r>
          </w:p>
        </w:tc>
        <w:tc>
          <w:tcPr>
            <w:tcW w:w="2070" w:type="dxa"/>
          </w:tcPr>
          <w:p w:rsidR="00093D1F" w:rsidRPr="000635C9" w:rsidP="00525A42" w14:paraId="47D861DC" w14:textId="77777777">
            <w:pPr>
              <w:pStyle w:val="TableParagraph"/>
              <w:spacing w:line="221" w:lineRule="exact"/>
              <w:ind w:left="112"/>
              <w:jc w:val="center"/>
              <w:rPr>
                <w:sz w:val="18"/>
                <w:szCs w:val="18"/>
              </w:rPr>
            </w:pPr>
            <w:r w:rsidRPr="000635C9">
              <w:rPr>
                <w:sz w:val="18"/>
                <w:szCs w:val="18"/>
              </w:rPr>
              <w:t>Mean Hourly Wage ($/hr)</w:t>
            </w:r>
          </w:p>
        </w:tc>
        <w:tc>
          <w:tcPr>
            <w:tcW w:w="2070" w:type="dxa"/>
          </w:tcPr>
          <w:p w:rsidR="00093D1F" w:rsidRPr="000635C9" w:rsidP="00525A42" w14:paraId="532F1A86" w14:textId="77777777">
            <w:pPr>
              <w:pStyle w:val="TableParagraph"/>
              <w:spacing w:line="226" w:lineRule="exact"/>
              <w:ind w:left="95"/>
              <w:jc w:val="center"/>
              <w:rPr>
                <w:sz w:val="18"/>
                <w:szCs w:val="18"/>
              </w:rPr>
            </w:pPr>
            <w:r w:rsidRPr="000635C9">
              <w:rPr>
                <w:sz w:val="18"/>
                <w:szCs w:val="18"/>
              </w:rPr>
              <w:t>Fringe Benefits and Other Indirect Costs ($/hr)</w:t>
            </w:r>
          </w:p>
        </w:tc>
        <w:tc>
          <w:tcPr>
            <w:tcW w:w="1875" w:type="dxa"/>
          </w:tcPr>
          <w:p w:rsidR="00093D1F" w:rsidRPr="000635C9" w:rsidP="00525A42" w14:paraId="51196C35" w14:textId="77777777">
            <w:pPr>
              <w:pStyle w:val="TableParagraph"/>
              <w:spacing w:line="226" w:lineRule="exact"/>
              <w:ind w:left="112"/>
              <w:jc w:val="center"/>
              <w:rPr>
                <w:sz w:val="18"/>
                <w:szCs w:val="18"/>
              </w:rPr>
            </w:pPr>
            <w:r w:rsidRPr="000635C9">
              <w:rPr>
                <w:sz w:val="18"/>
                <w:szCs w:val="18"/>
              </w:rPr>
              <w:t xml:space="preserve">Adjusted Hourly </w:t>
            </w:r>
            <w:r w:rsidRPr="000635C9">
              <w:rPr>
                <w:w w:val="105"/>
                <w:sz w:val="18"/>
                <w:szCs w:val="18"/>
              </w:rPr>
              <w:t xml:space="preserve">Wage </w:t>
            </w:r>
            <w:r w:rsidRPr="000635C9">
              <w:rPr>
                <w:sz w:val="18"/>
                <w:szCs w:val="18"/>
              </w:rPr>
              <w:t>($/hr)</w:t>
            </w:r>
          </w:p>
        </w:tc>
      </w:tr>
      <w:tr w14:paraId="22DB8352" w14:textId="77777777" w:rsidTr="00525A42">
        <w:tblPrEx>
          <w:tblW w:w="9504" w:type="dxa"/>
          <w:tblInd w:w="103" w:type="dxa"/>
          <w:tblLayout w:type="fixed"/>
          <w:tblCellMar>
            <w:left w:w="0" w:type="dxa"/>
            <w:right w:w="0" w:type="dxa"/>
          </w:tblCellMar>
          <w:tblLook w:val="01E0"/>
        </w:tblPrEx>
        <w:trPr>
          <w:cantSplit/>
          <w:trHeight w:hRule="exact" w:val="1152"/>
          <w:tblHeader/>
        </w:trPr>
        <w:tc>
          <w:tcPr>
            <w:tcW w:w="1904" w:type="dxa"/>
          </w:tcPr>
          <w:p w:rsidR="00093D1F" w:rsidRPr="000635C9" w:rsidP="00525A42" w14:paraId="0E270D3F" w14:textId="03D477C1">
            <w:pPr>
              <w:pStyle w:val="TableParagraph"/>
              <w:spacing w:line="221" w:lineRule="exact"/>
              <w:ind w:left="111"/>
              <w:rPr>
                <w:sz w:val="18"/>
                <w:szCs w:val="18"/>
              </w:rPr>
            </w:pPr>
            <w:r w:rsidRPr="00850153">
              <w:rPr>
                <w:sz w:val="18"/>
                <w:szCs w:val="18"/>
              </w:rPr>
              <w:t>Secretaries and Administrative Assistants</w:t>
            </w:r>
          </w:p>
        </w:tc>
        <w:tc>
          <w:tcPr>
            <w:tcW w:w="1585" w:type="dxa"/>
          </w:tcPr>
          <w:p w:rsidR="00093D1F" w:rsidRPr="000635C9" w:rsidP="00525A42" w14:paraId="0B33E5D5" w14:textId="0C138A85">
            <w:pPr>
              <w:pStyle w:val="TableParagraph"/>
              <w:spacing w:line="221" w:lineRule="exact"/>
              <w:ind w:left="111"/>
              <w:jc w:val="center"/>
              <w:rPr>
                <w:sz w:val="18"/>
                <w:szCs w:val="18"/>
              </w:rPr>
            </w:pPr>
            <w:r w:rsidRPr="00093D1F">
              <w:rPr>
                <w:sz w:val="18"/>
                <w:szCs w:val="18"/>
              </w:rPr>
              <w:t>43-6014</w:t>
            </w:r>
          </w:p>
        </w:tc>
        <w:tc>
          <w:tcPr>
            <w:tcW w:w="2070" w:type="dxa"/>
          </w:tcPr>
          <w:p w:rsidR="00093D1F" w:rsidRPr="000635C9" w:rsidP="00525A42" w14:paraId="6104DBD7" w14:textId="78BC89F0">
            <w:pPr>
              <w:pStyle w:val="TableParagraph"/>
              <w:spacing w:line="221" w:lineRule="exact"/>
              <w:ind w:left="112"/>
              <w:jc w:val="center"/>
              <w:rPr>
                <w:sz w:val="18"/>
                <w:szCs w:val="18"/>
              </w:rPr>
            </w:pPr>
            <w:r w:rsidRPr="000635C9">
              <w:rPr>
                <w:sz w:val="18"/>
                <w:szCs w:val="18"/>
              </w:rPr>
              <w:t>2</w:t>
            </w:r>
            <w:r w:rsidR="00850153">
              <w:rPr>
                <w:sz w:val="18"/>
                <w:szCs w:val="18"/>
              </w:rPr>
              <w:t>7.88</w:t>
            </w:r>
          </w:p>
        </w:tc>
        <w:tc>
          <w:tcPr>
            <w:tcW w:w="2070" w:type="dxa"/>
          </w:tcPr>
          <w:p w:rsidR="00093D1F" w:rsidRPr="000635C9" w:rsidP="00525A42" w14:paraId="1272C18B" w14:textId="53EDF781">
            <w:pPr>
              <w:pStyle w:val="TableParagraph"/>
              <w:spacing w:line="226" w:lineRule="exact"/>
              <w:ind w:left="95"/>
              <w:jc w:val="center"/>
              <w:rPr>
                <w:sz w:val="18"/>
                <w:szCs w:val="18"/>
              </w:rPr>
            </w:pPr>
            <w:r>
              <w:rPr>
                <w:sz w:val="18"/>
                <w:szCs w:val="18"/>
              </w:rPr>
              <w:t>27.88</w:t>
            </w:r>
          </w:p>
        </w:tc>
        <w:tc>
          <w:tcPr>
            <w:tcW w:w="1875" w:type="dxa"/>
          </w:tcPr>
          <w:p w:rsidR="00093D1F" w:rsidRPr="000635C9" w:rsidP="00525A42" w14:paraId="57779D54" w14:textId="5DD6A69D">
            <w:pPr>
              <w:pStyle w:val="TableParagraph"/>
              <w:spacing w:line="226" w:lineRule="exact"/>
              <w:ind w:left="112"/>
              <w:jc w:val="center"/>
              <w:rPr>
                <w:sz w:val="18"/>
                <w:szCs w:val="18"/>
              </w:rPr>
            </w:pPr>
            <w:r w:rsidRPr="00850153">
              <w:rPr>
                <w:sz w:val="18"/>
                <w:szCs w:val="18"/>
              </w:rPr>
              <w:t>55.76</w:t>
            </w:r>
            <w:r w:rsidRPr="00850153">
              <w:rPr>
                <w:sz w:val="18"/>
                <w:szCs w:val="18"/>
              </w:rPr>
              <w:t>‬</w:t>
            </w:r>
          </w:p>
        </w:tc>
      </w:tr>
    </w:tbl>
    <w:p w:rsidR="00093D1F" w:rsidRPr="000635C9" w:rsidP="00093D1F" w14:paraId="3810214C" w14:textId="77777777">
      <w:pPr>
        <w:spacing w:line="203" w:lineRule="exact"/>
        <w:rPr>
          <w:sz w:val="24"/>
        </w:rPr>
      </w:pPr>
    </w:p>
    <w:p w:rsidR="00093D1F" w:rsidRPr="000635C9" w:rsidP="00093D1F" w14:paraId="5DDA241E" w14:textId="34E9D209">
      <w:pPr>
        <w:pStyle w:val="BodyText"/>
      </w:pPr>
      <w:r w:rsidRPr="000635C9">
        <w:t>We are adjusting our employee hourly wage estimates by a factor of nearly 100 percent. This is necessarily a 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w:t>
      </w:r>
    </w:p>
    <w:p w:rsidR="009046A6" w:rsidP="009046A6" w14:paraId="5E848EF6" w14:textId="77777777">
      <w:pPr>
        <w:pStyle w:val="PlainText"/>
        <w:rPr>
          <w:color w:val="auto"/>
          <w:sz w:val="24"/>
          <w:szCs w:val="24"/>
        </w:rPr>
      </w:pPr>
    </w:p>
    <w:p w:rsidR="00BC4857" w:rsidRPr="00BC4857" w:rsidP="00BC4857" w14:paraId="32E76BE9" w14:textId="328CE58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4"/>
        </w:rPr>
      </w:pPr>
      <w:r w:rsidRPr="00BC4857">
        <w:rPr>
          <w:i/>
          <w:iCs/>
          <w:sz w:val="24"/>
        </w:rPr>
        <w:t>Requirements and Associated Burden Estimates</w:t>
      </w:r>
    </w:p>
    <w:p w:rsidR="00BC4857" w:rsidP="009046A6" w14:paraId="7B2DE25A" w14:textId="77777777">
      <w:pPr>
        <w:pStyle w:val="PlainText"/>
        <w:rPr>
          <w:color w:val="auto"/>
          <w:sz w:val="24"/>
          <w:szCs w:val="24"/>
        </w:rPr>
      </w:pPr>
    </w:p>
    <w:p w:rsidR="00C7415D" w:rsidP="00850153" w14:paraId="1A0F49D1" w14:textId="4D9BCB05">
      <w:pPr>
        <w:pStyle w:val="PlainText"/>
        <w:rPr>
          <w:color w:val="auto"/>
          <w:sz w:val="24"/>
          <w:szCs w:val="24"/>
        </w:rPr>
      </w:pPr>
      <w:r w:rsidRPr="00953F20">
        <w:rPr>
          <w:color w:val="auto"/>
          <w:sz w:val="24"/>
          <w:szCs w:val="24"/>
        </w:rPr>
        <w:t>Consistent with the estimated annual burden per respondent/recordkeeper for similar error reports utilized to implement the Branded Prescription Drug Fee (</w:t>
      </w:r>
      <w:r w:rsidRPr="0051379A" w:rsidR="0051379A">
        <w:rPr>
          <w:color w:val="auto"/>
          <w:sz w:val="24"/>
          <w:szCs w:val="24"/>
        </w:rPr>
        <w:t>August 18, 2011</w:t>
      </w:r>
      <w:r w:rsidR="0051379A">
        <w:rPr>
          <w:color w:val="auto"/>
          <w:sz w:val="24"/>
          <w:szCs w:val="24"/>
        </w:rPr>
        <w:t xml:space="preserve">; </w:t>
      </w:r>
      <w:r w:rsidRPr="00953F20">
        <w:rPr>
          <w:color w:val="auto"/>
          <w:sz w:val="24"/>
          <w:szCs w:val="24"/>
        </w:rPr>
        <w:t xml:space="preserve">76 FR 51310), we estimate the annual burden per respondent/recordkeeper </w:t>
      </w:r>
      <w:r w:rsidR="004A076C">
        <w:rPr>
          <w:color w:val="auto"/>
          <w:sz w:val="24"/>
          <w:szCs w:val="24"/>
        </w:rPr>
        <w:t>(</w:t>
      </w:r>
      <w:r w:rsidRPr="004A076C" w:rsidR="004A076C">
        <w:rPr>
          <w:color w:val="auto"/>
          <w:sz w:val="24"/>
          <w:szCs w:val="24"/>
        </w:rPr>
        <w:t>secretaries and administrative assistants</w:t>
      </w:r>
      <w:r w:rsidR="004A076C">
        <w:rPr>
          <w:color w:val="auto"/>
          <w:sz w:val="24"/>
          <w:szCs w:val="24"/>
        </w:rPr>
        <w:t>)</w:t>
      </w:r>
      <w:r w:rsidRPr="004A076C" w:rsidR="004A076C">
        <w:rPr>
          <w:color w:val="auto"/>
          <w:sz w:val="24"/>
          <w:szCs w:val="24"/>
        </w:rPr>
        <w:t xml:space="preserve"> </w:t>
      </w:r>
      <w:r w:rsidRPr="00953F20">
        <w:rPr>
          <w:color w:val="auto"/>
          <w:sz w:val="24"/>
          <w:szCs w:val="24"/>
        </w:rPr>
        <w:t xml:space="preserve">to be 40 hours. </w:t>
      </w:r>
    </w:p>
    <w:p w:rsidR="00C7415D" w:rsidP="00C7415D" w14:paraId="092F448E" w14:textId="77777777">
      <w:pPr>
        <w:pStyle w:val="PlainText"/>
        <w:rPr>
          <w:color w:val="auto"/>
          <w:sz w:val="24"/>
          <w:szCs w:val="24"/>
        </w:rPr>
      </w:pPr>
    </w:p>
    <w:p w:rsidR="00C7415D" w:rsidP="00C7415D" w14:paraId="6505DF4D" w14:textId="7F48A90E">
      <w:pPr>
        <w:pStyle w:val="PlainText"/>
        <w:rPr>
          <w:color w:val="auto"/>
          <w:sz w:val="24"/>
          <w:szCs w:val="24"/>
        </w:rPr>
      </w:pPr>
      <w:r>
        <w:rPr>
          <w:color w:val="auto"/>
          <w:sz w:val="24"/>
          <w:szCs w:val="24"/>
        </w:rPr>
        <w:t xml:space="preserve">Under </w:t>
      </w:r>
      <w:r w:rsidRPr="00604284">
        <w:rPr>
          <w:color w:val="auto"/>
          <w:sz w:val="24"/>
          <w:szCs w:val="24"/>
        </w:rPr>
        <w:t>§414.940</w:t>
      </w:r>
      <w:r>
        <w:rPr>
          <w:color w:val="auto"/>
          <w:sz w:val="24"/>
          <w:szCs w:val="24"/>
        </w:rPr>
        <w:t>,</w:t>
      </w:r>
      <w:r w:rsidRPr="00604284">
        <w:rPr>
          <w:color w:val="auto"/>
          <w:sz w:val="24"/>
          <w:szCs w:val="24"/>
        </w:rPr>
        <w:t xml:space="preserve"> </w:t>
      </w:r>
      <w:r>
        <w:rPr>
          <w:color w:val="auto"/>
          <w:sz w:val="24"/>
          <w:szCs w:val="24"/>
        </w:rPr>
        <w:t>t</w:t>
      </w:r>
      <w:r w:rsidRPr="00C7415D">
        <w:rPr>
          <w:color w:val="auto"/>
          <w:sz w:val="24"/>
          <w:szCs w:val="24"/>
        </w:rPr>
        <w:t>he dispute must include the following information: (1) Manufacturer name and address; (2) The name, telephone number, and email address of one or more employees or representatives of the manufacturer with whom the Secretary may discuss the claimed errors; (3) For a mathematical calculation error, the specific calculation element(s) that the manufacturer disputes and its proposed corrected calculation; and (4) For any other asserted error, an explanation of the nature of the error, how the error affects the refund calculation, an explanation of how the manufacturer established that an error occurred, the proposed correction to the error, and an explanation of why the Secretary should use the proposed corrected data instead.</w:t>
      </w:r>
    </w:p>
    <w:p w:rsidR="00C7415D" w:rsidP="00C7415D" w14:paraId="05BFE78D" w14:textId="77777777">
      <w:pPr>
        <w:pStyle w:val="PlainText"/>
        <w:rPr>
          <w:color w:val="auto"/>
          <w:sz w:val="24"/>
          <w:szCs w:val="24"/>
        </w:rPr>
      </w:pPr>
    </w:p>
    <w:p w:rsidR="00850153" w:rsidP="00C7415D" w14:paraId="608595B2" w14:textId="0310B156">
      <w:pPr>
        <w:pStyle w:val="PlainText"/>
        <w:rPr>
          <w:color w:val="auto"/>
          <w:sz w:val="24"/>
          <w:szCs w:val="24"/>
        </w:rPr>
      </w:pPr>
      <w:r>
        <w:rPr>
          <w:color w:val="auto"/>
          <w:sz w:val="24"/>
          <w:szCs w:val="24"/>
        </w:rPr>
        <w:t>A</w:t>
      </w:r>
      <w:r w:rsidRPr="00953F20">
        <w:rPr>
          <w:color w:val="auto"/>
          <w:sz w:val="24"/>
          <w:szCs w:val="24"/>
        </w:rPr>
        <w:t>nticipat</w:t>
      </w:r>
      <w:r>
        <w:rPr>
          <w:color w:val="auto"/>
          <w:sz w:val="24"/>
          <w:szCs w:val="24"/>
        </w:rPr>
        <w:t xml:space="preserve">ing </w:t>
      </w:r>
      <w:r w:rsidRPr="00953F20">
        <w:rPr>
          <w:color w:val="auto"/>
          <w:sz w:val="24"/>
          <w:szCs w:val="24"/>
        </w:rPr>
        <w:t xml:space="preserve">no more than 10 disputes per year, </w:t>
      </w:r>
      <w:r w:rsidR="005F7B01">
        <w:rPr>
          <w:color w:val="auto"/>
          <w:sz w:val="24"/>
          <w:szCs w:val="24"/>
        </w:rPr>
        <w:t xml:space="preserve">we estimate a </w:t>
      </w:r>
      <w:r w:rsidRPr="00953F20">
        <w:rPr>
          <w:color w:val="auto"/>
          <w:sz w:val="24"/>
          <w:szCs w:val="24"/>
        </w:rPr>
        <w:t xml:space="preserve">total annual burden </w:t>
      </w:r>
      <w:r w:rsidR="005F7B01">
        <w:rPr>
          <w:color w:val="auto"/>
          <w:sz w:val="24"/>
          <w:szCs w:val="24"/>
        </w:rPr>
        <w:t xml:space="preserve">of </w:t>
      </w:r>
      <w:r w:rsidRPr="00953F20">
        <w:rPr>
          <w:color w:val="auto"/>
          <w:sz w:val="24"/>
          <w:szCs w:val="24"/>
        </w:rPr>
        <w:t>400 hours (10 error reports per year x 40 h</w:t>
      </w:r>
      <w:r>
        <w:rPr>
          <w:color w:val="auto"/>
          <w:sz w:val="24"/>
          <w:szCs w:val="24"/>
        </w:rPr>
        <w:t>r</w:t>
      </w:r>
      <w:r w:rsidRPr="00953F20">
        <w:rPr>
          <w:color w:val="auto"/>
          <w:sz w:val="24"/>
          <w:szCs w:val="24"/>
        </w:rPr>
        <w:t xml:space="preserve"> per respondent)</w:t>
      </w:r>
      <w:r>
        <w:rPr>
          <w:color w:val="auto"/>
          <w:sz w:val="24"/>
          <w:szCs w:val="24"/>
        </w:rPr>
        <w:t xml:space="preserve"> at a cost of </w:t>
      </w:r>
      <w:r w:rsidRPr="00953F20">
        <w:rPr>
          <w:color w:val="auto"/>
          <w:sz w:val="24"/>
          <w:szCs w:val="24"/>
        </w:rPr>
        <w:t>$</w:t>
      </w:r>
      <w:r w:rsidRPr="00443CF9" w:rsidR="00443CF9">
        <w:rPr>
          <w:color w:val="auto"/>
          <w:sz w:val="24"/>
          <w:szCs w:val="24"/>
        </w:rPr>
        <w:t>22,304</w:t>
      </w:r>
      <w:r w:rsidRPr="00443CF9" w:rsidR="00443CF9">
        <w:rPr>
          <w:color w:val="auto"/>
          <w:sz w:val="24"/>
          <w:szCs w:val="24"/>
        </w:rPr>
        <w:t>‬</w:t>
      </w:r>
      <w:r w:rsidRPr="00953F20">
        <w:rPr>
          <w:color w:val="auto"/>
          <w:sz w:val="24"/>
          <w:szCs w:val="24"/>
        </w:rPr>
        <w:t xml:space="preserve"> </w:t>
      </w:r>
      <w:r w:rsidRPr="00953F20">
        <w:rPr>
          <w:color w:val="auto"/>
          <w:sz w:val="24"/>
          <w:szCs w:val="24"/>
        </w:rPr>
        <w:t>(400 h</w:t>
      </w:r>
      <w:r>
        <w:rPr>
          <w:color w:val="auto"/>
          <w:sz w:val="24"/>
          <w:szCs w:val="24"/>
        </w:rPr>
        <w:t xml:space="preserve">r x </w:t>
      </w:r>
      <w:r w:rsidRPr="00953F20">
        <w:rPr>
          <w:color w:val="auto"/>
          <w:sz w:val="24"/>
          <w:szCs w:val="24"/>
        </w:rPr>
        <w:t>$</w:t>
      </w:r>
      <w:r w:rsidR="00273AF4">
        <w:rPr>
          <w:color w:val="auto"/>
          <w:sz w:val="24"/>
          <w:szCs w:val="24"/>
        </w:rPr>
        <w:t>55.76</w:t>
      </w:r>
      <w:r w:rsidRPr="00953F20">
        <w:rPr>
          <w:color w:val="auto"/>
          <w:sz w:val="24"/>
          <w:szCs w:val="24"/>
        </w:rPr>
        <w:t>/hr)</w:t>
      </w:r>
      <w:r>
        <w:rPr>
          <w:color w:val="auto"/>
          <w:sz w:val="24"/>
          <w:szCs w:val="24"/>
        </w:rPr>
        <w:t>.</w:t>
      </w:r>
    </w:p>
    <w:p w:rsidR="00850153" w:rsidP="009046A6" w14:paraId="21ABF24A" w14:textId="77777777">
      <w:pPr>
        <w:pStyle w:val="PlainText"/>
        <w:rPr>
          <w:color w:val="auto"/>
          <w:sz w:val="24"/>
          <w:szCs w:val="24"/>
        </w:rPr>
      </w:pPr>
    </w:p>
    <w:p w:rsidR="00850153" w:rsidP="00850153" w14:paraId="11A82821" w14:textId="05721C12">
      <w:pPr>
        <w:rPr>
          <w:sz w:val="24"/>
        </w:rPr>
      </w:pPr>
      <w:r>
        <w:rPr>
          <w:sz w:val="24"/>
        </w:rPr>
        <w:t xml:space="preserve">Separately, we estimate that the burden per respondent/applicant of drafting and submitting the unique circumstance application to be 5 hours. We anticipate 25 applications </w:t>
      </w:r>
      <w:r w:rsidR="00C031B8">
        <w:rPr>
          <w:sz w:val="24"/>
        </w:rPr>
        <w:t xml:space="preserve">in the initial year </w:t>
      </w:r>
      <w:r w:rsidR="00C031B8">
        <w:rPr>
          <w:sz w:val="24"/>
        </w:rPr>
        <w:t xml:space="preserve">that applications are </w:t>
      </w:r>
      <w:r w:rsidR="004E3389">
        <w:rPr>
          <w:sz w:val="24"/>
        </w:rPr>
        <w:t>available</w:t>
      </w:r>
      <w:r>
        <w:rPr>
          <w:sz w:val="24"/>
        </w:rPr>
        <w:t>. I</w:t>
      </w:r>
      <w:r w:rsidRPr="0078489F">
        <w:rPr>
          <w:sz w:val="24"/>
        </w:rPr>
        <w:t>n the initial year</w:t>
      </w:r>
      <w:r>
        <w:rPr>
          <w:sz w:val="24"/>
        </w:rPr>
        <w:t xml:space="preserve">, we estimate a one-time </w:t>
      </w:r>
      <w:r>
        <w:rPr>
          <w:sz w:val="24"/>
        </w:rPr>
        <w:t>burden of 125 hours (25 applications x 5 h</w:t>
      </w:r>
      <w:r w:rsidR="001C1A40">
        <w:rPr>
          <w:sz w:val="24"/>
        </w:rPr>
        <w:t>r</w:t>
      </w:r>
      <w:r>
        <w:rPr>
          <w:sz w:val="24"/>
        </w:rPr>
        <w:t xml:space="preserve"> per respondent/applicant)</w:t>
      </w:r>
      <w:r>
        <w:rPr>
          <w:sz w:val="24"/>
        </w:rPr>
        <w:t xml:space="preserve"> at </w:t>
      </w:r>
      <w:r w:rsidRPr="0078489F">
        <w:rPr>
          <w:sz w:val="24"/>
        </w:rPr>
        <w:t>a cost of $</w:t>
      </w:r>
      <w:r w:rsidRPr="007220F6" w:rsidR="007220F6">
        <w:rPr>
          <w:sz w:val="24"/>
        </w:rPr>
        <w:t>6,970</w:t>
      </w:r>
      <w:r w:rsidRPr="0078489F">
        <w:rPr>
          <w:sz w:val="24"/>
        </w:rPr>
        <w:t xml:space="preserve"> (125 hr </w:t>
      </w:r>
      <w:r>
        <w:rPr>
          <w:sz w:val="24"/>
        </w:rPr>
        <w:t xml:space="preserve">x </w:t>
      </w:r>
      <w:r w:rsidRPr="0078489F">
        <w:rPr>
          <w:sz w:val="24"/>
        </w:rPr>
        <w:t>$</w:t>
      </w:r>
      <w:r w:rsidR="00273AF4">
        <w:rPr>
          <w:sz w:val="24"/>
        </w:rPr>
        <w:t>55.76</w:t>
      </w:r>
      <w:r w:rsidRPr="0078489F">
        <w:rPr>
          <w:sz w:val="24"/>
        </w:rPr>
        <w:t>/hr)</w:t>
      </w:r>
      <w:r>
        <w:rPr>
          <w:sz w:val="24"/>
        </w:rPr>
        <w:t xml:space="preserve"> to draft and submit the application.</w:t>
      </w:r>
    </w:p>
    <w:p w:rsidR="00850153" w:rsidP="00850153" w14:paraId="3FCA3EF7" w14:textId="77777777">
      <w:pPr>
        <w:rPr>
          <w:sz w:val="24"/>
        </w:rPr>
      </w:pPr>
    </w:p>
    <w:p w:rsidR="00850153" w:rsidP="00850153" w14:paraId="5255269F" w14:textId="2D90D4F8">
      <w:pPr>
        <w:rPr>
          <w:sz w:val="24"/>
        </w:rPr>
      </w:pPr>
      <w:r>
        <w:rPr>
          <w:sz w:val="24"/>
        </w:rPr>
        <w:t xml:space="preserve">Once a manufacturer has applied for a drug and a decision has been made regarding whether an increased applicable percentage is appropriate, the manufacturer </w:t>
      </w:r>
      <w:r w:rsidR="00C75DD3">
        <w:rPr>
          <w:sz w:val="24"/>
        </w:rPr>
        <w:t xml:space="preserve">does </w:t>
      </w:r>
      <w:r>
        <w:rPr>
          <w:sz w:val="24"/>
        </w:rPr>
        <w:t xml:space="preserve">not need to apply again.  </w:t>
      </w:r>
    </w:p>
    <w:p w:rsidR="00850153" w:rsidP="00850153" w14:paraId="0DEA95FC" w14:textId="77777777">
      <w:pPr>
        <w:rPr>
          <w:sz w:val="24"/>
        </w:rPr>
      </w:pPr>
    </w:p>
    <w:p w:rsidR="00723738" w:rsidP="00723738" w14:paraId="35105E04" w14:textId="484A4A85">
      <w:pPr>
        <w:rPr>
          <w:sz w:val="24"/>
        </w:rPr>
      </w:pPr>
      <w:r>
        <w:rPr>
          <w:sz w:val="24"/>
        </w:rPr>
        <w:t xml:space="preserve">In </w:t>
      </w:r>
      <w:r w:rsidR="00C031B8">
        <w:rPr>
          <w:sz w:val="24"/>
        </w:rPr>
        <w:t xml:space="preserve">subsequent years we expect a smaller number of applications.  When evaluating the approval dates of these 25 drugs, we find that there is a range of 0 to 4 drugs per year approved that would be expected to owe a refund of more than $50,000 per year.  From 2010—2020, the mean number of such approvals is 1.45 per year.  If rounded up, we estimate that we </w:t>
      </w:r>
      <w:r w:rsidR="00C75DD3">
        <w:rPr>
          <w:sz w:val="24"/>
        </w:rPr>
        <w:t xml:space="preserve">will </w:t>
      </w:r>
      <w:r w:rsidR="00C031B8">
        <w:rPr>
          <w:sz w:val="24"/>
        </w:rPr>
        <w:t xml:space="preserve">typically receive 2 applications per </w:t>
      </w:r>
      <w:r w:rsidR="004E3389">
        <w:rPr>
          <w:sz w:val="24"/>
        </w:rPr>
        <w:t>year except</w:t>
      </w:r>
      <w:r w:rsidR="00C031B8">
        <w:rPr>
          <w:sz w:val="24"/>
        </w:rPr>
        <w:t xml:space="preserve"> the initial application year. </w:t>
      </w:r>
      <w:r>
        <w:rPr>
          <w:sz w:val="24"/>
        </w:rPr>
        <w:t xml:space="preserve">In this regard </w:t>
      </w:r>
      <w:r w:rsidRPr="006C74DA" w:rsidR="00C031B8">
        <w:rPr>
          <w:rFonts w:eastAsia="Calibri"/>
          <w:sz w:val="24"/>
        </w:rPr>
        <w:t>we estimate a</w:t>
      </w:r>
      <w:r>
        <w:rPr>
          <w:sz w:val="24"/>
        </w:rPr>
        <w:t xml:space="preserve">n </w:t>
      </w:r>
      <w:r w:rsidRPr="006C74DA" w:rsidR="00C031B8">
        <w:rPr>
          <w:rFonts w:eastAsia="Calibri"/>
          <w:sz w:val="24"/>
        </w:rPr>
        <w:t>annual burden of 10 hours (2 applications x 5 h</w:t>
      </w:r>
      <w:r w:rsidRPr="006C74DA" w:rsidR="001C1A40">
        <w:rPr>
          <w:rFonts w:eastAsia="Calibri"/>
          <w:sz w:val="24"/>
        </w:rPr>
        <w:t>r</w:t>
      </w:r>
      <w:r w:rsidRPr="006C74DA" w:rsidR="00C031B8">
        <w:rPr>
          <w:rFonts w:eastAsia="Calibri"/>
          <w:sz w:val="24"/>
        </w:rPr>
        <w:t xml:space="preserve"> per respondent/applicant) at a cost of $</w:t>
      </w:r>
      <w:r w:rsidR="00F6658F">
        <w:rPr>
          <w:rFonts w:eastAsia="Calibri"/>
          <w:sz w:val="24"/>
        </w:rPr>
        <w:t>558</w:t>
      </w:r>
      <w:r w:rsidRPr="006C74DA" w:rsidR="00C031B8">
        <w:rPr>
          <w:rFonts w:eastAsia="Calibri"/>
          <w:sz w:val="24"/>
        </w:rPr>
        <w:t xml:space="preserve"> (10 h</w:t>
      </w:r>
      <w:r w:rsidRPr="006C74DA" w:rsidR="00BD7B98">
        <w:rPr>
          <w:rFonts w:eastAsia="Calibri"/>
          <w:sz w:val="24"/>
        </w:rPr>
        <w:t>r</w:t>
      </w:r>
      <w:r w:rsidR="00504349">
        <w:rPr>
          <w:rFonts w:eastAsia="Calibri"/>
          <w:sz w:val="24"/>
        </w:rPr>
        <w:t xml:space="preserve"> x $55.76</w:t>
      </w:r>
      <w:r w:rsidRPr="006C74DA" w:rsidR="00504349">
        <w:rPr>
          <w:rFonts w:eastAsia="Calibri"/>
          <w:sz w:val="24"/>
        </w:rPr>
        <w:t>/hr</w:t>
      </w:r>
      <w:r w:rsidRPr="006C74DA" w:rsidR="00C031B8">
        <w:rPr>
          <w:rFonts w:eastAsia="Calibri"/>
          <w:sz w:val="24"/>
        </w:rPr>
        <w:t>)</w:t>
      </w:r>
      <w:r>
        <w:rPr>
          <w:rFonts w:eastAsia="Calibri"/>
          <w:sz w:val="24"/>
        </w:rPr>
        <w:t xml:space="preserve"> </w:t>
      </w:r>
      <w:r>
        <w:rPr>
          <w:sz w:val="24"/>
        </w:rPr>
        <w:t>to draft and submit the application.</w:t>
      </w:r>
    </w:p>
    <w:p w:rsidR="00314825" w:rsidP="00723738" w14:paraId="231606CC" w14:textId="77777777">
      <w:pPr>
        <w:rPr>
          <w:sz w:val="24"/>
        </w:rPr>
      </w:pPr>
    </w:p>
    <w:p w:rsidR="009046A6" w:rsidP="000F055F" w14:paraId="6C88A959" w14:textId="6519BE02">
      <w:pPr>
        <w:pStyle w:val="PlainText"/>
        <w:rPr>
          <w:color w:val="auto"/>
          <w:sz w:val="24"/>
          <w:szCs w:val="24"/>
        </w:rPr>
      </w:pPr>
      <w:r w:rsidRPr="00D26541">
        <w:rPr>
          <w:color w:val="auto"/>
          <w:sz w:val="24"/>
          <w:szCs w:val="24"/>
        </w:rPr>
        <w:t xml:space="preserve">To request that we consider increasing the applicable percentage for a particular refundable drug, we </w:t>
      </w:r>
      <w:r w:rsidR="00D9776C">
        <w:rPr>
          <w:color w:val="auto"/>
          <w:sz w:val="24"/>
          <w:szCs w:val="24"/>
        </w:rPr>
        <w:t xml:space="preserve">finalized </w:t>
      </w:r>
      <w:r w:rsidRPr="00D26541">
        <w:rPr>
          <w:color w:val="auto"/>
          <w:sz w:val="24"/>
          <w:szCs w:val="24"/>
        </w:rPr>
        <w:t>that a manufacturer must submit the following: (1) a written request that a drug be considered for an increased applicable percentage based on its unique circumstances; (2) FDA-approved labeling; (3) justification for the consideration of an increased applicable percentage based on such unique circumstances; and (4) justification for the requested increase in the applicable percentage. Such justification could include documents, such as (but not limited to) a minimum vial fill volume study or a dose preparation study.</w:t>
      </w:r>
    </w:p>
    <w:p w:rsidR="0053117F" w:rsidP="009046A6" w14:paraId="4A2F3911" w14:textId="77777777">
      <w:pPr>
        <w:pStyle w:val="PlainText"/>
        <w:rPr>
          <w:color w:val="auto"/>
          <w:sz w:val="24"/>
          <w:szCs w:val="24"/>
        </w:rPr>
      </w:pPr>
    </w:p>
    <w:p w:rsidR="00BC4857" w:rsidRPr="00BC4857" w:rsidP="009046A6" w14:paraId="2841A065" w14:textId="4CCCF80C">
      <w:pPr>
        <w:pStyle w:val="PlainText"/>
        <w:rPr>
          <w:i/>
          <w:iCs/>
          <w:color w:val="auto"/>
          <w:sz w:val="24"/>
          <w:szCs w:val="24"/>
        </w:rPr>
      </w:pPr>
      <w:r w:rsidRPr="00BC4857">
        <w:rPr>
          <w:i/>
          <w:iCs/>
          <w:color w:val="auto"/>
          <w:sz w:val="24"/>
          <w:szCs w:val="24"/>
        </w:rPr>
        <w:t>Burden Summary</w:t>
      </w:r>
    </w:p>
    <w:p w:rsidR="00BC4857" w:rsidP="009046A6" w14:paraId="0AA0E504" w14:textId="77777777">
      <w:pPr>
        <w:pStyle w:val="PlainText"/>
        <w:rPr>
          <w:color w:val="auto"/>
          <w:sz w:val="24"/>
          <w:szCs w:val="24"/>
        </w:rPr>
      </w:pPr>
    </w:p>
    <w:tbl>
      <w:tblPr>
        <w:tblStyle w:val="TableGrid"/>
        <w:tblW w:w="10530" w:type="dxa"/>
        <w:tblInd w:w="85" w:type="dxa"/>
        <w:tblLayout w:type="fixed"/>
        <w:tblLook w:val="04A0"/>
      </w:tblPr>
      <w:tblGrid>
        <w:gridCol w:w="1080"/>
        <w:gridCol w:w="1620"/>
        <w:gridCol w:w="1440"/>
        <w:gridCol w:w="1890"/>
        <w:gridCol w:w="1080"/>
        <w:gridCol w:w="1170"/>
        <w:gridCol w:w="1170"/>
        <w:gridCol w:w="1080"/>
      </w:tblGrid>
      <w:tr w14:paraId="20D57863" w14:textId="77777777" w:rsidTr="00B8761B">
        <w:tblPrEx>
          <w:tblW w:w="10530" w:type="dxa"/>
          <w:tblInd w:w="85" w:type="dxa"/>
          <w:tblLayout w:type="fixed"/>
          <w:tblLook w:val="04A0"/>
        </w:tblPrEx>
        <w:tc>
          <w:tcPr>
            <w:tcW w:w="1080" w:type="dxa"/>
          </w:tcPr>
          <w:p w:rsidR="00C1745D" w:rsidRPr="00F6658F" w:rsidP="00424724" w14:paraId="5A7BAA30" w14:textId="5DB27327">
            <w:pPr>
              <w:pStyle w:val="PlainText"/>
              <w:jc w:val="center"/>
              <w:rPr>
                <w:color w:val="auto"/>
                <w:sz w:val="22"/>
                <w:szCs w:val="22"/>
              </w:rPr>
            </w:pPr>
            <w:r w:rsidRPr="00F6658F">
              <w:rPr>
                <w:color w:val="auto"/>
                <w:sz w:val="22"/>
                <w:szCs w:val="22"/>
              </w:rPr>
              <w:t>CFR Section</w:t>
            </w:r>
          </w:p>
        </w:tc>
        <w:tc>
          <w:tcPr>
            <w:tcW w:w="1620" w:type="dxa"/>
          </w:tcPr>
          <w:p w:rsidR="00C1745D" w:rsidRPr="00F6658F" w:rsidP="00424724" w14:paraId="553CE69A" w14:textId="3A09BA18">
            <w:pPr>
              <w:pStyle w:val="PlainText"/>
              <w:jc w:val="center"/>
              <w:rPr>
                <w:color w:val="auto"/>
                <w:sz w:val="22"/>
                <w:szCs w:val="22"/>
              </w:rPr>
            </w:pPr>
            <w:r w:rsidRPr="00F6658F">
              <w:rPr>
                <w:color w:val="auto"/>
                <w:sz w:val="22"/>
                <w:szCs w:val="22"/>
              </w:rPr>
              <w:t>Respondents</w:t>
            </w:r>
          </w:p>
        </w:tc>
        <w:tc>
          <w:tcPr>
            <w:tcW w:w="1440" w:type="dxa"/>
          </w:tcPr>
          <w:p w:rsidR="00C1745D" w:rsidRPr="00F6658F" w:rsidP="00424724" w14:paraId="1C6782C1" w14:textId="5AC9FA2C">
            <w:pPr>
              <w:pStyle w:val="PlainText"/>
              <w:jc w:val="center"/>
              <w:rPr>
                <w:color w:val="auto"/>
                <w:sz w:val="22"/>
                <w:szCs w:val="22"/>
              </w:rPr>
            </w:pPr>
            <w:r w:rsidRPr="00F6658F">
              <w:rPr>
                <w:color w:val="auto"/>
                <w:sz w:val="22"/>
                <w:szCs w:val="22"/>
              </w:rPr>
              <w:t>Responses Per Respondent</w:t>
            </w:r>
          </w:p>
        </w:tc>
        <w:tc>
          <w:tcPr>
            <w:tcW w:w="1890" w:type="dxa"/>
          </w:tcPr>
          <w:p w:rsidR="00C1745D" w:rsidRPr="00F6658F" w:rsidP="00424724" w14:paraId="7590F778" w14:textId="128F2BCA">
            <w:pPr>
              <w:pStyle w:val="PlainText"/>
              <w:jc w:val="center"/>
              <w:rPr>
                <w:color w:val="auto"/>
                <w:sz w:val="22"/>
                <w:szCs w:val="22"/>
              </w:rPr>
            </w:pPr>
            <w:r w:rsidRPr="00F6658F">
              <w:rPr>
                <w:color w:val="auto"/>
                <w:sz w:val="22"/>
                <w:szCs w:val="22"/>
              </w:rPr>
              <w:t>Total Responses</w:t>
            </w:r>
          </w:p>
        </w:tc>
        <w:tc>
          <w:tcPr>
            <w:tcW w:w="1080" w:type="dxa"/>
          </w:tcPr>
          <w:p w:rsidR="00C1745D" w:rsidRPr="00F6658F" w:rsidP="00424724" w14:paraId="4A0FF3AA" w14:textId="1512699F">
            <w:pPr>
              <w:pStyle w:val="PlainText"/>
              <w:jc w:val="center"/>
              <w:rPr>
                <w:color w:val="auto"/>
                <w:sz w:val="22"/>
                <w:szCs w:val="22"/>
              </w:rPr>
            </w:pPr>
            <w:r w:rsidRPr="00F6658F">
              <w:rPr>
                <w:color w:val="auto"/>
                <w:sz w:val="22"/>
                <w:szCs w:val="22"/>
              </w:rPr>
              <w:t>Time per Response (hr)</w:t>
            </w:r>
          </w:p>
        </w:tc>
        <w:tc>
          <w:tcPr>
            <w:tcW w:w="1170" w:type="dxa"/>
          </w:tcPr>
          <w:p w:rsidR="00C1745D" w:rsidRPr="00F6658F" w:rsidP="00424724" w14:paraId="61039A85" w14:textId="5E8296C5">
            <w:pPr>
              <w:pStyle w:val="PlainText"/>
              <w:jc w:val="center"/>
              <w:rPr>
                <w:color w:val="auto"/>
                <w:sz w:val="22"/>
                <w:szCs w:val="22"/>
              </w:rPr>
            </w:pPr>
            <w:r w:rsidRPr="00F6658F">
              <w:rPr>
                <w:color w:val="auto"/>
                <w:sz w:val="22"/>
                <w:szCs w:val="22"/>
              </w:rPr>
              <w:t>Total Annual Time (hr)</w:t>
            </w:r>
          </w:p>
        </w:tc>
        <w:tc>
          <w:tcPr>
            <w:tcW w:w="1170" w:type="dxa"/>
          </w:tcPr>
          <w:p w:rsidR="00C1745D" w:rsidRPr="00F6658F" w:rsidP="00424724" w14:paraId="624BD162" w14:textId="6520F771">
            <w:pPr>
              <w:pStyle w:val="PlainText"/>
              <w:jc w:val="center"/>
              <w:rPr>
                <w:color w:val="auto"/>
                <w:sz w:val="22"/>
                <w:szCs w:val="22"/>
              </w:rPr>
            </w:pPr>
            <w:r w:rsidRPr="00F6658F">
              <w:rPr>
                <w:color w:val="auto"/>
                <w:sz w:val="22"/>
                <w:szCs w:val="22"/>
              </w:rPr>
              <w:t>Labor Cost ($/hr)</w:t>
            </w:r>
          </w:p>
        </w:tc>
        <w:tc>
          <w:tcPr>
            <w:tcW w:w="1080" w:type="dxa"/>
          </w:tcPr>
          <w:p w:rsidR="00C1745D" w:rsidRPr="00F6658F" w:rsidP="00424724" w14:paraId="11AC7A1D" w14:textId="6363525B">
            <w:pPr>
              <w:pStyle w:val="PlainText"/>
              <w:jc w:val="center"/>
              <w:rPr>
                <w:color w:val="auto"/>
                <w:sz w:val="22"/>
                <w:szCs w:val="22"/>
              </w:rPr>
            </w:pPr>
            <w:r w:rsidRPr="00F6658F">
              <w:rPr>
                <w:color w:val="auto"/>
                <w:sz w:val="22"/>
                <w:szCs w:val="22"/>
              </w:rPr>
              <w:t>Total Cost ($)</w:t>
            </w:r>
          </w:p>
        </w:tc>
      </w:tr>
      <w:tr w14:paraId="7251CBE3" w14:textId="77777777" w:rsidTr="00B8761B">
        <w:tblPrEx>
          <w:tblW w:w="10530" w:type="dxa"/>
          <w:tblInd w:w="85" w:type="dxa"/>
          <w:tblLayout w:type="fixed"/>
          <w:tblLook w:val="04A0"/>
        </w:tblPrEx>
        <w:tc>
          <w:tcPr>
            <w:tcW w:w="1080" w:type="dxa"/>
          </w:tcPr>
          <w:p w:rsidR="00C1745D" w:rsidRPr="006C74DA" w:rsidP="00E77C0B" w14:paraId="77D22DBD" w14:textId="7C85585F">
            <w:pPr>
              <w:pStyle w:val="PlainText"/>
              <w:rPr>
                <w:color w:val="auto"/>
                <w:sz w:val="22"/>
                <w:szCs w:val="22"/>
              </w:rPr>
            </w:pPr>
            <w:r w:rsidRPr="006C74DA">
              <w:rPr>
                <w:color w:val="auto"/>
                <w:sz w:val="22"/>
                <w:szCs w:val="22"/>
              </w:rPr>
              <w:t>414.940</w:t>
            </w:r>
          </w:p>
        </w:tc>
        <w:tc>
          <w:tcPr>
            <w:tcW w:w="1620" w:type="dxa"/>
          </w:tcPr>
          <w:p w:rsidR="00C1745D" w:rsidRPr="006C74DA" w:rsidP="00E77C0B" w14:paraId="5531B108" w14:textId="089EED99">
            <w:pPr>
              <w:pStyle w:val="PlainText"/>
              <w:rPr>
                <w:color w:val="auto"/>
                <w:sz w:val="22"/>
                <w:szCs w:val="22"/>
              </w:rPr>
            </w:pPr>
            <w:r w:rsidRPr="006C74DA">
              <w:rPr>
                <w:color w:val="auto"/>
                <w:sz w:val="22"/>
                <w:szCs w:val="22"/>
              </w:rPr>
              <w:t>10</w:t>
            </w:r>
            <w:r w:rsidR="00A01FC9">
              <w:rPr>
                <w:color w:val="auto"/>
                <w:sz w:val="22"/>
                <w:szCs w:val="22"/>
              </w:rPr>
              <w:t xml:space="preserve"> </w:t>
            </w:r>
            <w:r w:rsidRPr="00A01FC9" w:rsidR="00A01FC9">
              <w:rPr>
                <w:color w:val="auto"/>
                <w:sz w:val="22"/>
                <w:szCs w:val="22"/>
              </w:rPr>
              <w:t>manufacturer</w:t>
            </w:r>
            <w:r w:rsidR="00A01FC9">
              <w:rPr>
                <w:color w:val="auto"/>
                <w:sz w:val="22"/>
                <w:szCs w:val="22"/>
              </w:rPr>
              <w:t>s</w:t>
            </w:r>
          </w:p>
        </w:tc>
        <w:tc>
          <w:tcPr>
            <w:tcW w:w="1440" w:type="dxa"/>
          </w:tcPr>
          <w:p w:rsidR="00C1745D" w:rsidRPr="006C74DA" w:rsidP="00E77C0B" w14:paraId="6E616608" w14:textId="5705E242">
            <w:pPr>
              <w:pStyle w:val="PlainText"/>
              <w:rPr>
                <w:color w:val="auto"/>
                <w:sz w:val="22"/>
                <w:szCs w:val="22"/>
              </w:rPr>
            </w:pPr>
            <w:r w:rsidRPr="006C74DA">
              <w:rPr>
                <w:color w:val="auto"/>
                <w:sz w:val="22"/>
                <w:szCs w:val="22"/>
              </w:rPr>
              <w:t>1</w:t>
            </w:r>
          </w:p>
        </w:tc>
        <w:tc>
          <w:tcPr>
            <w:tcW w:w="1890" w:type="dxa"/>
          </w:tcPr>
          <w:p w:rsidR="00C1745D" w:rsidRPr="006C74DA" w:rsidP="00E77C0B" w14:paraId="28ED6F1F" w14:textId="22F7B386">
            <w:pPr>
              <w:pStyle w:val="PlainText"/>
              <w:rPr>
                <w:color w:val="auto"/>
                <w:sz w:val="22"/>
                <w:szCs w:val="22"/>
              </w:rPr>
            </w:pPr>
            <w:r>
              <w:rPr>
                <w:color w:val="auto"/>
                <w:sz w:val="22"/>
                <w:szCs w:val="22"/>
              </w:rPr>
              <w:t>10</w:t>
            </w:r>
            <w:r w:rsidR="00A01FC9">
              <w:rPr>
                <w:color w:val="auto"/>
                <w:sz w:val="22"/>
                <w:szCs w:val="22"/>
              </w:rPr>
              <w:t xml:space="preserve"> </w:t>
            </w:r>
            <w:r w:rsidRPr="00970377" w:rsidR="00970377">
              <w:rPr>
                <w:color w:val="auto"/>
                <w:sz w:val="22"/>
                <w:szCs w:val="22"/>
              </w:rPr>
              <w:t>error report</w:t>
            </w:r>
            <w:r w:rsidR="00970377">
              <w:rPr>
                <w:color w:val="auto"/>
                <w:sz w:val="22"/>
                <w:szCs w:val="22"/>
              </w:rPr>
              <w:t>s</w:t>
            </w:r>
          </w:p>
        </w:tc>
        <w:tc>
          <w:tcPr>
            <w:tcW w:w="1080" w:type="dxa"/>
          </w:tcPr>
          <w:p w:rsidR="00C1745D" w:rsidRPr="006C74DA" w:rsidP="00E77C0B" w14:paraId="299430DA" w14:textId="55729C92">
            <w:pPr>
              <w:pStyle w:val="PlainText"/>
              <w:rPr>
                <w:color w:val="auto"/>
                <w:sz w:val="22"/>
                <w:szCs w:val="22"/>
              </w:rPr>
            </w:pPr>
            <w:r w:rsidRPr="006C74DA">
              <w:rPr>
                <w:color w:val="auto"/>
                <w:sz w:val="22"/>
                <w:szCs w:val="22"/>
              </w:rPr>
              <w:t>40</w:t>
            </w:r>
          </w:p>
        </w:tc>
        <w:tc>
          <w:tcPr>
            <w:tcW w:w="1170" w:type="dxa"/>
          </w:tcPr>
          <w:p w:rsidR="00C1745D" w:rsidRPr="006C74DA" w:rsidP="00E77C0B" w14:paraId="3522DD0F" w14:textId="77777777">
            <w:pPr>
              <w:pStyle w:val="PlainText"/>
              <w:rPr>
                <w:color w:val="auto"/>
                <w:sz w:val="22"/>
                <w:szCs w:val="22"/>
              </w:rPr>
            </w:pPr>
            <w:r w:rsidRPr="006C74DA">
              <w:rPr>
                <w:color w:val="auto"/>
                <w:sz w:val="22"/>
                <w:szCs w:val="22"/>
              </w:rPr>
              <w:t>400</w:t>
            </w:r>
          </w:p>
        </w:tc>
        <w:tc>
          <w:tcPr>
            <w:tcW w:w="1170" w:type="dxa"/>
          </w:tcPr>
          <w:p w:rsidR="00C1745D" w:rsidRPr="006C74DA" w:rsidP="00E77C0B" w14:paraId="15875554" w14:textId="050E8E2C">
            <w:pPr>
              <w:pStyle w:val="PlainText"/>
              <w:rPr>
                <w:color w:val="auto"/>
                <w:sz w:val="22"/>
                <w:szCs w:val="22"/>
              </w:rPr>
            </w:pPr>
            <w:r>
              <w:rPr>
                <w:color w:val="auto"/>
                <w:sz w:val="22"/>
                <w:szCs w:val="22"/>
              </w:rPr>
              <w:t>55.76</w:t>
            </w:r>
          </w:p>
        </w:tc>
        <w:tc>
          <w:tcPr>
            <w:tcW w:w="1080" w:type="dxa"/>
          </w:tcPr>
          <w:p w:rsidR="00C1745D" w:rsidRPr="006C74DA" w:rsidP="00E77C0B" w14:paraId="03E138EF" w14:textId="5ADFF7C3">
            <w:pPr>
              <w:pStyle w:val="PlainText"/>
              <w:rPr>
                <w:color w:val="auto"/>
                <w:sz w:val="22"/>
                <w:szCs w:val="22"/>
              </w:rPr>
            </w:pPr>
            <w:r w:rsidRPr="00443CF9">
              <w:rPr>
                <w:color w:val="auto"/>
                <w:sz w:val="22"/>
                <w:szCs w:val="22"/>
              </w:rPr>
              <w:t>22,304</w:t>
            </w:r>
            <w:r w:rsidRPr="00443CF9">
              <w:rPr>
                <w:color w:val="auto"/>
                <w:sz w:val="22"/>
                <w:szCs w:val="22"/>
              </w:rPr>
              <w:t>‬</w:t>
            </w:r>
          </w:p>
        </w:tc>
      </w:tr>
      <w:tr w14:paraId="0EFB5F16" w14:textId="77777777" w:rsidTr="00B8761B">
        <w:tblPrEx>
          <w:tblW w:w="10530" w:type="dxa"/>
          <w:tblInd w:w="85" w:type="dxa"/>
          <w:tblLayout w:type="fixed"/>
          <w:tblLook w:val="04A0"/>
        </w:tblPrEx>
        <w:tc>
          <w:tcPr>
            <w:tcW w:w="1080" w:type="dxa"/>
          </w:tcPr>
          <w:p w:rsidR="00C1745D" w:rsidRPr="006C74DA" w:rsidP="00E77C0B" w14:paraId="0FF5C85B" w14:textId="04B55535">
            <w:pPr>
              <w:pStyle w:val="PlainText"/>
              <w:rPr>
                <w:color w:val="auto"/>
                <w:sz w:val="22"/>
                <w:szCs w:val="22"/>
              </w:rPr>
            </w:pPr>
            <w:r w:rsidRPr="006C74DA">
              <w:rPr>
                <w:color w:val="auto"/>
                <w:sz w:val="22"/>
                <w:szCs w:val="22"/>
              </w:rPr>
              <w:t>414.940</w:t>
            </w:r>
          </w:p>
        </w:tc>
        <w:tc>
          <w:tcPr>
            <w:tcW w:w="1620" w:type="dxa"/>
          </w:tcPr>
          <w:p w:rsidR="00C1745D" w:rsidRPr="006C74DA" w:rsidP="00E77C0B" w14:paraId="6313F491" w14:textId="578508F8">
            <w:pPr>
              <w:pStyle w:val="PlainText"/>
              <w:rPr>
                <w:color w:val="auto"/>
                <w:sz w:val="22"/>
                <w:szCs w:val="22"/>
              </w:rPr>
            </w:pPr>
            <w:r w:rsidRPr="006C74DA">
              <w:rPr>
                <w:color w:val="auto"/>
                <w:sz w:val="22"/>
                <w:szCs w:val="22"/>
              </w:rPr>
              <w:t>25</w:t>
            </w:r>
            <w:r>
              <w:rPr>
                <w:color w:val="auto"/>
                <w:sz w:val="22"/>
                <w:szCs w:val="22"/>
              </w:rPr>
              <w:t xml:space="preserve"> </w:t>
            </w:r>
            <w:r w:rsidRPr="00A01FC9" w:rsidR="001C0D40">
              <w:rPr>
                <w:color w:val="auto"/>
                <w:sz w:val="22"/>
                <w:szCs w:val="22"/>
              </w:rPr>
              <w:t>manufacturer</w:t>
            </w:r>
            <w:r w:rsidR="001C0D40">
              <w:rPr>
                <w:color w:val="auto"/>
                <w:sz w:val="22"/>
                <w:szCs w:val="22"/>
              </w:rPr>
              <w:t xml:space="preserve">s </w:t>
            </w:r>
          </w:p>
        </w:tc>
        <w:tc>
          <w:tcPr>
            <w:tcW w:w="1440" w:type="dxa"/>
          </w:tcPr>
          <w:p w:rsidR="00C1745D" w:rsidRPr="006C74DA" w:rsidP="00E77C0B" w14:paraId="0F9A50A5" w14:textId="30693BA0">
            <w:pPr>
              <w:pStyle w:val="PlainText"/>
              <w:rPr>
                <w:color w:val="auto"/>
                <w:sz w:val="22"/>
                <w:szCs w:val="22"/>
              </w:rPr>
            </w:pPr>
            <w:r w:rsidRPr="006C74DA">
              <w:rPr>
                <w:color w:val="auto"/>
                <w:sz w:val="22"/>
                <w:szCs w:val="22"/>
              </w:rPr>
              <w:t>1</w:t>
            </w:r>
          </w:p>
        </w:tc>
        <w:tc>
          <w:tcPr>
            <w:tcW w:w="1890" w:type="dxa"/>
          </w:tcPr>
          <w:p w:rsidR="00C1745D" w:rsidRPr="006C74DA" w:rsidP="00E77C0B" w14:paraId="464EF082" w14:textId="7526A9FB">
            <w:pPr>
              <w:pStyle w:val="PlainText"/>
              <w:rPr>
                <w:color w:val="auto"/>
                <w:sz w:val="22"/>
                <w:szCs w:val="22"/>
              </w:rPr>
            </w:pPr>
            <w:r>
              <w:rPr>
                <w:color w:val="auto"/>
                <w:sz w:val="22"/>
                <w:szCs w:val="22"/>
              </w:rPr>
              <w:t>25</w:t>
            </w:r>
            <w:r w:rsidR="006A0308">
              <w:rPr>
                <w:color w:val="auto"/>
                <w:sz w:val="22"/>
                <w:szCs w:val="22"/>
              </w:rPr>
              <w:t xml:space="preserve"> applications</w:t>
            </w:r>
            <w:r w:rsidR="001C0D40">
              <w:rPr>
                <w:color w:val="auto"/>
                <w:sz w:val="22"/>
                <w:szCs w:val="22"/>
              </w:rPr>
              <w:t xml:space="preserve"> in the initial year</w:t>
            </w:r>
          </w:p>
        </w:tc>
        <w:tc>
          <w:tcPr>
            <w:tcW w:w="1080" w:type="dxa"/>
          </w:tcPr>
          <w:p w:rsidR="00C1745D" w:rsidRPr="006C74DA" w:rsidP="00E77C0B" w14:paraId="2E1487FC" w14:textId="37CCC92F">
            <w:pPr>
              <w:pStyle w:val="PlainText"/>
              <w:rPr>
                <w:color w:val="auto"/>
                <w:sz w:val="22"/>
                <w:szCs w:val="22"/>
              </w:rPr>
            </w:pPr>
            <w:r w:rsidRPr="006C74DA">
              <w:rPr>
                <w:color w:val="auto"/>
                <w:sz w:val="22"/>
                <w:szCs w:val="22"/>
              </w:rPr>
              <w:t>5</w:t>
            </w:r>
          </w:p>
        </w:tc>
        <w:tc>
          <w:tcPr>
            <w:tcW w:w="1170" w:type="dxa"/>
          </w:tcPr>
          <w:p w:rsidR="00C1745D" w:rsidRPr="006C74DA" w:rsidP="00E77C0B" w14:paraId="64B1914E" w14:textId="4935EA8B">
            <w:pPr>
              <w:pStyle w:val="PlainText"/>
              <w:rPr>
                <w:color w:val="auto"/>
                <w:sz w:val="22"/>
                <w:szCs w:val="22"/>
              </w:rPr>
            </w:pPr>
            <w:r w:rsidRPr="006C74DA">
              <w:rPr>
                <w:color w:val="auto"/>
                <w:sz w:val="22"/>
                <w:szCs w:val="22"/>
              </w:rPr>
              <w:t>125</w:t>
            </w:r>
          </w:p>
        </w:tc>
        <w:tc>
          <w:tcPr>
            <w:tcW w:w="1170" w:type="dxa"/>
          </w:tcPr>
          <w:p w:rsidR="00C1745D" w:rsidRPr="006C74DA" w:rsidP="00E77C0B" w14:paraId="0B205779" w14:textId="5FACEFE8">
            <w:pPr>
              <w:pStyle w:val="PlainText"/>
              <w:rPr>
                <w:color w:val="auto"/>
                <w:sz w:val="22"/>
                <w:szCs w:val="22"/>
              </w:rPr>
            </w:pPr>
            <w:r>
              <w:rPr>
                <w:color w:val="auto"/>
                <w:sz w:val="22"/>
                <w:szCs w:val="22"/>
              </w:rPr>
              <w:t>55.76</w:t>
            </w:r>
          </w:p>
        </w:tc>
        <w:tc>
          <w:tcPr>
            <w:tcW w:w="1080" w:type="dxa"/>
          </w:tcPr>
          <w:p w:rsidR="00C1745D" w:rsidRPr="006C74DA" w:rsidP="00E77C0B" w14:paraId="72C87347" w14:textId="0AF5045F">
            <w:pPr>
              <w:pStyle w:val="PlainText"/>
              <w:rPr>
                <w:color w:val="auto"/>
                <w:sz w:val="22"/>
                <w:szCs w:val="22"/>
              </w:rPr>
            </w:pPr>
            <w:r w:rsidRPr="007220F6">
              <w:rPr>
                <w:color w:val="auto"/>
                <w:sz w:val="22"/>
                <w:szCs w:val="22"/>
              </w:rPr>
              <w:t>6,970</w:t>
            </w:r>
          </w:p>
        </w:tc>
      </w:tr>
      <w:tr w14:paraId="6B5E964A" w14:textId="77777777" w:rsidTr="00B8761B">
        <w:tblPrEx>
          <w:tblW w:w="10530" w:type="dxa"/>
          <w:tblInd w:w="85" w:type="dxa"/>
          <w:tblLayout w:type="fixed"/>
          <w:tblLook w:val="04A0"/>
        </w:tblPrEx>
        <w:tc>
          <w:tcPr>
            <w:tcW w:w="1080" w:type="dxa"/>
          </w:tcPr>
          <w:p w:rsidR="00C1745D" w:rsidRPr="006C74DA" w:rsidP="00E77C0B" w14:paraId="5B393D1D" w14:textId="203DF06B">
            <w:pPr>
              <w:pStyle w:val="PlainText"/>
              <w:rPr>
                <w:color w:val="auto"/>
                <w:sz w:val="22"/>
                <w:szCs w:val="22"/>
              </w:rPr>
            </w:pPr>
            <w:r w:rsidRPr="006C74DA">
              <w:rPr>
                <w:color w:val="auto"/>
                <w:sz w:val="22"/>
                <w:szCs w:val="22"/>
              </w:rPr>
              <w:t>414.940</w:t>
            </w:r>
          </w:p>
        </w:tc>
        <w:tc>
          <w:tcPr>
            <w:tcW w:w="1620" w:type="dxa"/>
          </w:tcPr>
          <w:p w:rsidR="00C1745D" w:rsidRPr="006C74DA" w:rsidP="00E77C0B" w14:paraId="3DEA7B4B" w14:textId="1226590A">
            <w:pPr>
              <w:pStyle w:val="PlainText"/>
              <w:rPr>
                <w:color w:val="auto"/>
                <w:sz w:val="22"/>
                <w:szCs w:val="22"/>
              </w:rPr>
            </w:pPr>
            <w:r>
              <w:rPr>
                <w:color w:val="auto"/>
                <w:sz w:val="22"/>
                <w:szCs w:val="22"/>
              </w:rPr>
              <w:t xml:space="preserve">2 </w:t>
            </w:r>
            <w:r w:rsidRPr="00A01FC9" w:rsidR="001C0D40">
              <w:rPr>
                <w:color w:val="auto"/>
                <w:sz w:val="22"/>
                <w:szCs w:val="22"/>
              </w:rPr>
              <w:t>manufacturer</w:t>
            </w:r>
            <w:r w:rsidR="001C0D40">
              <w:rPr>
                <w:color w:val="auto"/>
                <w:sz w:val="22"/>
                <w:szCs w:val="22"/>
              </w:rPr>
              <w:t xml:space="preserve">s </w:t>
            </w:r>
          </w:p>
        </w:tc>
        <w:tc>
          <w:tcPr>
            <w:tcW w:w="1440" w:type="dxa"/>
          </w:tcPr>
          <w:p w:rsidR="00C1745D" w:rsidRPr="006C74DA" w:rsidP="00E77C0B" w14:paraId="6788CC74" w14:textId="34470DE7">
            <w:pPr>
              <w:pStyle w:val="PlainText"/>
              <w:rPr>
                <w:color w:val="auto"/>
                <w:sz w:val="22"/>
                <w:szCs w:val="22"/>
              </w:rPr>
            </w:pPr>
            <w:r>
              <w:rPr>
                <w:color w:val="auto"/>
                <w:sz w:val="22"/>
                <w:szCs w:val="22"/>
              </w:rPr>
              <w:t>1</w:t>
            </w:r>
          </w:p>
        </w:tc>
        <w:tc>
          <w:tcPr>
            <w:tcW w:w="1890" w:type="dxa"/>
          </w:tcPr>
          <w:p w:rsidR="00C1745D" w:rsidRPr="006C74DA" w:rsidP="00E77C0B" w14:paraId="4C465DFA" w14:textId="4217ED5C">
            <w:pPr>
              <w:pStyle w:val="PlainText"/>
              <w:rPr>
                <w:color w:val="auto"/>
                <w:sz w:val="22"/>
                <w:szCs w:val="22"/>
              </w:rPr>
            </w:pPr>
            <w:r>
              <w:rPr>
                <w:color w:val="auto"/>
                <w:sz w:val="22"/>
                <w:szCs w:val="22"/>
              </w:rPr>
              <w:t>2</w:t>
            </w:r>
            <w:r w:rsidR="006A0308">
              <w:rPr>
                <w:color w:val="auto"/>
                <w:sz w:val="22"/>
                <w:szCs w:val="22"/>
              </w:rPr>
              <w:t xml:space="preserve"> applications</w:t>
            </w:r>
            <w:r w:rsidR="001C0D40">
              <w:rPr>
                <w:color w:val="auto"/>
                <w:sz w:val="22"/>
                <w:szCs w:val="22"/>
              </w:rPr>
              <w:t xml:space="preserve"> in subsequent years</w:t>
            </w:r>
          </w:p>
        </w:tc>
        <w:tc>
          <w:tcPr>
            <w:tcW w:w="1080" w:type="dxa"/>
          </w:tcPr>
          <w:p w:rsidR="00C1745D" w:rsidRPr="006C74DA" w:rsidP="00E77C0B" w14:paraId="061860AD" w14:textId="517A4CDB">
            <w:pPr>
              <w:pStyle w:val="PlainText"/>
              <w:rPr>
                <w:color w:val="auto"/>
                <w:sz w:val="22"/>
                <w:szCs w:val="22"/>
              </w:rPr>
            </w:pPr>
            <w:r>
              <w:rPr>
                <w:color w:val="auto"/>
                <w:sz w:val="22"/>
                <w:szCs w:val="22"/>
              </w:rPr>
              <w:t>5</w:t>
            </w:r>
          </w:p>
        </w:tc>
        <w:tc>
          <w:tcPr>
            <w:tcW w:w="1170" w:type="dxa"/>
          </w:tcPr>
          <w:p w:rsidR="00C1745D" w:rsidRPr="006C74DA" w:rsidP="00E77C0B" w14:paraId="70417ADA" w14:textId="79810AC2">
            <w:pPr>
              <w:pStyle w:val="PlainText"/>
              <w:rPr>
                <w:color w:val="auto"/>
                <w:sz w:val="22"/>
                <w:szCs w:val="22"/>
              </w:rPr>
            </w:pPr>
            <w:r>
              <w:rPr>
                <w:color w:val="auto"/>
                <w:sz w:val="22"/>
                <w:szCs w:val="22"/>
              </w:rPr>
              <w:t>10</w:t>
            </w:r>
          </w:p>
        </w:tc>
        <w:tc>
          <w:tcPr>
            <w:tcW w:w="1170" w:type="dxa"/>
          </w:tcPr>
          <w:p w:rsidR="00C1745D" w:rsidRPr="006C74DA" w:rsidP="00E77C0B" w14:paraId="1B12EB44" w14:textId="7438C7F9">
            <w:pPr>
              <w:pStyle w:val="PlainText"/>
              <w:rPr>
                <w:color w:val="auto"/>
                <w:sz w:val="22"/>
                <w:szCs w:val="22"/>
              </w:rPr>
            </w:pPr>
            <w:r>
              <w:rPr>
                <w:color w:val="auto"/>
                <w:sz w:val="22"/>
                <w:szCs w:val="22"/>
              </w:rPr>
              <w:t>55.76</w:t>
            </w:r>
          </w:p>
        </w:tc>
        <w:tc>
          <w:tcPr>
            <w:tcW w:w="1080" w:type="dxa"/>
          </w:tcPr>
          <w:p w:rsidR="00C1745D" w:rsidRPr="006C74DA" w:rsidP="00E77C0B" w14:paraId="3FD86319" w14:textId="20A17A98">
            <w:pPr>
              <w:pStyle w:val="PlainText"/>
              <w:rPr>
                <w:color w:val="auto"/>
                <w:sz w:val="22"/>
                <w:szCs w:val="22"/>
              </w:rPr>
            </w:pPr>
            <w:r>
              <w:rPr>
                <w:color w:val="auto"/>
                <w:sz w:val="22"/>
                <w:szCs w:val="22"/>
              </w:rPr>
              <w:t>558</w:t>
            </w:r>
          </w:p>
        </w:tc>
      </w:tr>
      <w:tr w14:paraId="28FC1464" w14:textId="77777777" w:rsidTr="00566A02">
        <w:tblPrEx>
          <w:tblW w:w="10530" w:type="dxa"/>
          <w:tblInd w:w="85" w:type="dxa"/>
          <w:tblLayout w:type="fixed"/>
          <w:tblLook w:val="04A0"/>
        </w:tblPrEx>
        <w:tc>
          <w:tcPr>
            <w:tcW w:w="1080" w:type="dxa"/>
            <w:shd w:val="clear" w:color="auto" w:fill="D9D9D9" w:themeFill="background1" w:themeFillShade="D9"/>
          </w:tcPr>
          <w:p w:rsidR="00C1745D" w:rsidRPr="00566A02" w:rsidP="00E77C0B" w14:paraId="761DFD66" w14:textId="56A8EC0F">
            <w:pPr>
              <w:pStyle w:val="PlainText"/>
              <w:rPr>
                <w:b/>
                <w:bCs/>
                <w:color w:val="auto"/>
                <w:sz w:val="22"/>
                <w:szCs w:val="22"/>
              </w:rPr>
            </w:pPr>
            <w:r w:rsidRPr="00566A02">
              <w:rPr>
                <w:b/>
                <w:bCs/>
                <w:color w:val="auto"/>
                <w:sz w:val="22"/>
                <w:szCs w:val="22"/>
              </w:rPr>
              <w:t>TOTAL</w:t>
            </w:r>
          </w:p>
        </w:tc>
        <w:tc>
          <w:tcPr>
            <w:tcW w:w="1620" w:type="dxa"/>
            <w:shd w:val="clear" w:color="auto" w:fill="D9D9D9" w:themeFill="background1" w:themeFillShade="D9"/>
          </w:tcPr>
          <w:p w:rsidR="00C1745D" w:rsidRPr="00566A02" w:rsidP="00E77C0B" w14:paraId="778F25E4" w14:textId="6976716F">
            <w:pPr>
              <w:pStyle w:val="PlainText"/>
              <w:rPr>
                <w:b/>
                <w:bCs/>
                <w:color w:val="auto"/>
                <w:sz w:val="22"/>
                <w:szCs w:val="22"/>
              </w:rPr>
            </w:pPr>
            <w:r w:rsidRPr="00566A02">
              <w:rPr>
                <w:b/>
                <w:bCs/>
                <w:color w:val="auto"/>
                <w:sz w:val="22"/>
                <w:szCs w:val="22"/>
              </w:rPr>
              <w:t>37 manufacturers</w:t>
            </w:r>
          </w:p>
        </w:tc>
        <w:tc>
          <w:tcPr>
            <w:tcW w:w="1440" w:type="dxa"/>
            <w:shd w:val="clear" w:color="auto" w:fill="D9D9D9" w:themeFill="background1" w:themeFillShade="D9"/>
          </w:tcPr>
          <w:p w:rsidR="00C1745D" w:rsidRPr="00566A02" w:rsidP="00E77C0B" w14:paraId="49AD9523" w14:textId="7ADF7F55">
            <w:pPr>
              <w:pStyle w:val="PlainText"/>
              <w:rPr>
                <w:b/>
                <w:bCs/>
                <w:color w:val="auto"/>
                <w:sz w:val="22"/>
                <w:szCs w:val="22"/>
              </w:rPr>
            </w:pPr>
            <w:r w:rsidRPr="00566A02">
              <w:rPr>
                <w:b/>
                <w:bCs/>
                <w:color w:val="auto"/>
                <w:sz w:val="22"/>
                <w:szCs w:val="22"/>
              </w:rPr>
              <w:t>1</w:t>
            </w:r>
          </w:p>
        </w:tc>
        <w:tc>
          <w:tcPr>
            <w:tcW w:w="1890" w:type="dxa"/>
            <w:shd w:val="clear" w:color="auto" w:fill="D9D9D9" w:themeFill="background1" w:themeFillShade="D9"/>
          </w:tcPr>
          <w:p w:rsidR="00C1745D" w:rsidRPr="00566A02" w:rsidP="00E77C0B" w14:paraId="30687536" w14:textId="768F7BA4">
            <w:pPr>
              <w:pStyle w:val="PlainText"/>
              <w:rPr>
                <w:b/>
                <w:bCs/>
                <w:color w:val="auto"/>
                <w:sz w:val="22"/>
                <w:szCs w:val="22"/>
              </w:rPr>
            </w:pPr>
            <w:r w:rsidRPr="00566A02">
              <w:rPr>
                <w:b/>
                <w:bCs/>
                <w:color w:val="auto"/>
                <w:sz w:val="22"/>
                <w:szCs w:val="22"/>
              </w:rPr>
              <w:t>37</w:t>
            </w:r>
          </w:p>
        </w:tc>
        <w:tc>
          <w:tcPr>
            <w:tcW w:w="1080" w:type="dxa"/>
            <w:shd w:val="clear" w:color="auto" w:fill="D9D9D9" w:themeFill="background1" w:themeFillShade="D9"/>
          </w:tcPr>
          <w:p w:rsidR="00C1745D" w:rsidRPr="00566A02" w:rsidP="00E77C0B" w14:paraId="233F3C8E" w14:textId="173E6390">
            <w:pPr>
              <w:pStyle w:val="PlainText"/>
              <w:rPr>
                <w:b/>
                <w:bCs/>
                <w:color w:val="auto"/>
                <w:sz w:val="22"/>
                <w:szCs w:val="22"/>
              </w:rPr>
            </w:pPr>
            <w:r w:rsidRPr="00566A02">
              <w:rPr>
                <w:b/>
                <w:bCs/>
                <w:color w:val="auto"/>
                <w:sz w:val="22"/>
                <w:szCs w:val="22"/>
              </w:rPr>
              <w:t>varies</w:t>
            </w:r>
          </w:p>
        </w:tc>
        <w:tc>
          <w:tcPr>
            <w:tcW w:w="1170" w:type="dxa"/>
            <w:shd w:val="clear" w:color="auto" w:fill="D9D9D9" w:themeFill="background1" w:themeFillShade="D9"/>
          </w:tcPr>
          <w:p w:rsidR="00C1745D" w:rsidRPr="00566A02" w:rsidP="00E77C0B" w14:paraId="4C02C916" w14:textId="1A6C8A7C">
            <w:pPr>
              <w:pStyle w:val="PlainText"/>
              <w:rPr>
                <w:b/>
                <w:bCs/>
                <w:color w:val="auto"/>
                <w:sz w:val="22"/>
                <w:szCs w:val="22"/>
              </w:rPr>
            </w:pPr>
            <w:r w:rsidRPr="00566A02">
              <w:rPr>
                <w:b/>
                <w:bCs/>
                <w:color w:val="auto"/>
                <w:sz w:val="22"/>
                <w:szCs w:val="22"/>
              </w:rPr>
              <w:t>535</w:t>
            </w:r>
          </w:p>
        </w:tc>
        <w:tc>
          <w:tcPr>
            <w:tcW w:w="1170" w:type="dxa"/>
            <w:shd w:val="clear" w:color="auto" w:fill="D9D9D9" w:themeFill="background1" w:themeFillShade="D9"/>
          </w:tcPr>
          <w:p w:rsidR="00C1745D" w:rsidRPr="00566A02" w:rsidP="00E77C0B" w14:paraId="21E91EFF" w14:textId="1CD17862">
            <w:pPr>
              <w:pStyle w:val="PlainText"/>
              <w:rPr>
                <w:b/>
                <w:bCs/>
                <w:color w:val="auto"/>
                <w:sz w:val="22"/>
                <w:szCs w:val="22"/>
              </w:rPr>
            </w:pPr>
            <w:r w:rsidRPr="00566A02">
              <w:rPr>
                <w:b/>
                <w:bCs/>
                <w:color w:val="auto"/>
                <w:sz w:val="22"/>
                <w:szCs w:val="22"/>
              </w:rPr>
              <w:t>55.76</w:t>
            </w:r>
          </w:p>
        </w:tc>
        <w:tc>
          <w:tcPr>
            <w:tcW w:w="1080" w:type="dxa"/>
            <w:shd w:val="clear" w:color="auto" w:fill="D9D9D9" w:themeFill="background1" w:themeFillShade="D9"/>
          </w:tcPr>
          <w:p w:rsidR="00C1745D" w:rsidRPr="00566A02" w:rsidP="00E77C0B" w14:paraId="0756D37D" w14:textId="37ABAA22">
            <w:pPr>
              <w:pStyle w:val="PlainText"/>
              <w:rPr>
                <w:b/>
                <w:bCs/>
                <w:color w:val="auto"/>
                <w:sz w:val="22"/>
                <w:szCs w:val="22"/>
              </w:rPr>
            </w:pPr>
            <w:r w:rsidRPr="00566A02">
              <w:rPr>
                <w:b/>
                <w:bCs/>
                <w:color w:val="auto"/>
                <w:sz w:val="22"/>
                <w:szCs w:val="22"/>
              </w:rPr>
              <w:t>29,832</w:t>
            </w:r>
          </w:p>
        </w:tc>
      </w:tr>
    </w:tbl>
    <w:p w:rsidR="00E62AD3" w:rsidP="00BC4857" w14:paraId="51AFD1ED" w14:textId="77777777">
      <w:pPr>
        <w:pStyle w:val="PlainText"/>
        <w:rPr>
          <w:color w:val="auto"/>
          <w:sz w:val="24"/>
          <w:szCs w:val="24"/>
        </w:rPr>
      </w:pPr>
    </w:p>
    <w:p w:rsidR="00BC4857" w:rsidRPr="00CE1926" w:rsidP="00BC4857" w14:paraId="1C84B054" w14:textId="25736B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4"/>
        </w:rPr>
      </w:pPr>
      <w:r w:rsidRPr="00CE1926">
        <w:rPr>
          <w:i/>
          <w:iCs/>
          <w:sz w:val="24"/>
        </w:rPr>
        <w:t>Collection of Information Instruments and Instruction/Guidance Documents</w:t>
      </w:r>
    </w:p>
    <w:p w:rsidR="00BC4857" w:rsidP="00BC4857" w14:paraId="37DA54DF" w14:textId="77777777">
      <w:pPr>
        <w:pStyle w:val="PlainText"/>
        <w:rPr>
          <w:color w:val="auto"/>
          <w:sz w:val="24"/>
          <w:szCs w:val="24"/>
        </w:rPr>
      </w:pPr>
    </w:p>
    <w:p w:rsidR="00BC4857" w:rsidP="007862B1" w14:paraId="1531FDC8" w14:textId="733D4223">
      <w:pPr>
        <w:pStyle w:val="PlainText"/>
        <w:rPr>
          <w:color w:val="auto"/>
          <w:sz w:val="24"/>
          <w:szCs w:val="24"/>
        </w:rPr>
      </w:pPr>
      <w:r w:rsidRPr="00CB6683">
        <w:rPr>
          <w:color w:val="auto"/>
          <w:sz w:val="24"/>
          <w:szCs w:val="24"/>
        </w:rPr>
        <w:t xml:space="preserve">Not applicable. </w:t>
      </w:r>
      <w:r w:rsidRPr="00470490" w:rsidR="0031385B">
        <w:rPr>
          <w:color w:val="auto"/>
          <w:sz w:val="24"/>
          <w:szCs w:val="24"/>
        </w:rPr>
        <w:t>This collection of information request does not include any reporting instruments. The</w:t>
      </w:r>
      <w:r w:rsidRPr="0031385B" w:rsidR="0031385B">
        <w:rPr>
          <w:color w:val="auto"/>
          <w:sz w:val="24"/>
          <w:szCs w:val="24"/>
        </w:rPr>
        <w:t xml:space="preserve"> requirements are provided in the </w:t>
      </w:r>
      <w:r w:rsidRPr="0031385B" w:rsidR="0031385B">
        <w:rPr>
          <w:color w:val="auto"/>
          <w:sz w:val="24"/>
          <w:szCs w:val="24"/>
        </w:rPr>
        <w:t>aforementioned rules</w:t>
      </w:r>
      <w:r w:rsidRPr="0031385B" w:rsidR="0031385B">
        <w:rPr>
          <w:color w:val="auto"/>
          <w:sz w:val="24"/>
          <w:szCs w:val="24"/>
        </w:rPr>
        <w:t xml:space="preserve"> as codified in the CFR.</w:t>
      </w:r>
    </w:p>
    <w:p w:rsidR="007C2500" w:rsidRPr="00953F20" w:rsidP="007862B1" w14:paraId="76C821F0" w14:textId="77777777">
      <w:pPr>
        <w:pStyle w:val="PlainText"/>
        <w:rPr>
          <w:color w:val="auto"/>
          <w:sz w:val="24"/>
          <w:szCs w:val="24"/>
        </w:rPr>
      </w:pPr>
    </w:p>
    <w:p w:rsidR="008F1EB4" w:rsidRPr="00953F20" w:rsidP="00E77C0B" w14:paraId="51AFD1E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13.</w:t>
      </w:r>
      <w:r w:rsidRPr="00953F20">
        <w:rPr>
          <w:sz w:val="24"/>
        </w:rPr>
        <w:tab/>
      </w:r>
      <w:r w:rsidRPr="00953F20">
        <w:rPr>
          <w:sz w:val="24"/>
          <w:u w:val="single"/>
        </w:rPr>
        <w:t>Capital Costs</w:t>
      </w:r>
    </w:p>
    <w:p w:rsidR="00D736F0" w:rsidRPr="00953F20" w:rsidP="007862B1" w14:paraId="51AFD1EF" w14:textId="77777777">
      <w:pPr>
        <w:pStyle w:val="BodyText"/>
        <w:rPr>
          <w:b/>
        </w:rPr>
      </w:pPr>
    </w:p>
    <w:p w:rsidR="00D736F0" w:rsidRPr="00953F20" w:rsidP="007862B1" w14:paraId="51AFD1F0" w14:textId="77777777">
      <w:pPr>
        <w:pStyle w:val="BodyText"/>
      </w:pPr>
      <w:bookmarkStart w:id="3" w:name="There_are_no_additional_recordkeeping_or"/>
      <w:bookmarkEnd w:id="3"/>
      <w:r w:rsidRPr="00953F20">
        <w:t>There</w:t>
      </w:r>
      <w:r w:rsidRPr="00953F20">
        <w:rPr>
          <w:spacing w:val="-2"/>
        </w:rPr>
        <w:t xml:space="preserve"> </w:t>
      </w:r>
      <w:r w:rsidRPr="00953F20">
        <w:t>are</w:t>
      </w:r>
      <w:r w:rsidRPr="00953F20">
        <w:rPr>
          <w:spacing w:val="-1"/>
        </w:rPr>
        <w:t xml:space="preserve"> </w:t>
      </w:r>
      <w:r w:rsidRPr="00953F20">
        <w:t>no</w:t>
      </w:r>
      <w:r w:rsidRPr="00953F20">
        <w:rPr>
          <w:spacing w:val="-3"/>
        </w:rPr>
        <w:t xml:space="preserve"> </w:t>
      </w:r>
      <w:r w:rsidRPr="00953F20">
        <w:t>additional</w:t>
      </w:r>
      <w:r w:rsidRPr="00953F20">
        <w:rPr>
          <w:spacing w:val="-3"/>
        </w:rPr>
        <w:t xml:space="preserve"> </w:t>
      </w:r>
      <w:r w:rsidRPr="00953F20">
        <w:t>recordkeeping</w:t>
      </w:r>
      <w:r w:rsidRPr="00953F20">
        <w:rPr>
          <w:spacing w:val="-1"/>
        </w:rPr>
        <w:t xml:space="preserve"> </w:t>
      </w:r>
      <w:r w:rsidRPr="00953F20">
        <w:t>or</w:t>
      </w:r>
      <w:r w:rsidRPr="00953F20">
        <w:rPr>
          <w:spacing w:val="-1"/>
        </w:rPr>
        <w:t xml:space="preserve"> </w:t>
      </w:r>
      <w:r w:rsidRPr="00953F20">
        <w:t>capital</w:t>
      </w:r>
      <w:r w:rsidRPr="00953F20">
        <w:rPr>
          <w:spacing w:val="-2"/>
        </w:rPr>
        <w:t xml:space="preserve"> </w:t>
      </w:r>
      <w:r w:rsidRPr="00953F20">
        <w:t>costs.</w:t>
      </w:r>
    </w:p>
    <w:p w:rsidR="008F1EB4" w:rsidRPr="00953F20" w:rsidP="00E77C0B" w14:paraId="51AFD1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1F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14.</w:t>
      </w:r>
      <w:r w:rsidRPr="00953F20">
        <w:rPr>
          <w:sz w:val="24"/>
        </w:rPr>
        <w:tab/>
      </w:r>
      <w:r w:rsidRPr="00953F20">
        <w:rPr>
          <w:sz w:val="24"/>
          <w:u w:val="single"/>
        </w:rPr>
        <w:t>Cost to Federal Government</w:t>
      </w:r>
    </w:p>
    <w:p w:rsidR="008F1EB4" w:rsidRPr="00953F20" w:rsidP="00E77C0B" w14:paraId="51AFD1F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736F0" w:rsidP="007862B1" w14:paraId="51AFD1F4" w14:textId="2615CB8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 xml:space="preserve">The calculations for employees’ hourly salary </w:t>
      </w:r>
      <w:r w:rsidRPr="00953F20" w:rsidR="00E84757">
        <w:rPr>
          <w:sz w:val="24"/>
        </w:rPr>
        <w:t>were</w:t>
      </w:r>
      <w:r w:rsidRPr="00953F20">
        <w:rPr>
          <w:sz w:val="24"/>
        </w:rPr>
        <w:t xml:space="preserve"> obtained from the OPM website, with an additional 100% to account for fringe benefits.</w:t>
      </w:r>
    </w:p>
    <w:p w:rsidR="0065387E" w:rsidRPr="00953F20" w:rsidP="007862B1" w14:paraId="6A23879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1"/>
        <w:gridCol w:w="4669"/>
      </w:tblGrid>
      <w:tr w14:paraId="51AFD1F7" w14:textId="77777777" w:rsidTr="007814C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8"/>
        </w:trPr>
        <w:tc>
          <w:tcPr>
            <w:tcW w:w="2503" w:type="pct"/>
            <w:tcBorders>
              <w:bottom w:val="single" w:sz="12" w:space="0" w:color="auto"/>
            </w:tcBorders>
            <w:shd w:val="clear" w:color="auto" w:fill="auto"/>
            <w:vAlign w:val="center"/>
          </w:tcPr>
          <w:p w:rsidR="00D736F0" w:rsidRPr="00953F20" w:rsidP="007862B1" w14:paraId="51AFD1F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953F20">
              <w:rPr>
                <w:b/>
                <w:sz w:val="24"/>
              </w:rPr>
              <w:t>Task</w:t>
            </w:r>
          </w:p>
        </w:tc>
        <w:tc>
          <w:tcPr>
            <w:tcW w:w="2497" w:type="pct"/>
            <w:tcBorders>
              <w:bottom w:val="single" w:sz="12" w:space="0" w:color="auto"/>
            </w:tcBorders>
            <w:shd w:val="clear" w:color="auto" w:fill="auto"/>
            <w:vAlign w:val="bottom"/>
          </w:tcPr>
          <w:p w:rsidR="00D736F0" w:rsidRPr="00953F20" w:rsidP="007862B1" w14:paraId="51AFD1F6" w14:textId="7FE7D1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953F20">
              <w:rPr>
                <w:b/>
                <w:sz w:val="24"/>
              </w:rPr>
              <w:t xml:space="preserve">Estimated </w:t>
            </w:r>
            <w:r w:rsidR="00821BBC">
              <w:rPr>
                <w:b/>
                <w:sz w:val="24"/>
              </w:rPr>
              <w:t xml:space="preserve">Annual </w:t>
            </w:r>
            <w:r w:rsidRPr="00953F20">
              <w:rPr>
                <w:b/>
                <w:sz w:val="24"/>
              </w:rPr>
              <w:t>Cost</w:t>
            </w:r>
          </w:p>
        </w:tc>
      </w:tr>
      <w:tr w14:paraId="51AFD1FA" w14:textId="77777777" w:rsidTr="007814C9">
        <w:tblPrEx>
          <w:tblW w:w="5000" w:type="pct"/>
          <w:tblLook w:val="04A0"/>
        </w:tblPrEx>
        <w:tc>
          <w:tcPr>
            <w:tcW w:w="2503" w:type="pct"/>
            <w:tcBorders>
              <w:top w:val="single" w:sz="12" w:space="0" w:color="auto"/>
            </w:tcBorders>
            <w:shd w:val="clear" w:color="auto" w:fill="auto"/>
          </w:tcPr>
          <w:p w:rsidR="00674305" w:rsidRPr="00953F20" w:rsidP="007862B1" w14:paraId="51AFD1F8" w14:textId="2D2DEA2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 xml:space="preserve">3 GS-13:2 x $102.71 x </w:t>
            </w:r>
            <w:r w:rsidR="00821BBC">
              <w:rPr>
                <w:sz w:val="24"/>
              </w:rPr>
              <w:t>4</w:t>
            </w:r>
            <w:r w:rsidRPr="00953F20" w:rsidR="00821BBC">
              <w:rPr>
                <w:sz w:val="24"/>
              </w:rPr>
              <w:t xml:space="preserve">0 </w:t>
            </w:r>
            <w:r w:rsidRPr="00953F20">
              <w:rPr>
                <w:sz w:val="24"/>
              </w:rPr>
              <w:t>hours</w:t>
            </w:r>
          </w:p>
        </w:tc>
        <w:tc>
          <w:tcPr>
            <w:tcW w:w="2497" w:type="pct"/>
            <w:tcBorders>
              <w:top w:val="single" w:sz="12" w:space="0" w:color="auto"/>
            </w:tcBorders>
            <w:shd w:val="clear" w:color="auto" w:fill="auto"/>
          </w:tcPr>
          <w:p w:rsidR="00674305" w:rsidRPr="00953F20" w:rsidP="007862B1" w14:paraId="51AFD1F9" w14:textId="557C105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w:t>
            </w:r>
            <w:r w:rsidR="00821BBC">
              <w:rPr>
                <w:sz w:val="24"/>
              </w:rPr>
              <w:t>12,325.20</w:t>
            </w:r>
          </w:p>
        </w:tc>
      </w:tr>
      <w:tr w14:paraId="51AFD1FD" w14:textId="77777777" w:rsidTr="007814C9">
        <w:tblPrEx>
          <w:tblW w:w="5000" w:type="pct"/>
          <w:tblLook w:val="04A0"/>
        </w:tblPrEx>
        <w:tc>
          <w:tcPr>
            <w:tcW w:w="2503" w:type="pct"/>
            <w:shd w:val="clear" w:color="auto" w:fill="auto"/>
          </w:tcPr>
          <w:p w:rsidR="00D736F0" w:rsidRPr="00953F20" w:rsidP="007862B1" w14:paraId="51AFD1FB" w14:textId="138C9CD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 xml:space="preserve">2 GS-14:2 x $121.38 x </w:t>
            </w:r>
            <w:r w:rsidR="00821BBC">
              <w:rPr>
                <w:sz w:val="24"/>
              </w:rPr>
              <w:t>4</w:t>
            </w:r>
            <w:r w:rsidRPr="00953F20" w:rsidR="00821BBC">
              <w:rPr>
                <w:sz w:val="24"/>
              </w:rPr>
              <w:t xml:space="preserve">0 </w:t>
            </w:r>
            <w:r w:rsidRPr="00953F20">
              <w:rPr>
                <w:sz w:val="24"/>
              </w:rPr>
              <w:t>hours</w:t>
            </w:r>
          </w:p>
        </w:tc>
        <w:tc>
          <w:tcPr>
            <w:tcW w:w="2497" w:type="pct"/>
            <w:shd w:val="clear" w:color="auto" w:fill="auto"/>
          </w:tcPr>
          <w:p w:rsidR="00D736F0" w:rsidRPr="00953F20" w:rsidP="007862B1" w14:paraId="51AFD1FC" w14:textId="1469FB3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w:t>
            </w:r>
            <w:r w:rsidR="00821BBC">
              <w:rPr>
                <w:sz w:val="24"/>
              </w:rPr>
              <w:t>9,710.40</w:t>
            </w:r>
          </w:p>
        </w:tc>
      </w:tr>
      <w:tr w14:paraId="51AFD200" w14:textId="77777777" w:rsidTr="007814C9">
        <w:tblPrEx>
          <w:tblW w:w="5000" w:type="pct"/>
          <w:tblLook w:val="04A0"/>
        </w:tblPrEx>
        <w:tc>
          <w:tcPr>
            <w:tcW w:w="2503" w:type="pct"/>
            <w:tcBorders>
              <w:bottom w:val="single" w:sz="12" w:space="0" w:color="auto"/>
            </w:tcBorders>
            <w:shd w:val="clear" w:color="auto" w:fill="auto"/>
          </w:tcPr>
          <w:p w:rsidR="00D736F0" w:rsidRPr="00953F20" w:rsidP="007862B1" w14:paraId="51AFD1FE" w14:textId="3CA2B47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pacing w:val="-1"/>
                <w:sz w:val="24"/>
              </w:rPr>
              <w:t>3</w:t>
            </w:r>
            <w:r w:rsidRPr="00953F20" w:rsidR="00674305">
              <w:rPr>
                <w:spacing w:val="-1"/>
                <w:sz w:val="24"/>
              </w:rPr>
              <w:t xml:space="preserve"> </w:t>
            </w:r>
            <w:r w:rsidRPr="00953F20" w:rsidR="00674305">
              <w:rPr>
                <w:sz w:val="24"/>
              </w:rPr>
              <w:t>GS-15:</w:t>
            </w:r>
            <w:r w:rsidRPr="00953F20">
              <w:rPr>
                <w:sz w:val="24"/>
              </w:rPr>
              <w:t>3</w:t>
            </w:r>
            <w:r w:rsidRPr="00953F20" w:rsidR="00674305">
              <w:rPr>
                <w:sz w:val="24"/>
              </w:rPr>
              <w:t xml:space="preserve"> x $142.77</w:t>
            </w:r>
            <w:r w:rsidRPr="00953F20" w:rsidR="00674305">
              <w:rPr>
                <w:spacing w:val="-1"/>
                <w:sz w:val="24"/>
              </w:rPr>
              <w:t xml:space="preserve"> </w:t>
            </w:r>
            <w:r w:rsidRPr="00953F20" w:rsidR="00674305">
              <w:rPr>
                <w:sz w:val="24"/>
              </w:rPr>
              <w:t xml:space="preserve">x </w:t>
            </w:r>
            <w:r w:rsidR="00821BBC">
              <w:rPr>
                <w:sz w:val="24"/>
              </w:rPr>
              <w:t>8</w:t>
            </w:r>
            <w:r w:rsidRPr="00953F20" w:rsidR="00821BBC">
              <w:rPr>
                <w:sz w:val="24"/>
              </w:rPr>
              <w:t xml:space="preserve"> </w:t>
            </w:r>
            <w:r w:rsidRPr="00953F20" w:rsidR="00674305">
              <w:rPr>
                <w:sz w:val="24"/>
              </w:rPr>
              <w:t>hours</w:t>
            </w:r>
          </w:p>
        </w:tc>
        <w:tc>
          <w:tcPr>
            <w:tcW w:w="2497" w:type="pct"/>
            <w:tcBorders>
              <w:bottom w:val="single" w:sz="12" w:space="0" w:color="auto"/>
            </w:tcBorders>
            <w:shd w:val="clear" w:color="auto" w:fill="auto"/>
          </w:tcPr>
          <w:p w:rsidR="00D736F0" w:rsidRPr="00953F20" w:rsidP="007862B1" w14:paraId="51AFD1FF" w14:textId="48F147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w:t>
            </w:r>
            <w:r w:rsidR="00821BBC">
              <w:rPr>
                <w:sz w:val="24"/>
              </w:rPr>
              <w:t>3,426.48</w:t>
            </w:r>
          </w:p>
        </w:tc>
      </w:tr>
      <w:tr w14:paraId="51AFD203" w14:textId="77777777" w:rsidTr="00566A02">
        <w:tblPrEx>
          <w:tblW w:w="5000" w:type="pct"/>
          <w:tblLook w:val="04A0"/>
        </w:tblPrEx>
        <w:tc>
          <w:tcPr>
            <w:tcW w:w="2503" w:type="pct"/>
            <w:tcBorders>
              <w:top w:val="single" w:sz="12" w:space="0" w:color="auto"/>
            </w:tcBorders>
            <w:shd w:val="clear" w:color="auto" w:fill="D9D9D9" w:themeFill="background1" w:themeFillShade="D9"/>
          </w:tcPr>
          <w:p w:rsidR="00D056E4" w:rsidRPr="00953F20" w:rsidP="007862B1" w14:paraId="51AFD201" w14:textId="52F6EA5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pacing w:val="-1"/>
                <w:sz w:val="24"/>
              </w:rPr>
            </w:pPr>
            <w:r w:rsidRPr="00953F20">
              <w:rPr>
                <w:b/>
                <w:spacing w:val="-1"/>
                <w:sz w:val="24"/>
              </w:rPr>
              <w:t>Total</w:t>
            </w:r>
          </w:p>
        </w:tc>
        <w:tc>
          <w:tcPr>
            <w:tcW w:w="2497" w:type="pct"/>
            <w:tcBorders>
              <w:top w:val="single" w:sz="12" w:space="0" w:color="auto"/>
            </w:tcBorders>
            <w:shd w:val="clear" w:color="auto" w:fill="D9D9D9" w:themeFill="background1" w:themeFillShade="D9"/>
          </w:tcPr>
          <w:p w:rsidR="00D056E4" w:rsidRPr="00953F20" w:rsidP="007862B1" w14:paraId="51AFD202" w14:textId="6B44E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953F20">
              <w:rPr>
                <w:b/>
                <w:sz w:val="24"/>
              </w:rPr>
              <w:t>$</w:t>
            </w:r>
            <w:r w:rsidR="00821BBC">
              <w:rPr>
                <w:b/>
                <w:sz w:val="24"/>
              </w:rPr>
              <w:t>25,462.08</w:t>
            </w:r>
          </w:p>
        </w:tc>
      </w:tr>
    </w:tbl>
    <w:p w:rsidR="008F1EB4" w:rsidRPr="00953F20" w:rsidP="00E77C0B" w14:paraId="51AFD20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20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15.</w:t>
      </w:r>
      <w:r w:rsidRPr="00953F20">
        <w:rPr>
          <w:sz w:val="24"/>
        </w:rPr>
        <w:tab/>
      </w:r>
      <w:r w:rsidRPr="00953F20">
        <w:rPr>
          <w:sz w:val="24"/>
          <w:u w:val="single"/>
        </w:rPr>
        <w:t>Changes to Burden</w:t>
      </w:r>
    </w:p>
    <w:p w:rsidR="008F1EB4" w:rsidRPr="00953F20" w:rsidP="00E77C0B" w14:paraId="51AFD206"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P="00E77C0B" w14:paraId="51AFD208" w14:textId="3FCA5B2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6754C2">
        <w:rPr>
          <w:sz w:val="24"/>
        </w:rPr>
        <w:t xml:space="preserve">In the CY 2024 PFS </w:t>
      </w:r>
      <w:r w:rsidR="00D9776C">
        <w:rPr>
          <w:sz w:val="24"/>
        </w:rPr>
        <w:t>final</w:t>
      </w:r>
      <w:r w:rsidRPr="006754C2">
        <w:rPr>
          <w:sz w:val="24"/>
        </w:rPr>
        <w:t xml:space="preserve"> rule, we </w:t>
      </w:r>
      <w:r w:rsidR="00D9776C">
        <w:rPr>
          <w:sz w:val="24"/>
        </w:rPr>
        <w:t>finalized</w:t>
      </w:r>
      <w:r w:rsidRPr="006754C2">
        <w:rPr>
          <w:sz w:val="24"/>
        </w:rPr>
        <w:t xml:space="preserve"> an application process through which each manufacturer </w:t>
      </w:r>
      <w:r w:rsidRPr="006754C2" w:rsidR="00E84757">
        <w:rPr>
          <w:sz w:val="24"/>
        </w:rPr>
        <w:t>can</w:t>
      </w:r>
      <w:r w:rsidRPr="006754C2">
        <w:rPr>
          <w:sz w:val="24"/>
        </w:rPr>
        <w:t xml:space="preserve"> request</w:t>
      </w:r>
      <w:r w:rsidR="004C7F2E">
        <w:rPr>
          <w:sz w:val="24"/>
        </w:rPr>
        <w:t xml:space="preserve"> that we consider increasing the applicable percentage for a particular drug based on unique circumstances</w:t>
      </w:r>
      <w:r w:rsidRPr="006754C2">
        <w:rPr>
          <w:sz w:val="24"/>
        </w:rPr>
        <w:t xml:space="preserve">. Under this process, by February 1 of the calendar year prior to the year the increased applicable percentage would apply, manufacturers </w:t>
      </w:r>
      <w:r w:rsidRPr="006754C2" w:rsidR="00C75DD3">
        <w:rPr>
          <w:sz w:val="24"/>
        </w:rPr>
        <w:t>w</w:t>
      </w:r>
      <w:r w:rsidR="00C75DD3">
        <w:rPr>
          <w:sz w:val="24"/>
        </w:rPr>
        <w:t>ill</w:t>
      </w:r>
      <w:r w:rsidRPr="006754C2" w:rsidR="00C75DD3">
        <w:rPr>
          <w:sz w:val="24"/>
        </w:rPr>
        <w:t xml:space="preserve"> </w:t>
      </w:r>
      <w:r w:rsidRPr="006754C2">
        <w:rPr>
          <w:sz w:val="24"/>
        </w:rPr>
        <w:t xml:space="preserve">submit to CMS: </w:t>
      </w:r>
      <w:r w:rsidRPr="002708CC" w:rsidR="009D24D3">
        <w:rPr>
          <w:sz w:val="24"/>
        </w:rPr>
        <w:t xml:space="preserve">(1) a written request that a drug be considered </w:t>
      </w:r>
      <w:r w:rsidR="009D24D3">
        <w:rPr>
          <w:bCs/>
          <w:sz w:val="24"/>
        </w:rPr>
        <w:t xml:space="preserve">for an increased </w:t>
      </w:r>
      <w:r w:rsidRPr="00DC6687" w:rsidR="009D24D3">
        <w:rPr>
          <w:bCs/>
          <w:sz w:val="24"/>
        </w:rPr>
        <w:t>applicable percentage</w:t>
      </w:r>
      <w:r w:rsidR="009D24D3">
        <w:rPr>
          <w:bCs/>
          <w:sz w:val="24"/>
        </w:rPr>
        <w:t xml:space="preserve"> based on its unique circumstances</w:t>
      </w:r>
      <w:r w:rsidRPr="002708CC" w:rsidR="009D24D3">
        <w:rPr>
          <w:sz w:val="24"/>
        </w:rPr>
        <w:t xml:space="preserve">; (2) FDA-approved labeling; (3) justification for the consideration of </w:t>
      </w:r>
      <w:r w:rsidR="009D24D3">
        <w:rPr>
          <w:bCs/>
          <w:sz w:val="24"/>
        </w:rPr>
        <w:t>an increased applicable percentage based on such unique circumstances</w:t>
      </w:r>
      <w:r w:rsidRPr="002708CC" w:rsidR="009D24D3">
        <w:rPr>
          <w:sz w:val="24"/>
        </w:rPr>
        <w:t>; and (4) justification for the requested applicable percentage.</w:t>
      </w:r>
      <w:r w:rsidR="009D24D3">
        <w:rPr>
          <w:sz w:val="24"/>
        </w:rPr>
        <w:t xml:space="preserve"> </w:t>
      </w:r>
      <w:r w:rsidRPr="006754C2">
        <w:rPr>
          <w:sz w:val="24"/>
        </w:rPr>
        <w:t>The burden imposed on respondents consists of the drafting and submission of the request for unique circumstance consideration.</w:t>
      </w:r>
    </w:p>
    <w:p w:rsidR="009046A6" w:rsidP="009046A6" w14:paraId="522A44CD"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230BA" w:rsidRPr="00D230BA" w:rsidP="00D230BA" w14:paraId="6484A87D" w14:textId="6CD25534">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In the initial year, </w:t>
      </w:r>
      <w:r w:rsidRPr="00D230BA">
        <w:rPr>
          <w:sz w:val="24"/>
        </w:rPr>
        <w:t>we estimate that the burden per respondent/applicant of drafting and submitting the unique circumstance application to be 5 hours. We anticipate 25 applications in the initial year that applications are available. In the initial year, we estimate a one-time burden of 125 hours (25 applications x 5 hr per respondent/applicant) at a cost of $6,970 (125 hr x $55.76/hr) to draft and submit the application.</w:t>
      </w:r>
    </w:p>
    <w:p w:rsidR="00D230BA" w:rsidRPr="00D230BA" w:rsidP="00D230BA" w14:paraId="5040BBD2"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230BA" w:rsidRPr="00D230BA" w:rsidP="00D230BA" w14:paraId="5E723D28" w14:textId="5118D1E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230BA">
        <w:rPr>
          <w:sz w:val="24"/>
        </w:rPr>
        <w:t xml:space="preserve">Once a manufacturer has applied for a drug and a decision has been made regarding whether an increased applicable percentage is appropriate, the manufacturer </w:t>
      </w:r>
      <w:r w:rsidR="00CD5C0D">
        <w:rPr>
          <w:sz w:val="24"/>
        </w:rPr>
        <w:t>does</w:t>
      </w:r>
      <w:r w:rsidRPr="00D230BA" w:rsidR="00CD5C0D">
        <w:rPr>
          <w:sz w:val="24"/>
        </w:rPr>
        <w:t xml:space="preserve"> </w:t>
      </w:r>
      <w:r w:rsidRPr="00D230BA">
        <w:rPr>
          <w:sz w:val="24"/>
        </w:rPr>
        <w:t xml:space="preserve">not need to apply again.  </w:t>
      </w:r>
    </w:p>
    <w:p w:rsidR="00D230BA" w:rsidRPr="00D230BA" w:rsidP="00D230BA" w14:paraId="5FA10783"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230BA" w:rsidP="00D230BA" w14:paraId="13FBBE1A" w14:textId="6B36073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D230BA">
        <w:rPr>
          <w:sz w:val="24"/>
        </w:rPr>
        <w:t xml:space="preserve">In subsequent years we expect a smaller number of applications.  When evaluating the approval dates of these 25 drugs, we find that there is a range of 0 to 4 drugs per year approved that would be expected to owe a refund of more than $50,000 per year.  From 2010—2020, the mean number of such approvals is 1.45 per year.  If rounded up, we estimate that we </w:t>
      </w:r>
      <w:r w:rsidR="00CD5C0D">
        <w:rPr>
          <w:sz w:val="24"/>
        </w:rPr>
        <w:t>will</w:t>
      </w:r>
      <w:r w:rsidRPr="00D230BA">
        <w:rPr>
          <w:sz w:val="24"/>
        </w:rPr>
        <w:t xml:space="preserve"> typically receive 2 applications per year except the initial application year. In this regard we estimate an annual burden of 10 hours (2 applications x 5 hr per respondent/applicant) at a cost of $558 (10 hr x $55.76/hr) to draft and submit the application.</w:t>
      </w:r>
    </w:p>
    <w:p w:rsidR="00D3726B" w:rsidP="00D230BA" w14:paraId="6E517AA3"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3726B" w:rsidP="00D230BA" w14:paraId="3653E097" w14:textId="12C0931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w:t>
      </w:r>
      <w:r w:rsidRPr="00D3726B">
        <w:rPr>
          <w:sz w:val="24"/>
        </w:rPr>
        <w:t xml:space="preserve">o request that we consider increasing the applicable percentage for a particular refundable drug, </w:t>
      </w:r>
      <w:r>
        <w:rPr>
          <w:sz w:val="24"/>
        </w:rPr>
        <w:t xml:space="preserve">we </w:t>
      </w:r>
      <w:r w:rsidR="00D9776C">
        <w:rPr>
          <w:sz w:val="24"/>
        </w:rPr>
        <w:t xml:space="preserve">finalized </w:t>
      </w:r>
      <w:r>
        <w:rPr>
          <w:sz w:val="24"/>
        </w:rPr>
        <w:t xml:space="preserve">that </w:t>
      </w:r>
      <w:r w:rsidRPr="00D3726B">
        <w:rPr>
          <w:sz w:val="24"/>
        </w:rPr>
        <w:t>a manufacturer must submit the following: (1) a written request that a drug be considered for an increased applicable percentage based on its unique circumstances; (2) FDA-approved labeling; (3) justification for the consideration of an increased applicable percentage based on such unique circumstances; and (4) justification for the requested increase in the applicable percentage. Such justification could include documents, such as (but not limited to) a minimum vial fill volume study or a dose preparation study.</w:t>
      </w:r>
    </w:p>
    <w:p w:rsidR="00D230BA" w:rsidP="009046A6" w14:paraId="2B091120"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bl>
      <w:tblPr>
        <w:tblStyle w:val="TableGrid"/>
        <w:tblW w:w="10530" w:type="dxa"/>
        <w:tblInd w:w="85" w:type="dxa"/>
        <w:tblLayout w:type="fixed"/>
        <w:tblLook w:val="04A0"/>
      </w:tblPr>
      <w:tblGrid>
        <w:gridCol w:w="1080"/>
        <w:gridCol w:w="1620"/>
        <w:gridCol w:w="1350"/>
        <w:gridCol w:w="1980"/>
        <w:gridCol w:w="1170"/>
        <w:gridCol w:w="990"/>
        <w:gridCol w:w="1170"/>
        <w:gridCol w:w="1170"/>
      </w:tblGrid>
      <w:tr w14:paraId="05BC2134" w14:textId="77777777" w:rsidTr="00566A02">
        <w:tblPrEx>
          <w:tblW w:w="10530" w:type="dxa"/>
          <w:tblInd w:w="85" w:type="dxa"/>
          <w:tblLayout w:type="fixed"/>
          <w:tblLook w:val="04A0"/>
        </w:tblPrEx>
        <w:tc>
          <w:tcPr>
            <w:tcW w:w="1080" w:type="dxa"/>
          </w:tcPr>
          <w:p w:rsidR="00D230BA" w:rsidRPr="00F6658F" w:rsidP="00525A42" w14:paraId="37D535B8" w14:textId="77777777">
            <w:pPr>
              <w:pStyle w:val="PlainText"/>
              <w:jc w:val="center"/>
              <w:rPr>
                <w:color w:val="auto"/>
                <w:sz w:val="22"/>
                <w:szCs w:val="22"/>
              </w:rPr>
            </w:pPr>
            <w:r w:rsidRPr="00F6658F">
              <w:rPr>
                <w:color w:val="auto"/>
                <w:sz w:val="22"/>
                <w:szCs w:val="22"/>
              </w:rPr>
              <w:t>CFR Section</w:t>
            </w:r>
          </w:p>
        </w:tc>
        <w:tc>
          <w:tcPr>
            <w:tcW w:w="1620" w:type="dxa"/>
          </w:tcPr>
          <w:p w:rsidR="00D230BA" w:rsidRPr="00F6658F" w:rsidP="00525A42" w14:paraId="097AB5C7" w14:textId="77777777">
            <w:pPr>
              <w:pStyle w:val="PlainText"/>
              <w:jc w:val="center"/>
              <w:rPr>
                <w:color w:val="auto"/>
                <w:sz w:val="22"/>
                <w:szCs w:val="22"/>
              </w:rPr>
            </w:pPr>
            <w:r w:rsidRPr="00F6658F">
              <w:rPr>
                <w:color w:val="auto"/>
                <w:sz w:val="22"/>
                <w:szCs w:val="22"/>
              </w:rPr>
              <w:t>Respondents</w:t>
            </w:r>
          </w:p>
        </w:tc>
        <w:tc>
          <w:tcPr>
            <w:tcW w:w="1350" w:type="dxa"/>
          </w:tcPr>
          <w:p w:rsidR="00D230BA" w:rsidRPr="00F6658F" w:rsidP="00525A42" w14:paraId="439C5647" w14:textId="77777777">
            <w:pPr>
              <w:pStyle w:val="PlainText"/>
              <w:jc w:val="center"/>
              <w:rPr>
                <w:color w:val="auto"/>
                <w:sz w:val="22"/>
                <w:szCs w:val="22"/>
              </w:rPr>
            </w:pPr>
            <w:r w:rsidRPr="00F6658F">
              <w:rPr>
                <w:color w:val="auto"/>
                <w:sz w:val="22"/>
                <w:szCs w:val="22"/>
              </w:rPr>
              <w:t>Responses Per Respondent</w:t>
            </w:r>
          </w:p>
        </w:tc>
        <w:tc>
          <w:tcPr>
            <w:tcW w:w="1980" w:type="dxa"/>
          </w:tcPr>
          <w:p w:rsidR="00D230BA" w:rsidRPr="00F6658F" w:rsidP="00525A42" w14:paraId="5FA6CA77" w14:textId="77777777">
            <w:pPr>
              <w:pStyle w:val="PlainText"/>
              <w:jc w:val="center"/>
              <w:rPr>
                <w:color w:val="auto"/>
                <w:sz w:val="22"/>
                <w:szCs w:val="22"/>
              </w:rPr>
            </w:pPr>
            <w:r w:rsidRPr="00F6658F">
              <w:rPr>
                <w:color w:val="auto"/>
                <w:sz w:val="22"/>
                <w:szCs w:val="22"/>
              </w:rPr>
              <w:t>Total Responses</w:t>
            </w:r>
          </w:p>
        </w:tc>
        <w:tc>
          <w:tcPr>
            <w:tcW w:w="1170" w:type="dxa"/>
          </w:tcPr>
          <w:p w:rsidR="00D230BA" w:rsidRPr="00F6658F" w:rsidP="00525A42" w14:paraId="1CB22DEB" w14:textId="77777777">
            <w:pPr>
              <w:pStyle w:val="PlainText"/>
              <w:jc w:val="center"/>
              <w:rPr>
                <w:color w:val="auto"/>
                <w:sz w:val="22"/>
                <w:szCs w:val="22"/>
              </w:rPr>
            </w:pPr>
            <w:r w:rsidRPr="00F6658F">
              <w:rPr>
                <w:color w:val="auto"/>
                <w:sz w:val="22"/>
                <w:szCs w:val="22"/>
              </w:rPr>
              <w:t>Time per Response (hr)</w:t>
            </w:r>
          </w:p>
        </w:tc>
        <w:tc>
          <w:tcPr>
            <w:tcW w:w="990" w:type="dxa"/>
          </w:tcPr>
          <w:p w:rsidR="00D230BA" w:rsidRPr="00F6658F" w:rsidP="00525A42" w14:paraId="7A985F6B" w14:textId="77777777">
            <w:pPr>
              <w:pStyle w:val="PlainText"/>
              <w:jc w:val="center"/>
              <w:rPr>
                <w:color w:val="auto"/>
                <w:sz w:val="22"/>
                <w:szCs w:val="22"/>
              </w:rPr>
            </w:pPr>
            <w:r w:rsidRPr="00F6658F">
              <w:rPr>
                <w:color w:val="auto"/>
                <w:sz w:val="22"/>
                <w:szCs w:val="22"/>
              </w:rPr>
              <w:t>Total Annual Time (hr)</w:t>
            </w:r>
          </w:p>
        </w:tc>
        <w:tc>
          <w:tcPr>
            <w:tcW w:w="1170" w:type="dxa"/>
          </w:tcPr>
          <w:p w:rsidR="00D230BA" w:rsidRPr="00F6658F" w:rsidP="00525A42" w14:paraId="42917DEA" w14:textId="77777777">
            <w:pPr>
              <w:pStyle w:val="PlainText"/>
              <w:jc w:val="center"/>
              <w:rPr>
                <w:color w:val="auto"/>
                <w:sz w:val="22"/>
                <w:szCs w:val="22"/>
              </w:rPr>
            </w:pPr>
            <w:r w:rsidRPr="00F6658F">
              <w:rPr>
                <w:color w:val="auto"/>
                <w:sz w:val="22"/>
                <w:szCs w:val="22"/>
              </w:rPr>
              <w:t>Labor Cost ($/hr)</w:t>
            </w:r>
          </w:p>
        </w:tc>
        <w:tc>
          <w:tcPr>
            <w:tcW w:w="1170" w:type="dxa"/>
          </w:tcPr>
          <w:p w:rsidR="00D230BA" w:rsidRPr="00F6658F" w:rsidP="00525A42" w14:paraId="62983F2A" w14:textId="77777777">
            <w:pPr>
              <w:pStyle w:val="PlainText"/>
              <w:jc w:val="center"/>
              <w:rPr>
                <w:color w:val="auto"/>
                <w:sz w:val="22"/>
                <w:szCs w:val="22"/>
              </w:rPr>
            </w:pPr>
            <w:r w:rsidRPr="00F6658F">
              <w:rPr>
                <w:color w:val="auto"/>
                <w:sz w:val="22"/>
                <w:szCs w:val="22"/>
              </w:rPr>
              <w:t>Total Cost ($)</w:t>
            </w:r>
          </w:p>
        </w:tc>
      </w:tr>
      <w:tr w14:paraId="3F86C5F7" w14:textId="77777777" w:rsidTr="00566A02">
        <w:tblPrEx>
          <w:tblW w:w="10530" w:type="dxa"/>
          <w:tblInd w:w="85" w:type="dxa"/>
          <w:tblLayout w:type="fixed"/>
          <w:tblLook w:val="04A0"/>
        </w:tblPrEx>
        <w:tc>
          <w:tcPr>
            <w:tcW w:w="1080" w:type="dxa"/>
          </w:tcPr>
          <w:p w:rsidR="00D230BA" w:rsidRPr="006C74DA" w:rsidP="00525A42" w14:paraId="48621E96" w14:textId="77777777">
            <w:pPr>
              <w:pStyle w:val="PlainText"/>
              <w:rPr>
                <w:color w:val="auto"/>
                <w:sz w:val="22"/>
                <w:szCs w:val="22"/>
              </w:rPr>
            </w:pPr>
            <w:r w:rsidRPr="006C74DA">
              <w:rPr>
                <w:color w:val="auto"/>
                <w:sz w:val="22"/>
                <w:szCs w:val="22"/>
              </w:rPr>
              <w:t>414.940</w:t>
            </w:r>
          </w:p>
        </w:tc>
        <w:tc>
          <w:tcPr>
            <w:tcW w:w="1620" w:type="dxa"/>
          </w:tcPr>
          <w:p w:rsidR="00D230BA" w:rsidRPr="006C74DA" w:rsidP="00525A42" w14:paraId="773C4352" w14:textId="77777777">
            <w:pPr>
              <w:pStyle w:val="PlainText"/>
              <w:rPr>
                <w:color w:val="auto"/>
                <w:sz w:val="22"/>
                <w:szCs w:val="22"/>
              </w:rPr>
            </w:pPr>
            <w:r w:rsidRPr="006C74DA">
              <w:rPr>
                <w:color w:val="auto"/>
                <w:sz w:val="22"/>
                <w:szCs w:val="22"/>
              </w:rPr>
              <w:t>25</w:t>
            </w:r>
            <w:r>
              <w:rPr>
                <w:color w:val="auto"/>
                <w:sz w:val="22"/>
                <w:szCs w:val="22"/>
              </w:rPr>
              <w:t xml:space="preserve"> </w:t>
            </w:r>
            <w:r w:rsidRPr="00A01FC9">
              <w:rPr>
                <w:color w:val="auto"/>
                <w:sz w:val="22"/>
                <w:szCs w:val="22"/>
              </w:rPr>
              <w:t>manufacturer</w:t>
            </w:r>
            <w:r>
              <w:rPr>
                <w:color w:val="auto"/>
                <w:sz w:val="22"/>
                <w:szCs w:val="22"/>
              </w:rPr>
              <w:t xml:space="preserve">s </w:t>
            </w:r>
          </w:p>
        </w:tc>
        <w:tc>
          <w:tcPr>
            <w:tcW w:w="1350" w:type="dxa"/>
          </w:tcPr>
          <w:p w:rsidR="00D230BA" w:rsidRPr="006C74DA" w:rsidP="00525A42" w14:paraId="5DEF9108" w14:textId="77777777">
            <w:pPr>
              <w:pStyle w:val="PlainText"/>
              <w:rPr>
                <w:color w:val="auto"/>
                <w:sz w:val="22"/>
                <w:szCs w:val="22"/>
              </w:rPr>
            </w:pPr>
            <w:r w:rsidRPr="006C74DA">
              <w:rPr>
                <w:color w:val="auto"/>
                <w:sz w:val="22"/>
                <w:szCs w:val="22"/>
              </w:rPr>
              <w:t>1</w:t>
            </w:r>
          </w:p>
        </w:tc>
        <w:tc>
          <w:tcPr>
            <w:tcW w:w="1980" w:type="dxa"/>
          </w:tcPr>
          <w:p w:rsidR="00D230BA" w:rsidRPr="006C74DA" w:rsidP="00525A42" w14:paraId="4A9BBDA4" w14:textId="77777777">
            <w:pPr>
              <w:pStyle w:val="PlainText"/>
              <w:rPr>
                <w:color w:val="auto"/>
                <w:sz w:val="22"/>
                <w:szCs w:val="22"/>
              </w:rPr>
            </w:pPr>
            <w:r>
              <w:rPr>
                <w:color w:val="auto"/>
                <w:sz w:val="22"/>
                <w:szCs w:val="22"/>
              </w:rPr>
              <w:t>25 applications in the initial year</w:t>
            </w:r>
          </w:p>
        </w:tc>
        <w:tc>
          <w:tcPr>
            <w:tcW w:w="1170" w:type="dxa"/>
          </w:tcPr>
          <w:p w:rsidR="00D230BA" w:rsidRPr="006C74DA" w:rsidP="00525A42" w14:paraId="53C71F55" w14:textId="77777777">
            <w:pPr>
              <w:pStyle w:val="PlainText"/>
              <w:rPr>
                <w:color w:val="auto"/>
                <w:sz w:val="22"/>
                <w:szCs w:val="22"/>
              </w:rPr>
            </w:pPr>
            <w:r w:rsidRPr="006C74DA">
              <w:rPr>
                <w:color w:val="auto"/>
                <w:sz w:val="22"/>
                <w:szCs w:val="22"/>
              </w:rPr>
              <w:t>5</w:t>
            </w:r>
          </w:p>
        </w:tc>
        <w:tc>
          <w:tcPr>
            <w:tcW w:w="990" w:type="dxa"/>
          </w:tcPr>
          <w:p w:rsidR="00D230BA" w:rsidRPr="006C74DA" w:rsidP="00525A42" w14:paraId="1909E928" w14:textId="77777777">
            <w:pPr>
              <w:pStyle w:val="PlainText"/>
              <w:rPr>
                <w:color w:val="auto"/>
                <w:sz w:val="22"/>
                <w:szCs w:val="22"/>
              </w:rPr>
            </w:pPr>
            <w:r w:rsidRPr="006C74DA">
              <w:rPr>
                <w:color w:val="auto"/>
                <w:sz w:val="22"/>
                <w:szCs w:val="22"/>
              </w:rPr>
              <w:t>125</w:t>
            </w:r>
          </w:p>
        </w:tc>
        <w:tc>
          <w:tcPr>
            <w:tcW w:w="1170" w:type="dxa"/>
          </w:tcPr>
          <w:p w:rsidR="00D230BA" w:rsidRPr="006C74DA" w:rsidP="00525A42" w14:paraId="2C425EE0" w14:textId="77777777">
            <w:pPr>
              <w:pStyle w:val="PlainText"/>
              <w:rPr>
                <w:color w:val="auto"/>
                <w:sz w:val="22"/>
                <w:szCs w:val="22"/>
              </w:rPr>
            </w:pPr>
            <w:r>
              <w:rPr>
                <w:color w:val="auto"/>
                <w:sz w:val="22"/>
                <w:szCs w:val="22"/>
              </w:rPr>
              <w:t>55.76</w:t>
            </w:r>
          </w:p>
        </w:tc>
        <w:tc>
          <w:tcPr>
            <w:tcW w:w="1170" w:type="dxa"/>
          </w:tcPr>
          <w:p w:rsidR="00D230BA" w:rsidRPr="006C74DA" w:rsidP="00525A42" w14:paraId="093E8BD3" w14:textId="77777777">
            <w:pPr>
              <w:pStyle w:val="PlainText"/>
              <w:rPr>
                <w:color w:val="auto"/>
                <w:sz w:val="22"/>
                <w:szCs w:val="22"/>
              </w:rPr>
            </w:pPr>
            <w:r w:rsidRPr="007220F6">
              <w:rPr>
                <w:color w:val="auto"/>
                <w:sz w:val="22"/>
                <w:szCs w:val="22"/>
              </w:rPr>
              <w:t>6,970</w:t>
            </w:r>
          </w:p>
        </w:tc>
      </w:tr>
      <w:tr w14:paraId="0E5B06F5" w14:textId="77777777" w:rsidTr="00566A02">
        <w:tblPrEx>
          <w:tblW w:w="10530" w:type="dxa"/>
          <w:tblInd w:w="85" w:type="dxa"/>
          <w:tblLayout w:type="fixed"/>
          <w:tblLook w:val="04A0"/>
        </w:tblPrEx>
        <w:tc>
          <w:tcPr>
            <w:tcW w:w="1080" w:type="dxa"/>
          </w:tcPr>
          <w:p w:rsidR="00D230BA" w:rsidRPr="006C74DA" w:rsidP="00525A42" w14:paraId="306563EE" w14:textId="77777777">
            <w:pPr>
              <w:pStyle w:val="PlainText"/>
              <w:rPr>
                <w:color w:val="auto"/>
                <w:sz w:val="22"/>
                <w:szCs w:val="22"/>
              </w:rPr>
            </w:pPr>
            <w:r w:rsidRPr="006C74DA">
              <w:rPr>
                <w:color w:val="auto"/>
                <w:sz w:val="22"/>
                <w:szCs w:val="22"/>
              </w:rPr>
              <w:t>414.940</w:t>
            </w:r>
          </w:p>
        </w:tc>
        <w:tc>
          <w:tcPr>
            <w:tcW w:w="1620" w:type="dxa"/>
          </w:tcPr>
          <w:p w:rsidR="00D230BA" w:rsidRPr="006C74DA" w:rsidP="00525A42" w14:paraId="3CB77B13" w14:textId="77777777">
            <w:pPr>
              <w:pStyle w:val="PlainText"/>
              <w:rPr>
                <w:color w:val="auto"/>
                <w:sz w:val="22"/>
                <w:szCs w:val="22"/>
              </w:rPr>
            </w:pPr>
            <w:r>
              <w:rPr>
                <w:color w:val="auto"/>
                <w:sz w:val="22"/>
                <w:szCs w:val="22"/>
              </w:rPr>
              <w:t xml:space="preserve">2 </w:t>
            </w:r>
            <w:r w:rsidRPr="00A01FC9">
              <w:rPr>
                <w:color w:val="auto"/>
                <w:sz w:val="22"/>
                <w:szCs w:val="22"/>
              </w:rPr>
              <w:t>manufacturer</w:t>
            </w:r>
            <w:r>
              <w:rPr>
                <w:color w:val="auto"/>
                <w:sz w:val="22"/>
                <w:szCs w:val="22"/>
              </w:rPr>
              <w:t xml:space="preserve">s </w:t>
            </w:r>
          </w:p>
        </w:tc>
        <w:tc>
          <w:tcPr>
            <w:tcW w:w="1350" w:type="dxa"/>
          </w:tcPr>
          <w:p w:rsidR="00D230BA" w:rsidRPr="006C74DA" w:rsidP="00525A42" w14:paraId="65F96B08" w14:textId="77777777">
            <w:pPr>
              <w:pStyle w:val="PlainText"/>
              <w:rPr>
                <w:color w:val="auto"/>
                <w:sz w:val="22"/>
                <w:szCs w:val="22"/>
              </w:rPr>
            </w:pPr>
            <w:r>
              <w:rPr>
                <w:color w:val="auto"/>
                <w:sz w:val="22"/>
                <w:szCs w:val="22"/>
              </w:rPr>
              <w:t>1</w:t>
            </w:r>
          </w:p>
        </w:tc>
        <w:tc>
          <w:tcPr>
            <w:tcW w:w="1980" w:type="dxa"/>
          </w:tcPr>
          <w:p w:rsidR="00D230BA" w:rsidRPr="006C74DA" w:rsidP="00525A42" w14:paraId="2C8BF7A9" w14:textId="77777777">
            <w:pPr>
              <w:pStyle w:val="PlainText"/>
              <w:rPr>
                <w:color w:val="auto"/>
                <w:sz w:val="22"/>
                <w:szCs w:val="22"/>
              </w:rPr>
            </w:pPr>
            <w:r>
              <w:rPr>
                <w:color w:val="auto"/>
                <w:sz w:val="22"/>
                <w:szCs w:val="22"/>
              </w:rPr>
              <w:t>2 applications in subsequent years</w:t>
            </w:r>
          </w:p>
        </w:tc>
        <w:tc>
          <w:tcPr>
            <w:tcW w:w="1170" w:type="dxa"/>
          </w:tcPr>
          <w:p w:rsidR="00D230BA" w:rsidRPr="006C74DA" w:rsidP="00525A42" w14:paraId="10A8DB80" w14:textId="77777777">
            <w:pPr>
              <w:pStyle w:val="PlainText"/>
              <w:rPr>
                <w:color w:val="auto"/>
                <w:sz w:val="22"/>
                <w:szCs w:val="22"/>
              </w:rPr>
            </w:pPr>
            <w:r>
              <w:rPr>
                <w:color w:val="auto"/>
                <w:sz w:val="22"/>
                <w:szCs w:val="22"/>
              </w:rPr>
              <w:t>5</w:t>
            </w:r>
          </w:p>
        </w:tc>
        <w:tc>
          <w:tcPr>
            <w:tcW w:w="990" w:type="dxa"/>
          </w:tcPr>
          <w:p w:rsidR="00D230BA" w:rsidRPr="006C74DA" w:rsidP="00525A42" w14:paraId="38F96D74" w14:textId="77777777">
            <w:pPr>
              <w:pStyle w:val="PlainText"/>
              <w:rPr>
                <w:color w:val="auto"/>
                <w:sz w:val="22"/>
                <w:szCs w:val="22"/>
              </w:rPr>
            </w:pPr>
            <w:r>
              <w:rPr>
                <w:color w:val="auto"/>
                <w:sz w:val="22"/>
                <w:szCs w:val="22"/>
              </w:rPr>
              <w:t>10</w:t>
            </w:r>
          </w:p>
        </w:tc>
        <w:tc>
          <w:tcPr>
            <w:tcW w:w="1170" w:type="dxa"/>
          </w:tcPr>
          <w:p w:rsidR="00D230BA" w:rsidRPr="006C74DA" w:rsidP="00525A42" w14:paraId="53E8DE92" w14:textId="77777777">
            <w:pPr>
              <w:pStyle w:val="PlainText"/>
              <w:rPr>
                <w:color w:val="auto"/>
                <w:sz w:val="22"/>
                <w:szCs w:val="22"/>
              </w:rPr>
            </w:pPr>
            <w:r>
              <w:rPr>
                <w:color w:val="auto"/>
                <w:sz w:val="22"/>
                <w:szCs w:val="22"/>
              </w:rPr>
              <w:t>55.76</w:t>
            </w:r>
          </w:p>
        </w:tc>
        <w:tc>
          <w:tcPr>
            <w:tcW w:w="1170" w:type="dxa"/>
          </w:tcPr>
          <w:p w:rsidR="00D230BA" w:rsidRPr="006C74DA" w:rsidP="00525A42" w14:paraId="27AF624E" w14:textId="77777777">
            <w:pPr>
              <w:pStyle w:val="PlainText"/>
              <w:rPr>
                <w:color w:val="auto"/>
                <w:sz w:val="22"/>
                <w:szCs w:val="22"/>
              </w:rPr>
            </w:pPr>
            <w:r>
              <w:rPr>
                <w:color w:val="auto"/>
                <w:sz w:val="22"/>
                <w:szCs w:val="22"/>
              </w:rPr>
              <w:t>558</w:t>
            </w:r>
          </w:p>
        </w:tc>
      </w:tr>
      <w:tr w14:paraId="61EF353D" w14:textId="77777777" w:rsidTr="006E332A">
        <w:tblPrEx>
          <w:tblW w:w="10530" w:type="dxa"/>
          <w:tblInd w:w="85" w:type="dxa"/>
          <w:tblLayout w:type="fixed"/>
          <w:tblLook w:val="04A0"/>
        </w:tblPrEx>
        <w:tc>
          <w:tcPr>
            <w:tcW w:w="1080" w:type="dxa"/>
            <w:shd w:val="clear" w:color="auto" w:fill="D9D9D9" w:themeFill="background1" w:themeFillShade="D9"/>
          </w:tcPr>
          <w:p w:rsidR="00D230BA" w:rsidRPr="00566A02" w:rsidP="00525A42" w14:paraId="55269675" w14:textId="77777777">
            <w:pPr>
              <w:pStyle w:val="PlainText"/>
              <w:rPr>
                <w:b/>
                <w:bCs/>
                <w:color w:val="auto"/>
                <w:sz w:val="22"/>
                <w:szCs w:val="22"/>
              </w:rPr>
            </w:pPr>
            <w:r w:rsidRPr="00566A02">
              <w:rPr>
                <w:b/>
                <w:bCs/>
                <w:color w:val="auto"/>
                <w:sz w:val="22"/>
                <w:szCs w:val="22"/>
              </w:rPr>
              <w:t>TOTAL</w:t>
            </w:r>
          </w:p>
        </w:tc>
        <w:tc>
          <w:tcPr>
            <w:tcW w:w="1620" w:type="dxa"/>
            <w:shd w:val="clear" w:color="auto" w:fill="D9D9D9" w:themeFill="background1" w:themeFillShade="D9"/>
          </w:tcPr>
          <w:p w:rsidR="00D230BA" w:rsidRPr="00566A02" w:rsidP="00525A42" w14:paraId="4466DBD9" w14:textId="1CF777C9">
            <w:pPr>
              <w:pStyle w:val="PlainText"/>
              <w:rPr>
                <w:b/>
                <w:bCs/>
                <w:color w:val="auto"/>
                <w:sz w:val="22"/>
                <w:szCs w:val="22"/>
              </w:rPr>
            </w:pPr>
            <w:r w:rsidRPr="00566A02">
              <w:rPr>
                <w:b/>
                <w:bCs/>
                <w:color w:val="auto"/>
                <w:sz w:val="22"/>
                <w:szCs w:val="22"/>
              </w:rPr>
              <w:t>27 manufacturers</w:t>
            </w:r>
          </w:p>
        </w:tc>
        <w:tc>
          <w:tcPr>
            <w:tcW w:w="1350" w:type="dxa"/>
            <w:shd w:val="clear" w:color="auto" w:fill="D9D9D9" w:themeFill="background1" w:themeFillShade="D9"/>
          </w:tcPr>
          <w:p w:rsidR="00D230BA" w:rsidRPr="00566A02" w:rsidP="00525A42" w14:paraId="390CE967" w14:textId="77777777">
            <w:pPr>
              <w:pStyle w:val="PlainText"/>
              <w:rPr>
                <w:b/>
                <w:bCs/>
                <w:color w:val="auto"/>
                <w:sz w:val="22"/>
                <w:szCs w:val="22"/>
              </w:rPr>
            </w:pPr>
            <w:r w:rsidRPr="00566A02">
              <w:rPr>
                <w:b/>
                <w:bCs/>
                <w:color w:val="auto"/>
                <w:sz w:val="22"/>
                <w:szCs w:val="22"/>
              </w:rPr>
              <w:t>1</w:t>
            </w:r>
          </w:p>
        </w:tc>
        <w:tc>
          <w:tcPr>
            <w:tcW w:w="1980" w:type="dxa"/>
            <w:shd w:val="clear" w:color="auto" w:fill="D9D9D9" w:themeFill="background1" w:themeFillShade="D9"/>
          </w:tcPr>
          <w:p w:rsidR="00D230BA" w:rsidRPr="00566A02" w:rsidP="00525A42" w14:paraId="3F62D887" w14:textId="20FA2134">
            <w:pPr>
              <w:pStyle w:val="PlainText"/>
              <w:rPr>
                <w:b/>
                <w:bCs/>
                <w:color w:val="auto"/>
                <w:sz w:val="22"/>
                <w:szCs w:val="22"/>
              </w:rPr>
            </w:pPr>
            <w:r w:rsidRPr="00566A02">
              <w:rPr>
                <w:b/>
                <w:bCs/>
                <w:color w:val="auto"/>
                <w:sz w:val="22"/>
                <w:szCs w:val="22"/>
              </w:rPr>
              <w:t>27</w:t>
            </w:r>
          </w:p>
        </w:tc>
        <w:tc>
          <w:tcPr>
            <w:tcW w:w="1170" w:type="dxa"/>
            <w:shd w:val="clear" w:color="auto" w:fill="D9D9D9" w:themeFill="background1" w:themeFillShade="D9"/>
          </w:tcPr>
          <w:p w:rsidR="00D230BA" w:rsidRPr="00566A02" w:rsidP="00525A42" w14:paraId="4E199127" w14:textId="77777777">
            <w:pPr>
              <w:pStyle w:val="PlainText"/>
              <w:rPr>
                <w:b/>
                <w:bCs/>
                <w:color w:val="auto"/>
                <w:sz w:val="22"/>
                <w:szCs w:val="22"/>
              </w:rPr>
            </w:pPr>
            <w:r w:rsidRPr="00566A02">
              <w:rPr>
                <w:b/>
                <w:bCs/>
                <w:color w:val="auto"/>
                <w:sz w:val="22"/>
                <w:szCs w:val="22"/>
              </w:rPr>
              <w:t>varies</w:t>
            </w:r>
          </w:p>
        </w:tc>
        <w:tc>
          <w:tcPr>
            <w:tcW w:w="990" w:type="dxa"/>
            <w:shd w:val="clear" w:color="auto" w:fill="D9D9D9" w:themeFill="background1" w:themeFillShade="D9"/>
          </w:tcPr>
          <w:p w:rsidR="00D230BA" w:rsidRPr="00566A02" w:rsidP="00525A42" w14:paraId="45E26467" w14:textId="5D441A1B">
            <w:pPr>
              <w:pStyle w:val="PlainText"/>
              <w:rPr>
                <w:b/>
                <w:bCs/>
                <w:color w:val="auto"/>
                <w:sz w:val="22"/>
                <w:szCs w:val="22"/>
              </w:rPr>
            </w:pPr>
            <w:r w:rsidRPr="00566A02">
              <w:rPr>
                <w:b/>
                <w:bCs/>
                <w:color w:val="auto"/>
                <w:sz w:val="22"/>
                <w:szCs w:val="22"/>
              </w:rPr>
              <w:t>135</w:t>
            </w:r>
          </w:p>
        </w:tc>
        <w:tc>
          <w:tcPr>
            <w:tcW w:w="1170" w:type="dxa"/>
            <w:shd w:val="clear" w:color="auto" w:fill="D9D9D9" w:themeFill="background1" w:themeFillShade="D9"/>
          </w:tcPr>
          <w:p w:rsidR="00D230BA" w:rsidRPr="00566A02" w:rsidP="00525A42" w14:paraId="19329817" w14:textId="77777777">
            <w:pPr>
              <w:pStyle w:val="PlainText"/>
              <w:rPr>
                <w:b/>
                <w:bCs/>
                <w:color w:val="auto"/>
                <w:sz w:val="22"/>
                <w:szCs w:val="22"/>
              </w:rPr>
            </w:pPr>
            <w:r w:rsidRPr="00566A02">
              <w:rPr>
                <w:b/>
                <w:bCs/>
                <w:color w:val="auto"/>
                <w:sz w:val="22"/>
                <w:szCs w:val="22"/>
              </w:rPr>
              <w:t>55.76</w:t>
            </w:r>
          </w:p>
        </w:tc>
        <w:tc>
          <w:tcPr>
            <w:tcW w:w="1170" w:type="dxa"/>
            <w:shd w:val="clear" w:color="auto" w:fill="D9D9D9" w:themeFill="background1" w:themeFillShade="D9"/>
          </w:tcPr>
          <w:p w:rsidR="00D230BA" w:rsidRPr="00566A02" w:rsidP="00525A42" w14:paraId="45016792" w14:textId="212F462E">
            <w:pPr>
              <w:pStyle w:val="PlainText"/>
              <w:rPr>
                <w:b/>
                <w:bCs/>
                <w:color w:val="auto"/>
                <w:sz w:val="22"/>
                <w:szCs w:val="22"/>
              </w:rPr>
            </w:pPr>
            <w:r w:rsidRPr="00566A02">
              <w:rPr>
                <w:b/>
                <w:bCs/>
                <w:color w:val="auto"/>
                <w:sz w:val="22"/>
                <w:szCs w:val="22"/>
              </w:rPr>
              <w:t>7,528</w:t>
            </w:r>
          </w:p>
        </w:tc>
      </w:tr>
    </w:tbl>
    <w:p w:rsidR="00D230BA" w:rsidRPr="00953F20" w:rsidP="009046A6" w14:paraId="627C5AFF"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20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16.</w:t>
      </w:r>
      <w:r w:rsidRPr="00953F20">
        <w:rPr>
          <w:sz w:val="24"/>
        </w:rPr>
        <w:tab/>
      </w:r>
      <w:r w:rsidRPr="00953F20">
        <w:rPr>
          <w:sz w:val="24"/>
          <w:u w:val="single"/>
        </w:rPr>
        <w:t>Publication/Tabulation Dates</w:t>
      </w:r>
    </w:p>
    <w:p w:rsidR="008F1EB4" w:rsidRPr="00953F20" w:rsidP="00E77C0B" w14:paraId="51AFD20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20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The data collected will not be made public.</w:t>
      </w:r>
    </w:p>
    <w:p w:rsidR="008F1EB4" w:rsidRPr="00953F20" w:rsidP="00E77C0B" w14:paraId="51AFD2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20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17.</w:t>
      </w:r>
      <w:r w:rsidRPr="00953F20">
        <w:rPr>
          <w:sz w:val="24"/>
        </w:rPr>
        <w:tab/>
      </w:r>
      <w:r w:rsidRPr="00953F20">
        <w:rPr>
          <w:sz w:val="24"/>
          <w:u w:val="single"/>
        </w:rPr>
        <w:t>Expiration Date</w:t>
      </w:r>
    </w:p>
    <w:p w:rsidR="000F3AF4" w:rsidRPr="00953F20" w:rsidP="00E77C0B" w14:paraId="51AFD20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20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This collection does not lend itself to the displaying of an expiration date.</w:t>
      </w:r>
    </w:p>
    <w:p w:rsidR="008F1EB4" w:rsidRPr="00953F20" w:rsidP="00E77C0B" w14:paraId="51AFD21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53F20" w:rsidP="00E77C0B" w14:paraId="51AFD21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953F20">
        <w:rPr>
          <w:sz w:val="24"/>
        </w:rPr>
        <w:t>18.</w:t>
      </w:r>
      <w:r w:rsidRPr="00953F20">
        <w:rPr>
          <w:sz w:val="24"/>
        </w:rPr>
        <w:tab/>
      </w:r>
      <w:r w:rsidRPr="00953F20">
        <w:rPr>
          <w:sz w:val="24"/>
          <w:u w:val="single"/>
        </w:rPr>
        <w:t>Certification Statement</w:t>
      </w:r>
    </w:p>
    <w:p w:rsidR="008F1EB4" w:rsidRPr="00953F20" w:rsidP="00E77C0B" w14:paraId="51AFD2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31B6A" w:rsidRPr="00953F20" w:rsidP="007862B1" w14:paraId="51AFD213" w14:textId="00D8A55E">
      <w:pPr>
        <w:pStyle w:val="Heading1"/>
        <w:rPr>
          <w:bCs/>
        </w:rPr>
      </w:pPr>
      <w:r w:rsidRPr="00953F20">
        <w:rPr>
          <w:bCs/>
        </w:rPr>
        <w:t xml:space="preserve">The </w:t>
      </w:r>
      <w:r w:rsidR="00D9776C">
        <w:rPr>
          <w:bCs/>
        </w:rPr>
        <w:t>finalized</w:t>
      </w:r>
      <w:r w:rsidRPr="00953F20" w:rsidR="00D9776C">
        <w:rPr>
          <w:bCs/>
        </w:rPr>
        <w:t xml:space="preserve"> </w:t>
      </w:r>
      <w:r w:rsidRPr="00953F20">
        <w:rPr>
          <w:bCs/>
        </w:rPr>
        <w:t>collection does not involve any exceptions to the certification statement identified in line 19 of OMB Form 83-I.</w:t>
      </w:r>
    </w:p>
    <w:p w:rsidR="000F3AF4" w:rsidP="00E77C0B" w14:paraId="51AFD21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u w:val="single"/>
        </w:rPr>
      </w:pPr>
    </w:p>
    <w:p w:rsidR="00986D35" w:rsidRPr="00986D35" w:rsidP="00986D35" w14:paraId="4D108B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rPr>
      </w:pPr>
      <w:r w:rsidRPr="00986D35">
        <w:rPr>
          <w:b/>
          <w:bCs/>
          <w:sz w:val="24"/>
        </w:rPr>
        <w:t xml:space="preserve">B. Collection of Information Employing Statistical Methods </w:t>
      </w:r>
    </w:p>
    <w:p w:rsidR="00986D35" w:rsidRPr="00986D35" w:rsidP="00986D35" w14:paraId="5B43AC3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046A6" w:rsidRPr="00986D35" w:rsidP="00986D35" w14:paraId="44A36311" w14:textId="2BA1DB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collection of information r</w:t>
      </w:r>
      <w:r w:rsidRPr="00986D35">
        <w:rPr>
          <w:sz w:val="24"/>
        </w:rPr>
        <w:t>equirements for this data collection do not employ statistical methods.</w:t>
      </w:r>
    </w:p>
    <w:sectPr w:rsidSect="00CB6683">
      <w:footerReference w:type="default" r:id="rId9"/>
      <w:endnotePr>
        <w:numFmt w:val="decimal"/>
      </w:endnotePr>
      <w:pgSz w:w="12240" w:h="15840"/>
      <w:pgMar w:top="1440" w:right="1440" w:bottom="144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0417479"/>
      <w:docPartObj>
        <w:docPartGallery w:val="Page Numbers (Bottom of Page)"/>
        <w:docPartUnique/>
      </w:docPartObj>
    </w:sdtPr>
    <w:sdtEndPr>
      <w:rPr>
        <w:noProof/>
        <w:sz w:val="24"/>
      </w:rPr>
    </w:sdtEndPr>
    <w:sdtContent>
      <w:p w:rsidR="000C4333" w:rsidRPr="00CB6683" w14:paraId="5C4B989C" w14:textId="09073FC7">
        <w:pPr>
          <w:pStyle w:val="Footer"/>
          <w:jc w:val="center"/>
          <w:rPr>
            <w:sz w:val="24"/>
          </w:rPr>
        </w:pPr>
        <w:r w:rsidRPr="00CB6683">
          <w:rPr>
            <w:sz w:val="24"/>
          </w:rPr>
          <w:fldChar w:fldCharType="begin"/>
        </w:r>
        <w:r w:rsidRPr="00CB6683">
          <w:rPr>
            <w:sz w:val="24"/>
          </w:rPr>
          <w:instrText xml:space="preserve"> PAGE   \* MERGEFORMAT </w:instrText>
        </w:r>
        <w:r w:rsidRPr="00CB6683">
          <w:rPr>
            <w:sz w:val="24"/>
          </w:rPr>
          <w:fldChar w:fldCharType="separate"/>
        </w:r>
        <w:r w:rsidRPr="00CB6683">
          <w:rPr>
            <w:noProof/>
            <w:sz w:val="24"/>
          </w:rPr>
          <w:t>2</w:t>
        </w:r>
        <w:r w:rsidRPr="00CB6683">
          <w:rPr>
            <w:noProof/>
            <w:sz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F4"/>
    <w:rsid w:val="00031B6A"/>
    <w:rsid w:val="00043F83"/>
    <w:rsid w:val="000442B7"/>
    <w:rsid w:val="00053495"/>
    <w:rsid w:val="000635C9"/>
    <w:rsid w:val="00066C62"/>
    <w:rsid w:val="00077E5B"/>
    <w:rsid w:val="00093B84"/>
    <w:rsid w:val="00093D1F"/>
    <w:rsid w:val="00094E54"/>
    <w:rsid w:val="000A109F"/>
    <w:rsid w:val="000A5D02"/>
    <w:rsid w:val="000B34DA"/>
    <w:rsid w:val="000C4333"/>
    <w:rsid w:val="000D6EE1"/>
    <w:rsid w:val="000E30F3"/>
    <w:rsid w:val="000E794B"/>
    <w:rsid w:val="000F055F"/>
    <w:rsid w:val="000F1AD4"/>
    <w:rsid w:val="000F3AF4"/>
    <w:rsid w:val="0010223B"/>
    <w:rsid w:val="00105767"/>
    <w:rsid w:val="0011566F"/>
    <w:rsid w:val="00127462"/>
    <w:rsid w:val="00164D86"/>
    <w:rsid w:val="00165480"/>
    <w:rsid w:val="001A5BEF"/>
    <w:rsid w:val="001A7D10"/>
    <w:rsid w:val="001C0D40"/>
    <w:rsid w:val="001C1A40"/>
    <w:rsid w:val="001D763F"/>
    <w:rsid w:val="001E7105"/>
    <w:rsid w:val="001F0B64"/>
    <w:rsid w:val="001F489C"/>
    <w:rsid w:val="002062D3"/>
    <w:rsid w:val="00206DEF"/>
    <w:rsid w:val="0021380A"/>
    <w:rsid w:val="00244129"/>
    <w:rsid w:val="00265C33"/>
    <w:rsid w:val="002708CC"/>
    <w:rsid w:val="00273AF4"/>
    <w:rsid w:val="00274094"/>
    <w:rsid w:val="00275DE5"/>
    <w:rsid w:val="00276D9A"/>
    <w:rsid w:val="00294C90"/>
    <w:rsid w:val="002A60B7"/>
    <w:rsid w:val="0030658C"/>
    <w:rsid w:val="003079C1"/>
    <w:rsid w:val="0031385B"/>
    <w:rsid w:val="00314825"/>
    <w:rsid w:val="00333F8C"/>
    <w:rsid w:val="00334AF6"/>
    <w:rsid w:val="00340462"/>
    <w:rsid w:val="00344D33"/>
    <w:rsid w:val="003460F2"/>
    <w:rsid w:val="00350AC5"/>
    <w:rsid w:val="00381CA0"/>
    <w:rsid w:val="00387D4E"/>
    <w:rsid w:val="003B45FE"/>
    <w:rsid w:val="003F5D8F"/>
    <w:rsid w:val="0040065E"/>
    <w:rsid w:val="00424724"/>
    <w:rsid w:val="004418FA"/>
    <w:rsid w:val="00443CF9"/>
    <w:rsid w:val="00470490"/>
    <w:rsid w:val="004A076C"/>
    <w:rsid w:val="004C0631"/>
    <w:rsid w:val="004C7907"/>
    <w:rsid w:val="004C7F2E"/>
    <w:rsid w:val="004D1F56"/>
    <w:rsid w:val="004D5B10"/>
    <w:rsid w:val="004E2AB3"/>
    <w:rsid w:val="004E3389"/>
    <w:rsid w:val="004E4A5C"/>
    <w:rsid w:val="00504349"/>
    <w:rsid w:val="0051379A"/>
    <w:rsid w:val="00525A42"/>
    <w:rsid w:val="0053117F"/>
    <w:rsid w:val="00531FEF"/>
    <w:rsid w:val="00560EA4"/>
    <w:rsid w:val="00566A02"/>
    <w:rsid w:val="00583A48"/>
    <w:rsid w:val="005B62A8"/>
    <w:rsid w:val="005C5CB4"/>
    <w:rsid w:val="005F7B01"/>
    <w:rsid w:val="00604284"/>
    <w:rsid w:val="00605872"/>
    <w:rsid w:val="006348AF"/>
    <w:rsid w:val="00646E86"/>
    <w:rsid w:val="00647131"/>
    <w:rsid w:val="0065387E"/>
    <w:rsid w:val="006562FA"/>
    <w:rsid w:val="00656FE5"/>
    <w:rsid w:val="00674305"/>
    <w:rsid w:val="006754C2"/>
    <w:rsid w:val="00683D3E"/>
    <w:rsid w:val="006A0308"/>
    <w:rsid w:val="006A52C0"/>
    <w:rsid w:val="006A6162"/>
    <w:rsid w:val="006B2885"/>
    <w:rsid w:val="006B3BE4"/>
    <w:rsid w:val="006C17E4"/>
    <w:rsid w:val="006C74DA"/>
    <w:rsid w:val="006D3A1E"/>
    <w:rsid w:val="006E332A"/>
    <w:rsid w:val="006F09FB"/>
    <w:rsid w:val="006F1741"/>
    <w:rsid w:val="006F3565"/>
    <w:rsid w:val="007220F6"/>
    <w:rsid w:val="007231E7"/>
    <w:rsid w:val="00723738"/>
    <w:rsid w:val="00740B52"/>
    <w:rsid w:val="0074393F"/>
    <w:rsid w:val="007814C9"/>
    <w:rsid w:val="00782A7A"/>
    <w:rsid w:val="0078489F"/>
    <w:rsid w:val="007862B1"/>
    <w:rsid w:val="00786B9E"/>
    <w:rsid w:val="007958F6"/>
    <w:rsid w:val="007A78DD"/>
    <w:rsid w:val="007C2500"/>
    <w:rsid w:val="007D3684"/>
    <w:rsid w:val="007D3D52"/>
    <w:rsid w:val="007F2BE6"/>
    <w:rsid w:val="007F44E4"/>
    <w:rsid w:val="008109D8"/>
    <w:rsid w:val="00813B69"/>
    <w:rsid w:val="00817CDA"/>
    <w:rsid w:val="00821BBC"/>
    <w:rsid w:val="00822B85"/>
    <w:rsid w:val="0084289C"/>
    <w:rsid w:val="00847058"/>
    <w:rsid w:val="00850153"/>
    <w:rsid w:val="0085673C"/>
    <w:rsid w:val="00870D59"/>
    <w:rsid w:val="0088207A"/>
    <w:rsid w:val="008D30D3"/>
    <w:rsid w:val="008D5FA4"/>
    <w:rsid w:val="008F1EB4"/>
    <w:rsid w:val="009046A6"/>
    <w:rsid w:val="00917935"/>
    <w:rsid w:val="00952616"/>
    <w:rsid w:val="00952DF9"/>
    <w:rsid w:val="00953F20"/>
    <w:rsid w:val="00970377"/>
    <w:rsid w:val="00986D35"/>
    <w:rsid w:val="009B2D12"/>
    <w:rsid w:val="009D24D3"/>
    <w:rsid w:val="009D32FE"/>
    <w:rsid w:val="009D7AA2"/>
    <w:rsid w:val="009E3640"/>
    <w:rsid w:val="009F2C89"/>
    <w:rsid w:val="00A01FC9"/>
    <w:rsid w:val="00A4720D"/>
    <w:rsid w:val="00A54C15"/>
    <w:rsid w:val="00A606E0"/>
    <w:rsid w:val="00A77648"/>
    <w:rsid w:val="00A91C3D"/>
    <w:rsid w:val="00AB1D29"/>
    <w:rsid w:val="00AC0958"/>
    <w:rsid w:val="00AD49AE"/>
    <w:rsid w:val="00AE2B4C"/>
    <w:rsid w:val="00AE58CD"/>
    <w:rsid w:val="00AE7555"/>
    <w:rsid w:val="00AF288E"/>
    <w:rsid w:val="00B1598E"/>
    <w:rsid w:val="00B1684E"/>
    <w:rsid w:val="00B31D0B"/>
    <w:rsid w:val="00B8761B"/>
    <w:rsid w:val="00BA2F1F"/>
    <w:rsid w:val="00BA3B21"/>
    <w:rsid w:val="00BA4B8F"/>
    <w:rsid w:val="00BC4857"/>
    <w:rsid w:val="00BD75FB"/>
    <w:rsid w:val="00BD7B98"/>
    <w:rsid w:val="00BF267A"/>
    <w:rsid w:val="00BF308F"/>
    <w:rsid w:val="00C031B8"/>
    <w:rsid w:val="00C1745D"/>
    <w:rsid w:val="00C36AE4"/>
    <w:rsid w:val="00C469A6"/>
    <w:rsid w:val="00C52992"/>
    <w:rsid w:val="00C7415D"/>
    <w:rsid w:val="00C7587D"/>
    <w:rsid w:val="00C75DD3"/>
    <w:rsid w:val="00C77AC2"/>
    <w:rsid w:val="00CB3DBF"/>
    <w:rsid w:val="00CB6683"/>
    <w:rsid w:val="00CC4B0B"/>
    <w:rsid w:val="00CD1731"/>
    <w:rsid w:val="00CD5C0D"/>
    <w:rsid w:val="00CE1926"/>
    <w:rsid w:val="00D056E4"/>
    <w:rsid w:val="00D230BA"/>
    <w:rsid w:val="00D26541"/>
    <w:rsid w:val="00D35907"/>
    <w:rsid w:val="00D3726B"/>
    <w:rsid w:val="00D44CA6"/>
    <w:rsid w:val="00D736F0"/>
    <w:rsid w:val="00D749C7"/>
    <w:rsid w:val="00D832B1"/>
    <w:rsid w:val="00D84822"/>
    <w:rsid w:val="00D9776C"/>
    <w:rsid w:val="00DB758C"/>
    <w:rsid w:val="00DC6687"/>
    <w:rsid w:val="00DE11D0"/>
    <w:rsid w:val="00E02887"/>
    <w:rsid w:val="00E065E1"/>
    <w:rsid w:val="00E13078"/>
    <w:rsid w:val="00E230C3"/>
    <w:rsid w:val="00E344ED"/>
    <w:rsid w:val="00E35DF2"/>
    <w:rsid w:val="00E44D13"/>
    <w:rsid w:val="00E46689"/>
    <w:rsid w:val="00E5571F"/>
    <w:rsid w:val="00E62AD3"/>
    <w:rsid w:val="00E70262"/>
    <w:rsid w:val="00E77C0B"/>
    <w:rsid w:val="00E84757"/>
    <w:rsid w:val="00E932A9"/>
    <w:rsid w:val="00EC6BDF"/>
    <w:rsid w:val="00EE3987"/>
    <w:rsid w:val="00F01534"/>
    <w:rsid w:val="00F220E2"/>
    <w:rsid w:val="00F3360D"/>
    <w:rsid w:val="00F345D0"/>
    <w:rsid w:val="00F640B4"/>
    <w:rsid w:val="00F6658F"/>
    <w:rsid w:val="00F82C86"/>
    <w:rsid w:val="00FD1135"/>
    <w:rsid w:val="00FE5B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AFD176"/>
  <w15:chartTrackingRefBased/>
  <w15:docId w15:val="{182D9F51-A913-476B-B54B-A87AEFF3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aliases w:val="H1-Sec.Head"/>
    <w:basedOn w:val="Normal"/>
    <w:next w:val="Normal"/>
    <w:link w:val="Heading1Char"/>
    <w:uiPriority w:val="99"/>
    <w:qFormat/>
    <w:rsid w:val="00031B6A"/>
    <w:pPr>
      <w:keepNext/>
      <w:widowControl/>
      <w:autoSpaceDE/>
      <w:autoSpaceDN/>
      <w:adjustRightInd/>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PlainText">
    <w:name w:val="Plain Text"/>
    <w:basedOn w:val="Normal"/>
    <w:link w:val="PlainTextChar"/>
    <w:uiPriority w:val="99"/>
    <w:unhideWhenUsed/>
    <w:rsid w:val="001E7105"/>
    <w:pPr>
      <w:widowControl/>
      <w:autoSpaceDE/>
      <w:autoSpaceDN/>
      <w:adjustRightInd/>
    </w:pPr>
    <w:rPr>
      <w:rFonts w:eastAsia="Calibri"/>
      <w:color w:val="000099"/>
      <w:sz w:val="28"/>
      <w:szCs w:val="21"/>
    </w:rPr>
  </w:style>
  <w:style w:type="character" w:customStyle="1" w:styleId="PlainTextChar">
    <w:name w:val="Plain Text Char"/>
    <w:link w:val="PlainText"/>
    <w:uiPriority w:val="99"/>
    <w:rsid w:val="001E7105"/>
    <w:rPr>
      <w:rFonts w:eastAsia="Calibri"/>
      <w:color w:val="000099"/>
      <w:sz w:val="28"/>
      <w:szCs w:val="21"/>
    </w:rPr>
  </w:style>
  <w:style w:type="paragraph" w:customStyle="1" w:styleId="P1-StandParaCharCharChar">
    <w:name w:val="P1-Stand Para Char Char Char"/>
    <w:rsid w:val="004E4A5C"/>
    <w:pPr>
      <w:spacing w:line="360" w:lineRule="atLeast"/>
      <w:ind w:firstLine="1152"/>
      <w:jc w:val="both"/>
    </w:pPr>
    <w:rPr>
      <w:sz w:val="22"/>
    </w:rPr>
  </w:style>
  <w:style w:type="paragraph" w:styleId="FootnoteText">
    <w:name w:val="footnote text"/>
    <w:basedOn w:val="Normal"/>
    <w:link w:val="FootnoteTextChar"/>
    <w:uiPriority w:val="99"/>
    <w:unhideWhenUsed/>
    <w:rsid w:val="00952DF9"/>
    <w:pPr>
      <w:widowControl/>
      <w:autoSpaceDE/>
      <w:autoSpaceDN/>
      <w:adjustRightInd/>
    </w:pPr>
    <w:rPr>
      <w:rFonts w:ascii="Calibri" w:eastAsia="Calibri" w:hAnsi="Calibri"/>
      <w:szCs w:val="20"/>
    </w:rPr>
  </w:style>
  <w:style w:type="character" w:customStyle="1" w:styleId="FootnoteTextChar">
    <w:name w:val="Footnote Text Char"/>
    <w:link w:val="FootnoteText"/>
    <w:uiPriority w:val="99"/>
    <w:rsid w:val="00952DF9"/>
    <w:rPr>
      <w:rFonts w:ascii="Calibri" w:eastAsia="Calibri" w:hAnsi="Calibri"/>
    </w:rPr>
  </w:style>
  <w:style w:type="paragraph" w:styleId="BodyText">
    <w:name w:val="Body Text"/>
    <w:basedOn w:val="Normal"/>
    <w:link w:val="BodyTextChar"/>
    <w:uiPriority w:val="1"/>
    <w:unhideWhenUsed/>
    <w:qFormat/>
    <w:rsid w:val="00D736F0"/>
    <w:pPr>
      <w:adjustRightInd/>
    </w:pPr>
    <w:rPr>
      <w:sz w:val="24"/>
    </w:rPr>
  </w:style>
  <w:style w:type="character" w:customStyle="1" w:styleId="BodyTextChar">
    <w:name w:val="Body Text Char"/>
    <w:link w:val="BodyText"/>
    <w:uiPriority w:val="1"/>
    <w:rsid w:val="00D736F0"/>
    <w:rPr>
      <w:sz w:val="24"/>
      <w:szCs w:val="24"/>
    </w:rPr>
  </w:style>
  <w:style w:type="table" w:styleId="TableGrid">
    <w:name w:val="Table Grid"/>
    <w:basedOn w:val="TableNormal"/>
    <w:rsid w:val="00D73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056E4"/>
    <w:rPr>
      <w:rFonts w:ascii="Segoe UI" w:hAnsi="Segoe UI" w:cs="Segoe UI"/>
      <w:sz w:val="18"/>
      <w:szCs w:val="18"/>
    </w:rPr>
  </w:style>
  <w:style w:type="character" w:customStyle="1" w:styleId="BalloonTextChar">
    <w:name w:val="Balloon Text Char"/>
    <w:link w:val="BalloonText"/>
    <w:rsid w:val="00D056E4"/>
    <w:rPr>
      <w:rFonts w:ascii="Segoe UI" w:hAnsi="Segoe UI" w:cs="Segoe UI"/>
      <w:sz w:val="18"/>
      <w:szCs w:val="18"/>
    </w:rPr>
  </w:style>
  <w:style w:type="character" w:styleId="CommentReference">
    <w:name w:val="annotation reference"/>
    <w:rsid w:val="00B1684E"/>
    <w:rPr>
      <w:sz w:val="16"/>
      <w:szCs w:val="16"/>
    </w:rPr>
  </w:style>
  <w:style w:type="paragraph" w:styleId="CommentText">
    <w:name w:val="annotation text"/>
    <w:basedOn w:val="Normal"/>
    <w:link w:val="CommentTextChar"/>
    <w:rsid w:val="00B1684E"/>
    <w:rPr>
      <w:szCs w:val="20"/>
    </w:rPr>
  </w:style>
  <w:style w:type="character" w:customStyle="1" w:styleId="CommentTextChar">
    <w:name w:val="Comment Text Char"/>
    <w:basedOn w:val="DefaultParagraphFont"/>
    <w:link w:val="CommentText"/>
    <w:rsid w:val="00B1684E"/>
  </w:style>
  <w:style w:type="paragraph" w:styleId="CommentSubject">
    <w:name w:val="annotation subject"/>
    <w:basedOn w:val="CommentText"/>
    <w:next w:val="CommentText"/>
    <w:link w:val="CommentSubjectChar"/>
    <w:rsid w:val="00B1684E"/>
    <w:rPr>
      <w:b/>
      <w:bCs/>
    </w:rPr>
  </w:style>
  <w:style w:type="character" w:customStyle="1" w:styleId="CommentSubjectChar">
    <w:name w:val="Comment Subject Char"/>
    <w:link w:val="CommentSubject"/>
    <w:rsid w:val="00B1684E"/>
    <w:rPr>
      <w:b/>
      <w:bCs/>
    </w:rPr>
  </w:style>
  <w:style w:type="character" w:customStyle="1" w:styleId="Heading1Char">
    <w:name w:val="Heading 1 Char"/>
    <w:aliases w:val="H1-Sec.Head Char"/>
    <w:link w:val="Heading1"/>
    <w:uiPriority w:val="99"/>
    <w:rsid w:val="00031B6A"/>
    <w:rPr>
      <w:sz w:val="24"/>
      <w:szCs w:val="24"/>
    </w:rPr>
  </w:style>
  <w:style w:type="paragraph" w:styleId="Header">
    <w:name w:val="header"/>
    <w:basedOn w:val="Normal"/>
    <w:link w:val="HeaderChar"/>
    <w:rsid w:val="00F345D0"/>
    <w:pPr>
      <w:tabs>
        <w:tab w:val="center" w:pos="4680"/>
        <w:tab w:val="right" w:pos="9360"/>
      </w:tabs>
    </w:pPr>
  </w:style>
  <w:style w:type="character" w:customStyle="1" w:styleId="HeaderChar">
    <w:name w:val="Header Char"/>
    <w:link w:val="Header"/>
    <w:rsid w:val="00F345D0"/>
    <w:rPr>
      <w:szCs w:val="24"/>
    </w:rPr>
  </w:style>
  <w:style w:type="paragraph" w:styleId="Footer">
    <w:name w:val="footer"/>
    <w:basedOn w:val="Normal"/>
    <w:link w:val="FooterChar"/>
    <w:uiPriority w:val="99"/>
    <w:rsid w:val="00F345D0"/>
    <w:pPr>
      <w:tabs>
        <w:tab w:val="center" w:pos="4680"/>
        <w:tab w:val="right" w:pos="9360"/>
      </w:tabs>
    </w:pPr>
  </w:style>
  <w:style w:type="character" w:customStyle="1" w:styleId="FooterChar">
    <w:name w:val="Footer Char"/>
    <w:link w:val="Footer"/>
    <w:uiPriority w:val="99"/>
    <w:rsid w:val="00F345D0"/>
    <w:rPr>
      <w:szCs w:val="24"/>
    </w:rPr>
  </w:style>
  <w:style w:type="paragraph" w:customStyle="1" w:styleId="TableParagraph">
    <w:name w:val="Table Paragraph"/>
    <w:basedOn w:val="Normal"/>
    <w:qFormat/>
    <w:rsid w:val="0040065E"/>
    <w:pPr>
      <w:adjustRightInd/>
    </w:pPr>
    <w:rPr>
      <w:sz w:val="22"/>
      <w:szCs w:val="22"/>
    </w:rPr>
  </w:style>
  <w:style w:type="table" w:customStyle="1" w:styleId="TableNormal1">
    <w:name w:val="Table Normal1"/>
    <w:uiPriority w:val="2"/>
    <w:semiHidden/>
    <w:qFormat/>
    <w:rsid w:val="0040065E"/>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2708CC"/>
    <w:rPr>
      <w:szCs w:val="24"/>
    </w:rPr>
  </w:style>
  <w:style w:type="character" w:styleId="Hyperlink">
    <w:name w:val="Hyperlink"/>
    <w:basedOn w:val="DefaultParagraphFont"/>
    <w:rsid w:val="00D749C7"/>
    <w:rPr>
      <w:color w:val="0563C1" w:themeColor="hyperlink"/>
      <w:u w:val="single"/>
    </w:rPr>
  </w:style>
  <w:style w:type="character" w:styleId="UnresolvedMention">
    <w:name w:val="Unresolved Mention"/>
    <w:basedOn w:val="DefaultParagraphFont"/>
    <w:uiPriority w:val="99"/>
    <w:semiHidden/>
    <w:unhideWhenUsed/>
    <w:rsid w:val="00D749C7"/>
    <w:rPr>
      <w:color w:val="605E5C"/>
      <w:shd w:val="clear" w:color="auto" w:fill="E1DFDD"/>
    </w:rPr>
  </w:style>
  <w:style w:type="character" w:styleId="FollowedHyperlink">
    <w:name w:val="FollowedHyperlink"/>
    <w:basedOn w:val="DefaultParagraphFont"/>
    <w:rsid w:val="008501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2023/may/oes_dc.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148CCA28BA2F42837C7E0C72E48C55" ma:contentTypeVersion="6" ma:contentTypeDescription="Create a new document." ma:contentTypeScope="" ma:versionID="fe3e6b14960d4d9ab940b3a0264e1cfe">
  <xsd:schema xmlns:xsd="http://www.w3.org/2001/XMLSchema" xmlns:xs="http://www.w3.org/2001/XMLSchema" xmlns:p="http://schemas.microsoft.com/office/2006/metadata/properties" xmlns:ns2="2192dead-9564-4582-8849-6ed3f8bab798" targetNamespace="http://schemas.microsoft.com/office/2006/metadata/properties" ma:root="true" ma:fieldsID="a36b650488e8921c5c20d32ade38c6f2" ns2:_="">
    <xsd:import namespace="2192dead-9564-4582-8849-6ed3f8bab79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dead-9564-4582-8849-6ed3f8bab7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9E0BC-9E12-4B4F-A72F-B0B2E770FCCD}">
  <ds:schemaRefs>
    <ds:schemaRef ds:uri="http://schemas.microsoft.com/sharepoint/v3/contenttype/forms"/>
  </ds:schemaRefs>
</ds:datastoreItem>
</file>

<file path=customXml/itemProps2.xml><?xml version="1.0" encoding="utf-8"?>
<ds:datastoreItem xmlns:ds="http://schemas.openxmlformats.org/officeDocument/2006/customXml" ds:itemID="{DC4DDF27-8C82-4B64-B01F-2311F039CC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CFAA0-D2ED-46D8-8293-7D4DDE674B0A}">
  <ds:schemaRefs>
    <ds:schemaRef ds:uri="http://schemas.openxmlformats.org/officeDocument/2006/bibliography"/>
  </ds:schemaRefs>
</ds:datastoreItem>
</file>

<file path=customXml/itemProps4.xml><?xml version="1.0" encoding="utf-8"?>
<ds:datastoreItem xmlns:ds="http://schemas.openxmlformats.org/officeDocument/2006/customXml" ds:itemID="{135B0C9D-E6C7-476E-82BA-3C4DFB824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dead-9564-4582-8849-6ed3f8bab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8</Pages>
  <Words>3177</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Bryman, Mitch (CMS/OSORA)</cp:lastModifiedBy>
  <cp:revision>22</cp:revision>
  <dcterms:created xsi:type="dcterms:W3CDTF">2024-05-17T23:19:00Z</dcterms:created>
  <dcterms:modified xsi:type="dcterms:W3CDTF">2024-08-07T18:47:00Z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0x010100E6148CCA28BA2F42837C7E0C72E48C55</vt:lpwstr>
  </property>
</Properties>
</file>