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6CE" w14:paraId="517C055E" w14:textId="77777777">
      <w:pPr>
        <w:pStyle w:val="Heading1"/>
        <w:spacing w:before="71" w:line="302" w:lineRule="auto"/>
        <w:ind w:left="2476" w:right="1304" w:hanging="1133"/>
      </w:pPr>
      <w:bookmarkStart w:id="0" w:name="Supporting_Statement_for_Essential_Healt"/>
      <w:bookmarkStart w:id="1" w:name="(CMS-10448/OMB_control_number:_0938-1174"/>
      <w:bookmarkEnd w:id="0"/>
      <w:bookmarkEnd w:id="1"/>
      <w:r>
        <w:t>Supporting</w:t>
      </w:r>
      <w:r>
        <w:rPr>
          <w:spacing w:val="-5"/>
        </w:rPr>
        <w:t xml:space="preserve"> </w:t>
      </w:r>
      <w:r>
        <w:t>Statement</w:t>
      </w:r>
      <w:r>
        <w:rPr>
          <w:spacing w:val="-6"/>
        </w:rPr>
        <w:t xml:space="preserve"> </w:t>
      </w:r>
      <w:r>
        <w:t>for</w:t>
      </w:r>
      <w:r>
        <w:rPr>
          <w:spacing w:val="-6"/>
        </w:rPr>
        <w:t xml:space="preserve"> </w:t>
      </w:r>
      <w:r>
        <w:t>Essential</w:t>
      </w:r>
      <w:r>
        <w:rPr>
          <w:spacing w:val="-5"/>
        </w:rPr>
        <w:t xml:space="preserve"> </w:t>
      </w:r>
      <w:r>
        <w:t>Health</w:t>
      </w:r>
      <w:r>
        <w:rPr>
          <w:spacing w:val="-5"/>
        </w:rPr>
        <w:t xml:space="preserve"> </w:t>
      </w:r>
      <w:r>
        <w:t>Benefits</w:t>
      </w:r>
      <w:r>
        <w:rPr>
          <w:spacing w:val="-5"/>
        </w:rPr>
        <w:t xml:space="preserve"> </w:t>
      </w:r>
      <w:r>
        <w:t>Benchmark</w:t>
      </w:r>
      <w:r>
        <w:rPr>
          <w:spacing w:val="-5"/>
        </w:rPr>
        <w:t xml:space="preserve"> </w:t>
      </w:r>
      <w:r>
        <w:t>Plans (CMS-10448/OMB control number: 0938-1174)</w:t>
      </w:r>
    </w:p>
    <w:p w:rsidR="008406CE" w14:paraId="1DE6D8F8" w14:textId="77777777">
      <w:pPr>
        <w:pStyle w:val="ListParagraph"/>
        <w:numPr>
          <w:ilvl w:val="0"/>
          <w:numId w:val="2"/>
        </w:numPr>
        <w:tabs>
          <w:tab w:val="left" w:pos="839"/>
        </w:tabs>
        <w:spacing w:before="32"/>
        <w:ind w:left="839" w:hanging="719"/>
        <w:rPr>
          <w:b/>
          <w:sz w:val="24"/>
        </w:rPr>
      </w:pPr>
      <w:r>
        <w:rPr>
          <w:b/>
          <w:spacing w:val="-2"/>
          <w:sz w:val="24"/>
          <w:u w:val="single"/>
        </w:rPr>
        <w:t>Background</w:t>
      </w:r>
    </w:p>
    <w:p w:rsidR="008406CE" w14:paraId="3C1E5233" w14:textId="77777777">
      <w:pPr>
        <w:pStyle w:val="BodyText"/>
        <w:spacing w:before="4"/>
        <w:rPr>
          <w:b/>
        </w:rPr>
      </w:pPr>
    </w:p>
    <w:p w:rsidR="008406CE" w14:paraId="72443987" w14:textId="77777777">
      <w:pPr>
        <w:pStyle w:val="BodyText"/>
        <w:ind w:left="120" w:right="395"/>
      </w:pPr>
      <w:r>
        <w:t>On</w:t>
      </w:r>
      <w:r>
        <w:rPr>
          <w:spacing w:val="-3"/>
        </w:rPr>
        <w:t xml:space="preserve"> </w:t>
      </w:r>
      <w:r>
        <w:t>March</w:t>
      </w:r>
      <w:r>
        <w:rPr>
          <w:spacing w:val="-3"/>
        </w:rPr>
        <w:t xml:space="preserve"> </w:t>
      </w:r>
      <w:r>
        <w:t>23,</w:t>
      </w:r>
      <w:r>
        <w:rPr>
          <w:spacing w:val="-3"/>
        </w:rPr>
        <w:t xml:space="preserve"> </w:t>
      </w:r>
      <w:r>
        <w:t>2010,</w:t>
      </w:r>
      <w:r>
        <w:rPr>
          <w:spacing w:val="-3"/>
        </w:rPr>
        <w:t xml:space="preserve"> </w:t>
      </w:r>
      <w:r>
        <w:t>the</w:t>
      </w:r>
      <w:r>
        <w:rPr>
          <w:spacing w:val="-2"/>
        </w:rPr>
        <w:t xml:space="preserve"> </w:t>
      </w:r>
      <w:r>
        <w:t>Affordable</w:t>
      </w:r>
      <w:r>
        <w:rPr>
          <w:spacing w:val="-4"/>
        </w:rPr>
        <w:t xml:space="preserve"> </w:t>
      </w:r>
      <w:r>
        <w:t>Care</w:t>
      </w:r>
      <w:r>
        <w:rPr>
          <w:spacing w:val="-2"/>
        </w:rPr>
        <w:t xml:space="preserve"> </w:t>
      </w:r>
      <w:r>
        <w:t>Act</w:t>
      </w:r>
      <w:r>
        <w:rPr>
          <w:spacing w:val="-3"/>
        </w:rPr>
        <w:t xml:space="preserve"> </w:t>
      </w:r>
      <w:r>
        <w:t>(ACA;</w:t>
      </w:r>
      <w:r>
        <w:rPr>
          <w:spacing w:val="-3"/>
        </w:rPr>
        <w:t xml:space="preserve"> </w:t>
      </w:r>
      <w:r>
        <w:t>P.L.</w:t>
      </w:r>
      <w:r>
        <w:rPr>
          <w:spacing w:val="-3"/>
        </w:rPr>
        <w:t xml:space="preserve"> </w:t>
      </w:r>
      <w:r>
        <w:t>111-148)</w:t>
      </w:r>
      <w:r>
        <w:rPr>
          <w:spacing w:val="-4"/>
        </w:rPr>
        <w:t xml:space="preserve"> </w:t>
      </w:r>
      <w:r>
        <w:t>was</w:t>
      </w:r>
      <w:r>
        <w:rPr>
          <w:spacing w:val="-3"/>
        </w:rPr>
        <w:t xml:space="preserve"> </w:t>
      </w:r>
      <w:r>
        <w:t>signed</w:t>
      </w:r>
      <w:r>
        <w:rPr>
          <w:spacing w:val="-3"/>
        </w:rPr>
        <w:t xml:space="preserve"> </w:t>
      </w:r>
      <w:r>
        <w:t>into</w:t>
      </w:r>
      <w:r>
        <w:rPr>
          <w:spacing w:val="-3"/>
        </w:rPr>
        <w:t xml:space="preserve"> </w:t>
      </w:r>
      <w:r>
        <w:t>law,</w:t>
      </w:r>
      <w:r>
        <w:rPr>
          <w:spacing w:val="-3"/>
        </w:rPr>
        <w:t xml:space="preserve"> </w:t>
      </w:r>
      <w:r>
        <w:t>and</w:t>
      </w:r>
      <w:r>
        <w:rPr>
          <w:spacing w:val="-3"/>
        </w:rPr>
        <w:t xml:space="preserve"> </w:t>
      </w:r>
      <w:r>
        <w:t>on March</w:t>
      </w:r>
      <w:r>
        <w:rPr>
          <w:spacing w:val="-3"/>
        </w:rPr>
        <w:t xml:space="preserve"> </w:t>
      </w:r>
      <w:r>
        <w:t>30,</w:t>
      </w:r>
      <w:r>
        <w:rPr>
          <w:spacing w:val="-3"/>
        </w:rPr>
        <w:t xml:space="preserve"> </w:t>
      </w:r>
      <w:r>
        <w:t>2010,</w:t>
      </w:r>
      <w:r>
        <w:rPr>
          <w:spacing w:val="-3"/>
        </w:rPr>
        <w:t xml:space="preserve"> </w:t>
      </w:r>
      <w:r>
        <w:t>the</w:t>
      </w:r>
      <w:r>
        <w:rPr>
          <w:spacing w:val="-4"/>
        </w:rPr>
        <w:t xml:space="preserve"> </w:t>
      </w:r>
      <w:r>
        <w:t>Health</w:t>
      </w:r>
      <w:r>
        <w:rPr>
          <w:spacing w:val="-3"/>
        </w:rPr>
        <w:t xml:space="preserve"> </w:t>
      </w:r>
      <w:r>
        <w:t>Care</w:t>
      </w:r>
      <w:r>
        <w:rPr>
          <w:spacing w:val="-4"/>
        </w:rPr>
        <w:t xml:space="preserve"> </w:t>
      </w:r>
      <w:r>
        <w:t>and</w:t>
      </w:r>
      <w:r>
        <w:rPr>
          <w:spacing w:val="-3"/>
        </w:rPr>
        <w:t xml:space="preserve"> </w:t>
      </w:r>
      <w:r>
        <w:t>Education</w:t>
      </w:r>
      <w:r>
        <w:rPr>
          <w:spacing w:val="-3"/>
        </w:rPr>
        <w:t xml:space="preserve"> </w:t>
      </w:r>
      <w:r>
        <w:t>Reconciliation</w:t>
      </w:r>
      <w:r>
        <w:rPr>
          <w:spacing w:val="-3"/>
        </w:rPr>
        <w:t xml:space="preserve"> </w:t>
      </w:r>
      <w:r>
        <w:t>Act</w:t>
      </w:r>
      <w:r>
        <w:rPr>
          <w:spacing w:val="-3"/>
        </w:rPr>
        <w:t xml:space="preserve"> </w:t>
      </w:r>
      <w:r>
        <w:t>of</w:t>
      </w:r>
      <w:r>
        <w:rPr>
          <w:spacing w:val="-4"/>
        </w:rPr>
        <w:t xml:space="preserve"> </w:t>
      </w:r>
      <w:r>
        <w:t>2010</w:t>
      </w:r>
      <w:r>
        <w:rPr>
          <w:spacing w:val="-1"/>
        </w:rPr>
        <w:t xml:space="preserve"> </w:t>
      </w:r>
      <w:r>
        <w:t>(P.L.</w:t>
      </w:r>
      <w:r>
        <w:rPr>
          <w:spacing w:val="-3"/>
        </w:rPr>
        <w:t xml:space="preserve"> </w:t>
      </w:r>
      <w:r>
        <w:t>111-152)</w:t>
      </w:r>
      <w:r>
        <w:rPr>
          <w:spacing w:val="-4"/>
        </w:rPr>
        <w:t xml:space="preserve"> </w:t>
      </w:r>
      <w:r>
        <w:t>was signed into law. The two laws implement various health insurance policies, including the Essential Health Benefits (EHB).</w:t>
      </w:r>
    </w:p>
    <w:p w:rsidR="008406CE" w14:paraId="3E5FE96D" w14:textId="77777777">
      <w:pPr>
        <w:pStyle w:val="BodyText"/>
      </w:pPr>
    </w:p>
    <w:p w:rsidR="008406CE" w14:paraId="008ADE55" w14:textId="77777777">
      <w:pPr>
        <w:pStyle w:val="BodyText"/>
        <w:spacing w:before="1"/>
        <w:ind w:left="120" w:right="395"/>
      </w:pPr>
      <w:r>
        <w:t>Section 1302 of the ACA provides for the establishment of an EHB package that includes coverage of the EHB (as defined by the Secretary of HHS), cost-sharing limits, and actuarial value requirements. Among other requirements, the law directs that the EHB be equal in scope to</w:t>
      </w:r>
      <w:r>
        <w:rPr>
          <w:spacing w:val="-1"/>
        </w:rPr>
        <w:t xml:space="preserve"> </w:t>
      </w:r>
      <w:r>
        <w:t>the</w:t>
      </w:r>
      <w:r>
        <w:rPr>
          <w:spacing w:val="-2"/>
        </w:rPr>
        <w:t xml:space="preserve"> </w:t>
      </w:r>
      <w:r>
        <w:t>benefits</w:t>
      </w:r>
      <w:r>
        <w:rPr>
          <w:spacing w:val="-1"/>
        </w:rPr>
        <w:t xml:space="preserve"> </w:t>
      </w:r>
      <w:r>
        <w:t>provided</w:t>
      </w:r>
      <w:r>
        <w:rPr>
          <w:spacing w:val="-1"/>
        </w:rPr>
        <w:t xml:space="preserve"> </w:t>
      </w:r>
      <w:r>
        <w:t>under</w:t>
      </w:r>
      <w:r>
        <w:rPr>
          <w:spacing w:val="-2"/>
        </w:rPr>
        <w:t xml:space="preserve"> </w:t>
      </w:r>
      <w:r>
        <w:t>a</w:t>
      </w:r>
      <w:r>
        <w:rPr>
          <w:spacing w:val="-2"/>
        </w:rPr>
        <w:t xml:space="preserve"> </w:t>
      </w:r>
      <w:r>
        <w:t>typical employer</w:t>
      </w:r>
      <w:r>
        <w:rPr>
          <w:spacing w:val="-2"/>
        </w:rPr>
        <w:t xml:space="preserve"> </w:t>
      </w:r>
      <w:r>
        <w:t>plan,</w:t>
      </w:r>
      <w:r>
        <w:rPr>
          <w:spacing w:val="-1"/>
        </w:rPr>
        <w:t xml:space="preserve"> </w:t>
      </w:r>
      <w:r>
        <w:t>and</w:t>
      </w:r>
      <w:r>
        <w:rPr>
          <w:spacing w:val="-1"/>
        </w:rPr>
        <w:t xml:space="preserve"> </w:t>
      </w:r>
      <w:r>
        <w:t>that</w:t>
      </w:r>
      <w:r>
        <w:rPr>
          <w:spacing w:val="-1"/>
        </w:rPr>
        <w:t xml:space="preserve"> </w:t>
      </w:r>
      <w:r>
        <w:t>they</w:t>
      </w:r>
      <w:r>
        <w:rPr>
          <w:spacing w:val="-1"/>
        </w:rPr>
        <w:t xml:space="preserve"> </w:t>
      </w:r>
      <w:r>
        <w:t>cover</w:t>
      </w:r>
      <w:r>
        <w:rPr>
          <w:spacing w:val="-2"/>
        </w:rPr>
        <w:t xml:space="preserve"> </w:t>
      </w:r>
      <w:r>
        <w:t>at</w:t>
      </w:r>
      <w:r>
        <w:rPr>
          <w:spacing w:val="-1"/>
        </w:rPr>
        <w:t xml:space="preserve"> </w:t>
      </w:r>
      <w:r>
        <w:t>least</w:t>
      </w:r>
      <w:r>
        <w:rPr>
          <w:spacing w:val="-1"/>
        </w:rPr>
        <w:t xml:space="preserve"> </w:t>
      </w:r>
      <w:r>
        <w:t>the</w:t>
      </w:r>
      <w:r>
        <w:rPr>
          <w:spacing w:val="-2"/>
        </w:rPr>
        <w:t xml:space="preserve"> </w:t>
      </w:r>
      <w:r>
        <w:t>following 10 general categories: ambulatory patient services; emergency services; hospitalization; maternity and newborn care; mental health and substance use disorder services, including behavioral health treatment; prescription drugs; rehabilitative and habilitative services and devices; laboratory services; preventive</w:t>
      </w:r>
      <w:r>
        <w:rPr>
          <w:spacing w:val="-1"/>
        </w:rPr>
        <w:t xml:space="preserve"> </w:t>
      </w:r>
      <w:r>
        <w:t>and wellness services and chronic disease</w:t>
      </w:r>
      <w:r>
        <w:rPr>
          <w:spacing w:val="-1"/>
        </w:rPr>
        <w:t xml:space="preserve"> </w:t>
      </w:r>
      <w:r>
        <w:t>management; and pediatric services, including oral and vision care. Section 2707(a) of the PHS Act, which is effective</w:t>
      </w:r>
      <w:r>
        <w:rPr>
          <w:spacing w:val="-2"/>
        </w:rPr>
        <w:t xml:space="preserve"> </w:t>
      </w:r>
      <w:r>
        <w:t>for</w:t>
      </w:r>
      <w:r>
        <w:rPr>
          <w:spacing w:val="-2"/>
        </w:rPr>
        <w:t xml:space="preserve"> </w:t>
      </w:r>
      <w:r>
        <w:t>plan</w:t>
      </w:r>
      <w:r>
        <w:rPr>
          <w:spacing w:val="-1"/>
        </w:rPr>
        <w:t xml:space="preserve"> </w:t>
      </w:r>
      <w:r>
        <w:t>or</w:t>
      </w:r>
      <w:r>
        <w:rPr>
          <w:spacing w:val="-2"/>
        </w:rPr>
        <w:t xml:space="preserve"> </w:t>
      </w:r>
      <w:r>
        <w:t>policy</w:t>
      </w:r>
      <w:r>
        <w:rPr>
          <w:spacing w:val="-1"/>
        </w:rPr>
        <w:t xml:space="preserve"> </w:t>
      </w:r>
      <w:r>
        <w:t>years</w:t>
      </w:r>
      <w:r>
        <w:rPr>
          <w:spacing w:val="-1"/>
        </w:rPr>
        <w:t xml:space="preserve"> </w:t>
      </w:r>
      <w:r>
        <w:t>beginning</w:t>
      </w:r>
      <w:r>
        <w:rPr>
          <w:spacing w:val="-1"/>
        </w:rPr>
        <w:t xml:space="preserve"> </w:t>
      </w:r>
      <w:r>
        <w:t>on</w:t>
      </w:r>
      <w:r>
        <w:rPr>
          <w:spacing w:val="-1"/>
        </w:rPr>
        <w:t xml:space="preserve"> </w:t>
      </w:r>
      <w:r>
        <w:t>or after</w:t>
      </w:r>
      <w:r>
        <w:rPr>
          <w:spacing w:val="-2"/>
        </w:rPr>
        <w:t xml:space="preserve"> </w:t>
      </w:r>
      <w:r>
        <w:t>January</w:t>
      </w:r>
      <w:r>
        <w:rPr>
          <w:spacing w:val="-1"/>
        </w:rPr>
        <w:t xml:space="preserve"> </w:t>
      </w:r>
      <w:r>
        <w:t>1,</w:t>
      </w:r>
      <w:r>
        <w:rPr>
          <w:spacing w:val="-1"/>
        </w:rPr>
        <w:t xml:space="preserve"> </w:t>
      </w:r>
      <w:r>
        <w:t>2014,</w:t>
      </w:r>
      <w:r>
        <w:rPr>
          <w:spacing w:val="-1"/>
        </w:rPr>
        <w:t xml:space="preserve"> </w:t>
      </w:r>
      <w:r>
        <w:t>extends</w:t>
      </w:r>
      <w:r>
        <w:rPr>
          <w:spacing w:val="-1"/>
        </w:rPr>
        <w:t xml:space="preserve"> </w:t>
      </w:r>
      <w:r>
        <w:t>the</w:t>
      </w:r>
      <w:r>
        <w:rPr>
          <w:spacing w:val="-2"/>
        </w:rPr>
        <w:t xml:space="preserve"> </w:t>
      </w:r>
      <w:r>
        <w:t>requirement to cover the EHB package to non-grandfathered individual and small group health insurance coverage, irrespective of whether such coverage is offered through an Exchange. In addition, section</w:t>
      </w:r>
      <w:r>
        <w:rPr>
          <w:spacing w:val="-3"/>
        </w:rPr>
        <w:t xml:space="preserve"> </w:t>
      </w:r>
      <w:r>
        <w:t>2707(b)</w:t>
      </w:r>
      <w:r>
        <w:rPr>
          <w:spacing w:val="-4"/>
        </w:rPr>
        <w:t xml:space="preserve"> </w:t>
      </w:r>
      <w:r>
        <w:t>of</w:t>
      </w:r>
      <w:r>
        <w:rPr>
          <w:spacing w:val="-4"/>
        </w:rPr>
        <w:t xml:space="preserve"> </w:t>
      </w:r>
      <w:r>
        <w:t>the</w:t>
      </w:r>
      <w:r>
        <w:rPr>
          <w:spacing w:val="-4"/>
        </w:rPr>
        <w:t xml:space="preserve"> </w:t>
      </w:r>
      <w:r>
        <w:t>PHS</w:t>
      </w:r>
      <w:r>
        <w:rPr>
          <w:spacing w:val="-3"/>
        </w:rPr>
        <w:t xml:space="preserve"> </w:t>
      </w:r>
      <w:r>
        <w:t>Act</w:t>
      </w:r>
      <w:r>
        <w:rPr>
          <w:spacing w:val="-3"/>
        </w:rPr>
        <w:t xml:space="preserve"> </w:t>
      </w:r>
      <w:r>
        <w:t>directs</w:t>
      </w:r>
      <w:r>
        <w:rPr>
          <w:spacing w:val="-3"/>
        </w:rPr>
        <w:t xml:space="preserve"> </w:t>
      </w:r>
      <w:r>
        <w:t>non-grandfathered</w:t>
      </w:r>
      <w:r>
        <w:rPr>
          <w:spacing w:val="-3"/>
        </w:rPr>
        <w:t xml:space="preserve"> </w:t>
      </w:r>
      <w:r>
        <w:t>group</w:t>
      </w:r>
      <w:r>
        <w:rPr>
          <w:spacing w:val="-3"/>
        </w:rPr>
        <w:t xml:space="preserve"> </w:t>
      </w:r>
      <w:r>
        <w:t>health</w:t>
      </w:r>
      <w:r>
        <w:rPr>
          <w:spacing w:val="-3"/>
        </w:rPr>
        <w:t xml:space="preserve"> </w:t>
      </w:r>
      <w:r>
        <w:t>plans</w:t>
      </w:r>
      <w:r>
        <w:rPr>
          <w:spacing w:val="-3"/>
        </w:rPr>
        <w:t xml:space="preserve"> </w:t>
      </w:r>
      <w:r>
        <w:t>to</w:t>
      </w:r>
      <w:r>
        <w:rPr>
          <w:spacing w:val="-3"/>
        </w:rPr>
        <w:t xml:space="preserve"> </w:t>
      </w:r>
      <w:r>
        <w:t>ensure</w:t>
      </w:r>
      <w:r>
        <w:rPr>
          <w:spacing w:val="-4"/>
        </w:rPr>
        <w:t xml:space="preserve"> </w:t>
      </w:r>
      <w:r>
        <w:t>that</w:t>
      </w:r>
      <w:r>
        <w:rPr>
          <w:spacing w:val="-3"/>
        </w:rPr>
        <w:t xml:space="preserve"> </w:t>
      </w:r>
      <w:r>
        <w:t xml:space="preserve">cost- sharing under the plan does not exceed the limitations described in section 1302(c)(1) of the </w:t>
      </w:r>
      <w:r>
        <w:rPr>
          <w:spacing w:val="-4"/>
        </w:rPr>
        <w:t>ACA.</w:t>
      </w:r>
    </w:p>
    <w:p w:rsidR="008406CE" w14:paraId="6A800D49" w14:textId="77777777">
      <w:pPr>
        <w:pStyle w:val="BodyText"/>
      </w:pPr>
    </w:p>
    <w:p w:rsidR="008406CE" w14:paraId="4D8AA261" w14:textId="77777777">
      <w:pPr>
        <w:pStyle w:val="BodyText"/>
        <w:ind w:left="120" w:right="314"/>
      </w:pPr>
      <w:r>
        <w:t xml:space="preserve">We defined the EHB with a State benchmark-based approach in the Patient Protection and Affordable Care Act; Standards Related to Essential Health Benefits, Actuarial Value, and Accreditation; Final Rule (EHB Final Rule) published in the February 25, 2013, </w:t>
      </w:r>
      <w:r>
        <w:rPr>
          <w:b/>
        </w:rPr>
        <w:t xml:space="preserve">Federal Register </w:t>
      </w:r>
      <w:r>
        <w:t>(78 FR 12834). In order to establish an EHB-benchmark plan in each State, in 2012, HHS asked States to voluntarily identify an EHB-benchmark plan from 10 options that were provided</w:t>
      </w:r>
      <w:r>
        <w:rPr>
          <w:spacing w:val="-3"/>
        </w:rPr>
        <w:t xml:space="preserve"> </w:t>
      </w:r>
      <w:r>
        <w:t>in</w:t>
      </w:r>
      <w:r>
        <w:rPr>
          <w:spacing w:val="-3"/>
        </w:rPr>
        <w:t xml:space="preserve"> </w:t>
      </w:r>
      <w:r>
        <w:t>the</w:t>
      </w:r>
      <w:r>
        <w:rPr>
          <w:spacing w:val="-4"/>
        </w:rPr>
        <w:t xml:space="preserve"> </w:t>
      </w:r>
      <w:r>
        <w:t>EHB</w:t>
      </w:r>
      <w:r>
        <w:rPr>
          <w:spacing w:val="-3"/>
        </w:rPr>
        <w:t xml:space="preserve"> </w:t>
      </w:r>
      <w:r>
        <w:t>Bulletin.</w:t>
      </w:r>
      <w:r>
        <w:rPr>
          <w:spacing w:val="-3"/>
        </w:rPr>
        <w:t xml:space="preserve"> </w:t>
      </w:r>
      <w:r>
        <w:t>The</w:t>
      </w:r>
      <w:r>
        <w:rPr>
          <w:spacing w:val="-4"/>
        </w:rPr>
        <w:t xml:space="preserve"> </w:t>
      </w:r>
      <w:r>
        <w:t>EHB</w:t>
      </w:r>
      <w:r>
        <w:rPr>
          <w:spacing w:val="-3"/>
        </w:rPr>
        <w:t xml:space="preserve"> </w:t>
      </w:r>
      <w:r>
        <w:t>Final</w:t>
      </w:r>
      <w:r>
        <w:rPr>
          <w:spacing w:val="-3"/>
        </w:rPr>
        <w:t xml:space="preserve"> </w:t>
      </w:r>
      <w:r>
        <w:t>Rule</w:t>
      </w:r>
      <w:r>
        <w:rPr>
          <w:spacing w:val="-4"/>
        </w:rPr>
        <w:t xml:space="preserve"> </w:t>
      </w:r>
      <w:r>
        <w:t>applied</w:t>
      </w:r>
      <w:r>
        <w:rPr>
          <w:spacing w:val="-3"/>
        </w:rPr>
        <w:t xml:space="preserve"> </w:t>
      </w:r>
      <w:r>
        <w:t>those</w:t>
      </w:r>
      <w:r>
        <w:rPr>
          <w:spacing w:val="-4"/>
        </w:rPr>
        <w:t xml:space="preserve"> </w:t>
      </w:r>
      <w:r>
        <w:t>EHB-benchmark</w:t>
      </w:r>
      <w:r>
        <w:rPr>
          <w:spacing w:val="-3"/>
        </w:rPr>
        <w:t xml:space="preserve"> </w:t>
      </w:r>
      <w:r>
        <w:t>plans</w:t>
      </w:r>
      <w:r>
        <w:rPr>
          <w:spacing w:val="-3"/>
        </w:rPr>
        <w:t xml:space="preserve"> </w:t>
      </w:r>
      <w:r>
        <w:t>starting in the 2014 plan year as a transitional policy. Then, in 2015, HHS asked States to voluntarily identify an EHB-benchmark plan from those 10 options for a second time based on 2014 plans that would apply beginning in the 2017 plan year.</w:t>
      </w:r>
    </w:p>
    <w:p w:rsidR="008406CE" w14:paraId="5A844804" w14:textId="77777777">
      <w:pPr>
        <w:pStyle w:val="BodyText"/>
      </w:pPr>
    </w:p>
    <w:p w:rsidR="008406CE" w14:paraId="1FCBA70F" w14:textId="77777777">
      <w:pPr>
        <w:pStyle w:val="BodyText"/>
        <w:ind w:left="119" w:right="314"/>
      </w:pPr>
      <w:r>
        <w:t>In the final rule entitled the HHS Notice of Benefit and Payment Parameters for 2019 (2019 Payment Notice)</w:t>
      </w:r>
      <w:r>
        <w:rPr>
          <w:spacing w:val="-20"/>
        </w:rPr>
        <w:t xml:space="preserve"> </w:t>
      </w:r>
      <w:r>
        <w:t>published in the April</w:t>
      </w:r>
      <w:r>
        <w:rPr>
          <w:spacing w:val="-19"/>
        </w:rPr>
        <w:t xml:space="preserve"> </w:t>
      </w:r>
      <w:r>
        <w:t xml:space="preserve">17, 2017, </w:t>
      </w:r>
      <w:r>
        <w:rPr>
          <w:b/>
        </w:rPr>
        <w:t xml:space="preserve">Federal Register </w:t>
      </w:r>
      <w:r>
        <w:t xml:space="preserve">(83 FR 16930), we added 45 CFR 156.111 in changing the State’s EHB-benchmark plan selection process beginning for the 2020 plan year. In the HHS Notice of Benefit and Payment Parameters for 2025 proposed rule (proposed 2025 Payment Notice), published on November 24, 2023, </w:t>
      </w:r>
      <w:r>
        <w:rPr>
          <w:b/>
        </w:rPr>
        <w:t xml:space="preserve">Federal Register </w:t>
      </w:r>
      <w:r>
        <w:t>(88 FR 82510),</w:t>
      </w:r>
      <w:r>
        <w:rPr>
          <w:spacing w:val="-3"/>
        </w:rPr>
        <w:t xml:space="preserve"> </w:t>
      </w:r>
      <w:r>
        <w:t>we</w:t>
      </w:r>
      <w:r>
        <w:rPr>
          <w:spacing w:val="-4"/>
        </w:rPr>
        <w:t xml:space="preserve"> </w:t>
      </w:r>
      <w:r>
        <w:t>proposed</w:t>
      </w:r>
      <w:r>
        <w:rPr>
          <w:spacing w:val="-3"/>
        </w:rPr>
        <w:t xml:space="preserve"> </w:t>
      </w:r>
      <w:r>
        <w:t>three</w:t>
      </w:r>
      <w:r>
        <w:rPr>
          <w:spacing w:val="-4"/>
        </w:rPr>
        <w:t xml:space="preserve"> </w:t>
      </w:r>
      <w:r>
        <w:t>changes</w:t>
      </w:r>
      <w:r>
        <w:rPr>
          <w:spacing w:val="-3"/>
        </w:rPr>
        <w:t xml:space="preserve"> </w:t>
      </w:r>
      <w:r>
        <w:t>to</w:t>
      </w:r>
      <w:r>
        <w:rPr>
          <w:spacing w:val="-3"/>
        </w:rPr>
        <w:t xml:space="preserve"> </w:t>
      </w:r>
      <w:r>
        <w:t>§</w:t>
      </w:r>
      <w:r>
        <w:rPr>
          <w:spacing w:val="-3"/>
        </w:rPr>
        <w:t xml:space="preserve"> </w:t>
      </w:r>
      <w:r>
        <w:t>156.111.</w:t>
      </w:r>
      <w:r>
        <w:rPr>
          <w:spacing w:val="-3"/>
        </w:rPr>
        <w:t xml:space="preserve"> </w:t>
      </w:r>
      <w:r>
        <w:t>First,</w:t>
      </w:r>
      <w:r>
        <w:rPr>
          <w:spacing w:val="-3"/>
        </w:rPr>
        <w:t xml:space="preserve"> </w:t>
      </w:r>
      <w:r>
        <w:t>we</w:t>
      </w:r>
      <w:r>
        <w:rPr>
          <w:spacing w:val="-4"/>
        </w:rPr>
        <w:t xml:space="preserve"> </w:t>
      </w:r>
      <w:r>
        <w:t>proposed</w:t>
      </w:r>
      <w:r>
        <w:rPr>
          <w:spacing w:val="-3"/>
        </w:rPr>
        <w:t xml:space="preserve"> </w:t>
      </w:r>
      <w:r>
        <w:t>to</w:t>
      </w:r>
      <w:r>
        <w:rPr>
          <w:spacing w:val="-3"/>
        </w:rPr>
        <w:t xml:space="preserve"> </w:t>
      </w:r>
      <w:r>
        <w:t>streamline</w:t>
      </w:r>
      <w:r>
        <w:rPr>
          <w:spacing w:val="-4"/>
        </w:rPr>
        <w:t xml:space="preserve"> </w:t>
      </w:r>
      <w:r>
        <w:t>the</w:t>
      </w:r>
      <w:r>
        <w:rPr>
          <w:spacing w:val="-4"/>
        </w:rPr>
        <w:t xml:space="preserve"> </w:t>
      </w:r>
      <w:r>
        <w:t>options</w:t>
      </w:r>
      <w:r>
        <w:rPr>
          <w:spacing w:val="-3"/>
        </w:rPr>
        <w:t xml:space="preserve"> </w:t>
      </w:r>
      <w:r>
        <w:t>for States to change EHB-benchmark plans at § 156.111(a) to reduce the burden on States to select between three</w:t>
      </w:r>
      <w:r>
        <w:rPr>
          <w:spacing w:val="-1"/>
        </w:rPr>
        <w:t xml:space="preserve"> </w:t>
      </w:r>
      <w:r>
        <w:t>functionally</w:t>
      </w:r>
      <w:r>
        <w:rPr>
          <w:spacing w:val="-1"/>
        </w:rPr>
        <w:t xml:space="preserve"> </w:t>
      </w:r>
      <w:r>
        <w:t>identical choices. Second, we</w:t>
      </w:r>
      <w:r>
        <w:rPr>
          <w:spacing w:val="-1"/>
        </w:rPr>
        <w:t xml:space="preserve"> </w:t>
      </w:r>
      <w:r>
        <w:t>proposed to amend the</w:t>
      </w:r>
      <w:r>
        <w:rPr>
          <w:spacing w:val="-1"/>
        </w:rPr>
        <w:t xml:space="preserve"> </w:t>
      </w:r>
      <w:r>
        <w:t>scope</w:t>
      </w:r>
      <w:r>
        <w:rPr>
          <w:spacing w:val="-1"/>
        </w:rPr>
        <w:t xml:space="preserve"> </w:t>
      </w:r>
      <w:r>
        <w:t>of</w:t>
      </w:r>
      <w:r>
        <w:rPr>
          <w:spacing w:val="-1"/>
        </w:rPr>
        <w:t xml:space="preserve"> </w:t>
      </w:r>
      <w:r>
        <w:t>benefit requirements at § 156.111(b)(2) by requiring a State’s new EHB-benchmark plan to provide a scope of benefits that is equal to the scope benefits of a typical employer plan in the State, and that a typical employer plan in the State is any plan that is as or more generous than the least</w:t>
      </w:r>
    </w:p>
    <w:p w:rsidR="008406CE" w14:paraId="62D4A99D" w14:textId="77777777">
      <w:pPr>
        <w:sectPr>
          <w:footerReference w:type="default" r:id="rId4"/>
          <w:type w:val="continuous"/>
          <w:pgSz w:w="12240" w:h="15840"/>
          <w:pgMar w:top="1440" w:right="1140" w:bottom="1220" w:left="1320" w:header="0" w:footer="1022" w:gutter="0"/>
          <w:pgNumType w:start="1"/>
          <w:cols w:space="720"/>
        </w:sectPr>
      </w:pPr>
    </w:p>
    <w:p w:rsidR="008406CE" w14:paraId="137BCA99" w14:textId="77777777">
      <w:pPr>
        <w:pStyle w:val="BodyText"/>
        <w:spacing w:before="79"/>
        <w:ind w:left="120" w:right="395"/>
      </w:pPr>
      <w:r>
        <w:t>generous</w:t>
      </w:r>
      <w:r>
        <w:rPr>
          <w:spacing w:val="-3"/>
        </w:rPr>
        <w:t xml:space="preserve"> </w:t>
      </w:r>
      <w:r>
        <w:t>plan,</w:t>
      </w:r>
      <w:r>
        <w:rPr>
          <w:spacing w:val="-1"/>
        </w:rPr>
        <w:t xml:space="preserve"> </w:t>
      </w:r>
      <w:r>
        <w:t>and</w:t>
      </w:r>
      <w:r>
        <w:rPr>
          <w:spacing w:val="-3"/>
        </w:rPr>
        <w:t xml:space="preserve"> </w:t>
      </w:r>
      <w:r>
        <w:t>as</w:t>
      </w:r>
      <w:r>
        <w:rPr>
          <w:spacing w:val="-3"/>
        </w:rPr>
        <w:t xml:space="preserve"> </w:t>
      </w:r>
      <w:r>
        <w:t>or</w:t>
      </w:r>
      <w:r>
        <w:rPr>
          <w:spacing w:val="-4"/>
        </w:rPr>
        <w:t xml:space="preserve"> </w:t>
      </w:r>
      <w:r>
        <w:t>less</w:t>
      </w:r>
      <w:r>
        <w:rPr>
          <w:spacing w:val="-3"/>
        </w:rPr>
        <w:t xml:space="preserve"> </w:t>
      </w:r>
      <w:r>
        <w:t>generous</w:t>
      </w:r>
      <w:r>
        <w:rPr>
          <w:spacing w:val="-3"/>
        </w:rPr>
        <w:t xml:space="preserve"> </w:t>
      </w:r>
      <w:r>
        <w:t>than</w:t>
      </w:r>
      <w:r>
        <w:rPr>
          <w:spacing w:val="-3"/>
        </w:rPr>
        <w:t xml:space="preserve"> </w:t>
      </w:r>
      <w:r>
        <w:t>the</w:t>
      </w:r>
      <w:r>
        <w:rPr>
          <w:spacing w:val="-4"/>
        </w:rPr>
        <w:t xml:space="preserve"> </w:t>
      </w:r>
      <w:r>
        <w:t>most</w:t>
      </w:r>
      <w:r>
        <w:rPr>
          <w:spacing w:val="-3"/>
        </w:rPr>
        <w:t xml:space="preserve"> </w:t>
      </w:r>
      <w:r>
        <w:t>generous</w:t>
      </w:r>
      <w:r>
        <w:rPr>
          <w:spacing w:val="-3"/>
        </w:rPr>
        <w:t xml:space="preserve"> </w:t>
      </w:r>
      <w:r>
        <w:t>plan</w:t>
      </w:r>
      <w:r>
        <w:rPr>
          <w:spacing w:val="-3"/>
        </w:rPr>
        <w:t xml:space="preserve"> </w:t>
      </w:r>
      <w:r>
        <w:t>in</w:t>
      </w:r>
      <w:r>
        <w:rPr>
          <w:spacing w:val="-3"/>
        </w:rPr>
        <w:t xml:space="preserve"> </w:t>
      </w:r>
      <w:r>
        <w:t>the</w:t>
      </w:r>
      <w:r>
        <w:rPr>
          <w:spacing w:val="-4"/>
        </w:rPr>
        <w:t xml:space="preserve"> </w:t>
      </w:r>
      <w:r>
        <w:t>State,</w:t>
      </w:r>
      <w:r>
        <w:rPr>
          <w:spacing w:val="-3"/>
        </w:rPr>
        <w:t xml:space="preserve"> </w:t>
      </w:r>
      <w:r>
        <w:t>among</w:t>
      </w:r>
      <w:r>
        <w:rPr>
          <w:spacing w:val="-3"/>
        </w:rPr>
        <w:t xml:space="preserve"> </w:t>
      </w:r>
      <w:r>
        <w:t>the</w:t>
      </w:r>
      <w:r>
        <w:rPr>
          <w:spacing w:val="-4"/>
        </w:rPr>
        <w:t xml:space="preserve"> </w:t>
      </w:r>
      <w:r>
        <w:t>plans currently defined at § 156.111(b)(2)(i)(A) and (B). We also proposed to remove the generosity standard</w:t>
      </w:r>
      <w:r>
        <w:rPr>
          <w:spacing w:val="-1"/>
        </w:rPr>
        <w:t xml:space="preserve"> </w:t>
      </w:r>
      <w:r>
        <w:t>at</w:t>
      </w:r>
      <w:r>
        <w:rPr>
          <w:spacing w:val="-1"/>
        </w:rPr>
        <w:t xml:space="preserve"> </w:t>
      </w:r>
      <w:r>
        <w:t>§</w:t>
      </w:r>
      <w:r>
        <w:rPr>
          <w:spacing w:val="-1"/>
        </w:rPr>
        <w:t xml:space="preserve"> </w:t>
      </w:r>
      <w:r>
        <w:t>156.111(b)(2)(ii).</w:t>
      </w:r>
      <w:r>
        <w:rPr>
          <w:spacing w:val="-1"/>
        </w:rPr>
        <w:t xml:space="preserve"> </w:t>
      </w:r>
      <w:r>
        <w:t>Third,</w:t>
      </w:r>
      <w:r>
        <w:rPr>
          <w:spacing w:val="-1"/>
        </w:rPr>
        <w:t xml:space="preserve"> </w:t>
      </w:r>
      <w:r>
        <w:t>we</w:t>
      </w:r>
      <w:r>
        <w:rPr>
          <w:spacing w:val="-2"/>
        </w:rPr>
        <w:t xml:space="preserve"> </w:t>
      </w:r>
      <w:r>
        <w:t>proposed</w:t>
      </w:r>
      <w:r>
        <w:rPr>
          <w:spacing w:val="-1"/>
        </w:rPr>
        <w:t xml:space="preserve"> </w:t>
      </w:r>
      <w:r>
        <w:t>to</w:t>
      </w:r>
      <w:r>
        <w:rPr>
          <w:spacing w:val="-1"/>
        </w:rPr>
        <w:t xml:space="preserve"> </w:t>
      </w:r>
      <w:r>
        <w:t>revise</w:t>
      </w:r>
      <w:r>
        <w:rPr>
          <w:spacing w:val="-2"/>
        </w:rPr>
        <w:t xml:space="preserve"> </w:t>
      </w:r>
      <w:r>
        <w:t>§</w:t>
      </w:r>
      <w:r>
        <w:rPr>
          <w:spacing w:val="-1"/>
        </w:rPr>
        <w:t xml:space="preserve"> </w:t>
      </w:r>
      <w:r>
        <w:t>156.111(e)(3)</w:t>
      </w:r>
      <w:r>
        <w:rPr>
          <w:spacing w:val="-2"/>
        </w:rPr>
        <w:t xml:space="preserve"> </w:t>
      </w:r>
      <w:r>
        <w:t>to</w:t>
      </w:r>
      <w:r>
        <w:rPr>
          <w:spacing w:val="-1"/>
        </w:rPr>
        <w:t xml:space="preserve"> </w:t>
      </w:r>
      <w:r>
        <w:t>require</w:t>
      </w:r>
      <w:r>
        <w:rPr>
          <w:spacing w:val="-2"/>
        </w:rPr>
        <w:t xml:space="preserve"> </w:t>
      </w:r>
      <w:r>
        <w:t>States</w:t>
      </w:r>
      <w:r>
        <w:rPr>
          <w:spacing w:val="-1"/>
        </w:rPr>
        <w:t xml:space="preserve"> </w:t>
      </w:r>
      <w:r>
        <w:t>to submit a</w:t>
      </w:r>
      <w:r>
        <w:rPr>
          <w:spacing w:val="-1"/>
        </w:rPr>
        <w:t xml:space="preserve"> </w:t>
      </w:r>
      <w:r>
        <w:t>formulary drug list as part of</w:t>
      </w:r>
      <w:r>
        <w:rPr>
          <w:spacing w:val="-1"/>
        </w:rPr>
        <w:t xml:space="preserve"> </w:t>
      </w:r>
      <w:r>
        <w:t>their</w:t>
      </w:r>
      <w:r>
        <w:rPr>
          <w:spacing w:val="-1"/>
        </w:rPr>
        <w:t xml:space="preserve"> </w:t>
      </w:r>
      <w:r>
        <w:t>application to change</w:t>
      </w:r>
      <w:r>
        <w:rPr>
          <w:spacing w:val="-1"/>
        </w:rPr>
        <w:t xml:space="preserve"> </w:t>
      </w:r>
      <w:r>
        <w:t>EHB-benchmark plans only if the State is seeking to change their prescription drug EHB.</w:t>
      </w:r>
    </w:p>
    <w:p w:rsidR="008406CE" w14:paraId="0F180BE7" w14:textId="77777777">
      <w:pPr>
        <w:pStyle w:val="BodyText"/>
      </w:pPr>
    </w:p>
    <w:p w:rsidR="008406CE" w14:paraId="288D58DD" w14:textId="77777777">
      <w:pPr>
        <w:pStyle w:val="BodyText"/>
        <w:ind w:left="119" w:right="370"/>
      </w:pPr>
      <w:r>
        <w:t>The current EHB-benchmark plan PRA package (expires February 28, 2024) was submitted as an extension request on September</w:t>
      </w:r>
      <w:r>
        <w:rPr>
          <w:spacing w:val="-1"/>
        </w:rPr>
        <w:t xml:space="preserve"> </w:t>
      </w:r>
      <w:r>
        <w:t>27, 2023 (88 FR 66452)</w:t>
      </w:r>
      <w:r>
        <w:rPr>
          <w:spacing w:val="-1"/>
        </w:rPr>
        <w:t xml:space="preserve"> </w:t>
      </w:r>
      <w:r>
        <w:t>and February 7, 2024 (89 FR 8434). However,</w:t>
      </w:r>
      <w:r>
        <w:rPr>
          <w:spacing w:val="-4"/>
        </w:rPr>
        <w:t xml:space="preserve"> </w:t>
      </w:r>
      <w:r>
        <w:t>we</w:t>
      </w:r>
      <w:r>
        <w:rPr>
          <w:spacing w:val="-3"/>
        </w:rPr>
        <w:t xml:space="preserve"> </w:t>
      </w:r>
      <w:r>
        <w:t>are</w:t>
      </w:r>
      <w:r>
        <w:rPr>
          <w:spacing w:val="-5"/>
        </w:rPr>
        <w:t xml:space="preserve"> </w:t>
      </w:r>
      <w:r>
        <w:t>proposing</w:t>
      </w:r>
      <w:r>
        <w:rPr>
          <w:spacing w:val="-4"/>
        </w:rPr>
        <w:t xml:space="preserve"> </w:t>
      </w:r>
      <w:r>
        <w:t>changes</w:t>
      </w:r>
      <w:r>
        <w:rPr>
          <w:spacing w:val="-4"/>
        </w:rPr>
        <w:t xml:space="preserve"> </w:t>
      </w:r>
      <w:r>
        <w:t>to</w:t>
      </w:r>
      <w:r>
        <w:rPr>
          <w:spacing w:val="-4"/>
        </w:rPr>
        <w:t xml:space="preserve"> </w:t>
      </w:r>
      <w:r>
        <w:t>the</w:t>
      </w:r>
      <w:r>
        <w:rPr>
          <w:spacing w:val="-5"/>
        </w:rPr>
        <w:t xml:space="preserve"> </w:t>
      </w:r>
      <w:r>
        <w:t>EHB-benchmark</w:t>
      </w:r>
      <w:r>
        <w:rPr>
          <w:spacing w:val="-4"/>
        </w:rPr>
        <w:t xml:space="preserve"> </w:t>
      </w:r>
      <w:r>
        <w:t>plan</w:t>
      </w:r>
      <w:r>
        <w:rPr>
          <w:spacing w:val="-2"/>
        </w:rPr>
        <w:t xml:space="preserve"> </w:t>
      </w:r>
      <w:r>
        <w:t>application</w:t>
      </w:r>
      <w:r>
        <w:rPr>
          <w:spacing w:val="-4"/>
        </w:rPr>
        <w:t xml:space="preserve"> </w:t>
      </w:r>
      <w:r>
        <w:t>requirements</w:t>
      </w:r>
      <w:r>
        <w:rPr>
          <w:spacing w:val="-4"/>
        </w:rPr>
        <w:t xml:space="preserve"> </w:t>
      </w:r>
      <w:r>
        <w:t>in</w:t>
      </w:r>
      <w:r>
        <w:rPr>
          <w:spacing w:val="-4"/>
        </w:rPr>
        <w:t xml:space="preserve"> </w:t>
      </w:r>
      <w:r>
        <w:t>the proposed 2025 Payment Notice. If finalized as proposed, that rule would substantively change the burden associated with this collection, so we propose this new PRA package in conjunction with that rule. This new PRA package will come into effect with EHB-benchmark plan submissions beginning in calendar year 2025. The current PRA package (that was submitted as an extension request) will remain in effect through calendar year 2024.</w:t>
      </w:r>
    </w:p>
    <w:p w:rsidR="008406CE" w14:paraId="5196D5C0" w14:textId="77777777">
      <w:pPr>
        <w:pStyle w:val="BodyText"/>
        <w:spacing w:before="5"/>
      </w:pPr>
    </w:p>
    <w:p w:rsidR="008406CE" w14:paraId="2292FAD2" w14:textId="77777777">
      <w:pPr>
        <w:pStyle w:val="ListParagraph"/>
        <w:numPr>
          <w:ilvl w:val="0"/>
          <w:numId w:val="2"/>
        </w:numPr>
        <w:tabs>
          <w:tab w:val="left" w:pos="839"/>
        </w:tabs>
        <w:ind w:left="839" w:hanging="719"/>
        <w:rPr>
          <w:b/>
          <w:sz w:val="24"/>
        </w:rPr>
      </w:pPr>
      <w:bookmarkStart w:id="2" w:name="B._Justification"/>
      <w:bookmarkEnd w:id="2"/>
      <w:r>
        <w:rPr>
          <w:b/>
          <w:spacing w:val="-2"/>
          <w:sz w:val="24"/>
          <w:u w:val="single"/>
        </w:rPr>
        <w:t>Justification</w:t>
      </w:r>
    </w:p>
    <w:p w:rsidR="008406CE" w14:paraId="7BAD1C7B" w14:textId="77777777">
      <w:pPr>
        <w:pStyle w:val="BodyText"/>
        <w:spacing w:before="5"/>
        <w:rPr>
          <w:b/>
        </w:rPr>
      </w:pPr>
    </w:p>
    <w:p w:rsidR="008406CE" w14:paraId="3B2AA4DA" w14:textId="77777777">
      <w:pPr>
        <w:pStyle w:val="ListParagraph"/>
        <w:numPr>
          <w:ilvl w:val="1"/>
          <w:numId w:val="2"/>
        </w:numPr>
        <w:tabs>
          <w:tab w:val="left" w:pos="839"/>
        </w:tabs>
        <w:ind w:left="839" w:hanging="719"/>
        <w:rPr>
          <w:sz w:val="24"/>
        </w:rPr>
      </w:pPr>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8"/>
          <w:sz w:val="24"/>
          <w:u w:val="single"/>
        </w:rPr>
        <w:t xml:space="preserve"> </w:t>
      </w:r>
      <w:r>
        <w:rPr>
          <w:spacing w:val="-4"/>
          <w:sz w:val="24"/>
          <w:u w:val="single"/>
        </w:rPr>
        <w:t>Basis</w:t>
      </w:r>
    </w:p>
    <w:p w:rsidR="008406CE" w14:paraId="6E0316EF" w14:textId="77777777">
      <w:pPr>
        <w:pStyle w:val="BodyText"/>
      </w:pPr>
    </w:p>
    <w:p w:rsidR="008406CE" w14:paraId="0793C391" w14:textId="77777777">
      <w:pPr>
        <w:pStyle w:val="BodyText"/>
        <w:ind w:left="120" w:right="314"/>
      </w:pPr>
      <w:r>
        <w:t xml:space="preserve">Section 1321(a) of the ACA requires HHS to issue regulations setting standards for meeting the requirements under title I of the ACA. HHS published the Data Collection to Support Standards Related to Essential Health Benefits; Recognition of Entities for the Accreditation of Qualified Health Plans in the June 5, 2012, </w:t>
      </w:r>
      <w:r>
        <w:rPr>
          <w:b/>
        </w:rPr>
        <w:t xml:space="preserve">Federal Register </w:t>
      </w:r>
      <w:r>
        <w:t xml:space="preserve">(77 FR 33133), initially authorizing HHS to collect data from potential default EHB-benchmark plan issuers in each State. The information collection requirement (ICR) associated with that proposed rule addressed States’ selection of their own EHB-benchmark plan. The proposed rule was finalized and published in the July 20, 2012, </w:t>
      </w:r>
      <w:r>
        <w:rPr>
          <w:b/>
        </w:rPr>
        <w:t xml:space="preserve">Federal Register </w:t>
      </w:r>
      <w:r>
        <w:t>(77 FR 42658). A revised ICR was published with the HHS Notice of Benefit</w:t>
      </w:r>
      <w:r>
        <w:rPr>
          <w:spacing w:val="-3"/>
        </w:rPr>
        <w:t xml:space="preserve"> </w:t>
      </w:r>
      <w:r>
        <w:t>and</w:t>
      </w:r>
      <w:r>
        <w:rPr>
          <w:spacing w:val="-3"/>
        </w:rPr>
        <w:t xml:space="preserve"> </w:t>
      </w:r>
      <w:r>
        <w:t>Payment</w:t>
      </w:r>
      <w:r>
        <w:rPr>
          <w:spacing w:val="-3"/>
        </w:rPr>
        <w:t xml:space="preserve"> </w:t>
      </w:r>
      <w:r>
        <w:t>Parameters</w:t>
      </w:r>
      <w:r>
        <w:rPr>
          <w:spacing w:val="-3"/>
        </w:rPr>
        <w:t xml:space="preserve"> </w:t>
      </w:r>
      <w:r>
        <w:t>for</w:t>
      </w:r>
      <w:r>
        <w:rPr>
          <w:spacing w:val="-4"/>
        </w:rPr>
        <w:t xml:space="preserve"> </w:t>
      </w:r>
      <w:r>
        <w:t>2016</w:t>
      </w:r>
      <w:r>
        <w:rPr>
          <w:spacing w:val="-3"/>
        </w:rPr>
        <w:t xml:space="preserve"> </w:t>
      </w:r>
      <w:r>
        <w:t>(2016</w:t>
      </w:r>
      <w:r>
        <w:rPr>
          <w:spacing w:val="-3"/>
        </w:rPr>
        <w:t xml:space="preserve"> </w:t>
      </w:r>
      <w:r>
        <w:t>Payment</w:t>
      </w:r>
      <w:r>
        <w:rPr>
          <w:spacing w:val="-3"/>
        </w:rPr>
        <w:t xml:space="preserve"> </w:t>
      </w:r>
      <w:r>
        <w:t>Notice)</w:t>
      </w:r>
      <w:r>
        <w:rPr>
          <w:spacing w:val="-4"/>
        </w:rPr>
        <w:t xml:space="preserve"> </w:t>
      </w:r>
      <w:r>
        <w:t>in</w:t>
      </w:r>
      <w:r>
        <w:rPr>
          <w:spacing w:val="-3"/>
        </w:rPr>
        <w:t xml:space="preserve"> </w:t>
      </w:r>
      <w:r>
        <w:t>the</w:t>
      </w:r>
      <w:r>
        <w:rPr>
          <w:spacing w:val="-4"/>
        </w:rPr>
        <w:t xml:space="preserve"> </w:t>
      </w:r>
      <w:r>
        <w:t>April</w:t>
      </w:r>
      <w:r>
        <w:rPr>
          <w:spacing w:val="-3"/>
        </w:rPr>
        <w:t xml:space="preserve"> </w:t>
      </w:r>
      <w:r>
        <w:t>28,</w:t>
      </w:r>
      <w:r>
        <w:rPr>
          <w:spacing w:val="-3"/>
        </w:rPr>
        <w:t xml:space="preserve"> </w:t>
      </w:r>
      <w:r>
        <w:t>2015,</w:t>
      </w:r>
      <w:r>
        <w:rPr>
          <w:spacing w:val="-3"/>
        </w:rPr>
        <w:t xml:space="preserve"> </w:t>
      </w:r>
      <w:r>
        <w:rPr>
          <w:b/>
        </w:rPr>
        <w:t xml:space="preserve">Federal Register </w:t>
      </w:r>
      <w:r>
        <w:t>(80 FR 10749) and the ICR was finalized on August 28, 2015. We finalized new regulations</w:t>
      </w:r>
      <w:r>
        <w:rPr>
          <w:spacing w:val="-2"/>
        </w:rPr>
        <w:t xml:space="preserve"> </w:t>
      </w:r>
      <w:r>
        <w:t>at</w:t>
      </w:r>
      <w:r>
        <w:rPr>
          <w:spacing w:val="-2"/>
        </w:rPr>
        <w:t xml:space="preserve"> </w:t>
      </w:r>
      <w:r>
        <w:t>§</w:t>
      </w:r>
      <w:r>
        <w:rPr>
          <w:spacing w:val="-2"/>
        </w:rPr>
        <w:t xml:space="preserve"> </w:t>
      </w:r>
      <w:r>
        <w:t>156.111 for</w:t>
      </w:r>
      <w:r>
        <w:rPr>
          <w:spacing w:val="-3"/>
        </w:rPr>
        <w:t xml:space="preserve"> </w:t>
      </w:r>
      <w:r>
        <w:t>a</w:t>
      </w:r>
      <w:r>
        <w:rPr>
          <w:spacing w:val="-3"/>
        </w:rPr>
        <w:t xml:space="preserve"> </w:t>
      </w:r>
      <w:r>
        <w:t>State’s</w:t>
      </w:r>
      <w:r>
        <w:rPr>
          <w:spacing w:val="-2"/>
        </w:rPr>
        <w:t xml:space="preserve"> </w:t>
      </w:r>
      <w:r>
        <w:t>EHB-benchmark</w:t>
      </w:r>
      <w:r>
        <w:rPr>
          <w:spacing w:val="-2"/>
        </w:rPr>
        <w:t xml:space="preserve"> </w:t>
      </w:r>
      <w:r>
        <w:t>plan</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1"/>
        </w:rPr>
        <w:t xml:space="preserve"> </w:t>
      </w:r>
      <w:r>
        <w:t>HHS</w:t>
      </w:r>
      <w:r>
        <w:rPr>
          <w:spacing w:val="-2"/>
        </w:rPr>
        <w:t xml:space="preserve"> </w:t>
      </w:r>
      <w:r>
        <w:t>Notice</w:t>
      </w:r>
      <w:r>
        <w:rPr>
          <w:spacing w:val="-3"/>
        </w:rPr>
        <w:t xml:space="preserve"> </w:t>
      </w:r>
      <w:r>
        <w:t>of</w:t>
      </w:r>
      <w:r>
        <w:rPr>
          <w:spacing w:val="-3"/>
        </w:rPr>
        <w:t xml:space="preserve"> </w:t>
      </w:r>
      <w:r>
        <w:t xml:space="preserve">Benefit and Payment Parameters for 2019 (2019 Payment Notice) published in the April 17, 2018, </w:t>
      </w:r>
      <w:r>
        <w:rPr>
          <w:b/>
        </w:rPr>
        <w:t xml:space="preserve">Federal Register </w:t>
      </w:r>
      <w:r>
        <w:t>(83 FR 16930), and simultaneously published a revised ICR to reflect these changes on April 16, 2018. We renewed that ICR on March 11, 2021, and published the 60-day notice on September 27, 2023, and the 30-day notice on February 7, 2024, for the extension request for that ICR for use beginning in April 2024.</w:t>
      </w:r>
    </w:p>
    <w:p w:rsidR="008406CE" w14:paraId="4AC24527" w14:textId="77777777">
      <w:pPr>
        <w:pStyle w:val="BodyText"/>
        <w:spacing w:before="274"/>
        <w:ind w:left="120"/>
      </w:pPr>
      <w:r>
        <w:t>We</w:t>
      </w:r>
      <w:r>
        <w:rPr>
          <w:spacing w:val="-5"/>
        </w:rPr>
        <w:t xml:space="preserve"> </w:t>
      </w:r>
      <w:r>
        <w:t>issue</w:t>
      </w:r>
      <w:r>
        <w:rPr>
          <w:spacing w:val="-2"/>
        </w:rPr>
        <w:t xml:space="preserve"> </w:t>
      </w:r>
      <w:r>
        <w:t>these ICRs</w:t>
      </w:r>
      <w:r>
        <w:rPr>
          <w:spacing w:val="-2"/>
        </w:rPr>
        <w:t xml:space="preserve"> </w:t>
      </w:r>
      <w:r>
        <w:t>in</w:t>
      </w:r>
      <w:r>
        <w:rPr>
          <w:spacing w:val="-1"/>
        </w:rPr>
        <w:t xml:space="preserve"> </w:t>
      </w:r>
      <w:r>
        <w:t>conjunction</w:t>
      </w:r>
      <w:r>
        <w:rPr>
          <w:spacing w:val="-1"/>
        </w:rPr>
        <w:t xml:space="preserve"> </w:t>
      </w:r>
      <w:r>
        <w:t>with</w:t>
      </w:r>
      <w:r>
        <w:rPr>
          <w:spacing w:val="-2"/>
        </w:rPr>
        <w:t xml:space="preserve"> </w:t>
      </w:r>
      <w:r>
        <w:t>the</w:t>
      </w:r>
      <w:r>
        <w:rPr>
          <w:spacing w:val="-2"/>
        </w:rPr>
        <w:t xml:space="preserve"> </w:t>
      </w:r>
      <w:r>
        <w:t>proposed</w:t>
      </w:r>
      <w:r>
        <w:rPr>
          <w:spacing w:val="-1"/>
        </w:rPr>
        <w:t xml:space="preserve"> </w:t>
      </w:r>
      <w:r>
        <w:t>2025</w:t>
      </w:r>
      <w:r>
        <w:rPr>
          <w:spacing w:val="-2"/>
        </w:rPr>
        <w:t xml:space="preserve"> </w:t>
      </w:r>
      <w:r>
        <w:t>Payment</w:t>
      </w:r>
      <w:r>
        <w:rPr>
          <w:spacing w:val="-1"/>
        </w:rPr>
        <w:t xml:space="preserve"> </w:t>
      </w:r>
      <w:r>
        <w:t>Notice.</w:t>
      </w:r>
      <w:r>
        <w:rPr>
          <w:spacing w:val="1"/>
        </w:rPr>
        <w:t xml:space="preserve"> </w:t>
      </w:r>
      <w:r>
        <w:t>If</w:t>
      </w:r>
      <w:r>
        <w:rPr>
          <w:spacing w:val="-3"/>
        </w:rPr>
        <w:t xml:space="preserve"> </w:t>
      </w:r>
      <w:r>
        <w:t>the</w:t>
      </w:r>
      <w:r>
        <w:rPr>
          <w:spacing w:val="-2"/>
        </w:rPr>
        <w:t xml:space="preserve"> </w:t>
      </w:r>
      <w:r>
        <w:t>changes</w:t>
      </w:r>
      <w:r>
        <w:rPr>
          <w:spacing w:val="-1"/>
        </w:rPr>
        <w:t xml:space="preserve"> </w:t>
      </w:r>
      <w:r>
        <w:t>to</w:t>
      </w:r>
      <w:r>
        <w:rPr>
          <w:spacing w:val="-1"/>
        </w:rPr>
        <w:t xml:space="preserve"> </w:t>
      </w:r>
      <w:r>
        <w:rPr>
          <w:spacing w:val="-10"/>
        </w:rPr>
        <w:t>§</w:t>
      </w:r>
    </w:p>
    <w:p w:rsidR="008406CE" w14:paraId="19E3BAD8" w14:textId="77777777">
      <w:pPr>
        <w:pStyle w:val="BodyText"/>
        <w:ind w:left="120" w:right="395"/>
      </w:pPr>
      <w:r>
        <w:t>156.111 are finalized as proposed, we anticipate an overall reduced burden on States to change their</w:t>
      </w:r>
      <w:r>
        <w:rPr>
          <w:spacing w:val="-3"/>
        </w:rPr>
        <w:t xml:space="preserve"> </w:t>
      </w:r>
      <w:r>
        <w:t>EHB-benchmark</w:t>
      </w:r>
      <w:r>
        <w:rPr>
          <w:spacing w:val="-2"/>
        </w:rPr>
        <w:t xml:space="preserve"> </w:t>
      </w:r>
      <w:r>
        <w:t>plans</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revisions</w:t>
      </w:r>
      <w:r>
        <w:rPr>
          <w:spacing w:val="-2"/>
        </w:rPr>
        <w:t xml:space="preserve"> </w:t>
      </w:r>
      <w:r>
        <w:t>to</w:t>
      </w:r>
      <w:r>
        <w:rPr>
          <w:spacing w:val="-2"/>
        </w:rPr>
        <w:t xml:space="preserve"> </w:t>
      </w:r>
      <w:r>
        <w:t>§</w:t>
      </w:r>
      <w:r>
        <w:rPr>
          <w:spacing w:val="-2"/>
        </w:rPr>
        <w:t xml:space="preserve"> </w:t>
      </w:r>
      <w:r>
        <w:t>156.111,</w:t>
      </w:r>
      <w:r>
        <w:rPr>
          <w:spacing w:val="-2"/>
        </w:rPr>
        <w:t xml:space="preserve"> </w:t>
      </w:r>
      <w:r>
        <w:t>so</w:t>
      </w:r>
      <w:r>
        <w:rPr>
          <w:spacing w:val="-2"/>
        </w:rPr>
        <w:t xml:space="preserve"> </w:t>
      </w:r>
      <w:r>
        <w:t>we</w:t>
      </w:r>
      <w:r>
        <w:rPr>
          <w:spacing w:val="-4"/>
        </w:rPr>
        <w:t xml:space="preserve"> </w:t>
      </w:r>
      <w:r>
        <w:t>issue</w:t>
      </w:r>
      <w:r>
        <w:rPr>
          <w:spacing w:val="-3"/>
        </w:rPr>
        <w:t xml:space="preserve"> </w:t>
      </w:r>
      <w:r>
        <w:t>this</w:t>
      </w:r>
      <w:r>
        <w:rPr>
          <w:spacing w:val="-2"/>
        </w:rPr>
        <w:t xml:space="preserve"> </w:t>
      </w:r>
      <w:r>
        <w:t>new ICR to reflect that reduced burden. Meanwhile, the existing ICR, for which we are seeking a renewal</w:t>
      </w:r>
      <w:r>
        <w:rPr>
          <w:spacing w:val="-3"/>
        </w:rPr>
        <w:t xml:space="preserve"> </w:t>
      </w:r>
      <w:r>
        <w:t>for</w:t>
      </w:r>
      <w:r>
        <w:rPr>
          <w:spacing w:val="-4"/>
        </w:rPr>
        <w:t xml:space="preserve"> </w:t>
      </w:r>
      <w:r>
        <w:t>use</w:t>
      </w:r>
      <w:r>
        <w:rPr>
          <w:spacing w:val="-4"/>
        </w:rPr>
        <w:t xml:space="preserve"> </w:t>
      </w:r>
      <w:r>
        <w:t>beginning</w:t>
      </w:r>
      <w:r>
        <w:rPr>
          <w:spacing w:val="-3"/>
        </w:rPr>
        <w:t xml:space="preserve"> </w:t>
      </w:r>
      <w:r>
        <w:t>in</w:t>
      </w:r>
      <w:r>
        <w:rPr>
          <w:spacing w:val="-3"/>
        </w:rPr>
        <w:t xml:space="preserve"> </w:t>
      </w:r>
      <w:r>
        <w:t>April</w:t>
      </w:r>
      <w:r>
        <w:rPr>
          <w:spacing w:val="-3"/>
        </w:rPr>
        <w:t xml:space="preserve"> </w:t>
      </w:r>
      <w:r>
        <w:t>2024,</w:t>
      </w:r>
      <w:r>
        <w:rPr>
          <w:spacing w:val="-3"/>
        </w:rPr>
        <w:t xml:space="preserve"> </w:t>
      </w:r>
      <w:r>
        <w:t>would</w:t>
      </w:r>
      <w:r>
        <w:rPr>
          <w:spacing w:val="-3"/>
        </w:rPr>
        <w:t xml:space="preserve"> </w:t>
      </w:r>
      <w:r>
        <w:t>remain</w:t>
      </w:r>
      <w:r>
        <w:rPr>
          <w:spacing w:val="-3"/>
        </w:rPr>
        <w:t xml:space="preserve"> </w:t>
      </w:r>
      <w:r>
        <w:t>in</w:t>
      </w:r>
      <w:r>
        <w:rPr>
          <w:spacing w:val="-3"/>
        </w:rPr>
        <w:t xml:space="preserve"> </w:t>
      </w:r>
      <w:r>
        <w:t>effect</w:t>
      </w:r>
      <w:r>
        <w:rPr>
          <w:spacing w:val="-3"/>
        </w:rPr>
        <w:t xml:space="preserve"> </w:t>
      </w:r>
      <w:r>
        <w:t>until</w:t>
      </w:r>
      <w:r>
        <w:rPr>
          <w:spacing w:val="-3"/>
        </w:rPr>
        <w:t xml:space="preserve"> </w:t>
      </w:r>
      <w:r>
        <w:t>the</w:t>
      </w:r>
      <w:r>
        <w:rPr>
          <w:spacing w:val="-4"/>
        </w:rPr>
        <w:t xml:space="preserve"> </w:t>
      </w:r>
      <w:r>
        <w:t>proposed</w:t>
      </w:r>
      <w:r>
        <w:rPr>
          <w:spacing w:val="-3"/>
        </w:rPr>
        <w:t xml:space="preserve"> </w:t>
      </w:r>
      <w:r>
        <w:t>changes</w:t>
      </w:r>
      <w:r>
        <w:rPr>
          <w:spacing w:val="-3"/>
        </w:rPr>
        <w:t xml:space="preserve"> </w:t>
      </w:r>
      <w:r>
        <w:t>to</w:t>
      </w:r>
      <w:r>
        <w:rPr>
          <w:spacing w:val="-3"/>
        </w:rPr>
        <w:t xml:space="preserve"> </w:t>
      </w:r>
      <w:r>
        <w:t>§</w:t>
      </w:r>
    </w:p>
    <w:p w:rsidR="008406CE" w14:paraId="5083A37F" w14:textId="77777777">
      <w:pPr>
        <w:pStyle w:val="BodyText"/>
        <w:ind w:left="120" w:right="395"/>
      </w:pPr>
      <w:r>
        <w:t>156.111 would come into effect. As a result, we are seeking authorization for two similar collections</w:t>
      </w:r>
      <w:r>
        <w:rPr>
          <w:spacing w:val="-3"/>
        </w:rPr>
        <w:t xml:space="preserve"> </w:t>
      </w:r>
      <w:r>
        <w:t>under</w:t>
      </w:r>
      <w:r>
        <w:rPr>
          <w:spacing w:val="-4"/>
        </w:rPr>
        <w:t xml:space="preserve"> </w:t>
      </w:r>
      <w:r>
        <w:t>§</w:t>
      </w:r>
      <w:r>
        <w:rPr>
          <w:spacing w:val="-3"/>
        </w:rPr>
        <w:t xml:space="preserve"> </w:t>
      </w:r>
      <w:r>
        <w:t>156.111</w:t>
      </w:r>
      <w:r>
        <w:rPr>
          <w:spacing w:val="-3"/>
        </w:rPr>
        <w:t xml:space="preserve"> </w:t>
      </w:r>
      <w:r>
        <w:t>concurrently:</w:t>
      </w:r>
      <w:r>
        <w:rPr>
          <w:spacing w:val="-3"/>
        </w:rPr>
        <w:t xml:space="preserve"> </w:t>
      </w:r>
      <w:r>
        <w:t>an</w:t>
      </w:r>
      <w:r>
        <w:rPr>
          <w:spacing w:val="-3"/>
        </w:rPr>
        <w:t xml:space="preserve"> </w:t>
      </w:r>
      <w:r>
        <w:t>extension</w:t>
      </w:r>
      <w:r>
        <w:rPr>
          <w:spacing w:val="-3"/>
        </w:rPr>
        <w:t xml:space="preserve"> </w:t>
      </w:r>
      <w:r>
        <w:t>of</w:t>
      </w:r>
      <w:r>
        <w:rPr>
          <w:spacing w:val="-4"/>
        </w:rPr>
        <w:t xml:space="preserve"> </w:t>
      </w:r>
      <w:r>
        <w:t>the</w:t>
      </w:r>
      <w:r>
        <w:rPr>
          <w:spacing w:val="-4"/>
        </w:rPr>
        <w:t xml:space="preserve"> </w:t>
      </w:r>
      <w:r>
        <w:t>existing</w:t>
      </w:r>
      <w:r>
        <w:rPr>
          <w:spacing w:val="-3"/>
        </w:rPr>
        <w:t xml:space="preserve"> </w:t>
      </w:r>
      <w:r>
        <w:t>ICR</w:t>
      </w:r>
      <w:r>
        <w:rPr>
          <w:spacing w:val="-3"/>
        </w:rPr>
        <w:t xml:space="preserve"> </w:t>
      </w:r>
      <w:r>
        <w:t>for</w:t>
      </w:r>
      <w:r>
        <w:rPr>
          <w:spacing w:val="-4"/>
        </w:rPr>
        <w:t xml:space="preserve"> </w:t>
      </w:r>
      <w:r>
        <w:t>use</w:t>
      </w:r>
      <w:r>
        <w:rPr>
          <w:spacing w:val="-4"/>
        </w:rPr>
        <w:t xml:space="preserve"> </w:t>
      </w:r>
      <w:r>
        <w:t>beginning</w:t>
      </w:r>
      <w:r>
        <w:rPr>
          <w:spacing w:val="-3"/>
        </w:rPr>
        <w:t xml:space="preserve"> </w:t>
      </w:r>
      <w:r>
        <w:t>in April 2024, and the authorization of this new ICR for use when the proposed changes to</w:t>
      </w:r>
    </w:p>
    <w:p w:rsidR="008406CE" w14:paraId="65240D5C" w14:textId="77777777">
      <w:pPr>
        <w:pStyle w:val="BodyText"/>
        <w:ind w:left="120"/>
      </w:pPr>
      <w:r>
        <w:t>§156.111</w:t>
      </w:r>
      <w:r>
        <w:rPr>
          <w:spacing w:val="-1"/>
        </w:rPr>
        <w:t xml:space="preserve"> </w:t>
      </w:r>
      <w:r>
        <w:t>would come</w:t>
      </w:r>
      <w:r>
        <w:rPr>
          <w:spacing w:val="-2"/>
        </w:rPr>
        <w:t xml:space="preserve"> </w:t>
      </w:r>
      <w:r>
        <w:t xml:space="preserve">into </w:t>
      </w:r>
      <w:r>
        <w:rPr>
          <w:spacing w:val="-2"/>
        </w:rPr>
        <w:t>effect.</w:t>
      </w:r>
    </w:p>
    <w:p w:rsidR="008406CE" w14:paraId="3321748A" w14:textId="77777777">
      <w:pPr>
        <w:sectPr>
          <w:pgSz w:w="12240" w:h="15840"/>
          <w:pgMar w:top="1360" w:right="1140" w:bottom="1220" w:left="1320" w:header="0" w:footer="1022" w:gutter="0"/>
          <w:cols w:space="720"/>
        </w:sectPr>
      </w:pPr>
    </w:p>
    <w:p w:rsidR="008406CE" w14:paraId="25809E1D" w14:textId="77777777">
      <w:pPr>
        <w:pStyle w:val="BodyText"/>
        <w:spacing w:before="79"/>
        <w:ind w:left="120" w:right="314"/>
      </w:pPr>
      <w:r>
        <w:t>Currently,</w:t>
      </w:r>
      <w:r>
        <w:rPr>
          <w:spacing w:val="-3"/>
        </w:rPr>
        <w:t xml:space="preserve"> </w:t>
      </w:r>
      <w:r>
        <w:t>in</w:t>
      </w:r>
      <w:r>
        <w:rPr>
          <w:spacing w:val="-3"/>
        </w:rPr>
        <w:t xml:space="preserve"> </w:t>
      </w:r>
      <w:r>
        <w:t>accordance</w:t>
      </w:r>
      <w:r>
        <w:rPr>
          <w:spacing w:val="-2"/>
        </w:rPr>
        <w:t xml:space="preserve"> </w:t>
      </w:r>
      <w:r>
        <w:t>with</w:t>
      </w:r>
      <w:r>
        <w:rPr>
          <w:spacing w:val="-3"/>
        </w:rPr>
        <w:t xml:space="preserve"> </w:t>
      </w:r>
      <w:r>
        <w:t>§</w:t>
      </w:r>
      <w:r>
        <w:rPr>
          <w:spacing w:val="-3"/>
        </w:rPr>
        <w:t xml:space="preserve"> </w:t>
      </w:r>
      <w:r>
        <w:t>156.111(e),</w:t>
      </w:r>
      <w:r>
        <w:rPr>
          <w:spacing w:val="-3"/>
        </w:rPr>
        <w:t xml:space="preserve"> </w:t>
      </w:r>
      <w:r>
        <w:t>for</w:t>
      </w:r>
      <w:r>
        <w:rPr>
          <w:spacing w:val="-4"/>
        </w:rPr>
        <w:t xml:space="preserve"> </w:t>
      </w:r>
      <w:r>
        <w:t>plan</w:t>
      </w:r>
      <w:r>
        <w:rPr>
          <w:spacing w:val="-3"/>
        </w:rPr>
        <w:t xml:space="preserve"> </w:t>
      </w:r>
      <w:r>
        <w:t>years</w:t>
      </w:r>
      <w:r>
        <w:rPr>
          <w:spacing w:val="-3"/>
        </w:rPr>
        <w:t xml:space="preserve"> </w:t>
      </w:r>
      <w:r>
        <w:t>beginning</w:t>
      </w:r>
      <w:r>
        <w:rPr>
          <w:spacing w:val="-3"/>
        </w:rPr>
        <w:t xml:space="preserve"> </w:t>
      </w:r>
      <w:r>
        <w:t>on</w:t>
      </w:r>
      <w:r>
        <w:rPr>
          <w:spacing w:val="-3"/>
        </w:rPr>
        <w:t xml:space="preserve"> </w:t>
      </w:r>
      <w:r>
        <w:t>or</w:t>
      </w:r>
      <w:r>
        <w:rPr>
          <w:spacing w:val="-2"/>
        </w:rPr>
        <w:t xml:space="preserve"> </w:t>
      </w:r>
      <w:r>
        <w:t>after</w:t>
      </w:r>
      <w:r>
        <w:rPr>
          <w:spacing w:val="-4"/>
        </w:rPr>
        <w:t xml:space="preserve"> </w:t>
      </w:r>
      <w:r>
        <w:t>January</w:t>
      </w:r>
      <w:r>
        <w:rPr>
          <w:spacing w:val="-3"/>
        </w:rPr>
        <w:t xml:space="preserve"> </w:t>
      </w:r>
      <w:r>
        <w:t>1,</w:t>
      </w:r>
      <w:r>
        <w:rPr>
          <w:spacing w:val="-3"/>
        </w:rPr>
        <w:t xml:space="preserve"> </w:t>
      </w:r>
      <w:r>
        <w:t>2020, a State changing its EHB-benchmark plan using one of the options at § 156.111(a) must submit documents specified by HHS in a format and manner by a date determined by HHS. These required documents include:</w:t>
      </w:r>
    </w:p>
    <w:p w:rsidR="008406CE" w14:paraId="523E790E" w14:textId="77777777">
      <w:pPr>
        <w:pStyle w:val="ListParagraph"/>
        <w:numPr>
          <w:ilvl w:val="0"/>
          <w:numId w:val="1"/>
        </w:numPr>
        <w:tabs>
          <w:tab w:val="left" w:pos="838"/>
          <w:tab w:val="left" w:pos="840"/>
        </w:tabs>
        <w:ind w:right="473"/>
        <w:rPr>
          <w:sz w:val="24"/>
        </w:rPr>
      </w:pPr>
      <w:r>
        <w:rPr>
          <w:sz w:val="24"/>
        </w:rPr>
        <w:t>A document confirming that the State’s EHB-benchmark plan definition complies with the requirements under paragraphs (a), (b) and (c), including information on which selection</w:t>
      </w:r>
      <w:r>
        <w:rPr>
          <w:spacing w:val="-3"/>
          <w:sz w:val="24"/>
        </w:rPr>
        <w:t xml:space="preserve"> </w:t>
      </w:r>
      <w:r>
        <w:rPr>
          <w:sz w:val="24"/>
        </w:rPr>
        <w:t>option</w:t>
      </w:r>
      <w:r>
        <w:rPr>
          <w:spacing w:val="-3"/>
          <w:sz w:val="24"/>
        </w:rPr>
        <w:t xml:space="preserve"> </w:t>
      </w:r>
      <w:r>
        <w:rPr>
          <w:sz w:val="24"/>
        </w:rPr>
        <w:t>under</w:t>
      </w:r>
      <w:r>
        <w:rPr>
          <w:spacing w:val="-4"/>
          <w:sz w:val="24"/>
        </w:rPr>
        <w:t xml:space="preserve"> </w:t>
      </w:r>
      <w:r>
        <w:rPr>
          <w:sz w:val="24"/>
        </w:rPr>
        <w:t>proposed</w:t>
      </w:r>
      <w:r>
        <w:rPr>
          <w:spacing w:val="-3"/>
          <w:sz w:val="24"/>
        </w:rPr>
        <w:t xml:space="preserve"> </w:t>
      </w:r>
      <w:r>
        <w:rPr>
          <w:sz w:val="24"/>
        </w:rPr>
        <w:t>§</w:t>
      </w:r>
      <w:r>
        <w:rPr>
          <w:spacing w:val="-3"/>
          <w:sz w:val="24"/>
        </w:rPr>
        <w:t xml:space="preserve"> </w:t>
      </w:r>
      <w:r>
        <w:rPr>
          <w:sz w:val="24"/>
        </w:rPr>
        <w:t>156.111(a)</w:t>
      </w:r>
      <w:r>
        <w:rPr>
          <w:spacing w:val="-4"/>
          <w:sz w:val="24"/>
        </w:rPr>
        <w:t xml:space="preserve"> </w:t>
      </w:r>
      <w:r>
        <w:rPr>
          <w:sz w:val="24"/>
        </w:rPr>
        <w:t>the</w:t>
      </w:r>
      <w:r>
        <w:rPr>
          <w:spacing w:val="-2"/>
          <w:sz w:val="24"/>
        </w:rPr>
        <w:t xml:space="preserve"> </w:t>
      </w:r>
      <w:r>
        <w:rPr>
          <w:sz w:val="24"/>
        </w:rPr>
        <w:t>State</w:t>
      </w:r>
      <w:r>
        <w:rPr>
          <w:spacing w:val="-4"/>
          <w:sz w:val="24"/>
        </w:rPr>
        <w:t xml:space="preserve"> </w:t>
      </w:r>
      <w:r>
        <w:rPr>
          <w:sz w:val="24"/>
        </w:rPr>
        <w:t>is</w:t>
      </w:r>
      <w:r>
        <w:rPr>
          <w:spacing w:val="-3"/>
          <w:sz w:val="24"/>
        </w:rPr>
        <w:t xml:space="preserve"> </w:t>
      </w:r>
      <w:r>
        <w:rPr>
          <w:sz w:val="24"/>
        </w:rPr>
        <w:t>using,</w:t>
      </w:r>
      <w:r>
        <w:rPr>
          <w:spacing w:val="-3"/>
          <w:sz w:val="24"/>
        </w:rPr>
        <w:t xml:space="preserve"> </w:t>
      </w:r>
      <w:r>
        <w:rPr>
          <w:sz w:val="24"/>
        </w:rPr>
        <w:t>and</w:t>
      </w:r>
      <w:r>
        <w:rPr>
          <w:spacing w:val="-3"/>
          <w:sz w:val="24"/>
        </w:rPr>
        <w:t xml:space="preserve"> </w:t>
      </w:r>
      <w:r>
        <w:rPr>
          <w:sz w:val="24"/>
        </w:rPr>
        <w:t>whether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is using another State’s EHB-benchmark plan;</w:t>
      </w:r>
    </w:p>
    <w:p w:rsidR="008406CE" w14:paraId="41B6E29B" w14:textId="77777777">
      <w:pPr>
        <w:pStyle w:val="ListParagraph"/>
        <w:numPr>
          <w:ilvl w:val="0"/>
          <w:numId w:val="1"/>
        </w:numPr>
        <w:tabs>
          <w:tab w:val="left" w:pos="838"/>
          <w:tab w:val="left" w:pos="840"/>
        </w:tabs>
        <w:ind w:right="360"/>
        <w:rPr>
          <w:sz w:val="24"/>
        </w:rPr>
      </w:pPr>
      <w:r>
        <w:rPr>
          <w:sz w:val="24"/>
        </w:rPr>
        <w:t>An actuarial certification and an associated actuarial report from an actuary, who is a member of the American Academy of Actuaries, in accordance with generally accepted actuarial</w:t>
      </w:r>
      <w:r>
        <w:rPr>
          <w:spacing w:val="-4"/>
          <w:sz w:val="24"/>
        </w:rPr>
        <w:t xml:space="preserve"> </w:t>
      </w:r>
      <w:r>
        <w:rPr>
          <w:sz w:val="24"/>
        </w:rPr>
        <w:t>principles</w:t>
      </w:r>
      <w:r>
        <w:rPr>
          <w:spacing w:val="-4"/>
          <w:sz w:val="24"/>
        </w:rPr>
        <w:t xml:space="preserve"> </w:t>
      </w:r>
      <w:r>
        <w:rPr>
          <w:sz w:val="24"/>
        </w:rPr>
        <w:t>and</w:t>
      </w:r>
      <w:r>
        <w:rPr>
          <w:spacing w:val="-2"/>
          <w:sz w:val="24"/>
        </w:rPr>
        <w:t xml:space="preserve"> </w:t>
      </w:r>
      <w:r>
        <w:rPr>
          <w:sz w:val="24"/>
        </w:rPr>
        <w:t>methodologies</w:t>
      </w:r>
      <w:r>
        <w:rPr>
          <w:spacing w:val="-4"/>
          <w:sz w:val="24"/>
        </w:rPr>
        <w:t xml:space="preserve"> </w:t>
      </w:r>
      <w:r>
        <w:rPr>
          <w:sz w:val="24"/>
        </w:rPr>
        <w:t>that</w:t>
      </w:r>
      <w:r>
        <w:rPr>
          <w:spacing w:val="-4"/>
          <w:sz w:val="24"/>
        </w:rPr>
        <w:t xml:space="preserve"> </w:t>
      </w:r>
      <w:r>
        <w:rPr>
          <w:sz w:val="24"/>
        </w:rPr>
        <w:t>affirms</w:t>
      </w:r>
      <w:r>
        <w:rPr>
          <w:spacing w:val="-4"/>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5"/>
          <w:sz w:val="24"/>
        </w:rPr>
        <w:t xml:space="preserve"> </w:t>
      </w:r>
      <w:r>
        <w:rPr>
          <w:sz w:val="24"/>
        </w:rPr>
        <w:t>benefits requirements at § 156.111(b)(2);</w:t>
      </w:r>
    </w:p>
    <w:p w:rsidR="008406CE" w14:paraId="202029F4" w14:textId="77777777">
      <w:pPr>
        <w:pStyle w:val="ListParagraph"/>
        <w:numPr>
          <w:ilvl w:val="0"/>
          <w:numId w:val="1"/>
        </w:numPr>
        <w:tabs>
          <w:tab w:val="left" w:pos="838"/>
          <w:tab w:val="left" w:pos="840"/>
        </w:tabs>
        <w:ind w:right="475"/>
        <w:rPr>
          <w:sz w:val="24"/>
        </w:rPr>
      </w:pPr>
      <w:r>
        <w:rPr>
          <w:sz w:val="24"/>
        </w:rPr>
        <w:t>The State’s EHB-benchmark plan document that reflects the benefits and limitations, including medical management requirements, a schedule of benefits and, if the State is selecting</w:t>
      </w:r>
      <w:r>
        <w:rPr>
          <w:spacing w:val="-4"/>
          <w:sz w:val="24"/>
        </w:rPr>
        <w:t xml:space="preserve"> </w:t>
      </w:r>
      <w:r>
        <w:rPr>
          <w:sz w:val="24"/>
        </w:rPr>
        <w:t>its</w:t>
      </w:r>
      <w:r>
        <w:rPr>
          <w:spacing w:val="-4"/>
          <w:sz w:val="24"/>
        </w:rPr>
        <w:t xml:space="preserve"> </w:t>
      </w:r>
      <w:r>
        <w:rPr>
          <w:sz w:val="24"/>
        </w:rPr>
        <w:t>EHB-benchmark</w:t>
      </w:r>
      <w:r>
        <w:rPr>
          <w:spacing w:val="-4"/>
          <w:sz w:val="24"/>
        </w:rPr>
        <w:t xml:space="preserve"> </w:t>
      </w:r>
      <w:r>
        <w:rPr>
          <w:sz w:val="24"/>
        </w:rPr>
        <w:t>plan</w:t>
      </w:r>
      <w:r>
        <w:rPr>
          <w:spacing w:val="-4"/>
          <w:sz w:val="24"/>
        </w:rPr>
        <w:t xml:space="preserve"> </w:t>
      </w:r>
      <w:r>
        <w:rPr>
          <w:sz w:val="24"/>
        </w:rPr>
        <w:t>using</w:t>
      </w:r>
      <w:r>
        <w:rPr>
          <w:spacing w:val="-4"/>
          <w:sz w:val="24"/>
        </w:rPr>
        <w:t xml:space="preserve"> </w:t>
      </w:r>
      <w:r>
        <w:rPr>
          <w:sz w:val="24"/>
        </w:rPr>
        <w:t>the</w:t>
      </w:r>
      <w:r>
        <w:rPr>
          <w:spacing w:val="-5"/>
          <w:sz w:val="24"/>
        </w:rPr>
        <w:t xml:space="preserve"> </w:t>
      </w:r>
      <w:r>
        <w:rPr>
          <w:sz w:val="24"/>
        </w:rPr>
        <w:t>option</w:t>
      </w:r>
      <w:r>
        <w:rPr>
          <w:spacing w:val="-4"/>
          <w:sz w:val="24"/>
        </w:rPr>
        <w:t xml:space="preserve"> </w:t>
      </w:r>
      <w:r>
        <w:rPr>
          <w:sz w:val="24"/>
        </w:rPr>
        <w:t>in</w:t>
      </w:r>
      <w:r>
        <w:rPr>
          <w:spacing w:val="-4"/>
          <w:sz w:val="24"/>
        </w:rPr>
        <w:t xml:space="preserve"> </w:t>
      </w:r>
      <w:r>
        <w:rPr>
          <w:sz w:val="24"/>
        </w:rPr>
        <w:t>§</w:t>
      </w:r>
      <w:r>
        <w:rPr>
          <w:spacing w:val="-4"/>
          <w:sz w:val="24"/>
        </w:rPr>
        <w:t xml:space="preserve"> </w:t>
      </w:r>
      <w:r>
        <w:rPr>
          <w:sz w:val="24"/>
        </w:rPr>
        <w:t>156.111(a)(3),</w:t>
      </w:r>
      <w:r>
        <w:rPr>
          <w:spacing w:val="-2"/>
          <w:sz w:val="24"/>
        </w:rPr>
        <w:t xml:space="preserve"> </w:t>
      </w:r>
      <w:r>
        <w:rPr>
          <w:sz w:val="24"/>
        </w:rPr>
        <w:t>a</w:t>
      </w:r>
      <w:r>
        <w:rPr>
          <w:spacing w:val="-5"/>
          <w:sz w:val="24"/>
        </w:rPr>
        <w:t xml:space="preserve"> </w:t>
      </w:r>
      <w:r>
        <w:rPr>
          <w:sz w:val="24"/>
        </w:rPr>
        <w:t>formulary</w:t>
      </w:r>
      <w:r>
        <w:rPr>
          <w:spacing w:val="-4"/>
          <w:sz w:val="24"/>
        </w:rPr>
        <w:t xml:space="preserve"> </w:t>
      </w:r>
      <w:r>
        <w:rPr>
          <w:sz w:val="24"/>
        </w:rPr>
        <w:t>drug list in a format and manner specified by HHS; and</w:t>
      </w:r>
    </w:p>
    <w:p w:rsidR="008406CE" w14:paraId="0CF640B9" w14:textId="77777777">
      <w:pPr>
        <w:pStyle w:val="ListParagraph"/>
        <w:numPr>
          <w:ilvl w:val="0"/>
          <w:numId w:val="1"/>
        </w:numPr>
        <w:tabs>
          <w:tab w:val="left" w:pos="838"/>
          <w:tab w:val="left" w:pos="840"/>
        </w:tabs>
        <w:ind w:right="492"/>
        <w:rPr>
          <w:sz w:val="24"/>
        </w:rPr>
      </w:pPr>
      <w:r>
        <w:rPr>
          <w:sz w:val="24"/>
        </w:rPr>
        <w:t>Other</w:t>
      </w:r>
      <w:r>
        <w:rPr>
          <w:spacing w:val="-5"/>
          <w:sz w:val="24"/>
        </w:rPr>
        <w:t xml:space="preserve"> </w:t>
      </w:r>
      <w:r>
        <w:rPr>
          <w:sz w:val="24"/>
        </w:rPr>
        <w:t>documentation</w:t>
      </w:r>
      <w:r>
        <w:rPr>
          <w:spacing w:val="-4"/>
          <w:sz w:val="24"/>
        </w:rPr>
        <w:t xml:space="preserve"> </w:t>
      </w:r>
      <w:r>
        <w:rPr>
          <w:sz w:val="24"/>
        </w:rPr>
        <w:t>specified</w:t>
      </w:r>
      <w:r>
        <w:rPr>
          <w:spacing w:val="-4"/>
          <w:sz w:val="24"/>
        </w:rPr>
        <w:t xml:space="preserve"> </w:t>
      </w:r>
      <w:r>
        <w:rPr>
          <w:sz w:val="24"/>
        </w:rPr>
        <w:t>by</w:t>
      </w:r>
      <w:r>
        <w:rPr>
          <w:spacing w:val="-4"/>
          <w:sz w:val="24"/>
        </w:rPr>
        <w:t xml:space="preserve"> </w:t>
      </w:r>
      <w:r>
        <w:rPr>
          <w:sz w:val="24"/>
        </w:rPr>
        <w:t>HHS,</w:t>
      </w:r>
      <w:r>
        <w:rPr>
          <w:spacing w:val="-4"/>
          <w:sz w:val="24"/>
        </w:rPr>
        <w:t xml:space="preserve"> </w:t>
      </w:r>
      <w:r>
        <w:rPr>
          <w:sz w:val="24"/>
        </w:rPr>
        <w:t>which</w:t>
      </w:r>
      <w:r>
        <w:rPr>
          <w:spacing w:val="-4"/>
          <w:sz w:val="24"/>
        </w:rPr>
        <w:t xml:space="preserve"> </w:t>
      </w:r>
      <w:r>
        <w:rPr>
          <w:sz w:val="24"/>
        </w:rPr>
        <w:t>is</w:t>
      </w:r>
      <w:r>
        <w:rPr>
          <w:spacing w:val="-2"/>
          <w:sz w:val="24"/>
        </w:rPr>
        <w:t xml:space="preserve"> </w:t>
      </w:r>
      <w:r>
        <w:rPr>
          <w:sz w:val="24"/>
        </w:rPr>
        <w:t>necessary</w:t>
      </w:r>
      <w:r>
        <w:rPr>
          <w:spacing w:val="-4"/>
          <w:sz w:val="24"/>
        </w:rPr>
        <w:t xml:space="preserve"> </w:t>
      </w:r>
      <w:r>
        <w:rPr>
          <w:sz w:val="24"/>
        </w:rPr>
        <w:t>to</w:t>
      </w:r>
      <w:r>
        <w:rPr>
          <w:spacing w:val="-4"/>
          <w:sz w:val="24"/>
        </w:rPr>
        <w:t xml:space="preserve"> </w:t>
      </w:r>
      <w:r>
        <w:rPr>
          <w:sz w:val="24"/>
        </w:rPr>
        <w:t>operationalize</w:t>
      </w:r>
      <w:r>
        <w:rPr>
          <w:spacing w:val="-5"/>
          <w:sz w:val="24"/>
        </w:rPr>
        <w:t xml:space="preserve"> </w:t>
      </w:r>
      <w:r>
        <w:rPr>
          <w:sz w:val="24"/>
        </w:rPr>
        <w:t>the</w:t>
      </w:r>
      <w:r>
        <w:rPr>
          <w:spacing w:val="-5"/>
          <w:sz w:val="24"/>
        </w:rPr>
        <w:t xml:space="preserve"> </w:t>
      </w:r>
      <w:r>
        <w:rPr>
          <w:sz w:val="24"/>
        </w:rPr>
        <w:t>State’s EHB-benchmark plan.</w:t>
      </w:r>
    </w:p>
    <w:p w:rsidR="008406CE" w14:paraId="5E1DACD5" w14:textId="77777777">
      <w:pPr>
        <w:pStyle w:val="BodyText"/>
      </w:pPr>
    </w:p>
    <w:p w:rsidR="008406CE" w14:paraId="337C46FD" w14:textId="77777777">
      <w:pPr>
        <w:pStyle w:val="BodyText"/>
        <w:ind w:left="120" w:right="395"/>
      </w:pPr>
      <w:r>
        <w:t>The</w:t>
      </w:r>
      <w:r>
        <w:rPr>
          <w:spacing w:val="-4"/>
        </w:rPr>
        <w:t xml:space="preserve"> </w:t>
      </w:r>
      <w:r>
        <w:t>revisions</w:t>
      </w:r>
      <w:r>
        <w:rPr>
          <w:spacing w:val="-3"/>
        </w:rPr>
        <w:t xml:space="preserve"> </w:t>
      </w:r>
      <w:r>
        <w:t>proposed</w:t>
      </w:r>
      <w:r>
        <w:rPr>
          <w:spacing w:val="-3"/>
        </w:rPr>
        <w:t xml:space="preserve"> </w:t>
      </w:r>
      <w:r>
        <w:t>in</w:t>
      </w:r>
      <w:r>
        <w:rPr>
          <w:spacing w:val="-3"/>
        </w:rPr>
        <w:t xml:space="preserve"> </w:t>
      </w:r>
      <w:r>
        <w:t>the</w:t>
      </w:r>
      <w:r>
        <w:rPr>
          <w:spacing w:val="-4"/>
        </w:rPr>
        <w:t xml:space="preserve"> </w:t>
      </w:r>
      <w:r>
        <w:t>2025</w:t>
      </w:r>
      <w:r>
        <w:rPr>
          <w:spacing w:val="-3"/>
        </w:rPr>
        <w:t xml:space="preserve"> </w:t>
      </w:r>
      <w:r>
        <w:t>Payment</w:t>
      </w:r>
      <w:r>
        <w:rPr>
          <w:spacing w:val="-3"/>
        </w:rPr>
        <w:t xml:space="preserve"> </w:t>
      </w:r>
      <w:r>
        <w:t>Notice</w:t>
      </w:r>
      <w:r>
        <w:rPr>
          <w:spacing w:val="-4"/>
        </w:rPr>
        <w:t xml:space="preserve"> </w:t>
      </w:r>
      <w:r>
        <w:t>proposed</w:t>
      </w:r>
      <w:r>
        <w:rPr>
          <w:spacing w:val="-1"/>
        </w:rPr>
        <w:t xml:space="preserve"> </w:t>
      </w:r>
      <w:r>
        <w:t>rule</w:t>
      </w:r>
      <w:r>
        <w:rPr>
          <w:spacing w:val="-4"/>
        </w:rPr>
        <w:t xml:space="preserve"> </w:t>
      </w:r>
      <w:r>
        <w:t>would</w:t>
      </w:r>
      <w:r>
        <w:rPr>
          <w:spacing w:val="-3"/>
        </w:rPr>
        <w:t xml:space="preserve"> </w:t>
      </w:r>
      <w:r>
        <w:t>not</w:t>
      </w:r>
      <w:r>
        <w:rPr>
          <w:spacing w:val="-3"/>
        </w:rPr>
        <w:t xml:space="preserve"> </w:t>
      </w:r>
      <w:r>
        <w:t>change</w:t>
      </w:r>
      <w:r>
        <w:rPr>
          <w:spacing w:val="-4"/>
        </w:rPr>
        <w:t xml:space="preserve"> </w:t>
      </w:r>
      <w:r>
        <w:t>the</w:t>
      </w:r>
      <w:r>
        <w:rPr>
          <w:spacing w:val="-4"/>
        </w:rPr>
        <w:t xml:space="preserve"> </w:t>
      </w:r>
      <w:r>
        <w:t>number of</w:t>
      </w:r>
      <w:r>
        <w:rPr>
          <w:spacing w:val="-1"/>
        </w:rPr>
        <w:t xml:space="preserve"> </w:t>
      </w:r>
      <w:r>
        <w:t>documents States must submit to change</w:t>
      </w:r>
      <w:r>
        <w:rPr>
          <w:spacing w:val="-1"/>
        </w:rPr>
        <w:t xml:space="preserve"> </w:t>
      </w:r>
      <w:r>
        <w:t>its EHB-benchmark plan under § 156.111(e), unless the State is not seeking to make changes to its prescription drug EHB, in which case, the State would not submit a formulary drug list as specified in § 156.111(e)(3). The proposed revisions would affect the content of the required documentation at § 156.111(e)(1) and (2) in a manner that we anticipate would reduce overall burden.</w:t>
      </w:r>
    </w:p>
    <w:p w:rsidR="008406CE" w14:paraId="41BC290F" w14:textId="77777777">
      <w:pPr>
        <w:pStyle w:val="BodyText"/>
      </w:pPr>
    </w:p>
    <w:p w:rsidR="008406CE" w14:paraId="6A7FF36C" w14:textId="77777777">
      <w:pPr>
        <w:pStyle w:val="BodyText"/>
        <w:ind w:left="120" w:right="350"/>
      </w:pPr>
      <w:r>
        <w:t>Under current § 156.111 and its proposed revisions, if finalized as proposed, a response is not required</w:t>
      </w:r>
      <w:r>
        <w:rPr>
          <w:spacing w:val="-3"/>
        </w:rPr>
        <w:t xml:space="preserve"> </w:t>
      </w:r>
      <w:r>
        <w:t>from</w:t>
      </w:r>
      <w:r>
        <w:rPr>
          <w:spacing w:val="-3"/>
        </w:rPr>
        <w:t xml:space="preserve"> </w:t>
      </w:r>
      <w:r>
        <w:t>all</w:t>
      </w:r>
      <w:r>
        <w:rPr>
          <w:spacing w:val="-3"/>
        </w:rPr>
        <w:t xml:space="preserve"> </w:t>
      </w:r>
      <w:r>
        <w:t>States.</w:t>
      </w:r>
      <w:r>
        <w:rPr>
          <w:spacing w:val="-3"/>
        </w:rPr>
        <w:t xml:space="preserve"> </w:t>
      </w:r>
      <w:r>
        <w:t>Only</w:t>
      </w:r>
      <w:r>
        <w:rPr>
          <w:spacing w:val="-3"/>
        </w:rPr>
        <w:t xml:space="preserve"> </w:t>
      </w:r>
      <w:r>
        <w:t>States</w:t>
      </w:r>
      <w:r>
        <w:rPr>
          <w:spacing w:val="-3"/>
        </w:rPr>
        <w:t xml:space="preserve"> </w:t>
      </w:r>
      <w:r>
        <w:t>choosing</w:t>
      </w:r>
      <w:r>
        <w:rPr>
          <w:spacing w:val="-3"/>
        </w:rPr>
        <w:t xml:space="preserve"> </w:t>
      </w:r>
      <w:r>
        <w:t>to</w:t>
      </w:r>
      <w:r>
        <w:rPr>
          <w:spacing w:val="-3"/>
        </w:rPr>
        <w:t xml:space="preserve"> </w:t>
      </w:r>
      <w:r>
        <w:t>modify</w:t>
      </w:r>
      <w:r>
        <w:rPr>
          <w:spacing w:val="-3"/>
        </w:rPr>
        <w:t xml:space="preserve"> </w:t>
      </w:r>
      <w:r>
        <w:t>the</w:t>
      </w:r>
      <w:r>
        <w:rPr>
          <w:spacing w:val="-4"/>
        </w:rPr>
        <w:t xml:space="preserve"> </w:t>
      </w:r>
      <w:r>
        <w:t>State’s</w:t>
      </w:r>
      <w:r>
        <w:rPr>
          <w:spacing w:val="-3"/>
        </w:rPr>
        <w:t xml:space="preserve"> </w:t>
      </w:r>
      <w:r>
        <w:t>EHB-benchmark</w:t>
      </w:r>
      <w:r>
        <w:rPr>
          <w:spacing w:val="-3"/>
        </w:rPr>
        <w:t xml:space="preserve"> </w:t>
      </w:r>
      <w:r>
        <w:t>plan</w:t>
      </w:r>
      <w:r>
        <w:rPr>
          <w:spacing w:val="-2"/>
        </w:rPr>
        <w:t xml:space="preserve"> </w:t>
      </w:r>
      <w:r>
        <w:t>would need to respond to this ICR. This information collection uses collection instruments in Appendices A, B, C, and D.</w:t>
      </w:r>
      <w:hyperlink w:anchor="_bookmark0" w:history="1">
        <w:r>
          <w:rPr>
            <w:vertAlign w:val="superscript"/>
          </w:rPr>
          <w:t>1</w:t>
        </w:r>
      </w:hyperlink>
      <w:r>
        <w:t xml:space="preserve"> We provide collection instruments for certain documents in this ICR and for other documents in this ICR, we do not have collection instruments, and the State will submit documents electronically. We also propose updates to these collection instruments for clarity and to improve usability.</w:t>
      </w:r>
    </w:p>
    <w:p w:rsidR="008406CE" w14:paraId="49AA614E" w14:textId="77777777">
      <w:pPr>
        <w:pStyle w:val="BodyText"/>
      </w:pPr>
    </w:p>
    <w:p w:rsidR="008406CE" w14:paraId="2863DCD5" w14:textId="77777777">
      <w:pPr>
        <w:pStyle w:val="ListParagraph"/>
        <w:numPr>
          <w:ilvl w:val="1"/>
          <w:numId w:val="2"/>
        </w:numPr>
        <w:tabs>
          <w:tab w:val="left" w:pos="839"/>
        </w:tabs>
        <w:spacing w:before="1"/>
        <w:ind w:left="839" w:hanging="719"/>
        <w:rPr>
          <w:sz w:val="24"/>
        </w:rPr>
      </w:pPr>
      <w:bookmarkStart w:id="3" w:name="2._Information_Uses"/>
      <w:bookmarkEnd w:id="3"/>
      <w:r>
        <w:rPr>
          <w:spacing w:val="-2"/>
          <w:sz w:val="24"/>
          <w:u w:val="single"/>
        </w:rPr>
        <w:t>Information</w:t>
      </w:r>
      <w:r>
        <w:rPr>
          <w:sz w:val="24"/>
          <w:u w:val="single"/>
        </w:rPr>
        <w:t xml:space="preserve"> </w:t>
      </w:r>
      <w:r>
        <w:rPr>
          <w:spacing w:val="-4"/>
          <w:sz w:val="24"/>
          <w:u w:val="single"/>
        </w:rPr>
        <w:t>Uses</w:t>
      </w:r>
    </w:p>
    <w:p w:rsidR="008406CE" w14:paraId="1A1B95A6" w14:textId="77777777">
      <w:pPr>
        <w:pStyle w:val="BodyText"/>
        <w:spacing w:before="276"/>
        <w:ind w:left="120" w:right="395"/>
      </w:pPr>
      <w:r>
        <w:t>The EHB-benchmark plan information in this ICR is used by issuers and HHS to establish the benefits</w:t>
      </w:r>
      <w:r>
        <w:rPr>
          <w:spacing w:val="-3"/>
        </w:rPr>
        <w:t xml:space="preserve"> </w:t>
      </w:r>
      <w:r>
        <w:t>covered</w:t>
      </w:r>
      <w:r>
        <w:rPr>
          <w:spacing w:val="-3"/>
        </w:rPr>
        <w:t xml:space="preserve"> </w:t>
      </w:r>
      <w:r>
        <w:t>by</w:t>
      </w:r>
      <w:r>
        <w:rPr>
          <w:spacing w:val="-3"/>
        </w:rPr>
        <w:t xml:space="preserve"> </w:t>
      </w:r>
      <w:r>
        <w:t>EHB-benchmark</w:t>
      </w:r>
      <w:r>
        <w:rPr>
          <w:spacing w:val="-3"/>
        </w:rPr>
        <w:t xml:space="preserve"> </w:t>
      </w:r>
      <w:r>
        <w:t>plans</w:t>
      </w:r>
      <w:r>
        <w:rPr>
          <w:spacing w:val="-3"/>
        </w:rPr>
        <w:t xml:space="preserve"> </w:t>
      </w:r>
      <w:r>
        <w:t>in</w:t>
      </w:r>
      <w:r>
        <w:rPr>
          <w:spacing w:val="-3"/>
        </w:rPr>
        <w:t xml:space="preserve"> </w:t>
      </w:r>
      <w:r>
        <w:t>each</w:t>
      </w:r>
      <w:r>
        <w:rPr>
          <w:spacing w:val="-3"/>
        </w:rPr>
        <w:t xml:space="preserve"> </w:t>
      </w:r>
      <w:r>
        <w:t>State</w:t>
      </w:r>
      <w:r>
        <w:rPr>
          <w:spacing w:val="-5"/>
        </w:rPr>
        <w:t xml:space="preserve"> </w:t>
      </w:r>
      <w:r>
        <w:t>as</w:t>
      </w:r>
      <w:r>
        <w:rPr>
          <w:spacing w:val="-3"/>
        </w:rPr>
        <w:t xml:space="preserve"> </w:t>
      </w:r>
      <w:r>
        <w:t>EHB.</w:t>
      </w:r>
      <w:r>
        <w:rPr>
          <w:spacing w:val="-3"/>
        </w:rPr>
        <w:t xml:space="preserve"> </w:t>
      </w:r>
      <w:r>
        <w:t>This</w:t>
      </w:r>
      <w:r>
        <w:rPr>
          <w:spacing w:val="-3"/>
        </w:rPr>
        <w:t xml:space="preserve"> </w:t>
      </w:r>
      <w:r>
        <w:t>allows</w:t>
      </w:r>
      <w:r>
        <w:rPr>
          <w:spacing w:val="-3"/>
        </w:rPr>
        <w:t xml:space="preserve"> </w:t>
      </w:r>
      <w:r>
        <w:t>issuers</w:t>
      </w:r>
      <w:r>
        <w:rPr>
          <w:spacing w:val="-3"/>
        </w:rPr>
        <w:t xml:space="preserve"> </w:t>
      </w:r>
      <w:r>
        <w:t>seeking</w:t>
      </w:r>
      <w:r>
        <w:rPr>
          <w:spacing w:val="-3"/>
        </w:rPr>
        <w:t xml:space="preserve"> </w:t>
      </w:r>
      <w:r>
        <w:t>to offer coverage in the individual and small group markets to design benefits that meet EHB requirements and each State’s EHB-benchmark plan determines EHB for the purposes of the</w:t>
      </w:r>
    </w:p>
    <w:p w:rsidR="008406CE" w14:paraId="2F48B29C" w14:textId="77777777">
      <w:pPr>
        <w:pStyle w:val="BodyText"/>
        <w:rPr>
          <w:sz w:val="20"/>
        </w:rPr>
      </w:pPr>
    </w:p>
    <w:p w:rsidR="008406CE" w14:paraId="12F8D215" w14:textId="77777777">
      <w:pPr>
        <w:pStyle w:val="BodyText"/>
        <w:rPr>
          <w:sz w:val="20"/>
        </w:rPr>
      </w:pPr>
    </w:p>
    <w:p w:rsidR="008406CE" w14:paraId="6EA02713" w14:textId="77777777">
      <w:pPr>
        <w:pStyle w:val="BodyText"/>
        <w:spacing w:before="179"/>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275433</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21.7pt;margin-left:1in;mso-position-horizontal-relative:page;mso-wrap-distance-bottom:0;mso-wrap-distance-left:0;mso-wrap-distance-right:0;mso-wrap-distance-top:0;mso-wrap-style:square;position:absolute;visibility:visible;v-text-anchor:top;z-index:-251657216" coordsize="1828800,7620" path="m1828800,l,,,7620l1828800,7620l1828800,xe" fillcolor="black" stroked="f">
                <v:path arrowok="t"/>
                <w10:wrap type="topAndBottom"/>
              </v:shape>
            </w:pict>
          </mc:Fallback>
        </mc:AlternateContent>
      </w:r>
    </w:p>
    <w:p w:rsidR="008406CE" w14:paraId="1107EDA1" w14:textId="77777777">
      <w:pPr>
        <w:spacing w:before="96"/>
        <w:ind w:left="119" w:right="395"/>
        <w:rPr>
          <w:sz w:val="20"/>
        </w:rPr>
      </w:pPr>
      <w:bookmarkStart w:id="4" w:name="_bookmark0"/>
      <w:bookmarkEnd w:id="4"/>
      <w:r>
        <w:rPr>
          <w:sz w:val="20"/>
          <w:vertAlign w:val="superscript"/>
        </w:rPr>
        <w:t>1</w:t>
      </w:r>
      <w:r>
        <w:rPr>
          <w:sz w:val="20"/>
        </w:rPr>
        <w:t xml:space="preserve"> We are removing existing Appendix E: “Overview of State Documentation Requirements for EHB-benchmark Plans”</w:t>
      </w:r>
      <w:r>
        <w:rPr>
          <w:spacing w:val="-3"/>
          <w:sz w:val="20"/>
        </w:rPr>
        <w:t xml:space="preserve"> </w:t>
      </w:r>
      <w:r>
        <w:rPr>
          <w:sz w:val="20"/>
        </w:rPr>
        <w:t>from</w:t>
      </w:r>
      <w:r>
        <w:rPr>
          <w:spacing w:val="-2"/>
          <w:sz w:val="20"/>
        </w:rPr>
        <w:t xml:space="preserve"> </w:t>
      </w:r>
      <w:r>
        <w:rPr>
          <w:sz w:val="20"/>
        </w:rPr>
        <w:t>this</w:t>
      </w:r>
      <w:r>
        <w:rPr>
          <w:spacing w:val="-3"/>
          <w:sz w:val="20"/>
        </w:rPr>
        <w:t xml:space="preserve"> </w:t>
      </w:r>
      <w:r>
        <w:rPr>
          <w:sz w:val="20"/>
        </w:rPr>
        <w:t>information</w:t>
      </w:r>
      <w:r>
        <w:rPr>
          <w:spacing w:val="-2"/>
          <w:sz w:val="20"/>
        </w:rPr>
        <w:t xml:space="preserve"> </w:t>
      </w:r>
      <w:r>
        <w:rPr>
          <w:sz w:val="20"/>
        </w:rPr>
        <w:t>collection</w:t>
      </w:r>
      <w:r>
        <w:rPr>
          <w:spacing w:val="-2"/>
          <w:sz w:val="20"/>
        </w:rPr>
        <w:t xml:space="preserve"> </w:t>
      </w:r>
      <w:r>
        <w:rPr>
          <w:sz w:val="20"/>
        </w:rPr>
        <w:t>as</w:t>
      </w:r>
      <w:r>
        <w:rPr>
          <w:spacing w:val="-3"/>
          <w:sz w:val="20"/>
        </w:rPr>
        <w:t xml:space="preserve"> </w:t>
      </w:r>
      <w:r>
        <w:rPr>
          <w:sz w:val="20"/>
        </w:rPr>
        <w:t>the</w:t>
      </w:r>
      <w:r>
        <w:rPr>
          <w:spacing w:val="-3"/>
          <w:sz w:val="20"/>
        </w:rPr>
        <w:t xml:space="preserve"> </w:t>
      </w:r>
      <w:r>
        <w:rPr>
          <w:sz w:val="20"/>
        </w:rPr>
        <w:t>proposed</w:t>
      </w:r>
      <w:r>
        <w:rPr>
          <w:spacing w:val="-2"/>
          <w:sz w:val="20"/>
        </w:rPr>
        <w:t xml:space="preserve"> </w:t>
      </w:r>
      <w:r>
        <w:rPr>
          <w:sz w:val="20"/>
        </w:rPr>
        <w:t>changes</w:t>
      </w:r>
      <w:r>
        <w:rPr>
          <w:spacing w:val="-3"/>
          <w:sz w:val="20"/>
        </w:rPr>
        <w:t xml:space="preserve"> </w:t>
      </w:r>
      <w:r>
        <w:rPr>
          <w:sz w:val="20"/>
        </w:rPr>
        <w:t>to</w:t>
      </w:r>
      <w:r>
        <w:rPr>
          <w:spacing w:val="-2"/>
          <w:sz w:val="20"/>
        </w:rPr>
        <w:t xml:space="preserve"> </w:t>
      </w:r>
      <w:r>
        <w:rPr>
          <w:sz w:val="20"/>
        </w:rPr>
        <w:t>45</w:t>
      </w:r>
      <w:r>
        <w:rPr>
          <w:spacing w:val="-2"/>
          <w:sz w:val="20"/>
        </w:rPr>
        <w:t xml:space="preserve"> </w:t>
      </w:r>
      <w:r>
        <w:rPr>
          <w:sz w:val="20"/>
        </w:rPr>
        <w:t>CFR</w:t>
      </w:r>
      <w:r>
        <w:rPr>
          <w:spacing w:val="-3"/>
          <w:sz w:val="20"/>
        </w:rPr>
        <w:t xml:space="preserve"> </w:t>
      </w:r>
      <w:r>
        <w:rPr>
          <w:sz w:val="20"/>
        </w:rPr>
        <w:t>156.111</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proposed</w:t>
      </w:r>
      <w:r>
        <w:rPr>
          <w:spacing w:val="-2"/>
          <w:sz w:val="20"/>
        </w:rPr>
        <w:t xml:space="preserve"> </w:t>
      </w:r>
      <w:r>
        <w:rPr>
          <w:sz w:val="20"/>
        </w:rPr>
        <w:t>2025</w:t>
      </w:r>
      <w:r>
        <w:rPr>
          <w:spacing w:val="-2"/>
          <w:sz w:val="20"/>
        </w:rPr>
        <w:t xml:space="preserve"> </w:t>
      </w:r>
      <w:r>
        <w:rPr>
          <w:sz w:val="20"/>
        </w:rPr>
        <w:t xml:space="preserve">Payment Notice would consolidate the options for State EHB-benchmark plan selection and simplify the documentation </w:t>
      </w:r>
      <w:r>
        <w:rPr>
          <w:spacing w:val="-2"/>
          <w:sz w:val="20"/>
        </w:rPr>
        <w:t>requirements.</w:t>
      </w:r>
    </w:p>
    <w:p w:rsidR="008406CE" w14:paraId="7833F85A" w14:textId="77777777">
      <w:pPr>
        <w:rPr>
          <w:sz w:val="20"/>
        </w:rPr>
        <w:sectPr>
          <w:pgSz w:w="12240" w:h="15840"/>
          <w:pgMar w:top="1360" w:right="1140" w:bottom="1220" w:left="1320" w:header="0" w:footer="1022" w:gutter="0"/>
          <w:cols w:space="720"/>
        </w:sectPr>
      </w:pPr>
    </w:p>
    <w:p w:rsidR="008406CE" w14:paraId="7CCB7DBE" w14:textId="77777777">
      <w:pPr>
        <w:pStyle w:val="BodyText"/>
        <w:spacing w:before="99"/>
        <w:ind w:left="120"/>
      </w:pPr>
      <w:r>
        <w:t>availability</w:t>
      </w:r>
      <w:r>
        <w:rPr>
          <w:spacing w:val="-4"/>
        </w:rPr>
        <w:t xml:space="preserve"> </w:t>
      </w:r>
      <w:r>
        <w:t>of</w:t>
      </w:r>
      <w:r>
        <w:rPr>
          <w:spacing w:val="-3"/>
        </w:rPr>
        <w:t xml:space="preserve"> </w:t>
      </w:r>
      <w:r>
        <w:t>premium</w:t>
      </w:r>
      <w:r>
        <w:rPr>
          <w:spacing w:val="-2"/>
        </w:rPr>
        <w:t xml:space="preserve"> </w:t>
      </w:r>
      <w:r>
        <w:t>tax</w:t>
      </w:r>
      <w:r>
        <w:rPr>
          <w:spacing w:val="-2"/>
        </w:rPr>
        <w:t xml:space="preserve"> </w:t>
      </w:r>
      <w:r>
        <w:t>credits</w:t>
      </w:r>
      <w:r>
        <w:rPr>
          <w:spacing w:val="-2"/>
        </w:rPr>
        <w:t xml:space="preserve"> </w:t>
      </w:r>
      <w:r>
        <w:t>and</w:t>
      </w:r>
      <w:r>
        <w:rPr>
          <w:spacing w:val="1"/>
        </w:rPr>
        <w:t xml:space="preserve"> </w:t>
      </w:r>
      <w:r>
        <w:t>cost-sharing</w:t>
      </w:r>
      <w:r>
        <w:rPr>
          <w:spacing w:val="-2"/>
        </w:rPr>
        <w:t xml:space="preserve"> </w:t>
      </w:r>
      <w:r>
        <w:t>reductions</w:t>
      </w:r>
      <w:r>
        <w:rPr>
          <w:spacing w:val="-2"/>
        </w:rPr>
        <w:t xml:space="preserve"> </w:t>
      </w:r>
      <w:r>
        <w:t>for</w:t>
      </w:r>
      <w:r>
        <w:rPr>
          <w:spacing w:val="-1"/>
        </w:rPr>
        <w:t xml:space="preserve"> </w:t>
      </w:r>
      <w:r>
        <w:t>enrollees in</w:t>
      </w:r>
      <w:r>
        <w:rPr>
          <w:spacing w:val="-2"/>
        </w:rPr>
        <w:t xml:space="preserve"> </w:t>
      </w:r>
      <w:r>
        <w:t>the</w:t>
      </w:r>
      <w:r>
        <w:rPr>
          <w:spacing w:val="-2"/>
        </w:rPr>
        <w:t xml:space="preserve"> State.</w:t>
      </w:r>
      <w:hyperlink w:anchor="_bookmark1" w:history="1">
        <w:r>
          <w:rPr>
            <w:spacing w:val="-2"/>
            <w:vertAlign w:val="superscript"/>
          </w:rPr>
          <w:t>2</w:t>
        </w:r>
      </w:hyperlink>
    </w:p>
    <w:p w:rsidR="008406CE" w14:paraId="25A3D557" w14:textId="77777777">
      <w:pPr>
        <w:pStyle w:val="BodyText"/>
        <w:spacing w:before="9"/>
      </w:pPr>
    </w:p>
    <w:p w:rsidR="008406CE" w14:paraId="193C3310" w14:textId="77777777">
      <w:pPr>
        <w:pStyle w:val="ListParagraph"/>
        <w:numPr>
          <w:ilvl w:val="1"/>
          <w:numId w:val="2"/>
        </w:numPr>
        <w:tabs>
          <w:tab w:val="left" w:pos="839"/>
        </w:tabs>
        <w:ind w:left="839" w:hanging="719"/>
        <w:rPr>
          <w:sz w:val="24"/>
        </w:rPr>
      </w:pPr>
      <w:bookmarkStart w:id="5" w:name="3._Use_of_Information_Technology"/>
      <w:bookmarkEnd w:id="5"/>
      <w:r>
        <w:rPr>
          <w:sz w:val="24"/>
          <w:u w:val="single"/>
        </w:rPr>
        <w:t>Use</w:t>
      </w:r>
      <w:r>
        <w:rPr>
          <w:spacing w:val="-5"/>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8406CE" w14:paraId="357FB917" w14:textId="77777777">
      <w:pPr>
        <w:pStyle w:val="BodyText"/>
        <w:spacing w:before="3"/>
      </w:pPr>
    </w:p>
    <w:p w:rsidR="008406CE" w14:paraId="7FEC7DBF" w14:textId="77777777">
      <w:pPr>
        <w:pStyle w:val="BodyText"/>
        <w:ind w:left="119" w:right="819"/>
      </w:pPr>
      <w:r>
        <w:t>States</w:t>
      </w:r>
      <w:r>
        <w:rPr>
          <w:spacing w:val="-3"/>
        </w:rPr>
        <w:t xml:space="preserve"> </w:t>
      </w:r>
      <w:r>
        <w:t>must</w:t>
      </w:r>
      <w:r>
        <w:rPr>
          <w:spacing w:val="-3"/>
        </w:rPr>
        <w:t xml:space="preserve"> </w:t>
      </w:r>
      <w:r>
        <w:t>submit</w:t>
      </w:r>
      <w:r>
        <w:rPr>
          <w:spacing w:val="-3"/>
        </w:rPr>
        <w:t xml:space="preserve"> </w:t>
      </w:r>
      <w:r>
        <w:t>EHB-benchmark</w:t>
      </w:r>
      <w:r>
        <w:rPr>
          <w:spacing w:val="-3"/>
        </w:rPr>
        <w:t xml:space="preserve"> </w:t>
      </w:r>
      <w:r>
        <w:t>plan</w:t>
      </w:r>
      <w:r>
        <w:rPr>
          <w:spacing w:val="-3"/>
        </w:rPr>
        <w:t xml:space="preserve"> </w:t>
      </w:r>
      <w:r>
        <w:t>selection</w:t>
      </w:r>
      <w:r>
        <w:rPr>
          <w:spacing w:val="-1"/>
        </w:rPr>
        <w:t xml:space="preserve"> </w:t>
      </w:r>
      <w:r>
        <w:t>documents</w:t>
      </w:r>
      <w:r>
        <w:rPr>
          <w:spacing w:val="-3"/>
        </w:rPr>
        <w:t xml:space="preserve"> </w:t>
      </w:r>
      <w:r>
        <w:t>electronically.</w:t>
      </w:r>
      <w:r>
        <w:rPr>
          <w:spacing w:val="-3"/>
        </w:rPr>
        <w:t xml:space="preserve"> </w:t>
      </w:r>
      <w:r>
        <w:t>We</w:t>
      </w:r>
      <w:r>
        <w:rPr>
          <w:spacing w:val="-4"/>
        </w:rPr>
        <w:t xml:space="preserve"> </w:t>
      </w:r>
      <w:r>
        <w:t>may</w:t>
      </w:r>
      <w:r>
        <w:rPr>
          <w:spacing w:val="-3"/>
        </w:rPr>
        <w:t xml:space="preserve"> </w:t>
      </w:r>
      <w:r>
        <w:t>use</w:t>
      </w:r>
      <w:r>
        <w:rPr>
          <w:spacing w:val="-2"/>
        </w:rPr>
        <w:t xml:space="preserve"> </w:t>
      </w:r>
      <w:r>
        <w:t>a web-based tool with email as a back-up option to collect the documents under this ICR. As described</w:t>
      </w:r>
      <w:r>
        <w:rPr>
          <w:spacing w:val="-3"/>
        </w:rPr>
        <w:t xml:space="preserve"> </w:t>
      </w:r>
      <w:r>
        <w:t>in</w:t>
      </w:r>
      <w:r>
        <w:rPr>
          <w:spacing w:val="-3"/>
        </w:rPr>
        <w:t xml:space="preserve"> </w:t>
      </w:r>
      <w:r>
        <w:t>the</w:t>
      </w:r>
      <w:r>
        <w:rPr>
          <w:spacing w:val="-4"/>
        </w:rPr>
        <w:t xml:space="preserve"> </w:t>
      </w:r>
      <w:r>
        <w:t>2019</w:t>
      </w:r>
      <w:r>
        <w:rPr>
          <w:spacing w:val="-3"/>
        </w:rPr>
        <w:t xml:space="preserve"> </w:t>
      </w:r>
      <w:r>
        <w:t>Payment</w:t>
      </w:r>
      <w:r>
        <w:rPr>
          <w:spacing w:val="-3"/>
        </w:rPr>
        <w:t xml:space="preserve"> </w:t>
      </w:r>
      <w:r>
        <w:t>Notice,</w:t>
      </w:r>
      <w:r>
        <w:rPr>
          <w:spacing w:val="-3"/>
        </w:rPr>
        <w:t xml:space="preserve"> </w:t>
      </w:r>
      <w:r>
        <w:t>the</w:t>
      </w:r>
      <w:r>
        <w:rPr>
          <w:spacing w:val="-4"/>
        </w:rPr>
        <w:t xml:space="preserve"> </w:t>
      </w:r>
      <w:r>
        <w:t>information</w:t>
      </w:r>
      <w:r>
        <w:rPr>
          <w:spacing w:val="-3"/>
        </w:rPr>
        <w:t xml:space="preserve"> </w:t>
      </w:r>
      <w:r>
        <w:t>in</w:t>
      </w:r>
      <w:r>
        <w:rPr>
          <w:spacing w:val="-3"/>
        </w:rPr>
        <w:t xml:space="preserve"> </w:t>
      </w:r>
      <w:r>
        <w:t>this</w:t>
      </w:r>
      <w:r>
        <w:rPr>
          <w:spacing w:val="-3"/>
        </w:rPr>
        <w:t xml:space="preserve"> </w:t>
      </w:r>
      <w:r>
        <w:t>information</w:t>
      </w:r>
      <w:r>
        <w:rPr>
          <w:spacing w:val="-6"/>
        </w:rPr>
        <w:t xml:space="preserve"> </w:t>
      </w:r>
      <w:r>
        <w:t>collection</w:t>
      </w:r>
      <w:r>
        <w:rPr>
          <w:spacing w:val="-3"/>
        </w:rPr>
        <w:t xml:space="preserve"> </w:t>
      </w:r>
      <w:r>
        <w:t>will</w:t>
      </w:r>
      <w:r>
        <w:rPr>
          <w:spacing w:val="-3"/>
        </w:rPr>
        <w:t xml:space="preserve"> </w:t>
      </w:r>
      <w:r>
        <w:t xml:space="preserve">be posted on Center for Consumer Information and Insurance Oversight (CCIIO) webpage on </w:t>
      </w:r>
      <w:r>
        <w:rPr>
          <w:spacing w:val="-2"/>
        </w:rPr>
        <w:t>EHB.</w:t>
      </w:r>
      <w:hyperlink w:anchor="_bookmark2" w:history="1">
        <w:r>
          <w:rPr>
            <w:spacing w:val="-2"/>
            <w:vertAlign w:val="superscript"/>
          </w:rPr>
          <w:t>3</w:t>
        </w:r>
      </w:hyperlink>
    </w:p>
    <w:p w:rsidR="008406CE" w14:paraId="2EA0F2C9" w14:textId="77777777">
      <w:pPr>
        <w:pStyle w:val="BodyText"/>
      </w:pPr>
    </w:p>
    <w:p w:rsidR="008406CE" w14:paraId="6F8EE029" w14:textId="77777777">
      <w:pPr>
        <w:pStyle w:val="ListParagraph"/>
        <w:numPr>
          <w:ilvl w:val="1"/>
          <w:numId w:val="2"/>
        </w:numPr>
        <w:tabs>
          <w:tab w:val="left" w:pos="839"/>
        </w:tabs>
        <w:ind w:left="839" w:hanging="719"/>
        <w:rPr>
          <w:sz w:val="24"/>
        </w:rPr>
      </w:pPr>
      <w:bookmarkStart w:id="6" w:name="4._Duplication_of_Efforts"/>
      <w:bookmarkEnd w:id="6"/>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8406CE" w14:paraId="573A6840" w14:textId="77777777">
      <w:pPr>
        <w:pStyle w:val="BodyText"/>
        <w:spacing w:before="5"/>
      </w:pPr>
    </w:p>
    <w:p w:rsidR="008406CE" w14:paraId="76BE33B1" w14:textId="77777777">
      <w:pPr>
        <w:pStyle w:val="BodyText"/>
        <w:ind w:left="120"/>
      </w:pPr>
      <w:r>
        <w:t>There</w:t>
      </w:r>
      <w:r>
        <w:rPr>
          <w:spacing w:val="-2"/>
        </w:rPr>
        <w:t xml:space="preserve"> </w:t>
      </w:r>
      <w:r>
        <w:t>is</w:t>
      </w:r>
      <w:r>
        <w:rPr>
          <w:spacing w:val="-1"/>
        </w:rPr>
        <w:t xml:space="preserve"> </w:t>
      </w:r>
      <w:r>
        <w:t>no duplication</w:t>
      </w:r>
      <w:r>
        <w:rPr>
          <w:spacing w:val="-1"/>
        </w:rPr>
        <w:t xml:space="preserve"> </w:t>
      </w:r>
      <w:r>
        <w:t>of</w:t>
      </w:r>
      <w:r>
        <w:rPr>
          <w:spacing w:val="-1"/>
        </w:rPr>
        <w:t xml:space="preserve"> </w:t>
      </w:r>
      <w:r>
        <w:rPr>
          <w:spacing w:val="-2"/>
        </w:rPr>
        <w:t>efforts.</w:t>
      </w:r>
    </w:p>
    <w:p w:rsidR="008406CE" w14:paraId="79D20256" w14:textId="77777777">
      <w:pPr>
        <w:pStyle w:val="BodyText"/>
        <w:spacing w:before="7"/>
      </w:pPr>
    </w:p>
    <w:p w:rsidR="008406CE" w14:paraId="08B092F5" w14:textId="77777777">
      <w:pPr>
        <w:pStyle w:val="ListParagraph"/>
        <w:numPr>
          <w:ilvl w:val="1"/>
          <w:numId w:val="2"/>
        </w:numPr>
        <w:tabs>
          <w:tab w:val="left" w:pos="839"/>
        </w:tabs>
        <w:ind w:left="839" w:hanging="719"/>
        <w:rPr>
          <w:sz w:val="24"/>
        </w:rPr>
      </w:pPr>
      <w:bookmarkStart w:id="7" w:name="5._Small_Businesses"/>
      <w:bookmarkEnd w:id="7"/>
      <w:r>
        <w:rPr>
          <w:sz w:val="24"/>
          <w:u w:val="single"/>
        </w:rPr>
        <w:t>Small</w:t>
      </w:r>
      <w:r>
        <w:rPr>
          <w:spacing w:val="-1"/>
          <w:sz w:val="24"/>
          <w:u w:val="single"/>
        </w:rPr>
        <w:t xml:space="preserve"> </w:t>
      </w:r>
      <w:r>
        <w:rPr>
          <w:spacing w:val="-2"/>
          <w:sz w:val="24"/>
          <w:u w:val="single"/>
        </w:rPr>
        <w:t>Businesses</w:t>
      </w:r>
    </w:p>
    <w:p w:rsidR="008406CE" w14:paraId="79028243" w14:textId="77777777">
      <w:pPr>
        <w:pStyle w:val="BodyText"/>
      </w:pPr>
    </w:p>
    <w:p w:rsidR="008406CE" w14:paraId="704C4C8F" w14:textId="77777777">
      <w:pPr>
        <w:pStyle w:val="BodyText"/>
        <w:ind w:left="120"/>
      </w:pPr>
      <w:r>
        <w:t>This</w:t>
      </w:r>
      <w:r>
        <w:rPr>
          <w:spacing w:val="-2"/>
        </w:rPr>
        <w:t xml:space="preserve"> </w:t>
      </w:r>
      <w:r>
        <w:t>information</w:t>
      </w:r>
      <w:r>
        <w:rPr>
          <w:spacing w:val="-2"/>
        </w:rPr>
        <w:t xml:space="preserve"> </w:t>
      </w:r>
      <w:r>
        <w:t>collection</w:t>
      </w:r>
      <w:r>
        <w:rPr>
          <w:spacing w:val="-1"/>
        </w:rPr>
        <w:t xml:space="preserve"> </w:t>
      </w:r>
      <w:r>
        <w:t>will</w:t>
      </w:r>
      <w:r>
        <w:rPr>
          <w:spacing w:val="-2"/>
        </w:rPr>
        <w:t xml:space="preserve"> </w:t>
      </w:r>
      <w:r>
        <w:t>not</w:t>
      </w:r>
      <w:r>
        <w:rPr>
          <w:spacing w:val="-2"/>
        </w:rPr>
        <w:t xml:space="preserve"> </w:t>
      </w:r>
      <w:r>
        <w:t>impact</w:t>
      </w:r>
      <w:r>
        <w:rPr>
          <w:spacing w:val="-1"/>
        </w:rPr>
        <w:t xml:space="preserve"> </w:t>
      </w:r>
      <w:r>
        <w:t>on</w:t>
      </w:r>
      <w:r>
        <w:rPr>
          <w:spacing w:val="-2"/>
        </w:rPr>
        <w:t xml:space="preserve"> </w:t>
      </w:r>
      <w:r>
        <w:t>small</w:t>
      </w:r>
      <w:r>
        <w:rPr>
          <w:spacing w:val="-1"/>
        </w:rPr>
        <w:t xml:space="preserve"> </w:t>
      </w:r>
      <w:r>
        <w:rPr>
          <w:spacing w:val="-2"/>
        </w:rPr>
        <w:t>businesses.</w:t>
      </w:r>
    </w:p>
    <w:p w:rsidR="008406CE" w14:paraId="3A21EC7B" w14:textId="77777777">
      <w:pPr>
        <w:pStyle w:val="BodyText"/>
        <w:spacing w:before="10"/>
      </w:pPr>
    </w:p>
    <w:p w:rsidR="008406CE" w14:paraId="4279FF21" w14:textId="77777777">
      <w:pPr>
        <w:pStyle w:val="ListParagraph"/>
        <w:numPr>
          <w:ilvl w:val="1"/>
          <w:numId w:val="2"/>
        </w:numPr>
        <w:tabs>
          <w:tab w:val="left" w:pos="839"/>
        </w:tabs>
        <w:ind w:left="839" w:hanging="719"/>
        <w:rPr>
          <w:sz w:val="24"/>
        </w:rPr>
      </w:pPr>
      <w:bookmarkStart w:id="8" w:name="6._Less_Frequent_Collection"/>
      <w:bookmarkEnd w:id="8"/>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rsidR="008406CE" w14:paraId="5D3D63A9" w14:textId="77777777">
      <w:pPr>
        <w:pStyle w:val="BodyText"/>
      </w:pPr>
    </w:p>
    <w:p w:rsidR="008406CE" w14:paraId="17253FF6" w14:textId="77777777">
      <w:pPr>
        <w:pStyle w:val="BodyText"/>
        <w:ind w:left="120" w:right="520"/>
      </w:pPr>
      <w:r>
        <w:t>We anticipate that the EHB-benchmark plan data collection will occur annually. The respondents</w:t>
      </w:r>
      <w:r>
        <w:rPr>
          <w:spacing w:val="-3"/>
        </w:rPr>
        <w:t xml:space="preserve"> </w:t>
      </w:r>
      <w:r>
        <w:t>will</w:t>
      </w:r>
      <w:r>
        <w:rPr>
          <w:spacing w:val="-3"/>
        </w:rPr>
        <w:t xml:space="preserve"> </w:t>
      </w:r>
      <w:r>
        <w:t>likely</w:t>
      </w:r>
      <w:r>
        <w:rPr>
          <w:spacing w:val="-3"/>
        </w:rPr>
        <w:t xml:space="preserve"> </w:t>
      </w:r>
      <w:r>
        <w:t>be</w:t>
      </w:r>
      <w:r>
        <w:rPr>
          <w:spacing w:val="-4"/>
        </w:rPr>
        <w:t xml:space="preserve"> </w:t>
      </w:r>
      <w:r>
        <w:t>different</w:t>
      </w:r>
      <w:r>
        <w:rPr>
          <w:spacing w:val="-3"/>
        </w:rPr>
        <w:t xml:space="preserve"> </w:t>
      </w:r>
      <w:r>
        <w:t>respondents</w:t>
      </w:r>
      <w:r>
        <w:rPr>
          <w:spacing w:val="-3"/>
        </w:rPr>
        <w:t xml:space="preserve"> </w:t>
      </w:r>
      <w:r>
        <w:t>each</w:t>
      </w:r>
      <w:r>
        <w:rPr>
          <w:spacing w:val="-3"/>
        </w:rPr>
        <w:t xml:space="preserve"> </w:t>
      </w:r>
      <w:r>
        <w:t>year.</w:t>
      </w:r>
      <w:r>
        <w:rPr>
          <w:spacing w:val="-2"/>
        </w:rPr>
        <w:t xml:space="preserve"> </w:t>
      </w:r>
      <w:r>
        <w:t>If</w:t>
      </w:r>
      <w:r>
        <w:rPr>
          <w:spacing w:val="-4"/>
        </w:rPr>
        <w:t xml:space="preserve"> </w:t>
      </w:r>
      <w:r>
        <w:t>the</w:t>
      </w:r>
      <w:r>
        <w:rPr>
          <w:spacing w:val="-4"/>
        </w:rPr>
        <w:t xml:space="preserve"> </w:t>
      </w:r>
      <w:r>
        <w:t>collection</w:t>
      </w:r>
      <w:r>
        <w:rPr>
          <w:spacing w:val="-2"/>
        </w:rPr>
        <w:t xml:space="preserve"> </w:t>
      </w:r>
      <w:r>
        <w:t>was</w:t>
      </w:r>
      <w:r>
        <w:rPr>
          <w:spacing w:val="-3"/>
        </w:rPr>
        <w:t xml:space="preserve"> </w:t>
      </w:r>
      <w:r>
        <w:t>less</w:t>
      </w:r>
      <w:r>
        <w:rPr>
          <w:spacing w:val="-3"/>
        </w:rPr>
        <w:t xml:space="preserve"> </w:t>
      </w:r>
      <w:r>
        <w:t>frequently, it would decrease</w:t>
      </w:r>
      <w:r>
        <w:rPr>
          <w:spacing w:val="-1"/>
        </w:rPr>
        <w:t xml:space="preserve"> </w:t>
      </w:r>
      <w:r>
        <w:t>the</w:t>
      </w:r>
      <w:r>
        <w:rPr>
          <w:spacing w:val="-1"/>
        </w:rPr>
        <w:t xml:space="preserve"> </w:t>
      </w:r>
      <w:r>
        <w:t>flexibility for</w:t>
      </w:r>
      <w:r>
        <w:rPr>
          <w:spacing w:val="-1"/>
        </w:rPr>
        <w:t xml:space="preserve"> </w:t>
      </w:r>
      <w:r>
        <w:t>States on when they could choose</w:t>
      </w:r>
      <w:r>
        <w:rPr>
          <w:spacing w:val="-1"/>
        </w:rPr>
        <w:t xml:space="preserve"> </w:t>
      </w:r>
      <w:r>
        <w:t>to make</w:t>
      </w:r>
      <w:r>
        <w:rPr>
          <w:spacing w:val="-1"/>
        </w:rPr>
        <w:t xml:space="preserve"> </w:t>
      </w:r>
      <w:r>
        <w:t>changes to their EHB-benchmark plans.</w:t>
      </w:r>
    </w:p>
    <w:p w:rsidR="008406CE" w14:paraId="0B13739F" w14:textId="77777777">
      <w:pPr>
        <w:pStyle w:val="BodyText"/>
        <w:spacing w:before="9"/>
      </w:pPr>
    </w:p>
    <w:p w:rsidR="008406CE" w14:paraId="04475788" w14:textId="77777777">
      <w:pPr>
        <w:pStyle w:val="ListParagraph"/>
        <w:numPr>
          <w:ilvl w:val="1"/>
          <w:numId w:val="2"/>
        </w:numPr>
        <w:tabs>
          <w:tab w:val="left" w:pos="839"/>
        </w:tabs>
        <w:spacing w:before="1"/>
        <w:ind w:left="839" w:hanging="719"/>
        <w:rPr>
          <w:sz w:val="24"/>
        </w:rPr>
      </w:pPr>
      <w:bookmarkStart w:id="9" w:name="7._Special_Circumstances"/>
      <w:bookmarkEnd w:id="9"/>
      <w:r>
        <w:rPr>
          <w:sz w:val="24"/>
          <w:u w:val="single"/>
        </w:rPr>
        <w:t>Special</w:t>
      </w:r>
      <w:r>
        <w:rPr>
          <w:spacing w:val="-5"/>
          <w:sz w:val="24"/>
          <w:u w:val="single"/>
        </w:rPr>
        <w:t xml:space="preserve"> </w:t>
      </w:r>
      <w:r>
        <w:rPr>
          <w:spacing w:val="-2"/>
          <w:sz w:val="24"/>
          <w:u w:val="single"/>
        </w:rPr>
        <w:t>Circumstances</w:t>
      </w:r>
    </w:p>
    <w:p w:rsidR="008406CE" w14:paraId="3FF5BBCC" w14:textId="77777777">
      <w:pPr>
        <w:pStyle w:val="BodyText"/>
        <w:spacing w:before="276"/>
        <w:ind w:left="120"/>
      </w:pPr>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8406CE" w14:paraId="51324E36" w14:textId="77777777">
      <w:pPr>
        <w:pStyle w:val="ListParagraph"/>
        <w:numPr>
          <w:ilvl w:val="1"/>
          <w:numId w:val="2"/>
        </w:numPr>
        <w:tabs>
          <w:tab w:val="left" w:pos="839"/>
        </w:tabs>
        <w:spacing w:before="276"/>
        <w:ind w:left="839" w:hanging="719"/>
        <w:rPr>
          <w:sz w:val="24"/>
        </w:rPr>
      </w:pPr>
      <w:bookmarkStart w:id="10" w:name="8._Federal_Register/Outside_Consultation"/>
      <w:bookmarkEnd w:id="10"/>
      <w:r>
        <w:rPr>
          <w:sz w:val="24"/>
          <w:u w:val="single"/>
        </w:rPr>
        <w:t>Federal</w:t>
      </w:r>
      <w:r>
        <w:rPr>
          <w:spacing w:val="-4"/>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8406CE" w14:paraId="11EF43F0" w14:textId="77777777">
      <w:pPr>
        <w:pStyle w:val="BodyText"/>
        <w:spacing w:before="7"/>
      </w:pPr>
    </w:p>
    <w:p w:rsidR="008406CE" w14:paraId="230E0B42" w14:textId="05E45B20">
      <w:pPr>
        <w:pStyle w:val="BodyText"/>
        <w:ind w:left="120" w:right="419"/>
      </w:pPr>
      <w:r>
        <w:t>This</w:t>
      </w:r>
      <w:r>
        <w:rPr>
          <w:spacing w:val="-3"/>
        </w:rPr>
        <w:t xml:space="preserve"> </w:t>
      </w:r>
      <w:r>
        <w:t>ICR</w:t>
      </w:r>
      <w:r>
        <w:rPr>
          <w:spacing w:val="-3"/>
        </w:rPr>
        <w:t xml:space="preserve"> </w:t>
      </w:r>
      <w:r>
        <w:t>was</w:t>
      </w:r>
      <w:r>
        <w:rPr>
          <w:spacing w:val="-3"/>
        </w:rPr>
        <w:t xml:space="preserve"> </w:t>
      </w:r>
      <w:r>
        <w:t>published</w:t>
      </w:r>
      <w:r>
        <w:rPr>
          <w:spacing w:val="-1"/>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Payment</w:t>
      </w:r>
      <w:r>
        <w:rPr>
          <w:spacing w:val="-3"/>
        </w:rPr>
        <w:t xml:space="preserve"> </w:t>
      </w:r>
      <w:r>
        <w:t>Notice</w:t>
      </w:r>
      <w:r>
        <w:rPr>
          <w:spacing w:val="-4"/>
        </w:rPr>
        <w:t xml:space="preserve"> </w:t>
      </w:r>
      <w:r>
        <w:t>Proposed</w:t>
      </w:r>
      <w:r>
        <w:rPr>
          <w:spacing w:val="-3"/>
        </w:rPr>
        <w:t xml:space="preserve"> </w:t>
      </w:r>
      <w:r>
        <w:t>Rule</w:t>
      </w:r>
      <w:r>
        <w:rPr>
          <w:spacing w:val="-4"/>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 xml:space="preserve">on </w:t>
      </w:r>
      <w:r w:rsidR="00131372">
        <w:t xml:space="preserve">November 24, 2023 </w:t>
      </w:r>
      <w:r>
        <w:t>(</w:t>
      </w:r>
      <w:r w:rsidR="00131372">
        <w:t>88 FR 82510</w:t>
      </w:r>
      <w:r>
        <w:t>) for the public to submit written comment as part of a first-round public comment period. No public comments were received.</w:t>
      </w:r>
    </w:p>
    <w:p w:rsidR="008406CE" w14:paraId="6CD297E0" w14:textId="77777777">
      <w:pPr>
        <w:pStyle w:val="BodyText"/>
      </w:pPr>
    </w:p>
    <w:p w:rsidR="008406CE" w14:paraId="66194F5A" w14:textId="0F863F7F">
      <w:pPr>
        <w:pStyle w:val="BodyText"/>
        <w:ind w:left="120" w:right="523"/>
        <w:jc w:val="both"/>
      </w:pPr>
      <w:r>
        <w:t>This</w:t>
      </w:r>
      <w:r>
        <w:rPr>
          <w:spacing w:val="-1"/>
        </w:rPr>
        <w:t xml:space="preserve"> </w:t>
      </w:r>
      <w:r>
        <w:t>ICR</w:t>
      </w:r>
      <w:r>
        <w:rPr>
          <w:spacing w:val="-1"/>
        </w:rPr>
        <w:t xml:space="preserve"> </w:t>
      </w:r>
      <w:r>
        <w:t>will</w:t>
      </w:r>
      <w:r>
        <w:rPr>
          <w:spacing w:val="-1"/>
        </w:rPr>
        <w:t xml:space="preserve"> </w:t>
      </w:r>
      <w:r>
        <w:t>be</w:t>
      </w:r>
      <w:r>
        <w:rPr>
          <w:spacing w:val="-2"/>
        </w:rPr>
        <w:t xml:space="preserve"> </w:t>
      </w:r>
      <w:r>
        <w:t>published</w:t>
      </w:r>
      <w:r>
        <w:rPr>
          <w:spacing w:val="-1"/>
        </w:rPr>
        <w:t xml:space="preserve"> </w:t>
      </w:r>
      <w:r>
        <w:t>as</w:t>
      </w:r>
      <w:r>
        <w:rPr>
          <w:spacing w:val="-1"/>
        </w:rPr>
        <w:t xml:space="preserve"> </w:t>
      </w:r>
      <w:r>
        <w:t>part</w:t>
      </w:r>
      <w:r>
        <w:rPr>
          <w:spacing w:val="-1"/>
        </w:rPr>
        <w:t xml:space="preserve"> </w:t>
      </w:r>
      <w:r>
        <w:t>of</w:t>
      </w:r>
      <w:r>
        <w:rPr>
          <w:spacing w:val="-2"/>
        </w:rPr>
        <w:t xml:space="preserve"> </w:t>
      </w:r>
      <w:r>
        <w:t>the</w:t>
      </w:r>
      <w:r>
        <w:rPr>
          <w:spacing w:val="-2"/>
        </w:rPr>
        <w:t xml:space="preserve"> </w:t>
      </w:r>
      <w:r>
        <w:t>Payment Notice</w:t>
      </w:r>
      <w:r>
        <w:rPr>
          <w:spacing w:val="-2"/>
        </w:rPr>
        <w:t xml:space="preserve"> </w:t>
      </w:r>
      <w:r>
        <w:t>Final</w:t>
      </w:r>
      <w:r>
        <w:rPr>
          <w:spacing w:val="-1"/>
        </w:rPr>
        <w:t xml:space="preserve"> </w:t>
      </w:r>
      <w:r>
        <w:t>Rule</w:t>
      </w:r>
      <w:r>
        <w:rPr>
          <w:spacing w:val="-2"/>
        </w:rPr>
        <w:t xml:space="preserve"> </w:t>
      </w:r>
      <w:r>
        <w:t>in</w:t>
      </w:r>
      <w:r>
        <w:rPr>
          <w:spacing w:val="-1"/>
        </w:rPr>
        <w:t xml:space="preserve"> </w:t>
      </w:r>
      <w:r>
        <w:t>the Federal</w:t>
      </w:r>
      <w:r>
        <w:rPr>
          <w:spacing w:val="-1"/>
        </w:rPr>
        <w:t xml:space="preserve"> </w:t>
      </w:r>
      <w:r>
        <w:t>Register</w:t>
      </w:r>
      <w:r>
        <w:rPr>
          <w:spacing w:val="-2"/>
        </w:rPr>
        <w:t xml:space="preserve"> </w:t>
      </w:r>
      <w:r>
        <w:t xml:space="preserve">on </w:t>
      </w:r>
      <w:r w:rsidR="00131372">
        <w:t>4/15/2024 (89 FR 26218)</w:t>
      </w:r>
      <w:r>
        <w:rPr>
          <w:spacing w:val="-3"/>
        </w:rPr>
        <w:t xml:space="preserve"> </w:t>
      </w:r>
      <w:r>
        <w:t>as</w:t>
      </w:r>
      <w:r>
        <w:rPr>
          <w:spacing w:val="-3"/>
        </w:rPr>
        <w:t xml:space="preserve"> </w:t>
      </w:r>
      <w:r>
        <w:t>part</w:t>
      </w:r>
      <w:r>
        <w:rPr>
          <w:spacing w:val="-3"/>
        </w:rPr>
        <w:t xml:space="preserve"> </w:t>
      </w:r>
      <w:r>
        <w:t>of</w:t>
      </w:r>
      <w:r>
        <w:rPr>
          <w:spacing w:val="-4"/>
        </w:rPr>
        <w:t xml:space="preserve"> </w:t>
      </w:r>
      <w:r>
        <w:t>a</w:t>
      </w:r>
      <w:r>
        <w:rPr>
          <w:spacing w:val="-2"/>
        </w:rPr>
        <w:t xml:space="preserve"> </w:t>
      </w:r>
      <w:r>
        <w:t>second-round</w:t>
      </w:r>
      <w:r>
        <w:rPr>
          <w:spacing w:val="-3"/>
        </w:rPr>
        <w:t xml:space="preserve"> </w:t>
      </w:r>
      <w:r>
        <w:t>public</w:t>
      </w:r>
      <w:r>
        <w:rPr>
          <w:spacing w:val="-2"/>
        </w:rPr>
        <w:t xml:space="preserve"> </w:t>
      </w:r>
      <w:r>
        <w:t>comment</w:t>
      </w:r>
      <w:r>
        <w:rPr>
          <w:spacing w:val="-3"/>
        </w:rPr>
        <w:t xml:space="preserve"> </w:t>
      </w:r>
      <w:r>
        <w:t>period</w:t>
      </w:r>
      <w:r>
        <w:rPr>
          <w:spacing w:val="-3"/>
        </w:rPr>
        <w:t xml:space="preserve"> </w:t>
      </w:r>
      <w:r>
        <w:t>for</w:t>
      </w:r>
      <w:r>
        <w:rPr>
          <w:spacing w:val="-4"/>
        </w:rPr>
        <w:t xml:space="preserve"> </w:t>
      </w:r>
      <w:r>
        <w:t>the</w:t>
      </w:r>
      <w:r>
        <w:rPr>
          <w:spacing w:val="-4"/>
        </w:rPr>
        <w:t xml:space="preserve"> </w:t>
      </w:r>
      <w:r>
        <w:t>public</w:t>
      </w:r>
      <w:r>
        <w:rPr>
          <w:spacing w:val="-4"/>
        </w:rPr>
        <w:t xml:space="preserve"> </w:t>
      </w:r>
      <w:r>
        <w:t>to</w:t>
      </w:r>
      <w:r>
        <w:rPr>
          <w:spacing w:val="-3"/>
        </w:rPr>
        <w:t xml:space="preserve"> </w:t>
      </w:r>
      <w:r>
        <w:t>submit</w:t>
      </w:r>
      <w:r>
        <w:rPr>
          <w:spacing w:val="-3"/>
        </w:rPr>
        <w:t xml:space="preserve"> </w:t>
      </w:r>
      <w:r>
        <w:t xml:space="preserve">written </w:t>
      </w:r>
      <w:r>
        <w:rPr>
          <w:spacing w:val="-2"/>
        </w:rPr>
        <w:t>comment.</w:t>
      </w:r>
      <w:r w:rsidR="00131372">
        <w:rPr>
          <w:spacing w:val="-2"/>
        </w:rPr>
        <w:t xml:space="preserve"> No comments were received.</w:t>
      </w:r>
    </w:p>
    <w:p w:rsidR="008406CE" w14:paraId="74062DF2" w14:textId="77777777">
      <w:pPr>
        <w:pStyle w:val="BodyText"/>
      </w:pPr>
    </w:p>
    <w:p w:rsidR="008406CE" w14:paraId="2C1D9F97" w14:textId="77777777">
      <w:pPr>
        <w:pStyle w:val="BodyText"/>
        <w:ind w:left="120"/>
        <w:jc w:val="both"/>
      </w:pPr>
      <w:r>
        <w:t>No</w:t>
      </w:r>
      <w:r>
        <w:rPr>
          <w:spacing w:val="-2"/>
        </w:rPr>
        <w:t xml:space="preserve"> </w:t>
      </w:r>
      <w:r>
        <w:t>additional</w:t>
      </w:r>
      <w:r>
        <w:rPr>
          <w:spacing w:val="-2"/>
        </w:rPr>
        <w:t xml:space="preserve"> </w:t>
      </w:r>
      <w:r>
        <w:t>outside</w:t>
      </w:r>
      <w:r>
        <w:rPr>
          <w:spacing w:val="-3"/>
        </w:rPr>
        <w:t xml:space="preserve"> </w:t>
      </w:r>
      <w:r>
        <w:t>consultation</w:t>
      </w:r>
      <w:r>
        <w:rPr>
          <w:spacing w:val="-2"/>
        </w:rPr>
        <w:t xml:space="preserve"> </w:t>
      </w:r>
      <w:r>
        <w:t>was</w:t>
      </w:r>
      <w:r>
        <w:rPr>
          <w:spacing w:val="-1"/>
        </w:rPr>
        <w:t xml:space="preserve"> </w:t>
      </w:r>
      <w:r>
        <w:rPr>
          <w:spacing w:val="-2"/>
        </w:rPr>
        <w:t>sought.</w:t>
      </w:r>
    </w:p>
    <w:p w:rsidR="008406CE" w14:paraId="0780354E" w14:textId="77777777">
      <w:pPr>
        <w:pStyle w:val="BodyText"/>
        <w:rPr>
          <w:sz w:val="20"/>
        </w:rPr>
      </w:pPr>
    </w:p>
    <w:p w:rsidR="008406CE" w14:paraId="5C89B5D2" w14:textId="77777777">
      <w:pPr>
        <w:pStyle w:val="BodyText"/>
        <w:spacing w:before="129"/>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243401</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9.15pt;margin-left:1in;mso-position-horizontal-relative:page;mso-wrap-distance-bottom:0;mso-wrap-distance-left:0;mso-wrap-distance-right:0;mso-wrap-distance-top:0;mso-wrap-style:square;position:absolute;visibility:visible;v-text-anchor:top;z-index:-251655168" coordsize="1828800,7620" path="m1828800,l,,,7619l1828800,7619l1828800,xe" fillcolor="black" stroked="f">
                <v:path arrowok="t"/>
                <w10:wrap type="topAndBottom"/>
              </v:shape>
            </w:pict>
          </mc:Fallback>
        </mc:AlternateContent>
      </w:r>
    </w:p>
    <w:p w:rsidR="008406CE" w14:paraId="2A1113E1" w14:textId="77777777">
      <w:pPr>
        <w:spacing w:before="96"/>
        <w:ind w:left="119" w:right="395"/>
        <w:rPr>
          <w:sz w:val="20"/>
        </w:rPr>
      </w:pPr>
      <w:bookmarkStart w:id="11" w:name="_bookmark1"/>
      <w:bookmarkEnd w:id="11"/>
      <w:r>
        <w:rPr>
          <w:sz w:val="20"/>
          <w:vertAlign w:val="superscript"/>
        </w:rPr>
        <w:t>2</w:t>
      </w:r>
      <w:r>
        <w:rPr>
          <w:spacing w:val="-16"/>
          <w:sz w:val="20"/>
        </w:rPr>
        <w:t xml:space="preserve"> </w:t>
      </w:r>
      <w:r>
        <w:rPr>
          <w:sz w:val="20"/>
        </w:rPr>
        <w:t>The definition of EHB also has an impact on the annual limitation on cost sharing at section 1302(c) of the ACA (which</w:t>
      </w:r>
      <w:r>
        <w:rPr>
          <w:spacing w:val="-1"/>
          <w:sz w:val="20"/>
        </w:rPr>
        <w:t xml:space="preserve"> </w:t>
      </w:r>
      <w:r>
        <w:rPr>
          <w:sz w:val="20"/>
        </w:rPr>
        <w:t>is</w:t>
      </w:r>
      <w:r>
        <w:rPr>
          <w:spacing w:val="-3"/>
          <w:sz w:val="20"/>
        </w:rPr>
        <w:t xml:space="preserve"> </w:t>
      </w:r>
      <w:r>
        <w:rPr>
          <w:sz w:val="20"/>
        </w:rPr>
        <w:t>incorporated</w:t>
      </w:r>
      <w:r>
        <w:rPr>
          <w:spacing w:val="-1"/>
          <w:sz w:val="20"/>
        </w:rPr>
        <w:t xml:space="preserve"> </w:t>
      </w:r>
      <w:r>
        <w:rPr>
          <w:sz w:val="20"/>
        </w:rPr>
        <w:t>into</w:t>
      </w:r>
      <w:r>
        <w:rPr>
          <w:spacing w:val="-1"/>
          <w:sz w:val="20"/>
        </w:rPr>
        <w:t xml:space="preserve"> </w:t>
      </w:r>
      <w:r>
        <w:rPr>
          <w:sz w:val="20"/>
        </w:rPr>
        <w:t>section</w:t>
      </w:r>
      <w:r>
        <w:rPr>
          <w:spacing w:val="-1"/>
          <w:sz w:val="20"/>
        </w:rPr>
        <w:t xml:space="preserve"> </w:t>
      </w:r>
      <w:r>
        <w:rPr>
          <w:sz w:val="20"/>
        </w:rPr>
        <w:t>2707(b)</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PHS</w:t>
      </w:r>
      <w:r>
        <w:rPr>
          <w:spacing w:val="-2"/>
          <w:sz w:val="20"/>
        </w:rPr>
        <w:t xml:space="preserve"> </w:t>
      </w:r>
      <w:r>
        <w:rPr>
          <w:sz w:val="20"/>
        </w:rPr>
        <w:t>Act)</w:t>
      </w:r>
      <w:r>
        <w:rPr>
          <w:spacing w:val="-1"/>
          <w:sz w:val="20"/>
        </w:rPr>
        <w:t xml:space="preserve"> </w:t>
      </w:r>
      <w:r>
        <w:rPr>
          <w:sz w:val="20"/>
        </w:rPr>
        <w:t>and</w:t>
      </w:r>
      <w:r>
        <w:rPr>
          <w:spacing w:val="-1"/>
          <w:sz w:val="20"/>
        </w:rPr>
        <w:t xml:space="preserve"> </w:t>
      </w:r>
      <w:r>
        <w:rPr>
          <w:sz w:val="20"/>
        </w:rPr>
        <w:t>the</w:t>
      </w:r>
      <w:r>
        <w:rPr>
          <w:spacing w:val="-4"/>
          <w:sz w:val="20"/>
        </w:rPr>
        <w:t xml:space="preserve"> </w:t>
      </w:r>
      <w:r>
        <w:rPr>
          <w:sz w:val="20"/>
        </w:rPr>
        <w:t>prohibition</w:t>
      </w:r>
      <w:r>
        <w:rPr>
          <w:spacing w:val="-1"/>
          <w:sz w:val="20"/>
        </w:rPr>
        <w:t xml:space="preserve"> </w:t>
      </w:r>
      <w:r>
        <w:rPr>
          <w:sz w:val="20"/>
        </w:rPr>
        <w:t>of</w:t>
      </w:r>
      <w:r>
        <w:rPr>
          <w:spacing w:val="-1"/>
          <w:sz w:val="20"/>
        </w:rPr>
        <w:t xml:space="preserve"> </w:t>
      </w:r>
      <w:r>
        <w:rPr>
          <w:sz w:val="20"/>
        </w:rPr>
        <w:t>annual</w:t>
      </w:r>
      <w:r>
        <w:rPr>
          <w:spacing w:val="-5"/>
          <w:sz w:val="20"/>
        </w:rPr>
        <w:t xml:space="preserve"> </w:t>
      </w:r>
      <w:r>
        <w:rPr>
          <w:sz w:val="20"/>
        </w:rPr>
        <w:t>and</w:t>
      </w:r>
      <w:r>
        <w:rPr>
          <w:spacing w:val="-1"/>
          <w:sz w:val="20"/>
        </w:rPr>
        <w:t xml:space="preserve"> </w:t>
      </w:r>
      <w:r>
        <w:rPr>
          <w:sz w:val="20"/>
        </w:rPr>
        <w:t>lifetime</w:t>
      </w:r>
      <w:r>
        <w:rPr>
          <w:spacing w:val="-2"/>
          <w:sz w:val="20"/>
        </w:rPr>
        <w:t xml:space="preserve"> </w:t>
      </w:r>
      <w:r>
        <w:rPr>
          <w:sz w:val="20"/>
        </w:rPr>
        <w:t>dollar</w:t>
      </w:r>
      <w:r>
        <w:rPr>
          <w:spacing w:val="-4"/>
          <w:sz w:val="20"/>
        </w:rPr>
        <w:t xml:space="preserve"> </w:t>
      </w:r>
      <w:r>
        <w:rPr>
          <w:sz w:val="20"/>
        </w:rPr>
        <w:t>limits at section 2711 of the PHS Act, as added by the ACA.</w:t>
      </w:r>
    </w:p>
    <w:p w:rsidR="008406CE" w14:paraId="6C34695D" w14:textId="77777777">
      <w:pPr>
        <w:ind w:left="120" w:right="3892" w:hanging="1"/>
        <w:rPr>
          <w:sz w:val="20"/>
        </w:rPr>
      </w:pPr>
      <w:bookmarkStart w:id="12" w:name="_bookmark2"/>
      <w:bookmarkEnd w:id="12"/>
      <w:r>
        <w:rPr>
          <w:sz w:val="20"/>
          <w:vertAlign w:val="superscript"/>
        </w:rPr>
        <w:t>3</w:t>
      </w:r>
      <w:r>
        <w:rPr>
          <w:spacing w:val="-4"/>
          <w:sz w:val="20"/>
        </w:rPr>
        <w:t xml:space="preserve"> </w:t>
      </w:r>
      <w:r>
        <w:rPr>
          <w:sz w:val="20"/>
        </w:rPr>
        <w:t>The</w:t>
      </w:r>
      <w:r>
        <w:rPr>
          <w:spacing w:val="-4"/>
          <w:sz w:val="20"/>
        </w:rPr>
        <w:t xml:space="preserve"> </w:t>
      </w:r>
      <w:r>
        <w:rPr>
          <w:sz w:val="20"/>
        </w:rPr>
        <w:t>current</w:t>
      </w:r>
      <w:r>
        <w:rPr>
          <w:spacing w:val="-4"/>
          <w:sz w:val="20"/>
        </w:rPr>
        <w:t xml:space="preserve"> </w:t>
      </w:r>
      <w:r>
        <w:rPr>
          <w:sz w:val="20"/>
        </w:rPr>
        <w:t>CCIIO</w:t>
      </w:r>
      <w:r>
        <w:rPr>
          <w:spacing w:val="-4"/>
          <w:sz w:val="20"/>
        </w:rPr>
        <w:t xml:space="preserve"> </w:t>
      </w:r>
      <w:r>
        <w:rPr>
          <w:sz w:val="20"/>
        </w:rPr>
        <w:t>webpage</w:t>
      </w:r>
      <w:r>
        <w:rPr>
          <w:spacing w:val="-4"/>
          <w:sz w:val="20"/>
        </w:rPr>
        <w:t xml:space="preserve"> </w:t>
      </w:r>
      <w:r>
        <w:rPr>
          <w:sz w:val="20"/>
        </w:rPr>
        <w:t>for</w:t>
      </w:r>
      <w:r>
        <w:rPr>
          <w:spacing w:val="-3"/>
          <w:sz w:val="20"/>
        </w:rPr>
        <w:t xml:space="preserve"> </w:t>
      </w:r>
      <w:r>
        <w:rPr>
          <w:sz w:val="20"/>
        </w:rPr>
        <w:t>EHB-benchmark</w:t>
      </w:r>
      <w:r>
        <w:rPr>
          <w:spacing w:val="-5"/>
          <w:sz w:val="20"/>
        </w:rPr>
        <w:t xml:space="preserve"> </w:t>
      </w:r>
      <w:r>
        <w:rPr>
          <w:sz w:val="20"/>
        </w:rPr>
        <w:t>plans</w:t>
      </w:r>
      <w:r>
        <w:rPr>
          <w:spacing w:val="-5"/>
          <w:sz w:val="20"/>
        </w:rPr>
        <w:t xml:space="preserve"> </w:t>
      </w:r>
      <w:r>
        <w:rPr>
          <w:sz w:val="20"/>
        </w:rPr>
        <w:t>is</w:t>
      </w:r>
      <w:r>
        <w:rPr>
          <w:spacing w:val="-5"/>
          <w:sz w:val="20"/>
        </w:rPr>
        <w:t xml:space="preserve"> </w:t>
      </w:r>
      <w:r>
        <w:rPr>
          <w:sz w:val="20"/>
        </w:rPr>
        <w:t>available</w:t>
      </w:r>
      <w:r>
        <w:rPr>
          <w:spacing w:val="-4"/>
          <w:sz w:val="20"/>
        </w:rPr>
        <w:t xml:space="preserve"> </w:t>
      </w:r>
      <w:r>
        <w:rPr>
          <w:sz w:val="20"/>
        </w:rPr>
        <w:t xml:space="preserve">at: </w:t>
      </w:r>
      <w:hyperlink r:id="rId5">
        <w:r>
          <w:rPr>
            <w:color w:val="0000FF"/>
            <w:spacing w:val="-2"/>
            <w:sz w:val="20"/>
            <w:u w:val="single" w:color="0000FF"/>
          </w:rPr>
          <w:t>https://www.cms.gov/CCIIO/Resources/Data-Resources/ehb.html</w:t>
        </w:r>
        <w:r>
          <w:rPr>
            <w:spacing w:val="-2"/>
            <w:sz w:val="20"/>
          </w:rPr>
          <w:t>.</w:t>
        </w:r>
      </w:hyperlink>
    </w:p>
    <w:p w:rsidR="008406CE" w14:paraId="31BB11B1" w14:textId="77777777">
      <w:pPr>
        <w:rPr>
          <w:sz w:val="20"/>
        </w:rPr>
        <w:sectPr>
          <w:pgSz w:w="12240" w:h="15840"/>
          <w:pgMar w:top="1340" w:right="1140" w:bottom="1220" w:left="1320" w:header="0" w:footer="1022" w:gutter="0"/>
          <w:cols w:space="720"/>
        </w:sectPr>
      </w:pPr>
    </w:p>
    <w:p w:rsidR="008406CE" w14:paraId="70A28558" w14:textId="77777777">
      <w:pPr>
        <w:pStyle w:val="ListParagraph"/>
        <w:numPr>
          <w:ilvl w:val="1"/>
          <w:numId w:val="2"/>
        </w:numPr>
        <w:tabs>
          <w:tab w:val="left" w:pos="839"/>
        </w:tabs>
        <w:spacing w:before="79"/>
        <w:ind w:left="839" w:hanging="719"/>
        <w:rPr>
          <w:sz w:val="24"/>
        </w:rPr>
      </w:pPr>
      <w:bookmarkStart w:id="13" w:name="9._Payments/Gifts_to_Respondents"/>
      <w:bookmarkEnd w:id="13"/>
      <w:r>
        <w:rPr>
          <w:sz w:val="24"/>
          <w:u w:val="single"/>
        </w:rPr>
        <w:t>Payments/Gifts</w:t>
      </w:r>
      <w:r>
        <w:rPr>
          <w:spacing w:val="-4"/>
          <w:sz w:val="24"/>
          <w:u w:val="single"/>
        </w:rPr>
        <w:t xml:space="preserve"> </w:t>
      </w:r>
      <w:r>
        <w:rPr>
          <w:sz w:val="24"/>
          <w:u w:val="single"/>
        </w:rPr>
        <w:t>to</w:t>
      </w:r>
      <w:r>
        <w:rPr>
          <w:spacing w:val="-2"/>
          <w:sz w:val="24"/>
          <w:u w:val="single"/>
        </w:rPr>
        <w:t xml:space="preserve"> Respondents</w:t>
      </w:r>
    </w:p>
    <w:p w:rsidR="008406CE" w14:paraId="25E27D34" w14:textId="77777777">
      <w:pPr>
        <w:pStyle w:val="BodyText"/>
      </w:pPr>
    </w:p>
    <w:p w:rsidR="008406CE" w14:paraId="7CE9EDA8" w14:textId="77777777">
      <w:pPr>
        <w:pStyle w:val="BodyText"/>
        <w:ind w:left="120"/>
      </w:pPr>
      <w:r>
        <w:t>No</w:t>
      </w:r>
      <w:r>
        <w:rPr>
          <w:spacing w:val="-1"/>
        </w:rPr>
        <w:t xml:space="preserve"> </w:t>
      </w:r>
      <w:r>
        <w:t>payments</w:t>
      </w:r>
      <w:r>
        <w:rPr>
          <w:spacing w:val="-1"/>
        </w:rPr>
        <w:t xml:space="preserve"> </w:t>
      </w:r>
      <w:r>
        <w:t>and/or</w:t>
      </w:r>
      <w:r>
        <w:rPr>
          <w:spacing w:val="-2"/>
        </w:rPr>
        <w:t xml:space="preserve"> </w:t>
      </w:r>
      <w:r>
        <w:t>gifts were</w:t>
      </w:r>
      <w:r>
        <w:rPr>
          <w:spacing w:val="-2"/>
        </w:rPr>
        <w:t xml:space="preserve"> </w:t>
      </w:r>
      <w:r>
        <w:t>made</w:t>
      </w:r>
      <w:r>
        <w:rPr>
          <w:spacing w:val="-1"/>
        </w:rPr>
        <w:t xml:space="preserve"> </w:t>
      </w:r>
      <w:r>
        <w:t>to</w:t>
      </w:r>
      <w:r>
        <w:rPr>
          <w:spacing w:val="-1"/>
        </w:rPr>
        <w:t xml:space="preserve"> </w:t>
      </w:r>
      <w:r>
        <w:t>any</w:t>
      </w:r>
      <w:r>
        <w:rPr>
          <w:spacing w:val="-1"/>
        </w:rPr>
        <w:t xml:space="preserve"> </w:t>
      </w:r>
      <w:r>
        <w:rPr>
          <w:spacing w:val="-2"/>
        </w:rPr>
        <w:t>respondents.</w:t>
      </w:r>
    </w:p>
    <w:p w:rsidR="008406CE" w14:paraId="354F47F5" w14:textId="77777777">
      <w:pPr>
        <w:pStyle w:val="BodyText"/>
        <w:spacing w:before="9"/>
      </w:pPr>
    </w:p>
    <w:p w:rsidR="008406CE" w14:paraId="3D885AA5" w14:textId="77777777">
      <w:pPr>
        <w:pStyle w:val="ListParagraph"/>
        <w:numPr>
          <w:ilvl w:val="1"/>
          <w:numId w:val="2"/>
        </w:numPr>
        <w:tabs>
          <w:tab w:val="left" w:pos="839"/>
        </w:tabs>
        <w:spacing w:before="1"/>
        <w:ind w:left="839" w:hanging="719"/>
        <w:rPr>
          <w:sz w:val="24"/>
        </w:rPr>
      </w:pPr>
      <w:bookmarkStart w:id="14" w:name="10._Confidentiality"/>
      <w:bookmarkEnd w:id="14"/>
      <w:r>
        <w:rPr>
          <w:spacing w:val="-2"/>
          <w:sz w:val="24"/>
          <w:u w:val="single"/>
        </w:rPr>
        <w:t>Confidentiality</w:t>
      </w:r>
    </w:p>
    <w:p w:rsidR="008406CE" w14:paraId="330A4136" w14:textId="77777777">
      <w:pPr>
        <w:pStyle w:val="BodyText"/>
        <w:spacing w:before="11"/>
      </w:pPr>
    </w:p>
    <w:p w:rsidR="008406CE" w14:paraId="2B748338" w14:textId="77777777">
      <w:pPr>
        <w:pStyle w:val="BodyText"/>
        <w:spacing w:before="1"/>
        <w:ind w:left="120" w:right="314"/>
      </w:pPr>
      <w:r>
        <w:t>All</w:t>
      </w:r>
      <w:r>
        <w:rPr>
          <w:spacing w:val="-3"/>
        </w:rPr>
        <w:t xml:space="preserve"> </w:t>
      </w:r>
      <w:r>
        <w:t>information</w:t>
      </w:r>
      <w:r>
        <w:rPr>
          <w:spacing w:val="-3"/>
        </w:rPr>
        <w:t xml:space="preserve"> </w:t>
      </w:r>
      <w:r>
        <w:t>collected</w:t>
      </w:r>
      <w:r>
        <w:rPr>
          <w:spacing w:val="-1"/>
        </w:rPr>
        <w:t xml:space="preserve"> </w:t>
      </w:r>
      <w:r>
        <w:t>will</w:t>
      </w:r>
      <w:r>
        <w:rPr>
          <w:spacing w:val="-3"/>
        </w:rPr>
        <w:t xml:space="preserve"> </w:t>
      </w:r>
      <w:r>
        <w:t>be</w:t>
      </w:r>
      <w:r>
        <w:rPr>
          <w:spacing w:val="-4"/>
        </w:rPr>
        <w:t xml:space="preserve"> </w:t>
      </w:r>
      <w:r>
        <w:t>kept</w:t>
      </w:r>
      <w:r>
        <w:rPr>
          <w:spacing w:val="-3"/>
        </w:rPr>
        <w:t xml:space="preserve"> </w:t>
      </w:r>
      <w:r>
        <w:t>private</w:t>
      </w:r>
      <w:r>
        <w:rPr>
          <w:spacing w:val="-4"/>
        </w:rPr>
        <w:t xml:space="preserve"> </w:t>
      </w:r>
      <w:r>
        <w:t>in</w:t>
      </w:r>
      <w:r>
        <w:rPr>
          <w:spacing w:val="-3"/>
        </w:rPr>
        <w:t xml:space="preserve"> </w:t>
      </w:r>
      <w:r>
        <w:t>accordance</w:t>
      </w:r>
      <w:r>
        <w:rPr>
          <w:spacing w:val="-4"/>
        </w:rPr>
        <w:t xml:space="preserve"> </w:t>
      </w:r>
      <w:r>
        <w:t>with</w:t>
      </w:r>
      <w:r>
        <w:rPr>
          <w:spacing w:val="-3"/>
        </w:rPr>
        <w:t xml:space="preserve"> </w:t>
      </w:r>
      <w:r>
        <w:t>regulations</w:t>
      </w:r>
      <w:r>
        <w:rPr>
          <w:spacing w:val="-3"/>
        </w:rPr>
        <w:t xml:space="preserve"> </w:t>
      </w:r>
      <w:r>
        <w:t>at</w:t>
      </w:r>
      <w:r>
        <w:rPr>
          <w:spacing w:val="-3"/>
        </w:rPr>
        <w:t xml:space="preserve"> </w:t>
      </w:r>
      <w:r>
        <w:t>45</w:t>
      </w:r>
      <w:r>
        <w:rPr>
          <w:spacing w:val="-3"/>
        </w:rPr>
        <w:t xml:space="preserve"> </w:t>
      </w:r>
      <w:r>
        <w:t>CFR</w:t>
      </w:r>
      <w:r>
        <w:rPr>
          <w:spacing w:val="-3"/>
        </w:rPr>
        <w:t xml:space="preserve"> </w:t>
      </w:r>
      <w:r>
        <w:t>155.260, Privacy and Security of Personally Identifiable Information. Pursuant to this regulation, Marketplaces</w:t>
      </w:r>
      <w:r>
        <w:rPr>
          <w:spacing w:val="-3"/>
        </w:rPr>
        <w:t xml:space="preserve"> </w:t>
      </w:r>
      <w:r>
        <w:t>may</w:t>
      </w:r>
      <w:r>
        <w:rPr>
          <w:spacing w:val="-3"/>
        </w:rPr>
        <w:t xml:space="preserve"> </w:t>
      </w:r>
      <w:r>
        <w:t>only</w:t>
      </w:r>
      <w:r>
        <w:rPr>
          <w:spacing w:val="-3"/>
        </w:rPr>
        <w:t xml:space="preserve"> </w:t>
      </w:r>
      <w:r>
        <w:t>use</w:t>
      </w:r>
      <w:r>
        <w:rPr>
          <w:spacing w:val="-4"/>
        </w:rPr>
        <w:t xml:space="preserve"> </w:t>
      </w:r>
      <w:r>
        <w:t>or</w:t>
      </w:r>
      <w:r>
        <w:rPr>
          <w:spacing w:val="-4"/>
        </w:rPr>
        <w:t xml:space="preserve"> </w:t>
      </w:r>
      <w:r>
        <w:t>disclose</w:t>
      </w:r>
      <w:r>
        <w:rPr>
          <w:spacing w:val="-4"/>
        </w:rPr>
        <w:t xml:space="preserve"> </w:t>
      </w:r>
      <w:r>
        <w:t>personally</w:t>
      </w:r>
      <w:r>
        <w:rPr>
          <w:spacing w:val="-3"/>
        </w:rPr>
        <w:t xml:space="preserve"> </w:t>
      </w:r>
      <w:r>
        <w:t>identifiable</w:t>
      </w:r>
      <w:r>
        <w:rPr>
          <w:spacing w:val="-4"/>
        </w:rPr>
        <w:t xml:space="preserve"> </w:t>
      </w:r>
      <w:r>
        <w:t>information</w:t>
      </w:r>
      <w:r>
        <w:rPr>
          <w:spacing w:val="-3"/>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such information is necessary to carry out their statutory and regulatory mandated functions.</w:t>
      </w:r>
    </w:p>
    <w:p w:rsidR="008406CE" w14:paraId="2FDAC393" w14:textId="77777777">
      <w:pPr>
        <w:pStyle w:val="BodyText"/>
        <w:spacing w:before="7"/>
      </w:pPr>
    </w:p>
    <w:p w:rsidR="008406CE" w14:paraId="768DBC22" w14:textId="77777777">
      <w:pPr>
        <w:pStyle w:val="ListParagraph"/>
        <w:numPr>
          <w:ilvl w:val="1"/>
          <w:numId w:val="2"/>
        </w:numPr>
        <w:tabs>
          <w:tab w:val="left" w:pos="839"/>
        </w:tabs>
        <w:ind w:left="839" w:hanging="719"/>
        <w:rPr>
          <w:sz w:val="24"/>
        </w:rPr>
      </w:pPr>
      <w:bookmarkStart w:id="15" w:name="11._Sensitive_Questions"/>
      <w:bookmarkEnd w:id="15"/>
      <w:r>
        <w:rPr>
          <w:sz w:val="24"/>
          <w:u w:val="single"/>
        </w:rPr>
        <w:t>Sensitive</w:t>
      </w:r>
      <w:r>
        <w:rPr>
          <w:spacing w:val="-3"/>
          <w:sz w:val="24"/>
          <w:u w:val="single"/>
        </w:rPr>
        <w:t xml:space="preserve"> </w:t>
      </w:r>
      <w:r>
        <w:rPr>
          <w:spacing w:val="-2"/>
          <w:sz w:val="24"/>
          <w:u w:val="single"/>
        </w:rPr>
        <w:t>Questions</w:t>
      </w:r>
    </w:p>
    <w:p w:rsidR="008406CE" w14:paraId="36776D79" w14:textId="77777777">
      <w:pPr>
        <w:pStyle w:val="BodyText"/>
        <w:spacing w:before="5"/>
      </w:pPr>
    </w:p>
    <w:p w:rsidR="008406CE" w14:paraId="1EAF7E05" w14:textId="77777777">
      <w:pPr>
        <w:pStyle w:val="BodyText"/>
        <w:ind w:left="120"/>
      </w:pPr>
      <w:r>
        <w:t>No</w:t>
      </w:r>
      <w:r>
        <w:rPr>
          <w:spacing w:val="-4"/>
        </w:rPr>
        <w:t xml:space="preserve"> </w:t>
      </w:r>
      <w:r>
        <w:t>sensitive</w:t>
      </w:r>
      <w:r>
        <w:rPr>
          <w:spacing w:val="-2"/>
        </w:rPr>
        <w:t xml:space="preserve"> </w:t>
      </w:r>
      <w:r>
        <w:t>questions</w:t>
      </w:r>
      <w:r>
        <w:rPr>
          <w:spacing w:val="-1"/>
        </w:rPr>
        <w:t xml:space="preserve"> </w:t>
      </w:r>
      <w:r>
        <w:t>are</w:t>
      </w:r>
      <w:r>
        <w:rPr>
          <w:spacing w:val="-3"/>
        </w:rPr>
        <w:t xml:space="preserve"> </w:t>
      </w:r>
      <w:r>
        <w:t>asked</w:t>
      </w:r>
      <w:r>
        <w:rPr>
          <w:spacing w:val="-1"/>
        </w:rPr>
        <w:t xml:space="preserve"> </w:t>
      </w:r>
      <w:r>
        <w:t>in</w:t>
      </w:r>
      <w:r>
        <w:rPr>
          <w:spacing w:val="-1"/>
        </w:rPr>
        <w:t xml:space="preserve"> </w:t>
      </w:r>
      <w:r>
        <w:t>this</w:t>
      </w:r>
      <w:r>
        <w:rPr>
          <w:spacing w:val="-2"/>
        </w:rPr>
        <w:t xml:space="preserve"> </w:t>
      </w:r>
      <w:r>
        <w:t>information</w:t>
      </w:r>
      <w:r>
        <w:rPr>
          <w:spacing w:val="-1"/>
        </w:rPr>
        <w:t xml:space="preserve"> </w:t>
      </w:r>
      <w:r>
        <w:t>collection</w:t>
      </w:r>
      <w:r>
        <w:rPr>
          <w:spacing w:val="-1"/>
        </w:rPr>
        <w:t xml:space="preserve"> </w:t>
      </w:r>
      <w:r>
        <w:rPr>
          <w:spacing w:val="-2"/>
        </w:rPr>
        <w:t>effort.</w:t>
      </w:r>
    </w:p>
    <w:p w:rsidR="008406CE" w14:paraId="4D824F19" w14:textId="77777777">
      <w:pPr>
        <w:pStyle w:val="BodyText"/>
        <w:spacing w:before="7"/>
      </w:pPr>
    </w:p>
    <w:p w:rsidR="008406CE" w14:paraId="1B213E49" w14:textId="77777777">
      <w:pPr>
        <w:pStyle w:val="ListParagraph"/>
        <w:numPr>
          <w:ilvl w:val="1"/>
          <w:numId w:val="2"/>
        </w:numPr>
        <w:tabs>
          <w:tab w:val="left" w:pos="839"/>
        </w:tabs>
        <w:ind w:left="839" w:hanging="719"/>
        <w:rPr>
          <w:sz w:val="24"/>
        </w:rPr>
      </w:pPr>
      <w:bookmarkStart w:id="16" w:name="12._Burden_Estimates_(Hours_&amp;_Wages)"/>
      <w:bookmarkEnd w:id="16"/>
      <w:r>
        <w:rPr>
          <w:sz w:val="24"/>
          <w:u w:val="single"/>
        </w:rPr>
        <w:t>Burden</w:t>
      </w:r>
      <w:r>
        <w:rPr>
          <w:spacing w:val="-2"/>
          <w:sz w:val="24"/>
          <w:u w:val="single"/>
        </w:rPr>
        <w:t xml:space="preserve"> </w:t>
      </w:r>
      <w:r>
        <w:rPr>
          <w:sz w:val="24"/>
          <w:u w:val="single"/>
        </w:rPr>
        <w:t>Estimates</w:t>
      </w:r>
      <w:r>
        <w:rPr>
          <w:spacing w:val="-2"/>
          <w:sz w:val="24"/>
          <w:u w:val="single"/>
        </w:rPr>
        <w:t xml:space="preserve"> </w:t>
      </w:r>
      <w:r>
        <w:rPr>
          <w:sz w:val="24"/>
          <w:u w:val="single"/>
        </w:rPr>
        <w:t>(Hours</w:t>
      </w:r>
      <w:r>
        <w:rPr>
          <w:spacing w:val="-1"/>
          <w:sz w:val="24"/>
          <w:u w:val="single"/>
        </w:rPr>
        <w:t xml:space="preserve"> </w:t>
      </w:r>
      <w:r>
        <w:rPr>
          <w:sz w:val="24"/>
          <w:u w:val="single"/>
        </w:rPr>
        <w:t>&amp;</w:t>
      </w:r>
      <w:r>
        <w:rPr>
          <w:spacing w:val="-1"/>
          <w:sz w:val="24"/>
          <w:u w:val="single"/>
        </w:rPr>
        <w:t xml:space="preserve"> </w:t>
      </w:r>
      <w:r>
        <w:rPr>
          <w:spacing w:val="-2"/>
          <w:sz w:val="24"/>
          <w:u w:val="single"/>
        </w:rPr>
        <w:t>Wages)</w:t>
      </w:r>
    </w:p>
    <w:p w:rsidR="008406CE" w14:paraId="655F45F1" w14:textId="77777777">
      <w:pPr>
        <w:pStyle w:val="BodyText"/>
        <w:spacing w:before="2"/>
      </w:pPr>
    </w:p>
    <w:p w:rsidR="008406CE" w14:paraId="130B1D13" w14:textId="77777777">
      <w:pPr>
        <w:pStyle w:val="BodyText"/>
        <w:ind w:left="119" w:right="419"/>
      </w:pPr>
      <w:r>
        <w:t>The following section of this document contains estimates of burden imposed by the associated information</w:t>
      </w:r>
      <w:r>
        <w:rPr>
          <w:spacing w:val="-7"/>
        </w:rPr>
        <w:t xml:space="preserve"> </w:t>
      </w:r>
      <w:r>
        <w:t>collection</w:t>
      </w:r>
      <w:r>
        <w:rPr>
          <w:spacing w:val="-7"/>
        </w:rPr>
        <w:t xml:space="preserve"> </w:t>
      </w:r>
      <w:r>
        <w:t>requirements.</w:t>
      </w:r>
      <w:r>
        <w:rPr>
          <w:spacing w:val="-4"/>
        </w:rPr>
        <w:t xml:space="preserve"> </w:t>
      </w:r>
      <w:r>
        <w:t>Average</w:t>
      </w:r>
      <w:r>
        <w:rPr>
          <w:spacing w:val="-5"/>
        </w:rPr>
        <w:t xml:space="preserve"> </w:t>
      </w:r>
      <w:r>
        <w:t>labor</w:t>
      </w:r>
      <w:r>
        <w:rPr>
          <w:spacing w:val="-5"/>
        </w:rPr>
        <w:t xml:space="preserve"> </w:t>
      </w:r>
      <w:r>
        <w:t>costs</w:t>
      </w:r>
      <w:r>
        <w:rPr>
          <w:spacing w:val="-4"/>
        </w:rPr>
        <w:t xml:space="preserve"> </w:t>
      </w:r>
      <w:r>
        <w:t>(including</w:t>
      </w:r>
      <w:r>
        <w:rPr>
          <w:spacing w:val="-4"/>
        </w:rPr>
        <w:t xml:space="preserve"> </w:t>
      </w:r>
      <w:r>
        <w:t>100</w:t>
      </w:r>
      <w:r>
        <w:rPr>
          <w:spacing w:val="-4"/>
        </w:rPr>
        <w:t xml:space="preserve"> </w:t>
      </w:r>
      <w:r>
        <w:t>percent</w:t>
      </w:r>
      <w:r>
        <w:rPr>
          <w:spacing w:val="-2"/>
        </w:rPr>
        <w:t xml:space="preserve"> </w:t>
      </w:r>
      <w:r>
        <w:t>fringe</w:t>
      </w:r>
      <w:r>
        <w:rPr>
          <w:spacing w:val="-5"/>
        </w:rPr>
        <w:t xml:space="preserve"> </w:t>
      </w:r>
      <w:r>
        <w:t xml:space="preserve">benefits) used to estimate the costs are calculated using data available from the May 2022 National Industry-Specific Occupational Employment and Wage Estimates from the Bureau of Labor Statistics (BLS) website: </w:t>
      </w:r>
      <w:hyperlink r:id="rId6" w:anchor="11-0000">
        <w:r>
          <w:rPr>
            <w:color w:val="0000FF"/>
            <w:u w:val="single" w:color="0000FF"/>
          </w:rPr>
          <w:t>https://www.bls.gov/oes/current/naics4_999200.htm#11-0000</w:t>
        </w:r>
        <w:r>
          <w:t>.</w:t>
        </w:r>
      </w:hyperlink>
    </w:p>
    <w:p w:rsidR="008406CE" w14:paraId="2C67124F" w14:textId="77777777">
      <w:pPr>
        <w:pStyle w:val="BodyText"/>
        <w:spacing w:before="5"/>
      </w:pPr>
    </w:p>
    <w:p w:rsidR="008406CE" w14:paraId="09362137" w14:textId="77777777">
      <w:pPr>
        <w:pStyle w:val="Heading1"/>
      </w:pPr>
      <w:r>
        <w:t>Table</w:t>
      </w:r>
      <w:r>
        <w:rPr>
          <w:spacing w:val="-5"/>
        </w:rPr>
        <w:t xml:space="preserve"> </w:t>
      </w:r>
      <w:r>
        <w:t>1:</w:t>
      </w:r>
      <w:r>
        <w:rPr>
          <w:spacing w:val="-2"/>
        </w:rPr>
        <w:t xml:space="preserve"> </w:t>
      </w:r>
      <w:r>
        <w:t>Adjusted</w:t>
      </w:r>
      <w:r>
        <w:rPr>
          <w:spacing w:val="-1"/>
        </w:rPr>
        <w:t xml:space="preserve"> </w:t>
      </w:r>
      <w:r>
        <w:t>Hourly</w:t>
      </w:r>
      <w:r>
        <w:rPr>
          <w:spacing w:val="-1"/>
        </w:rPr>
        <w:t xml:space="preserve"> </w:t>
      </w:r>
      <w:r>
        <w:t>Wages</w:t>
      </w:r>
      <w:r>
        <w:rPr>
          <w:spacing w:val="-2"/>
        </w:rPr>
        <w:t xml:space="preserve"> </w:t>
      </w:r>
      <w:r>
        <w:t>Used</w:t>
      </w:r>
      <w:r>
        <w:rPr>
          <w:spacing w:val="-1"/>
        </w:rPr>
        <w:t xml:space="preserve"> </w:t>
      </w:r>
      <w:r>
        <w:t>in</w:t>
      </w:r>
      <w:r>
        <w:rPr>
          <w:spacing w:val="-1"/>
        </w:rPr>
        <w:t xml:space="preserve"> </w:t>
      </w:r>
      <w:r>
        <w:t>Burden</w:t>
      </w:r>
      <w:r>
        <w:rPr>
          <w:spacing w:val="-1"/>
        </w:rPr>
        <w:t xml:space="preserve"> </w:t>
      </w:r>
      <w:r>
        <w:rPr>
          <w:spacing w:val="-2"/>
        </w:rPr>
        <w:t>Estimates</w:t>
      </w:r>
    </w:p>
    <w:p w:rsidR="008406CE" w14:paraId="7CA4FD83" w14:textId="77777777">
      <w:pPr>
        <w:pStyle w:val="BodyText"/>
        <w:spacing w:before="47"/>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528"/>
        <w:gridCol w:w="1619"/>
        <w:gridCol w:w="1710"/>
        <w:gridCol w:w="1528"/>
      </w:tblGrid>
      <w:tr w14:paraId="28A9A187"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3146" w:type="dxa"/>
          </w:tcPr>
          <w:p w:rsidR="008406CE" w14:paraId="609E962E" w14:textId="77777777">
            <w:pPr>
              <w:pStyle w:val="TableParagraph"/>
              <w:spacing w:before="138"/>
              <w:jc w:val="left"/>
              <w:rPr>
                <w:b/>
                <w:sz w:val="24"/>
              </w:rPr>
            </w:pPr>
          </w:p>
          <w:p w:rsidR="008406CE" w14:paraId="3EF44BD6" w14:textId="77777777">
            <w:pPr>
              <w:pStyle w:val="TableParagraph"/>
              <w:ind w:left="95"/>
              <w:jc w:val="left"/>
              <w:rPr>
                <w:b/>
                <w:sz w:val="24"/>
              </w:rPr>
            </w:pPr>
            <w:r>
              <w:rPr>
                <w:b/>
                <w:sz w:val="24"/>
              </w:rPr>
              <w:t>Occupation</w:t>
            </w:r>
            <w:r>
              <w:rPr>
                <w:b/>
                <w:spacing w:val="-3"/>
                <w:sz w:val="24"/>
              </w:rPr>
              <w:t xml:space="preserve"> </w:t>
            </w:r>
            <w:r>
              <w:rPr>
                <w:b/>
                <w:spacing w:val="-2"/>
                <w:sz w:val="24"/>
              </w:rPr>
              <w:t>Title</w:t>
            </w:r>
          </w:p>
        </w:tc>
        <w:tc>
          <w:tcPr>
            <w:tcW w:w="1528" w:type="dxa"/>
          </w:tcPr>
          <w:p w:rsidR="008406CE" w14:paraId="3D0E2483" w14:textId="77777777">
            <w:pPr>
              <w:pStyle w:val="TableParagraph"/>
              <w:spacing w:before="275"/>
              <w:ind w:left="456" w:hanging="420"/>
              <w:jc w:val="left"/>
              <w:rPr>
                <w:b/>
                <w:sz w:val="24"/>
              </w:rPr>
            </w:pPr>
            <w:r>
              <w:rPr>
                <w:b/>
                <w:spacing w:val="-2"/>
                <w:sz w:val="24"/>
              </w:rPr>
              <w:t xml:space="preserve">Occupational </w:t>
            </w:r>
            <w:r>
              <w:rPr>
                <w:b/>
                <w:spacing w:val="-4"/>
                <w:sz w:val="24"/>
              </w:rPr>
              <w:t>Code</w:t>
            </w:r>
          </w:p>
        </w:tc>
        <w:tc>
          <w:tcPr>
            <w:tcW w:w="1619" w:type="dxa"/>
          </w:tcPr>
          <w:p w:rsidR="008406CE" w14:paraId="629B9246" w14:textId="77777777">
            <w:pPr>
              <w:pStyle w:val="TableParagraph"/>
              <w:spacing w:before="138"/>
              <w:ind w:left="80" w:right="145" w:hanging="5"/>
              <w:rPr>
                <w:b/>
                <w:sz w:val="24"/>
              </w:rPr>
            </w:pPr>
            <w:r>
              <w:rPr>
                <w:b/>
                <w:spacing w:val="-2"/>
                <w:sz w:val="24"/>
              </w:rPr>
              <w:t xml:space="preserve">Median </w:t>
            </w:r>
            <w:r>
              <w:rPr>
                <w:b/>
                <w:sz w:val="24"/>
              </w:rPr>
              <w:t>Hourly</w:t>
            </w:r>
            <w:r>
              <w:rPr>
                <w:b/>
                <w:spacing w:val="-15"/>
                <w:sz w:val="24"/>
              </w:rPr>
              <w:t xml:space="preserve"> </w:t>
            </w:r>
            <w:r>
              <w:rPr>
                <w:b/>
                <w:sz w:val="24"/>
              </w:rPr>
              <w:t xml:space="preserve">Wage </w:t>
            </w:r>
            <w:r>
              <w:rPr>
                <w:b/>
                <w:spacing w:val="-2"/>
                <w:sz w:val="24"/>
              </w:rPr>
              <w:t>($/hour)</w:t>
            </w:r>
          </w:p>
        </w:tc>
        <w:tc>
          <w:tcPr>
            <w:tcW w:w="1710" w:type="dxa"/>
          </w:tcPr>
          <w:p w:rsidR="008406CE" w14:paraId="05477BB9" w14:textId="77777777">
            <w:pPr>
              <w:pStyle w:val="TableParagraph"/>
              <w:ind w:right="67"/>
              <w:rPr>
                <w:b/>
                <w:sz w:val="24"/>
              </w:rPr>
            </w:pPr>
            <w:r>
              <w:rPr>
                <w:b/>
                <w:sz w:val="24"/>
              </w:rPr>
              <w:t>Fringe</w:t>
            </w:r>
            <w:r>
              <w:rPr>
                <w:b/>
                <w:spacing w:val="-15"/>
                <w:sz w:val="24"/>
              </w:rPr>
              <w:t xml:space="preserve"> </w:t>
            </w:r>
            <w:r>
              <w:rPr>
                <w:b/>
                <w:sz w:val="24"/>
              </w:rPr>
              <w:t xml:space="preserve">Benefits &amp; Overhead </w:t>
            </w:r>
            <w:r>
              <w:rPr>
                <w:b/>
                <w:spacing w:val="-2"/>
                <w:sz w:val="24"/>
              </w:rPr>
              <w:t>(100%)</w:t>
            </w:r>
          </w:p>
          <w:p w:rsidR="008406CE" w14:paraId="22621817" w14:textId="77777777">
            <w:pPr>
              <w:pStyle w:val="TableParagraph"/>
              <w:spacing w:line="257" w:lineRule="exact"/>
              <w:ind w:left="1" w:right="67"/>
              <w:rPr>
                <w:b/>
                <w:sz w:val="24"/>
              </w:rPr>
            </w:pPr>
            <w:r>
              <w:rPr>
                <w:b/>
                <w:spacing w:val="-2"/>
                <w:sz w:val="24"/>
              </w:rPr>
              <w:t>($/hour)</w:t>
            </w:r>
          </w:p>
        </w:tc>
        <w:tc>
          <w:tcPr>
            <w:tcW w:w="1528" w:type="dxa"/>
          </w:tcPr>
          <w:p w:rsidR="008406CE" w14:paraId="2842E075" w14:textId="77777777">
            <w:pPr>
              <w:pStyle w:val="TableParagraph"/>
              <w:spacing w:before="138"/>
              <w:ind w:left="36" w:right="98" w:hanging="2"/>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r>
      <w:tr w14:paraId="14889F23" w14:textId="77777777">
        <w:tblPrEx>
          <w:tblW w:w="0" w:type="auto"/>
          <w:tblInd w:w="129" w:type="dxa"/>
          <w:tblLayout w:type="fixed"/>
          <w:tblCellMar>
            <w:left w:w="0" w:type="dxa"/>
            <w:right w:w="0" w:type="dxa"/>
          </w:tblCellMar>
          <w:tblLook w:val="01E0"/>
        </w:tblPrEx>
        <w:trPr>
          <w:trHeight w:val="827"/>
        </w:trPr>
        <w:tc>
          <w:tcPr>
            <w:tcW w:w="3146" w:type="dxa"/>
          </w:tcPr>
          <w:p w:rsidR="008406CE" w14:paraId="0EA6744A" w14:textId="77777777">
            <w:pPr>
              <w:pStyle w:val="TableParagraph"/>
              <w:spacing w:line="276" w:lineRule="exact"/>
              <w:ind w:left="95" w:right="74"/>
              <w:jc w:val="left"/>
              <w:rPr>
                <w:sz w:val="24"/>
              </w:rPr>
            </w:pPr>
            <w:r>
              <w:rPr>
                <w:sz w:val="24"/>
              </w:rPr>
              <w:t>Financial</w:t>
            </w:r>
            <w:r>
              <w:rPr>
                <w:spacing w:val="-15"/>
                <w:sz w:val="24"/>
              </w:rPr>
              <w:t xml:space="preserve"> </w:t>
            </w:r>
            <w:r>
              <w:rPr>
                <w:sz w:val="24"/>
              </w:rPr>
              <w:t>Examiners</w:t>
            </w:r>
            <w:r>
              <w:rPr>
                <w:spacing w:val="-15"/>
                <w:sz w:val="24"/>
              </w:rPr>
              <w:t xml:space="preserve"> </w:t>
            </w:r>
            <w:r>
              <w:rPr>
                <w:sz w:val="24"/>
              </w:rPr>
              <w:t>(State Government, excluding schools and hospitals)</w:t>
            </w:r>
          </w:p>
        </w:tc>
        <w:tc>
          <w:tcPr>
            <w:tcW w:w="1528" w:type="dxa"/>
          </w:tcPr>
          <w:p w:rsidR="008406CE" w14:paraId="22C7EFDC" w14:textId="77777777">
            <w:pPr>
              <w:pStyle w:val="TableParagraph"/>
              <w:spacing w:line="275" w:lineRule="exact"/>
              <w:ind w:left="7" w:right="6"/>
              <w:rPr>
                <w:sz w:val="24"/>
              </w:rPr>
            </w:pPr>
            <w:r>
              <w:rPr>
                <w:spacing w:val="-2"/>
                <w:sz w:val="24"/>
              </w:rPr>
              <w:t>13-</w:t>
            </w:r>
            <w:r>
              <w:rPr>
                <w:spacing w:val="-4"/>
                <w:sz w:val="24"/>
              </w:rPr>
              <w:t>2061</w:t>
            </w:r>
          </w:p>
        </w:tc>
        <w:tc>
          <w:tcPr>
            <w:tcW w:w="1619" w:type="dxa"/>
          </w:tcPr>
          <w:p w:rsidR="008406CE" w14:paraId="6B498E81" w14:textId="77777777">
            <w:pPr>
              <w:pStyle w:val="TableParagraph"/>
              <w:spacing w:line="275" w:lineRule="exact"/>
              <w:ind w:left="3"/>
              <w:rPr>
                <w:sz w:val="24"/>
              </w:rPr>
            </w:pPr>
            <w:r>
              <w:rPr>
                <w:spacing w:val="-2"/>
                <w:sz w:val="24"/>
              </w:rPr>
              <w:t>$39.52</w:t>
            </w:r>
          </w:p>
        </w:tc>
        <w:tc>
          <w:tcPr>
            <w:tcW w:w="1710" w:type="dxa"/>
          </w:tcPr>
          <w:p w:rsidR="008406CE" w14:paraId="7FECE4EB" w14:textId="77777777">
            <w:pPr>
              <w:pStyle w:val="TableParagraph"/>
              <w:spacing w:line="275" w:lineRule="exact"/>
              <w:rPr>
                <w:sz w:val="24"/>
              </w:rPr>
            </w:pPr>
            <w:r>
              <w:rPr>
                <w:spacing w:val="-2"/>
                <w:sz w:val="24"/>
              </w:rPr>
              <w:t>$39.52</w:t>
            </w:r>
          </w:p>
        </w:tc>
        <w:tc>
          <w:tcPr>
            <w:tcW w:w="1528" w:type="dxa"/>
          </w:tcPr>
          <w:p w:rsidR="008406CE" w14:paraId="3E170787" w14:textId="77777777">
            <w:pPr>
              <w:pStyle w:val="TableParagraph"/>
              <w:spacing w:line="275" w:lineRule="exact"/>
              <w:ind w:left="7"/>
              <w:rPr>
                <w:sz w:val="24"/>
              </w:rPr>
            </w:pPr>
            <w:r>
              <w:rPr>
                <w:spacing w:val="-2"/>
                <w:sz w:val="24"/>
              </w:rPr>
              <w:t>$79.04</w:t>
            </w:r>
          </w:p>
        </w:tc>
      </w:tr>
      <w:tr w14:paraId="08ACC3C6" w14:textId="77777777">
        <w:tblPrEx>
          <w:tblW w:w="0" w:type="auto"/>
          <w:tblInd w:w="129" w:type="dxa"/>
          <w:tblLayout w:type="fixed"/>
          <w:tblCellMar>
            <w:left w:w="0" w:type="dxa"/>
            <w:right w:w="0" w:type="dxa"/>
          </w:tblCellMar>
          <w:tblLook w:val="01E0"/>
        </w:tblPrEx>
        <w:trPr>
          <w:trHeight w:val="553"/>
        </w:trPr>
        <w:tc>
          <w:tcPr>
            <w:tcW w:w="3146" w:type="dxa"/>
          </w:tcPr>
          <w:p w:rsidR="008406CE" w14:paraId="584DB411" w14:textId="77777777">
            <w:pPr>
              <w:pStyle w:val="TableParagraph"/>
              <w:spacing w:line="270" w:lineRule="atLeast"/>
              <w:ind w:left="95"/>
              <w:jc w:val="left"/>
              <w:rPr>
                <w:sz w:val="24"/>
              </w:rPr>
            </w:pPr>
            <w:r>
              <w:rPr>
                <w:sz w:val="24"/>
              </w:rPr>
              <w:t>Actuary</w:t>
            </w:r>
            <w:r>
              <w:rPr>
                <w:spacing w:val="-13"/>
                <w:sz w:val="24"/>
              </w:rPr>
              <w:t xml:space="preserve"> </w:t>
            </w:r>
            <w:r>
              <w:rPr>
                <w:sz w:val="24"/>
              </w:rPr>
              <w:t>(Member</w:t>
            </w:r>
            <w:r>
              <w:rPr>
                <w:spacing w:val="-14"/>
                <w:sz w:val="24"/>
              </w:rPr>
              <w:t xml:space="preserve"> </w:t>
            </w:r>
            <w:r>
              <w:rPr>
                <w:sz w:val="24"/>
              </w:rPr>
              <w:t>of</w:t>
            </w:r>
            <w:r>
              <w:rPr>
                <w:spacing w:val="-14"/>
                <w:sz w:val="24"/>
              </w:rPr>
              <w:t xml:space="preserve"> </w:t>
            </w:r>
            <w:r>
              <w:rPr>
                <w:sz w:val="24"/>
              </w:rPr>
              <w:t>American Academy of Actuaries)</w:t>
            </w:r>
          </w:p>
        </w:tc>
        <w:tc>
          <w:tcPr>
            <w:tcW w:w="1528" w:type="dxa"/>
          </w:tcPr>
          <w:p w:rsidR="008406CE" w14:paraId="3801CC6A" w14:textId="77777777">
            <w:pPr>
              <w:pStyle w:val="TableParagraph"/>
              <w:spacing w:before="1"/>
              <w:ind w:left="7" w:right="6"/>
              <w:rPr>
                <w:sz w:val="24"/>
              </w:rPr>
            </w:pPr>
            <w:r>
              <w:rPr>
                <w:spacing w:val="-2"/>
                <w:sz w:val="24"/>
              </w:rPr>
              <w:t>15-</w:t>
            </w:r>
            <w:r>
              <w:rPr>
                <w:spacing w:val="-4"/>
                <w:sz w:val="24"/>
              </w:rPr>
              <w:t>2011</w:t>
            </w:r>
          </w:p>
        </w:tc>
        <w:tc>
          <w:tcPr>
            <w:tcW w:w="1619" w:type="dxa"/>
          </w:tcPr>
          <w:p w:rsidR="008406CE" w14:paraId="380BC8FD" w14:textId="77777777">
            <w:pPr>
              <w:pStyle w:val="TableParagraph"/>
              <w:spacing w:before="1"/>
              <w:ind w:left="3"/>
              <w:rPr>
                <w:sz w:val="24"/>
              </w:rPr>
            </w:pPr>
            <w:r>
              <w:rPr>
                <w:spacing w:val="-2"/>
                <w:sz w:val="24"/>
              </w:rPr>
              <w:t>$54.80</w:t>
            </w:r>
          </w:p>
        </w:tc>
        <w:tc>
          <w:tcPr>
            <w:tcW w:w="1710" w:type="dxa"/>
          </w:tcPr>
          <w:p w:rsidR="008406CE" w14:paraId="372A5A84" w14:textId="77777777">
            <w:pPr>
              <w:pStyle w:val="TableParagraph"/>
              <w:spacing w:before="1"/>
              <w:rPr>
                <w:sz w:val="24"/>
              </w:rPr>
            </w:pPr>
            <w:r>
              <w:rPr>
                <w:spacing w:val="-2"/>
                <w:sz w:val="24"/>
              </w:rPr>
              <w:t>$54.80</w:t>
            </w:r>
          </w:p>
        </w:tc>
        <w:tc>
          <w:tcPr>
            <w:tcW w:w="1528" w:type="dxa"/>
          </w:tcPr>
          <w:p w:rsidR="008406CE" w14:paraId="6EDF542A" w14:textId="77777777">
            <w:pPr>
              <w:pStyle w:val="TableParagraph"/>
              <w:spacing w:before="1"/>
              <w:ind w:left="7"/>
              <w:rPr>
                <w:sz w:val="24"/>
              </w:rPr>
            </w:pPr>
            <w:r>
              <w:rPr>
                <w:spacing w:val="-2"/>
                <w:sz w:val="24"/>
              </w:rPr>
              <w:t>$109.60</w:t>
            </w:r>
          </w:p>
        </w:tc>
      </w:tr>
    </w:tbl>
    <w:p w:rsidR="008406CE" w14:paraId="66DF47C9" w14:textId="77777777">
      <w:pPr>
        <w:pStyle w:val="BodyText"/>
        <w:spacing w:before="3"/>
        <w:rPr>
          <w:b/>
        </w:rPr>
      </w:pPr>
    </w:p>
    <w:p w:rsidR="008406CE" w14:paraId="1ED1E774" w14:textId="77777777">
      <w:pPr>
        <w:pStyle w:val="BodyText"/>
        <w:ind w:left="120" w:right="395"/>
      </w:pPr>
      <w:r>
        <w:t>This</w:t>
      </w:r>
      <w:r>
        <w:rPr>
          <w:spacing w:val="-3"/>
        </w:rPr>
        <w:t xml:space="preserve"> </w:t>
      </w:r>
      <w:r>
        <w:t>burden</w:t>
      </w:r>
      <w:r>
        <w:rPr>
          <w:spacing w:val="-3"/>
        </w:rPr>
        <w:t xml:space="preserve"> </w:t>
      </w:r>
      <w:r>
        <w:t>estimate</w:t>
      </w:r>
      <w:r>
        <w:rPr>
          <w:spacing w:val="-4"/>
        </w:rPr>
        <w:t xml:space="preserve"> </w:t>
      </w:r>
      <w:r>
        <w:t>does</w:t>
      </w:r>
      <w:r>
        <w:rPr>
          <w:spacing w:val="-3"/>
        </w:rPr>
        <w:t xml:space="preserve"> </w:t>
      </w:r>
      <w:r>
        <w:t>not</w:t>
      </w:r>
      <w:r>
        <w:rPr>
          <w:spacing w:val="-3"/>
        </w:rPr>
        <w:t xml:space="preserve"> </w:t>
      </w:r>
      <w:r>
        <w:t>include</w:t>
      </w:r>
      <w:r>
        <w:rPr>
          <w:spacing w:val="-4"/>
        </w:rPr>
        <w:t xml:space="preserve"> </w:t>
      </w:r>
      <w:r>
        <w:t>estimates</w:t>
      </w:r>
      <w:r>
        <w:rPr>
          <w:spacing w:val="-3"/>
        </w:rPr>
        <w:t xml:space="preserve"> </w:t>
      </w:r>
      <w:r>
        <w:t>for</w:t>
      </w:r>
      <w:r>
        <w:rPr>
          <w:spacing w:val="-4"/>
        </w:rPr>
        <w:t xml:space="preserve"> </w:t>
      </w:r>
      <w:r>
        <w:t>a</w:t>
      </w:r>
      <w:r>
        <w:rPr>
          <w:spacing w:val="-4"/>
        </w:rPr>
        <w:t xml:space="preserve"> </w:t>
      </w:r>
      <w:r>
        <w:t>State</w:t>
      </w:r>
      <w:r>
        <w:rPr>
          <w:spacing w:val="-5"/>
        </w:rPr>
        <w:t xml:space="preserve"> </w:t>
      </w:r>
      <w:r>
        <w:t>to</w:t>
      </w:r>
      <w:r>
        <w:rPr>
          <w:spacing w:val="-3"/>
        </w:rPr>
        <w:t xml:space="preserve"> </w:t>
      </w:r>
      <w:r>
        <w:t>conduct</w:t>
      </w:r>
      <w:r>
        <w:rPr>
          <w:spacing w:val="-3"/>
        </w:rPr>
        <w:t xml:space="preserve"> </w:t>
      </w:r>
      <w:r>
        <w:t>reasonable</w:t>
      </w:r>
      <w:r>
        <w:rPr>
          <w:spacing w:val="-4"/>
        </w:rPr>
        <w:t xml:space="preserve"> </w:t>
      </w:r>
      <w:r>
        <w:t>public</w:t>
      </w:r>
      <w:r>
        <w:rPr>
          <w:spacing w:val="-4"/>
        </w:rPr>
        <w:t xml:space="preserve"> </w:t>
      </w:r>
      <w:r>
        <w:t>notice and an opportunity for public comment at § 156.111(c).</w:t>
      </w:r>
    </w:p>
    <w:p w:rsidR="008406CE" w14:paraId="75A90329" w14:textId="77777777">
      <w:pPr>
        <w:pStyle w:val="BodyText"/>
      </w:pPr>
    </w:p>
    <w:p w:rsidR="008406CE" w14:paraId="6FEB3AAC" w14:textId="77777777">
      <w:pPr>
        <w:pStyle w:val="BodyText"/>
        <w:ind w:left="120" w:right="395"/>
      </w:pPr>
      <w:r>
        <w:t>45</w:t>
      </w:r>
      <w:r>
        <w:rPr>
          <w:spacing w:val="-3"/>
        </w:rPr>
        <w:t xml:space="preserve"> </w:t>
      </w:r>
      <w:r>
        <w:t>CFR</w:t>
      </w:r>
      <w:r>
        <w:rPr>
          <w:spacing w:val="-3"/>
        </w:rPr>
        <w:t xml:space="preserve"> </w:t>
      </w:r>
      <w:r>
        <w:t>156.111</w:t>
      </w:r>
      <w:r>
        <w:rPr>
          <w:spacing w:val="-3"/>
        </w:rPr>
        <w:t xml:space="preserve"> </w:t>
      </w:r>
      <w:r>
        <w:t>allows</w:t>
      </w:r>
      <w:r>
        <w:rPr>
          <w:spacing w:val="-3"/>
        </w:rPr>
        <w:t xml:space="preserve"> </w:t>
      </w:r>
      <w:r>
        <w:t>States</w:t>
      </w:r>
      <w:r>
        <w:rPr>
          <w:spacing w:val="-3"/>
        </w:rPr>
        <w:t xml:space="preserve"> </w:t>
      </w:r>
      <w:r>
        <w:t>to</w:t>
      </w:r>
      <w:r>
        <w:rPr>
          <w:spacing w:val="-3"/>
        </w:rPr>
        <w:t xml:space="preserve"> </w:t>
      </w:r>
      <w:r>
        <w:t>change</w:t>
      </w:r>
      <w:r>
        <w:rPr>
          <w:spacing w:val="-4"/>
        </w:rPr>
        <w:t xml:space="preserve"> </w:t>
      </w:r>
      <w:r>
        <w:t>EHB-benchmark</w:t>
      </w:r>
      <w:r>
        <w:rPr>
          <w:spacing w:val="-3"/>
        </w:rPr>
        <w:t xml:space="preserve"> </w:t>
      </w:r>
      <w:r>
        <w:t>plans</w:t>
      </w:r>
      <w:r>
        <w:rPr>
          <w:spacing w:val="-3"/>
        </w:rPr>
        <w:t xml:space="preserve"> </w:t>
      </w:r>
      <w:r>
        <w:t>annually</w:t>
      </w:r>
      <w:r>
        <w:rPr>
          <w:spacing w:val="-3"/>
        </w:rPr>
        <w:t xml:space="preserve"> </w:t>
      </w:r>
      <w:r>
        <w:t>but</w:t>
      </w:r>
      <w:r>
        <w:rPr>
          <w:spacing w:val="-3"/>
        </w:rPr>
        <w:t xml:space="preserve"> </w:t>
      </w:r>
      <w:r>
        <w:t>would</w:t>
      </w:r>
      <w:r>
        <w:rPr>
          <w:spacing w:val="-3"/>
        </w:rPr>
        <w:t xml:space="preserve"> </w:t>
      </w:r>
      <w:r>
        <w:t>not</w:t>
      </w:r>
      <w:r>
        <w:rPr>
          <w:spacing w:val="-3"/>
        </w:rPr>
        <w:t xml:space="preserve"> </w:t>
      </w:r>
      <w:r>
        <w:t>require them to respond to this ICR for any year for which they did not change their EHB-benchmark plans. Since finalizing § 156.111 in the 2019 Payment Notice, between 1 and 3 States changed their EHB-benchmark plan each year between 2019 and 2023. We initially estimated that 10 States would choose to make a change to their EHB-benchmark plans in any given year (for a total of 30 States over 3 years within the authorization of this ICR) in the original ICR. We revise that estimate in this ICR. While we anticipate that the proposed revisions to § 156.111 will</w:t>
      </w:r>
      <w:r>
        <w:rPr>
          <w:spacing w:val="-2"/>
        </w:rPr>
        <w:t xml:space="preserve"> </w:t>
      </w:r>
      <w:r>
        <w:t>reduce</w:t>
      </w:r>
      <w:r>
        <w:rPr>
          <w:spacing w:val="-3"/>
        </w:rPr>
        <w:t xml:space="preserve"> </w:t>
      </w:r>
      <w:r>
        <w:t>overall</w:t>
      </w:r>
      <w:r>
        <w:rPr>
          <w:spacing w:val="-2"/>
        </w:rPr>
        <w:t xml:space="preserve"> </w:t>
      </w:r>
      <w:r>
        <w:t>burden</w:t>
      </w:r>
      <w:r>
        <w:rPr>
          <w:spacing w:val="-2"/>
        </w:rPr>
        <w:t xml:space="preserve"> </w:t>
      </w:r>
      <w:r>
        <w:t>on</w:t>
      </w:r>
      <w:r>
        <w:rPr>
          <w:spacing w:val="-2"/>
        </w:rPr>
        <w:t xml:space="preserve"> </w:t>
      </w:r>
      <w:r>
        <w:t>States</w:t>
      </w:r>
      <w:r>
        <w:rPr>
          <w:spacing w:val="-2"/>
        </w:rPr>
        <w:t xml:space="preserve"> </w:t>
      </w:r>
      <w:r>
        <w:t>and</w:t>
      </w:r>
      <w:r>
        <w:rPr>
          <w:spacing w:val="-2"/>
        </w:rPr>
        <w:t xml:space="preserve"> </w:t>
      </w:r>
      <w:r>
        <w:t>incentivize</w:t>
      </w:r>
      <w:r>
        <w:rPr>
          <w:spacing w:val="-3"/>
        </w:rPr>
        <w:t xml:space="preserve"> </w:t>
      </w:r>
      <w:r>
        <w:t>more</w:t>
      </w:r>
      <w:r>
        <w:rPr>
          <w:spacing w:val="-1"/>
        </w:rPr>
        <w:t xml:space="preserve"> </w:t>
      </w:r>
      <w:r>
        <w:t>frequent</w:t>
      </w:r>
      <w:r>
        <w:rPr>
          <w:spacing w:val="-2"/>
        </w:rPr>
        <w:t xml:space="preserve"> </w:t>
      </w:r>
      <w:r>
        <w:t>changes</w:t>
      </w:r>
      <w:r>
        <w:rPr>
          <w:spacing w:val="-2"/>
        </w:rPr>
        <w:t xml:space="preserve"> </w:t>
      </w:r>
      <w:r>
        <w:t>to</w:t>
      </w:r>
      <w:r>
        <w:rPr>
          <w:spacing w:val="-2"/>
        </w:rPr>
        <w:t xml:space="preserve"> </w:t>
      </w:r>
      <w:r>
        <w:t>EHB-benchmark</w:t>
      </w:r>
    </w:p>
    <w:p w:rsidR="008406CE" w14:paraId="2E36BF36" w14:textId="77777777">
      <w:pPr>
        <w:sectPr>
          <w:pgSz w:w="12240" w:h="15840"/>
          <w:pgMar w:top="1360" w:right="1140" w:bottom="1220" w:left="1320" w:header="0" w:footer="1022" w:gutter="0"/>
          <w:cols w:space="720"/>
        </w:sectPr>
      </w:pPr>
    </w:p>
    <w:p w:rsidR="008406CE" w14:paraId="055255A9" w14:textId="77777777">
      <w:pPr>
        <w:pStyle w:val="BodyText"/>
        <w:spacing w:before="79"/>
        <w:ind w:left="120" w:right="419"/>
      </w:pPr>
      <w:r>
        <w:t>plans, we anticipate that at most 5 States would choose to make a change to their EHB- benchmark</w:t>
      </w:r>
      <w:r>
        <w:rPr>
          <w:spacing w:val="-3"/>
        </w:rPr>
        <w:t xml:space="preserve"> </w:t>
      </w:r>
      <w:r>
        <w:t>plans</w:t>
      </w:r>
      <w:r>
        <w:rPr>
          <w:spacing w:val="-3"/>
        </w:rPr>
        <w:t xml:space="preserve"> </w:t>
      </w:r>
      <w:r>
        <w:t>in</w:t>
      </w:r>
      <w:r>
        <w:rPr>
          <w:spacing w:val="-1"/>
        </w:rPr>
        <w:t xml:space="preserve"> </w:t>
      </w:r>
      <w:r>
        <w:t>any</w:t>
      </w:r>
      <w:r>
        <w:rPr>
          <w:spacing w:val="-1"/>
        </w:rPr>
        <w:t xml:space="preserve"> </w:t>
      </w:r>
      <w:r>
        <w:t>given</w:t>
      </w:r>
      <w:r>
        <w:rPr>
          <w:spacing w:val="-3"/>
        </w:rPr>
        <w:t xml:space="preserve"> </w:t>
      </w:r>
      <w:r>
        <w:t>year</w:t>
      </w:r>
      <w:r>
        <w:rPr>
          <w:spacing w:val="-2"/>
        </w:rPr>
        <w:t xml:space="preserve"> </w:t>
      </w:r>
      <w:r>
        <w:t>(15</w:t>
      </w:r>
      <w:r>
        <w:rPr>
          <w:spacing w:val="-3"/>
        </w:rPr>
        <w:t xml:space="preserve"> </w:t>
      </w:r>
      <w:r>
        <w:t>States</w:t>
      </w:r>
      <w:r>
        <w:rPr>
          <w:spacing w:val="-3"/>
        </w:rPr>
        <w:t xml:space="preserve"> </w:t>
      </w:r>
      <w:r>
        <w:t>over</w:t>
      </w:r>
      <w:r>
        <w:rPr>
          <w:spacing w:val="-4"/>
        </w:rPr>
        <w:t xml:space="preserve"> </w:t>
      </w:r>
      <w:r>
        <w:t>3</w:t>
      </w:r>
      <w:r>
        <w:rPr>
          <w:spacing w:val="-3"/>
        </w:rPr>
        <w:t xml:space="preserve"> </w:t>
      </w:r>
      <w:r>
        <w:t>years</w:t>
      </w:r>
      <w:r>
        <w:rPr>
          <w:spacing w:val="-1"/>
        </w:rPr>
        <w:t xml:space="preserve"> </w:t>
      </w:r>
      <w:r>
        <w:t>within</w:t>
      </w:r>
      <w:r>
        <w:rPr>
          <w:spacing w:val="-3"/>
        </w:rPr>
        <w:t xml:space="preserve"> </w:t>
      </w:r>
      <w:r>
        <w:t>the</w:t>
      </w:r>
      <w:r>
        <w:rPr>
          <w:spacing w:val="-4"/>
        </w:rPr>
        <w:t xml:space="preserve"> </w:t>
      </w:r>
      <w:r>
        <w:t>authorization</w:t>
      </w:r>
      <w:r>
        <w:rPr>
          <w:spacing w:val="-3"/>
        </w:rPr>
        <w:t xml:space="preserve"> </w:t>
      </w:r>
      <w:r>
        <w:t>of</w:t>
      </w:r>
      <w:r>
        <w:rPr>
          <w:spacing w:val="-4"/>
        </w:rPr>
        <w:t xml:space="preserve"> </w:t>
      </w:r>
      <w:r>
        <w:t>this</w:t>
      </w:r>
      <w:r>
        <w:rPr>
          <w:spacing w:val="-1"/>
        </w:rPr>
        <w:t xml:space="preserve"> </w:t>
      </w:r>
      <w:r>
        <w:t>ICR). As a result, we anticipate a lower overall burden due to the proposed changes to § 156.111 and based on our experience interacting with States seeking to make changes to their EHB- benchmark plans annually. The</w:t>
      </w:r>
      <w:r>
        <w:rPr>
          <w:spacing w:val="-1"/>
        </w:rPr>
        <w:t xml:space="preserve"> </w:t>
      </w:r>
      <w:r>
        <w:t>following details the</w:t>
      </w:r>
      <w:r>
        <w:rPr>
          <w:spacing w:val="-1"/>
        </w:rPr>
        <w:t xml:space="preserve"> </w:t>
      </w:r>
      <w:r>
        <w:t>burden attached to part of</w:t>
      </w:r>
      <w:r>
        <w:rPr>
          <w:spacing w:val="-1"/>
        </w:rPr>
        <w:t xml:space="preserve"> </w:t>
      </w:r>
      <w:r>
        <w:t xml:space="preserve">this information </w:t>
      </w:r>
      <w:r>
        <w:rPr>
          <w:spacing w:val="-2"/>
        </w:rPr>
        <w:t>collection.</w:t>
      </w:r>
    </w:p>
    <w:p w:rsidR="008406CE" w14:paraId="42ACDC1B" w14:textId="77777777">
      <w:pPr>
        <w:pStyle w:val="BodyText"/>
      </w:pPr>
    </w:p>
    <w:p w:rsidR="008406CE" w14:paraId="7C84DBFC" w14:textId="77777777">
      <w:pPr>
        <w:pStyle w:val="BodyText"/>
        <w:ind w:left="119" w:right="370"/>
      </w:pPr>
      <w:r>
        <w:t>First, to change an EHB-benchmark plan, we require at § 156.111(e)(1) that the State provide confirmation</w:t>
      </w:r>
      <w:r>
        <w:rPr>
          <w:spacing w:val="-5"/>
        </w:rPr>
        <w:t xml:space="preserve"> </w:t>
      </w:r>
      <w:r>
        <w:t>that</w:t>
      </w:r>
      <w:r>
        <w:rPr>
          <w:spacing w:val="-5"/>
        </w:rPr>
        <w:t xml:space="preserve"> </w:t>
      </w:r>
      <w:r>
        <w:t>the</w:t>
      </w:r>
      <w:r>
        <w:rPr>
          <w:spacing w:val="-6"/>
        </w:rPr>
        <w:t xml:space="preserve"> </w:t>
      </w:r>
      <w:r>
        <w:t>State’s</w:t>
      </w:r>
      <w:r>
        <w:rPr>
          <w:spacing w:val="-5"/>
        </w:rPr>
        <w:t xml:space="preserve"> </w:t>
      </w:r>
      <w:r>
        <w:t>EHB-benchmark</w:t>
      </w:r>
      <w:r>
        <w:rPr>
          <w:spacing w:val="-5"/>
        </w:rPr>
        <w:t xml:space="preserve"> </w:t>
      </w:r>
      <w:r>
        <w:t>plan</w:t>
      </w:r>
      <w:r>
        <w:rPr>
          <w:spacing w:val="-3"/>
        </w:rPr>
        <w:t xml:space="preserve"> </w:t>
      </w:r>
      <w:r>
        <w:t>selection</w:t>
      </w:r>
      <w:r>
        <w:rPr>
          <w:spacing w:val="-5"/>
        </w:rPr>
        <w:t xml:space="preserve"> </w:t>
      </w:r>
      <w:r>
        <w:t>complies</w:t>
      </w:r>
      <w:r>
        <w:rPr>
          <w:spacing w:val="-5"/>
        </w:rPr>
        <w:t xml:space="preserve"> </w:t>
      </w:r>
      <w:r>
        <w:t>with</w:t>
      </w:r>
      <w:r>
        <w:rPr>
          <w:spacing w:val="-5"/>
        </w:rPr>
        <w:t xml:space="preserve"> </w:t>
      </w:r>
      <w:r>
        <w:t>certain</w:t>
      </w:r>
      <w:r>
        <w:rPr>
          <w:spacing w:val="-5"/>
        </w:rPr>
        <w:t xml:space="preserve"> </w:t>
      </w:r>
      <w:r>
        <w:t xml:space="preserve">requirements, including those under § 156.111(a), (b), and (c). To collect this information, the State submits the associated document in </w:t>
      </w:r>
      <w:r>
        <w:rPr>
          <w:b/>
        </w:rPr>
        <w:t>Appendix A. Confirmations on the State EHB-benchmark Plan</w:t>
      </w:r>
      <w:r>
        <w:t>. To complete this requirement, we estimate that a financial examiner would require 4 hours (at a rate of $79.04 per hour) to fill out, review, and transmit a complete and accurate document. We estimate that it would cost each State approximately $316.16 to meet this reporting requirement, with a total annual burden for all 5 States of 20 hours and an associated total cost of $1,580.80.</w:t>
      </w:r>
    </w:p>
    <w:p w:rsidR="008406CE" w14:paraId="0FF84D22" w14:textId="77777777">
      <w:pPr>
        <w:pStyle w:val="BodyText"/>
      </w:pPr>
    </w:p>
    <w:p w:rsidR="008406CE" w14:paraId="43B3CB1F" w14:textId="77777777">
      <w:pPr>
        <w:pStyle w:val="BodyText"/>
        <w:ind w:left="120" w:right="367"/>
      </w:pPr>
      <w:r>
        <w:t>Second, § 156.111(e)(2) currently requires States to submit an actuarial certification and associated actuarial report of the methods and assumptions when selecting options under § 156.111(a). This actuarial certification and associated actuarial report must demonstrate compliance with section 156.111(b)(2)(i), which requires a State’s EHB-benchmark plan to provide</w:t>
      </w:r>
      <w:r>
        <w:rPr>
          <w:spacing w:val="-3"/>
        </w:rPr>
        <w:t xml:space="preserve"> </w:t>
      </w:r>
      <w:r>
        <w:t>a</w:t>
      </w:r>
      <w:r>
        <w:rPr>
          <w:spacing w:val="-3"/>
        </w:rPr>
        <w:t xml:space="preserve"> </w:t>
      </w:r>
      <w:r>
        <w:t>scope</w:t>
      </w:r>
      <w:r>
        <w:rPr>
          <w:spacing w:val="-3"/>
        </w:rPr>
        <w:t xml:space="preserve"> </w:t>
      </w:r>
      <w:r>
        <w:t>of</w:t>
      </w:r>
      <w:r>
        <w:rPr>
          <w:spacing w:val="-3"/>
        </w:rPr>
        <w:t xml:space="preserve"> </w:t>
      </w:r>
      <w:r>
        <w:t>benefits</w:t>
      </w:r>
      <w:r>
        <w:rPr>
          <w:spacing w:val="-2"/>
        </w:rPr>
        <w:t xml:space="preserve"> </w:t>
      </w:r>
      <w:r>
        <w:t>that</w:t>
      </w:r>
      <w:r>
        <w:rPr>
          <w:spacing w:val="-2"/>
        </w:rPr>
        <w:t xml:space="preserve"> </w:t>
      </w:r>
      <w:r>
        <w:t>is</w:t>
      </w:r>
      <w:r>
        <w:rPr>
          <w:spacing w:val="-2"/>
        </w:rPr>
        <w:t xml:space="preserve"> </w:t>
      </w:r>
      <w:r>
        <w:t>equal</w:t>
      </w:r>
      <w:r>
        <w:rPr>
          <w:spacing w:val="-2"/>
        </w:rPr>
        <w:t xml:space="preserve"> </w:t>
      </w:r>
      <w:r>
        <w:t>in</w:t>
      </w:r>
      <w:r>
        <w:rPr>
          <w:spacing w:val="-2"/>
        </w:rPr>
        <w:t xml:space="preserve"> </w:t>
      </w:r>
      <w:r>
        <w:t>scope</w:t>
      </w:r>
      <w:r>
        <w:rPr>
          <w:spacing w:val="-3"/>
        </w:rPr>
        <w:t xml:space="preserve"> </w:t>
      </w:r>
      <w:r>
        <w:t>of</w:t>
      </w:r>
      <w:r>
        <w:rPr>
          <w:spacing w:val="-3"/>
        </w:rPr>
        <w:t xml:space="preserve"> </w:t>
      </w:r>
      <w:r>
        <w:t>benefits</w:t>
      </w:r>
      <w:r>
        <w:rPr>
          <w:spacing w:val="-2"/>
        </w:rPr>
        <w:t xml:space="preserve"> </w:t>
      </w:r>
      <w:r>
        <w:t>to</w:t>
      </w:r>
      <w:r>
        <w:rPr>
          <w:spacing w:val="-2"/>
        </w:rPr>
        <w:t xml:space="preserve"> </w:t>
      </w:r>
      <w:r>
        <w:t>the</w:t>
      </w:r>
      <w:r>
        <w:rPr>
          <w:spacing w:val="-3"/>
        </w:rPr>
        <w:t xml:space="preserve"> </w:t>
      </w:r>
      <w:r>
        <w:t>scope</w:t>
      </w:r>
      <w:r>
        <w:rPr>
          <w:spacing w:val="-3"/>
        </w:rPr>
        <w:t xml:space="preserve"> </w:t>
      </w:r>
      <w:r>
        <w:t>of</w:t>
      </w:r>
      <w:r>
        <w:rPr>
          <w:spacing w:val="-1"/>
        </w:rPr>
        <w:t xml:space="preserve"> </w:t>
      </w:r>
      <w:r>
        <w:t>benefits</w:t>
      </w:r>
      <w:r>
        <w:rPr>
          <w:spacing w:val="-2"/>
        </w:rPr>
        <w:t xml:space="preserve"> </w:t>
      </w:r>
      <w:r>
        <w:t>under</w:t>
      </w:r>
      <w:r>
        <w:rPr>
          <w:spacing w:val="-3"/>
        </w:rPr>
        <w:t xml:space="preserve"> </w:t>
      </w:r>
      <w:r>
        <w:t>one</w:t>
      </w:r>
      <w:r>
        <w:rPr>
          <w:spacing w:val="-3"/>
        </w:rPr>
        <w:t xml:space="preserve"> </w:t>
      </w:r>
      <w:r>
        <w:t>of the typical employer plans at § 156.111(b)(2)(i)(A) and (B). While the proposed revisions to § 156.111(b)(2)(i) would still require a State’s EHB-benchmark plan to provide benefits that are equal</w:t>
      </w:r>
      <w:r>
        <w:rPr>
          <w:spacing w:val="-3"/>
        </w:rPr>
        <w:t xml:space="preserve"> </w:t>
      </w:r>
      <w:r>
        <w:t>in</w:t>
      </w:r>
      <w:r>
        <w:rPr>
          <w:spacing w:val="-3"/>
        </w:rPr>
        <w:t xml:space="preserve"> </w:t>
      </w:r>
      <w:r>
        <w:t>scope</w:t>
      </w:r>
      <w:r>
        <w:rPr>
          <w:spacing w:val="-4"/>
        </w:rPr>
        <w:t xml:space="preserve"> </w:t>
      </w:r>
      <w:r>
        <w:t>of</w:t>
      </w:r>
      <w:r>
        <w:rPr>
          <w:spacing w:val="-4"/>
        </w:rPr>
        <w:t xml:space="preserve"> </w:t>
      </w:r>
      <w:r>
        <w:t>benefits</w:t>
      </w:r>
      <w:r>
        <w:rPr>
          <w:spacing w:val="-1"/>
        </w:rPr>
        <w:t xml:space="preserve"> </w:t>
      </w:r>
      <w:r>
        <w:t>to</w:t>
      </w:r>
      <w:r>
        <w:rPr>
          <w:spacing w:val="-3"/>
        </w:rPr>
        <w:t xml:space="preserve"> </w:t>
      </w:r>
      <w:r>
        <w:t>the</w:t>
      </w:r>
      <w:r>
        <w:rPr>
          <w:spacing w:val="-4"/>
        </w:rPr>
        <w:t xml:space="preserve"> </w:t>
      </w:r>
      <w:r>
        <w:t>scope</w:t>
      </w:r>
      <w:r>
        <w:rPr>
          <w:spacing w:val="-4"/>
        </w:rPr>
        <w:t xml:space="preserve"> </w:t>
      </w:r>
      <w:r>
        <w:t>of</w:t>
      </w:r>
      <w:r>
        <w:rPr>
          <w:spacing w:val="-4"/>
        </w:rPr>
        <w:t xml:space="preserve"> </w:t>
      </w:r>
      <w:r>
        <w:t>benefits</w:t>
      </w:r>
      <w:r>
        <w:rPr>
          <w:spacing w:val="-1"/>
        </w:rPr>
        <w:t xml:space="preserve"> </w:t>
      </w:r>
      <w:r>
        <w:t>under</w:t>
      </w:r>
      <w:r>
        <w:rPr>
          <w:spacing w:val="-4"/>
        </w:rPr>
        <w:t xml:space="preserve"> </w:t>
      </w:r>
      <w:r>
        <w:t>a</w:t>
      </w:r>
      <w:r>
        <w:rPr>
          <w:spacing w:val="-4"/>
        </w:rPr>
        <w:t xml:space="preserve"> </w:t>
      </w:r>
      <w:r>
        <w:t>typical</w:t>
      </w:r>
      <w:r>
        <w:rPr>
          <w:spacing w:val="-1"/>
        </w:rPr>
        <w:t xml:space="preserve"> </w:t>
      </w:r>
      <w:r>
        <w:t>employer</w:t>
      </w:r>
      <w:r>
        <w:rPr>
          <w:spacing w:val="-2"/>
        </w:rPr>
        <w:t xml:space="preserve"> </w:t>
      </w:r>
      <w:r>
        <w:t>plan,</w:t>
      </w:r>
      <w:r>
        <w:rPr>
          <w:spacing w:val="-3"/>
        </w:rPr>
        <w:t xml:space="preserve"> </w:t>
      </w:r>
      <w:r>
        <w:t>they</w:t>
      </w:r>
      <w:r>
        <w:rPr>
          <w:spacing w:val="-3"/>
        </w:rPr>
        <w:t xml:space="preserve"> </w:t>
      </w:r>
      <w:r>
        <w:t>would</w:t>
      </w:r>
      <w:r>
        <w:rPr>
          <w:spacing w:val="-3"/>
        </w:rPr>
        <w:t xml:space="preserve"> </w:t>
      </w:r>
      <w:r>
        <w:t>also allow a State to select any scope of benefits that is as or more generous than the scope of</w:t>
      </w:r>
      <w:r>
        <w:rPr>
          <w:spacing w:val="40"/>
        </w:rPr>
        <w:t xml:space="preserve"> </w:t>
      </w:r>
      <w:r>
        <w:t>benefits in the least generous plan, and as or less generous than the scope of benefits in the most generous plan in the State, among the plans currently defined at § 156.111(b)(2)(i)(A) and (B).</w:t>
      </w:r>
    </w:p>
    <w:p w:rsidR="008406CE" w14:paraId="63843FD2" w14:textId="77777777">
      <w:pPr>
        <w:pStyle w:val="BodyText"/>
        <w:ind w:left="120" w:right="369"/>
      </w:pPr>
      <w:r>
        <w:t>We anticipate that these proposed revisions would substantially reduce the burden on States to perform actuarial analyses. Under this revision, we anticipate that a State would typically only need to perform three actuarial analyses to determine the scope of benefits in the least and most generous plans among the plans currently defined at § 156.111(b)(2)(i)(A) and (B), and the scope</w:t>
      </w:r>
      <w:r>
        <w:rPr>
          <w:spacing w:val="-4"/>
        </w:rPr>
        <w:t xml:space="preserve"> </w:t>
      </w:r>
      <w:r>
        <w:t>of</w:t>
      </w:r>
      <w:r>
        <w:rPr>
          <w:spacing w:val="-4"/>
        </w:rPr>
        <w:t xml:space="preserve"> </w:t>
      </w:r>
      <w:r>
        <w:t>benefits</w:t>
      </w:r>
      <w:r>
        <w:rPr>
          <w:spacing w:val="-3"/>
        </w:rPr>
        <w:t xml:space="preserve"> </w:t>
      </w:r>
      <w:r>
        <w:t>in</w:t>
      </w:r>
      <w:r>
        <w:rPr>
          <w:spacing w:val="-3"/>
        </w:rPr>
        <w:t xml:space="preserve"> </w:t>
      </w:r>
      <w:r>
        <w:t>the</w:t>
      </w:r>
      <w:r>
        <w:rPr>
          <w:spacing w:val="-4"/>
        </w:rPr>
        <w:t xml:space="preserve"> </w:t>
      </w:r>
      <w:r>
        <w:t>State’s</w:t>
      </w:r>
      <w:r>
        <w:rPr>
          <w:spacing w:val="-3"/>
        </w:rPr>
        <w:t xml:space="preserve"> </w:t>
      </w:r>
      <w:r>
        <w:t>new</w:t>
      </w:r>
      <w:r>
        <w:rPr>
          <w:spacing w:val="-4"/>
        </w:rPr>
        <w:t xml:space="preserve"> </w:t>
      </w:r>
      <w:r>
        <w:t>EHB-benchmark</w:t>
      </w:r>
      <w:r>
        <w:rPr>
          <w:spacing w:val="-3"/>
        </w:rPr>
        <w:t xml:space="preserve"> </w:t>
      </w:r>
      <w:r>
        <w:t>plan.</w:t>
      </w:r>
      <w:r>
        <w:rPr>
          <w:spacing w:val="-3"/>
        </w:rPr>
        <w:t xml:space="preserve"> </w:t>
      </w:r>
      <w:r>
        <w:t>Under</w:t>
      </w:r>
      <w:r>
        <w:rPr>
          <w:spacing w:val="-4"/>
        </w:rPr>
        <w:t xml:space="preserve"> </w:t>
      </w:r>
      <w:r>
        <w:t>current</w:t>
      </w:r>
      <w:r>
        <w:rPr>
          <w:spacing w:val="-3"/>
        </w:rPr>
        <w:t xml:space="preserve"> </w:t>
      </w:r>
      <w:r>
        <w:t>regulation,</w:t>
      </w:r>
      <w:r>
        <w:rPr>
          <w:spacing w:val="-3"/>
        </w:rPr>
        <w:t xml:space="preserve"> </w:t>
      </w:r>
      <w:r>
        <w:t>a</w:t>
      </w:r>
      <w:r>
        <w:rPr>
          <w:spacing w:val="-4"/>
        </w:rPr>
        <w:t xml:space="preserve"> </w:t>
      </w:r>
      <w:r>
        <w:t>State</w:t>
      </w:r>
      <w:r>
        <w:rPr>
          <w:spacing w:val="-4"/>
        </w:rPr>
        <w:t xml:space="preserve"> </w:t>
      </w:r>
      <w:r>
        <w:t>may need to perform an indeterminate number of actuarial analyses of the plans defined at § 156.111(b)(2)(i)(A) and (B) until the State identifies a plan with an equal scope of benefits with the State’s EHB-benchmark plan. This proposed revision would significantly reduce the likelihood that a State need perform as many analyses. Accordingly, we are reducing the estimated burden on States to perform the analysis to confirm compliance with</w:t>
      </w:r>
    </w:p>
    <w:p w:rsidR="008406CE" w14:paraId="63915A24" w14:textId="77777777">
      <w:pPr>
        <w:pStyle w:val="BodyText"/>
        <w:spacing w:before="1"/>
        <w:ind w:left="120"/>
      </w:pPr>
      <w:r>
        <w:t xml:space="preserve">§ </w:t>
      </w:r>
      <w:r>
        <w:rPr>
          <w:spacing w:val="-2"/>
        </w:rPr>
        <w:t>156.111(b)(2)(i).</w:t>
      </w:r>
    </w:p>
    <w:p w:rsidR="008406CE" w14:paraId="5A3C04C6" w14:textId="77777777">
      <w:pPr>
        <w:pStyle w:val="BodyText"/>
      </w:pPr>
    </w:p>
    <w:p w:rsidR="008406CE" w14:paraId="4B8FF6C5" w14:textId="77777777">
      <w:pPr>
        <w:pStyle w:val="BodyText"/>
        <w:ind w:left="120" w:right="419"/>
      </w:pPr>
      <w:r>
        <w:t>This actuarial certification and associated actuarial report must also demonstrate compliance with</w:t>
      </w:r>
      <w:r>
        <w:rPr>
          <w:spacing w:val="-4"/>
        </w:rPr>
        <w:t xml:space="preserve"> </w:t>
      </w:r>
      <w:r>
        <w:t>§</w:t>
      </w:r>
      <w:r>
        <w:rPr>
          <w:spacing w:val="-4"/>
        </w:rPr>
        <w:t xml:space="preserve"> </w:t>
      </w:r>
      <w:r>
        <w:t>156.111(b)(2)(ii),</w:t>
      </w:r>
      <w:r>
        <w:rPr>
          <w:spacing w:val="-2"/>
        </w:rPr>
        <w:t xml:space="preserve"> </w:t>
      </w:r>
      <w:r>
        <w:t>which</w:t>
      </w:r>
      <w:r>
        <w:rPr>
          <w:spacing w:val="-5"/>
        </w:rPr>
        <w:t xml:space="preserve"> </w:t>
      </w:r>
      <w:r>
        <w:t>currently</w:t>
      </w:r>
      <w:r>
        <w:rPr>
          <w:spacing w:val="-4"/>
        </w:rPr>
        <w:t xml:space="preserve"> </w:t>
      </w:r>
      <w:r>
        <w:t>requires</w:t>
      </w:r>
      <w:r>
        <w:rPr>
          <w:spacing w:val="-4"/>
        </w:rPr>
        <w:t xml:space="preserve"> </w:t>
      </w:r>
      <w:r>
        <w:t>a</w:t>
      </w:r>
      <w:r>
        <w:rPr>
          <w:spacing w:val="-6"/>
        </w:rPr>
        <w:t xml:space="preserve"> </w:t>
      </w:r>
      <w:r>
        <w:t>State’s</w:t>
      </w:r>
      <w:r>
        <w:rPr>
          <w:spacing w:val="-4"/>
        </w:rPr>
        <w:t xml:space="preserve"> </w:t>
      </w:r>
      <w:r>
        <w:t>EHB-benchmark</w:t>
      </w:r>
      <w:r>
        <w:rPr>
          <w:spacing w:val="-4"/>
        </w:rPr>
        <w:t xml:space="preserve"> </w:t>
      </w:r>
      <w:r>
        <w:t>plan</w:t>
      </w:r>
      <w:r>
        <w:rPr>
          <w:spacing w:val="-4"/>
        </w:rPr>
        <w:t xml:space="preserve"> </w:t>
      </w:r>
      <w:r>
        <w:t>to</w:t>
      </w:r>
      <w:r>
        <w:rPr>
          <w:spacing w:val="-5"/>
        </w:rPr>
        <w:t xml:space="preserve"> </w:t>
      </w:r>
      <w:r>
        <w:t>not</w:t>
      </w:r>
      <w:r>
        <w:rPr>
          <w:spacing w:val="-4"/>
        </w:rPr>
        <w:t xml:space="preserve"> </w:t>
      </w:r>
      <w:r>
        <w:t>exceed the generosity of the most generous among a set of comparison plans. We proposed to remove this requirement in the proposed 2025 Payment Notice and revise this estimate to reflect a reduce burden on States that no longer need perform the actuarial analyses required with</w:t>
      </w:r>
    </w:p>
    <w:p w:rsidR="008406CE" w14:paraId="6CFAD169" w14:textId="77777777">
      <w:pPr>
        <w:pStyle w:val="BodyText"/>
        <w:ind w:left="120"/>
      </w:pPr>
      <w:r>
        <w:t xml:space="preserve">§ </w:t>
      </w:r>
      <w:r>
        <w:rPr>
          <w:spacing w:val="-2"/>
        </w:rPr>
        <w:t>156.111(b)(2)(ii).</w:t>
      </w:r>
    </w:p>
    <w:p w:rsidR="008406CE" w14:paraId="6D408DEC" w14:textId="77777777">
      <w:pPr>
        <w:sectPr>
          <w:pgSz w:w="12240" w:h="15840"/>
          <w:pgMar w:top="1360" w:right="1140" w:bottom="1220" w:left="1320" w:header="0" w:footer="1022" w:gutter="0"/>
          <w:cols w:space="720"/>
        </w:sectPr>
      </w:pPr>
    </w:p>
    <w:p w:rsidR="008406CE" w14:paraId="60917C69" w14:textId="77777777">
      <w:pPr>
        <w:pStyle w:val="BodyText"/>
        <w:spacing w:before="79"/>
        <w:ind w:left="120" w:right="350"/>
      </w:pPr>
      <w:r>
        <w:t xml:space="preserve">The actuarial certification that is being collected under this ICR is required to include an actuarial report that complies with generally accepted actuarial principles and methodologies. This estimate includes complying with all applicable ASOPs (including ASOP 41 on actuarial communications). For example, ASOP 41 on actuarial communications includes disclosure requirements, including those that apply to the disclosure of information on the methods and assumptions being used for the actuarial certification and report. The actuarial certification for this requirement is provided in a template in </w:t>
      </w:r>
      <w:r>
        <w:rPr>
          <w:b/>
        </w:rPr>
        <w:t xml:space="preserve">Appendix B. Essential Health Benefits (EHB)- Benchmark Plan Actuarial Certificate Template </w:t>
      </w:r>
      <w:r>
        <w:t>and includes an attestation that the standard actuarial</w:t>
      </w:r>
      <w:r>
        <w:rPr>
          <w:spacing w:val="-3"/>
        </w:rPr>
        <w:t xml:space="preserve"> </w:t>
      </w:r>
      <w:r>
        <w:t>practices</w:t>
      </w:r>
      <w:r>
        <w:rPr>
          <w:spacing w:val="-3"/>
        </w:rPr>
        <w:t xml:space="preserve"> </w:t>
      </w:r>
      <w:r>
        <w:t>have</w:t>
      </w:r>
      <w:r>
        <w:rPr>
          <w:spacing w:val="-4"/>
        </w:rPr>
        <w:t xml:space="preserve"> </w:t>
      </w:r>
      <w:r>
        <w:t>been</w:t>
      </w:r>
      <w:r>
        <w:rPr>
          <w:spacing w:val="-3"/>
        </w:rPr>
        <w:t xml:space="preserve"> </w:t>
      </w:r>
      <w:r>
        <w:t>followed</w:t>
      </w:r>
      <w:r>
        <w:rPr>
          <w:spacing w:val="-3"/>
        </w:rPr>
        <w:t xml:space="preserve"> </w:t>
      </w:r>
      <w:r>
        <w:t>or</w:t>
      </w:r>
      <w:r>
        <w:rPr>
          <w:spacing w:val="-4"/>
        </w:rPr>
        <w:t xml:space="preserve"> </w:t>
      </w:r>
      <w:r>
        <w:t>that</w:t>
      </w:r>
      <w:r>
        <w:rPr>
          <w:spacing w:val="-3"/>
        </w:rPr>
        <w:t xml:space="preserve"> </w:t>
      </w:r>
      <w:r>
        <w:t>exceptions</w:t>
      </w:r>
      <w:r>
        <w:rPr>
          <w:spacing w:val="-3"/>
        </w:rPr>
        <w:t xml:space="preserve"> </w:t>
      </w:r>
      <w:r>
        <w:t>have</w:t>
      </w:r>
      <w:r>
        <w:rPr>
          <w:spacing w:val="-4"/>
        </w:rPr>
        <w:t xml:space="preserve"> </w:t>
      </w:r>
      <w:r>
        <w:t>been</w:t>
      </w:r>
      <w:r>
        <w:rPr>
          <w:spacing w:val="-3"/>
        </w:rPr>
        <w:t xml:space="preserve"> </w:t>
      </w:r>
      <w:r>
        <w:t>noted.</w:t>
      </w:r>
      <w:r>
        <w:rPr>
          <w:spacing w:val="-1"/>
        </w:rPr>
        <w:t xml:space="preserve"> </w:t>
      </w:r>
      <w:r>
        <w:t>The</w:t>
      </w:r>
      <w:r>
        <w:rPr>
          <w:spacing w:val="-4"/>
        </w:rPr>
        <w:t xml:space="preserve"> </w:t>
      </w:r>
      <w:r>
        <w:t>signing</w:t>
      </w:r>
      <w:r>
        <w:rPr>
          <w:spacing w:val="-3"/>
        </w:rPr>
        <w:t xml:space="preserve"> </w:t>
      </w:r>
      <w:r>
        <w:t>actuary</w:t>
      </w:r>
      <w:r>
        <w:rPr>
          <w:spacing w:val="-3"/>
        </w:rPr>
        <w:t xml:space="preserve"> </w:t>
      </w:r>
      <w:r>
        <w:t>is required to be a Member of the American Academy of Actuaries.</w:t>
      </w:r>
    </w:p>
    <w:p w:rsidR="008406CE" w14:paraId="485EB4B7" w14:textId="77777777">
      <w:pPr>
        <w:ind w:left="120"/>
        <w:rPr>
          <w:sz w:val="24"/>
        </w:rPr>
      </w:pPr>
      <w:r>
        <w:rPr>
          <w:spacing w:val="-10"/>
          <w:sz w:val="24"/>
        </w:rPr>
        <w:t>.</w:t>
      </w:r>
    </w:p>
    <w:p w:rsidR="008406CE" w14:paraId="7447B1E2" w14:textId="77777777">
      <w:pPr>
        <w:pStyle w:val="BodyText"/>
        <w:ind w:left="119" w:right="419"/>
      </w:pPr>
      <w:r>
        <w:t>We</w:t>
      </w:r>
      <w:r>
        <w:rPr>
          <w:spacing w:val="-1"/>
        </w:rPr>
        <w:t xml:space="preserve"> </w:t>
      </w:r>
      <w:r>
        <w:t>estimate</w:t>
      </w:r>
      <w:r>
        <w:rPr>
          <w:spacing w:val="-1"/>
        </w:rPr>
        <w:t xml:space="preserve"> </w:t>
      </w:r>
      <w:r>
        <w:t>that an actuary, who is a</w:t>
      </w:r>
      <w:r>
        <w:rPr>
          <w:spacing w:val="-1"/>
        </w:rPr>
        <w:t xml:space="preserve"> </w:t>
      </w:r>
      <w:r>
        <w:t>member</w:t>
      </w:r>
      <w:r>
        <w:rPr>
          <w:spacing w:val="-1"/>
        </w:rPr>
        <w:t xml:space="preserve"> </w:t>
      </w:r>
      <w:r>
        <w:t>of the</w:t>
      </w:r>
      <w:r>
        <w:rPr>
          <w:spacing w:val="-1"/>
        </w:rPr>
        <w:t xml:space="preserve"> </w:t>
      </w:r>
      <w:r>
        <w:t>American Academy of</w:t>
      </w:r>
      <w:r>
        <w:rPr>
          <w:spacing w:val="-1"/>
        </w:rPr>
        <w:t xml:space="preserve"> </w:t>
      </w:r>
      <w:r>
        <w:t>Actuaries, requires 12 hours (at a rate of $109.60 per hour) on average for § 156.111(e)(2). This includes the certification and associated actuarial report from an actuary to affirm, in accordance with generally</w:t>
      </w:r>
      <w:r>
        <w:rPr>
          <w:spacing w:val="-4"/>
        </w:rPr>
        <w:t xml:space="preserve"> </w:t>
      </w:r>
      <w:r>
        <w:t>accepted</w:t>
      </w:r>
      <w:r>
        <w:rPr>
          <w:spacing w:val="-4"/>
        </w:rPr>
        <w:t xml:space="preserve"> </w:t>
      </w:r>
      <w:r>
        <w:t>actuarial</w:t>
      </w:r>
      <w:r>
        <w:rPr>
          <w:spacing w:val="-4"/>
        </w:rPr>
        <w:t xml:space="preserve"> </w:t>
      </w:r>
      <w:r>
        <w:t>principles</w:t>
      </w:r>
      <w:r>
        <w:rPr>
          <w:spacing w:val="-4"/>
        </w:rPr>
        <w:t xml:space="preserve"> </w:t>
      </w:r>
      <w:r>
        <w:t>and</w:t>
      </w:r>
      <w:r>
        <w:rPr>
          <w:spacing w:val="-4"/>
        </w:rPr>
        <w:t xml:space="preserve"> </w:t>
      </w:r>
      <w:r>
        <w:t>methodologies</w:t>
      </w:r>
      <w:r>
        <w:rPr>
          <w:spacing w:val="-4"/>
        </w:rPr>
        <w:t xml:space="preserve"> </w:t>
      </w:r>
      <w:r>
        <w:t>that</w:t>
      </w:r>
      <w:r>
        <w:rPr>
          <w:spacing w:val="-4"/>
        </w:rPr>
        <w:t xml:space="preserve"> </w:t>
      </w:r>
      <w:r>
        <w:t>the</w:t>
      </w:r>
      <w:r>
        <w:rPr>
          <w:spacing w:val="-5"/>
        </w:rPr>
        <w:t xml:space="preserve"> </w:t>
      </w:r>
      <w:r>
        <w:t>State’s</w:t>
      </w:r>
      <w:r>
        <w:rPr>
          <w:spacing w:val="-4"/>
        </w:rPr>
        <w:t xml:space="preserve"> </w:t>
      </w:r>
      <w:r>
        <w:t>EHB-benchmark</w:t>
      </w:r>
      <w:r>
        <w:rPr>
          <w:spacing w:val="-4"/>
        </w:rPr>
        <w:t xml:space="preserve"> </w:t>
      </w:r>
      <w:r>
        <w:t>plan must provide a scope of benefits that is equal to the scope of benefits provided under a typical employer plan. For these calculations, the actuary needs to conduct the appropriate calculations to</w:t>
      </w:r>
      <w:r>
        <w:rPr>
          <w:spacing w:val="-2"/>
        </w:rPr>
        <w:t xml:space="preserve"> </w:t>
      </w:r>
      <w:r>
        <w:t>create</w:t>
      </w:r>
      <w:r>
        <w:rPr>
          <w:spacing w:val="-1"/>
        </w:rPr>
        <w:t xml:space="preserve"> </w:t>
      </w:r>
      <w:r>
        <w:t>and</w:t>
      </w:r>
      <w:r>
        <w:rPr>
          <w:spacing w:val="-2"/>
        </w:rPr>
        <w:t xml:space="preserve"> </w:t>
      </w:r>
      <w:r>
        <w:t>review</w:t>
      </w:r>
      <w:r>
        <w:rPr>
          <w:spacing w:val="-3"/>
        </w:rPr>
        <w:t xml:space="preserve"> </w:t>
      </w:r>
      <w:r>
        <w:t>an actuarial</w:t>
      </w:r>
      <w:r>
        <w:rPr>
          <w:spacing w:val="-2"/>
        </w:rPr>
        <w:t xml:space="preserve"> </w:t>
      </w:r>
      <w:r>
        <w:t>certification</w:t>
      </w:r>
      <w:r>
        <w:rPr>
          <w:spacing w:val="-2"/>
        </w:rPr>
        <w:t xml:space="preserve"> </w:t>
      </w:r>
      <w:r>
        <w:t>and associated</w:t>
      </w:r>
      <w:r>
        <w:rPr>
          <w:spacing w:val="-2"/>
        </w:rPr>
        <w:t xml:space="preserve"> </w:t>
      </w:r>
      <w:r>
        <w:t>actuarial</w:t>
      </w:r>
      <w:r>
        <w:rPr>
          <w:spacing w:val="-2"/>
        </w:rPr>
        <w:t xml:space="preserve"> </w:t>
      </w:r>
      <w:r>
        <w:t>report,</w:t>
      </w:r>
      <w:r>
        <w:rPr>
          <w:spacing w:val="-2"/>
        </w:rPr>
        <w:t xml:space="preserve"> </w:t>
      </w:r>
      <w:r>
        <w:t>including</w:t>
      </w:r>
      <w:r>
        <w:rPr>
          <w:spacing w:val="-2"/>
        </w:rPr>
        <w:t xml:space="preserve"> </w:t>
      </w:r>
      <w:r>
        <w:t>minimal time required for recordkeeping. The precise level of effort for the actuarial certification and associated actuarial report under § 156.111(e)(2) will likely vary depending on the State’s approach to its EHB-benchmark plan and this certification requirement. The estimated burden is12 hours for the actuary to complete the actuarial certification and associated report in recognition that the definition of typical employer plan may require the actuary to determine whether the typical employer plan meets minimum value requirements. We estimate that it would cost each State approximately $1,315.20 to meet this reporting requirement, with a total annual burden for all 5 States of 60 hours and an associated total cost of $6,576.</w:t>
      </w:r>
    </w:p>
    <w:p w:rsidR="008406CE" w14:paraId="7D803065" w14:textId="77777777">
      <w:pPr>
        <w:pStyle w:val="BodyText"/>
      </w:pPr>
    </w:p>
    <w:p w:rsidR="008406CE" w14:paraId="39CD984A" w14:textId="77777777">
      <w:pPr>
        <w:pStyle w:val="BodyText"/>
        <w:ind w:left="119" w:right="419"/>
      </w:pPr>
      <w:r>
        <w:t xml:space="preserve">For the actuarial certification, we provide the collection instrument in </w:t>
      </w:r>
      <w:r>
        <w:rPr>
          <w:b/>
        </w:rPr>
        <w:t>Appendix B. Essential Health</w:t>
      </w:r>
      <w:r>
        <w:rPr>
          <w:b/>
          <w:spacing w:val="-4"/>
        </w:rPr>
        <w:t xml:space="preserve"> </w:t>
      </w:r>
      <w:r>
        <w:rPr>
          <w:b/>
        </w:rPr>
        <w:t>Benefits</w:t>
      </w:r>
      <w:r>
        <w:rPr>
          <w:b/>
          <w:spacing w:val="-4"/>
        </w:rPr>
        <w:t xml:space="preserve"> </w:t>
      </w:r>
      <w:r>
        <w:rPr>
          <w:b/>
        </w:rPr>
        <w:t>(EHB)-Benchmark</w:t>
      </w:r>
      <w:r>
        <w:rPr>
          <w:b/>
          <w:spacing w:val="-4"/>
        </w:rPr>
        <w:t xml:space="preserve"> </w:t>
      </w:r>
      <w:r>
        <w:rPr>
          <w:b/>
        </w:rPr>
        <w:t>Plan</w:t>
      </w:r>
      <w:r>
        <w:rPr>
          <w:b/>
          <w:spacing w:val="-4"/>
        </w:rPr>
        <w:t xml:space="preserve"> </w:t>
      </w:r>
      <w:r>
        <w:rPr>
          <w:b/>
        </w:rPr>
        <w:t>Actuarial</w:t>
      </w:r>
      <w:r>
        <w:rPr>
          <w:b/>
          <w:spacing w:val="-4"/>
        </w:rPr>
        <w:t xml:space="preserve"> </w:t>
      </w:r>
      <w:r>
        <w:rPr>
          <w:b/>
        </w:rPr>
        <w:t>Certificate</w:t>
      </w:r>
      <w:r>
        <w:rPr>
          <w:b/>
          <w:spacing w:val="-5"/>
        </w:rPr>
        <w:t xml:space="preserve"> </w:t>
      </w:r>
      <w:r>
        <w:rPr>
          <w:b/>
        </w:rPr>
        <w:t>Template</w:t>
      </w:r>
      <w:r>
        <w:t>.</w:t>
      </w:r>
      <w:r>
        <w:rPr>
          <w:spacing w:val="-4"/>
        </w:rPr>
        <w:t xml:space="preserve"> </w:t>
      </w:r>
      <w:r>
        <w:t>We</w:t>
      </w:r>
      <w:r>
        <w:rPr>
          <w:spacing w:val="-3"/>
        </w:rPr>
        <w:t xml:space="preserve"> </w:t>
      </w:r>
      <w:r>
        <w:t>estimate</w:t>
      </w:r>
      <w:r>
        <w:rPr>
          <w:spacing w:val="-5"/>
        </w:rPr>
        <w:t xml:space="preserve"> </w:t>
      </w:r>
      <w:r>
        <w:t>that</w:t>
      </w:r>
      <w:r>
        <w:rPr>
          <w:spacing w:val="-4"/>
        </w:rPr>
        <w:t xml:space="preserve"> </w:t>
      </w:r>
      <w:r>
        <w:t>a financial examiner will require 1 hour (at a rate of $79.04 per hour) to review, combine, and electronically transmit these documents to HHS, as part of a State’s EHB-benchmark plan submission.</w:t>
      </w:r>
      <w:r>
        <w:rPr>
          <w:spacing w:val="-1"/>
        </w:rPr>
        <w:t xml:space="preserve"> </w:t>
      </w:r>
      <w:r>
        <w:t>We</w:t>
      </w:r>
      <w:r>
        <w:rPr>
          <w:spacing w:val="-2"/>
        </w:rPr>
        <w:t xml:space="preserve"> </w:t>
      </w:r>
      <w:r>
        <w:t>estimate</w:t>
      </w:r>
      <w:r>
        <w:rPr>
          <w:spacing w:val="-2"/>
        </w:rPr>
        <w:t xml:space="preserve"> </w:t>
      </w:r>
      <w:r>
        <w:t>that</w:t>
      </w:r>
      <w:r>
        <w:rPr>
          <w:spacing w:val="-1"/>
        </w:rPr>
        <w:t xml:space="preserve"> </w:t>
      </w:r>
      <w:r>
        <w:t>each</w:t>
      </w:r>
      <w:r>
        <w:rPr>
          <w:spacing w:val="-1"/>
        </w:rPr>
        <w:t xml:space="preserve"> </w:t>
      </w:r>
      <w:r>
        <w:t>State</w:t>
      </w:r>
      <w:r>
        <w:rPr>
          <w:spacing w:val="-2"/>
        </w:rPr>
        <w:t xml:space="preserve"> </w:t>
      </w:r>
      <w:r>
        <w:t>will</w:t>
      </w:r>
      <w:r>
        <w:rPr>
          <w:spacing w:val="-1"/>
        </w:rPr>
        <w:t xml:space="preserve"> </w:t>
      </w:r>
      <w:r>
        <w:t>incur a</w:t>
      </w:r>
      <w:r>
        <w:rPr>
          <w:spacing w:val="-2"/>
        </w:rPr>
        <w:t xml:space="preserve"> </w:t>
      </w:r>
      <w:r>
        <w:t>burden</w:t>
      </w:r>
      <w:r>
        <w:rPr>
          <w:spacing w:val="-1"/>
        </w:rPr>
        <w:t xml:space="preserve"> </w:t>
      </w:r>
      <w:r>
        <w:t>of</w:t>
      </w:r>
      <w:r>
        <w:rPr>
          <w:spacing w:val="-2"/>
        </w:rPr>
        <w:t xml:space="preserve"> </w:t>
      </w:r>
      <w:r>
        <w:t>1</w:t>
      </w:r>
      <w:r>
        <w:rPr>
          <w:spacing w:val="-1"/>
        </w:rPr>
        <w:t xml:space="preserve"> </w:t>
      </w:r>
      <w:r>
        <w:t>hour</w:t>
      </w:r>
      <w:r>
        <w:rPr>
          <w:spacing w:val="-2"/>
        </w:rPr>
        <w:t xml:space="preserve"> </w:t>
      </w:r>
      <w:r>
        <w:t>with</w:t>
      </w:r>
      <w:r>
        <w:rPr>
          <w:spacing w:val="-1"/>
        </w:rPr>
        <w:t xml:space="preserve"> </w:t>
      </w:r>
      <w:r>
        <w:t>an</w:t>
      </w:r>
      <w:r>
        <w:rPr>
          <w:spacing w:val="-1"/>
        </w:rPr>
        <w:t xml:space="preserve"> </w:t>
      </w:r>
      <w:r>
        <w:t>associated</w:t>
      </w:r>
      <w:r>
        <w:rPr>
          <w:spacing w:val="-1"/>
        </w:rPr>
        <w:t xml:space="preserve"> </w:t>
      </w:r>
      <w:r>
        <w:t>cost</w:t>
      </w:r>
      <w:r>
        <w:rPr>
          <w:spacing w:val="-1"/>
        </w:rPr>
        <w:t xml:space="preserve"> </w:t>
      </w:r>
      <w:r>
        <w:t>of</w:t>
      </w:r>
    </w:p>
    <w:p w:rsidR="008406CE" w14:paraId="1F5823A1" w14:textId="77777777">
      <w:pPr>
        <w:pStyle w:val="BodyText"/>
        <w:spacing w:before="1"/>
        <w:ind w:left="119"/>
      </w:pPr>
      <w:r>
        <w:t>$79.04</w:t>
      </w:r>
      <w:r>
        <w:rPr>
          <w:spacing w:val="-3"/>
        </w:rPr>
        <w:t xml:space="preserve"> </w:t>
      </w:r>
      <w:r>
        <w:t>with</w:t>
      </w:r>
      <w:r>
        <w:rPr>
          <w:spacing w:val="-1"/>
        </w:rPr>
        <w:t xml:space="preserve"> </w:t>
      </w:r>
      <w:r>
        <w:t>a</w:t>
      </w:r>
      <w:r>
        <w:rPr>
          <w:spacing w:val="-2"/>
        </w:rPr>
        <w:t xml:space="preserve"> </w:t>
      </w:r>
      <w:r>
        <w:t>total</w:t>
      </w:r>
      <w:r>
        <w:rPr>
          <w:spacing w:val="-1"/>
        </w:rPr>
        <w:t xml:space="preserve"> </w:t>
      </w:r>
      <w:r>
        <w:t>annual</w:t>
      </w:r>
      <w:r>
        <w:rPr>
          <w:spacing w:val="-1"/>
        </w:rPr>
        <w:t xml:space="preserve"> </w:t>
      </w:r>
      <w:r>
        <w:t>burden</w:t>
      </w:r>
      <w:r>
        <w:rPr>
          <w:spacing w:val="-1"/>
        </w:rPr>
        <w:t xml:space="preserve"> </w:t>
      </w:r>
      <w:r>
        <w:t>for</w:t>
      </w:r>
      <w:r>
        <w:rPr>
          <w:spacing w:val="-2"/>
        </w:rPr>
        <w:t xml:space="preserve"> </w:t>
      </w:r>
      <w:r>
        <w:t>5</w:t>
      </w:r>
      <w:r>
        <w:rPr>
          <w:spacing w:val="-1"/>
        </w:rPr>
        <w:t xml:space="preserve"> </w:t>
      </w:r>
      <w:r>
        <w:t>States</w:t>
      </w:r>
      <w:r>
        <w:rPr>
          <w:spacing w:val="-1"/>
        </w:rPr>
        <w:t xml:space="preserve"> </w:t>
      </w:r>
      <w:r>
        <w:t>of</w:t>
      </w:r>
      <w:r>
        <w:rPr>
          <w:spacing w:val="-2"/>
        </w:rPr>
        <w:t xml:space="preserve"> </w:t>
      </w:r>
      <w:r>
        <w:t>5</w:t>
      </w:r>
      <w:r>
        <w:rPr>
          <w:spacing w:val="1"/>
        </w:rPr>
        <w:t xml:space="preserve"> </w:t>
      </w:r>
      <w:r>
        <w:t>hours</w:t>
      </w:r>
      <w:r>
        <w:rPr>
          <w:spacing w:val="-1"/>
        </w:rPr>
        <w:t xml:space="preserve"> </w:t>
      </w:r>
      <w:r>
        <w:t>at</w:t>
      </w:r>
      <w:r>
        <w:rPr>
          <w:spacing w:val="-1"/>
        </w:rPr>
        <w:t xml:space="preserve"> </w:t>
      </w:r>
      <w:r>
        <w:t>associated</w:t>
      </w:r>
      <w:r>
        <w:rPr>
          <w:spacing w:val="-1"/>
        </w:rPr>
        <w:t xml:space="preserve"> </w:t>
      </w:r>
      <w:r>
        <w:t>total cost</w:t>
      </w:r>
      <w:r>
        <w:rPr>
          <w:spacing w:val="-1"/>
        </w:rPr>
        <w:t xml:space="preserve"> </w:t>
      </w:r>
      <w:r>
        <w:t>of</w:t>
      </w:r>
      <w:r>
        <w:rPr>
          <w:spacing w:val="-1"/>
        </w:rPr>
        <w:t xml:space="preserve"> </w:t>
      </w:r>
      <w:r>
        <w:rPr>
          <w:spacing w:val="-2"/>
        </w:rPr>
        <w:t>$395.20.</w:t>
      </w:r>
    </w:p>
    <w:p w:rsidR="008406CE" w14:paraId="135B9BAD" w14:textId="77777777">
      <w:pPr>
        <w:pStyle w:val="BodyText"/>
        <w:spacing w:before="276"/>
        <w:ind w:left="119" w:right="314"/>
      </w:pPr>
      <w:r>
        <w:t>Third, we require at § 156.111(e)(3) each State to submit its new EHB-benchmark plan documents. The level of effort associated with this requirement could depend on the State’s selection</w:t>
      </w:r>
      <w:r>
        <w:rPr>
          <w:spacing w:val="-3"/>
        </w:rPr>
        <w:t xml:space="preserve"> </w:t>
      </w:r>
      <w:r>
        <w:t>of</w:t>
      </w:r>
      <w:r>
        <w:rPr>
          <w:spacing w:val="-4"/>
        </w:rPr>
        <w:t xml:space="preserve"> </w:t>
      </w:r>
      <w:r>
        <w:t>the</w:t>
      </w:r>
      <w:r>
        <w:rPr>
          <w:spacing w:val="-4"/>
        </w:rPr>
        <w:t xml:space="preserve"> </w:t>
      </w:r>
      <w:r>
        <w:t>EHB-benchmark</w:t>
      </w:r>
      <w:r>
        <w:rPr>
          <w:spacing w:val="-3"/>
        </w:rPr>
        <w:t xml:space="preserve"> </w:t>
      </w:r>
      <w:r>
        <w:t>plan</w:t>
      </w:r>
      <w:r>
        <w:rPr>
          <w:spacing w:val="-3"/>
        </w:rPr>
        <w:t xml:space="preserve"> </w:t>
      </w:r>
      <w:r>
        <w:t>options</w:t>
      </w:r>
      <w:r>
        <w:rPr>
          <w:spacing w:val="-3"/>
        </w:rPr>
        <w:t xml:space="preserve"> </w:t>
      </w:r>
      <w:r>
        <w:t>under</w:t>
      </w:r>
      <w:r>
        <w:rPr>
          <w:spacing w:val="-4"/>
        </w:rPr>
        <w:t xml:space="preserve"> </w:t>
      </w:r>
      <w:r>
        <w:t>the</w:t>
      </w:r>
      <w:r>
        <w:rPr>
          <w:spacing w:val="-4"/>
        </w:rPr>
        <w:t xml:space="preserve"> </w:t>
      </w:r>
      <w:r>
        <w:t>regulation</w:t>
      </w:r>
      <w:r>
        <w:rPr>
          <w:spacing w:val="-3"/>
        </w:rPr>
        <w:t xml:space="preserve"> </w:t>
      </w:r>
      <w:r>
        <w:t>at</w:t>
      </w:r>
      <w:r>
        <w:rPr>
          <w:spacing w:val="-3"/>
        </w:rPr>
        <w:t xml:space="preserve"> </w:t>
      </w:r>
      <w:r>
        <w:t>§</w:t>
      </w:r>
      <w:r>
        <w:rPr>
          <w:spacing w:val="-3"/>
        </w:rPr>
        <w:t xml:space="preserve"> </w:t>
      </w:r>
      <w:r>
        <w:t>156.111(a).</w:t>
      </w:r>
      <w:r>
        <w:rPr>
          <w:spacing w:val="-3"/>
        </w:rPr>
        <w:t xml:space="preserve"> </w:t>
      </w:r>
      <w:r>
        <w:t>However,</w:t>
      </w:r>
      <w:r>
        <w:rPr>
          <w:spacing w:val="-3"/>
        </w:rPr>
        <w:t xml:space="preserve"> </w:t>
      </w:r>
      <w:r>
        <w:t>for the purposes of this estimate, we estimate that it would require a financial examiner (at a rate of</w:t>
      </w:r>
    </w:p>
    <w:p w:rsidR="008406CE" w14:paraId="3C6FFA90" w14:textId="77777777">
      <w:pPr>
        <w:pStyle w:val="BodyText"/>
        <w:ind w:left="119" w:right="364"/>
      </w:pPr>
      <w:r>
        <w:t>$79.04 per hour) 12 hours on average to create, review, and electronically transmit the State’s EHB-benchmark plan document that accurately reflects the benefits and limitations, resulting in a burden of 12 hours and an associated cost of $948.48, with a total annual burden for all 5 States of 60 hours and an associated cost of $4,742.40. This estimate of 12 hours also includes the burden necessary for a State to submit a formulary drug list for the State’s EHB-benchmark plan in a format and manner specified by HHS, in accordance with § 156.111(e)(3). However, we are proposing to revise § 156.111(e)(3) in the 2025 Payment Notice proposed rule to require a</w:t>
      </w:r>
      <w:r>
        <w:rPr>
          <w:spacing w:val="-3"/>
        </w:rPr>
        <w:t xml:space="preserve"> </w:t>
      </w:r>
      <w:r>
        <w:t>State</w:t>
      </w:r>
      <w:r>
        <w:rPr>
          <w:spacing w:val="-3"/>
        </w:rPr>
        <w:t xml:space="preserve"> </w:t>
      </w:r>
      <w:r>
        <w:t>to</w:t>
      </w:r>
      <w:r>
        <w:rPr>
          <w:spacing w:val="-2"/>
        </w:rPr>
        <w:t xml:space="preserve"> </w:t>
      </w:r>
      <w:r>
        <w:t>submit</w:t>
      </w:r>
      <w:r>
        <w:rPr>
          <w:spacing w:val="-2"/>
        </w:rPr>
        <w:t xml:space="preserve"> </w:t>
      </w:r>
      <w:r>
        <w:t>this</w:t>
      </w:r>
      <w:r>
        <w:rPr>
          <w:spacing w:val="-2"/>
        </w:rPr>
        <w:t xml:space="preserve"> </w:t>
      </w:r>
      <w:r>
        <w:t>formulary</w:t>
      </w:r>
      <w:r>
        <w:rPr>
          <w:spacing w:val="-2"/>
        </w:rPr>
        <w:t xml:space="preserve"> </w:t>
      </w:r>
      <w:r>
        <w:t>drug</w:t>
      </w:r>
      <w:r>
        <w:rPr>
          <w:spacing w:val="-2"/>
        </w:rPr>
        <w:t xml:space="preserve"> </w:t>
      </w:r>
      <w:r>
        <w:t>list</w:t>
      </w:r>
      <w:r>
        <w:rPr>
          <w:spacing w:val="-2"/>
        </w:rPr>
        <w:t xml:space="preserve"> </w:t>
      </w:r>
      <w:r>
        <w:t>only</w:t>
      </w:r>
      <w:r>
        <w:rPr>
          <w:spacing w:val="-2"/>
        </w:rPr>
        <w:t xml:space="preserve"> </w:t>
      </w:r>
      <w:r>
        <w:t>if</w:t>
      </w:r>
      <w:r>
        <w:rPr>
          <w:spacing w:val="-3"/>
        </w:rPr>
        <w:t xml:space="preserve"> </w:t>
      </w:r>
      <w:r>
        <w:t>the</w:t>
      </w:r>
      <w:r>
        <w:rPr>
          <w:spacing w:val="-3"/>
        </w:rPr>
        <w:t xml:space="preserve"> </w:t>
      </w:r>
      <w:r>
        <w:t>State</w:t>
      </w:r>
      <w:r>
        <w:rPr>
          <w:spacing w:val="-3"/>
        </w:rPr>
        <w:t xml:space="preserve"> </w:t>
      </w:r>
      <w:r>
        <w:t>is</w:t>
      </w:r>
      <w:r>
        <w:rPr>
          <w:spacing w:val="-2"/>
        </w:rPr>
        <w:t xml:space="preserve"> </w:t>
      </w:r>
      <w:r>
        <w:t>changing</w:t>
      </w:r>
      <w:r>
        <w:rPr>
          <w:spacing w:val="-2"/>
        </w:rPr>
        <w:t xml:space="preserve"> </w:t>
      </w:r>
      <w:r>
        <w:t>the</w:t>
      </w:r>
      <w:r>
        <w:rPr>
          <w:spacing w:val="-1"/>
        </w:rPr>
        <w:t xml:space="preserve"> </w:t>
      </w:r>
      <w:r>
        <w:t>prescription</w:t>
      </w:r>
      <w:r>
        <w:rPr>
          <w:spacing w:val="-2"/>
        </w:rPr>
        <w:t xml:space="preserve"> </w:t>
      </w:r>
      <w:r>
        <w:t>drug</w:t>
      </w:r>
      <w:r>
        <w:rPr>
          <w:spacing w:val="-2"/>
        </w:rPr>
        <w:t xml:space="preserve"> </w:t>
      </w:r>
      <w:r>
        <w:t>EHB.</w:t>
      </w:r>
    </w:p>
    <w:p w:rsidR="008406CE" w14:paraId="2EEC416D" w14:textId="77777777">
      <w:pPr>
        <w:sectPr>
          <w:pgSz w:w="12240" w:h="15840"/>
          <w:pgMar w:top="1360" w:right="1140" w:bottom="1220" w:left="1320" w:header="0" w:footer="1022" w:gutter="0"/>
          <w:cols w:space="720"/>
        </w:sectPr>
      </w:pPr>
    </w:p>
    <w:p w:rsidR="008406CE" w14:paraId="3896C7A4" w14:textId="77777777">
      <w:pPr>
        <w:pStyle w:val="BodyText"/>
        <w:spacing w:before="79"/>
        <w:ind w:left="120" w:right="557"/>
      </w:pPr>
      <w:bookmarkStart w:id="17" w:name="_bookmark3"/>
      <w:bookmarkEnd w:id="17"/>
      <w:r>
        <w:t>We</w:t>
      </w:r>
      <w:r>
        <w:rPr>
          <w:spacing w:val="-2"/>
        </w:rPr>
        <w:t xml:space="preserve"> </w:t>
      </w:r>
      <w:r>
        <w:t>do</w:t>
      </w:r>
      <w:r>
        <w:rPr>
          <w:spacing w:val="-1"/>
        </w:rPr>
        <w:t xml:space="preserve"> </w:t>
      </w:r>
      <w:r>
        <w:t>not</w:t>
      </w:r>
      <w:r>
        <w:rPr>
          <w:spacing w:val="-1"/>
        </w:rPr>
        <w:t xml:space="preserve"> </w:t>
      </w:r>
      <w:r>
        <w:t>anticipate</w:t>
      </w:r>
      <w:r>
        <w:rPr>
          <w:spacing w:val="-2"/>
        </w:rPr>
        <w:t xml:space="preserve"> </w:t>
      </w:r>
      <w:r>
        <w:t>that all</w:t>
      </w:r>
      <w:r>
        <w:rPr>
          <w:spacing w:val="-1"/>
        </w:rPr>
        <w:t xml:space="preserve"> </w:t>
      </w:r>
      <w:r>
        <w:t>States</w:t>
      </w:r>
      <w:r>
        <w:rPr>
          <w:spacing w:val="-1"/>
        </w:rPr>
        <w:t xml:space="preserve"> </w:t>
      </w:r>
      <w:r>
        <w:t>would</w:t>
      </w:r>
      <w:r>
        <w:rPr>
          <w:spacing w:val="-1"/>
        </w:rPr>
        <w:t xml:space="preserve"> </w:t>
      </w:r>
      <w:r>
        <w:t>change prescription</w:t>
      </w:r>
      <w:r>
        <w:rPr>
          <w:spacing w:val="-1"/>
        </w:rPr>
        <w:t xml:space="preserve"> </w:t>
      </w:r>
      <w:r>
        <w:t>drug</w:t>
      </w:r>
      <w:r>
        <w:rPr>
          <w:spacing w:val="-1"/>
        </w:rPr>
        <w:t xml:space="preserve"> </w:t>
      </w:r>
      <w:r>
        <w:t>EHB,</w:t>
      </w:r>
      <w:r>
        <w:rPr>
          <w:spacing w:val="-1"/>
        </w:rPr>
        <w:t xml:space="preserve"> </w:t>
      </w:r>
      <w:r>
        <w:t>so</w:t>
      </w:r>
      <w:r>
        <w:rPr>
          <w:spacing w:val="-1"/>
        </w:rPr>
        <w:t xml:space="preserve"> </w:t>
      </w:r>
      <w:r>
        <w:t>we</w:t>
      </w:r>
      <w:r>
        <w:rPr>
          <w:spacing w:val="-2"/>
        </w:rPr>
        <w:t xml:space="preserve"> </w:t>
      </w:r>
      <w:r>
        <w:t>anticipate</w:t>
      </w:r>
      <w:r>
        <w:rPr>
          <w:spacing w:val="-2"/>
        </w:rPr>
        <w:t xml:space="preserve"> </w:t>
      </w:r>
      <w:r>
        <w:t>this burden</w:t>
      </w:r>
      <w:r>
        <w:rPr>
          <w:spacing w:val="-3"/>
        </w:rPr>
        <w:t xml:space="preserve"> </w:t>
      </w:r>
      <w:r>
        <w:t>would</w:t>
      </w:r>
      <w:r>
        <w:rPr>
          <w:spacing w:val="-3"/>
        </w:rPr>
        <w:t xml:space="preserve"> </w:t>
      </w:r>
      <w:r>
        <w:t>be</w:t>
      </w:r>
      <w:r>
        <w:rPr>
          <w:spacing w:val="-4"/>
        </w:rPr>
        <w:t xml:space="preserve"> </w:t>
      </w:r>
      <w:r>
        <w:t>lower</w:t>
      </w:r>
      <w:r>
        <w:rPr>
          <w:spacing w:val="-4"/>
        </w:rPr>
        <w:t xml:space="preserve"> </w:t>
      </w:r>
      <w:r>
        <w:t>for</w:t>
      </w:r>
      <w:r>
        <w:rPr>
          <w:spacing w:val="-4"/>
        </w:rPr>
        <w:t xml:space="preserve"> </w:t>
      </w:r>
      <w:r>
        <w:t>some</w:t>
      </w:r>
      <w:r>
        <w:rPr>
          <w:spacing w:val="-4"/>
        </w:rPr>
        <w:t xml:space="preserve"> </w:t>
      </w:r>
      <w:r>
        <w:t>States.</w:t>
      </w:r>
      <w:r>
        <w:rPr>
          <w:spacing w:val="-3"/>
        </w:rPr>
        <w:t xml:space="preserve"> </w:t>
      </w:r>
      <w:r>
        <w:t>To</w:t>
      </w:r>
      <w:r>
        <w:rPr>
          <w:spacing w:val="-3"/>
        </w:rPr>
        <w:t xml:space="preserve"> </w:t>
      </w:r>
      <w:r>
        <w:t>collect</w:t>
      </w:r>
      <w:r>
        <w:rPr>
          <w:spacing w:val="-3"/>
        </w:rPr>
        <w:t xml:space="preserve"> </w:t>
      </w:r>
      <w:r>
        <w:t>the</w:t>
      </w:r>
      <w:r>
        <w:rPr>
          <w:spacing w:val="-4"/>
        </w:rPr>
        <w:t xml:space="preserve"> </w:t>
      </w:r>
      <w:r>
        <w:t>formulary</w:t>
      </w:r>
      <w:r>
        <w:rPr>
          <w:spacing w:val="-3"/>
        </w:rPr>
        <w:t xml:space="preserve"> </w:t>
      </w:r>
      <w:r>
        <w:t>drug</w:t>
      </w:r>
      <w:r>
        <w:rPr>
          <w:spacing w:val="-3"/>
        </w:rPr>
        <w:t xml:space="preserve"> </w:t>
      </w:r>
      <w:r>
        <w:t>list,</w:t>
      </w:r>
      <w:r>
        <w:rPr>
          <w:spacing w:val="-3"/>
        </w:rPr>
        <w:t xml:space="preserve"> </w:t>
      </w:r>
      <w:r>
        <w:t>the</w:t>
      </w:r>
      <w:r>
        <w:rPr>
          <w:spacing w:val="-4"/>
        </w:rPr>
        <w:t xml:space="preserve"> </w:t>
      </w:r>
      <w:r>
        <w:t>State</w:t>
      </w:r>
      <w:r>
        <w:rPr>
          <w:spacing w:val="-5"/>
        </w:rPr>
        <w:t xml:space="preserve"> </w:t>
      </w:r>
      <w:r>
        <w:t>is</w:t>
      </w:r>
      <w:r>
        <w:rPr>
          <w:spacing w:val="-3"/>
        </w:rPr>
        <w:t xml:space="preserve"> </w:t>
      </w:r>
      <w:r>
        <w:t xml:space="preserve">required to use the template provided by HHS and must submit the formulary drug list as a list of RxNorm Concept Unique Identifiers (RxCUIs). This template is incorporated in </w:t>
      </w:r>
      <w:r>
        <w:rPr>
          <w:b/>
        </w:rPr>
        <w:t>Appendix D. EHB-benchmark Plan Formulary Drug List</w:t>
      </w:r>
      <w:r>
        <w:t>.</w:t>
      </w:r>
    </w:p>
    <w:p w:rsidR="008406CE" w14:paraId="0B75BEA4" w14:textId="77777777">
      <w:pPr>
        <w:pStyle w:val="BodyText"/>
      </w:pPr>
    </w:p>
    <w:p w:rsidR="008406CE" w14:paraId="3F1F47CF" w14:textId="77777777">
      <w:pPr>
        <w:pStyle w:val="BodyText"/>
        <w:ind w:left="119" w:right="395"/>
      </w:pPr>
      <w:r>
        <w:t>Lastly, § 156.111(e)(4) requires the State to submit the documentation necessary to operationalize the State’s EHB-benchmark plan definition. This reporting requirement includes the EHB summary file that is currently posted on CCIIO’s website and is used as part of the QHP certification process and is integrated into HHS’s IT</w:t>
      </w:r>
      <w:r>
        <w:rPr>
          <w:spacing w:val="-1"/>
        </w:rPr>
        <w:t xml:space="preserve"> </w:t>
      </w:r>
      <w:r>
        <w:t>Build systems that feeds into the</w:t>
      </w:r>
      <w:r>
        <w:rPr>
          <w:spacing w:val="-1"/>
        </w:rPr>
        <w:t xml:space="preserve"> </w:t>
      </w:r>
      <w:r>
        <w:t xml:space="preserve">data that is displayed on </w:t>
      </w:r>
      <w:r>
        <w:rPr>
          <w:i/>
        </w:rPr>
        <w:t>HealthCare.gov</w:t>
      </w:r>
      <w:r>
        <w:t>.</w:t>
      </w:r>
      <w:hyperlink w:anchor="_bookmark3" w:history="1">
        <w:r>
          <w:rPr>
            <w:vertAlign w:val="superscript"/>
          </w:rPr>
          <w:t>4</w:t>
        </w:r>
      </w:hyperlink>
      <w:r>
        <w:t xml:space="preserve"> This document format is incorporated as a template in </w:t>
      </w:r>
      <w:r>
        <w:rPr>
          <w:b/>
        </w:rPr>
        <w:t>Appendix C. The State's EHB-benchmark Plan's Benefits and Limits</w:t>
      </w:r>
      <w:r>
        <w:t>. We estimate that it would</w:t>
      </w:r>
      <w:r>
        <w:rPr>
          <w:spacing w:val="-3"/>
        </w:rPr>
        <w:t xml:space="preserve"> </w:t>
      </w:r>
      <w:r>
        <w:t>require</w:t>
      </w:r>
      <w:r>
        <w:rPr>
          <w:spacing w:val="-2"/>
        </w:rPr>
        <w:t xml:space="preserve"> </w:t>
      </w:r>
      <w:r>
        <w:t>a</w:t>
      </w:r>
      <w:r>
        <w:rPr>
          <w:spacing w:val="-4"/>
        </w:rPr>
        <w:t xml:space="preserve"> </w:t>
      </w:r>
      <w:r>
        <w:t>financial</w:t>
      </w:r>
      <w:r>
        <w:rPr>
          <w:spacing w:val="-3"/>
        </w:rPr>
        <w:t xml:space="preserve"> </w:t>
      </w:r>
      <w:r>
        <w:t>examiner</w:t>
      </w:r>
      <w:r>
        <w:rPr>
          <w:spacing w:val="-4"/>
        </w:rPr>
        <w:t xml:space="preserve"> </w:t>
      </w:r>
      <w:r>
        <w:t>12</w:t>
      </w:r>
      <w:r>
        <w:rPr>
          <w:spacing w:val="-3"/>
        </w:rPr>
        <w:t xml:space="preserve"> </w:t>
      </w:r>
      <w:r>
        <w:t>hours,</w:t>
      </w:r>
      <w:r>
        <w:rPr>
          <w:spacing w:val="-3"/>
        </w:rPr>
        <w:t xml:space="preserve"> </w:t>
      </w:r>
      <w:r>
        <w:t>on</w:t>
      </w:r>
      <w:r>
        <w:rPr>
          <w:spacing w:val="-1"/>
        </w:rPr>
        <w:t xml:space="preserve"> </w:t>
      </w:r>
      <w:r>
        <w:t>average,</w:t>
      </w:r>
      <w:r>
        <w:rPr>
          <w:spacing w:val="-1"/>
        </w:rPr>
        <w:t xml:space="preserve"> </w:t>
      </w:r>
      <w:r>
        <w:t>(at</w:t>
      </w:r>
      <w:r>
        <w:rPr>
          <w:spacing w:val="-3"/>
        </w:rPr>
        <w:t xml:space="preserve"> </w:t>
      </w:r>
      <w:r>
        <w:t>a</w:t>
      </w:r>
      <w:r>
        <w:rPr>
          <w:spacing w:val="-2"/>
        </w:rPr>
        <w:t xml:space="preserve"> </w:t>
      </w:r>
      <w:r>
        <w:t>rate</w:t>
      </w:r>
      <w:r>
        <w:rPr>
          <w:spacing w:val="-4"/>
        </w:rPr>
        <w:t xml:space="preserve"> </w:t>
      </w:r>
      <w:r>
        <w:t>of</w:t>
      </w:r>
      <w:r>
        <w:rPr>
          <w:spacing w:val="-4"/>
        </w:rPr>
        <w:t xml:space="preserve"> </w:t>
      </w:r>
      <w:r>
        <w:t>$79.04</w:t>
      </w:r>
      <w:r>
        <w:rPr>
          <w:spacing w:val="-3"/>
        </w:rPr>
        <w:t xml:space="preserve"> </w:t>
      </w:r>
      <w:r>
        <w:t>per</w:t>
      </w:r>
      <w:r>
        <w:rPr>
          <w:spacing w:val="-4"/>
        </w:rPr>
        <w:t xml:space="preserve"> </w:t>
      </w:r>
      <w:r>
        <w:t>hour)</w:t>
      </w:r>
      <w:r>
        <w:rPr>
          <w:spacing w:val="-4"/>
        </w:rPr>
        <w:t xml:space="preserve"> </w:t>
      </w:r>
      <w:r>
        <w:t>to</w:t>
      </w:r>
      <w:r>
        <w:rPr>
          <w:spacing w:val="-1"/>
        </w:rPr>
        <w:t xml:space="preserve"> </w:t>
      </w:r>
      <w:r>
        <w:t>create, review, and electronically submit a complete and accurate document to HHS resulting in a burden of 12 hours and an associated cost of $948.48, with a total annual burden for all 5 States of 60 hours and an associated cost of $4,742.40.</w:t>
      </w:r>
    </w:p>
    <w:p w:rsidR="008406CE" w14:paraId="2E12ACD0" w14:textId="77777777">
      <w:pPr>
        <w:pStyle w:val="BodyText"/>
      </w:pPr>
    </w:p>
    <w:p w:rsidR="008406CE" w14:paraId="1D7C6E86" w14:textId="77777777">
      <w:pPr>
        <w:pStyle w:val="BodyText"/>
        <w:ind w:left="119" w:right="419"/>
      </w:pPr>
      <w:r>
        <w:t>We estimate that the total number of respondent states would be 5 per year, for a total yearly burden</w:t>
      </w:r>
      <w:r>
        <w:rPr>
          <w:spacing w:val="-3"/>
        </w:rPr>
        <w:t xml:space="preserve"> </w:t>
      </w:r>
      <w:r>
        <w:t>of</w:t>
      </w:r>
      <w:r>
        <w:rPr>
          <w:spacing w:val="-4"/>
        </w:rPr>
        <w:t xml:space="preserve"> </w:t>
      </w:r>
      <w:r>
        <w:t>205</w:t>
      </w:r>
      <w:r>
        <w:rPr>
          <w:spacing w:val="-3"/>
        </w:rPr>
        <w:t xml:space="preserve"> </w:t>
      </w:r>
      <w:r>
        <w:t>hours</w:t>
      </w:r>
      <w:r>
        <w:rPr>
          <w:spacing w:val="-1"/>
        </w:rPr>
        <w:t xml:space="preserve"> </w:t>
      </w:r>
      <w:r>
        <w:t>and</w:t>
      </w:r>
      <w:r>
        <w:rPr>
          <w:spacing w:val="-1"/>
        </w:rPr>
        <w:t xml:space="preserve"> </w:t>
      </w:r>
      <w:r>
        <w:t>an</w:t>
      </w:r>
      <w:r>
        <w:rPr>
          <w:spacing w:val="-3"/>
        </w:rPr>
        <w:t xml:space="preserve"> </w:t>
      </w:r>
      <w:r>
        <w:t>associated</w:t>
      </w:r>
      <w:r>
        <w:rPr>
          <w:spacing w:val="-1"/>
        </w:rPr>
        <w:t xml:space="preserve"> </w:t>
      </w:r>
      <w:r>
        <w:t>cost</w:t>
      </w:r>
      <w:r>
        <w:rPr>
          <w:spacing w:val="-3"/>
        </w:rPr>
        <w:t xml:space="preserve"> </w:t>
      </w:r>
      <w:r>
        <w:t>of</w:t>
      </w:r>
      <w:r>
        <w:rPr>
          <w:spacing w:val="-4"/>
        </w:rPr>
        <w:t xml:space="preserve"> </w:t>
      </w:r>
      <w:r>
        <w:t>$18,036.80</w:t>
      </w:r>
      <w:r>
        <w:rPr>
          <w:spacing w:val="-3"/>
        </w:rPr>
        <w:t xml:space="preserve"> </w:t>
      </w:r>
      <w:r>
        <w:t>to</w:t>
      </w:r>
      <w:r>
        <w:rPr>
          <w:spacing w:val="-3"/>
        </w:rPr>
        <w:t xml:space="preserve"> </w:t>
      </w:r>
      <w:r>
        <w:t>meet</w:t>
      </w:r>
      <w:r>
        <w:rPr>
          <w:spacing w:val="-3"/>
        </w:rPr>
        <w:t xml:space="preserve"> </w:t>
      </w:r>
      <w:r>
        <w:t>these</w:t>
      </w:r>
      <w:r>
        <w:rPr>
          <w:spacing w:val="-4"/>
        </w:rPr>
        <w:t xml:space="preserve"> </w:t>
      </w:r>
      <w:r>
        <w:t>reporting</w:t>
      </w:r>
      <w:r>
        <w:rPr>
          <w:spacing w:val="-3"/>
        </w:rPr>
        <w:t xml:space="preserve"> </w:t>
      </w:r>
      <w:r>
        <w:t>requirements. Below</w:t>
      </w:r>
      <w:r>
        <w:rPr>
          <w:spacing w:val="-1"/>
        </w:rPr>
        <w:t xml:space="preserve"> </w:t>
      </w:r>
      <w:r>
        <w:t>is the</w:t>
      </w:r>
      <w:r>
        <w:rPr>
          <w:spacing w:val="-1"/>
        </w:rPr>
        <w:t xml:space="preserve"> </w:t>
      </w:r>
      <w:r>
        <w:t>estimate</w:t>
      </w:r>
      <w:r>
        <w:rPr>
          <w:spacing w:val="-1"/>
        </w:rPr>
        <w:t xml:space="preserve"> </w:t>
      </w:r>
      <w:r>
        <w:t>of</w:t>
      </w:r>
      <w:r>
        <w:rPr>
          <w:spacing w:val="-1"/>
        </w:rPr>
        <w:t xml:space="preserve"> </w:t>
      </w:r>
      <w:r>
        <w:t>the</w:t>
      </w:r>
      <w:r>
        <w:rPr>
          <w:spacing w:val="-1"/>
        </w:rPr>
        <w:t xml:space="preserve"> </w:t>
      </w:r>
      <w:r>
        <w:t>burden imposed on a State</w:t>
      </w:r>
      <w:r>
        <w:rPr>
          <w:spacing w:val="-1"/>
        </w:rPr>
        <w:t xml:space="preserve"> </w:t>
      </w:r>
      <w:r>
        <w:t>subject to the</w:t>
      </w:r>
      <w:r>
        <w:rPr>
          <w:spacing w:val="-1"/>
        </w:rPr>
        <w:t xml:space="preserve"> </w:t>
      </w:r>
      <w:r>
        <w:t>reporting requirements of this final rule.</w:t>
      </w:r>
    </w:p>
    <w:p w:rsidR="008406CE" w14:paraId="49A8BEAE" w14:textId="77777777">
      <w:pPr>
        <w:pStyle w:val="BodyText"/>
        <w:spacing w:before="3"/>
      </w:pPr>
    </w:p>
    <w:p w:rsidR="008406CE" w14:paraId="69A7F54C" w14:textId="77777777">
      <w:pPr>
        <w:pStyle w:val="Heading1"/>
        <w:ind w:left="119"/>
      </w:pPr>
      <w:r>
        <w:t>Table</w:t>
      </w:r>
      <w:r>
        <w:rPr>
          <w:spacing w:val="-5"/>
        </w:rPr>
        <w:t xml:space="preserve"> </w:t>
      </w:r>
      <w:r>
        <w:t>2:</w:t>
      </w:r>
      <w:r>
        <w:rPr>
          <w:spacing w:val="-2"/>
        </w:rPr>
        <w:t xml:space="preserve"> </w:t>
      </w:r>
      <w:r>
        <w:t>Burden</w:t>
      </w:r>
      <w:r>
        <w:rPr>
          <w:spacing w:val="-1"/>
        </w:rPr>
        <w:t xml:space="preserve"> </w:t>
      </w:r>
      <w:r>
        <w:t>to</w:t>
      </w:r>
      <w:r>
        <w:rPr>
          <w:spacing w:val="-2"/>
        </w:rPr>
        <w:t xml:space="preserve"> </w:t>
      </w:r>
      <w:r>
        <w:t>Change</w:t>
      </w:r>
      <w:r>
        <w:rPr>
          <w:spacing w:val="-2"/>
        </w:rPr>
        <w:t xml:space="preserve"> </w:t>
      </w:r>
      <w:r>
        <w:t>EHB-Benchmark</w:t>
      </w:r>
      <w:r>
        <w:rPr>
          <w:spacing w:val="-1"/>
        </w:rPr>
        <w:t xml:space="preserve"> </w:t>
      </w:r>
      <w:r>
        <w:rPr>
          <w:spacing w:val="-4"/>
        </w:rPr>
        <w:t>Plan</w:t>
      </w:r>
    </w:p>
    <w:p w:rsidR="008406CE" w14:paraId="6B7A4783" w14:textId="77777777">
      <w:pPr>
        <w:pStyle w:val="BodyText"/>
        <w:spacing w:before="49"/>
        <w:rPr>
          <w:b/>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5"/>
        <w:gridCol w:w="1351"/>
        <w:gridCol w:w="1709"/>
        <w:gridCol w:w="1080"/>
        <w:gridCol w:w="1440"/>
        <w:gridCol w:w="1550"/>
      </w:tblGrid>
      <w:tr w14:paraId="522A2896" w14:textId="77777777">
        <w:tblPrEx>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34"/>
        </w:trPr>
        <w:tc>
          <w:tcPr>
            <w:tcW w:w="2155" w:type="dxa"/>
          </w:tcPr>
          <w:p w:rsidR="008406CE" w14:paraId="4D1663CD" w14:textId="77777777">
            <w:pPr>
              <w:pStyle w:val="TableParagraph"/>
              <w:spacing w:line="275" w:lineRule="exact"/>
              <w:ind w:left="83"/>
              <w:jc w:val="left"/>
              <w:rPr>
                <w:b/>
                <w:sz w:val="24"/>
              </w:rPr>
            </w:pPr>
            <w:r>
              <w:rPr>
                <w:b/>
                <w:sz w:val="24"/>
              </w:rPr>
              <w:t>Labor</w:t>
            </w:r>
            <w:r>
              <w:rPr>
                <w:b/>
                <w:spacing w:val="-2"/>
                <w:sz w:val="24"/>
              </w:rPr>
              <w:t xml:space="preserve"> Category</w:t>
            </w:r>
          </w:p>
        </w:tc>
        <w:tc>
          <w:tcPr>
            <w:tcW w:w="1351" w:type="dxa"/>
          </w:tcPr>
          <w:p w:rsidR="008406CE" w14:paraId="6EFF8902" w14:textId="77777777">
            <w:pPr>
              <w:pStyle w:val="TableParagraph"/>
              <w:ind w:left="19" w:firstLine="98"/>
              <w:jc w:val="left"/>
              <w:rPr>
                <w:b/>
                <w:sz w:val="24"/>
              </w:rPr>
            </w:pPr>
            <w:r>
              <w:rPr>
                <w:b/>
                <w:sz w:val="24"/>
              </w:rPr>
              <w:t xml:space="preserve">Number of </w:t>
            </w:r>
            <w:r>
              <w:rPr>
                <w:b/>
                <w:spacing w:val="-2"/>
                <w:sz w:val="24"/>
              </w:rPr>
              <w:t>Respondents</w:t>
            </w:r>
          </w:p>
        </w:tc>
        <w:tc>
          <w:tcPr>
            <w:tcW w:w="1709" w:type="dxa"/>
          </w:tcPr>
          <w:p w:rsidR="008406CE" w14:paraId="5C381440" w14:textId="77777777">
            <w:pPr>
              <w:pStyle w:val="TableParagraph"/>
              <w:ind w:left="29" w:right="23" w:firstLine="2"/>
              <w:rPr>
                <w:b/>
                <w:sz w:val="24"/>
              </w:rPr>
            </w:pPr>
            <w:r>
              <w:rPr>
                <w:b/>
                <w:sz w:val="24"/>
              </w:rPr>
              <w:t>Hourly Labor Costs (Hourly rate + 100% Fringe</w:t>
            </w:r>
            <w:r>
              <w:rPr>
                <w:b/>
                <w:spacing w:val="-15"/>
                <w:sz w:val="24"/>
              </w:rPr>
              <w:t xml:space="preserve"> </w:t>
            </w:r>
            <w:r>
              <w:rPr>
                <w:b/>
                <w:sz w:val="24"/>
              </w:rPr>
              <w:t>Benefits)</w:t>
            </w:r>
          </w:p>
        </w:tc>
        <w:tc>
          <w:tcPr>
            <w:tcW w:w="1080" w:type="dxa"/>
          </w:tcPr>
          <w:p w:rsidR="008406CE" w14:paraId="6E6DC545" w14:textId="77777777">
            <w:pPr>
              <w:pStyle w:val="TableParagraph"/>
              <w:ind w:left="218" w:right="138" w:hanging="68"/>
              <w:jc w:val="left"/>
              <w:rPr>
                <w:b/>
                <w:sz w:val="24"/>
              </w:rPr>
            </w:pPr>
            <w:r>
              <w:rPr>
                <w:b/>
                <w:spacing w:val="-2"/>
                <w:sz w:val="24"/>
              </w:rPr>
              <w:t xml:space="preserve">Burden </w:t>
            </w:r>
            <w:r>
              <w:rPr>
                <w:b/>
                <w:spacing w:val="-4"/>
                <w:sz w:val="24"/>
              </w:rPr>
              <w:t>Hours</w:t>
            </w:r>
          </w:p>
        </w:tc>
        <w:tc>
          <w:tcPr>
            <w:tcW w:w="1440" w:type="dxa"/>
          </w:tcPr>
          <w:p w:rsidR="008406CE" w14:paraId="0435E919" w14:textId="77777777">
            <w:pPr>
              <w:pStyle w:val="TableParagraph"/>
              <w:ind w:left="11"/>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50" w:type="dxa"/>
          </w:tcPr>
          <w:p w:rsidR="008406CE" w14:paraId="233C0F78" w14:textId="77777777">
            <w:pPr>
              <w:pStyle w:val="TableParagraph"/>
              <w:ind w:left="64" w:right="85" w:firstLine="1"/>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053C4B32" w14:textId="77777777">
        <w:tblPrEx>
          <w:tblW w:w="0" w:type="auto"/>
          <w:tblInd w:w="163" w:type="dxa"/>
          <w:tblLayout w:type="fixed"/>
          <w:tblCellMar>
            <w:left w:w="0" w:type="dxa"/>
            <w:right w:w="0" w:type="dxa"/>
          </w:tblCellMar>
          <w:tblLook w:val="01E0"/>
        </w:tblPrEx>
        <w:trPr>
          <w:trHeight w:val="1170"/>
        </w:trPr>
        <w:tc>
          <w:tcPr>
            <w:tcW w:w="2155" w:type="dxa"/>
          </w:tcPr>
          <w:p w:rsidR="008406CE" w14:paraId="3663F2F6" w14:textId="77777777">
            <w:pPr>
              <w:pStyle w:val="TableParagraph"/>
              <w:spacing w:before="32"/>
              <w:ind w:left="107" w:right="53"/>
              <w:jc w:val="left"/>
              <w:rPr>
                <w:sz w:val="24"/>
              </w:rPr>
            </w:pPr>
            <w:r>
              <w:rPr>
                <w:sz w:val="24"/>
              </w:rPr>
              <w:t>Financial</w:t>
            </w:r>
            <w:r>
              <w:rPr>
                <w:spacing w:val="-15"/>
                <w:sz w:val="24"/>
              </w:rPr>
              <w:t xml:space="preserve"> </w:t>
            </w:r>
            <w:r>
              <w:rPr>
                <w:sz w:val="24"/>
              </w:rPr>
              <w:t>Examiners (State Government, excluding schools and hospitals)</w:t>
            </w:r>
          </w:p>
        </w:tc>
        <w:tc>
          <w:tcPr>
            <w:tcW w:w="1351" w:type="dxa"/>
          </w:tcPr>
          <w:p w:rsidR="008406CE" w14:paraId="336C937F" w14:textId="77777777">
            <w:pPr>
              <w:pStyle w:val="TableParagraph"/>
              <w:spacing w:line="275" w:lineRule="exact"/>
              <w:ind w:right="18"/>
              <w:rPr>
                <w:sz w:val="24"/>
              </w:rPr>
            </w:pPr>
            <w:r>
              <w:rPr>
                <w:spacing w:val="-10"/>
                <w:sz w:val="24"/>
              </w:rPr>
              <w:t>5</w:t>
            </w:r>
          </w:p>
        </w:tc>
        <w:tc>
          <w:tcPr>
            <w:tcW w:w="1709" w:type="dxa"/>
          </w:tcPr>
          <w:p w:rsidR="008406CE" w14:paraId="67633797" w14:textId="77777777">
            <w:pPr>
              <w:pStyle w:val="TableParagraph"/>
              <w:spacing w:line="275" w:lineRule="exact"/>
              <w:ind w:right="23"/>
              <w:rPr>
                <w:sz w:val="24"/>
              </w:rPr>
            </w:pPr>
            <w:r>
              <w:rPr>
                <w:spacing w:val="-2"/>
                <w:sz w:val="24"/>
              </w:rPr>
              <w:t>$79.04</w:t>
            </w:r>
          </w:p>
        </w:tc>
        <w:tc>
          <w:tcPr>
            <w:tcW w:w="1080" w:type="dxa"/>
          </w:tcPr>
          <w:p w:rsidR="008406CE" w14:paraId="64588E7E" w14:textId="77777777">
            <w:pPr>
              <w:pStyle w:val="TableParagraph"/>
              <w:spacing w:line="275" w:lineRule="exact"/>
              <w:ind w:right="21"/>
              <w:rPr>
                <w:sz w:val="24"/>
              </w:rPr>
            </w:pPr>
            <w:r>
              <w:rPr>
                <w:spacing w:val="-5"/>
                <w:sz w:val="24"/>
              </w:rPr>
              <w:t>29</w:t>
            </w:r>
          </w:p>
        </w:tc>
        <w:tc>
          <w:tcPr>
            <w:tcW w:w="1440" w:type="dxa"/>
          </w:tcPr>
          <w:p w:rsidR="008406CE" w14:paraId="345F7488" w14:textId="77777777">
            <w:pPr>
              <w:pStyle w:val="TableParagraph"/>
              <w:spacing w:line="275" w:lineRule="exact"/>
              <w:ind w:left="11" w:right="32"/>
              <w:rPr>
                <w:sz w:val="24"/>
              </w:rPr>
            </w:pPr>
            <w:r>
              <w:rPr>
                <w:spacing w:val="-2"/>
                <w:sz w:val="24"/>
              </w:rPr>
              <w:t>$2,292.16</w:t>
            </w:r>
          </w:p>
        </w:tc>
        <w:tc>
          <w:tcPr>
            <w:tcW w:w="1550" w:type="dxa"/>
          </w:tcPr>
          <w:p w:rsidR="008406CE" w14:paraId="4D064971" w14:textId="77777777">
            <w:pPr>
              <w:pStyle w:val="TableParagraph"/>
              <w:spacing w:line="275" w:lineRule="exact"/>
              <w:ind w:right="21"/>
              <w:rPr>
                <w:sz w:val="24"/>
              </w:rPr>
            </w:pPr>
            <w:r>
              <w:rPr>
                <w:spacing w:val="-2"/>
                <w:sz w:val="24"/>
              </w:rPr>
              <w:t>$11,460.80</w:t>
            </w:r>
          </w:p>
        </w:tc>
      </w:tr>
      <w:tr w14:paraId="5258733F" w14:textId="77777777">
        <w:tblPrEx>
          <w:tblW w:w="0" w:type="auto"/>
          <w:tblInd w:w="163" w:type="dxa"/>
          <w:tblLayout w:type="fixed"/>
          <w:tblCellMar>
            <w:left w:w="0" w:type="dxa"/>
            <w:right w:w="0" w:type="dxa"/>
          </w:tblCellMar>
          <w:tblLook w:val="01E0"/>
        </w:tblPrEx>
        <w:trPr>
          <w:trHeight w:val="890"/>
        </w:trPr>
        <w:tc>
          <w:tcPr>
            <w:tcW w:w="2155" w:type="dxa"/>
          </w:tcPr>
          <w:p w:rsidR="008406CE" w14:paraId="751D7A27" w14:textId="77777777">
            <w:pPr>
              <w:pStyle w:val="TableParagraph"/>
              <w:spacing w:before="30"/>
              <w:ind w:left="107" w:right="49"/>
              <w:jc w:val="both"/>
              <w:rPr>
                <w:sz w:val="24"/>
              </w:rPr>
            </w:pPr>
            <w:r>
              <w:rPr>
                <w:sz w:val="24"/>
              </w:rPr>
              <w:t>Actuary</w:t>
            </w:r>
            <w:r>
              <w:rPr>
                <w:spacing w:val="-15"/>
                <w:sz w:val="24"/>
              </w:rPr>
              <w:t xml:space="preserve"> </w:t>
            </w:r>
            <w:r>
              <w:rPr>
                <w:sz w:val="24"/>
              </w:rPr>
              <w:t>(Member</w:t>
            </w:r>
            <w:r>
              <w:rPr>
                <w:spacing w:val="-15"/>
                <w:sz w:val="24"/>
              </w:rPr>
              <w:t xml:space="preserve"> </w:t>
            </w:r>
            <w:r>
              <w:rPr>
                <w:sz w:val="24"/>
              </w:rPr>
              <w:t>of American Academy of Actuaries)</w:t>
            </w:r>
          </w:p>
        </w:tc>
        <w:tc>
          <w:tcPr>
            <w:tcW w:w="1351" w:type="dxa"/>
          </w:tcPr>
          <w:p w:rsidR="008406CE" w14:paraId="06E424D4" w14:textId="77777777">
            <w:pPr>
              <w:pStyle w:val="TableParagraph"/>
              <w:spacing w:line="275" w:lineRule="exact"/>
              <w:ind w:right="18"/>
              <w:rPr>
                <w:sz w:val="24"/>
              </w:rPr>
            </w:pPr>
            <w:r>
              <w:rPr>
                <w:spacing w:val="-10"/>
                <w:sz w:val="24"/>
              </w:rPr>
              <w:t>5</w:t>
            </w:r>
          </w:p>
        </w:tc>
        <w:tc>
          <w:tcPr>
            <w:tcW w:w="1709" w:type="dxa"/>
          </w:tcPr>
          <w:p w:rsidR="008406CE" w14:paraId="796599D3" w14:textId="77777777">
            <w:pPr>
              <w:pStyle w:val="TableParagraph"/>
              <w:spacing w:line="275" w:lineRule="exact"/>
              <w:ind w:right="23"/>
              <w:rPr>
                <w:sz w:val="24"/>
              </w:rPr>
            </w:pPr>
            <w:r>
              <w:rPr>
                <w:spacing w:val="-2"/>
                <w:sz w:val="24"/>
              </w:rPr>
              <w:t>$109.60</w:t>
            </w:r>
          </w:p>
        </w:tc>
        <w:tc>
          <w:tcPr>
            <w:tcW w:w="1080" w:type="dxa"/>
          </w:tcPr>
          <w:p w:rsidR="008406CE" w14:paraId="49CB386D" w14:textId="77777777">
            <w:pPr>
              <w:pStyle w:val="TableParagraph"/>
              <w:spacing w:line="275" w:lineRule="exact"/>
              <w:ind w:right="21"/>
              <w:rPr>
                <w:sz w:val="24"/>
              </w:rPr>
            </w:pPr>
            <w:r>
              <w:rPr>
                <w:spacing w:val="-5"/>
                <w:sz w:val="24"/>
              </w:rPr>
              <w:t>12</w:t>
            </w:r>
          </w:p>
        </w:tc>
        <w:tc>
          <w:tcPr>
            <w:tcW w:w="1440" w:type="dxa"/>
          </w:tcPr>
          <w:p w:rsidR="008406CE" w14:paraId="14408258" w14:textId="77777777">
            <w:pPr>
              <w:pStyle w:val="TableParagraph"/>
              <w:spacing w:line="275" w:lineRule="exact"/>
              <w:ind w:left="11" w:right="32"/>
              <w:rPr>
                <w:sz w:val="24"/>
              </w:rPr>
            </w:pPr>
            <w:r>
              <w:rPr>
                <w:spacing w:val="-2"/>
                <w:sz w:val="24"/>
              </w:rPr>
              <w:t>$1,315.20</w:t>
            </w:r>
          </w:p>
        </w:tc>
        <w:tc>
          <w:tcPr>
            <w:tcW w:w="1550" w:type="dxa"/>
          </w:tcPr>
          <w:p w:rsidR="008406CE" w14:paraId="09D52E28" w14:textId="77777777">
            <w:pPr>
              <w:pStyle w:val="TableParagraph"/>
              <w:spacing w:line="275" w:lineRule="exact"/>
              <w:ind w:right="21"/>
              <w:rPr>
                <w:sz w:val="24"/>
              </w:rPr>
            </w:pPr>
            <w:r>
              <w:rPr>
                <w:spacing w:val="-2"/>
                <w:sz w:val="24"/>
              </w:rPr>
              <w:t>$6,576.00</w:t>
            </w:r>
          </w:p>
        </w:tc>
      </w:tr>
      <w:tr w14:paraId="6FEC8256" w14:textId="77777777">
        <w:tblPrEx>
          <w:tblW w:w="0" w:type="auto"/>
          <w:tblInd w:w="163" w:type="dxa"/>
          <w:tblLayout w:type="fixed"/>
          <w:tblCellMar>
            <w:left w:w="0" w:type="dxa"/>
            <w:right w:w="0" w:type="dxa"/>
          </w:tblCellMar>
          <w:tblLook w:val="01E0"/>
        </w:tblPrEx>
        <w:trPr>
          <w:trHeight w:val="539"/>
        </w:trPr>
        <w:tc>
          <w:tcPr>
            <w:tcW w:w="2155" w:type="dxa"/>
          </w:tcPr>
          <w:p w:rsidR="008406CE" w14:paraId="264A1300" w14:textId="77777777">
            <w:pPr>
              <w:pStyle w:val="TableParagraph"/>
              <w:spacing w:line="275" w:lineRule="exact"/>
              <w:ind w:left="107"/>
              <w:jc w:val="left"/>
              <w:rPr>
                <w:b/>
                <w:sz w:val="24"/>
              </w:rPr>
            </w:pPr>
            <w:r>
              <w:rPr>
                <w:b/>
                <w:sz w:val="24"/>
              </w:rPr>
              <w:t>Total</w:t>
            </w:r>
            <w:r>
              <w:rPr>
                <w:b/>
                <w:spacing w:val="-1"/>
                <w:sz w:val="24"/>
              </w:rPr>
              <w:t xml:space="preserve"> </w:t>
            </w:r>
            <w:r>
              <w:rPr>
                <w:b/>
                <w:sz w:val="24"/>
              </w:rPr>
              <w:t>-</w:t>
            </w:r>
            <w:r>
              <w:rPr>
                <w:b/>
                <w:spacing w:val="-1"/>
                <w:sz w:val="24"/>
              </w:rPr>
              <w:t xml:space="preserve"> </w:t>
            </w:r>
            <w:r>
              <w:rPr>
                <w:b/>
                <w:spacing w:val="-2"/>
                <w:sz w:val="24"/>
              </w:rPr>
              <w:t>Annual</w:t>
            </w:r>
          </w:p>
        </w:tc>
        <w:tc>
          <w:tcPr>
            <w:tcW w:w="1351" w:type="dxa"/>
          </w:tcPr>
          <w:p w:rsidR="008406CE" w14:paraId="02C7BC0C" w14:textId="77777777">
            <w:pPr>
              <w:pStyle w:val="TableParagraph"/>
              <w:jc w:val="left"/>
            </w:pPr>
          </w:p>
        </w:tc>
        <w:tc>
          <w:tcPr>
            <w:tcW w:w="1709" w:type="dxa"/>
          </w:tcPr>
          <w:p w:rsidR="008406CE" w14:paraId="4385D20E" w14:textId="77777777">
            <w:pPr>
              <w:pStyle w:val="TableParagraph"/>
              <w:jc w:val="left"/>
            </w:pPr>
          </w:p>
        </w:tc>
        <w:tc>
          <w:tcPr>
            <w:tcW w:w="1080" w:type="dxa"/>
          </w:tcPr>
          <w:p w:rsidR="008406CE" w14:paraId="7FD837AE" w14:textId="77777777">
            <w:pPr>
              <w:pStyle w:val="TableParagraph"/>
              <w:spacing w:line="275" w:lineRule="exact"/>
              <w:ind w:right="21"/>
              <w:rPr>
                <w:sz w:val="24"/>
              </w:rPr>
            </w:pPr>
            <w:r>
              <w:rPr>
                <w:spacing w:val="-5"/>
                <w:sz w:val="24"/>
              </w:rPr>
              <w:t>205</w:t>
            </w:r>
          </w:p>
        </w:tc>
        <w:tc>
          <w:tcPr>
            <w:tcW w:w="1440" w:type="dxa"/>
          </w:tcPr>
          <w:p w:rsidR="008406CE" w14:paraId="24DD01D4" w14:textId="77777777">
            <w:pPr>
              <w:pStyle w:val="TableParagraph"/>
              <w:jc w:val="left"/>
            </w:pPr>
          </w:p>
        </w:tc>
        <w:tc>
          <w:tcPr>
            <w:tcW w:w="1550" w:type="dxa"/>
          </w:tcPr>
          <w:p w:rsidR="008406CE" w14:paraId="4D9BDFFB" w14:textId="77777777">
            <w:pPr>
              <w:pStyle w:val="TableParagraph"/>
              <w:spacing w:line="275" w:lineRule="exact"/>
              <w:ind w:right="21"/>
              <w:rPr>
                <w:sz w:val="24"/>
              </w:rPr>
            </w:pPr>
            <w:r>
              <w:rPr>
                <w:spacing w:val="-2"/>
                <w:sz w:val="24"/>
              </w:rPr>
              <w:t>$18,036.80</w:t>
            </w:r>
          </w:p>
        </w:tc>
      </w:tr>
      <w:tr w14:paraId="4F304745" w14:textId="77777777">
        <w:tblPrEx>
          <w:tblW w:w="0" w:type="auto"/>
          <w:tblInd w:w="163" w:type="dxa"/>
          <w:tblLayout w:type="fixed"/>
          <w:tblCellMar>
            <w:left w:w="0" w:type="dxa"/>
            <w:right w:w="0" w:type="dxa"/>
          </w:tblCellMar>
          <w:tblLook w:val="01E0"/>
        </w:tblPrEx>
        <w:trPr>
          <w:trHeight w:val="592"/>
        </w:trPr>
        <w:tc>
          <w:tcPr>
            <w:tcW w:w="2155" w:type="dxa"/>
          </w:tcPr>
          <w:p w:rsidR="008406CE" w14:paraId="5F511B7F" w14:textId="77777777">
            <w:pPr>
              <w:pStyle w:val="TableParagraph"/>
              <w:ind w:left="107" w:right="760"/>
              <w:jc w:val="left"/>
              <w:rPr>
                <w:b/>
                <w:sz w:val="24"/>
              </w:rPr>
            </w:pPr>
            <w:r>
              <w:rPr>
                <w:b/>
                <w:sz w:val="24"/>
              </w:rPr>
              <w:t>Total – Three</w:t>
            </w:r>
            <w:r>
              <w:rPr>
                <w:b/>
                <w:spacing w:val="-15"/>
                <w:sz w:val="24"/>
              </w:rPr>
              <w:t xml:space="preserve"> </w:t>
            </w:r>
            <w:r>
              <w:rPr>
                <w:b/>
                <w:sz w:val="24"/>
              </w:rPr>
              <w:t>Years</w:t>
            </w:r>
          </w:p>
        </w:tc>
        <w:tc>
          <w:tcPr>
            <w:tcW w:w="1351" w:type="dxa"/>
          </w:tcPr>
          <w:p w:rsidR="008406CE" w14:paraId="4598B386" w14:textId="77777777">
            <w:pPr>
              <w:pStyle w:val="TableParagraph"/>
              <w:jc w:val="left"/>
            </w:pPr>
          </w:p>
        </w:tc>
        <w:tc>
          <w:tcPr>
            <w:tcW w:w="1709" w:type="dxa"/>
          </w:tcPr>
          <w:p w:rsidR="008406CE" w14:paraId="0E2BF419" w14:textId="77777777">
            <w:pPr>
              <w:pStyle w:val="TableParagraph"/>
              <w:jc w:val="left"/>
            </w:pPr>
          </w:p>
        </w:tc>
        <w:tc>
          <w:tcPr>
            <w:tcW w:w="1080" w:type="dxa"/>
          </w:tcPr>
          <w:p w:rsidR="008406CE" w14:paraId="47402372" w14:textId="77777777">
            <w:pPr>
              <w:pStyle w:val="TableParagraph"/>
              <w:spacing w:line="275" w:lineRule="exact"/>
              <w:ind w:right="21"/>
              <w:rPr>
                <w:sz w:val="24"/>
              </w:rPr>
            </w:pPr>
            <w:r>
              <w:rPr>
                <w:spacing w:val="-5"/>
                <w:sz w:val="24"/>
              </w:rPr>
              <w:t>615</w:t>
            </w:r>
          </w:p>
        </w:tc>
        <w:tc>
          <w:tcPr>
            <w:tcW w:w="1440" w:type="dxa"/>
          </w:tcPr>
          <w:p w:rsidR="008406CE" w14:paraId="029CA762" w14:textId="77777777">
            <w:pPr>
              <w:pStyle w:val="TableParagraph"/>
              <w:jc w:val="left"/>
            </w:pPr>
          </w:p>
        </w:tc>
        <w:tc>
          <w:tcPr>
            <w:tcW w:w="1550" w:type="dxa"/>
          </w:tcPr>
          <w:p w:rsidR="008406CE" w14:paraId="4ECDFB58" w14:textId="77777777">
            <w:pPr>
              <w:pStyle w:val="TableParagraph"/>
              <w:spacing w:line="275" w:lineRule="exact"/>
              <w:ind w:right="21"/>
              <w:rPr>
                <w:sz w:val="24"/>
              </w:rPr>
            </w:pPr>
            <w:r>
              <w:rPr>
                <w:spacing w:val="-2"/>
                <w:sz w:val="24"/>
              </w:rPr>
              <w:t>$54,110.40</w:t>
            </w:r>
          </w:p>
        </w:tc>
      </w:tr>
    </w:tbl>
    <w:p w:rsidR="008406CE" w14:paraId="0A2B0CEB" w14:textId="77777777">
      <w:pPr>
        <w:pStyle w:val="BodyText"/>
        <w:spacing w:before="13"/>
        <w:rPr>
          <w:b/>
        </w:rPr>
      </w:pPr>
    </w:p>
    <w:p w:rsidR="008406CE" w14:paraId="309B4799" w14:textId="77777777">
      <w:pPr>
        <w:pStyle w:val="ListParagraph"/>
        <w:numPr>
          <w:ilvl w:val="1"/>
          <w:numId w:val="2"/>
        </w:numPr>
        <w:tabs>
          <w:tab w:val="left" w:pos="839"/>
        </w:tabs>
        <w:ind w:left="839" w:hanging="719"/>
        <w:rPr>
          <w:sz w:val="24"/>
        </w:rPr>
      </w:pPr>
      <w:bookmarkStart w:id="18" w:name="13._Capital_Costs"/>
      <w:bookmarkEnd w:id="18"/>
      <w:r>
        <w:rPr>
          <w:sz w:val="24"/>
          <w:u w:val="single"/>
        </w:rPr>
        <w:t>Capital</w:t>
      </w:r>
      <w:r>
        <w:rPr>
          <w:spacing w:val="-2"/>
          <w:sz w:val="24"/>
          <w:u w:val="single"/>
        </w:rPr>
        <w:t xml:space="preserve"> Costs</w:t>
      </w:r>
    </w:p>
    <w:p w:rsidR="008406CE" w14:paraId="50168336" w14:textId="77777777">
      <w:pPr>
        <w:pStyle w:val="BodyText"/>
      </w:pPr>
    </w:p>
    <w:p w:rsidR="008406CE" w14:paraId="0AB4852A" w14:textId="77777777">
      <w:pPr>
        <w:pStyle w:val="BodyText"/>
        <w:ind w:left="120"/>
      </w:pPr>
      <w:r>
        <w:t>There</w:t>
      </w:r>
      <w:r>
        <w:rPr>
          <w:spacing w:val="-3"/>
        </w:rPr>
        <w:t xml:space="preserve"> </w:t>
      </w:r>
      <w:r>
        <w:t>are</w:t>
      </w:r>
      <w:r>
        <w:rPr>
          <w:spacing w:val="-3"/>
        </w:rPr>
        <w:t xml:space="preserve"> </w:t>
      </w:r>
      <w:r>
        <w:t>no anticipated capital</w:t>
      </w:r>
      <w:r>
        <w:rPr>
          <w:spacing w:val="-2"/>
        </w:rPr>
        <w:t xml:space="preserve"> </w:t>
      </w:r>
      <w:r>
        <w:t>costs</w:t>
      </w:r>
      <w:r>
        <w:rPr>
          <w:spacing w:val="-1"/>
        </w:rPr>
        <w:t xml:space="preserve"> </w:t>
      </w:r>
      <w:r>
        <w:t>associated with</w:t>
      </w:r>
      <w:r>
        <w:rPr>
          <w:spacing w:val="-2"/>
        </w:rPr>
        <w:t xml:space="preserve"> </w:t>
      </w:r>
      <w:r>
        <w:t>this</w:t>
      </w:r>
      <w:r>
        <w:rPr>
          <w:spacing w:val="-2"/>
        </w:rPr>
        <w:t xml:space="preserve"> </w:t>
      </w:r>
      <w:r>
        <w:t>data</w:t>
      </w:r>
      <w:r>
        <w:rPr>
          <w:spacing w:val="-2"/>
        </w:rPr>
        <w:t xml:space="preserve"> collection.</w:t>
      </w:r>
    </w:p>
    <w:p w:rsidR="008406CE" w14:paraId="4A6547DE" w14:textId="77777777">
      <w:pPr>
        <w:sectPr>
          <w:footerReference w:type="default" r:id="rId7"/>
          <w:pgSz w:w="12240" w:h="15840"/>
          <w:pgMar w:top="1360" w:right="1140" w:bottom="1800" w:left="1320" w:header="0" w:footer="1600" w:gutter="0"/>
          <w:cols w:space="720"/>
        </w:sectPr>
      </w:pPr>
    </w:p>
    <w:p w:rsidR="008406CE" w14:paraId="2A82DE8D" w14:textId="77777777">
      <w:pPr>
        <w:pStyle w:val="ListParagraph"/>
        <w:numPr>
          <w:ilvl w:val="1"/>
          <w:numId w:val="2"/>
        </w:numPr>
        <w:tabs>
          <w:tab w:val="left" w:pos="839"/>
        </w:tabs>
        <w:spacing w:before="79"/>
        <w:ind w:left="839" w:hanging="719"/>
        <w:rPr>
          <w:sz w:val="24"/>
        </w:rPr>
      </w:pPr>
      <w:bookmarkStart w:id="19" w:name="_bookmark4"/>
      <w:bookmarkStart w:id="20" w:name="14._Cost_to_Federal_Government"/>
      <w:bookmarkEnd w:id="19"/>
      <w:bookmarkEnd w:id="20"/>
      <w:r>
        <w:rPr>
          <w:sz w:val="24"/>
          <w:u w:val="single"/>
        </w:rPr>
        <w:t>Cost</w:t>
      </w:r>
      <w:r>
        <w:rPr>
          <w:spacing w:val="-3"/>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8406CE" w14:paraId="79A084F6" w14:textId="77777777">
      <w:pPr>
        <w:pStyle w:val="BodyText"/>
      </w:pPr>
    </w:p>
    <w:p w:rsidR="008406CE" w14:paraId="1E19C4FC" w14:textId="77777777">
      <w:pPr>
        <w:pStyle w:val="BodyText"/>
        <w:ind w:left="120" w:right="432"/>
      </w:pPr>
      <w:r>
        <w:t>The</w:t>
      </w:r>
      <w:r>
        <w:rPr>
          <w:spacing w:val="-6"/>
        </w:rPr>
        <w:t xml:space="preserve"> </w:t>
      </w:r>
      <w:r>
        <w:t>burden</w:t>
      </w:r>
      <w:r>
        <w:rPr>
          <w:spacing w:val="-5"/>
        </w:rPr>
        <w:t xml:space="preserve"> </w:t>
      </w:r>
      <w:r>
        <w:t>to</w:t>
      </w:r>
      <w:r>
        <w:rPr>
          <w:spacing w:val="-5"/>
        </w:rPr>
        <w:t xml:space="preserve"> </w:t>
      </w:r>
      <w:r>
        <w:t>the</w:t>
      </w:r>
      <w:r>
        <w:rPr>
          <w:spacing w:val="-6"/>
        </w:rPr>
        <w:t xml:space="preserve"> </w:t>
      </w:r>
      <w:r>
        <w:t>Federal</w:t>
      </w:r>
      <w:r>
        <w:rPr>
          <w:spacing w:val="-5"/>
        </w:rPr>
        <w:t xml:space="preserve"> </w:t>
      </w:r>
      <w:r>
        <w:t>government</w:t>
      </w:r>
      <w:r>
        <w:rPr>
          <w:spacing w:val="-5"/>
        </w:rPr>
        <w:t xml:space="preserve"> </w:t>
      </w:r>
      <w:r>
        <w:t>associated</w:t>
      </w:r>
      <w:r>
        <w:rPr>
          <w:spacing w:val="-8"/>
        </w:rPr>
        <w:t xml:space="preserve"> </w:t>
      </w:r>
      <w:r>
        <w:t>with</w:t>
      </w:r>
      <w:r>
        <w:rPr>
          <w:spacing w:val="-5"/>
        </w:rPr>
        <w:t xml:space="preserve"> </w:t>
      </w:r>
      <w:r>
        <w:t>this</w:t>
      </w:r>
      <w:r>
        <w:rPr>
          <w:spacing w:val="-5"/>
        </w:rPr>
        <w:t xml:space="preserve"> </w:t>
      </w:r>
      <w:r>
        <w:t>information</w:t>
      </w:r>
      <w:r>
        <w:rPr>
          <w:spacing w:val="-5"/>
        </w:rPr>
        <w:t xml:space="preserve"> </w:t>
      </w:r>
      <w:r>
        <w:t>collection</w:t>
      </w:r>
      <w:r>
        <w:rPr>
          <w:spacing w:val="-5"/>
        </w:rPr>
        <w:t xml:space="preserve"> </w:t>
      </w:r>
      <w:r>
        <w:t>is</w:t>
      </w:r>
      <w:r>
        <w:rPr>
          <w:spacing w:val="-5"/>
        </w:rPr>
        <w:t xml:space="preserve"> </w:t>
      </w:r>
      <w:r>
        <w:t>$15,700.20. The calculations for CCIIO employees’ hourly</w:t>
      </w:r>
      <w:r>
        <w:rPr>
          <w:spacing w:val="-1"/>
        </w:rPr>
        <w:t xml:space="preserve"> </w:t>
      </w:r>
      <w:r>
        <w:t>salary</w:t>
      </w:r>
      <w:r>
        <w:rPr>
          <w:spacing w:val="-1"/>
        </w:rPr>
        <w:t xml:space="preserve"> </w:t>
      </w:r>
      <w:r>
        <w:t xml:space="preserve">were obtained from the OPM website: </w:t>
      </w:r>
      <w:hyperlink r:id="rId8">
        <w:r>
          <w:rPr>
            <w:color w:val="0000FF"/>
            <w:spacing w:val="-2"/>
            <w:u w:val="single" w:color="0000FF"/>
          </w:rPr>
          <w:t>https://www.opm.gov/policy-data-oversight/pay-leave/salaries-wages/salary-</w:t>
        </w:r>
      </w:hyperlink>
      <w:r>
        <w:rPr>
          <w:color w:val="0000FF"/>
          <w:spacing w:val="-2"/>
        </w:rPr>
        <w:t xml:space="preserve"> </w:t>
      </w:r>
      <w:hyperlink r:id="rId8">
        <w:r>
          <w:rPr>
            <w:color w:val="0000FF"/>
            <w:spacing w:val="-2"/>
            <w:u w:val="single" w:color="0000FF"/>
          </w:rPr>
          <w:t>tables/24Tables/html/GS_h.aspx</w:t>
        </w:r>
      </w:hyperlink>
    </w:p>
    <w:p w:rsidR="008406CE" w14:paraId="5DA6B583" w14:textId="77777777">
      <w:pPr>
        <w:pStyle w:val="BodyText"/>
        <w:spacing w:before="43"/>
      </w:pPr>
    </w:p>
    <w:p w:rsidR="008406CE" w14:paraId="5F8E44BF" w14:textId="77777777">
      <w:pPr>
        <w:pStyle w:val="Heading1"/>
        <w:ind w:right="776"/>
      </w:pPr>
      <w:r>
        <w:t>Table</w:t>
      </w:r>
      <w:r>
        <w:rPr>
          <w:spacing w:val="-6"/>
        </w:rPr>
        <w:t xml:space="preserve"> </w:t>
      </w:r>
      <w:r>
        <w:t>8:</w:t>
      </w:r>
      <w:r>
        <w:rPr>
          <w:spacing w:val="-6"/>
        </w:rPr>
        <w:t xml:space="preserve"> </w:t>
      </w:r>
      <w:r>
        <w:t>Administrative</w:t>
      </w:r>
      <w:r>
        <w:rPr>
          <w:spacing w:val="-6"/>
        </w:rPr>
        <w:t xml:space="preserve"> </w:t>
      </w:r>
      <w:r>
        <w:t>Burden</w:t>
      </w:r>
      <w:r>
        <w:rPr>
          <w:spacing w:val="-5"/>
        </w:rPr>
        <w:t xml:space="preserve"> </w:t>
      </w:r>
      <w:r>
        <w:t>Costs</w:t>
      </w:r>
      <w:r>
        <w:rPr>
          <w:spacing w:val="-5"/>
        </w:rPr>
        <w:t xml:space="preserve"> </w:t>
      </w:r>
      <w:r>
        <w:t>for</w:t>
      </w:r>
      <w:r>
        <w:rPr>
          <w:spacing w:val="-6"/>
        </w:rPr>
        <w:t xml:space="preserve"> </w:t>
      </w:r>
      <w:r>
        <w:t>the</w:t>
      </w:r>
      <w:r>
        <w:rPr>
          <w:spacing w:val="-6"/>
        </w:rPr>
        <w:t xml:space="preserve"> </w:t>
      </w:r>
      <w:r>
        <w:t>Federal</w:t>
      </w:r>
      <w:r>
        <w:rPr>
          <w:spacing w:val="-5"/>
        </w:rPr>
        <w:t xml:space="preserve"> </w:t>
      </w:r>
      <w:r>
        <w:t>Government</w:t>
      </w:r>
      <w:r>
        <w:rPr>
          <w:spacing w:val="-6"/>
        </w:rPr>
        <w:t xml:space="preserve"> </w:t>
      </w:r>
      <w:r>
        <w:t>Associated</w:t>
      </w:r>
      <w:r>
        <w:rPr>
          <w:spacing w:val="-5"/>
        </w:rPr>
        <w:t xml:space="preserve"> </w:t>
      </w:r>
      <w:r>
        <w:t>with</w:t>
      </w:r>
      <w:r>
        <w:rPr>
          <w:spacing w:val="-5"/>
        </w:rPr>
        <w:t xml:space="preserve"> </w:t>
      </w:r>
      <w:r>
        <w:t>the EHB-Benchmark Plan Selection</w:t>
      </w:r>
    </w:p>
    <w:p w:rsidR="008406CE" w14:paraId="6FF02B46" w14:textId="77777777">
      <w:pPr>
        <w:pStyle w:val="BodyText"/>
        <w:spacing w:before="76"/>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9"/>
        <w:gridCol w:w="4500"/>
      </w:tblGrid>
      <w:tr w14:paraId="52414889"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4399" w:type="dxa"/>
          </w:tcPr>
          <w:p w:rsidR="008406CE" w14:paraId="6BB91F1A" w14:textId="77777777">
            <w:pPr>
              <w:pStyle w:val="TableParagraph"/>
              <w:spacing w:before="20" w:line="259" w:lineRule="exact"/>
              <w:ind w:right="20"/>
              <w:rPr>
                <w:b/>
                <w:sz w:val="24"/>
              </w:rPr>
            </w:pPr>
            <w:r>
              <w:rPr>
                <w:b/>
                <w:spacing w:val="-4"/>
                <w:sz w:val="24"/>
              </w:rPr>
              <w:t>Task</w:t>
            </w:r>
          </w:p>
        </w:tc>
        <w:tc>
          <w:tcPr>
            <w:tcW w:w="4500" w:type="dxa"/>
          </w:tcPr>
          <w:p w:rsidR="008406CE" w14:paraId="37EB2042" w14:textId="77777777">
            <w:pPr>
              <w:pStyle w:val="TableParagraph"/>
              <w:spacing w:before="20" w:line="259" w:lineRule="exact"/>
              <w:ind w:right="16"/>
              <w:rPr>
                <w:b/>
                <w:sz w:val="24"/>
              </w:rPr>
            </w:pPr>
            <w:r>
              <w:rPr>
                <w:b/>
                <w:sz w:val="24"/>
              </w:rPr>
              <w:t>Estimated</w:t>
            </w:r>
            <w:r>
              <w:rPr>
                <w:b/>
                <w:spacing w:val="-7"/>
                <w:sz w:val="24"/>
              </w:rPr>
              <w:t xml:space="preserve"> </w:t>
            </w:r>
            <w:r>
              <w:rPr>
                <w:b/>
                <w:spacing w:val="-4"/>
                <w:sz w:val="24"/>
              </w:rPr>
              <w:t>Cost</w:t>
            </w:r>
          </w:p>
        </w:tc>
      </w:tr>
      <w:tr w14:paraId="79595F18" w14:textId="77777777">
        <w:tblPrEx>
          <w:tblW w:w="0" w:type="auto"/>
          <w:tblInd w:w="130" w:type="dxa"/>
          <w:tblLayout w:type="fixed"/>
          <w:tblCellMar>
            <w:left w:w="0" w:type="dxa"/>
            <w:right w:w="0" w:type="dxa"/>
          </w:tblCellMar>
          <w:tblLook w:val="01E0"/>
        </w:tblPrEx>
        <w:trPr>
          <w:trHeight w:val="299"/>
        </w:trPr>
        <w:tc>
          <w:tcPr>
            <w:tcW w:w="4399" w:type="dxa"/>
          </w:tcPr>
          <w:p w:rsidR="008406CE" w14:paraId="2D889154" w14:textId="77777777">
            <w:pPr>
              <w:pStyle w:val="TableParagraph"/>
              <w:spacing w:before="15" w:line="264" w:lineRule="exact"/>
              <w:ind w:left="83"/>
              <w:jc w:val="left"/>
              <w:rPr>
                <w:sz w:val="24"/>
              </w:rPr>
            </w:pPr>
            <w:r>
              <w:rPr>
                <w:sz w:val="24"/>
              </w:rPr>
              <w:t>1</w:t>
            </w:r>
            <w:r>
              <w:rPr>
                <w:spacing w:val="-1"/>
                <w:sz w:val="24"/>
              </w:rPr>
              <w:t xml:space="preserve"> </w:t>
            </w:r>
            <w:r>
              <w:rPr>
                <w:sz w:val="24"/>
              </w:rPr>
              <w:t>FTE</w:t>
            </w:r>
            <w:r>
              <w:rPr>
                <w:spacing w:val="-1"/>
                <w:sz w:val="24"/>
              </w:rPr>
              <w:t xml:space="preserve"> </w:t>
            </w:r>
            <w:r>
              <w:rPr>
                <w:sz w:val="24"/>
              </w:rPr>
              <w:t>GS-14: 1 x</w:t>
            </w:r>
            <w:r>
              <w:rPr>
                <w:spacing w:val="2"/>
                <w:sz w:val="24"/>
              </w:rPr>
              <w:t xml:space="preserve"> </w:t>
            </w:r>
            <w:r>
              <w:rPr>
                <w:sz w:val="24"/>
              </w:rPr>
              <w:t>$100.24</w:t>
            </w:r>
            <w:r>
              <w:rPr>
                <w:sz w:val="24"/>
                <w:vertAlign w:val="superscript"/>
              </w:rPr>
              <w:t>1</w:t>
            </w:r>
            <w:r>
              <w:rPr>
                <w:spacing w:val="1"/>
                <w:sz w:val="24"/>
              </w:rPr>
              <w:t xml:space="preserve"> </w:t>
            </w:r>
            <w:r>
              <w:rPr>
                <w:sz w:val="24"/>
              </w:rPr>
              <w:t>x</w:t>
            </w:r>
            <w:r>
              <w:rPr>
                <w:spacing w:val="2"/>
                <w:sz w:val="24"/>
              </w:rPr>
              <w:t xml:space="preserve"> </w:t>
            </w:r>
            <w:r>
              <w:rPr>
                <w:sz w:val="24"/>
              </w:rPr>
              <w:t>50</w:t>
            </w:r>
            <w:r>
              <w:rPr>
                <w:spacing w:val="2"/>
                <w:sz w:val="24"/>
              </w:rPr>
              <w:t xml:space="preserve"> </w:t>
            </w:r>
            <w:r>
              <w:rPr>
                <w:spacing w:val="-2"/>
                <w:sz w:val="24"/>
              </w:rPr>
              <w:t>hours</w:t>
            </w:r>
          </w:p>
        </w:tc>
        <w:tc>
          <w:tcPr>
            <w:tcW w:w="4500" w:type="dxa"/>
          </w:tcPr>
          <w:p w:rsidR="008406CE" w14:paraId="6B3C0A05" w14:textId="77777777">
            <w:pPr>
              <w:pStyle w:val="TableParagraph"/>
              <w:spacing w:before="15" w:line="264" w:lineRule="exact"/>
              <w:ind w:left="2" w:right="16"/>
              <w:rPr>
                <w:sz w:val="24"/>
              </w:rPr>
            </w:pPr>
            <w:r>
              <w:rPr>
                <w:spacing w:val="-2"/>
                <w:sz w:val="24"/>
              </w:rPr>
              <w:t>$5,012.00</w:t>
            </w:r>
          </w:p>
        </w:tc>
      </w:tr>
      <w:tr w14:paraId="0F01B5BD" w14:textId="77777777">
        <w:tblPrEx>
          <w:tblW w:w="0" w:type="auto"/>
          <w:tblInd w:w="130" w:type="dxa"/>
          <w:tblLayout w:type="fixed"/>
          <w:tblCellMar>
            <w:left w:w="0" w:type="dxa"/>
            <w:right w:w="0" w:type="dxa"/>
          </w:tblCellMar>
          <w:tblLook w:val="01E0"/>
        </w:tblPrEx>
        <w:trPr>
          <w:trHeight w:val="299"/>
        </w:trPr>
        <w:tc>
          <w:tcPr>
            <w:tcW w:w="4399" w:type="dxa"/>
          </w:tcPr>
          <w:p w:rsidR="008406CE" w14:paraId="74A21087" w14:textId="77777777">
            <w:pPr>
              <w:pStyle w:val="TableParagraph"/>
              <w:spacing w:before="15" w:line="264" w:lineRule="exact"/>
              <w:ind w:left="83"/>
              <w:jc w:val="left"/>
              <w:rPr>
                <w:sz w:val="24"/>
              </w:rPr>
            </w:pPr>
            <w:r>
              <w:rPr>
                <w:sz w:val="24"/>
              </w:rPr>
              <w:t>1</w:t>
            </w:r>
            <w:r>
              <w:rPr>
                <w:spacing w:val="-1"/>
                <w:sz w:val="24"/>
              </w:rPr>
              <w:t xml:space="preserve"> </w:t>
            </w:r>
            <w:r>
              <w:rPr>
                <w:sz w:val="24"/>
              </w:rPr>
              <w:t>FTE</w:t>
            </w:r>
            <w:r>
              <w:rPr>
                <w:spacing w:val="-1"/>
                <w:sz w:val="24"/>
              </w:rPr>
              <w:t xml:space="preserve"> </w:t>
            </w:r>
            <w:r>
              <w:rPr>
                <w:sz w:val="24"/>
              </w:rPr>
              <w:t>GS-13: 1 x</w:t>
            </w:r>
            <w:r>
              <w:rPr>
                <w:spacing w:val="2"/>
                <w:sz w:val="24"/>
              </w:rPr>
              <w:t xml:space="preserve"> </w:t>
            </w:r>
            <w:r>
              <w:rPr>
                <w:sz w:val="24"/>
              </w:rPr>
              <w:t>$84.82</w:t>
            </w:r>
            <w:r>
              <w:rPr>
                <w:sz w:val="24"/>
                <w:vertAlign w:val="superscript"/>
              </w:rPr>
              <w:t>1</w:t>
            </w:r>
            <w:r>
              <w:rPr>
                <w:spacing w:val="1"/>
                <w:sz w:val="24"/>
              </w:rPr>
              <w:t xml:space="preserve"> </w:t>
            </w:r>
            <w:r>
              <w:rPr>
                <w:sz w:val="24"/>
              </w:rPr>
              <w:t>x</w:t>
            </w:r>
            <w:r>
              <w:rPr>
                <w:spacing w:val="2"/>
                <w:sz w:val="24"/>
              </w:rPr>
              <w:t xml:space="preserve"> </w:t>
            </w:r>
            <w:r>
              <w:rPr>
                <w:sz w:val="24"/>
              </w:rPr>
              <w:t>10</w:t>
            </w:r>
            <w:r>
              <w:rPr>
                <w:spacing w:val="2"/>
                <w:sz w:val="24"/>
              </w:rPr>
              <w:t xml:space="preserve"> </w:t>
            </w:r>
            <w:r>
              <w:rPr>
                <w:spacing w:val="-2"/>
                <w:sz w:val="24"/>
              </w:rPr>
              <w:t>hours</w:t>
            </w:r>
          </w:p>
        </w:tc>
        <w:tc>
          <w:tcPr>
            <w:tcW w:w="4500" w:type="dxa"/>
          </w:tcPr>
          <w:p w:rsidR="008406CE" w14:paraId="08611224" w14:textId="77777777">
            <w:pPr>
              <w:pStyle w:val="TableParagraph"/>
              <w:spacing w:before="15" w:line="264" w:lineRule="exact"/>
              <w:ind w:right="16"/>
              <w:rPr>
                <w:sz w:val="24"/>
              </w:rPr>
            </w:pPr>
            <w:r>
              <w:rPr>
                <w:spacing w:val="-2"/>
                <w:sz w:val="24"/>
              </w:rPr>
              <w:t>$848.20</w:t>
            </w:r>
          </w:p>
        </w:tc>
      </w:tr>
      <w:tr w14:paraId="578E8C48" w14:textId="77777777">
        <w:tblPrEx>
          <w:tblW w:w="0" w:type="auto"/>
          <w:tblInd w:w="130" w:type="dxa"/>
          <w:tblLayout w:type="fixed"/>
          <w:tblCellMar>
            <w:left w:w="0" w:type="dxa"/>
            <w:right w:w="0" w:type="dxa"/>
          </w:tblCellMar>
          <w:tblLook w:val="01E0"/>
        </w:tblPrEx>
        <w:trPr>
          <w:trHeight w:val="302"/>
        </w:trPr>
        <w:tc>
          <w:tcPr>
            <w:tcW w:w="4399" w:type="dxa"/>
          </w:tcPr>
          <w:p w:rsidR="008406CE" w14:paraId="4FA5D226" w14:textId="77777777">
            <w:pPr>
              <w:pStyle w:val="TableParagraph"/>
              <w:spacing w:before="1"/>
              <w:ind w:left="83"/>
              <w:jc w:val="left"/>
              <w:rPr>
                <w:sz w:val="24"/>
              </w:rPr>
            </w:pPr>
            <w:r>
              <w:rPr>
                <w:sz w:val="24"/>
              </w:rPr>
              <w:t>1</w:t>
            </w:r>
            <w:r>
              <w:rPr>
                <w:spacing w:val="-1"/>
                <w:sz w:val="24"/>
              </w:rPr>
              <w:t xml:space="preserve"> </w:t>
            </w:r>
            <w:r>
              <w:rPr>
                <w:sz w:val="24"/>
              </w:rPr>
              <w:t>FTE</w:t>
            </w:r>
            <w:r>
              <w:rPr>
                <w:spacing w:val="-1"/>
                <w:sz w:val="24"/>
              </w:rPr>
              <w:t xml:space="preserve"> </w:t>
            </w:r>
            <w:r>
              <w:rPr>
                <w:sz w:val="24"/>
              </w:rPr>
              <w:t>GS-9: 1 x</w:t>
            </w:r>
            <w:r>
              <w:rPr>
                <w:spacing w:val="2"/>
                <w:sz w:val="24"/>
              </w:rPr>
              <w:t xml:space="preserve"> </w:t>
            </w:r>
            <w:r>
              <w:rPr>
                <w:sz w:val="24"/>
              </w:rPr>
              <w:t>$49.20</w:t>
            </w:r>
            <w:r>
              <w:rPr>
                <w:sz w:val="24"/>
                <w:vertAlign w:val="superscript"/>
              </w:rPr>
              <w:t>1</w:t>
            </w:r>
            <w:r>
              <w:rPr>
                <w:spacing w:val="1"/>
                <w:sz w:val="24"/>
              </w:rPr>
              <w:t xml:space="preserve"> </w:t>
            </w:r>
            <w:r>
              <w:rPr>
                <w:sz w:val="24"/>
              </w:rPr>
              <w:t>x</w:t>
            </w:r>
            <w:r>
              <w:rPr>
                <w:spacing w:val="2"/>
                <w:sz w:val="24"/>
              </w:rPr>
              <w:t xml:space="preserve"> </w:t>
            </w:r>
            <w:r>
              <w:rPr>
                <w:sz w:val="24"/>
              </w:rPr>
              <w:t>200</w:t>
            </w:r>
            <w:r>
              <w:rPr>
                <w:spacing w:val="2"/>
                <w:sz w:val="24"/>
              </w:rPr>
              <w:t xml:space="preserve"> </w:t>
            </w:r>
            <w:r>
              <w:rPr>
                <w:spacing w:val="-2"/>
                <w:sz w:val="24"/>
              </w:rPr>
              <w:t>hours</w:t>
            </w:r>
          </w:p>
        </w:tc>
        <w:tc>
          <w:tcPr>
            <w:tcW w:w="4500" w:type="dxa"/>
          </w:tcPr>
          <w:p w:rsidR="008406CE" w14:paraId="277BE861" w14:textId="77777777">
            <w:pPr>
              <w:pStyle w:val="TableParagraph"/>
              <w:spacing w:before="1"/>
              <w:ind w:left="2" w:right="16"/>
              <w:rPr>
                <w:sz w:val="24"/>
              </w:rPr>
            </w:pPr>
            <w:r>
              <w:rPr>
                <w:spacing w:val="-2"/>
                <w:sz w:val="24"/>
              </w:rPr>
              <w:t>$9,840.00</w:t>
            </w:r>
          </w:p>
        </w:tc>
      </w:tr>
      <w:tr w14:paraId="27956FA8" w14:textId="77777777">
        <w:tblPrEx>
          <w:tblW w:w="0" w:type="auto"/>
          <w:tblInd w:w="130" w:type="dxa"/>
          <w:tblLayout w:type="fixed"/>
          <w:tblCellMar>
            <w:left w:w="0" w:type="dxa"/>
            <w:right w:w="0" w:type="dxa"/>
          </w:tblCellMar>
          <w:tblLook w:val="01E0"/>
        </w:tblPrEx>
        <w:trPr>
          <w:trHeight w:val="299"/>
        </w:trPr>
        <w:tc>
          <w:tcPr>
            <w:tcW w:w="4399" w:type="dxa"/>
          </w:tcPr>
          <w:p w:rsidR="008406CE" w14:paraId="12A88518" w14:textId="77777777">
            <w:pPr>
              <w:pStyle w:val="TableParagraph"/>
              <w:spacing w:before="15" w:line="264" w:lineRule="exact"/>
              <w:ind w:left="83"/>
              <w:jc w:val="left"/>
              <w:rPr>
                <w:b/>
                <w:sz w:val="24"/>
              </w:rPr>
            </w:pPr>
            <w:r>
              <w:rPr>
                <w:b/>
                <w:sz w:val="24"/>
              </w:rPr>
              <w:t>Total</w:t>
            </w:r>
            <w:r>
              <w:rPr>
                <w:b/>
                <w:spacing w:val="-2"/>
                <w:sz w:val="24"/>
              </w:rPr>
              <w:t xml:space="preserve"> </w:t>
            </w:r>
            <w:r>
              <w:rPr>
                <w:b/>
                <w:sz w:val="24"/>
              </w:rPr>
              <w:t>Costs</w:t>
            </w:r>
            <w:r>
              <w:rPr>
                <w:b/>
                <w:spacing w:val="-2"/>
                <w:sz w:val="24"/>
              </w:rPr>
              <w:t xml:space="preserve"> </w:t>
            </w:r>
            <w:r>
              <w:rPr>
                <w:b/>
                <w:sz w:val="24"/>
              </w:rPr>
              <w:t>to</w:t>
            </w:r>
            <w:r>
              <w:rPr>
                <w:b/>
                <w:spacing w:val="-1"/>
                <w:sz w:val="24"/>
              </w:rPr>
              <w:t xml:space="preserve"> </w:t>
            </w:r>
            <w:r>
              <w:rPr>
                <w:b/>
                <w:spacing w:val="-2"/>
                <w:sz w:val="24"/>
              </w:rPr>
              <w:t>Government</w:t>
            </w:r>
          </w:p>
        </w:tc>
        <w:tc>
          <w:tcPr>
            <w:tcW w:w="4500" w:type="dxa"/>
          </w:tcPr>
          <w:p w:rsidR="008406CE" w14:paraId="6606A283" w14:textId="77777777">
            <w:pPr>
              <w:pStyle w:val="TableParagraph"/>
              <w:spacing w:before="15" w:line="264" w:lineRule="exact"/>
              <w:ind w:left="2" w:right="16"/>
              <w:rPr>
                <w:b/>
                <w:sz w:val="24"/>
              </w:rPr>
            </w:pPr>
            <w:r>
              <w:rPr>
                <w:b/>
                <w:spacing w:val="-2"/>
                <w:sz w:val="24"/>
              </w:rPr>
              <w:t>$15,700.20</w:t>
            </w:r>
          </w:p>
        </w:tc>
      </w:tr>
    </w:tbl>
    <w:p w:rsidR="008406CE" w14:paraId="2AE9415F" w14:textId="77777777">
      <w:pPr>
        <w:spacing w:before="2"/>
        <w:ind w:left="120"/>
        <w:rPr>
          <w:sz w:val="20"/>
        </w:rPr>
      </w:pPr>
      <w:r>
        <w:rPr>
          <w:sz w:val="20"/>
          <w:vertAlign w:val="superscript"/>
        </w:rPr>
        <w:t>1</w:t>
      </w:r>
      <w:r>
        <w:rPr>
          <w:spacing w:val="-5"/>
          <w:sz w:val="20"/>
        </w:rPr>
        <w:t xml:space="preserve"> </w:t>
      </w:r>
      <w:r>
        <w:rPr>
          <w:sz w:val="20"/>
        </w:rPr>
        <w:t>Hourly</w:t>
      </w:r>
      <w:r>
        <w:rPr>
          <w:spacing w:val="-3"/>
          <w:sz w:val="20"/>
        </w:rPr>
        <w:t xml:space="preserve"> </w:t>
      </w:r>
      <w:r>
        <w:rPr>
          <w:sz w:val="20"/>
        </w:rPr>
        <w:t>basic</w:t>
      </w:r>
      <w:r>
        <w:rPr>
          <w:spacing w:val="-4"/>
          <w:sz w:val="20"/>
        </w:rPr>
        <w:t xml:space="preserve"> </w:t>
      </w:r>
      <w:r>
        <w:rPr>
          <w:sz w:val="20"/>
        </w:rPr>
        <w:t>rate</w:t>
      </w:r>
      <w:r>
        <w:rPr>
          <w:spacing w:val="-4"/>
          <w:sz w:val="20"/>
        </w:rPr>
        <w:t xml:space="preserve"> </w:t>
      </w:r>
      <w:r>
        <w:rPr>
          <w:sz w:val="20"/>
        </w:rPr>
        <w:t>+</w:t>
      </w:r>
      <w:r>
        <w:rPr>
          <w:spacing w:val="-6"/>
          <w:sz w:val="20"/>
        </w:rPr>
        <w:t xml:space="preserve"> </w:t>
      </w:r>
      <w:r>
        <w:rPr>
          <w:sz w:val="20"/>
        </w:rPr>
        <w:t>100%</w:t>
      </w:r>
      <w:r>
        <w:rPr>
          <w:spacing w:val="-5"/>
          <w:sz w:val="20"/>
        </w:rPr>
        <w:t xml:space="preserve"> </w:t>
      </w:r>
      <w:r>
        <w:rPr>
          <w:sz w:val="20"/>
        </w:rPr>
        <w:t>fringe</w:t>
      </w:r>
      <w:r>
        <w:rPr>
          <w:spacing w:val="-4"/>
          <w:sz w:val="20"/>
        </w:rPr>
        <w:t xml:space="preserve"> </w:t>
      </w:r>
      <w:r>
        <w:rPr>
          <w:sz w:val="20"/>
        </w:rPr>
        <w:t>benefit</w:t>
      </w:r>
      <w:r>
        <w:rPr>
          <w:spacing w:val="-4"/>
          <w:sz w:val="20"/>
        </w:rPr>
        <w:t xml:space="preserve"> rate.</w:t>
      </w:r>
    </w:p>
    <w:p w:rsidR="008406CE" w14:paraId="517D9BF9" w14:textId="77777777">
      <w:pPr>
        <w:pStyle w:val="BodyText"/>
        <w:spacing w:before="52"/>
        <w:rPr>
          <w:sz w:val="20"/>
        </w:rPr>
      </w:pPr>
    </w:p>
    <w:p w:rsidR="008406CE" w14:paraId="5AD57DB7" w14:textId="77777777">
      <w:pPr>
        <w:pStyle w:val="ListParagraph"/>
        <w:numPr>
          <w:ilvl w:val="1"/>
          <w:numId w:val="2"/>
        </w:numPr>
        <w:tabs>
          <w:tab w:val="left" w:pos="839"/>
        </w:tabs>
        <w:ind w:left="839" w:hanging="719"/>
        <w:rPr>
          <w:sz w:val="24"/>
        </w:rPr>
      </w:pPr>
      <w:bookmarkStart w:id="21" w:name="15._Changes_to_Burden"/>
      <w:bookmarkEnd w:id="21"/>
      <w:r>
        <w:rPr>
          <w:sz w:val="24"/>
          <w:u w:val="single"/>
        </w:rPr>
        <w:t>Changes</w:t>
      </w:r>
      <w:r>
        <w:rPr>
          <w:spacing w:val="-1"/>
          <w:sz w:val="24"/>
          <w:u w:val="single"/>
        </w:rPr>
        <w:t xml:space="preserve"> </w:t>
      </w:r>
      <w:r>
        <w:rPr>
          <w:sz w:val="24"/>
          <w:u w:val="single"/>
        </w:rPr>
        <w:t>to</w:t>
      </w:r>
      <w:r>
        <w:rPr>
          <w:spacing w:val="-1"/>
          <w:sz w:val="24"/>
          <w:u w:val="single"/>
        </w:rPr>
        <w:t xml:space="preserve"> </w:t>
      </w:r>
      <w:r>
        <w:rPr>
          <w:spacing w:val="-2"/>
          <w:sz w:val="24"/>
          <w:u w:val="single"/>
        </w:rPr>
        <w:t>Burden</w:t>
      </w:r>
    </w:p>
    <w:p w:rsidR="008406CE" w14:paraId="4B44C2A7" w14:textId="77777777">
      <w:pPr>
        <w:pStyle w:val="BodyText"/>
        <w:spacing w:before="3"/>
      </w:pPr>
    </w:p>
    <w:p w:rsidR="008406CE" w14:paraId="27EC4D19" w14:textId="77777777">
      <w:pPr>
        <w:pStyle w:val="BodyText"/>
        <w:ind w:left="120" w:right="395"/>
      </w:pPr>
      <w:r>
        <w:t>There is an overall decrease in the financial burden from the 2023 extension PRA package because</w:t>
      </w:r>
      <w:r>
        <w:rPr>
          <w:spacing w:val="-4"/>
        </w:rPr>
        <w:t xml:space="preserve"> </w:t>
      </w:r>
      <w:r>
        <w:t>of</w:t>
      </w:r>
      <w:r>
        <w:rPr>
          <w:spacing w:val="-4"/>
        </w:rPr>
        <w:t xml:space="preserve"> </w:t>
      </w:r>
      <w:r>
        <w:t>the</w:t>
      </w:r>
      <w:r>
        <w:rPr>
          <w:spacing w:val="-4"/>
        </w:rPr>
        <w:t xml:space="preserve"> </w:t>
      </w:r>
      <w:r>
        <w:t>reduction</w:t>
      </w:r>
      <w:r>
        <w:rPr>
          <w:spacing w:val="-1"/>
        </w:rPr>
        <w:t xml:space="preserve"> </w:t>
      </w:r>
      <w:r>
        <w:t>in</w:t>
      </w:r>
      <w:r>
        <w:rPr>
          <w:spacing w:val="-3"/>
        </w:rPr>
        <w:t xml:space="preserve"> </w:t>
      </w:r>
      <w:r>
        <w:t>the</w:t>
      </w:r>
      <w:r>
        <w:rPr>
          <w:spacing w:val="-4"/>
        </w:rPr>
        <w:t xml:space="preserve"> </w:t>
      </w:r>
      <w:r>
        <w:t>number</w:t>
      </w:r>
      <w:r>
        <w:rPr>
          <w:spacing w:val="-4"/>
        </w:rPr>
        <w:t xml:space="preserve"> </w:t>
      </w:r>
      <w:r>
        <w:t>of</w:t>
      </w:r>
      <w:r>
        <w:rPr>
          <w:spacing w:val="-4"/>
        </w:rPr>
        <w:t xml:space="preserve"> </w:t>
      </w:r>
      <w:r>
        <w:t>States</w:t>
      </w:r>
      <w:r>
        <w:rPr>
          <w:spacing w:val="-3"/>
        </w:rPr>
        <w:t xml:space="preserve"> </w:t>
      </w:r>
      <w:r>
        <w:t>from</w:t>
      </w:r>
      <w:r>
        <w:rPr>
          <w:spacing w:val="-3"/>
        </w:rPr>
        <w:t xml:space="preserve"> </w:t>
      </w:r>
      <w:r>
        <w:t>10</w:t>
      </w:r>
      <w:r>
        <w:rPr>
          <w:spacing w:val="-3"/>
        </w:rPr>
        <w:t xml:space="preserve"> </w:t>
      </w:r>
      <w:r>
        <w:t>to</w:t>
      </w:r>
      <w:r>
        <w:rPr>
          <w:spacing w:val="-3"/>
        </w:rPr>
        <w:t xml:space="preserve"> </w:t>
      </w:r>
      <w:r>
        <w:t>5.</w:t>
      </w:r>
      <w:r>
        <w:rPr>
          <w:spacing w:val="-3"/>
        </w:rPr>
        <w:t xml:space="preserve"> </w:t>
      </w:r>
      <w:r>
        <w:t>The</w:t>
      </w:r>
      <w:r>
        <w:rPr>
          <w:spacing w:val="-4"/>
        </w:rPr>
        <w:t xml:space="preserve"> </w:t>
      </w:r>
      <w:r>
        <w:t>total</w:t>
      </w:r>
      <w:r>
        <w:rPr>
          <w:spacing w:val="-3"/>
        </w:rPr>
        <w:t xml:space="preserve"> </w:t>
      </w:r>
      <w:r>
        <w:t>burden</w:t>
      </w:r>
      <w:r>
        <w:rPr>
          <w:spacing w:val="-3"/>
        </w:rPr>
        <w:t xml:space="preserve"> </w:t>
      </w:r>
      <w:r>
        <w:t>hours</w:t>
      </w:r>
      <w:r>
        <w:rPr>
          <w:spacing w:val="-3"/>
        </w:rPr>
        <w:t xml:space="preserve"> </w:t>
      </w:r>
      <w:r>
        <w:t>decreased from 470 hours to 205 hours, which is a decrease of 265 hours. The estimated annual costs decreased from $44,441.40 to $18,036.80, which is a decrease of $26,404.60. There was an increase in the adjusted hourly wage rates as we previously used the mean wage rate but were advised by OMB to use the median wage rate for the labor categories.</w:t>
      </w:r>
    </w:p>
    <w:p w:rsidR="008406CE" w14:paraId="2F56760D" w14:textId="77777777">
      <w:pPr>
        <w:pStyle w:val="BodyText"/>
      </w:pPr>
    </w:p>
    <w:p w:rsidR="008406CE" w14:paraId="22FB8C84" w14:textId="77777777">
      <w:pPr>
        <w:pStyle w:val="ListParagraph"/>
        <w:numPr>
          <w:ilvl w:val="1"/>
          <w:numId w:val="2"/>
        </w:numPr>
        <w:tabs>
          <w:tab w:val="left" w:pos="839"/>
        </w:tabs>
        <w:ind w:left="839" w:hanging="719"/>
        <w:rPr>
          <w:sz w:val="24"/>
        </w:rPr>
      </w:pPr>
      <w:bookmarkStart w:id="22" w:name="16._Publication/Tabulation_Dates"/>
      <w:bookmarkEnd w:id="22"/>
      <w:r>
        <w:rPr>
          <w:sz w:val="24"/>
          <w:u w:val="single"/>
        </w:rPr>
        <w:t>Publication/Tabulation</w:t>
      </w:r>
      <w:r>
        <w:rPr>
          <w:spacing w:val="-5"/>
          <w:sz w:val="24"/>
          <w:u w:val="single"/>
        </w:rPr>
        <w:t xml:space="preserve"> </w:t>
      </w:r>
      <w:r>
        <w:rPr>
          <w:spacing w:val="-2"/>
          <w:sz w:val="24"/>
          <w:u w:val="single"/>
        </w:rPr>
        <w:t>Dates</w:t>
      </w:r>
    </w:p>
    <w:p w:rsidR="008406CE" w14:paraId="274A7BD9" w14:textId="77777777">
      <w:pPr>
        <w:pStyle w:val="BodyText"/>
        <w:spacing w:before="10"/>
      </w:pPr>
    </w:p>
    <w:p w:rsidR="008406CE" w14:paraId="6F7DE9C7" w14:textId="77777777">
      <w:pPr>
        <w:pStyle w:val="BodyText"/>
        <w:ind w:left="120" w:right="395"/>
      </w:pPr>
      <w:r>
        <w:t>In accordance with the 2023 Payment Notice, EHB-benchmark Plan Selection documents covered</w:t>
      </w:r>
      <w:r>
        <w:rPr>
          <w:spacing w:val="-2"/>
        </w:rPr>
        <w:t xml:space="preserve"> </w:t>
      </w:r>
      <w:r>
        <w:t>under</w:t>
      </w:r>
      <w:r>
        <w:rPr>
          <w:spacing w:val="-3"/>
        </w:rPr>
        <w:t xml:space="preserve"> </w:t>
      </w:r>
      <w:r>
        <w:t>this</w:t>
      </w:r>
      <w:r>
        <w:rPr>
          <w:spacing w:val="-2"/>
        </w:rPr>
        <w:t xml:space="preserve"> </w:t>
      </w:r>
      <w:r>
        <w:t>information</w:t>
      </w:r>
      <w:r>
        <w:rPr>
          <w:spacing w:val="-2"/>
        </w:rPr>
        <w:t xml:space="preserve"> </w:t>
      </w:r>
      <w:r>
        <w:t>collection</w:t>
      </w:r>
      <w:r>
        <w:rPr>
          <w:spacing w:val="-2"/>
        </w:rPr>
        <w:t xml:space="preserve"> </w:t>
      </w:r>
      <w:r>
        <w:t>will</w:t>
      </w:r>
      <w:r>
        <w:rPr>
          <w:spacing w:val="-2"/>
        </w:rPr>
        <w:t xml:space="preserve"> </w:t>
      </w:r>
      <w:r>
        <w:t>be</w:t>
      </w:r>
      <w:r>
        <w:rPr>
          <w:spacing w:val="-3"/>
        </w:rPr>
        <w:t xml:space="preserve"> </w:t>
      </w:r>
      <w:r>
        <w:t>posted</w:t>
      </w:r>
      <w:r>
        <w:rPr>
          <w:spacing w:val="-2"/>
        </w:rPr>
        <w:t xml:space="preserve"> </w:t>
      </w:r>
      <w:r>
        <w:t>on</w:t>
      </w:r>
      <w:r>
        <w:rPr>
          <w:spacing w:val="-2"/>
        </w:rPr>
        <w:t xml:space="preserve"> </w:t>
      </w:r>
      <w:r>
        <w:t>the</w:t>
      </w:r>
      <w:r>
        <w:rPr>
          <w:spacing w:val="-3"/>
        </w:rPr>
        <w:t xml:space="preserve"> </w:t>
      </w:r>
      <w:r>
        <w:t>CCIIO</w:t>
      </w:r>
      <w:r>
        <w:rPr>
          <w:spacing w:val="-3"/>
        </w:rPr>
        <w:t xml:space="preserve"> </w:t>
      </w:r>
      <w:r>
        <w:t>website</w:t>
      </w:r>
      <w:hyperlink w:anchor="_bookmark4" w:history="1">
        <w:r>
          <w:rPr>
            <w:vertAlign w:val="superscript"/>
          </w:rPr>
          <w:t>5</w:t>
        </w:r>
      </w:hyperlink>
      <w:r>
        <w:rPr>
          <w:spacing w:val="-1"/>
        </w:rPr>
        <w:t xml:space="preserve"> </w:t>
      </w:r>
      <w:r>
        <w:t>at</w:t>
      </w:r>
      <w:r>
        <w:rPr>
          <w:spacing w:val="-2"/>
        </w:rPr>
        <w:t xml:space="preserve"> </w:t>
      </w:r>
      <w:r>
        <w:t>some</w:t>
      </w:r>
      <w:r>
        <w:rPr>
          <w:spacing w:val="-3"/>
        </w:rPr>
        <w:t xml:space="preserve"> </w:t>
      </w:r>
      <w:r>
        <w:t>point after the annual deadline for State submission for its EHB-benchmark plan.</w:t>
      </w:r>
    </w:p>
    <w:p w:rsidR="008406CE" w14:paraId="4C7E6F1A" w14:textId="77777777">
      <w:pPr>
        <w:pStyle w:val="BodyText"/>
      </w:pPr>
    </w:p>
    <w:p w:rsidR="008406CE" w14:paraId="2979235F" w14:textId="77777777">
      <w:pPr>
        <w:pStyle w:val="ListParagraph"/>
        <w:numPr>
          <w:ilvl w:val="1"/>
          <w:numId w:val="2"/>
        </w:numPr>
        <w:tabs>
          <w:tab w:val="left" w:pos="839"/>
        </w:tabs>
        <w:ind w:left="839" w:hanging="719"/>
        <w:rPr>
          <w:sz w:val="24"/>
        </w:rPr>
      </w:pPr>
      <w:bookmarkStart w:id="23" w:name="17._Expiration_Date"/>
      <w:bookmarkEnd w:id="23"/>
      <w:r>
        <w:rPr>
          <w:sz w:val="24"/>
          <w:u w:val="single"/>
        </w:rPr>
        <w:t>Expiration</w:t>
      </w:r>
      <w:r>
        <w:rPr>
          <w:spacing w:val="-5"/>
          <w:sz w:val="24"/>
          <w:u w:val="single"/>
        </w:rPr>
        <w:t xml:space="preserve"> </w:t>
      </w:r>
      <w:r>
        <w:rPr>
          <w:spacing w:val="-4"/>
          <w:sz w:val="24"/>
          <w:u w:val="single"/>
        </w:rPr>
        <w:t>Date</w:t>
      </w:r>
    </w:p>
    <w:p w:rsidR="008406CE" w14:paraId="274EAEB5" w14:textId="77777777">
      <w:pPr>
        <w:pStyle w:val="BodyText"/>
        <w:spacing w:before="5"/>
      </w:pPr>
    </w:p>
    <w:p w:rsidR="008406CE" w14:paraId="10911C44" w14:textId="77777777">
      <w:pPr>
        <w:pStyle w:val="BodyText"/>
        <w:ind w:left="120" w:right="395"/>
      </w:pPr>
      <w:r>
        <w:t>The</w:t>
      </w:r>
      <w:r>
        <w:rPr>
          <w:spacing w:val="-4"/>
        </w:rPr>
        <w:t xml:space="preserve"> </w:t>
      </w:r>
      <w:r>
        <w:t>expiration</w:t>
      </w:r>
      <w:r>
        <w:rPr>
          <w:spacing w:val="-3"/>
        </w:rPr>
        <w:t xml:space="preserve"> </w:t>
      </w:r>
      <w:r>
        <w:t>date</w:t>
      </w:r>
      <w:r>
        <w:rPr>
          <w:spacing w:val="-4"/>
        </w:rPr>
        <w:t xml:space="preserve"> </w:t>
      </w:r>
      <w:r>
        <w:t>and</w:t>
      </w:r>
      <w:r>
        <w:rPr>
          <w:spacing w:val="-1"/>
        </w:rPr>
        <w:t xml:space="preserve"> </w:t>
      </w:r>
      <w:r>
        <w:t>OMB</w:t>
      </w:r>
      <w:r>
        <w:rPr>
          <w:spacing w:val="-3"/>
        </w:rPr>
        <w:t xml:space="preserve"> </w:t>
      </w:r>
      <w:r>
        <w:t>control</w:t>
      </w:r>
      <w:r>
        <w:rPr>
          <w:spacing w:val="-3"/>
        </w:rPr>
        <w:t xml:space="preserve"> </w:t>
      </w:r>
      <w:r>
        <w:t>number</w:t>
      </w:r>
      <w:r>
        <w:rPr>
          <w:spacing w:val="-4"/>
        </w:rPr>
        <w:t xml:space="preserve"> </w:t>
      </w:r>
      <w:r>
        <w:t>will</w:t>
      </w:r>
      <w:r>
        <w:rPr>
          <w:spacing w:val="-3"/>
        </w:rPr>
        <w:t xml:space="preserve"> </w:t>
      </w:r>
      <w:r>
        <w:t>be</w:t>
      </w:r>
      <w:r>
        <w:rPr>
          <w:spacing w:val="-4"/>
        </w:rPr>
        <w:t xml:space="preserve"> </w:t>
      </w:r>
      <w:r>
        <w:t>displayed</w:t>
      </w:r>
      <w:r>
        <w:rPr>
          <w:spacing w:val="-3"/>
        </w:rPr>
        <w:t xml:space="preserve"> </w:t>
      </w:r>
      <w:r>
        <w:t>on</w:t>
      </w:r>
      <w:r>
        <w:rPr>
          <w:spacing w:val="-3"/>
        </w:rPr>
        <w:t xml:space="preserve"> </w:t>
      </w:r>
      <w:r>
        <w:t>the</w:t>
      </w:r>
      <w:r>
        <w:rPr>
          <w:spacing w:val="-4"/>
        </w:rPr>
        <w:t xml:space="preserve"> </w:t>
      </w:r>
      <w:r>
        <w:t>first</w:t>
      </w:r>
      <w:r>
        <w:rPr>
          <w:spacing w:val="-1"/>
        </w:rPr>
        <w:t xml:space="preserve"> </w:t>
      </w:r>
      <w:r>
        <w:t>page</w:t>
      </w:r>
      <w:r>
        <w:rPr>
          <w:spacing w:val="-4"/>
        </w:rPr>
        <w:t xml:space="preserve"> </w:t>
      </w:r>
      <w:r>
        <w:t>of</w:t>
      </w:r>
      <w:r>
        <w:rPr>
          <w:spacing w:val="-4"/>
        </w:rPr>
        <w:t xml:space="preserve"> </w:t>
      </w:r>
      <w:r>
        <w:t>each instrument (top, right-hand corner).</w:t>
      </w:r>
    </w:p>
    <w:sectPr>
      <w:footerReference w:type="default" r:id="rId9"/>
      <w:pgSz w:w="12240" w:h="15840"/>
      <w:pgMar w:top="1360" w:right="1140" w:bottom="1800" w:left="1320" w:header="0" w:footer="1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CE" w14:paraId="1EBAC81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3813047</wp:posOffset>
              </wp:positionH>
              <wp:positionV relativeFrom="page">
                <wp:posOffset>9270010</wp:posOffset>
              </wp:positionV>
              <wp:extent cx="15938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80975"/>
                      </a:xfrm>
                      <a:prstGeom prst="rect">
                        <a:avLst/>
                      </a:prstGeom>
                    </wps:spPr>
                    <wps:txbx>
                      <w:txbxContent>
                        <w:p w:rsidR="008406CE"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55pt;height:14.25pt;margin-top:729.9pt;margin-left:30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406CE" w14:paraId="11348B99"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CE" w14:paraId="23D47DE5"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ge">
                <wp:posOffset>8915400</wp:posOffset>
              </wp:positionV>
              <wp:extent cx="1828800" cy="762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2050" style="width:2in;height:0.6pt;margin-top:702pt;margin-left:1in;mso-position-horizontal-relative:page;mso-position-vertical-relative:page;mso-wrap-distance-bottom:0;mso-wrap-distance-left:0;mso-wrap-distance-right:0;mso-wrap-distance-top:0;mso-wrap-style:square;position:absolute;visibility:visible;v-text-anchor:top;z-index:-251655168" coordsize="1828800,7620" path="m1828800,l,,,7619l1828800,7619l1828800,xe" fillcolor="black"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8971760</wp:posOffset>
              </wp:positionV>
              <wp:extent cx="3823335" cy="18478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823335" cy="184785"/>
                      </a:xfrm>
                      <a:prstGeom prst="rect">
                        <a:avLst/>
                      </a:prstGeom>
                    </wps:spPr>
                    <wps:txbx>
                      <w:txbxContent>
                        <w:p w:rsidR="008406CE" w14:textId="77777777">
                          <w:pPr>
                            <w:spacing w:before="18"/>
                            <w:ind w:left="20"/>
                          </w:pPr>
                          <w:r>
                            <w:rPr>
                              <w:spacing w:val="-2"/>
                              <w:vertAlign w:val="superscript"/>
                            </w:rPr>
                            <w:t>4</w:t>
                          </w:r>
                          <w:r>
                            <w:rPr>
                              <w:spacing w:val="54"/>
                            </w:rPr>
                            <w:t xml:space="preserve"> </w:t>
                          </w:r>
                          <w:hyperlink r:id="rId1">
                            <w:r>
                              <w:rPr>
                                <w:color w:val="0000FF"/>
                                <w:spacing w:val="-2"/>
                                <w:u w:val="single" w:color="0000FF"/>
                              </w:rPr>
                              <w:t>https://www.cms.gov/CCIIO/Resources/Data-Resources/ehb.html</w:t>
                            </w:r>
                            <w:r>
                              <w:rPr>
                                <w:spacing w:val="-2"/>
                              </w:rPr>
                              <w:t>.</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301.05pt;height:14.55pt;margin-top:706.4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406CE" w14:paraId="4333EC35" w14:textId="77777777">
                    <w:pPr>
                      <w:spacing w:before="18"/>
                      <w:ind w:left="20"/>
                    </w:pPr>
                    <w:r>
                      <w:rPr>
                        <w:spacing w:val="-2"/>
                        <w:vertAlign w:val="superscript"/>
                      </w:rPr>
                      <w:t>4</w:t>
                    </w:r>
                    <w:r>
                      <w:rPr>
                        <w:spacing w:val="54"/>
                      </w:rPr>
                      <w:t xml:space="preserve"> </w:t>
                    </w:r>
                    <w:hyperlink r:id="rId1">
                      <w:r>
                        <w:rPr>
                          <w:color w:val="0000FF"/>
                          <w:spacing w:val="-2"/>
                          <w:u w:val="single" w:color="0000FF"/>
                        </w:rPr>
                        <w:t>https://www.cms.gov/CCIIO/Resources/Data-Resources/ehb.html</w:t>
                      </w:r>
                      <w:r>
                        <w:rPr>
                          <w:spacing w:val="-2"/>
                        </w:rPr>
                        <w:t>.</w:t>
                      </w:r>
                    </w:hyperlink>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3838447</wp:posOffset>
              </wp:positionH>
              <wp:positionV relativeFrom="page">
                <wp:posOffset>9270010</wp:posOffset>
              </wp:positionV>
              <wp:extent cx="95885"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80975"/>
                      </a:xfrm>
                      <a:prstGeom prst="rect">
                        <a:avLst/>
                      </a:prstGeom>
                    </wps:spPr>
                    <wps:txbx>
                      <w:txbxContent>
                        <w:p w:rsidR="008406CE" w14:textId="77777777">
                          <w:pPr>
                            <w:spacing w:before="11"/>
                            <w:ind w:left="20"/>
                          </w:pPr>
                          <w:r>
                            <w:rPr>
                              <w:spacing w:val="-10"/>
                            </w:rPr>
                            <w:t>8</w:t>
                          </w:r>
                        </w:p>
                      </w:txbxContent>
                    </wps:txbx>
                    <wps:bodyPr wrap="square" lIns="0" tIns="0" rIns="0" bIns="0" rtlCol="0"/>
                  </wps:wsp>
                </a:graphicData>
              </a:graphic>
            </wp:anchor>
          </w:drawing>
        </mc:Choice>
        <mc:Fallback>
          <w:pict>
            <v:shape id="Textbox 6" o:spid="_x0000_s2052" type="#_x0000_t202" style="width:7.55pt;height:14.25pt;margin-top:729.9pt;margin-left:302.2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8406CE" w14:paraId="34367B99" w14:textId="77777777">
                    <w:pPr>
                      <w:spacing w:before="11"/>
                      <w:ind w:left="20"/>
                    </w:pPr>
                    <w:r>
                      <w:rPr>
                        <w:spacing w:val="-10"/>
                      </w:rPr>
                      <w:t>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CE" w14:paraId="3B14893E"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ge">
                <wp:posOffset>8915400</wp:posOffset>
              </wp:positionV>
              <wp:extent cx="1828800" cy="762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2053" style="width:2in;height:0.6pt;margin-top:702pt;margin-left:1in;mso-position-horizontal-relative:page;mso-position-vertical-relative:page;mso-wrap-distance-bottom:0;mso-wrap-distance-left:0;mso-wrap-distance-right:0;mso-wrap-distance-top:0;mso-wrap-style:square;position:absolute;visibility:visible;v-text-anchor:top;z-index:-251649024" coordsize="1828800,7620" path="m1828800,l,,,7619l1828800,7619l1828800,xe" fillcolor="black" stroked="f">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901700</wp:posOffset>
              </wp:positionH>
              <wp:positionV relativeFrom="page">
                <wp:posOffset>8971760</wp:posOffset>
              </wp:positionV>
              <wp:extent cx="3823335" cy="18478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23335" cy="184785"/>
                      </a:xfrm>
                      <a:prstGeom prst="rect">
                        <a:avLst/>
                      </a:prstGeom>
                    </wps:spPr>
                    <wps:txbx>
                      <w:txbxContent>
                        <w:p w:rsidR="008406CE" w14:textId="77777777">
                          <w:pPr>
                            <w:spacing w:before="18"/>
                            <w:ind w:left="20"/>
                          </w:pPr>
                          <w:r>
                            <w:rPr>
                              <w:spacing w:val="-2"/>
                              <w:vertAlign w:val="superscript"/>
                            </w:rPr>
                            <w:t>5</w:t>
                          </w:r>
                          <w:r>
                            <w:rPr>
                              <w:spacing w:val="54"/>
                            </w:rPr>
                            <w:t xml:space="preserve"> </w:t>
                          </w:r>
                          <w:hyperlink r:id="rId1">
                            <w:r>
                              <w:rPr>
                                <w:color w:val="0000FF"/>
                                <w:spacing w:val="-2"/>
                                <w:u w:val="single" w:color="0000FF"/>
                              </w:rPr>
                              <w:t>https://www.cms.gov/CCIIO/Resources/Data-Resources/ehb.html.</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301.05pt;height:14.55pt;margin-top:706.45pt;margin-left:7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8406CE" w14:paraId="44109556" w14:textId="77777777">
                    <w:pPr>
                      <w:spacing w:before="18"/>
                      <w:ind w:left="20"/>
                    </w:pPr>
                    <w:r>
                      <w:rPr>
                        <w:spacing w:val="-2"/>
                        <w:vertAlign w:val="superscript"/>
                      </w:rPr>
                      <w:t>5</w:t>
                    </w:r>
                    <w:r>
                      <w:rPr>
                        <w:spacing w:val="54"/>
                      </w:rPr>
                      <w:t xml:space="preserve"> </w:t>
                    </w:r>
                    <w:hyperlink r:id="rId1">
                      <w:r>
                        <w:rPr>
                          <w:color w:val="0000FF"/>
                          <w:spacing w:val="-2"/>
                          <w:u w:val="single" w:color="0000FF"/>
                        </w:rPr>
                        <w:t>https://www.cms.gov/CCIIO/Resources/Data-Resources/ehb.html.</w:t>
                      </w:r>
                    </w:hyperlink>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3838447</wp:posOffset>
              </wp:positionH>
              <wp:positionV relativeFrom="page">
                <wp:posOffset>9270010</wp:posOffset>
              </wp:positionV>
              <wp:extent cx="9588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80975"/>
                      </a:xfrm>
                      <a:prstGeom prst="rect">
                        <a:avLst/>
                      </a:prstGeom>
                    </wps:spPr>
                    <wps:txbx>
                      <w:txbxContent>
                        <w:p w:rsidR="008406CE" w14:textId="77777777">
                          <w:pPr>
                            <w:spacing w:before="11"/>
                            <w:ind w:left="20"/>
                          </w:pPr>
                          <w:r>
                            <w:rPr>
                              <w:spacing w:val="-10"/>
                            </w:rPr>
                            <w:t>9</w:t>
                          </w:r>
                        </w:p>
                      </w:txbxContent>
                    </wps:txbx>
                    <wps:bodyPr wrap="square" lIns="0" tIns="0" rIns="0" bIns="0" rtlCol="0"/>
                  </wps:wsp>
                </a:graphicData>
              </a:graphic>
            </wp:anchor>
          </w:drawing>
        </mc:Choice>
        <mc:Fallback>
          <w:pict>
            <v:shape id="Textbox 9" o:spid="_x0000_s2055" type="#_x0000_t202" style="width:7.55pt;height:14.25pt;margin-top:729.9pt;margin-left:302.2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8406CE" w14:paraId="1FB71AB7" w14:textId="77777777">
                    <w:pPr>
                      <w:spacing w:before="11"/>
                      <w:ind w:left="20"/>
                    </w:pPr>
                    <w:r>
                      <w:rPr>
                        <w:spacing w:val="-10"/>
                      </w:rPr>
                      <w:t>9</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D52E07"/>
    <w:multiLevelType w:val="hybridMultilevel"/>
    <w:tmpl w:val="F0A0E866"/>
    <w:lvl w:ilvl="0">
      <w:start w:val="1"/>
      <w:numFmt w:val="upperLetter"/>
      <w:lvlText w:val="%1."/>
      <w:lvlJc w:val="left"/>
      <w:pPr>
        <w:ind w:left="840" w:hanging="720"/>
        <w:jc w:val="left"/>
      </w:pPr>
      <w:rPr>
        <w:rFonts w:ascii="Times New Roman" w:eastAsia="Times New Roman" w:hAnsi="Times New Roman" w:cs="Times New Roman" w:hint="default"/>
        <w:b/>
        <w:bCs/>
        <w:i w:val="0"/>
        <w:iCs w:val="0"/>
        <w:spacing w:val="-4"/>
        <w:w w:val="98"/>
        <w:sz w:val="24"/>
        <w:szCs w:val="24"/>
        <w:u w:val="single" w:color="000000"/>
        <w:lang w:val="en-US" w:eastAsia="en-US" w:bidi="ar-SA"/>
      </w:rPr>
    </w:lvl>
    <w:lvl w:ilvl="1">
      <w:start w:val="1"/>
      <w:numFmt w:val="decimal"/>
      <w:lvlText w:val="%2."/>
      <w:lvlJc w:val="left"/>
      <w:pPr>
        <w:ind w:left="840" w:hanging="720"/>
        <w:jc w:val="left"/>
      </w:pPr>
      <w:rPr>
        <w:rFonts w:ascii="Times New Roman" w:eastAsia="Times New Roman" w:hAnsi="Times New Roman" w:cs="Times New Roman" w:hint="default"/>
        <w:b w:val="0"/>
        <w:bCs w:val="0"/>
        <w:i w:val="0"/>
        <w:iCs w:val="0"/>
        <w:spacing w:val="-4"/>
        <w:w w:val="98"/>
        <w:sz w:val="24"/>
        <w:szCs w:val="24"/>
        <w:u w:val="single" w:color="000000"/>
        <w:lang w:val="en-US" w:eastAsia="en-US" w:bidi="ar-SA"/>
      </w:rPr>
    </w:lvl>
    <w:lvl w:ilvl="2">
      <w:start w:val="0"/>
      <w:numFmt w:val="bullet"/>
      <w:lvlText w:val="•"/>
      <w:lvlJc w:val="left"/>
      <w:pPr>
        <w:ind w:left="2628" w:hanging="720"/>
      </w:pPr>
      <w:rPr>
        <w:rFonts w:hint="default"/>
        <w:lang w:val="en-US" w:eastAsia="en-US" w:bidi="ar-SA"/>
      </w:rPr>
    </w:lvl>
    <w:lvl w:ilvl="3">
      <w:start w:val="0"/>
      <w:numFmt w:val="bullet"/>
      <w:lvlText w:val="•"/>
      <w:lvlJc w:val="left"/>
      <w:pPr>
        <w:ind w:left="3522" w:hanging="720"/>
      </w:pPr>
      <w:rPr>
        <w:rFonts w:hint="default"/>
        <w:lang w:val="en-US" w:eastAsia="en-US" w:bidi="ar-SA"/>
      </w:rPr>
    </w:lvl>
    <w:lvl w:ilvl="4">
      <w:start w:val="0"/>
      <w:numFmt w:val="bullet"/>
      <w:lvlText w:val="•"/>
      <w:lvlJc w:val="left"/>
      <w:pPr>
        <w:ind w:left="4416" w:hanging="720"/>
      </w:pPr>
      <w:rPr>
        <w:rFonts w:hint="default"/>
        <w:lang w:val="en-US" w:eastAsia="en-US" w:bidi="ar-SA"/>
      </w:rPr>
    </w:lvl>
    <w:lvl w:ilvl="5">
      <w:start w:val="0"/>
      <w:numFmt w:val="bullet"/>
      <w:lvlText w:val="•"/>
      <w:lvlJc w:val="left"/>
      <w:pPr>
        <w:ind w:left="5310" w:hanging="720"/>
      </w:pPr>
      <w:rPr>
        <w:rFonts w:hint="default"/>
        <w:lang w:val="en-US" w:eastAsia="en-US" w:bidi="ar-SA"/>
      </w:rPr>
    </w:lvl>
    <w:lvl w:ilvl="6">
      <w:start w:val="0"/>
      <w:numFmt w:val="bullet"/>
      <w:lvlText w:val="•"/>
      <w:lvlJc w:val="left"/>
      <w:pPr>
        <w:ind w:left="6204" w:hanging="720"/>
      </w:pPr>
      <w:rPr>
        <w:rFonts w:hint="default"/>
        <w:lang w:val="en-US" w:eastAsia="en-US" w:bidi="ar-SA"/>
      </w:rPr>
    </w:lvl>
    <w:lvl w:ilvl="7">
      <w:start w:val="0"/>
      <w:numFmt w:val="bullet"/>
      <w:lvlText w:val="•"/>
      <w:lvlJc w:val="left"/>
      <w:pPr>
        <w:ind w:left="7098" w:hanging="720"/>
      </w:pPr>
      <w:rPr>
        <w:rFonts w:hint="default"/>
        <w:lang w:val="en-US" w:eastAsia="en-US" w:bidi="ar-SA"/>
      </w:rPr>
    </w:lvl>
    <w:lvl w:ilvl="8">
      <w:start w:val="0"/>
      <w:numFmt w:val="bullet"/>
      <w:lvlText w:val="•"/>
      <w:lvlJc w:val="left"/>
      <w:pPr>
        <w:ind w:left="7992" w:hanging="720"/>
      </w:pPr>
      <w:rPr>
        <w:rFonts w:hint="default"/>
        <w:lang w:val="en-US" w:eastAsia="en-US" w:bidi="ar-SA"/>
      </w:rPr>
    </w:lvl>
  </w:abstractNum>
  <w:abstractNum w:abstractNumId="1">
    <w:nsid w:val="661F76EA"/>
    <w:multiLevelType w:val="hybridMultilevel"/>
    <w:tmpl w:val="705ACF8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3"/>
        <w:w w:val="98"/>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28" w:hanging="360"/>
      </w:pPr>
      <w:rPr>
        <w:rFonts w:hint="default"/>
        <w:lang w:val="en-US" w:eastAsia="en-US" w:bidi="ar-SA"/>
      </w:rPr>
    </w:lvl>
    <w:lvl w:ilvl="3">
      <w:start w:val="0"/>
      <w:numFmt w:val="bullet"/>
      <w:lvlText w:val="•"/>
      <w:lvlJc w:val="left"/>
      <w:pPr>
        <w:ind w:left="352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04" w:hanging="360"/>
      </w:pPr>
      <w:rPr>
        <w:rFonts w:hint="default"/>
        <w:lang w:val="en-US" w:eastAsia="en-US" w:bidi="ar-SA"/>
      </w:rPr>
    </w:lvl>
    <w:lvl w:ilvl="7">
      <w:start w:val="0"/>
      <w:numFmt w:val="bullet"/>
      <w:lvlText w:val="•"/>
      <w:lvlJc w:val="left"/>
      <w:pPr>
        <w:ind w:left="709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1" w16cid:durableId="1814247950">
    <w:abstractNumId w:val="1"/>
  </w:num>
  <w:num w:numId="2" w16cid:durableId="206930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CE"/>
    <w:rsid w:val="00095B5E"/>
    <w:rsid w:val="00131372"/>
    <w:rsid w:val="003378C4"/>
    <w:rsid w:val="008406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FD34A6"/>
  <w15:docId w15:val="{1F9B9518-8A85-47E1-983A-AAB4E175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719"/>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CCIIO/Resources/Data-Resources/ehb.html" TargetMode="External" /><Relationship Id="rId6" Type="http://schemas.openxmlformats.org/officeDocument/2006/relationships/hyperlink" Target="https://www.bls.gov/oes/current/naics4_999200.htm" TargetMode="External" /><Relationship Id="rId7" Type="http://schemas.openxmlformats.org/officeDocument/2006/relationships/footer" Target="footer2.xml" /><Relationship Id="rId8" Type="http://schemas.openxmlformats.org/officeDocument/2006/relationships/hyperlink" Target="https://nam10.safelinks.protection.outlook.com/?url=https%3A%2F%2Fwww.opm.gov%2Fpolicy-data-oversight%2Fpay-leave%2Fsalaries-wages%2Fsalary-tables%2F24Tables%2Fhtml%2FGS_h.aspx&amp;data=05%7C02%7Cbheslin%40air.org%7C5f1b85962aa1479b8bbe08dc3eb437d7%7C9ea45dbc7b724abfa77cc770a0a8b962%7C0%7C0%7C638454190992344507%7CUnknown%7CTWFpbGZsb3d8eyJWIjoiMC4wLjAwMDAiLCJQIjoiV2luMzIiLCJBTiI6Ik1haWwiLCJXVCI6Mn0%3D%7C0%7C%7C%7C&amp;sdata=iABNqw2E4%2F94KNf%2BEtmJlHQ1eTnsId8B5nyw%2FBLoEoc%3D&amp;reserved=0" TargetMode="External" /><Relationship Id="rId9" Type="http://schemas.openxmlformats.org/officeDocument/2006/relationships/footer" Target="footer3.xml" /></Relationships>
</file>

<file path=word/_rels/footer2.xml.rels><?xml version="1.0" encoding="utf-8" standalone="yes"?><Relationships xmlns="http://schemas.openxmlformats.org/package/2006/relationships"><Relationship Id="rId1" Type="http://schemas.openxmlformats.org/officeDocument/2006/relationships/hyperlink" Target="https://www.cms.gov/CCIIO/Resources/Data-Resources/ehb.html"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www.cms.gov/CCIIO/Resources/Data-Resources/eh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4066</Words>
  <Characters>23181</Characters>
  <Application>Microsoft Office Word</Application>
  <DocSecurity>0</DocSecurity>
  <Lines>193</Lines>
  <Paragraphs>54</Paragraphs>
  <ScaleCrop>false</ScaleCrop>
  <Company>CMS</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CMS-10448 _ EHB Supporting Statement_101419_10.15_RB</dc:title>
  <dc:creator>DANIELLE CHESTANG</dc:creator>
  <cp:lastModifiedBy>Hill, Jamaa (CMS/OSORA)</cp:lastModifiedBy>
  <cp:revision>2</cp:revision>
  <dcterms:created xsi:type="dcterms:W3CDTF">2024-08-08T22:11:00Z</dcterms:created>
  <dcterms:modified xsi:type="dcterms:W3CDTF">2024-08-08T22:18:00Z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2024-05-15T00:00:00Z</vt:filetime>
  </property>
  <property fmtid="{D5CDD505-2E9C-101B-9397-08002B2CF9AE}" pid="4" name="Creator">
    <vt:lpwstr>Acrobat PDFMaker 23 for Word</vt:lpwstr>
  </property>
  <property fmtid="{D5CDD505-2E9C-101B-9397-08002B2CF9AE}" pid="5" name="LastSaved">
    <vt:filetime>2024-08-08T00:00:00Z</vt:filetime>
  </property>
  <property fmtid="{D5CDD505-2E9C-101B-9397-08002B2CF9AE}" pid="6" name="Producer">
    <vt:lpwstr>Adobe PDF Library 23.8.75</vt:lpwstr>
  </property>
  <property fmtid="{D5CDD505-2E9C-101B-9397-08002B2CF9AE}" pid="7" name="SourceModified">
    <vt:lpwstr>D:20240314145110</vt:lpwstr>
  </property>
  <property fmtid="{D5CDD505-2E9C-101B-9397-08002B2CF9AE}" pid="8" name="_dlc_DocId">
    <vt:lpwstr>QSXZK4DW25JC-1146626974-3178</vt:lpwstr>
  </property>
  <property fmtid="{D5CDD505-2E9C-101B-9397-08002B2CF9AE}" pid="9" name="_dlc_DocIdItemGuid">
    <vt:lpwstr>696d4667-0395-4797-8368-1079b19fb485</vt:lpwstr>
  </property>
  <property fmtid="{D5CDD505-2E9C-101B-9397-08002B2CF9AE}" pid="10" name="_dlc_DocIdUrl">
    <vt:lpwstr>https://share.cms.gov/center/cciio/MPMG/_layouts/15/DocIdRedir.aspx?ID=QSXZK4DW25JC-1146626974-3178, QSXZK4DW25JC-1146626974-3178</vt:lpwstr>
  </property>
</Properties>
</file>