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C51" w:rsidP="00296762" w14:paraId="265237E7" w14:textId="5C9D67F1">
      <w:pPr>
        <w:pStyle w:val="Title"/>
        <w:ind w:left="322"/>
      </w:pPr>
      <w:r>
        <w:t>Supporting</w:t>
      </w:r>
      <w:r>
        <w:rPr>
          <w:spacing w:val="-6"/>
        </w:rPr>
        <w:t xml:space="preserve"> </w:t>
      </w:r>
      <w:r>
        <w:t>Statement</w:t>
      </w:r>
      <w:r>
        <w:rPr>
          <w:spacing w:val="-6"/>
        </w:rPr>
        <w:t xml:space="preserve"> </w:t>
      </w:r>
      <w:r>
        <w:t>for</w:t>
      </w:r>
      <w:r>
        <w:rPr>
          <w:spacing w:val="-6"/>
        </w:rPr>
        <w:t xml:space="preserve"> </w:t>
      </w:r>
      <w:r>
        <w:t>Essential</w:t>
      </w:r>
      <w:r>
        <w:rPr>
          <w:spacing w:val="-6"/>
        </w:rPr>
        <w:t xml:space="preserve"> </w:t>
      </w:r>
      <w:r>
        <w:t>Community</w:t>
      </w:r>
      <w:r>
        <w:rPr>
          <w:spacing w:val="-6"/>
        </w:rPr>
        <w:t xml:space="preserve"> </w:t>
      </w:r>
      <w:r>
        <w:t>Provider</w:t>
      </w:r>
      <w:r w:rsidR="00254AB8">
        <w:t>/</w:t>
      </w:r>
      <w:r>
        <w:t>Network</w:t>
      </w:r>
      <w:r>
        <w:rPr>
          <w:spacing w:val="-9"/>
        </w:rPr>
        <w:t xml:space="preserve"> </w:t>
      </w:r>
      <w:r>
        <w:t>Adequacy (ECP/NA) Data Collection to Support QHP Certification</w:t>
      </w:r>
    </w:p>
    <w:p w:rsidR="000B1C51" w:rsidP="00296762" w14:paraId="3B3757EF" w14:textId="60A27593">
      <w:pPr>
        <w:pStyle w:val="Title"/>
      </w:pPr>
      <w:r>
        <w:t>(CMS-10803/OMB</w:t>
      </w:r>
      <w:r>
        <w:rPr>
          <w:spacing w:val="-11"/>
        </w:rPr>
        <w:t xml:space="preserve"> </w:t>
      </w:r>
      <w:r>
        <w:t>control</w:t>
      </w:r>
      <w:r>
        <w:rPr>
          <w:spacing w:val="-9"/>
        </w:rPr>
        <w:t xml:space="preserve"> </w:t>
      </w:r>
      <w:r>
        <w:t>number:</w:t>
      </w:r>
      <w:r>
        <w:rPr>
          <w:spacing w:val="-10"/>
        </w:rPr>
        <w:t xml:space="preserve"> </w:t>
      </w:r>
      <w:r>
        <w:t>0938-</w:t>
      </w:r>
      <w:r w:rsidR="00CC168F">
        <w:rPr>
          <w:spacing w:val="-4"/>
        </w:rPr>
        <w:t>1415</w:t>
      </w:r>
      <w:r>
        <w:rPr>
          <w:spacing w:val="-4"/>
        </w:rPr>
        <w:t>)</w:t>
      </w:r>
    </w:p>
    <w:p w:rsidR="000B1C51" w:rsidP="00296762" w14:paraId="55353C72" w14:textId="77777777">
      <w:pPr>
        <w:pStyle w:val="BodyText"/>
        <w:rPr>
          <w:b/>
          <w:sz w:val="27"/>
        </w:rPr>
      </w:pPr>
    </w:p>
    <w:p w:rsidR="000B1C51" w:rsidP="00E66C65" w14:paraId="765CCC55" w14:textId="77777777">
      <w:pPr>
        <w:pStyle w:val="Heading1"/>
        <w:numPr>
          <w:ilvl w:val="0"/>
          <w:numId w:val="1"/>
        </w:numPr>
        <w:tabs>
          <w:tab w:val="num" w:pos="360"/>
          <w:tab w:val="left" w:pos="519"/>
        </w:tabs>
        <w:ind w:left="0" w:firstLine="0"/>
      </w:pPr>
      <w:r>
        <w:rPr>
          <w:spacing w:val="-2"/>
          <w:u w:val="single"/>
        </w:rPr>
        <w:t>Background</w:t>
      </w:r>
    </w:p>
    <w:p w:rsidR="000B1C51" w:rsidP="00296762" w14:paraId="6117E0CC" w14:textId="77777777">
      <w:pPr>
        <w:pStyle w:val="BodyText"/>
        <w:rPr>
          <w:b/>
          <w:sz w:val="20"/>
        </w:rPr>
      </w:pPr>
    </w:p>
    <w:p w:rsidR="000B1C51" w:rsidP="00B86B2E" w14:paraId="6AD7D9D7" w14:textId="6AB2681C">
      <w:pPr>
        <w:pStyle w:val="BodyText"/>
        <w:ind w:right="-14"/>
        <w:rPr>
          <w:sz w:val="25"/>
        </w:rPr>
      </w:pPr>
      <w:r>
        <w:t>In accordance with section 1311(c)(1)(C) of the Affordable Care Act (ACA), Qualified Health Plan (QHP)</w:t>
      </w:r>
      <w:r>
        <w:rPr>
          <w:spacing w:val="-4"/>
        </w:rPr>
        <w:t xml:space="preserve"> </w:t>
      </w:r>
      <w:r>
        <w:t>issuers,</w:t>
      </w:r>
      <w:r>
        <w:rPr>
          <w:spacing w:val="-3"/>
        </w:rPr>
        <w:t xml:space="preserve"> </w:t>
      </w:r>
      <w:r>
        <w:t>including</w:t>
      </w:r>
      <w:r>
        <w:rPr>
          <w:spacing w:val="-3"/>
        </w:rPr>
        <w:t xml:space="preserve"> </w:t>
      </w:r>
      <w:r>
        <w:t>Stand-alone</w:t>
      </w:r>
      <w:r>
        <w:rPr>
          <w:spacing w:val="-4"/>
        </w:rPr>
        <w:t xml:space="preserve"> </w:t>
      </w:r>
      <w:r>
        <w:t>Dental</w:t>
      </w:r>
      <w:r>
        <w:rPr>
          <w:spacing w:val="-3"/>
        </w:rPr>
        <w:t xml:space="preserve"> </w:t>
      </w:r>
      <w:r>
        <w:t>Plan</w:t>
      </w:r>
      <w:r>
        <w:rPr>
          <w:spacing w:val="-1"/>
        </w:rPr>
        <w:t xml:space="preserve"> </w:t>
      </w:r>
      <w:r>
        <w:t>(SADP)</w:t>
      </w:r>
      <w:r>
        <w:rPr>
          <w:spacing w:val="-4"/>
        </w:rPr>
        <w:t xml:space="preserve"> </w:t>
      </w:r>
      <w:r>
        <w:t>issuers,</w:t>
      </w:r>
      <w:r>
        <w:rPr>
          <w:spacing w:val="-3"/>
        </w:rPr>
        <w:t xml:space="preserve"> </w:t>
      </w:r>
      <w:r>
        <w:t>are</w:t>
      </w:r>
      <w:r>
        <w:rPr>
          <w:spacing w:val="-4"/>
        </w:rPr>
        <w:t xml:space="preserve"> </w:t>
      </w:r>
      <w:r>
        <w:t>required</w:t>
      </w:r>
      <w:r>
        <w:rPr>
          <w:spacing w:val="-3"/>
        </w:rPr>
        <w:t xml:space="preserve"> </w:t>
      </w:r>
      <w:r>
        <w:t>to</w:t>
      </w:r>
      <w:r>
        <w:rPr>
          <w:spacing w:val="-3"/>
        </w:rPr>
        <w:t xml:space="preserve"> </w:t>
      </w:r>
      <w:r>
        <w:t>ensure</w:t>
      </w:r>
      <w:r>
        <w:rPr>
          <w:spacing w:val="-2"/>
        </w:rPr>
        <w:t xml:space="preserve"> </w:t>
      </w:r>
      <w:r>
        <w:t>access</w:t>
      </w:r>
      <w:r>
        <w:rPr>
          <w:spacing w:val="-3"/>
        </w:rPr>
        <w:t xml:space="preserve"> </w:t>
      </w:r>
      <w:r>
        <w:t>to</w:t>
      </w:r>
      <w:r>
        <w:rPr>
          <w:spacing w:val="-3"/>
        </w:rPr>
        <w:t xml:space="preserve"> </w:t>
      </w:r>
      <w:r>
        <w:t>a sufficient number and geographic distribution of essential community providers (ECPs), where available, that serve predominantly low-income, medically underserved individuals. Under this same section of the ACA, the Secretary</w:t>
      </w:r>
      <w:r>
        <w:rPr>
          <w:spacing w:val="-2"/>
        </w:rPr>
        <w:t xml:space="preserve"> </w:t>
      </w:r>
      <w:r>
        <w:t>of the Department of Health and Human Services (HHS) is charged with establishing criteria for certification of health plans as QHPs, including criteria for issuer satisfaction of the ECP inclusion requirement. Under 45 Code of Federal Regulations (CFR) 156.235, the Secretary of HHS has established criteria for inclusion of a sufficient number and geographic distribution of ECPs, where available, in an issuer’s network to ensure reasonable and timely</w:t>
      </w:r>
      <w:r>
        <w:rPr>
          <w:spacing w:val="-6"/>
        </w:rPr>
        <w:t xml:space="preserve"> </w:t>
      </w:r>
      <w:r>
        <w:t>access</w:t>
      </w:r>
      <w:r>
        <w:rPr>
          <w:spacing w:val="-1"/>
        </w:rPr>
        <w:t xml:space="preserve"> </w:t>
      </w:r>
      <w:r>
        <w:t>to</w:t>
      </w:r>
      <w:r>
        <w:rPr>
          <w:spacing w:val="-1"/>
        </w:rPr>
        <w:t xml:space="preserve"> </w:t>
      </w:r>
      <w:r>
        <w:t>a</w:t>
      </w:r>
      <w:r>
        <w:rPr>
          <w:spacing w:val="-2"/>
        </w:rPr>
        <w:t xml:space="preserve"> </w:t>
      </w:r>
      <w:r>
        <w:t>broad</w:t>
      </w:r>
      <w:r>
        <w:rPr>
          <w:spacing w:val="-1"/>
        </w:rPr>
        <w:t xml:space="preserve"> </w:t>
      </w:r>
      <w:r>
        <w:t>range</w:t>
      </w:r>
      <w:r>
        <w:rPr>
          <w:spacing w:val="-2"/>
        </w:rPr>
        <w:t xml:space="preserve"> </w:t>
      </w:r>
      <w:r>
        <w:t>of</w:t>
      </w:r>
      <w:r>
        <w:rPr>
          <w:spacing w:val="-2"/>
        </w:rPr>
        <w:t xml:space="preserve"> </w:t>
      </w:r>
      <w:r>
        <w:t>such</w:t>
      </w:r>
      <w:r>
        <w:rPr>
          <w:spacing w:val="-1"/>
        </w:rPr>
        <w:t xml:space="preserve"> </w:t>
      </w:r>
      <w:r>
        <w:t>providers</w:t>
      </w:r>
      <w:r>
        <w:rPr>
          <w:spacing w:val="-1"/>
        </w:rPr>
        <w:t xml:space="preserve"> </w:t>
      </w:r>
      <w:r>
        <w:t>for</w:t>
      </w:r>
      <w:r>
        <w:rPr>
          <w:spacing w:val="-2"/>
        </w:rPr>
        <w:t xml:space="preserve"> </w:t>
      </w:r>
      <w:r>
        <w:t>low-income,</w:t>
      </w:r>
      <w:r>
        <w:rPr>
          <w:spacing w:val="-1"/>
        </w:rPr>
        <w:t xml:space="preserve"> </w:t>
      </w:r>
      <w:r>
        <w:t>medically</w:t>
      </w:r>
      <w:r>
        <w:rPr>
          <w:spacing w:val="-4"/>
        </w:rPr>
        <w:t xml:space="preserve"> </w:t>
      </w:r>
      <w:r>
        <w:t>underserved</w:t>
      </w:r>
      <w:r>
        <w:rPr>
          <w:spacing w:val="-1"/>
        </w:rPr>
        <w:t xml:space="preserve"> </w:t>
      </w:r>
      <w:r>
        <w:t>individuals in their service areas.</w:t>
      </w:r>
    </w:p>
    <w:p w:rsidR="000B1C51" w:rsidP="00B86B2E" w14:paraId="53990312" w14:textId="49DEC9D8">
      <w:pPr>
        <w:pStyle w:val="BodyText"/>
        <w:ind w:right="-14"/>
        <w:rPr>
          <w:sz w:val="25"/>
        </w:rPr>
      </w:pPr>
    </w:p>
    <w:p w:rsidR="00F94BEA" w:rsidP="00B86B2E" w14:paraId="0A29B237" w14:textId="025A78AB">
      <w:pPr>
        <w:pStyle w:val="BodyText"/>
        <w:ind w:right="-14"/>
      </w:pPr>
      <w:r>
        <w:t>In accordance with section 1311(c)(1)(B) of the ACA, QHP issuers, including SADP issuers, are required to ensure a sufficient choice of providers (in a manner consistent with the applicable provisions under section 2702(c) of the Public Health Service Act). Issuers must also provide information to current and prospective enrollees on the availability of in-network and out-of- network providers. Under CFR 156.230, QHPs must ensure that the network</w:t>
      </w:r>
      <w:r>
        <w:rPr>
          <w:spacing w:val="-3"/>
        </w:rPr>
        <w:t xml:space="preserve"> </w:t>
      </w:r>
      <w:r>
        <w:t>is</w:t>
      </w:r>
      <w:r>
        <w:rPr>
          <w:spacing w:val="-3"/>
        </w:rPr>
        <w:t xml:space="preserve"> </w:t>
      </w:r>
      <w:r>
        <w:t>sufficient</w:t>
      </w:r>
      <w:r>
        <w:rPr>
          <w:spacing w:val="-3"/>
        </w:rPr>
        <w:t xml:space="preserve"> </w:t>
      </w:r>
      <w:r>
        <w:t>in</w:t>
      </w:r>
      <w:r>
        <w:rPr>
          <w:spacing w:val="-3"/>
        </w:rPr>
        <w:t xml:space="preserve"> </w:t>
      </w:r>
      <w:r>
        <w:t>number</w:t>
      </w:r>
      <w:r>
        <w:rPr>
          <w:spacing w:val="-4"/>
        </w:rPr>
        <w:t xml:space="preserve"> </w:t>
      </w:r>
      <w:r>
        <w:t>and</w:t>
      </w:r>
      <w:r>
        <w:rPr>
          <w:spacing w:val="-3"/>
        </w:rPr>
        <w:t xml:space="preserve"> </w:t>
      </w:r>
      <w:r>
        <w:t>types</w:t>
      </w:r>
      <w:r>
        <w:rPr>
          <w:spacing w:val="-3"/>
        </w:rPr>
        <w:t xml:space="preserve"> </w:t>
      </w:r>
      <w:r>
        <w:t>of</w:t>
      </w:r>
      <w:r>
        <w:rPr>
          <w:spacing w:val="-4"/>
        </w:rPr>
        <w:t xml:space="preserve"> </w:t>
      </w:r>
      <w:r>
        <w:t>providers,</w:t>
      </w:r>
      <w:r>
        <w:rPr>
          <w:spacing w:val="-3"/>
        </w:rPr>
        <w:t xml:space="preserve"> </w:t>
      </w:r>
      <w:r>
        <w:t>including</w:t>
      </w:r>
      <w:r>
        <w:rPr>
          <w:spacing w:val="-6"/>
        </w:rPr>
        <w:t xml:space="preserve"> </w:t>
      </w:r>
      <w:r>
        <w:t>providers</w:t>
      </w:r>
      <w:r>
        <w:rPr>
          <w:spacing w:val="-1"/>
        </w:rPr>
        <w:t xml:space="preserve"> </w:t>
      </w:r>
      <w:r>
        <w:t>that</w:t>
      </w:r>
      <w:r>
        <w:rPr>
          <w:spacing w:val="-3"/>
        </w:rPr>
        <w:t xml:space="preserve"> </w:t>
      </w:r>
      <w:r>
        <w:t>specialize</w:t>
      </w:r>
      <w:r>
        <w:rPr>
          <w:spacing w:val="-4"/>
        </w:rPr>
        <w:t xml:space="preserve"> </w:t>
      </w:r>
      <w:r>
        <w:t>in</w:t>
      </w:r>
      <w:r>
        <w:rPr>
          <w:spacing w:val="-3"/>
        </w:rPr>
        <w:t xml:space="preserve"> </w:t>
      </w:r>
      <w:r>
        <w:t>mental health and substance use disorder services, to assure that all services will be accessible without unreasonable delay.</w:t>
      </w:r>
    </w:p>
    <w:p w:rsidR="00B401BD" w:rsidP="00B86B2E" w14:paraId="71995F86" w14:textId="77777777">
      <w:pPr>
        <w:pStyle w:val="BodyText"/>
        <w:ind w:right="-14"/>
      </w:pPr>
    </w:p>
    <w:p w:rsidR="000B1C51" w:rsidP="00B86B2E" w14:paraId="17A05932" w14:textId="29504A1C">
      <w:pPr>
        <w:pStyle w:val="BodyText"/>
        <w:ind w:right="-14"/>
      </w:pPr>
      <w:r w:rsidRPr="00C55DEA">
        <w:t xml:space="preserve">Beginning January 1, 2025, QHP issuers in the </w:t>
      </w:r>
      <w:r w:rsidR="00E437C6">
        <w:t>Federally-</w:t>
      </w:r>
      <w:r w:rsidR="00981F1D">
        <w:t>facilitated</w:t>
      </w:r>
      <w:r w:rsidR="00E437C6">
        <w:t xml:space="preserve"> </w:t>
      </w:r>
      <w:r w:rsidR="00981F1D">
        <w:t>Exchanges (</w:t>
      </w:r>
      <w:r w:rsidRPr="00C55DEA">
        <w:t>FFEs</w:t>
      </w:r>
      <w:r w:rsidR="00981F1D">
        <w:t>)</w:t>
      </w:r>
      <w:r w:rsidRPr="00C55DEA">
        <w:t xml:space="preserve"> must meet </w:t>
      </w:r>
      <w:r w:rsidR="005D0CE2">
        <w:t>appointment wait time</w:t>
      </w:r>
      <w:r w:rsidR="005E4177">
        <w:t xml:space="preserve"> </w:t>
      </w:r>
      <w:r w:rsidRPr="00C55DEA">
        <w:t>standards established at 45 CFR 156.230(a)(2)(B) and finalized in the 2023 Letter to Issuers</w:t>
      </w:r>
      <w:r>
        <w:rPr>
          <w:vertAlign w:val="superscript"/>
        </w:rPr>
        <w:footnoteReference w:id="3"/>
      </w:r>
      <w:r w:rsidRPr="00C55DEA">
        <w:t>.</w:t>
      </w:r>
      <w:r w:rsidR="009104D8">
        <w:t xml:space="preserve"> </w:t>
      </w:r>
      <w:r w:rsidRPr="00C55DEA">
        <w:t>To assess compliance with these standards, CMS is requiring medical QHP issuers in the FFEs to contract with a third-party entity to administer secret shopper surveys</w:t>
      </w:r>
      <w:r w:rsidR="005E4177">
        <w:t xml:space="preserve"> to providers</w:t>
      </w:r>
      <w:r w:rsidRPr="00C55DEA">
        <w:t xml:space="preserve">. While SADPs will be required to comply with § 156.230(a)(2)(B), SADP issuers will not be required to contract with a third-party and report their findings during calendar year </w:t>
      </w:r>
      <w:bookmarkStart w:id="0" w:name="_Hlk147835236"/>
      <w:r w:rsidRPr="00C55DEA">
        <w:t>2025</w:t>
      </w:r>
      <w:bookmarkEnd w:id="0"/>
      <w:r w:rsidRPr="00C55DEA">
        <w:t xml:space="preserve">. </w:t>
      </w:r>
    </w:p>
    <w:p w:rsidR="002F6C8A" w:rsidP="00B86B2E" w14:paraId="50AC0FDB" w14:textId="77777777">
      <w:pPr>
        <w:pStyle w:val="BodyText"/>
        <w:ind w:right="-14"/>
      </w:pPr>
    </w:p>
    <w:p w:rsidR="002F6C8A" w:rsidRPr="007A14B2" w:rsidP="00B86B2E" w14:paraId="2776E662" w14:textId="1C4A5B25">
      <w:pPr>
        <w:pStyle w:val="BodyText"/>
        <w:ind w:right="-14"/>
      </w:pPr>
      <w:r w:rsidRPr="007A14B2">
        <w:t xml:space="preserve">At this time, CMS is seeking a </w:t>
      </w:r>
      <w:r>
        <w:t xml:space="preserve">revision </w:t>
      </w:r>
      <w:r w:rsidRPr="007A14B2">
        <w:t xml:space="preserve">of the approval for the information collection related to the </w:t>
      </w:r>
      <w:r w:rsidR="00AF4136">
        <w:t xml:space="preserve">satisfaction of </w:t>
      </w:r>
      <w:r w:rsidR="004311AA">
        <w:t xml:space="preserve">these </w:t>
      </w:r>
      <w:r w:rsidR="00AF4136">
        <w:t>appointment wait time standards</w:t>
      </w:r>
      <w:r w:rsidRPr="007A14B2">
        <w:t>.</w:t>
      </w:r>
      <w:r w:rsidR="008B6899">
        <w:t xml:space="preserve"> These activities are necessary to ensure that CMS </w:t>
      </w:r>
      <w:r w:rsidR="00D0573A">
        <w:t>fulfills legislative mandates</w:t>
      </w:r>
      <w:r w:rsidR="004E7C89">
        <w:t xml:space="preserve"> established by</w:t>
      </w:r>
      <w:r w:rsidRPr="00B54403" w:rsidR="00B54403">
        <w:t xml:space="preserve"> 1311(c)(1)(</w:t>
      </w:r>
      <w:r w:rsidR="004311AA">
        <w:t>B</w:t>
      </w:r>
      <w:r w:rsidRPr="00B54403" w:rsidR="00B54403">
        <w:t xml:space="preserve">) of the Affordable Care Act (ACA) </w:t>
      </w:r>
      <w:r w:rsidR="004E7C89">
        <w:t xml:space="preserve">to </w:t>
      </w:r>
      <w:r w:rsidR="004311AA">
        <w:t xml:space="preserve">establish </w:t>
      </w:r>
      <w:r w:rsidR="005876E5">
        <w:t xml:space="preserve">criteria </w:t>
      </w:r>
      <w:r w:rsidR="00363DD6">
        <w:t>for</w:t>
      </w:r>
      <w:r w:rsidR="005876E5">
        <w:t xml:space="preserve"> a “sufficient choice of providers” that was later codified </w:t>
      </w:r>
      <w:r w:rsidR="00593D7D">
        <w:t>under 156.230(a)(2)(B) to include appointment wa</w:t>
      </w:r>
      <w:r w:rsidR="00A52ECB">
        <w:t xml:space="preserve">it time standards that ensure all services will be accessible to enrollees without unreasonable delay. </w:t>
      </w:r>
    </w:p>
    <w:p w:rsidR="00C36655" w:rsidP="00E66C65" w14:paraId="05C5FB46" w14:textId="77777777">
      <w:pPr>
        <w:pStyle w:val="BodyText"/>
        <w:ind w:right="-20"/>
        <w:rPr>
          <w:sz w:val="26"/>
        </w:rPr>
      </w:pPr>
    </w:p>
    <w:p w:rsidR="000B1C51" w:rsidP="00E66C65" w14:paraId="7D8AA369" w14:textId="77777777">
      <w:pPr>
        <w:pStyle w:val="Heading1"/>
        <w:numPr>
          <w:ilvl w:val="0"/>
          <w:numId w:val="1"/>
        </w:numPr>
        <w:tabs>
          <w:tab w:val="left" w:pos="360"/>
          <w:tab w:val="left" w:pos="720"/>
        </w:tabs>
        <w:ind w:left="0" w:right="-20" w:firstLine="0"/>
      </w:pPr>
      <w:r>
        <w:rPr>
          <w:spacing w:val="-2"/>
          <w:u w:val="single"/>
        </w:rPr>
        <w:t>Justification</w:t>
      </w:r>
    </w:p>
    <w:p w:rsidR="000B1C51" w:rsidP="00E66C65" w14:paraId="4AABE197" w14:textId="77777777">
      <w:pPr>
        <w:pStyle w:val="BodyText"/>
        <w:ind w:right="-20"/>
        <w:rPr>
          <w:b/>
          <w:sz w:val="19"/>
        </w:rPr>
      </w:pPr>
    </w:p>
    <w:p w:rsidR="000B1C51" w:rsidP="00E66C65" w14:paraId="3EFA2DCE" w14:textId="77777777">
      <w:pPr>
        <w:pStyle w:val="ListParagraph"/>
        <w:numPr>
          <w:ilvl w:val="0"/>
          <w:numId w:val="2"/>
        </w:numPr>
        <w:tabs>
          <w:tab w:val="left" w:pos="353"/>
        </w:tabs>
        <w:ind w:left="0" w:right="-20" w:firstLine="0"/>
        <w:rPr>
          <w:sz w:val="24"/>
        </w:rPr>
      </w:pPr>
      <w:r>
        <w:rPr>
          <w:sz w:val="24"/>
          <w:u w:val="single"/>
        </w:rPr>
        <w:t>Need</w:t>
      </w:r>
      <w:r>
        <w:rPr>
          <w:spacing w:val="-3"/>
          <w:sz w:val="24"/>
          <w:u w:val="single"/>
        </w:rPr>
        <w:t xml:space="preserve"> </w:t>
      </w:r>
      <w:r>
        <w:rPr>
          <w:sz w:val="24"/>
          <w:u w:val="single"/>
        </w:rPr>
        <w:t xml:space="preserve">and Legal </w:t>
      </w:r>
      <w:r>
        <w:rPr>
          <w:spacing w:val="-4"/>
          <w:sz w:val="24"/>
          <w:u w:val="single"/>
        </w:rPr>
        <w:t>Basis</w:t>
      </w:r>
    </w:p>
    <w:p w:rsidR="000B1C51" w:rsidP="00E66C65" w14:paraId="1EBC0A69" w14:textId="77777777">
      <w:pPr>
        <w:pStyle w:val="BodyText"/>
        <w:tabs>
          <w:tab w:val="left" w:pos="353"/>
        </w:tabs>
        <w:ind w:right="-20"/>
        <w:rPr>
          <w:sz w:val="20"/>
        </w:rPr>
      </w:pPr>
    </w:p>
    <w:p w:rsidR="000B1C51" w:rsidP="00E66C65" w14:paraId="2EE81811" w14:textId="616966FA">
      <w:pPr>
        <w:pStyle w:val="BodyText"/>
        <w:tabs>
          <w:tab w:val="left" w:pos="353"/>
        </w:tabs>
        <w:ind w:right="-20"/>
      </w:pPr>
      <w:r>
        <w:t>Standards for ECP requirements are codified at 45 CFR 156.235 and the network adequacy requirements</w:t>
      </w:r>
      <w:r>
        <w:rPr>
          <w:spacing w:val="-3"/>
        </w:rPr>
        <w:t xml:space="preserve"> </w:t>
      </w:r>
      <w:r>
        <w:t>are</w:t>
      </w:r>
      <w:r>
        <w:rPr>
          <w:spacing w:val="-2"/>
        </w:rPr>
        <w:t xml:space="preserve"> </w:t>
      </w:r>
      <w:r>
        <w:t>codified</w:t>
      </w:r>
      <w:r>
        <w:rPr>
          <w:spacing w:val="-1"/>
        </w:rPr>
        <w:t xml:space="preserve"> </w:t>
      </w:r>
      <w:r>
        <w:t>at</w:t>
      </w:r>
      <w:r>
        <w:rPr>
          <w:spacing w:val="-3"/>
        </w:rPr>
        <w:t xml:space="preserve"> </w:t>
      </w:r>
      <w:r>
        <w:t>45</w:t>
      </w:r>
      <w:r>
        <w:rPr>
          <w:spacing w:val="-3"/>
        </w:rPr>
        <w:t xml:space="preserve"> </w:t>
      </w:r>
      <w:r>
        <w:t>CFR</w:t>
      </w:r>
      <w:r>
        <w:rPr>
          <w:spacing w:val="-3"/>
        </w:rPr>
        <w:t xml:space="preserve"> </w:t>
      </w:r>
      <w:r>
        <w:t>156.230.</w:t>
      </w:r>
      <w:r>
        <w:rPr>
          <w:spacing w:val="-3"/>
        </w:rPr>
        <w:t xml:space="preserve"> </w:t>
      </w:r>
      <w:r>
        <w:t>HHS</w:t>
      </w:r>
      <w:r>
        <w:rPr>
          <w:spacing w:val="-3"/>
        </w:rPr>
        <w:t xml:space="preserve"> </w:t>
      </w:r>
      <w:r>
        <w:t>will</w:t>
      </w:r>
      <w:r>
        <w:rPr>
          <w:spacing w:val="-3"/>
        </w:rPr>
        <w:t xml:space="preserve"> </w:t>
      </w:r>
      <w:r>
        <w:t>collect</w:t>
      </w:r>
      <w:r>
        <w:rPr>
          <w:spacing w:val="-3"/>
        </w:rPr>
        <w:t xml:space="preserve"> </w:t>
      </w:r>
      <w:r>
        <w:t>the</w:t>
      </w:r>
      <w:r>
        <w:rPr>
          <w:spacing w:val="-4"/>
        </w:rPr>
        <w:t xml:space="preserve"> </w:t>
      </w:r>
      <w:r>
        <w:t>following</w:t>
      </w:r>
      <w:r>
        <w:rPr>
          <w:spacing w:val="-6"/>
        </w:rPr>
        <w:t xml:space="preserve"> </w:t>
      </w:r>
      <w:r>
        <w:t>data</w:t>
      </w:r>
      <w:r>
        <w:rPr>
          <w:spacing w:val="-4"/>
        </w:rPr>
        <w:t xml:space="preserve"> </w:t>
      </w:r>
      <w:r>
        <w:t>elements</w:t>
      </w:r>
      <w:r>
        <w:rPr>
          <w:spacing w:val="-3"/>
        </w:rPr>
        <w:t xml:space="preserve"> </w:t>
      </w:r>
      <w:r>
        <w:t>from issuers. The ECP/NA template is provided in Appendix A and the Issuer Module Mockup is provided in Appendix B.</w:t>
      </w:r>
    </w:p>
    <w:p w:rsidR="009676E3" w:rsidP="00E66C65" w14:paraId="0A4930FC" w14:textId="05FFFA27">
      <w:pPr>
        <w:pStyle w:val="ListParagraph"/>
        <w:numPr>
          <w:ilvl w:val="0"/>
          <w:numId w:val="15"/>
        </w:numPr>
        <w:tabs>
          <w:tab w:val="left" w:pos="839"/>
          <w:tab w:val="left" w:pos="840"/>
        </w:tabs>
        <w:ind w:right="-20"/>
        <w:rPr>
          <w:sz w:val="24"/>
        </w:rPr>
      </w:pPr>
      <w:r w:rsidRPr="00FB2814">
        <w:rPr>
          <w:b/>
          <w:sz w:val="24"/>
        </w:rPr>
        <w:t>Essential Community Provider</w:t>
      </w:r>
      <w:r w:rsidRPr="00FB2814" w:rsidR="001061CC">
        <w:rPr>
          <w:b/>
          <w:sz w:val="24"/>
        </w:rPr>
        <w:t xml:space="preserve"> </w:t>
      </w:r>
      <w:r w:rsidRPr="00FB2814">
        <w:rPr>
          <w:b/>
          <w:sz w:val="24"/>
        </w:rPr>
        <w:t xml:space="preserve">Data Elements: </w:t>
      </w:r>
      <w:r w:rsidRPr="00FB2814" w:rsidR="00884B2A">
        <w:rPr>
          <w:bCs/>
          <w:sz w:val="24"/>
        </w:rPr>
        <w:t>To satisfy th</w:t>
      </w:r>
      <w:r w:rsidRPr="00FB2814" w:rsidR="00F213F1">
        <w:rPr>
          <w:bCs/>
          <w:sz w:val="24"/>
        </w:rPr>
        <w:t>e</w:t>
      </w:r>
      <w:r w:rsidRPr="00FB2814" w:rsidR="00884B2A">
        <w:rPr>
          <w:bCs/>
          <w:sz w:val="24"/>
        </w:rPr>
        <w:t xml:space="preserve"> ECP requirement, medical QHP and SADP issuers must </w:t>
      </w:r>
      <w:r w:rsidRPr="00FB2814" w:rsidR="00FA2092">
        <w:rPr>
          <w:bCs/>
          <w:sz w:val="24"/>
        </w:rPr>
        <w:t xml:space="preserve">complete and </w:t>
      </w:r>
      <w:r w:rsidRPr="00FB2814" w:rsidR="00884B2A">
        <w:rPr>
          <w:bCs/>
          <w:sz w:val="24"/>
        </w:rPr>
        <w:t xml:space="preserve">submit </w:t>
      </w:r>
      <w:r w:rsidRPr="00FB2814" w:rsidR="00FA2092">
        <w:rPr>
          <w:bCs/>
          <w:sz w:val="24"/>
        </w:rPr>
        <w:t>the ECP portions of the</w:t>
      </w:r>
      <w:r w:rsidRPr="00FB2814" w:rsidR="00884B2A">
        <w:rPr>
          <w:bCs/>
          <w:sz w:val="24"/>
        </w:rPr>
        <w:t xml:space="preserve"> Essential Community Provider/Network Adequacy (ECP/NA) template as part of their QHP application, in which they must list the </w:t>
      </w:r>
      <w:r w:rsidRPr="00FB2814" w:rsidR="001061CC">
        <w:rPr>
          <w:bCs/>
          <w:sz w:val="24"/>
        </w:rPr>
        <w:t xml:space="preserve">names and geographic locations of </w:t>
      </w:r>
      <w:r w:rsidRPr="00FB2814" w:rsidR="00884B2A">
        <w:rPr>
          <w:bCs/>
          <w:sz w:val="24"/>
        </w:rPr>
        <w:t>ECPs with whom they have contracted to provide health care services to low-income, medically underserved individuals in their service areas.</w:t>
      </w:r>
      <w:r w:rsidRPr="00FB2814">
        <w:rPr>
          <w:sz w:val="24"/>
        </w:rPr>
        <w:t xml:space="preserve"> </w:t>
      </w:r>
      <w:r w:rsidRPr="00FB2814" w:rsidR="00355166">
        <w:rPr>
          <w:sz w:val="24"/>
        </w:rPr>
        <w:t>If an issuer does not meet ECP standards, they must submit a completed ECP Justification Form to explain how the plan</w:t>
      </w:r>
      <w:r w:rsidRPr="00FB2814" w:rsidR="00FA2092">
        <w:rPr>
          <w:sz w:val="24"/>
        </w:rPr>
        <w:t>’s provider network provides an adequate level of service for low-income enrollees or individuals residing in Health Professional Shortage Areas within the plan’s service area and how the plan’s provider network will be strengthened toward satisfaction of the ECP standard prior to the start of the benefit year.</w:t>
      </w:r>
      <w:r w:rsidRPr="00FB2814" w:rsidR="00355166">
        <w:rPr>
          <w:sz w:val="24"/>
        </w:rPr>
        <w:t xml:space="preserve"> </w:t>
      </w:r>
    </w:p>
    <w:p w:rsidR="000F1EBA" w:rsidRPr="00FB2814" w:rsidP="000F1EBA" w14:paraId="4F2B0B8B" w14:textId="77777777">
      <w:pPr>
        <w:pStyle w:val="ListParagraph"/>
        <w:tabs>
          <w:tab w:val="left" w:pos="839"/>
          <w:tab w:val="left" w:pos="840"/>
        </w:tabs>
        <w:ind w:left="720" w:right="-20" w:firstLine="0"/>
        <w:rPr>
          <w:sz w:val="24"/>
        </w:rPr>
      </w:pPr>
    </w:p>
    <w:p w:rsidR="00962ACB" w:rsidRPr="00FB2814" w:rsidP="00E66C65" w14:paraId="0E1C579C" w14:textId="02BF2155">
      <w:pPr>
        <w:pStyle w:val="ListParagraph"/>
        <w:numPr>
          <w:ilvl w:val="0"/>
          <w:numId w:val="15"/>
        </w:numPr>
        <w:tabs>
          <w:tab w:val="left" w:pos="839"/>
          <w:tab w:val="left" w:pos="840"/>
        </w:tabs>
        <w:ind w:right="-20"/>
        <w:rPr>
          <w:sz w:val="24"/>
        </w:rPr>
      </w:pPr>
      <w:r w:rsidRPr="00FB2814">
        <w:rPr>
          <w:b/>
          <w:sz w:val="24"/>
        </w:rPr>
        <w:t>Network Adequacy Data Elements:</w:t>
      </w:r>
      <w:r w:rsidRPr="00FB2814">
        <w:rPr>
          <w:sz w:val="24"/>
        </w:rPr>
        <w:t xml:space="preserve"> </w:t>
      </w:r>
      <w:r w:rsidRPr="00FB2814" w:rsidR="00FB51C2">
        <w:rPr>
          <w:sz w:val="24"/>
          <w:szCs w:val="24"/>
        </w:rPr>
        <w:t xml:space="preserve">To satisfy the time and distance requirements for network adequacy and reasonable access to providers, medical QHP and SADP issuers must complete </w:t>
      </w:r>
      <w:r w:rsidRPr="00FB2814" w:rsidR="00FA2092">
        <w:rPr>
          <w:sz w:val="24"/>
          <w:szCs w:val="24"/>
        </w:rPr>
        <w:t xml:space="preserve">and submit </w:t>
      </w:r>
      <w:r w:rsidRPr="00FB2814" w:rsidR="00FB51C2">
        <w:rPr>
          <w:sz w:val="24"/>
          <w:szCs w:val="24"/>
        </w:rPr>
        <w:t xml:space="preserve">the network adequacy portions of the ECP/NA template. </w:t>
      </w:r>
      <w:r w:rsidRPr="00FB2814" w:rsidR="00A45178">
        <w:rPr>
          <w:sz w:val="24"/>
          <w:szCs w:val="24"/>
        </w:rPr>
        <w:t>In the ECP/NA template, i</w:t>
      </w:r>
      <w:r w:rsidRPr="00FB2814" w:rsidR="00FB51C2">
        <w:rPr>
          <w:sz w:val="24"/>
          <w:szCs w:val="24"/>
        </w:rPr>
        <w:t>ssuers</w:t>
      </w:r>
      <w:r w:rsidRPr="00FB2814" w:rsidR="00FB51C2">
        <w:rPr>
          <w:spacing w:val="-2"/>
          <w:sz w:val="24"/>
          <w:szCs w:val="24"/>
        </w:rPr>
        <w:t xml:space="preserve"> </w:t>
      </w:r>
      <w:r w:rsidRPr="00FB2814" w:rsidR="00FB51C2">
        <w:rPr>
          <w:sz w:val="24"/>
          <w:szCs w:val="24"/>
        </w:rPr>
        <w:t>must</w:t>
      </w:r>
      <w:r w:rsidRPr="00FB2814" w:rsidR="00FB51C2">
        <w:rPr>
          <w:spacing w:val="-2"/>
          <w:sz w:val="24"/>
          <w:szCs w:val="24"/>
        </w:rPr>
        <w:t xml:space="preserve"> </w:t>
      </w:r>
      <w:r w:rsidRPr="00FB2814" w:rsidR="00FB51C2">
        <w:rPr>
          <w:sz w:val="24"/>
          <w:szCs w:val="24"/>
        </w:rPr>
        <w:t>list</w:t>
      </w:r>
      <w:r w:rsidRPr="00FB2814" w:rsidR="00FB51C2">
        <w:rPr>
          <w:spacing w:val="-2"/>
          <w:sz w:val="24"/>
          <w:szCs w:val="24"/>
        </w:rPr>
        <w:t xml:space="preserve"> </w:t>
      </w:r>
      <w:r w:rsidRPr="00FB2814" w:rsidR="00FB51C2">
        <w:rPr>
          <w:sz w:val="24"/>
          <w:szCs w:val="24"/>
        </w:rPr>
        <w:t>the</w:t>
      </w:r>
      <w:r w:rsidRPr="00FB2814" w:rsidR="00FB51C2">
        <w:rPr>
          <w:spacing w:val="-3"/>
          <w:sz w:val="24"/>
          <w:szCs w:val="24"/>
        </w:rPr>
        <w:t xml:space="preserve"> </w:t>
      </w:r>
      <w:r w:rsidRPr="00FB2814" w:rsidR="00FB51C2">
        <w:rPr>
          <w:sz w:val="24"/>
          <w:szCs w:val="24"/>
        </w:rPr>
        <w:t>providers</w:t>
      </w:r>
      <w:r w:rsidRPr="00FB2814" w:rsidR="00FB51C2">
        <w:rPr>
          <w:spacing w:val="-2"/>
          <w:sz w:val="24"/>
          <w:szCs w:val="24"/>
        </w:rPr>
        <w:t xml:space="preserve"> </w:t>
      </w:r>
      <w:r w:rsidRPr="00FB2814" w:rsidR="00FB51C2">
        <w:rPr>
          <w:sz w:val="24"/>
          <w:szCs w:val="24"/>
        </w:rPr>
        <w:t>with</w:t>
      </w:r>
      <w:r w:rsidRPr="00FB2814" w:rsidR="00FB51C2">
        <w:rPr>
          <w:spacing w:val="-2"/>
          <w:sz w:val="24"/>
          <w:szCs w:val="24"/>
        </w:rPr>
        <w:t xml:space="preserve"> </w:t>
      </w:r>
      <w:r w:rsidRPr="00FB2814" w:rsidR="00FB51C2">
        <w:rPr>
          <w:sz w:val="24"/>
          <w:szCs w:val="24"/>
        </w:rPr>
        <w:t>whom</w:t>
      </w:r>
      <w:r w:rsidRPr="00FB2814" w:rsidR="00FB51C2">
        <w:rPr>
          <w:spacing w:val="-2"/>
          <w:sz w:val="24"/>
          <w:szCs w:val="24"/>
        </w:rPr>
        <w:t xml:space="preserve"> </w:t>
      </w:r>
      <w:r w:rsidRPr="00FB2814" w:rsidR="00FB51C2">
        <w:rPr>
          <w:sz w:val="24"/>
          <w:szCs w:val="24"/>
        </w:rPr>
        <w:t>they</w:t>
      </w:r>
      <w:r w:rsidRPr="00FB2814" w:rsidR="00FB51C2">
        <w:rPr>
          <w:spacing w:val="-7"/>
          <w:sz w:val="24"/>
          <w:szCs w:val="24"/>
        </w:rPr>
        <w:t xml:space="preserve"> </w:t>
      </w:r>
      <w:r w:rsidRPr="00FB2814" w:rsidR="00FB51C2">
        <w:rPr>
          <w:sz w:val="24"/>
          <w:szCs w:val="24"/>
        </w:rPr>
        <w:t>have</w:t>
      </w:r>
      <w:r w:rsidRPr="00FB2814" w:rsidR="00FB51C2">
        <w:rPr>
          <w:spacing w:val="-3"/>
          <w:sz w:val="24"/>
          <w:szCs w:val="24"/>
        </w:rPr>
        <w:t xml:space="preserve"> </w:t>
      </w:r>
      <w:r w:rsidRPr="00FB2814" w:rsidR="00FB51C2">
        <w:rPr>
          <w:sz w:val="24"/>
          <w:szCs w:val="24"/>
        </w:rPr>
        <w:t>contracted,</w:t>
      </w:r>
      <w:r w:rsidRPr="00FB2814" w:rsidR="00FB51C2">
        <w:rPr>
          <w:spacing w:val="-2"/>
          <w:sz w:val="24"/>
          <w:szCs w:val="24"/>
        </w:rPr>
        <w:t xml:space="preserve"> </w:t>
      </w:r>
      <w:r w:rsidRPr="00FB2814" w:rsidR="00FB51C2">
        <w:rPr>
          <w:sz w:val="24"/>
          <w:szCs w:val="24"/>
        </w:rPr>
        <w:t>including</w:t>
      </w:r>
      <w:r w:rsidRPr="00FB2814" w:rsidR="00FB51C2">
        <w:rPr>
          <w:spacing w:val="-5"/>
          <w:sz w:val="24"/>
          <w:szCs w:val="24"/>
        </w:rPr>
        <w:t xml:space="preserve"> </w:t>
      </w:r>
      <w:r w:rsidRPr="00FB2814" w:rsidR="00FB51C2">
        <w:rPr>
          <w:sz w:val="24"/>
          <w:szCs w:val="24"/>
        </w:rPr>
        <w:t>the</w:t>
      </w:r>
      <w:r w:rsidRPr="00FB2814" w:rsidR="00FB51C2">
        <w:rPr>
          <w:spacing w:val="-3"/>
          <w:sz w:val="24"/>
          <w:szCs w:val="24"/>
        </w:rPr>
        <w:t xml:space="preserve"> </w:t>
      </w:r>
      <w:r w:rsidRPr="00FB2814" w:rsidR="00FB51C2">
        <w:rPr>
          <w:sz w:val="24"/>
          <w:szCs w:val="24"/>
        </w:rPr>
        <w:t>provider’s</w:t>
      </w:r>
      <w:r w:rsidRPr="00FB2814" w:rsidR="00FB51C2">
        <w:rPr>
          <w:spacing w:val="-2"/>
          <w:sz w:val="24"/>
          <w:szCs w:val="24"/>
        </w:rPr>
        <w:t xml:space="preserve"> </w:t>
      </w:r>
      <w:r w:rsidRPr="00FB2814">
        <w:rPr>
          <w:spacing w:val="-2"/>
          <w:sz w:val="24"/>
          <w:szCs w:val="24"/>
        </w:rPr>
        <w:t xml:space="preserve">geographic location, </w:t>
      </w:r>
      <w:r w:rsidRPr="00FB2814" w:rsidR="00FB51C2">
        <w:rPr>
          <w:sz w:val="24"/>
          <w:szCs w:val="24"/>
        </w:rPr>
        <w:t>specialty type and whether they</w:t>
      </w:r>
      <w:r w:rsidRPr="00FB2814" w:rsidR="00FB51C2">
        <w:rPr>
          <w:spacing w:val="-3"/>
          <w:sz w:val="24"/>
          <w:szCs w:val="24"/>
        </w:rPr>
        <w:t xml:space="preserve"> </w:t>
      </w:r>
      <w:r w:rsidRPr="00FB2814" w:rsidR="00FB51C2">
        <w:rPr>
          <w:sz w:val="24"/>
          <w:szCs w:val="24"/>
        </w:rPr>
        <w:t xml:space="preserve">offer telehealth services. This information in the ECP/NA template will be used to determine if an issuer satisfies the network adequacy time and distance standards. </w:t>
      </w:r>
      <w:r w:rsidRPr="00FB2814" w:rsidR="00747846">
        <w:rPr>
          <w:sz w:val="24"/>
        </w:rPr>
        <w:t>If</w:t>
      </w:r>
      <w:r w:rsidRPr="00FB2814" w:rsidR="00747846">
        <w:rPr>
          <w:spacing w:val="-1"/>
          <w:sz w:val="24"/>
        </w:rPr>
        <w:t xml:space="preserve"> </w:t>
      </w:r>
      <w:r w:rsidRPr="00FB2814" w:rsidR="00747846">
        <w:rPr>
          <w:sz w:val="24"/>
        </w:rPr>
        <w:t>an</w:t>
      </w:r>
      <w:r w:rsidRPr="00FB2814" w:rsidR="00747846">
        <w:rPr>
          <w:spacing w:val="-2"/>
          <w:sz w:val="24"/>
        </w:rPr>
        <w:t xml:space="preserve"> </w:t>
      </w:r>
      <w:r w:rsidRPr="00FB2814" w:rsidR="00747846">
        <w:rPr>
          <w:sz w:val="24"/>
        </w:rPr>
        <w:t>issuer</w:t>
      </w:r>
      <w:r w:rsidRPr="00FB2814" w:rsidR="00747846">
        <w:rPr>
          <w:spacing w:val="-3"/>
          <w:sz w:val="24"/>
        </w:rPr>
        <w:t xml:space="preserve"> </w:t>
      </w:r>
      <w:r w:rsidRPr="00FB2814" w:rsidR="00747846">
        <w:rPr>
          <w:sz w:val="24"/>
        </w:rPr>
        <w:t>does</w:t>
      </w:r>
      <w:r w:rsidRPr="00FB2814" w:rsidR="00747846">
        <w:rPr>
          <w:spacing w:val="-2"/>
          <w:sz w:val="24"/>
        </w:rPr>
        <w:t xml:space="preserve"> </w:t>
      </w:r>
      <w:r w:rsidRPr="00FB2814" w:rsidR="00747846">
        <w:rPr>
          <w:sz w:val="24"/>
        </w:rPr>
        <w:t>not</w:t>
      </w:r>
      <w:r w:rsidRPr="00FB2814" w:rsidR="00747846">
        <w:rPr>
          <w:spacing w:val="-2"/>
          <w:sz w:val="24"/>
        </w:rPr>
        <w:t xml:space="preserve"> </w:t>
      </w:r>
      <w:r w:rsidRPr="00FB2814" w:rsidR="00747846">
        <w:rPr>
          <w:sz w:val="24"/>
        </w:rPr>
        <w:t>meet</w:t>
      </w:r>
      <w:r w:rsidRPr="00FB2814" w:rsidR="00747846">
        <w:rPr>
          <w:spacing w:val="-2"/>
          <w:sz w:val="24"/>
        </w:rPr>
        <w:t xml:space="preserve"> time and distance </w:t>
      </w:r>
      <w:r w:rsidRPr="00FB2814" w:rsidR="00747846">
        <w:rPr>
          <w:sz w:val="24"/>
        </w:rPr>
        <w:t>standards,</w:t>
      </w:r>
      <w:r w:rsidRPr="00FB2814" w:rsidR="00747846">
        <w:rPr>
          <w:spacing w:val="-2"/>
          <w:sz w:val="24"/>
        </w:rPr>
        <w:t xml:space="preserve"> </w:t>
      </w:r>
      <w:r w:rsidRPr="00FB2814" w:rsidR="00747846">
        <w:rPr>
          <w:sz w:val="24"/>
        </w:rPr>
        <w:t>they</w:t>
      </w:r>
      <w:r w:rsidRPr="00FB2814" w:rsidR="00747846">
        <w:rPr>
          <w:spacing w:val="-7"/>
          <w:sz w:val="24"/>
        </w:rPr>
        <w:t xml:space="preserve"> </w:t>
      </w:r>
      <w:r w:rsidRPr="00FB2814" w:rsidR="00747846">
        <w:rPr>
          <w:sz w:val="24"/>
        </w:rPr>
        <w:t>must</w:t>
      </w:r>
      <w:r w:rsidRPr="00FB2814" w:rsidR="00747846">
        <w:rPr>
          <w:spacing w:val="-2"/>
          <w:sz w:val="24"/>
        </w:rPr>
        <w:t xml:space="preserve"> </w:t>
      </w:r>
      <w:r w:rsidRPr="00FB2814" w:rsidR="00747846">
        <w:rPr>
          <w:sz w:val="24"/>
        </w:rPr>
        <w:t>submit</w:t>
      </w:r>
      <w:r w:rsidRPr="00FB2814" w:rsidR="00747846">
        <w:rPr>
          <w:spacing w:val="-2"/>
          <w:sz w:val="24"/>
        </w:rPr>
        <w:t xml:space="preserve"> </w:t>
      </w:r>
      <w:r w:rsidRPr="00FB2814" w:rsidR="00747846">
        <w:rPr>
          <w:sz w:val="24"/>
        </w:rPr>
        <w:t>a</w:t>
      </w:r>
      <w:r w:rsidRPr="00FB2814" w:rsidR="00747846">
        <w:rPr>
          <w:spacing w:val="-3"/>
          <w:sz w:val="24"/>
        </w:rPr>
        <w:t xml:space="preserve"> </w:t>
      </w:r>
      <w:r w:rsidRPr="00FB2814" w:rsidR="00747846">
        <w:rPr>
          <w:sz w:val="24"/>
        </w:rPr>
        <w:t>completed Network Adequacy Justification Form to explain how the plan</w:t>
      </w:r>
      <w:r w:rsidRPr="00FB2814" w:rsidR="008B3609">
        <w:rPr>
          <w:sz w:val="24"/>
        </w:rPr>
        <w:t>’s provider network provides an adequate level of service for enrollees and how the plan’s provider network will be strengthened and brought closer to compliance with the network adequacy standards prior to the start of the plan year</w:t>
      </w:r>
      <w:r w:rsidRPr="00FB2814" w:rsidR="00747846">
        <w:rPr>
          <w:sz w:val="24"/>
        </w:rPr>
        <w:t>.</w:t>
      </w:r>
    </w:p>
    <w:p w:rsidR="008E5CA3" w:rsidP="00E66C65" w14:paraId="719E3D12" w14:textId="77777777">
      <w:pPr>
        <w:pStyle w:val="ListParagraph"/>
        <w:tabs>
          <w:tab w:val="left" w:pos="1170"/>
        </w:tabs>
        <w:ind w:left="720" w:right="-20" w:firstLine="0"/>
        <w:rPr>
          <w:sz w:val="24"/>
        </w:rPr>
      </w:pPr>
    </w:p>
    <w:p w:rsidR="00747846" w:rsidP="00E66C65" w14:paraId="5C6C57F2" w14:textId="0837EB9E">
      <w:pPr>
        <w:pStyle w:val="ListParagraph"/>
        <w:tabs>
          <w:tab w:val="left" w:pos="1170"/>
        </w:tabs>
        <w:ind w:left="720" w:right="-20" w:firstLine="0"/>
        <w:rPr>
          <w:sz w:val="24"/>
        </w:rPr>
      </w:pPr>
      <w:r>
        <w:rPr>
          <w:sz w:val="24"/>
        </w:rPr>
        <w:t>Additionally,</w:t>
      </w:r>
      <w:r w:rsidR="004938F7">
        <w:rPr>
          <w:sz w:val="24"/>
        </w:rPr>
        <w:t xml:space="preserve"> m</w:t>
      </w:r>
      <w:r w:rsidR="00A34DA7">
        <w:rPr>
          <w:sz w:val="24"/>
        </w:rPr>
        <w:t xml:space="preserve">edical QHP </w:t>
      </w:r>
      <w:r>
        <w:rPr>
          <w:sz w:val="24"/>
        </w:rPr>
        <w:t>issuers</w:t>
      </w:r>
      <w:r>
        <w:rPr>
          <w:spacing w:val="-4"/>
          <w:sz w:val="24"/>
        </w:rPr>
        <w:t xml:space="preserve"> </w:t>
      </w:r>
      <w:r>
        <w:rPr>
          <w:sz w:val="24"/>
        </w:rPr>
        <w:t>must</w:t>
      </w:r>
      <w:r>
        <w:rPr>
          <w:spacing w:val="-4"/>
          <w:sz w:val="24"/>
        </w:rPr>
        <w:t xml:space="preserve"> </w:t>
      </w:r>
      <w:r>
        <w:rPr>
          <w:sz w:val="24"/>
        </w:rPr>
        <w:t>collect</w:t>
      </w:r>
      <w:r>
        <w:rPr>
          <w:spacing w:val="-4"/>
          <w:sz w:val="24"/>
        </w:rPr>
        <w:t xml:space="preserve"> </w:t>
      </w:r>
      <w:r>
        <w:rPr>
          <w:sz w:val="24"/>
        </w:rPr>
        <w:t>and</w:t>
      </w:r>
      <w:r>
        <w:rPr>
          <w:spacing w:val="-4"/>
          <w:sz w:val="24"/>
        </w:rPr>
        <w:t xml:space="preserve"> </w:t>
      </w:r>
      <w:r>
        <w:rPr>
          <w:sz w:val="24"/>
        </w:rPr>
        <w:t>submit</w:t>
      </w:r>
      <w:r>
        <w:rPr>
          <w:spacing w:val="-4"/>
          <w:sz w:val="24"/>
        </w:rPr>
        <w:t xml:space="preserve"> </w:t>
      </w:r>
      <w:r>
        <w:rPr>
          <w:sz w:val="24"/>
        </w:rPr>
        <w:t>provider</w:t>
      </w:r>
      <w:r>
        <w:rPr>
          <w:spacing w:val="-5"/>
          <w:sz w:val="24"/>
        </w:rPr>
        <w:t xml:space="preserve"> </w:t>
      </w:r>
      <w:r>
        <w:rPr>
          <w:sz w:val="24"/>
        </w:rPr>
        <w:t>information</w:t>
      </w:r>
      <w:r>
        <w:rPr>
          <w:spacing w:val="-4"/>
          <w:sz w:val="24"/>
        </w:rPr>
        <w:t xml:space="preserve"> </w:t>
      </w:r>
      <w:r>
        <w:rPr>
          <w:sz w:val="24"/>
        </w:rPr>
        <w:t>necessary</w:t>
      </w:r>
      <w:r>
        <w:rPr>
          <w:spacing w:val="-6"/>
          <w:sz w:val="24"/>
        </w:rPr>
        <w:t xml:space="preserve"> </w:t>
      </w:r>
      <w:r>
        <w:rPr>
          <w:sz w:val="24"/>
        </w:rPr>
        <w:t>to</w:t>
      </w:r>
      <w:r>
        <w:rPr>
          <w:spacing w:val="-4"/>
          <w:sz w:val="24"/>
        </w:rPr>
        <w:t xml:space="preserve"> </w:t>
      </w:r>
      <w:r>
        <w:rPr>
          <w:sz w:val="24"/>
        </w:rPr>
        <w:t xml:space="preserve">demonstrate an issuer’s satisfaction of </w:t>
      </w:r>
      <w:r w:rsidR="006E51FA">
        <w:rPr>
          <w:sz w:val="24"/>
        </w:rPr>
        <w:t xml:space="preserve">appointment wait </w:t>
      </w:r>
      <w:r>
        <w:rPr>
          <w:sz w:val="24"/>
        </w:rPr>
        <w:t xml:space="preserve">time standards. </w:t>
      </w:r>
      <w:r w:rsidRPr="00CD14C8" w:rsidR="00CD14C8">
        <w:rPr>
          <w:sz w:val="24"/>
        </w:rPr>
        <w:t>For plan year 2025, CMS requires issuers to collect secret shopper provider survey data on appointment wait times of primary care and behavioral health providers.</w:t>
      </w:r>
      <w:r w:rsidR="00FF4772">
        <w:rPr>
          <w:sz w:val="24"/>
        </w:rPr>
        <w:t xml:space="preserve"> </w:t>
      </w:r>
      <w:r w:rsidRPr="000B7235" w:rsidR="00FF4772">
        <w:rPr>
          <w:color w:val="000000" w:themeColor="text1"/>
          <w:sz w:val="24"/>
          <w:szCs w:val="24"/>
        </w:rPr>
        <w:t xml:space="preserve">Issuers </w:t>
      </w:r>
      <w:r w:rsidR="00F8669C">
        <w:rPr>
          <w:color w:val="000000" w:themeColor="text1"/>
          <w:sz w:val="24"/>
          <w:szCs w:val="24"/>
        </w:rPr>
        <w:t>must</w:t>
      </w:r>
      <w:r w:rsidRPr="000B7235" w:rsidR="00FF4772">
        <w:rPr>
          <w:color w:val="000000" w:themeColor="text1"/>
          <w:sz w:val="24"/>
          <w:szCs w:val="24"/>
        </w:rPr>
        <w:t xml:space="preserve"> report secret shopper survey results</w:t>
      </w:r>
      <w:r w:rsidR="00874DED">
        <w:rPr>
          <w:color w:val="000000" w:themeColor="text1"/>
          <w:sz w:val="24"/>
          <w:szCs w:val="24"/>
        </w:rPr>
        <w:t xml:space="preserve"> (i.e., rate of compliance with appointment wait time standards)</w:t>
      </w:r>
      <w:r w:rsidRPr="000B7235" w:rsidR="00FF4772">
        <w:rPr>
          <w:color w:val="000000" w:themeColor="text1"/>
          <w:sz w:val="24"/>
          <w:szCs w:val="24"/>
        </w:rPr>
        <w:t xml:space="preserve"> to CMS annually</w:t>
      </w:r>
      <w:r w:rsidR="00AE7DB1">
        <w:rPr>
          <w:color w:val="000000" w:themeColor="text1"/>
          <w:sz w:val="24"/>
          <w:szCs w:val="24"/>
        </w:rPr>
        <w:t xml:space="preserve"> during post-certification compliance </w:t>
      </w:r>
      <w:r w:rsidR="001842C6">
        <w:rPr>
          <w:color w:val="000000" w:themeColor="text1"/>
          <w:sz w:val="24"/>
          <w:szCs w:val="24"/>
        </w:rPr>
        <w:t>activities</w:t>
      </w:r>
      <w:r w:rsidRPr="000B7235" w:rsidR="00FF4772">
        <w:rPr>
          <w:color w:val="000000" w:themeColor="text1"/>
          <w:sz w:val="24"/>
          <w:szCs w:val="24"/>
        </w:rPr>
        <w:t>.</w:t>
      </w:r>
      <w:r w:rsidRPr="00FF4772" w:rsidR="00CD14C8">
        <w:rPr>
          <w:sz w:val="28"/>
          <w:szCs w:val="24"/>
        </w:rPr>
        <w:t xml:space="preserve"> </w:t>
      </w:r>
      <w:r w:rsidRPr="000B7235">
        <w:rPr>
          <w:sz w:val="24"/>
        </w:rPr>
        <w:t>These</w:t>
      </w:r>
      <w:r w:rsidRPr="00FF4772">
        <w:rPr>
          <w:sz w:val="28"/>
          <w:szCs w:val="24"/>
        </w:rPr>
        <w:t xml:space="preserve"> </w:t>
      </w:r>
      <w:r>
        <w:rPr>
          <w:sz w:val="24"/>
        </w:rPr>
        <w:t xml:space="preserve">collections and submissions are to ensure that an issuer’s network has fulfilled the network adequacy reasonable access standard found at 45 CFR 156.230. This information includes </w:t>
      </w:r>
      <w:r w:rsidR="008E20B9">
        <w:rPr>
          <w:sz w:val="24"/>
        </w:rPr>
        <w:t xml:space="preserve">the rate of </w:t>
      </w:r>
      <w:r w:rsidR="00B90499">
        <w:rPr>
          <w:sz w:val="24"/>
        </w:rPr>
        <w:t xml:space="preserve">compliance with the appointment wait time standards for </w:t>
      </w:r>
      <w:r w:rsidR="005457CF">
        <w:rPr>
          <w:sz w:val="24"/>
        </w:rPr>
        <w:t xml:space="preserve">primary care and behavioral health </w:t>
      </w:r>
      <w:r w:rsidR="001B7265">
        <w:rPr>
          <w:sz w:val="24"/>
        </w:rPr>
        <w:t xml:space="preserve">providers </w:t>
      </w:r>
      <w:r w:rsidR="005457CF">
        <w:rPr>
          <w:sz w:val="24"/>
        </w:rPr>
        <w:t>and each in-network</w:t>
      </w:r>
      <w:r w:rsidR="005457CF">
        <w:rPr>
          <w:spacing w:val="-1"/>
          <w:sz w:val="24"/>
        </w:rPr>
        <w:t xml:space="preserve"> </w:t>
      </w:r>
      <w:r>
        <w:rPr>
          <w:sz w:val="24"/>
        </w:rPr>
        <w:t>provider’s geographic</w:t>
      </w:r>
      <w:r>
        <w:rPr>
          <w:spacing w:val="-1"/>
          <w:sz w:val="24"/>
        </w:rPr>
        <w:t xml:space="preserve"> </w:t>
      </w:r>
      <w:r>
        <w:rPr>
          <w:sz w:val="24"/>
        </w:rPr>
        <w:t>location and specialty</w:t>
      </w:r>
      <w:r w:rsidR="00BC3F77">
        <w:rPr>
          <w:sz w:val="24"/>
        </w:rPr>
        <w:t>. This information</w:t>
      </w:r>
      <w:r>
        <w:rPr>
          <w:sz w:val="24"/>
        </w:rPr>
        <w:t xml:space="preserve"> should only</w:t>
      </w:r>
      <w:r>
        <w:rPr>
          <w:spacing w:val="-5"/>
          <w:sz w:val="24"/>
        </w:rPr>
        <w:t xml:space="preserve"> </w:t>
      </w:r>
      <w:r>
        <w:rPr>
          <w:sz w:val="24"/>
        </w:rPr>
        <w:t>be</w:t>
      </w:r>
      <w:r>
        <w:rPr>
          <w:spacing w:val="-1"/>
          <w:sz w:val="24"/>
        </w:rPr>
        <w:t xml:space="preserve"> </w:t>
      </w:r>
      <w:r>
        <w:rPr>
          <w:sz w:val="24"/>
        </w:rPr>
        <w:t>collected and submitted for in-network providers</w:t>
      </w:r>
      <w:r w:rsidR="008B3609">
        <w:rPr>
          <w:sz w:val="24"/>
        </w:rPr>
        <w:t xml:space="preserve"> that fall within the requisite time and distance metrics for the respective county type designation</w:t>
      </w:r>
      <w:r>
        <w:rPr>
          <w:sz w:val="24"/>
        </w:rPr>
        <w:t xml:space="preserve">. </w:t>
      </w:r>
    </w:p>
    <w:p w:rsidR="00747846" w:rsidP="00E66C65" w14:paraId="06F09A7B" w14:textId="77777777">
      <w:pPr>
        <w:pStyle w:val="ListParagraph"/>
        <w:tabs>
          <w:tab w:val="left" w:pos="1170"/>
        </w:tabs>
        <w:ind w:left="720" w:right="-20" w:firstLine="0"/>
        <w:rPr>
          <w:sz w:val="24"/>
        </w:rPr>
      </w:pPr>
    </w:p>
    <w:p w:rsidR="000B1C51" w:rsidP="00446BA6" w14:paraId="4B55584F" w14:textId="2E657992">
      <w:pPr>
        <w:pStyle w:val="ListParagraph"/>
        <w:tabs>
          <w:tab w:val="left" w:pos="1170"/>
        </w:tabs>
        <w:ind w:left="720" w:right="-14" w:firstLine="0"/>
        <w:rPr>
          <w:sz w:val="24"/>
        </w:rPr>
      </w:pPr>
      <w:r>
        <w:rPr>
          <w:sz w:val="24"/>
        </w:rPr>
        <w:t xml:space="preserve">An issuer must report the offering of telehealth services for each individual provider participating in its network to help inform future development of network adequacy </w:t>
      </w:r>
      <w:r>
        <w:rPr>
          <w:sz w:val="24"/>
        </w:rPr>
        <w:t xml:space="preserve">standards. This requirement does not apply to facilities. </w:t>
      </w:r>
    </w:p>
    <w:p w:rsidR="000B1C51" w:rsidP="00446BA6" w14:paraId="62918328" w14:textId="101C052D">
      <w:pPr>
        <w:pStyle w:val="pf0"/>
        <w:spacing w:before="0" w:beforeAutospacing="0" w:after="0" w:afterAutospacing="0"/>
        <w:ind w:right="-14"/>
        <w:rPr>
          <w:sz w:val="27"/>
        </w:rPr>
      </w:pPr>
      <w:bookmarkStart w:id="1" w:name="2._Information_Users"/>
      <w:bookmarkEnd w:id="1"/>
    </w:p>
    <w:p w:rsidR="000B1C51" w:rsidP="00E66C65" w14:paraId="03617E0F" w14:textId="77777777">
      <w:pPr>
        <w:pStyle w:val="ListParagraph"/>
        <w:numPr>
          <w:ilvl w:val="0"/>
          <w:numId w:val="2"/>
        </w:numPr>
        <w:tabs>
          <w:tab w:val="left" w:pos="1170"/>
        </w:tabs>
        <w:ind w:left="355" w:hanging="355"/>
        <w:rPr>
          <w:sz w:val="24"/>
        </w:rPr>
      </w:pPr>
      <w:r>
        <w:rPr>
          <w:sz w:val="24"/>
          <w:u w:val="single"/>
        </w:rPr>
        <w:t>Information</w:t>
      </w:r>
      <w:r>
        <w:rPr>
          <w:spacing w:val="-9"/>
          <w:sz w:val="24"/>
          <w:u w:val="single"/>
        </w:rPr>
        <w:t xml:space="preserve"> </w:t>
      </w:r>
      <w:r>
        <w:rPr>
          <w:spacing w:val="-4"/>
          <w:sz w:val="24"/>
          <w:u w:val="single"/>
        </w:rPr>
        <w:t>Users</w:t>
      </w:r>
    </w:p>
    <w:p w:rsidR="000B1C51" w:rsidP="00296762" w14:paraId="4E2DC7D6" w14:textId="77777777">
      <w:pPr>
        <w:pStyle w:val="BodyText"/>
        <w:rPr>
          <w:sz w:val="19"/>
        </w:rPr>
      </w:pPr>
    </w:p>
    <w:p w:rsidR="000B1C51" w:rsidP="00E66C65" w14:paraId="4D583408" w14:textId="77777777">
      <w:pPr>
        <w:pStyle w:val="BodyText"/>
        <w:ind w:right="-20" w:hanging="10"/>
      </w:pPr>
      <w:r>
        <w:t>The Exchange collects plan- and issuer-level data from issuers to facilitate the certification and recertification of QHPs, Exchange operations, other Federal operations, QHP oversight, and ongoing market analysis. All of these data are leveraged across multiple business areas in the Exchange</w:t>
      </w:r>
      <w:r>
        <w:rPr>
          <w:spacing w:val="-4"/>
        </w:rPr>
        <w:t xml:space="preserve"> </w:t>
      </w:r>
      <w:r>
        <w:t>to</w:t>
      </w:r>
      <w:r>
        <w:rPr>
          <w:spacing w:val="-3"/>
        </w:rPr>
        <w:t xml:space="preserve"> </w:t>
      </w:r>
      <w:r>
        <w:t>facilitate</w:t>
      </w:r>
      <w:r>
        <w:rPr>
          <w:spacing w:val="-4"/>
        </w:rPr>
        <w:t xml:space="preserve"> </w:t>
      </w:r>
      <w:r>
        <w:t>other</w:t>
      </w:r>
      <w:r>
        <w:rPr>
          <w:spacing w:val="-4"/>
        </w:rPr>
        <w:t xml:space="preserve"> </w:t>
      </w:r>
      <w:r>
        <w:t>operational</w:t>
      </w:r>
      <w:r>
        <w:rPr>
          <w:spacing w:val="-3"/>
        </w:rPr>
        <w:t xml:space="preserve"> </w:t>
      </w:r>
      <w:r>
        <w:t>tasks</w:t>
      </w:r>
      <w:r>
        <w:rPr>
          <w:spacing w:val="-3"/>
        </w:rPr>
        <w:t xml:space="preserve"> </w:t>
      </w:r>
      <w:r>
        <w:t>such</w:t>
      </w:r>
      <w:r>
        <w:rPr>
          <w:spacing w:val="-3"/>
        </w:rPr>
        <w:t xml:space="preserve"> </w:t>
      </w:r>
      <w:r>
        <w:t>as</w:t>
      </w:r>
      <w:r>
        <w:rPr>
          <w:spacing w:val="-3"/>
        </w:rPr>
        <w:t xml:space="preserve"> </w:t>
      </w:r>
      <w:r>
        <w:t>plan</w:t>
      </w:r>
      <w:r>
        <w:rPr>
          <w:spacing w:val="-3"/>
        </w:rPr>
        <w:t xml:space="preserve"> </w:t>
      </w:r>
      <w:r>
        <w:t>comparisons</w:t>
      </w:r>
      <w:r>
        <w:rPr>
          <w:spacing w:val="-3"/>
        </w:rPr>
        <w:t xml:space="preserve"> </w:t>
      </w:r>
      <w:r>
        <w:t>on</w:t>
      </w:r>
      <w:r>
        <w:rPr>
          <w:spacing w:val="-1"/>
        </w:rPr>
        <w:t xml:space="preserve"> </w:t>
      </w:r>
      <w:r>
        <w:t>the</w:t>
      </w:r>
      <w:r>
        <w:rPr>
          <w:spacing w:val="-4"/>
        </w:rPr>
        <w:t xml:space="preserve"> </w:t>
      </w:r>
      <w:r>
        <w:t>insurance</w:t>
      </w:r>
      <w:r>
        <w:rPr>
          <w:spacing w:val="-4"/>
        </w:rPr>
        <w:t xml:space="preserve"> </w:t>
      </w:r>
      <w:r>
        <w:t>portal</w:t>
      </w:r>
      <w:r>
        <w:rPr>
          <w:spacing w:val="-3"/>
        </w:rPr>
        <w:t xml:space="preserve"> </w:t>
      </w:r>
      <w:r>
        <w:t>and various payment activities, such as determination of the second lowest cost silver plan, APTCs, or risk adjustment.</w:t>
      </w:r>
    </w:p>
    <w:p w:rsidR="000B1C51" w:rsidP="00E66C65" w14:paraId="4BD10833" w14:textId="77777777">
      <w:pPr>
        <w:pStyle w:val="BodyText"/>
        <w:ind w:right="-20"/>
        <w:rPr>
          <w:sz w:val="26"/>
        </w:rPr>
      </w:pPr>
    </w:p>
    <w:p w:rsidR="000B1C51" w:rsidP="00E66C65" w14:paraId="2D345895" w14:textId="60454D2D">
      <w:pPr>
        <w:pStyle w:val="BodyText"/>
        <w:ind w:right="-20"/>
      </w:pPr>
      <w:r>
        <w:t>HHS</w:t>
      </w:r>
      <w:r>
        <w:rPr>
          <w:spacing w:val="-3"/>
        </w:rPr>
        <w:t xml:space="preserve"> </w:t>
      </w:r>
      <w:r>
        <w:t>uses</w:t>
      </w:r>
      <w:r>
        <w:rPr>
          <w:spacing w:val="-3"/>
        </w:rPr>
        <w:t xml:space="preserve"> </w:t>
      </w:r>
      <w:r>
        <w:t>information</w:t>
      </w:r>
      <w:r>
        <w:rPr>
          <w:spacing w:val="-3"/>
        </w:rPr>
        <w:t xml:space="preserve"> </w:t>
      </w:r>
      <w:r>
        <w:t>submitted</w:t>
      </w:r>
      <w:r>
        <w:rPr>
          <w:spacing w:val="-3"/>
        </w:rPr>
        <w:t xml:space="preserve"> </w:t>
      </w:r>
      <w:r w:rsidR="00BD2E65">
        <w:rPr>
          <w:spacing w:val="-3"/>
        </w:rPr>
        <w:t xml:space="preserve">in the Issuer Module, </w:t>
      </w:r>
      <w:r>
        <w:t>on</w:t>
      </w:r>
      <w:r>
        <w:rPr>
          <w:spacing w:val="-3"/>
        </w:rPr>
        <w:t xml:space="preserve"> </w:t>
      </w:r>
      <w:r>
        <w:t>the</w:t>
      </w:r>
      <w:r>
        <w:rPr>
          <w:spacing w:val="-4"/>
        </w:rPr>
        <w:t xml:space="preserve"> </w:t>
      </w:r>
      <w:r>
        <w:t>ECP/NA</w:t>
      </w:r>
      <w:r>
        <w:rPr>
          <w:spacing w:val="-4"/>
        </w:rPr>
        <w:t xml:space="preserve"> </w:t>
      </w:r>
      <w:r>
        <w:t>template</w:t>
      </w:r>
      <w:r w:rsidR="0096428F">
        <w:t xml:space="preserve"> and via post-certification compliance reviews</w:t>
      </w:r>
      <w:r>
        <w:rPr>
          <w:spacing w:val="-4"/>
        </w:rPr>
        <w:t xml:space="preserve"> </w:t>
      </w:r>
      <w:r>
        <w:t>to</w:t>
      </w:r>
      <w:r>
        <w:rPr>
          <w:spacing w:val="-3"/>
        </w:rPr>
        <w:t xml:space="preserve"> </w:t>
      </w:r>
      <w:r>
        <w:t>determine</w:t>
      </w:r>
      <w:r>
        <w:rPr>
          <w:spacing w:val="-4"/>
        </w:rPr>
        <w:t xml:space="preserve"> </w:t>
      </w:r>
      <w:r>
        <w:t>if</w:t>
      </w:r>
      <w:r>
        <w:rPr>
          <w:spacing w:val="-4"/>
        </w:rPr>
        <w:t xml:space="preserve"> </w:t>
      </w:r>
      <w:r>
        <w:t>issuers</w:t>
      </w:r>
      <w:r>
        <w:rPr>
          <w:spacing w:val="-3"/>
        </w:rPr>
        <w:t xml:space="preserve"> </w:t>
      </w:r>
      <w:r>
        <w:t>meet</w:t>
      </w:r>
      <w:r>
        <w:rPr>
          <w:spacing w:val="-3"/>
        </w:rPr>
        <w:t xml:space="preserve"> </w:t>
      </w:r>
      <w:r>
        <w:t>the</w:t>
      </w:r>
      <w:r>
        <w:rPr>
          <w:spacing w:val="-4"/>
        </w:rPr>
        <w:t xml:space="preserve"> </w:t>
      </w:r>
      <w:r>
        <w:t>ECP</w:t>
      </w:r>
      <w:r>
        <w:rPr>
          <w:spacing w:val="-3"/>
        </w:rPr>
        <w:t xml:space="preserve"> </w:t>
      </w:r>
      <w:r>
        <w:t>and network</w:t>
      </w:r>
      <w:r>
        <w:rPr>
          <w:spacing w:val="-1"/>
        </w:rPr>
        <w:t xml:space="preserve"> </w:t>
      </w:r>
      <w:r>
        <w:t>adequacy</w:t>
      </w:r>
      <w:r>
        <w:rPr>
          <w:spacing w:val="-6"/>
        </w:rPr>
        <w:t xml:space="preserve"> </w:t>
      </w:r>
      <w:r>
        <w:t>standards.</w:t>
      </w:r>
      <w:r>
        <w:rPr>
          <w:spacing w:val="1"/>
        </w:rPr>
        <w:t xml:space="preserve"> </w:t>
      </w:r>
      <w:r>
        <w:t>If</w:t>
      </w:r>
      <w:r>
        <w:rPr>
          <w:spacing w:val="-2"/>
        </w:rPr>
        <w:t xml:space="preserve"> </w:t>
      </w:r>
      <w:r>
        <w:t>issuers</w:t>
      </w:r>
      <w:r>
        <w:rPr>
          <w:spacing w:val="-1"/>
        </w:rPr>
        <w:t xml:space="preserve"> </w:t>
      </w:r>
      <w:r>
        <w:t>do</w:t>
      </w:r>
      <w:r>
        <w:rPr>
          <w:spacing w:val="-1"/>
        </w:rPr>
        <w:t xml:space="preserve"> </w:t>
      </w:r>
      <w:r>
        <w:t>not</w:t>
      </w:r>
      <w:r>
        <w:rPr>
          <w:spacing w:val="-1"/>
        </w:rPr>
        <w:t xml:space="preserve"> </w:t>
      </w:r>
      <w:r>
        <w:t>meet</w:t>
      </w:r>
      <w:r>
        <w:rPr>
          <w:spacing w:val="-1"/>
        </w:rPr>
        <w:t xml:space="preserve"> </w:t>
      </w:r>
      <w:r>
        <w:t>these</w:t>
      </w:r>
      <w:r>
        <w:rPr>
          <w:spacing w:val="-2"/>
        </w:rPr>
        <w:t xml:space="preserve"> </w:t>
      </w:r>
      <w:r>
        <w:t>standards,</w:t>
      </w:r>
      <w:r>
        <w:rPr>
          <w:spacing w:val="-1"/>
        </w:rPr>
        <w:t xml:space="preserve"> </w:t>
      </w:r>
      <w:r>
        <w:t>HHS</w:t>
      </w:r>
      <w:r>
        <w:rPr>
          <w:spacing w:val="-1"/>
        </w:rPr>
        <w:t xml:space="preserve"> </w:t>
      </w:r>
      <w:r>
        <w:t>uses</w:t>
      </w:r>
      <w:r>
        <w:rPr>
          <w:spacing w:val="-1"/>
        </w:rPr>
        <w:t xml:space="preserve"> </w:t>
      </w:r>
      <w:r>
        <w:t>the</w:t>
      </w:r>
      <w:r>
        <w:rPr>
          <w:spacing w:val="-2"/>
        </w:rPr>
        <w:t xml:space="preserve"> </w:t>
      </w:r>
      <w:r>
        <w:t>information</w:t>
      </w:r>
      <w:r>
        <w:rPr>
          <w:spacing w:val="-1"/>
        </w:rPr>
        <w:t xml:space="preserve"> </w:t>
      </w:r>
      <w:r>
        <w:t>to provide technical assistance to the issuer, which can include identifying potential areas for improvement. Issuers also can use the information collected to assess their alignment with ECP and network adequacy</w:t>
      </w:r>
      <w:r>
        <w:rPr>
          <w:spacing w:val="-3"/>
        </w:rPr>
        <w:t xml:space="preserve"> </w:t>
      </w:r>
      <w:r>
        <w:t>standards. Issuers can use the ECP Tool to calculate if they meet the ECP standards by running it on the completed ECP/NA template.</w:t>
      </w:r>
      <w:r>
        <w:rPr>
          <w:spacing w:val="-1"/>
        </w:rPr>
        <w:t xml:space="preserve"> </w:t>
      </w:r>
      <w:r>
        <w:t>It</w:t>
      </w:r>
      <w:r>
        <w:rPr>
          <w:spacing w:val="-3"/>
        </w:rPr>
        <w:t xml:space="preserve"> </w:t>
      </w:r>
      <w:r>
        <w:t>is</w:t>
      </w:r>
      <w:r>
        <w:rPr>
          <w:spacing w:val="-1"/>
        </w:rPr>
        <w:t xml:space="preserve"> </w:t>
      </w:r>
      <w:r>
        <w:t>critical</w:t>
      </w:r>
      <w:r>
        <w:rPr>
          <w:spacing w:val="-3"/>
        </w:rPr>
        <w:t xml:space="preserve"> </w:t>
      </w:r>
      <w:r>
        <w:t>to</w:t>
      </w:r>
      <w:r>
        <w:rPr>
          <w:spacing w:val="-3"/>
        </w:rPr>
        <w:t xml:space="preserve"> </w:t>
      </w:r>
      <w:r>
        <w:t>collect</w:t>
      </w:r>
      <w:r>
        <w:rPr>
          <w:spacing w:val="-3"/>
        </w:rPr>
        <w:t xml:space="preserve"> </w:t>
      </w:r>
      <w:r>
        <w:t>the</w:t>
      </w:r>
      <w:r>
        <w:rPr>
          <w:spacing w:val="-4"/>
        </w:rPr>
        <w:t xml:space="preserve"> </w:t>
      </w:r>
      <w:r>
        <w:t>provider</w:t>
      </w:r>
      <w:r>
        <w:rPr>
          <w:spacing w:val="-4"/>
        </w:rPr>
        <w:t xml:space="preserve"> </w:t>
      </w:r>
      <w:r>
        <w:t>data</w:t>
      </w:r>
      <w:r>
        <w:rPr>
          <w:spacing w:val="-4"/>
        </w:rPr>
        <w:t xml:space="preserve"> </w:t>
      </w:r>
      <w:r>
        <w:t>so</w:t>
      </w:r>
      <w:r>
        <w:rPr>
          <w:spacing w:val="-3"/>
        </w:rPr>
        <w:t xml:space="preserve"> </w:t>
      </w:r>
      <w:r>
        <w:t>that</w:t>
      </w:r>
      <w:r>
        <w:rPr>
          <w:spacing w:val="-3"/>
        </w:rPr>
        <w:t xml:space="preserve"> </w:t>
      </w:r>
      <w:r>
        <w:t>HHS</w:t>
      </w:r>
      <w:r>
        <w:rPr>
          <w:spacing w:val="-3"/>
        </w:rPr>
        <w:t xml:space="preserve"> </w:t>
      </w:r>
      <w:r>
        <w:t>can</w:t>
      </w:r>
      <w:r>
        <w:rPr>
          <w:spacing w:val="-3"/>
        </w:rPr>
        <w:t xml:space="preserve"> </w:t>
      </w:r>
      <w:r>
        <w:t>assess compliance with network adequacy and ECP standards to ensure that QHP enrollees have reasonable, timely access to a sufficient number and types of providers, including ECPs, to meet their health care needs.</w:t>
      </w:r>
    </w:p>
    <w:p w:rsidR="000B1C51" w:rsidP="00E66C65" w14:paraId="4C370D9E" w14:textId="77777777">
      <w:pPr>
        <w:pStyle w:val="BodyText"/>
        <w:ind w:right="-20"/>
      </w:pPr>
    </w:p>
    <w:p w:rsidR="000B1C51" w:rsidP="00E66C65" w14:paraId="771236CB" w14:textId="77777777">
      <w:pPr>
        <w:pStyle w:val="ListParagraph"/>
        <w:numPr>
          <w:ilvl w:val="0"/>
          <w:numId w:val="2"/>
        </w:numPr>
        <w:tabs>
          <w:tab w:val="left" w:pos="360"/>
        </w:tabs>
        <w:ind w:left="0" w:firstLine="0"/>
        <w:rPr>
          <w:sz w:val="24"/>
        </w:rPr>
      </w:pPr>
      <w:bookmarkStart w:id="2" w:name="3._Use_of_Information_Technology"/>
      <w:bookmarkEnd w:id="2"/>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0B1C51" w:rsidP="00446BA6" w14:paraId="10CD0621" w14:textId="77777777">
      <w:pPr>
        <w:pStyle w:val="BodyText"/>
        <w:rPr>
          <w:sz w:val="20"/>
        </w:rPr>
      </w:pPr>
    </w:p>
    <w:p w:rsidR="007D0F89" w:rsidP="00446BA6" w14:paraId="1A63E461" w14:textId="5C17C0C5">
      <w:pPr>
        <w:pStyle w:val="BodyText"/>
        <w:ind w:hanging="10"/>
      </w:pPr>
      <w:r>
        <w:t>Issuers will complete the ECP/NA template</w:t>
      </w:r>
      <w:r w:rsidR="001C297F">
        <w:t xml:space="preserve"> (Appendix </w:t>
      </w:r>
      <w:r w:rsidR="0059440A">
        <w:t>A</w:t>
      </w:r>
      <w:r w:rsidR="001C297F">
        <w:t>)</w:t>
      </w:r>
      <w:r>
        <w:t xml:space="preserve"> to submit information collected</w:t>
      </w:r>
      <w:r w:rsidR="00B21B7B">
        <w:t xml:space="preserve"> for the purposes of </w:t>
      </w:r>
      <w:r w:rsidRPr="00AC29E7">
        <w:t>HHS</w:t>
      </w:r>
      <w:r w:rsidR="00B21B7B">
        <w:t xml:space="preserve">’ assessment of compliance with ECP </w:t>
      </w:r>
      <w:r w:rsidR="00E6638A">
        <w:t xml:space="preserve">and time and distance </w:t>
      </w:r>
      <w:r w:rsidR="00922C9B">
        <w:t xml:space="preserve">network adequacy </w:t>
      </w:r>
      <w:r w:rsidR="00E6638A">
        <w:t xml:space="preserve">standards. Issuers will </w:t>
      </w:r>
      <w:r w:rsidR="001C49DE">
        <w:t xml:space="preserve">use </w:t>
      </w:r>
      <w:r w:rsidR="00E51717">
        <w:t xml:space="preserve">a secure file transfer protocol determined by HHS </w:t>
      </w:r>
      <w:r w:rsidR="001C49DE">
        <w:t xml:space="preserve"> to submit information for purposes of HHS’ assessment of compliance with appointment wait time standards. </w:t>
      </w:r>
    </w:p>
    <w:p w:rsidR="007D0F89" w:rsidP="00446BA6" w14:paraId="6E0B951E" w14:textId="77777777">
      <w:pPr>
        <w:pStyle w:val="BodyText"/>
        <w:ind w:hanging="10"/>
      </w:pPr>
    </w:p>
    <w:p w:rsidR="000B1C51" w:rsidP="00446BA6" w14:paraId="2470E78C" w14:textId="0CB7462B">
      <w:pPr>
        <w:pStyle w:val="BodyText"/>
        <w:ind w:hanging="10"/>
      </w:pPr>
      <w:r>
        <w:t>HHS has engaged and continues to engage with states, issuers, and the National Association of Insurance</w:t>
      </w:r>
      <w:r>
        <w:rPr>
          <w:spacing w:val="-4"/>
        </w:rPr>
        <w:t xml:space="preserve"> </w:t>
      </w:r>
      <w:r>
        <w:t>Commissioners</w:t>
      </w:r>
      <w:r>
        <w:rPr>
          <w:spacing w:val="-3"/>
        </w:rPr>
        <w:t xml:space="preserve"> </w:t>
      </w:r>
      <w:r>
        <w:t>(NAIC)</w:t>
      </w:r>
      <w:r>
        <w:rPr>
          <w:spacing w:val="-4"/>
        </w:rPr>
        <w:t xml:space="preserve"> </w:t>
      </w:r>
      <w:r>
        <w:t>in</w:t>
      </w:r>
      <w:r>
        <w:rPr>
          <w:spacing w:val="-3"/>
        </w:rPr>
        <w:t xml:space="preserve"> </w:t>
      </w:r>
      <w:r>
        <w:t>the</w:t>
      </w:r>
      <w:r>
        <w:rPr>
          <w:spacing w:val="-4"/>
        </w:rPr>
        <w:t xml:space="preserve"> </w:t>
      </w:r>
      <w:r>
        <w:t>effort</w:t>
      </w:r>
      <w:r>
        <w:rPr>
          <w:spacing w:val="-3"/>
        </w:rPr>
        <w:t xml:space="preserve"> </w:t>
      </w:r>
      <w:r>
        <w:t>to</w:t>
      </w:r>
      <w:r>
        <w:rPr>
          <w:spacing w:val="-1"/>
        </w:rPr>
        <w:t xml:space="preserve"> </w:t>
      </w:r>
      <w:r>
        <w:t>develop</w:t>
      </w:r>
      <w:r>
        <w:rPr>
          <w:spacing w:val="-3"/>
        </w:rPr>
        <w:t xml:space="preserve"> </w:t>
      </w:r>
      <w:r>
        <w:t>data</w:t>
      </w:r>
      <w:r>
        <w:rPr>
          <w:spacing w:val="-4"/>
        </w:rPr>
        <w:t xml:space="preserve"> </w:t>
      </w:r>
      <w:r>
        <w:t>standards</w:t>
      </w:r>
      <w:r>
        <w:rPr>
          <w:spacing w:val="-3"/>
        </w:rPr>
        <w:t xml:space="preserve"> </w:t>
      </w:r>
      <w:r>
        <w:t>for</w:t>
      </w:r>
      <w:r>
        <w:rPr>
          <w:spacing w:val="-4"/>
        </w:rPr>
        <w:t xml:space="preserve"> </w:t>
      </w:r>
      <w:r>
        <w:t>QHP</w:t>
      </w:r>
      <w:r>
        <w:rPr>
          <w:spacing w:val="-3"/>
        </w:rPr>
        <w:t xml:space="preserve"> </w:t>
      </w:r>
      <w:r>
        <w:t>certification,</w:t>
      </w:r>
      <w:r>
        <w:rPr>
          <w:spacing w:val="-3"/>
        </w:rPr>
        <w:t xml:space="preserve"> </w:t>
      </w:r>
      <w:r>
        <w:t>risk adjustment,</w:t>
      </w:r>
      <w:r>
        <w:rPr>
          <w:spacing w:val="-1"/>
        </w:rPr>
        <w:t xml:space="preserve"> </w:t>
      </w:r>
      <w:r>
        <w:t>and</w:t>
      </w:r>
      <w:r>
        <w:rPr>
          <w:spacing w:val="-1"/>
        </w:rPr>
        <w:t xml:space="preserve"> </w:t>
      </w:r>
      <w:r>
        <w:t>other</w:t>
      </w:r>
      <w:r>
        <w:rPr>
          <w:spacing w:val="-2"/>
        </w:rPr>
        <w:t xml:space="preserve"> </w:t>
      </w:r>
      <w:r>
        <w:t>plan</w:t>
      </w:r>
      <w:r>
        <w:rPr>
          <w:spacing w:val="-1"/>
        </w:rPr>
        <w:t xml:space="preserve"> </w:t>
      </w:r>
      <w:r>
        <w:t>management</w:t>
      </w:r>
      <w:r>
        <w:rPr>
          <w:spacing w:val="-1"/>
        </w:rPr>
        <w:t xml:space="preserve"> </w:t>
      </w:r>
      <w:r>
        <w:t>activities,</w:t>
      </w:r>
      <w:r>
        <w:rPr>
          <w:spacing w:val="-1"/>
        </w:rPr>
        <w:t xml:space="preserve"> </w:t>
      </w:r>
      <w:r>
        <w:t>including</w:t>
      </w:r>
      <w:r>
        <w:rPr>
          <w:spacing w:val="-4"/>
        </w:rPr>
        <w:t xml:space="preserve"> </w:t>
      </w:r>
      <w:r>
        <w:t>ECP</w:t>
      </w:r>
      <w:r>
        <w:rPr>
          <w:spacing w:val="-1"/>
        </w:rPr>
        <w:t xml:space="preserve"> </w:t>
      </w:r>
      <w:r>
        <w:t>and</w:t>
      </w:r>
      <w:r>
        <w:rPr>
          <w:spacing w:val="-1"/>
        </w:rPr>
        <w:t xml:space="preserve"> </w:t>
      </w:r>
      <w:r>
        <w:t>network</w:t>
      </w:r>
      <w:r>
        <w:rPr>
          <w:spacing w:val="-1"/>
        </w:rPr>
        <w:t xml:space="preserve"> </w:t>
      </w:r>
      <w:r>
        <w:t>adequacy</w:t>
      </w:r>
      <w:r>
        <w:rPr>
          <w:spacing w:val="-6"/>
        </w:rPr>
        <w:t xml:space="preserve"> </w:t>
      </w:r>
      <w:r>
        <w:t>standards, that would make reporting to the Exchanges more streamlined for issuers across the country, and allow them to submit information in a manner that is standardized to the greatest extent possible.</w:t>
      </w:r>
    </w:p>
    <w:p w:rsidR="000B1C51" w:rsidP="00446BA6" w14:paraId="1A6FAB3F" w14:textId="77777777">
      <w:pPr>
        <w:pStyle w:val="BodyText"/>
        <w:rPr>
          <w:sz w:val="25"/>
        </w:rPr>
      </w:pPr>
    </w:p>
    <w:p w:rsidR="000B1C51" w:rsidP="00446BA6" w14:paraId="49094B01" w14:textId="7C7F0575">
      <w:pPr>
        <w:pStyle w:val="BodyText"/>
        <w:ind w:hanging="10"/>
      </w:pPr>
      <w:r>
        <w:t>HHS has updated the ECP/NA template and ECP and Network Adequacy justification process to reduce issuer burden where possible. The template updates include additional validations, which generate error messages that provide guidance to the issuer on how to resolve any identified errors or incomplete data fields to assist the issuer with validating and submitting the template to HHS. The ECP List is also embedded within the ECP/NA template, which reduces issuer burden since they can select ECPs from the list, rather than the issuer having to collect the provider data themselves.</w:t>
      </w:r>
      <w:r>
        <w:rPr>
          <w:spacing w:val="-1"/>
        </w:rPr>
        <w:t xml:space="preserve"> </w:t>
      </w:r>
      <w:r>
        <w:t>The</w:t>
      </w:r>
      <w:r>
        <w:rPr>
          <w:spacing w:val="-2"/>
        </w:rPr>
        <w:t xml:space="preserve"> </w:t>
      </w:r>
      <w:r>
        <w:t>ECP/NA</w:t>
      </w:r>
      <w:r>
        <w:rPr>
          <w:spacing w:val="-2"/>
        </w:rPr>
        <w:t xml:space="preserve"> </w:t>
      </w:r>
      <w:r>
        <w:t>template</w:t>
      </w:r>
      <w:r>
        <w:rPr>
          <w:spacing w:val="-2"/>
        </w:rPr>
        <w:t xml:space="preserve"> </w:t>
      </w:r>
      <w:r>
        <w:t>is</w:t>
      </w:r>
      <w:r>
        <w:rPr>
          <w:spacing w:val="-1"/>
        </w:rPr>
        <w:t xml:space="preserve"> </w:t>
      </w:r>
      <w:r>
        <w:t>programmed</w:t>
      </w:r>
      <w:r>
        <w:rPr>
          <w:spacing w:val="-1"/>
        </w:rPr>
        <w:t xml:space="preserve"> </w:t>
      </w:r>
      <w:r>
        <w:t>to</w:t>
      </w:r>
      <w:r>
        <w:rPr>
          <w:spacing w:val="-1"/>
        </w:rPr>
        <w:t xml:space="preserve"> </w:t>
      </w:r>
      <w:r>
        <w:t>auto-populate</w:t>
      </w:r>
      <w:r>
        <w:rPr>
          <w:spacing w:val="-2"/>
        </w:rPr>
        <w:t xml:space="preserve"> </w:t>
      </w:r>
      <w:r>
        <w:t>the</w:t>
      </w:r>
      <w:r>
        <w:rPr>
          <w:spacing w:val="-2"/>
        </w:rPr>
        <w:t xml:space="preserve"> </w:t>
      </w:r>
      <w:r>
        <w:t>majority</w:t>
      </w:r>
      <w:r>
        <w:rPr>
          <w:spacing w:val="-6"/>
        </w:rPr>
        <w:t xml:space="preserve"> </w:t>
      </w:r>
      <w:r>
        <w:t>of</w:t>
      </w:r>
      <w:r>
        <w:rPr>
          <w:spacing w:val="-2"/>
        </w:rPr>
        <w:t xml:space="preserve"> </w:t>
      </w:r>
      <w:r>
        <w:t>the</w:t>
      </w:r>
      <w:r>
        <w:rPr>
          <w:spacing w:val="-2"/>
        </w:rPr>
        <w:t xml:space="preserve"> </w:t>
      </w:r>
      <w:r>
        <w:t>ECP</w:t>
      </w:r>
      <w:r>
        <w:rPr>
          <w:spacing w:val="-1"/>
        </w:rPr>
        <w:t xml:space="preserve"> </w:t>
      </w:r>
      <w:r>
        <w:t>data</w:t>
      </w:r>
      <w:r>
        <w:rPr>
          <w:spacing w:val="-2"/>
        </w:rPr>
        <w:t xml:space="preserve"> </w:t>
      </w:r>
      <w:r>
        <w:t>for the</w:t>
      </w:r>
      <w:r>
        <w:rPr>
          <w:spacing w:val="-1"/>
        </w:rPr>
        <w:t xml:space="preserve"> </w:t>
      </w:r>
      <w:r>
        <w:t>issuer</w:t>
      </w:r>
      <w:r>
        <w:rPr>
          <w:spacing w:val="-1"/>
        </w:rPr>
        <w:t xml:space="preserve"> </w:t>
      </w:r>
      <w:r>
        <w:t>once</w:t>
      </w:r>
      <w:r>
        <w:rPr>
          <w:spacing w:val="-1"/>
        </w:rPr>
        <w:t xml:space="preserve"> </w:t>
      </w:r>
      <w:r>
        <w:t>the</w:t>
      </w:r>
      <w:r>
        <w:rPr>
          <w:spacing w:val="-1"/>
        </w:rPr>
        <w:t xml:space="preserve"> </w:t>
      </w:r>
      <w:r>
        <w:t>issuer has selected the</w:t>
      </w:r>
      <w:r>
        <w:rPr>
          <w:spacing w:val="-1"/>
        </w:rPr>
        <w:t xml:space="preserve"> </w:t>
      </w:r>
      <w:r>
        <w:t>providers with whom they</w:t>
      </w:r>
      <w:r>
        <w:rPr>
          <w:spacing w:val="-5"/>
        </w:rPr>
        <w:t xml:space="preserve"> </w:t>
      </w:r>
      <w:r>
        <w:t>contract from the</w:t>
      </w:r>
      <w:r>
        <w:rPr>
          <w:spacing w:val="-1"/>
        </w:rPr>
        <w:t xml:space="preserve"> </w:t>
      </w:r>
      <w:r>
        <w:t>ECP List that is embedded within the template. Additionally, HHS has updated the ECP Justification Form and created</w:t>
      </w:r>
      <w:r>
        <w:rPr>
          <w:spacing w:val="-2"/>
        </w:rPr>
        <w:t xml:space="preserve"> </w:t>
      </w:r>
      <w:r>
        <w:t>a</w:t>
      </w:r>
      <w:r>
        <w:rPr>
          <w:spacing w:val="-3"/>
        </w:rPr>
        <w:t xml:space="preserve"> </w:t>
      </w:r>
      <w:r>
        <w:t>new</w:t>
      </w:r>
      <w:r>
        <w:rPr>
          <w:spacing w:val="-3"/>
        </w:rPr>
        <w:t xml:space="preserve"> </w:t>
      </w:r>
      <w:r>
        <w:t>Network</w:t>
      </w:r>
      <w:r>
        <w:rPr>
          <w:spacing w:val="-2"/>
        </w:rPr>
        <w:t xml:space="preserve"> </w:t>
      </w:r>
      <w:r>
        <w:t>Adequacy</w:t>
      </w:r>
      <w:r>
        <w:rPr>
          <w:spacing w:val="-7"/>
        </w:rPr>
        <w:t xml:space="preserve"> </w:t>
      </w:r>
      <w:r>
        <w:t>Justification</w:t>
      </w:r>
      <w:r>
        <w:rPr>
          <w:spacing w:val="-2"/>
        </w:rPr>
        <w:t xml:space="preserve"> </w:t>
      </w:r>
      <w:r>
        <w:t>Form. If</w:t>
      </w:r>
      <w:r>
        <w:rPr>
          <w:spacing w:val="-3"/>
        </w:rPr>
        <w:t xml:space="preserve"> </w:t>
      </w:r>
      <w:r>
        <w:t>issuers</w:t>
      </w:r>
      <w:r>
        <w:rPr>
          <w:spacing w:val="-2"/>
        </w:rPr>
        <w:t xml:space="preserve"> </w:t>
      </w:r>
      <w:r>
        <w:t>do</w:t>
      </w:r>
      <w:r>
        <w:rPr>
          <w:spacing w:val="-2"/>
        </w:rPr>
        <w:t xml:space="preserve"> </w:t>
      </w:r>
      <w:r>
        <w:t>not</w:t>
      </w:r>
      <w:r>
        <w:rPr>
          <w:spacing w:val="-2"/>
        </w:rPr>
        <w:t xml:space="preserve"> </w:t>
      </w:r>
      <w:r>
        <w:t>meet one</w:t>
      </w:r>
      <w:r>
        <w:rPr>
          <w:spacing w:val="-3"/>
        </w:rPr>
        <w:t xml:space="preserve"> </w:t>
      </w:r>
      <w:r>
        <w:t>or</w:t>
      </w:r>
      <w:r>
        <w:rPr>
          <w:spacing w:val="-3"/>
        </w:rPr>
        <w:t xml:space="preserve"> </w:t>
      </w:r>
      <w:r>
        <w:t>more</w:t>
      </w:r>
      <w:r>
        <w:rPr>
          <w:spacing w:val="-1"/>
        </w:rPr>
        <w:t xml:space="preserve"> </w:t>
      </w:r>
      <w:r>
        <w:t>elements</w:t>
      </w:r>
      <w:r>
        <w:rPr>
          <w:spacing w:val="-2"/>
        </w:rPr>
        <w:t xml:space="preserve"> </w:t>
      </w:r>
      <w:r>
        <w:t>of the ECP and/or network adequacy</w:t>
      </w:r>
      <w:r>
        <w:rPr>
          <w:spacing w:val="-1"/>
        </w:rPr>
        <w:t xml:space="preserve"> </w:t>
      </w:r>
      <w:r>
        <w:t xml:space="preserve">standards, issuers will </w:t>
      </w:r>
      <w:r w:rsidR="00922C9B">
        <w:t xml:space="preserve">receive </w:t>
      </w:r>
      <w:r>
        <w:t xml:space="preserve">a partially pre-populated Network Adequacy Justification Form and/or ECP Justification Form </w:t>
      </w:r>
      <w:r w:rsidR="00922C9B">
        <w:t>from CMS</w:t>
      </w:r>
      <w:r>
        <w:t>. Issuers will complete all the required fields within the applicable form(s) and submit to CMS by the required deadline. This justification process provide</w:t>
      </w:r>
      <w:r w:rsidR="00922C9B">
        <w:t>s</w:t>
      </w:r>
      <w:r>
        <w:t xml:space="preserve"> greater transparency</w:t>
      </w:r>
      <w:r>
        <w:rPr>
          <w:spacing w:val="-7"/>
        </w:rPr>
        <w:t xml:space="preserve"> </w:t>
      </w:r>
      <w:r>
        <w:t>and</w:t>
      </w:r>
      <w:r>
        <w:rPr>
          <w:spacing w:val="-1"/>
        </w:rPr>
        <w:t xml:space="preserve"> </w:t>
      </w:r>
      <w:r>
        <w:t>further</w:t>
      </w:r>
      <w:r>
        <w:rPr>
          <w:spacing w:val="-2"/>
        </w:rPr>
        <w:t xml:space="preserve"> </w:t>
      </w:r>
      <w:r>
        <w:t>reduce</w:t>
      </w:r>
      <w:r w:rsidR="00922C9B">
        <w:t>s</w:t>
      </w:r>
      <w:r>
        <w:rPr>
          <w:spacing w:val="-3"/>
        </w:rPr>
        <w:t xml:space="preserve"> </w:t>
      </w:r>
      <w:r>
        <w:t>issuer</w:t>
      </w:r>
      <w:r>
        <w:rPr>
          <w:spacing w:val="-3"/>
        </w:rPr>
        <w:t xml:space="preserve"> </w:t>
      </w:r>
      <w:r>
        <w:t>burden</w:t>
      </w:r>
      <w:r>
        <w:rPr>
          <w:spacing w:val="-2"/>
        </w:rPr>
        <w:t xml:space="preserve"> </w:t>
      </w:r>
      <w:r>
        <w:t>by</w:t>
      </w:r>
      <w:r>
        <w:rPr>
          <w:spacing w:val="-7"/>
        </w:rPr>
        <w:t xml:space="preserve"> </w:t>
      </w:r>
      <w:r>
        <w:t>clearly</w:t>
      </w:r>
      <w:r>
        <w:rPr>
          <w:spacing w:val="-7"/>
        </w:rPr>
        <w:t xml:space="preserve"> </w:t>
      </w:r>
      <w:r>
        <w:t>identifying</w:t>
      </w:r>
      <w:r>
        <w:rPr>
          <w:spacing w:val="-5"/>
        </w:rPr>
        <w:t xml:space="preserve"> </w:t>
      </w:r>
      <w:r>
        <w:t>needed</w:t>
      </w:r>
      <w:r>
        <w:rPr>
          <w:spacing w:val="-1"/>
        </w:rPr>
        <w:t xml:space="preserve"> </w:t>
      </w:r>
      <w:r>
        <w:t>corrections</w:t>
      </w:r>
      <w:r>
        <w:rPr>
          <w:spacing w:val="-2"/>
        </w:rPr>
        <w:t xml:space="preserve"> </w:t>
      </w:r>
      <w:r>
        <w:t>and</w:t>
      </w:r>
      <w:r>
        <w:rPr>
          <w:spacing w:val="-2"/>
        </w:rPr>
        <w:t xml:space="preserve"> </w:t>
      </w:r>
      <w:r>
        <w:t>required fields for the issuer to complete a satisfactory justification to support their QHP certification.</w:t>
      </w:r>
    </w:p>
    <w:p w:rsidR="000B1C51" w:rsidP="00446BA6" w14:paraId="048F4B45" w14:textId="77777777">
      <w:pPr>
        <w:pStyle w:val="BodyText"/>
        <w:rPr>
          <w:sz w:val="27"/>
        </w:rPr>
      </w:pPr>
    </w:p>
    <w:p w:rsidR="000B1C51" w:rsidP="00E66C65" w14:paraId="08474ABF" w14:textId="77777777">
      <w:pPr>
        <w:pStyle w:val="ListParagraph"/>
        <w:numPr>
          <w:ilvl w:val="0"/>
          <w:numId w:val="2"/>
        </w:numPr>
        <w:tabs>
          <w:tab w:val="left" w:pos="360"/>
        </w:tabs>
        <w:ind w:left="0" w:firstLine="0"/>
        <w:rPr>
          <w:sz w:val="24"/>
        </w:rPr>
      </w:pPr>
      <w:bookmarkStart w:id="3" w:name="4._Duplication_of_Efforts"/>
      <w:bookmarkEnd w:id="3"/>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0B1C51" w:rsidP="00296762" w14:paraId="320B291A" w14:textId="77777777">
      <w:pPr>
        <w:pStyle w:val="BodyText"/>
        <w:rPr>
          <w:sz w:val="20"/>
        </w:rPr>
      </w:pPr>
    </w:p>
    <w:p w:rsidR="000B1C51" w:rsidP="00E66C65" w14:paraId="71348842" w14:textId="77777777">
      <w:pPr>
        <w:pStyle w:val="BodyText"/>
      </w:pPr>
      <w:r>
        <w:t>This</w:t>
      </w:r>
      <w:r>
        <w:rPr>
          <w:spacing w:val="-4"/>
        </w:rPr>
        <w:t xml:space="preserve"> </w:t>
      </w:r>
      <w:r>
        <w:t>information</w:t>
      </w:r>
      <w:r>
        <w:rPr>
          <w:spacing w:val="-1"/>
        </w:rPr>
        <w:t xml:space="preserve"> </w:t>
      </w:r>
      <w:r>
        <w:t>collection</w:t>
      </w:r>
      <w:r>
        <w:rPr>
          <w:spacing w:val="-1"/>
        </w:rPr>
        <w:t xml:space="preserve"> </w:t>
      </w:r>
      <w:r>
        <w:t>does</w:t>
      </w:r>
      <w:r>
        <w:rPr>
          <w:spacing w:val="-1"/>
        </w:rPr>
        <w:t xml:space="preserve"> </w:t>
      </w:r>
      <w:r>
        <w:t>not</w:t>
      </w:r>
      <w:r>
        <w:rPr>
          <w:spacing w:val="-1"/>
        </w:rPr>
        <w:t xml:space="preserve"> </w:t>
      </w:r>
      <w:r>
        <w:t>duplicate</w:t>
      </w:r>
      <w:r>
        <w:rPr>
          <w:spacing w:val="-2"/>
        </w:rPr>
        <w:t xml:space="preserve"> </w:t>
      </w:r>
      <w:r>
        <w:t>any</w:t>
      </w:r>
      <w:r>
        <w:rPr>
          <w:spacing w:val="-4"/>
        </w:rPr>
        <w:t xml:space="preserve"> </w:t>
      </w:r>
      <w:r>
        <w:t>other</w:t>
      </w:r>
      <w:r>
        <w:rPr>
          <w:spacing w:val="-2"/>
        </w:rPr>
        <w:t xml:space="preserve"> </w:t>
      </w:r>
      <w:r>
        <w:t>Federal</w:t>
      </w:r>
      <w:r>
        <w:rPr>
          <w:spacing w:val="-1"/>
        </w:rPr>
        <w:t xml:space="preserve"> </w:t>
      </w:r>
      <w:r>
        <w:rPr>
          <w:spacing w:val="-2"/>
        </w:rPr>
        <w:t>effort.</w:t>
      </w:r>
    </w:p>
    <w:p w:rsidR="000B1C51" w:rsidP="00296762" w14:paraId="075C4690" w14:textId="77777777">
      <w:pPr>
        <w:pStyle w:val="BodyText"/>
        <w:rPr>
          <w:sz w:val="27"/>
        </w:rPr>
      </w:pPr>
    </w:p>
    <w:p w:rsidR="000B1C51" w:rsidRPr="00E66C65" w:rsidP="00E66C65" w14:paraId="7A0BBC14" w14:textId="77777777">
      <w:pPr>
        <w:pStyle w:val="ListParagraph"/>
        <w:numPr>
          <w:ilvl w:val="0"/>
          <w:numId w:val="2"/>
        </w:numPr>
        <w:tabs>
          <w:tab w:val="left" w:pos="353"/>
        </w:tabs>
        <w:ind w:left="0" w:firstLine="0"/>
        <w:rPr>
          <w:sz w:val="24"/>
          <w:u w:val="single"/>
        </w:rPr>
      </w:pPr>
      <w:r>
        <w:rPr>
          <w:sz w:val="24"/>
          <w:u w:val="single"/>
        </w:rPr>
        <w:t>Small</w:t>
      </w:r>
      <w:r w:rsidRPr="00E66C65">
        <w:rPr>
          <w:sz w:val="24"/>
          <w:u w:val="single"/>
        </w:rPr>
        <w:t xml:space="preserve"> Businesses</w:t>
      </w:r>
    </w:p>
    <w:p w:rsidR="000B1C51" w:rsidP="00ED470D" w14:paraId="2F3B4D31" w14:textId="77777777">
      <w:pPr>
        <w:pStyle w:val="BodyText"/>
        <w:rPr>
          <w:sz w:val="19"/>
        </w:rPr>
      </w:pPr>
    </w:p>
    <w:p w:rsidR="000B1C51" w:rsidP="00E66C65" w14:paraId="110D2972" w14:textId="77777777">
      <w:pPr>
        <w:pStyle w:val="BodyText"/>
      </w:pPr>
      <w:r>
        <w:t>This</w:t>
      </w:r>
      <w:r>
        <w:rPr>
          <w:spacing w:val="-4"/>
        </w:rPr>
        <w:t xml:space="preserve"> </w:t>
      </w:r>
      <w:r>
        <w:t>information</w:t>
      </w:r>
      <w:r>
        <w:rPr>
          <w:spacing w:val="-1"/>
        </w:rPr>
        <w:t xml:space="preserve"> </w:t>
      </w:r>
      <w:r>
        <w:t>collection</w:t>
      </w:r>
      <w:r>
        <w:rPr>
          <w:spacing w:val="-2"/>
        </w:rPr>
        <w:t xml:space="preserve"> </w:t>
      </w:r>
      <w:r>
        <w:t>will</w:t>
      </w:r>
      <w:r>
        <w:rPr>
          <w:spacing w:val="-1"/>
        </w:rPr>
        <w:t xml:space="preserve"> </w:t>
      </w:r>
      <w:r>
        <w:t>not</w:t>
      </w:r>
      <w:r>
        <w:rPr>
          <w:spacing w:val="-2"/>
        </w:rPr>
        <w:t xml:space="preserve"> </w:t>
      </w:r>
      <w:r>
        <w:t>have</w:t>
      </w:r>
      <w:r>
        <w:rPr>
          <w:spacing w:val="-2"/>
        </w:rPr>
        <w:t xml:space="preserve"> </w:t>
      </w:r>
      <w:r>
        <w:t>a</w:t>
      </w:r>
      <w:r>
        <w:rPr>
          <w:spacing w:val="-3"/>
        </w:rPr>
        <w:t xml:space="preserve"> </w:t>
      </w:r>
      <w:r>
        <w:t>significant</w:t>
      </w:r>
      <w:r>
        <w:rPr>
          <w:spacing w:val="-1"/>
        </w:rPr>
        <w:t xml:space="preserve"> </w:t>
      </w:r>
      <w:r>
        <w:t>impact</w:t>
      </w:r>
      <w:r>
        <w:rPr>
          <w:spacing w:val="-2"/>
        </w:rPr>
        <w:t xml:space="preserve"> </w:t>
      </w:r>
      <w:r>
        <w:t>on</w:t>
      </w:r>
      <w:r>
        <w:rPr>
          <w:spacing w:val="-1"/>
        </w:rPr>
        <w:t xml:space="preserve"> </w:t>
      </w:r>
      <w:r>
        <w:t>small</w:t>
      </w:r>
      <w:r>
        <w:rPr>
          <w:spacing w:val="-1"/>
        </w:rPr>
        <w:t xml:space="preserve"> </w:t>
      </w:r>
      <w:r>
        <w:rPr>
          <w:spacing w:val="-2"/>
        </w:rPr>
        <w:t>businesses.</w:t>
      </w:r>
    </w:p>
    <w:p w:rsidR="000B1C51" w:rsidP="00ED470D" w14:paraId="40FBA952" w14:textId="77777777">
      <w:pPr>
        <w:pStyle w:val="BodyText"/>
        <w:rPr>
          <w:sz w:val="26"/>
        </w:rPr>
      </w:pPr>
    </w:p>
    <w:p w:rsidR="000B1C51" w:rsidRPr="00E66C65" w:rsidP="00E66C65" w14:paraId="119B7D64" w14:textId="77777777">
      <w:pPr>
        <w:pStyle w:val="ListParagraph"/>
        <w:numPr>
          <w:ilvl w:val="0"/>
          <w:numId w:val="2"/>
        </w:numPr>
        <w:tabs>
          <w:tab w:val="left" w:pos="356"/>
        </w:tabs>
        <w:ind w:left="0" w:firstLine="0"/>
        <w:rPr>
          <w:sz w:val="24"/>
          <w:u w:val="single"/>
        </w:rPr>
      </w:pPr>
      <w:bookmarkStart w:id="4" w:name="6._Less_Frequent_Collection"/>
      <w:bookmarkEnd w:id="4"/>
      <w:r>
        <w:rPr>
          <w:sz w:val="24"/>
          <w:u w:val="single"/>
        </w:rPr>
        <w:t>Less</w:t>
      </w:r>
      <w:r w:rsidRPr="00E66C65">
        <w:rPr>
          <w:sz w:val="24"/>
          <w:u w:val="single"/>
        </w:rPr>
        <w:t xml:space="preserve"> </w:t>
      </w:r>
      <w:r>
        <w:rPr>
          <w:sz w:val="24"/>
          <w:u w:val="single"/>
        </w:rPr>
        <w:t>Frequent</w:t>
      </w:r>
      <w:r w:rsidRPr="00E66C65">
        <w:rPr>
          <w:sz w:val="24"/>
          <w:u w:val="single"/>
        </w:rPr>
        <w:t xml:space="preserve"> Collection</w:t>
      </w:r>
    </w:p>
    <w:p w:rsidR="00E66C65" w:rsidP="00E66C65" w14:paraId="4037F380" w14:textId="77777777">
      <w:pPr>
        <w:pStyle w:val="BodyText"/>
        <w:ind w:right="-20" w:hanging="10"/>
      </w:pPr>
    </w:p>
    <w:p w:rsidR="000B1C51" w:rsidP="00E66C65" w14:paraId="74AEA4AE" w14:textId="528E82AC">
      <w:pPr>
        <w:pStyle w:val="BodyText"/>
        <w:ind w:right="-20" w:hanging="10"/>
      </w:pPr>
      <w:r>
        <w:t>QHPs will be certified utilizing an annual certification process. We will continue to reassess the certification and recertification burden and make every effort to minimize burden as much as possible in the future. Since provider information and provider contracts with issuers change on an ongoing</w:t>
      </w:r>
      <w:r>
        <w:rPr>
          <w:spacing w:val="-1"/>
        </w:rPr>
        <w:t xml:space="preserve"> </w:t>
      </w:r>
      <w:r>
        <w:t>basis, HHS requires QHP issuers to submit annually</w:t>
      </w:r>
      <w:r>
        <w:rPr>
          <w:spacing w:val="-3"/>
        </w:rPr>
        <w:t xml:space="preserve"> </w:t>
      </w:r>
      <w:r>
        <w:t>the provider information that impacts compliance with the ECP and network adequacy standards. It is important to collect ECP/NA template</w:t>
      </w:r>
      <w:r>
        <w:rPr>
          <w:spacing w:val="-2"/>
        </w:rPr>
        <w:t xml:space="preserve"> </w:t>
      </w:r>
      <w:r>
        <w:t>data</w:t>
      </w:r>
      <w:r>
        <w:rPr>
          <w:spacing w:val="-2"/>
        </w:rPr>
        <w:t xml:space="preserve"> </w:t>
      </w:r>
      <w:r w:rsidR="00B5517D">
        <w:rPr>
          <w:spacing w:val="-2"/>
        </w:rPr>
        <w:t xml:space="preserve">and secret shopper survey data </w:t>
      </w:r>
      <w:r>
        <w:t>on</w:t>
      </w:r>
      <w:r>
        <w:rPr>
          <w:spacing w:val="-1"/>
        </w:rPr>
        <w:t xml:space="preserve"> </w:t>
      </w:r>
      <w:r>
        <w:t>an annual</w:t>
      </w:r>
      <w:r>
        <w:rPr>
          <w:spacing w:val="-1"/>
        </w:rPr>
        <w:t xml:space="preserve"> </w:t>
      </w:r>
      <w:r>
        <w:t>basis</w:t>
      </w:r>
      <w:r>
        <w:rPr>
          <w:spacing w:val="-1"/>
        </w:rPr>
        <w:t xml:space="preserve"> </w:t>
      </w:r>
      <w:r>
        <w:t>in</w:t>
      </w:r>
      <w:r>
        <w:rPr>
          <w:spacing w:val="-1"/>
        </w:rPr>
        <w:t xml:space="preserve"> </w:t>
      </w:r>
      <w:r>
        <w:t>order</w:t>
      </w:r>
      <w:r>
        <w:rPr>
          <w:spacing w:val="-2"/>
        </w:rPr>
        <w:t xml:space="preserve"> </w:t>
      </w:r>
      <w:r>
        <w:t>to</w:t>
      </w:r>
      <w:r>
        <w:rPr>
          <w:spacing w:val="-1"/>
        </w:rPr>
        <w:t xml:space="preserve"> </w:t>
      </w:r>
      <w:r>
        <w:t>ensure</w:t>
      </w:r>
      <w:r>
        <w:rPr>
          <w:spacing w:val="-2"/>
        </w:rPr>
        <w:t xml:space="preserve"> </w:t>
      </w:r>
      <w:r>
        <w:t>that</w:t>
      </w:r>
      <w:r>
        <w:rPr>
          <w:spacing w:val="-1"/>
        </w:rPr>
        <w:t xml:space="preserve"> </w:t>
      </w:r>
      <w:r>
        <w:t>QHPs</w:t>
      </w:r>
      <w:r>
        <w:rPr>
          <w:spacing w:val="-1"/>
        </w:rPr>
        <w:t xml:space="preserve"> </w:t>
      </w:r>
      <w:r>
        <w:t>being</w:t>
      </w:r>
      <w:r>
        <w:rPr>
          <w:spacing w:val="-4"/>
        </w:rPr>
        <w:t xml:space="preserve"> </w:t>
      </w:r>
      <w:r>
        <w:t>sold</w:t>
      </w:r>
      <w:r>
        <w:rPr>
          <w:spacing w:val="-1"/>
        </w:rPr>
        <w:t xml:space="preserve"> </w:t>
      </w:r>
      <w:r>
        <w:t>on</w:t>
      </w:r>
      <w:r>
        <w:rPr>
          <w:spacing w:val="-1"/>
        </w:rPr>
        <w:t xml:space="preserve"> </w:t>
      </w:r>
      <w:r>
        <w:t>the</w:t>
      </w:r>
      <w:r>
        <w:rPr>
          <w:spacing w:val="-2"/>
        </w:rPr>
        <w:t xml:space="preserve"> </w:t>
      </w:r>
      <w:r>
        <w:t>FFE</w:t>
      </w:r>
      <w:r>
        <w:rPr>
          <w:spacing w:val="-2"/>
        </w:rPr>
        <w:t xml:space="preserve"> </w:t>
      </w:r>
      <w:r>
        <w:t>meet</w:t>
      </w:r>
      <w:r>
        <w:rPr>
          <w:spacing w:val="-1"/>
        </w:rPr>
        <w:t xml:space="preserve"> </w:t>
      </w:r>
      <w:r>
        <w:t>the</w:t>
      </w:r>
      <w:r>
        <w:rPr>
          <w:spacing w:val="-2"/>
        </w:rPr>
        <w:t xml:space="preserve"> </w:t>
      </w:r>
      <w:r>
        <w:t>ACA requirements for ECP and network adequacy. If HHS were to institute less frequent collection of said</w:t>
      </w:r>
      <w:r>
        <w:rPr>
          <w:spacing w:val="-3"/>
        </w:rPr>
        <w:t xml:space="preserve"> </w:t>
      </w:r>
      <w:r>
        <w:t>data,</w:t>
      </w:r>
      <w:r>
        <w:rPr>
          <w:spacing w:val="-3"/>
        </w:rPr>
        <w:t xml:space="preserve"> </w:t>
      </w:r>
      <w:r>
        <w:t>there</w:t>
      </w:r>
      <w:r>
        <w:rPr>
          <w:spacing w:val="-3"/>
        </w:rPr>
        <w:t xml:space="preserve"> </w:t>
      </w:r>
      <w:r>
        <w:t>would</w:t>
      </w:r>
      <w:r>
        <w:rPr>
          <w:spacing w:val="-3"/>
        </w:rPr>
        <w:t xml:space="preserve"> </w:t>
      </w:r>
      <w:r>
        <w:t>be</w:t>
      </w:r>
      <w:r>
        <w:rPr>
          <w:spacing w:val="-2"/>
        </w:rPr>
        <w:t xml:space="preserve"> </w:t>
      </w:r>
      <w:r>
        <w:t>a</w:t>
      </w:r>
      <w:r>
        <w:rPr>
          <w:spacing w:val="-3"/>
        </w:rPr>
        <w:t xml:space="preserve"> </w:t>
      </w:r>
      <w:r>
        <w:t>risk</w:t>
      </w:r>
      <w:r>
        <w:rPr>
          <w:spacing w:val="-3"/>
        </w:rPr>
        <w:t xml:space="preserve"> </w:t>
      </w:r>
      <w:r>
        <w:t>that</w:t>
      </w:r>
      <w:r>
        <w:rPr>
          <w:spacing w:val="-3"/>
        </w:rPr>
        <w:t xml:space="preserve"> </w:t>
      </w:r>
      <w:r>
        <w:t>QHP</w:t>
      </w:r>
      <w:r>
        <w:rPr>
          <w:spacing w:val="-3"/>
        </w:rPr>
        <w:t xml:space="preserve"> </w:t>
      </w:r>
      <w:r>
        <w:t>enrollees</w:t>
      </w:r>
      <w:r>
        <w:rPr>
          <w:spacing w:val="-1"/>
        </w:rPr>
        <w:t xml:space="preserve"> </w:t>
      </w:r>
      <w:r>
        <w:t>may</w:t>
      </w:r>
      <w:r>
        <w:rPr>
          <w:spacing w:val="-7"/>
        </w:rPr>
        <w:t xml:space="preserve"> </w:t>
      </w:r>
      <w:r>
        <w:t>not</w:t>
      </w:r>
      <w:r>
        <w:rPr>
          <w:spacing w:val="-3"/>
        </w:rPr>
        <w:t xml:space="preserve"> </w:t>
      </w:r>
      <w:r>
        <w:t>have</w:t>
      </w:r>
      <w:r>
        <w:rPr>
          <w:spacing w:val="-3"/>
        </w:rPr>
        <w:t xml:space="preserve"> </w:t>
      </w:r>
      <w:r>
        <w:t>access</w:t>
      </w:r>
      <w:r>
        <w:rPr>
          <w:spacing w:val="-3"/>
        </w:rPr>
        <w:t xml:space="preserve"> </w:t>
      </w:r>
      <w:r>
        <w:t>to</w:t>
      </w:r>
      <w:r>
        <w:rPr>
          <w:spacing w:val="-1"/>
        </w:rPr>
        <w:t xml:space="preserve"> </w:t>
      </w:r>
      <w:r>
        <w:t>ECPs</w:t>
      </w:r>
      <w:r>
        <w:rPr>
          <w:spacing w:val="-3"/>
        </w:rPr>
        <w:t xml:space="preserve"> </w:t>
      </w:r>
      <w:r>
        <w:t>and</w:t>
      </w:r>
      <w:r>
        <w:rPr>
          <w:spacing w:val="-3"/>
        </w:rPr>
        <w:t xml:space="preserve"> </w:t>
      </w:r>
      <w:r>
        <w:t>other</w:t>
      </w:r>
      <w:r>
        <w:rPr>
          <w:spacing w:val="-3"/>
        </w:rPr>
        <w:t xml:space="preserve"> </w:t>
      </w:r>
      <w:r>
        <w:t>provider specialties to meet their health care needs.</w:t>
      </w:r>
    </w:p>
    <w:p w:rsidR="000B1C51" w:rsidP="00296762" w14:paraId="6AF0B054" w14:textId="77777777">
      <w:pPr>
        <w:pStyle w:val="BodyText"/>
        <w:rPr>
          <w:sz w:val="26"/>
        </w:rPr>
      </w:pPr>
    </w:p>
    <w:p w:rsidR="000B1C51" w:rsidRPr="00E66C65" w:rsidP="00E66C65" w14:paraId="2EA96FF1" w14:textId="77777777">
      <w:pPr>
        <w:pStyle w:val="ListParagraph"/>
        <w:numPr>
          <w:ilvl w:val="0"/>
          <w:numId w:val="2"/>
        </w:numPr>
        <w:tabs>
          <w:tab w:val="left" w:pos="270"/>
        </w:tabs>
        <w:ind w:left="0" w:firstLine="0"/>
        <w:rPr>
          <w:sz w:val="24"/>
          <w:szCs w:val="24"/>
        </w:rPr>
      </w:pPr>
      <w:bookmarkStart w:id="5" w:name="7._Special_Circumstances"/>
      <w:bookmarkEnd w:id="5"/>
      <w:r w:rsidRPr="00E66C65">
        <w:rPr>
          <w:sz w:val="24"/>
          <w:szCs w:val="24"/>
          <w:u w:val="single"/>
        </w:rPr>
        <w:t>Special</w:t>
      </w:r>
      <w:r w:rsidRPr="00E66C65">
        <w:rPr>
          <w:spacing w:val="-4"/>
          <w:sz w:val="24"/>
          <w:szCs w:val="24"/>
          <w:u w:val="single"/>
        </w:rPr>
        <w:t xml:space="preserve"> </w:t>
      </w:r>
      <w:r w:rsidRPr="00E66C65">
        <w:rPr>
          <w:spacing w:val="-2"/>
          <w:sz w:val="24"/>
          <w:szCs w:val="24"/>
          <w:u w:val="single"/>
        </w:rPr>
        <w:t>Circumstances</w:t>
      </w:r>
    </w:p>
    <w:p w:rsidR="000B1C51" w:rsidRPr="00E66C65" w:rsidP="00E66C65" w14:paraId="353839E8" w14:textId="77777777">
      <w:pPr>
        <w:pStyle w:val="BodyText"/>
      </w:pPr>
    </w:p>
    <w:p w:rsidR="000B1C51" w:rsidRPr="00E66C65" w:rsidP="00E66C65" w14:paraId="49124C74" w14:textId="77777777">
      <w:pPr>
        <w:rPr>
          <w:sz w:val="24"/>
          <w:szCs w:val="24"/>
        </w:rPr>
      </w:pPr>
      <w:r w:rsidRPr="00E66C65">
        <w:rPr>
          <w:sz w:val="24"/>
          <w:szCs w:val="24"/>
        </w:rPr>
        <w:t>There</w:t>
      </w:r>
      <w:r w:rsidRPr="00E66C65">
        <w:rPr>
          <w:spacing w:val="-4"/>
          <w:sz w:val="24"/>
          <w:szCs w:val="24"/>
        </w:rPr>
        <w:t xml:space="preserve"> </w:t>
      </w:r>
      <w:r w:rsidRPr="00E66C65">
        <w:rPr>
          <w:sz w:val="24"/>
          <w:szCs w:val="24"/>
        </w:rPr>
        <w:t>are</w:t>
      </w:r>
      <w:r w:rsidRPr="00E66C65">
        <w:rPr>
          <w:spacing w:val="-3"/>
          <w:sz w:val="24"/>
          <w:szCs w:val="24"/>
        </w:rPr>
        <w:t xml:space="preserve"> </w:t>
      </w:r>
      <w:r w:rsidRPr="00E66C65">
        <w:rPr>
          <w:sz w:val="24"/>
          <w:szCs w:val="24"/>
        </w:rPr>
        <w:t>no</w:t>
      </w:r>
      <w:r w:rsidRPr="00E66C65">
        <w:rPr>
          <w:spacing w:val="-6"/>
          <w:sz w:val="24"/>
          <w:szCs w:val="24"/>
        </w:rPr>
        <w:t xml:space="preserve"> </w:t>
      </w:r>
      <w:r w:rsidRPr="00E66C65">
        <w:rPr>
          <w:sz w:val="24"/>
          <w:szCs w:val="24"/>
        </w:rPr>
        <w:t>anticipated</w:t>
      </w:r>
      <w:r w:rsidRPr="00E66C65">
        <w:rPr>
          <w:spacing w:val="-4"/>
          <w:sz w:val="24"/>
          <w:szCs w:val="24"/>
        </w:rPr>
        <w:t xml:space="preserve"> </w:t>
      </w:r>
      <w:r w:rsidRPr="00E66C65">
        <w:rPr>
          <w:sz w:val="24"/>
          <w:szCs w:val="24"/>
        </w:rPr>
        <w:t>special</w:t>
      </w:r>
      <w:r w:rsidRPr="00E66C65">
        <w:rPr>
          <w:spacing w:val="-6"/>
          <w:sz w:val="24"/>
          <w:szCs w:val="24"/>
        </w:rPr>
        <w:t xml:space="preserve"> </w:t>
      </w:r>
      <w:r w:rsidRPr="00E66C65">
        <w:rPr>
          <w:spacing w:val="-2"/>
          <w:sz w:val="24"/>
          <w:szCs w:val="24"/>
        </w:rPr>
        <w:t>circumstances.</w:t>
      </w:r>
    </w:p>
    <w:p w:rsidR="000B1C51" w:rsidRPr="00E66C65" w:rsidP="00E66C65" w14:paraId="5E0BC971" w14:textId="77777777">
      <w:pPr>
        <w:pStyle w:val="BodyText"/>
      </w:pPr>
    </w:p>
    <w:p w:rsidR="000B1C51" w:rsidP="00E66C65" w14:paraId="053BE2F3" w14:textId="77777777">
      <w:pPr>
        <w:pStyle w:val="ListParagraph"/>
        <w:numPr>
          <w:ilvl w:val="0"/>
          <w:numId w:val="2"/>
        </w:numPr>
        <w:tabs>
          <w:tab w:val="left" w:pos="360"/>
        </w:tabs>
        <w:ind w:left="0" w:firstLine="0"/>
        <w:rPr>
          <w:sz w:val="24"/>
        </w:rPr>
      </w:pPr>
      <w:bookmarkStart w:id="6" w:name="8._Federal_Register/Outside_Consultation"/>
      <w:bookmarkEnd w:id="6"/>
      <w:r>
        <w:rPr>
          <w:sz w:val="24"/>
          <w:u w:val="single"/>
        </w:rPr>
        <w:t>Federal Register/Outside</w:t>
      </w:r>
      <w:r>
        <w:rPr>
          <w:spacing w:val="-1"/>
          <w:sz w:val="24"/>
          <w:u w:val="single"/>
        </w:rPr>
        <w:t xml:space="preserve"> </w:t>
      </w:r>
      <w:r>
        <w:rPr>
          <w:spacing w:val="-2"/>
          <w:sz w:val="24"/>
          <w:u w:val="single"/>
        </w:rPr>
        <w:t>Consultation</w:t>
      </w:r>
    </w:p>
    <w:p w:rsidR="006B2A43" w:rsidP="00E66C65" w14:paraId="71C48B21" w14:textId="77777777">
      <w:pPr>
        <w:pStyle w:val="BodyText"/>
      </w:pPr>
    </w:p>
    <w:p w:rsidR="006B2A43" w:rsidP="00E66C65" w14:paraId="388B7C38" w14:textId="06534DF4">
      <w:pPr>
        <w:pStyle w:val="BodyText"/>
      </w:pPr>
      <w:bookmarkStart w:id="7" w:name="_Hlk161145137"/>
      <w:r>
        <w:t>This ICR</w:t>
      </w:r>
      <w:r w:rsidRPr="006B2A43">
        <w:t xml:space="preserve"> was published </w:t>
      </w:r>
      <w:r>
        <w:t xml:space="preserve">as part of the Payment Notice Proposed Rule </w:t>
      </w:r>
      <w:r w:rsidRPr="006B2A43">
        <w:t>in the Federal Register on 11/</w:t>
      </w:r>
      <w:r>
        <w:t>24</w:t>
      </w:r>
      <w:r w:rsidRPr="006B2A43">
        <w:t>/2023 (</w:t>
      </w:r>
      <w:r w:rsidR="00950A16">
        <w:t xml:space="preserve">88 </w:t>
      </w:r>
      <w:r w:rsidR="00950A16">
        <w:t xml:space="preserve">FR </w:t>
      </w:r>
      <w:r w:rsidRPr="006B2A43">
        <w:t>)</w:t>
      </w:r>
      <w:r w:rsidRPr="006B2A43">
        <w:t xml:space="preserve"> for the public to submit written comment </w:t>
      </w:r>
      <w:r>
        <w:t>as part of a first-round public comment period</w:t>
      </w:r>
      <w:r w:rsidRPr="006B2A43">
        <w:t>. No public comments were received.</w:t>
      </w:r>
      <w:bookmarkEnd w:id="7"/>
    </w:p>
    <w:p w:rsidR="00446BA6" w:rsidP="00E66C65" w14:paraId="73FEDC5E" w14:textId="77777777">
      <w:pPr>
        <w:pStyle w:val="BodyText"/>
      </w:pPr>
    </w:p>
    <w:p w:rsidR="006B2A43" w:rsidP="00E66C65" w14:paraId="76A589DD" w14:textId="4D958C27">
      <w:pPr>
        <w:pStyle w:val="BodyText"/>
      </w:pPr>
      <w:r>
        <w:t>This ICR</w:t>
      </w:r>
      <w:r w:rsidRPr="006B2A43">
        <w:t xml:space="preserve"> will be published </w:t>
      </w:r>
      <w:r>
        <w:t xml:space="preserve">as part of the Payment Notice Final Rule </w:t>
      </w:r>
      <w:r w:rsidRPr="006B2A43">
        <w:t xml:space="preserve">in the Federal Register on </w:t>
      </w:r>
      <w:r w:rsidR="00950A16">
        <w:t>4/15/2024 (89 FR 26218)</w:t>
      </w:r>
      <w:r w:rsidRPr="006B2A43">
        <w:t xml:space="preserve"> </w:t>
      </w:r>
      <w:r>
        <w:t xml:space="preserve">as part of a second-round public comment period </w:t>
      </w:r>
      <w:r w:rsidRPr="006B2A43">
        <w:t>for the public to submit written comment.</w:t>
      </w:r>
    </w:p>
    <w:p w:rsidR="006B2A43" w:rsidP="00E66C65" w14:paraId="6281BB15" w14:textId="77777777">
      <w:pPr>
        <w:pStyle w:val="BodyText"/>
      </w:pPr>
    </w:p>
    <w:p w:rsidR="000B1C51" w:rsidP="00E66C65" w14:paraId="4B0A8887" w14:textId="77777777">
      <w:pPr>
        <w:pStyle w:val="BodyText"/>
      </w:pPr>
      <w:r>
        <w:t>No</w:t>
      </w:r>
      <w:r>
        <w:rPr>
          <w:spacing w:val="-2"/>
        </w:rPr>
        <w:t xml:space="preserve"> </w:t>
      </w:r>
      <w:r>
        <w:t>additional</w:t>
      </w:r>
      <w:r>
        <w:rPr>
          <w:spacing w:val="-2"/>
        </w:rPr>
        <w:t xml:space="preserve"> </w:t>
      </w:r>
      <w:r>
        <w:t>outside</w:t>
      </w:r>
      <w:r>
        <w:rPr>
          <w:spacing w:val="-1"/>
        </w:rPr>
        <w:t xml:space="preserve"> </w:t>
      </w:r>
      <w:r>
        <w:t>consultation</w:t>
      </w:r>
      <w:r>
        <w:rPr>
          <w:spacing w:val="-2"/>
        </w:rPr>
        <w:t xml:space="preserve"> </w:t>
      </w:r>
      <w:r>
        <w:t xml:space="preserve">was </w:t>
      </w:r>
      <w:r>
        <w:rPr>
          <w:spacing w:val="-2"/>
        </w:rPr>
        <w:t>sought.</w:t>
      </w:r>
    </w:p>
    <w:p w:rsidR="000B1C51" w:rsidP="00E66C65" w14:paraId="6E2471CA" w14:textId="77777777">
      <w:pPr>
        <w:pStyle w:val="BodyText"/>
        <w:rPr>
          <w:sz w:val="25"/>
        </w:rPr>
      </w:pPr>
    </w:p>
    <w:p w:rsidR="000B1C51" w:rsidP="00E66C65" w14:paraId="072E4EEB" w14:textId="77777777">
      <w:pPr>
        <w:pStyle w:val="ListParagraph"/>
        <w:numPr>
          <w:ilvl w:val="0"/>
          <w:numId w:val="2"/>
        </w:numPr>
        <w:tabs>
          <w:tab w:val="left" w:pos="360"/>
        </w:tabs>
        <w:ind w:left="0" w:firstLine="0"/>
        <w:rPr>
          <w:sz w:val="24"/>
        </w:rPr>
      </w:pPr>
      <w:r>
        <w:rPr>
          <w:sz w:val="24"/>
          <w:u w:val="single"/>
        </w:rPr>
        <w:t>Payment/Gifts</w:t>
      </w:r>
      <w:r>
        <w:rPr>
          <w:spacing w:val="-6"/>
          <w:sz w:val="24"/>
          <w:u w:val="single"/>
        </w:rPr>
        <w:t xml:space="preserve"> </w:t>
      </w:r>
      <w:r>
        <w:rPr>
          <w:sz w:val="24"/>
          <w:u w:val="single"/>
        </w:rPr>
        <w:t>to</w:t>
      </w:r>
      <w:r>
        <w:rPr>
          <w:spacing w:val="-5"/>
          <w:sz w:val="24"/>
          <w:u w:val="single"/>
        </w:rPr>
        <w:t xml:space="preserve"> </w:t>
      </w:r>
      <w:r>
        <w:rPr>
          <w:spacing w:val="-2"/>
          <w:sz w:val="24"/>
          <w:u w:val="single"/>
        </w:rPr>
        <w:t>Respondents</w:t>
      </w:r>
    </w:p>
    <w:p w:rsidR="000B1C51" w:rsidP="00E66C65" w14:paraId="16963CA7" w14:textId="77777777">
      <w:pPr>
        <w:pStyle w:val="BodyText"/>
        <w:rPr>
          <w:sz w:val="27"/>
        </w:rPr>
      </w:pPr>
    </w:p>
    <w:p w:rsidR="000B1C51" w:rsidP="00E66C65" w14:paraId="1CA19DC0" w14:textId="709F8CFC">
      <w:pPr>
        <w:pStyle w:val="BodyText"/>
      </w:pPr>
      <w:r>
        <w:t>No</w:t>
      </w:r>
      <w:r>
        <w:rPr>
          <w:spacing w:val="-2"/>
        </w:rPr>
        <w:t xml:space="preserve"> </w:t>
      </w:r>
      <w:r>
        <w:t>payments and/or gifts</w:t>
      </w:r>
      <w:r>
        <w:rPr>
          <w:spacing w:val="1"/>
        </w:rPr>
        <w:t xml:space="preserve"> </w:t>
      </w:r>
      <w:r>
        <w:t>will be</w:t>
      </w:r>
      <w:r>
        <w:rPr>
          <w:spacing w:val="-2"/>
        </w:rPr>
        <w:t xml:space="preserve"> </w:t>
      </w:r>
      <w:r>
        <w:t>provided</w:t>
      </w:r>
      <w:r>
        <w:rPr>
          <w:spacing w:val="-1"/>
        </w:rPr>
        <w:t xml:space="preserve"> </w:t>
      </w:r>
      <w:r>
        <w:t>to</w:t>
      </w:r>
      <w:r>
        <w:rPr>
          <w:spacing w:val="-1"/>
        </w:rPr>
        <w:t xml:space="preserve"> </w:t>
      </w:r>
      <w:r>
        <w:rPr>
          <w:spacing w:val="-2"/>
        </w:rPr>
        <w:t>respondents.</w:t>
      </w:r>
    </w:p>
    <w:p w:rsidR="000B1C51" w:rsidP="00E66C65" w14:paraId="002BA00F" w14:textId="77777777">
      <w:pPr>
        <w:pStyle w:val="BodyText"/>
        <w:rPr>
          <w:sz w:val="26"/>
        </w:rPr>
      </w:pPr>
    </w:p>
    <w:p w:rsidR="000B1C51" w:rsidP="00E66C65" w14:paraId="0FEF7C7D" w14:textId="77777777">
      <w:pPr>
        <w:pStyle w:val="ListParagraph"/>
        <w:numPr>
          <w:ilvl w:val="0"/>
          <w:numId w:val="2"/>
        </w:numPr>
        <w:tabs>
          <w:tab w:val="left" w:pos="360"/>
        </w:tabs>
        <w:ind w:left="0" w:firstLine="0"/>
        <w:rPr>
          <w:sz w:val="24"/>
        </w:rPr>
      </w:pPr>
      <w:bookmarkStart w:id="8" w:name="10._Confidentiality"/>
      <w:bookmarkEnd w:id="8"/>
      <w:r>
        <w:rPr>
          <w:spacing w:val="-2"/>
          <w:sz w:val="24"/>
          <w:u w:val="single"/>
        </w:rPr>
        <w:t>Confidentiality</w:t>
      </w:r>
    </w:p>
    <w:p w:rsidR="000B1C51" w:rsidP="00E66C65" w14:paraId="71877231" w14:textId="77777777">
      <w:pPr>
        <w:pStyle w:val="BodyText"/>
        <w:rPr>
          <w:sz w:val="27"/>
        </w:rPr>
      </w:pPr>
    </w:p>
    <w:p w:rsidR="00CC168F" w:rsidRPr="00CC168F" w:rsidP="00CC168F" w14:paraId="7786317A" w14:textId="787C0AB1">
      <w:pPr>
        <w:rPr>
          <w:sz w:val="24"/>
          <w:szCs w:val="24"/>
        </w:rPr>
      </w:pPr>
      <w:bookmarkStart w:id="9" w:name="_Hlk161145389"/>
      <w:r w:rsidRPr="00CC168F">
        <w:rPr>
          <w:sz w:val="24"/>
          <w:szCs w:val="24"/>
        </w:rPr>
        <w:t>All information collected will be kept private in accordance with regulations at 45 CFR 155.</w:t>
      </w:r>
      <w:r>
        <w:rPr>
          <w:sz w:val="24"/>
          <w:szCs w:val="24"/>
        </w:rPr>
        <w:t>260</w:t>
      </w:r>
      <w:r w:rsidRPr="00CC168F">
        <w:rPr>
          <w:sz w:val="24"/>
          <w:szCs w:val="24"/>
        </w:rPr>
        <w:t>, Privacy and Security of Personally Identifiable Information. Pursuant to this regulation, Marketplaces may only use or disclose personally identifiable information to the extent that such information is necessary to carry out their statutory and regulatory mandated functions.</w:t>
      </w:r>
    </w:p>
    <w:bookmarkEnd w:id="9"/>
    <w:p w:rsidR="000B1C51" w:rsidP="00E66C65" w14:paraId="2562A4F0" w14:textId="77777777">
      <w:pPr>
        <w:pStyle w:val="BodyText"/>
        <w:rPr>
          <w:sz w:val="26"/>
        </w:rPr>
      </w:pPr>
    </w:p>
    <w:p w:rsidR="000B1C51" w:rsidP="00E66C65" w14:paraId="545E6254" w14:textId="77777777">
      <w:pPr>
        <w:pStyle w:val="ListParagraph"/>
        <w:numPr>
          <w:ilvl w:val="0"/>
          <w:numId w:val="2"/>
        </w:numPr>
        <w:tabs>
          <w:tab w:val="left" w:pos="360"/>
        </w:tabs>
        <w:ind w:left="0" w:firstLine="0"/>
        <w:rPr>
          <w:sz w:val="24"/>
        </w:rPr>
      </w:pPr>
      <w:r>
        <w:rPr>
          <w:sz w:val="24"/>
          <w:u w:val="single"/>
        </w:rPr>
        <w:t>Sensitive</w:t>
      </w:r>
      <w:r>
        <w:rPr>
          <w:spacing w:val="-9"/>
          <w:sz w:val="24"/>
          <w:u w:val="single"/>
        </w:rPr>
        <w:t xml:space="preserve"> </w:t>
      </w:r>
      <w:r>
        <w:rPr>
          <w:spacing w:val="-2"/>
          <w:sz w:val="24"/>
          <w:u w:val="single"/>
        </w:rPr>
        <w:t>Questions</w:t>
      </w:r>
    </w:p>
    <w:p w:rsidR="000B1C51" w:rsidP="00E66C65" w14:paraId="43EF13DF" w14:textId="77777777">
      <w:pPr>
        <w:pStyle w:val="BodyText"/>
        <w:rPr>
          <w:sz w:val="27"/>
        </w:rPr>
      </w:pPr>
    </w:p>
    <w:p w:rsidR="000B1C51" w:rsidP="00E66C65" w14:paraId="45DA264E" w14:textId="77777777">
      <w:pPr>
        <w:pStyle w:val="BodyText"/>
      </w:pPr>
      <w:r>
        <w:t>There are</w:t>
      </w:r>
      <w:r>
        <w:rPr>
          <w:spacing w:val="-2"/>
        </w:rPr>
        <w:t xml:space="preserve"> </w:t>
      </w:r>
      <w:r>
        <w:t>no</w:t>
      </w:r>
      <w:r>
        <w:rPr>
          <w:spacing w:val="-1"/>
        </w:rPr>
        <w:t xml:space="preserve"> </w:t>
      </w:r>
      <w:r>
        <w:t>sensitive</w:t>
      </w:r>
      <w:r>
        <w:rPr>
          <w:spacing w:val="-2"/>
        </w:rPr>
        <w:t xml:space="preserve"> </w:t>
      </w:r>
      <w:r>
        <w:t>questions included</w:t>
      </w:r>
      <w:r>
        <w:rPr>
          <w:spacing w:val="-1"/>
        </w:rPr>
        <w:t xml:space="preserve"> </w:t>
      </w:r>
      <w:r>
        <w:t>in</w:t>
      </w:r>
      <w:r>
        <w:rPr>
          <w:spacing w:val="-1"/>
        </w:rPr>
        <w:t xml:space="preserve"> </w:t>
      </w:r>
      <w:r>
        <w:t>this</w:t>
      </w:r>
      <w:r>
        <w:rPr>
          <w:spacing w:val="-2"/>
        </w:rPr>
        <w:t xml:space="preserve"> </w:t>
      </w:r>
      <w:r>
        <w:t>information</w:t>
      </w:r>
      <w:r>
        <w:rPr>
          <w:spacing w:val="-1"/>
        </w:rPr>
        <w:t xml:space="preserve"> </w:t>
      </w:r>
      <w:r>
        <w:t xml:space="preserve">collection </w:t>
      </w:r>
      <w:r>
        <w:rPr>
          <w:spacing w:val="-2"/>
        </w:rPr>
        <w:t>effort.</w:t>
      </w:r>
    </w:p>
    <w:p w:rsidR="000B1C51" w:rsidP="00E66C65" w14:paraId="5CFC6570" w14:textId="77777777">
      <w:pPr>
        <w:pStyle w:val="BodyText"/>
        <w:rPr>
          <w:sz w:val="26"/>
        </w:rPr>
      </w:pPr>
    </w:p>
    <w:p w:rsidR="000B1C51" w:rsidP="00E66C65" w14:paraId="59CC5121" w14:textId="77777777">
      <w:pPr>
        <w:pStyle w:val="ListParagraph"/>
        <w:numPr>
          <w:ilvl w:val="0"/>
          <w:numId w:val="2"/>
        </w:numPr>
        <w:tabs>
          <w:tab w:val="left" w:pos="360"/>
          <w:tab w:val="left" w:pos="540"/>
        </w:tabs>
        <w:ind w:left="0" w:firstLine="0"/>
        <w:rPr>
          <w:sz w:val="24"/>
        </w:rPr>
      </w:pPr>
      <w:bookmarkStart w:id="10" w:name="12._Burden_Estimates_(Hours_&amp;_Wages)"/>
      <w:bookmarkEnd w:id="10"/>
      <w:r>
        <w:rPr>
          <w:sz w:val="24"/>
          <w:u w:val="single"/>
        </w:rPr>
        <w:t>Burden Estimates</w:t>
      </w:r>
      <w:r>
        <w:rPr>
          <w:spacing w:val="-1"/>
          <w:sz w:val="24"/>
          <w:u w:val="single"/>
        </w:rPr>
        <w:t xml:space="preserve"> </w:t>
      </w:r>
      <w:r>
        <w:rPr>
          <w:sz w:val="24"/>
          <w:u w:val="single"/>
        </w:rPr>
        <w:t>(Hours &amp;</w:t>
      </w:r>
      <w:r>
        <w:rPr>
          <w:spacing w:val="-2"/>
          <w:sz w:val="24"/>
          <w:u w:val="single"/>
        </w:rPr>
        <w:t xml:space="preserve"> Wages)</w:t>
      </w:r>
    </w:p>
    <w:p w:rsidR="00E66C65" w:rsidP="00E66C65" w14:paraId="5E0A15CB" w14:textId="77777777">
      <w:pPr>
        <w:pStyle w:val="BodyText"/>
        <w:ind w:right="-20" w:hanging="10"/>
      </w:pPr>
    </w:p>
    <w:p w:rsidR="000B1C51" w:rsidP="00067D3F" w14:paraId="7B274EBF" w14:textId="04C78651">
      <w:pPr>
        <w:pStyle w:val="BodyText"/>
        <w:ind w:right="-20" w:hanging="10"/>
      </w:pPr>
      <w:r>
        <w:t>The following section contains estimates of burden imposed by the associated information collection requirements.</w:t>
      </w:r>
      <w:r w:rsidRPr="00ED470D">
        <w:t xml:space="preserve"> Average labor costs (including 100 percent fringe benefits) used to estimate the costs are calculated using data available from the May 2022 National Industry-Specific Occupational Employment and Wage Estimates from the Bureau of Labor Statistics (BLS) website</w:t>
      </w:r>
      <w:r w:rsidRPr="00067D3F">
        <w:t xml:space="preserve">: </w:t>
      </w:r>
      <w:hyperlink r:id="rId9" w:history="1">
        <w:r w:rsidRPr="00A5716C" w:rsidR="00067D3F">
          <w:rPr>
            <w:rStyle w:val="Hyperlink"/>
          </w:rPr>
          <w:t>https://www.bls.gov/oes/current/oes_stru.htm</w:t>
        </w:r>
      </w:hyperlink>
      <w:r w:rsidR="00067D3F">
        <w:rPr>
          <w:rStyle w:val="Hyperlink"/>
        </w:rPr>
        <w:t>.</w:t>
      </w:r>
    </w:p>
    <w:p w:rsidR="000B1C51" w:rsidP="00E66C65" w14:paraId="2E04E51B" w14:textId="77777777">
      <w:pPr>
        <w:pStyle w:val="BodyText"/>
        <w:ind w:right="-20"/>
        <w:rPr>
          <w:sz w:val="26"/>
        </w:rPr>
      </w:pPr>
    </w:p>
    <w:p w:rsidR="000B1C51" w:rsidP="00E66C65" w14:paraId="0CD6100F" w14:textId="10561608">
      <w:pPr>
        <w:pStyle w:val="Heading1"/>
        <w:ind w:left="0" w:right="-20"/>
      </w:pPr>
      <w:bookmarkStart w:id="11" w:name="Table_1._Adjusted_Hourly_Wages_Used_in_B"/>
      <w:bookmarkEnd w:id="11"/>
      <w:r>
        <w:t>Table</w:t>
      </w:r>
      <w:r>
        <w:rPr>
          <w:spacing w:val="-5"/>
        </w:rPr>
        <w:t xml:space="preserve"> </w:t>
      </w:r>
      <w:r>
        <w:t>1.</w:t>
      </w:r>
      <w:r>
        <w:rPr>
          <w:spacing w:val="-2"/>
        </w:rPr>
        <w:t xml:space="preserve"> </w:t>
      </w:r>
      <w:r>
        <w:t>Adjusted</w:t>
      </w:r>
      <w:r>
        <w:rPr>
          <w:spacing w:val="-2"/>
        </w:rPr>
        <w:t xml:space="preserve"> </w:t>
      </w:r>
      <w:r>
        <w:t>Hourly</w:t>
      </w:r>
      <w:r>
        <w:rPr>
          <w:spacing w:val="-2"/>
        </w:rPr>
        <w:t xml:space="preserve"> </w:t>
      </w:r>
      <w:r>
        <w:t>Wages</w:t>
      </w:r>
      <w:r>
        <w:rPr>
          <w:spacing w:val="-2"/>
        </w:rPr>
        <w:t xml:space="preserve"> </w:t>
      </w:r>
      <w:r>
        <w:t>Used</w:t>
      </w:r>
      <w:r>
        <w:rPr>
          <w:spacing w:val="-2"/>
        </w:rPr>
        <w:t xml:space="preserve"> </w:t>
      </w:r>
      <w:r>
        <w:t>in</w:t>
      </w:r>
      <w:r>
        <w:rPr>
          <w:spacing w:val="-2"/>
        </w:rPr>
        <w:t xml:space="preserve"> </w:t>
      </w:r>
      <w:r>
        <w:t>Burden</w:t>
      </w:r>
      <w:r>
        <w:rPr>
          <w:spacing w:val="-2"/>
        </w:rPr>
        <w:t xml:space="preserve"> Estimates</w:t>
      </w:r>
      <w:r w:rsidR="00FD18C7">
        <w:rPr>
          <w:spacing w:val="-2"/>
        </w:rPr>
        <w:t xml:space="preserve"> for </w:t>
      </w:r>
      <w:r w:rsidR="0020676D">
        <w:rPr>
          <w:spacing w:val="-2"/>
        </w:rPr>
        <w:t xml:space="preserve">the </w:t>
      </w:r>
      <w:r w:rsidR="0020676D">
        <w:t xml:space="preserve">ECP/NA </w:t>
      </w:r>
      <w:r w:rsidR="005F4175">
        <w:t xml:space="preserve">Template </w:t>
      </w:r>
      <w:r w:rsidR="00D9508E">
        <w:t xml:space="preserve">and </w:t>
      </w:r>
      <w:r w:rsidR="005D0CE2">
        <w:t>Appointment Wait Time</w:t>
      </w:r>
      <w:r w:rsidR="00D9508E">
        <w:t xml:space="preserve"> </w:t>
      </w:r>
      <w:r w:rsidR="005F4175">
        <w:t xml:space="preserve">Secret Shopper </w:t>
      </w:r>
      <w:r w:rsidR="00D9508E">
        <w:t xml:space="preserve">Data </w:t>
      </w:r>
      <w:r w:rsidR="0020676D">
        <w:t>Collection</w:t>
      </w:r>
    </w:p>
    <w:p w:rsidR="000B1C51" w:rsidP="00E66C65" w14:paraId="0B32BB5C" w14:textId="77777777">
      <w:pPr>
        <w:pStyle w:val="BodyText"/>
        <w:ind w:right="-20"/>
        <w:rPr>
          <w:b/>
          <w:sz w:val="27"/>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5"/>
        <w:gridCol w:w="1440"/>
        <w:gridCol w:w="1440"/>
        <w:gridCol w:w="1710"/>
        <w:gridCol w:w="1440"/>
      </w:tblGrid>
      <w:tr w14:paraId="7ADB8E61" w14:textId="77777777" w:rsidTr="00067D3F">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2"/>
        </w:trPr>
        <w:tc>
          <w:tcPr>
            <w:tcW w:w="3235" w:type="dxa"/>
          </w:tcPr>
          <w:p w:rsidR="000B1C51" w:rsidP="00296762" w14:paraId="344A7CD5" w14:textId="77777777">
            <w:pPr>
              <w:pStyle w:val="TableParagraph"/>
              <w:spacing w:before="0"/>
              <w:rPr>
                <w:b/>
                <w:sz w:val="25"/>
              </w:rPr>
            </w:pPr>
          </w:p>
          <w:p w:rsidR="000B1C51" w:rsidP="00296762" w14:paraId="28A3CB00" w14:textId="77777777">
            <w:pPr>
              <w:pStyle w:val="TableParagraph"/>
              <w:spacing w:before="0"/>
              <w:ind w:left="4"/>
              <w:rPr>
                <w:b/>
                <w:sz w:val="24"/>
              </w:rPr>
            </w:pPr>
            <w:r>
              <w:rPr>
                <w:b/>
                <w:sz w:val="24"/>
              </w:rPr>
              <w:t>Occupation</w:t>
            </w:r>
            <w:r>
              <w:rPr>
                <w:b/>
                <w:spacing w:val="-3"/>
                <w:sz w:val="24"/>
              </w:rPr>
              <w:t xml:space="preserve"> </w:t>
            </w:r>
            <w:r>
              <w:rPr>
                <w:b/>
                <w:spacing w:val="-2"/>
                <w:sz w:val="24"/>
              </w:rPr>
              <w:t>Title</w:t>
            </w:r>
          </w:p>
        </w:tc>
        <w:tc>
          <w:tcPr>
            <w:tcW w:w="1440" w:type="dxa"/>
          </w:tcPr>
          <w:p w:rsidR="000B1C51" w:rsidP="00067D3F" w14:paraId="2EAF8DC0" w14:textId="77777777">
            <w:pPr>
              <w:pStyle w:val="TableParagraph"/>
              <w:spacing w:before="0"/>
              <w:jc w:val="center"/>
              <w:rPr>
                <w:b/>
                <w:sz w:val="24"/>
              </w:rPr>
            </w:pPr>
            <w:r>
              <w:rPr>
                <w:b/>
                <w:spacing w:val="-2"/>
                <w:sz w:val="24"/>
              </w:rPr>
              <w:t xml:space="preserve">Occupational </w:t>
            </w:r>
            <w:r>
              <w:rPr>
                <w:b/>
                <w:spacing w:val="-4"/>
                <w:sz w:val="24"/>
              </w:rPr>
              <w:t>Code</w:t>
            </w:r>
          </w:p>
        </w:tc>
        <w:tc>
          <w:tcPr>
            <w:tcW w:w="1440" w:type="dxa"/>
          </w:tcPr>
          <w:p w:rsidR="000B1C51" w:rsidP="00067D3F" w14:paraId="1FDDD4EB" w14:textId="77777777">
            <w:pPr>
              <w:pStyle w:val="TableParagraph"/>
              <w:spacing w:before="0"/>
              <w:jc w:val="center"/>
              <w:rPr>
                <w:b/>
                <w:sz w:val="24"/>
              </w:rPr>
            </w:pPr>
            <w:r>
              <w:rPr>
                <w:b/>
                <w:sz w:val="24"/>
              </w:rPr>
              <w:t>Median Hourly Wage</w:t>
            </w:r>
            <w:r>
              <w:rPr>
                <w:b/>
                <w:spacing w:val="-15"/>
                <w:sz w:val="24"/>
              </w:rPr>
              <w:t xml:space="preserve"> </w:t>
            </w:r>
            <w:r>
              <w:rPr>
                <w:b/>
                <w:sz w:val="24"/>
              </w:rPr>
              <w:t>($/hour)</w:t>
            </w:r>
          </w:p>
        </w:tc>
        <w:tc>
          <w:tcPr>
            <w:tcW w:w="1710" w:type="dxa"/>
          </w:tcPr>
          <w:p w:rsidR="000B1C51" w:rsidP="00067D3F" w14:paraId="1C3E10DE" w14:textId="77777777">
            <w:pPr>
              <w:pStyle w:val="TableParagraph"/>
              <w:spacing w:before="0"/>
              <w:jc w:val="center"/>
              <w:rPr>
                <w:b/>
                <w:sz w:val="24"/>
              </w:rPr>
            </w:pPr>
            <w:r>
              <w:rPr>
                <w:b/>
                <w:sz w:val="24"/>
              </w:rPr>
              <w:t>Fringe</w:t>
            </w:r>
            <w:r>
              <w:rPr>
                <w:b/>
                <w:spacing w:val="-5"/>
                <w:sz w:val="24"/>
              </w:rPr>
              <w:t xml:space="preserve"> </w:t>
            </w:r>
            <w:r>
              <w:rPr>
                <w:b/>
                <w:spacing w:val="-2"/>
                <w:sz w:val="24"/>
              </w:rPr>
              <w:t>Benefits</w:t>
            </w:r>
          </w:p>
          <w:p w:rsidR="000B1C51" w:rsidP="00067D3F" w14:paraId="1419D1CB" w14:textId="77777777">
            <w:pPr>
              <w:pStyle w:val="TableParagraph"/>
              <w:spacing w:before="0"/>
              <w:jc w:val="center"/>
              <w:rPr>
                <w:b/>
                <w:sz w:val="24"/>
              </w:rPr>
            </w:pPr>
            <w:r>
              <w:rPr>
                <w:b/>
                <w:sz w:val="24"/>
              </w:rPr>
              <w:t>&amp; Overhead (100%)</w:t>
            </w:r>
            <w:r>
              <w:rPr>
                <w:b/>
                <w:spacing w:val="-15"/>
                <w:sz w:val="24"/>
              </w:rPr>
              <w:t xml:space="preserve"> </w:t>
            </w:r>
            <w:r>
              <w:rPr>
                <w:b/>
                <w:sz w:val="24"/>
              </w:rPr>
              <w:t>($/hour)</w:t>
            </w:r>
          </w:p>
        </w:tc>
        <w:tc>
          <w:tcPr>
            <w:tcW w:w="1440" w:type="dxa"/>
          </w:tcPr>
          <w:p w:rsidR="000B1C51" w:rsidP="00067D3F" w14:paraId="3D92149D" w14:textId="77777777">
            <w:pPr>
              <w:pStyle w:val="TableParagraph"/>
              <w:spacing w:before="0"/>
              <w:jc w:val="center"/>
              <w:rPr>
                <w:b/>
                <w:sz w:val="24"/>
              </w:rPr>
            </w:pPr>
            <w:r>
              <w:rPr>
                <w:b/>
                <w:spacing w:val="-2"/>
                <w:sz w:val="24"/>
              </w:rPr>
              <w:t>Adjusted</w:t>
            </w:r>
          </w:p>
          <w:p w:rsidR="000B1C51" w:rsidP="00067D3F" w14:paraId="282DA9E5" w14:textId="77777777">
            <w:pPr>
              <w:pStyle w:val="TableParagraph"/>
              <w:spacing w:before="0"/>
              <w:jc w:val="center"/>
              <w:rPr>
                <w:b/>
                <w:sz w:val="24"/>
              </w:rPr>
            </w:pPr>
            <w:r>
              <w:rPr>
                <w:b/>
                <w:sz w:val="24"/>
              </w:rPr>
              <w:t>Hourly</w:t>
            </w:r>
            <w:r>
              <w:rPr>
                <w:b/>
                <w:spacing w:val="-15"/>
                <w:sz w:val="24"/>
              </w:rPr>
              <w:t xml:space="preserve"> </w:t>
            </w:r>
            <w:r>
              <w:rPr>
                <w:b/>
                <w:sz w:val="24"/>
              </w:rPr>
              <w:t xml:space="preserve">Wage </w:t>
            </w:r>
            <w:r>
              <w:rPr>
                <w:b/>
                <w:spacing w:val="-2"/>
                <w:sz w:val="24"/>
              </w:rPr>
              <w:t>($/hour)</w:t>
            </w:r>
          </w:p>
        </w:tc>
      </w:tr>
      <w:tr w14:paraId="7F9E8CC8" w14:textId="77777777" w:rsidTr="00067D3F">
        <w:tblPrEx>
          <w:tblW w:w="9265" w:type="dxa"/>
          <w:tblLayout w:type="fixed"/>
          <w:tblCellMar>
            <w:left w:w="0" w:type="dxa"/>
            <w:right w:w="0" w:type="dxa"/>
          </w:tblCellMar>
          <w:tblLook w:val="01E0"/>
        </w:tblPrEx>
        <w:trPr>
          <w:trHeight w:val="431"/>
        </w:trPr>
        <w:tc>
          <w:tcPr>
            <w:tcW w:w="3235" w:type="dxa"/>
          </w:tcPr>
          <w:p w:rsidR="00E66C65" w:rsidP="00E66C65" w14:paraId="54292D23" w14:textId="2D1B023F">
            <w:pPr>
              <w:pStyle w:val="TableParagraph"/>
              <w:spacing w:before="0"/>
              <w:rPr>
                <w:b/>
                <w:sz w:val="25"/>
              </w:rPr>
            </w:pPr>
            <w:r>
              <w:rPr>
                <w:sz w:val="24"/>
              </w:rPr>
              <w:t xml:space="preserve">Business Operations Specialist </w:t>
            </w:r>
          </w:p>
        </w:tc>
        <w:tc>
          <w:tcPr>
            <w:tcW w:w="1440" w:type="dxa"/>
          </w:tcPr>
          <w:p w:rsidR="00E66C65" w:rsidP="00067D3F" w14:paraId="4AB57082" w14:textId="003204F4">
            <w:pPr>
              <w:pStyle w:val="TableParagraph"/>
              <w:spacing w:before="0"/>
              <w:jc w:val="center"/>
              <w:rPr>
                <w:b/>
                <w:spacing w:val="-2"/>
                <w:sz w:val="24"/>
              </w:rPr>
            </w:pPr>
            <w:r>
              <w:rPr>
                <w:spacing w:val="-2"/>
                <w:sz w:val="24"/>
                <w:szCs w:val="24"/>
              </w:rPr>
              <w:t>13-1199</w:t>
            </w:r>
          </w:p>
        </w:tc>
        <w:tc>
          <w:tcPr>
            <w:tcW w:w="1440" w:type="dxa"/>
          </w:tcPr>
          <w:p w:rsidR="00E66C65" w:rsidP="00800E5D" w14:paraId="2DA9FF13" w14:textId="19F4C4DB">
            <w:pPr>
              <w:pStyle w:val="TableParagraph"/>
              <w:spacing w:before="0"/>
              <w:ind w:firstLine="52"/>
              <w:jc w:val="center"/>
              <w:rPr>
                <w:b/>
                <w:sz w:val="24"/>
              </w:rPr>
            </w:pPr>
            <w:r w:rsidRPr="00C94388">
              <w:rPr>
                <w:color w:val="000000"/>
                <w:sz w:val="24"/>
                <w:szCs w:val="24"/>
                <w:shd w:val="clear" w:color="auto" w:fill="FFFFFF"/>
              </w:rPr>
              <w:t>$ 36.53</w:t>
            </w:r>
          </w:p>
        </w:tc>
        <w:tc>
          <w:tcPr>
            <w:tcW w:w="1710" w:type="dxa"/>
          </w:tcPr>
          <w:p w:rsidR="00E66C65" w:rsidP="00800E5D" w14:paraId="6DAB3931" w14:textId="5E30D296">
            <w:pPr>
              <w:pStyle w:val="TableParagraph"/>
              <w:spacing w:before="0"/>
              <w:jc w:val="center"/>
              <w:rPr>
                <w:b/>
                <w:sz w:val="24"/>
              </w:rPr>
            </w:pPr>
            <w:r w:rsidRPr="00C94388">
              <w:rPr>
                <w:color w:val="000000"/>
                <w:sz w:val="24"/>
                <w:szCs w:val="24"/>
                <w:shd w:val="clear" w:color="auto" w:fill="FFFFFF"/>
              </w:rPr>
              <w:t>$ 36.53</w:t>
            </w:r>
          </w:p>
        </w:tc>
        <w:tc>
          <w:tcPr>
            <w:tcW w:w="1440" w:type="dxa"/>
          </w:tcPr>
          <w:p w:rsidR="00E66C65" w:rsidP="00800E5D" w14:paraId="5CBDFCF8" w14:textId="120BA236">
            <w:pPr>
              <w:pStyle w:val="TableParagraph"/>
              <w:spacing w:before="0"/>
              <w:jc w:val="center"/>
              <w:rPr>
                <w:b/>
                <w:spacing w:val="-2"/>
                <w:sz w:val="24"/>
              </w:rPr>
            </w:pPr>
            <w:r w:rsidRPr="00A468C8">
              <w:rPr>
                <w:spacing w:val="-2"/>
                <w:sz w:val="24"/>
                <w:szCs w:val="24"/>
              </w:rPr>
              <w:t>$73.06</w:t>
            </w:r>
          </w:p>
        </w:tc>
      </w:tr>
      <w:tr w14:paraId="667359E7" w14:textId="77777777" w:rsidTr="00067D3F">
        <w:tblPrEx>
          <w:tblW w:w="9265" w:type="dxa"/>
          <w:tblLayout w:type="fixed"/>
          <w:tblCellMar>
            <w:left w:w="0" w:type="dxa"/>
            <w:right w:w="0" w:type="dxa"/>
          </w:tblCellMar>
          <w:tblLook w:val="01E0"/>
        </w:tblPrEx>
        <w:trPr>
          <w:trHeight w:val="449"/>
        </w:trPr>
        <w:tc>
          <w:tcPr>
            <w:tcW w:w="3235" w:type="dxa"/>
          </w:tcPr>
          <w:p w:rsidR="000B1C51" w:rsidP="00296762" w14:paraId="53F2176C" w14:textId="77777777">
            <w:pPr>
              <w:pStyle w:val="TableParagraph"/>
              <w:spacing w:before="0"/>
              <w:ind w:left="4"/>
              <w:rPr>
                <w:sz w:val="24"/>
              </w:rPr>
            </w:pPr>
            <w:r>
              <w:rPr>
                <w:sz w:val="24"/>
              </w:rPr>
              <w:t>Compliance</w:t>
            </w:r>
            <w:r>
              <w:rPr>
                <w:spacing w:val="-3"/>
                <w:sz w:val="24"/>
              </w:rPr>
              <w:t xml:space="preserve"> </w:t>
            </w:r>
            <w:r>
              <w:rPr>
                <w:spacing w:val="-2"/>
                <w:sz w:val="24"/>
              </w:rPr>
              <w:t>Officer</w:t>
            </w:r>
          </w:p>
        </w:tc>
        <w:tc>
          <w:tcPr>
            <w:tcW w:w="1440" w:type="dxa"/>
          </w:tcPr>
          <w:p w:rsidR="000B1C51" w:rsidRPr="00F92922" w:rsidP="00067D3F" w14:paraId="09797190" w14:textId="77777777">
            <w:pPr>
              <w:pStyle w:val="TableParagraph"/>
              <w:spacing w:before="0"/>
              <w:jc w:val="center"/>
              <w:rPr>
                <w:sz w:val="24"/>
                <w:szCs w:val="24"/>
              </w:rPr>
            </w:pPr>
            <w:r w:rsidRPr="00F92922">
              <w:rPr>
                <w:spacing w:val="-2"/>
                <w:sz w:val="24"/>
                <w:szCs w:val="24"/>
              </w:rPr>
              <w:t>13-</w:t>
            </w:r>
            <w:r w:rsidRPr="00F92922">
              <w:rPr>
                <w:spacing w:val="-4"/>
                <w:sz w:val="24"/>
                <w:szCs w:val="24"/>
              </w:rPr>
              <w:t>1041</w:t>
            </w:r>
          </w:p>
        </w:tc>
        <w:tc>
          <w:tcPr>
            <w:tcW w:w="1440" w:type="dxa"/>
          </w:tcPr>
          <w:p w:rsidR="000B1C51" w:rsidRPr="00F92922" w:rsidP="00800E5D" w14:paraId="1306674C" w14:textId="5201B8A4">
            <w:pPr>
              <w:pStyle w:val="TableParagraph"/>
              <w:spacing w:before="0"/>
              <w:jc w:val="center"/>
              <w:rPr>
                <w:sz w:val="24"/>
                <w:szCs w:val="24"/>
              </w:rPr>
            </w:pPr>
            <w:r w:rsidRPr="00F94331">
              <w:rPr>
                <w:color w:val="000000"/>
                <w:sz w:val="24"/>
                <w:szCs w:val="24"/>
                <w:shd w:val="clear" w:color="auto" w:fill="FFFFFF"/>
              </w:rPr>
              <w:t>$34.47</w:t>
            </w:r>
          </w:p>
        </w:tc>
        <w:tc>
          <w:tcPr>
            <w:tcW w:w="1710" w:type="dxa"/>
          </w:tcPr>
          <w:p w:rsidR="000B1C51" w:rsidRPr="00F92922" w:rsidP="00800E5D" w14:paraId="0D0C6C79" w14:textId="77777777">
            <w:pPr>
              <w:pStyle w:val="TableParagraph"/>
              <w:spacing w:before="0"/>
              <w:jc w:val="center"/>
              <w:rPr>
                <w:sz w:val="24"/>
                <w:szCs w:val="24"/>
              </w:rPr>
            </w:pPr>
            <w:r w:rsidRPr="00F92922">
              <w:rPr>
                <w:spacing w:val="-2"/>
                <w:sz w:val="24"/>
                <w:szCs w:val="24"/>
              </w:rPr>
              <w:t>$</w:t>
            </w:r>
            <w:r w:rsidRPr="00F94331">
              <w:rPr>
                <w:color w:val="000000"/>
                <w:sz w:val="24"/>
                <w:szCs w:val="24"/>
                <w:shd w:val="clear" w:color="auto" w:fill="FFFFFF"/>
              </w:rPr>
              <w:t>34.47</w:t>
            </w:r>
          </w:p>
        </w:tc>
        <w:tc>
          <w:tcPr>
            <w:tcW w:w="1440" w:type="dxa"/>
          </w:tcPr>
          <w:p w:rsidR="000B1C51" w:rsidRPr="00F94331" w:rsidP="00800E5D" w14:paraId="080C99C2" w14:textId="77777777">
            <w:pPr>
              <w:pStyle w:val="TableParagraph"/>
              <w:spacing w:before="0"/>
              <w:jc w:val="center"/>
              <w:rPr>
                <w:spacing w:val="-2"/>
                <w:sz w:val="24"/>
                <w:szCs w:val="24"/>
              </w:rPr>
            </w:pPr>
            <w:r w:rsidRPr="00F92922">
              <w:rPr>
                <w:spacing w:val="-2"/>
                <w:sz w:val="24"/>
                <w:szCs w:val="24"/>
              </w:rPr>
              <w:t>$68.94</w:t>
            </w:r>
          </w:p>
        </w:tc>
      </w:tr>
      <w:tr w14:paraId="6533DC4B" w14:textId="77777777" w:rsidTr="00067D3F">
        <w:tblPrEx>
          <w:tblW w:w="9265" w:type="dxa"/>
          <w:tblLayout w:type="fixed"/>
          <w:tblCellMar>
            <w:left w:w="0" w:type="dxa"/>
            <w:right w:w="0" w:type="dxa"/>
          </w:tblCellMar>
          <w:tblLook w:val="01E0"/>
        </w:tblPrEx>
        <w:trPr>
          <w:trHeight w:val="440"/>
        </w:trPr>
        <w:tc>
          <w:tcPr>
            <w:tcW w:w="3235" w:type="dxa"/>
          </w:tcPr>
          <w:p w:rsidR="00D9508E" w:rsidP="00296762" w14:paraId="22A251DB" w14:textId="6C30B23A">
            <w:pPr>
              <w:pStyle w:val="TableParagraph"/>
              <w:spacing w:before="0"/>
              <w:ind w:left="4"/>
              <w:rPr>
                <w:sz w:val="24"/>
              </w:rPr>
            </w:pPr>
            <w:r>
              <w:rPr>
                <w:kern w:val="2"/>
                <w:sz w:val="24"/>
                <w:szCs w:val="24"/>
                <w14:ligatures w14:val="standardContextual"/>
              </w:rPr>
              <w:t>General and Operations Manager</w:t>
            </w:r>
          </w:p>
        </w:tc>
        <w:tc>
          <w:tcPr>
            <w:tcW w:w="1440" w:type="dxa"/>
          </w:tcPr>
          <w:p w:rsidR="00D9508E" w:rsidRPr="00F92922" w:rsidP="00067D3F" w14:paraId="482AF076" w14:textId="07F67B69">
            <w:pPr>
              <w:pStyle w:val="TableParagraph"/>
              <w:spacing w:before="0"/>
              <w:jc w:val="center"/>
              <w:rPr>
                <w:spacing w:val="-2"/>
                <w:sz w:val="24"/>
                <w:szCs w:val="24"/>
              </w:rPr>
            </w:pPr>
            <w:r w:rsidRPr="000706E4">
              <w:rPr>
                <w:spacing w:val="-2"/>
                <w:kern w:val="2"/>
                <w:sz w:val="24"/>
                <w:szCs w:val="24"/>
                <w14:ligatures w14:val="standardContextual"/>
              </w:rPr>
              <w:t>11-1021</w:t>
            </w:r>
          </w:p>
        </w:tc>
        <w:tc>
          <w:tcPr>
            <w:tcW w:w="1440" w:type="dxa"/>
          </w:tcPr>
          <w:p w:rsidR="00D9508E" w:rsidRPr="00F94331" w:rsidP="00800E5D" w14:paraId="3257B7A9" w14:textId="6817F33F">
            <w:pPr>
              <w:pStyle w:val="TableParagraph"/>
              <w:spacing w:before="0"/>
              <w:jc w:val="center"/>
              <w:rPr>
                <w:color w:val="000000"/>
                <w:sz w:val="24"/>
                <w:szCs w:val="24"/>
                <w:shd w:val="clear" w:color="auto" w:fill="FFFFFF"/>
              </w:rPr>
            </w:pPr>
            <w:r>
              <w:rPr>
                <w:color w:val="000000"/>
                <w:kern w:val="2"/>
                <w:sz w:val="24"/>
                <w:szCs w:val="24"/>
                <w:shd w:val="clear" w:color="auto" w:fill="FFFFFF"/>
                <w14:ligatures w14:val="standardContextual"/>
              </w:rPr>
              <w:t>$47.16</w:t>
            </w:r>
          </w:p>
        </w:tc>
        <w:tc>
          <w:tcPr>
            <w:tcW w:w="1710" w:type="dxa"/>
          </w:tcPr>
          <w:p w:rsidR="00D9508E" w:rsidRPr="00F92922" w:rsidP="00800E5D" w14:paraId="6A2D8B3C" w14:textId="4599E21C">
            <w:pPr>
              <w:pStyle w:val="TableParagraph"/>
              <w:spacing w:before="0"/>
              <w:jc w:val="center"/>
              <w:rPr>
                <w:spacing w:val="-2"/>
                <w:sz w:val="24"/>
                <w:szCs w:val="24"/>
              </w:rPr>
            </w:pPr>
            <w:r>
              <w:rPr>
                <w:spacing w:val="-2"/>
                <w:kern w:val="2"/>
                <w:sz w:val="24"/>
                <w:szCs w:val="24"/>
                <w14:ligatures w14:val="standardContextual"/>
              </w:rPr>
              <w:t>$47.16</w:t>
            </w:r>
          </w:p>
        </w:tc>
        <w:tc>
          <w:tcPr>
            <w:tcW w:w="1440" w:type="dxa"/>
          </w:tcPr>
          <w:p w:rsidR="00D9508E" w:rsidRPr="00F92922" w:rsidP="00800E5D" w14:paraId="70436984" w14:textId="1AC7D069">
            <w:pPr>
              <w:pStyle w:val="TableParagraph"/>
              <w:spacing w:before="0"/>
              <w:jc w:val="center"/>
              <w:rPr>
                <w:spacing w:val="-2"/>
                <w:sz w:val="24"/>
                <w:szCs w:val="24"/>
              </w:rPr>
            </w:pPr>
            <w:r>
              <w:rPr>
                <w:spacing w:val="-2"/>
                <w:kern w:val="2"/>
                <w:sz w:val="24"/>
                <w:szCs w:val="24"/>
                <w14:ligatures w14:val="standardContextual"/>
              </w:rPr>
              <w:t>$94.32</w:t>
            </w:r>
          </w:p>
        </w:tc>
      </w:tr>
    </w:tbl>
    <w:p w:rsidR="00577FFA" w:rsidP="00E66C65" w14:paraId="749DE435" w14:textId="77777777">
      <w:pPr>
        <w:pStyle w:val="Heading1"/>
        <w:ind w:left="0"/>
      </w:pPr>
      <w:bookmarkStart w:id="12" w:name="Burden_for_QHP_Issuers"/>
      <w:bookmarkEnd w:id="12"/>
    </w:p>
    <w:p w:rsidR="007173ED" w:rsidP="00E66C65" w14:paraId="38068381" w14:textId="2514B058">
      <w:pPr>
        <w:pStyle w:val="Heading1"/>
        <w:ind w:left="0"/>
      </w:pPr>
      <w:r>
        <w:t>Burden</w:t>
      </w:r>
      <w:r>
        <w:rPr>
          <w:spacing w:val="-1"/>
        </w:rPr>
        <w:t xml:space="preserve"> </w:t>
      </w:r>
      <w:r>
        <w:t>for</w:t>
      </w:r>
      <w:r>
        <w:rPr>
          <w:spacing w:val="-1"/>
        </w:rPr>
        <w:t xml:space="preserve"> </w:t>
      </w:r>
      <w:r>
        <w:t>QHP</w:t>
      </w:r>
      <w:r>
        <w:rPr>
          <w:spacing w:val="-3"/>
        </w:rPr>
        <w:t xml:space="preserve"> </w:t>
      </w:r>
      <w:r>
        <w:rPr>
          <w:spacing w:val="-2"/>
        </w:rPr>
        <w:t>Issuers</w:t>
      </w:r>
      <w:r w:rsidR="0020676D">
        <w:rPr>
          <w:b w:val="0"/>
          <w:spacing w:val="-2"/>
        </w:rPr>
        <w:t xml:space="preserve"> </w:t>
      </w:r>
      <w:r>
        <w:rPr>
          <w:spacing w:val="-2"/>
        </w:rPr>
        <w:t xml:space="preserve">for </w:t>
      </w:r>
      <w:r w:rsidR="0020676D">
        <w:rPr>
          <w:spacing w:val="-2"/>
        </w:rPr>
        <w:t xml:space="preserve">the ECP/NA </w:t>
      </w:r>
      <w:r w:rsidR="006004C2">
        <w:rPr>
          <w:spacing w:val="-2"/>
        </w:rPr>
        <w:t xml:space="preserve">Template Data </w:t>
      </w:r>
      <w:r w:rsidR="0020676D">
        <w:t>Collection</w:t>
      </w:r>
    </w:p>
    <w:p w:rsidR="008825DB" w:rsidP="00E66C65" w14:paraId="5DE59686" w14:textId="4BAB0B1B">
      <w:pPr>
        <w:pStyle w:val="BodyText"/>
        <w:ind w:hanging="10"/>
        <w:rPr>
          <w:spacing w:val="-1"/>
        </w:rPr>
      </w:pPr>
      <w:r>
        <w:rPr>
          <w:spacing w:val="-1"/>
        </w:rPr>
        <w:t xml:space="preserve">We estimate that it will take approximately </w:t>
      </w:r>
      <w:r w:rsidR="00FF5BD6">
        <w:rPr>
          <w:spacing w:val="-1"/>
        </w:rPr>
        <w:t>6</w:t>
      </w:r>
      <w:r>
        <w:rPr>
          <w:spacing w:val="-1"/>
        </w:rPr>
        <w:t xml:space="preserve"> hours for a Business Operations Specialist to identify and prepare the provider network data in the issuer’s system </w:t>
      </w:r>
      <w:r w:rsidR="00B4394B">
        <w:rPr>
          <w:spacing w:val="-1"/>
        </w:rPr>
        <w:t xml:space="preserve">to </w:t>
      </w:r>
      <w:r>
        <w:rPr>
          <w:spacing w:val="-1"/>
        </w:rPr>
        <w:t>be entered by the Compliance Officer into the ECP/NA template</w:t>
      </w:r>
      <w:r w:rsidR="00B4394B">
        <w:rPr>
          <w:spacing w:val="-1"/>
        </w:rPr>
        <w:t xml:space="preserve">, </w:t>
      </w:r>
      <w:r w:rsidR="00DA1A1A">
        <w:rPr>
          <w:spacing w:val="-1"/>
        </w:rPr>
        <w:t>including identifying and formatting the National Provider Identifier (NPI), provider name, provider address, provider specialty type</w:t>
      </w:r>
      <w:r w:rsidR="00FF5BD6">
        <w:rPr>
          <w:spacing w:val="-1"/>
        </w:rPr>
        <w:t>(s)</w:t>
      </w:r>
      <w:r w:rsidR="00DA1A1A">
        <w:rPr>
          <w:spacing w:val="-1"/>
        </w:rPr>
        <w:t xml:space="preserve">, </w:t>
      </w:r>
      <w:r w:rsidR="00FF5BD6">
        <w:rPr>
          <w:spacing w:val="-1"/>
        </w:rPr>
        <w:t xml:space="preserve">telehealth availability, </w:t>
      </w:r>
      <w:r w:rsidR="00DA1A1A">
        <w:rPr>
          <w:spacing w:val="-1"/>
        </w:rPr>
        <w:t>network ID</w:t>
      </w:r>
      <w:r w:rsidR="00FF5BD6">
        <w:rPr>
          <w:spacing w:val="-1"/>
        </w:rPr>
        <w:t>(s)</w:t>
      </w:r>
      <w:r w:rsidR="00DA1A1A">
        <w:rPr>
          <w:spacing w:val="-1"/>
        </w:rPr>
        <w:t>, and other required fields for each respective provider participating in the issuer’s network.</w:t>
      </w:r>
      <w:r w:rsidR="00B4394B">
        <w:rPr>
          <w:spacing w:val="-1"/>
        </w:rPr>
        <w:t xml:space="preserve"> </w:t>
      </w:r>
      <w:r w:rsidR="00DA1A1A">
        <w:rPr>
          <w:spacing w:val="-1"/>
        </w:rPr>
        <w:t>W</w:t>
      </w:r>
      <w:r w:rsidR="00B4394B">
        <w:rPr>
          <w:spacing w:val="-1"/>
        </w:rPr>
        <w:t xml:space="preserve">e expect </w:t>
      </w:r>
      <w:r w:rsidR="00DA1A1A">
        <w:rPr>
          <w:spacing w:val="-1"/>
        </w:rPr>
        <w:t>that the Compliance Officer w</w:t>
      </w:r>
      <w:r>
        <w:rPr>
          <w:spacing w:val="-1"/>
        </w:rPr>
        <w:t>ill</w:t>
      </w:r>
      <w:r w:rsidR="00DA1A1A">
        <w:rPr>
          <w:spacing w:val="-1"/>
        </w:rPr>
        <w:t xml:space="preserve"> spend approximately 1</w:t>
      </w:r>
      <w:r w:rsidR="00FF5BD6">
        <w:rPr>
          <w:spacing w:val="-1"/>
        </w:rPr>
        <w:t>0</w:t>
      </w:r>
      <w:r w:rsidR="00DA1A1A">
        <w:rPr>
          <w:spacing w:val="-1"/>
        </w:rPr>
        <w:t xml:space="preserve"> hours entering these provider data into the ECP/NA template</w:t>
      </w:r>
      <w:r w:rsidR="00FF5BD6">
        <w:rPr>
          <w:spacing w:val="-1"/>
        </w:rPr>
        <w:t>,</w:t>
      </w:r>
      <w:r w:rsidR="00DA1A1A">
        <w:rPr>
          <w:spacing w:val="-1"/>
        </w:rPr>
        <w:t xml:space="preserve"> and the General and Operations Manager w</w:t>
      </w:r>
      <w:r>
        <w:rPr>
          <w:spacing w:val="-1"/>
        </w:rPr>
        <w:t>ill</w:t>
      </w:r>
      <w:r w:rsidR="00DA1A1A">
        <w:rPr>
          <w:spacing w:val="-1"/>
        </w:rPr>
        <w:t xml:space="preserve"> spend approximately 4 hours conducting a d</w:t>
      </w:r>
      <w:r w:rsidR="00B4394B">
        <w:rPr>
          <w:spacing w:val="-1"/>
        </w:rPr>
        <w:t>ata quality review and submi</w:t>
      </w:r>
      <w:r w:rsidR="00DA1A1A">
        <w:rPr>
          <w:spacing w:val="-1"/>
        </w:rPr>
        <w:t>tting t</w:t>
      </w:r>
      <w:r w:rsidR="00B4394B">
        <w:rPr>
          <w:spacing w:val="-1"/>
        </w:rPr>
        <w:t xml:space="preserve">he ECP/NA template </w:t>
      </w:r>
      <w:r w:rsidR="00DA1A1A">
        <w:rPr>
          <w:spacing w:val="-1"/>
        </w:rPr>
        <w:t>to CMS.</w:t>
      </w:r>
      <w:r w:rsidR="00B4394B">
        <w:rPr>
          <w:spacing w:val="-1"/>
        </w:rPr>
        <w:t xml:space="preserve"> </w:t>
      </w:r>
    </w:p>
    <w:p w:rsidR="008825DB" w:rsidP="00E66C65" w14:paraId="7FE15427" w14:textId="77777777">
      <w:pPr>
        <w:pStyle w:val="BodyText"/>
        <w:ind w:hanging="10"/>
        <w:rPr>
          <w:spacing w:val="-1"/>
        </w:rPr>
      </w:pPr>
    </w:p>
    <w:p w:rsidR="004D18F4" w:rsidP="004D18F4" w14:paraId="7BFF803E" w14:textId="02B8DE64">
      <w:pPr>
        <w:pStyle w:val="BodyText"/>
        <w:ind w:hanging="10"/>
        <w:rPr>
          <w:spacing w:val="-1"/>
        </w:rPr>
      </w:pPr>
      <w:r>
        <w:t xml:space="preserve">The burden estimate includes collecting and reviewing network adequacy data starting in </w:t>
      </w:r>
      <w:r w:rsidRPr="006F28E2" w:rsidR="00516813">
        <w:t>PY2025</w:t>
      </w:r>
      <w:r w:rsidRPr="006F28E2">
        <w:t>.</w:t>
      </w:r>
      <w:r>
        <w:t xml:space="preserve"> The number of issuers is based on the number of applications for </w:t>
      </w:r>
      <w:r w:rsidR="00516813">
        <w:t>PY2024</w:t>
      </w:r>
      <w:r>
        <w:t>.</w:t>
      </w:r>
      <w:r w:rsidR="003229EF">
        <w:t xml:space="preserve"> </w:t>
      </w:r>
      <w:r w:rsidRPr="0010202B" w:rsidR="00F12690">
        <w:t>This</w:t>
      </w:r>
      <w:r w:rsidRPr="0010202B" w:rsidR="00F12690">
        <w:rPr>
          <w:spacing w:val="-1"/>
        </w:rPr>
        <w:t xml:space="preserve"> </w:t>
      </w:r>
      <w:r w:rsidRPr="0010202B" w:rsidR="00F12690">
        <w:t>estimate</w:t>
      </w:r>
      <w:r w:rsidRPr="0010202B" w:rsidR="00F12690">
        <w:rPr>
          <w:spacing w:val="-2"/>
        </w:rPr>
        <w:t xml:space="preserve"> </w:t>
      </w:r>
      <w:r w:rsidRPr="0010202B" w:rsidR="00F12690">
        <w:t>is</w:t>
      </w:r>
      <w:r w:rsidRPr="0010202B" w:rsidR="00F12690">
        <w:rPr>
          <w:spacing w:val="-1"/>
        </w:rPr>
        <w:t xml:space="preserve"> </w:t>
      </w:r>
      <w:r w:rsidRPr="0010202B" w:rsidR="00F12690">
        <w:t>based</w:t>
      </w:r>
      <w:r w:rsidRPr="0010202B" w:rsidR="00F12690">
        <w:rPr>
          <w:spacing w:val="-1"/>
        </w:rPr>
        <w:t xml:space="preserve"> </w:t>
      </w:r>
      <w:r w:rsidRPr="0010202B" w:rsidR="00F12690">
        <w:t>on</w:t>
      </w:r>
      <w:r w:rsidRPr="0010202B" w:rsidR="00F12690">
        <w:rPr>
          <w:spacing w:val="-1"/>
        </w:rPr>
        <w:t xml:space="preserve"> </w:t>
      </w:r>
      <w:r w:rsidRPr="0010202B" w:rsidR="00F12690">
        <w:t>an</w:t>
      </w:r>
      <w:r w:rsidRPr="0010202B" w:rsidR="00F12690">
        <w:rPr>
          <w:spacing w:val="-1"/>
        </w:rPr>
        <w:t xml:space="preserve"> </w:t>
      </w:r>
      <w:r w:rsidRPr="0010202B" w:rsidR="00F12690">
        <w:t>assumed</w:t>
      </w:r>
      <w:r w:rsidRPr="0010202B" w:rsidR="00F12690">
        <w:rPr>
          <w:spacing w:val="-1"/>
        </w:rPr>
        <w:t xml:space="preserve"> </w:t>
      </w:r>
      <w:r w:rsidR="00F12690">
        <w:t>171</w:t>
      </w:r>
      <w:r w:rsidRPr="0010202B" w:rsidR="00F12690">
        <w:rPr>
          <w:spacing w:val="-1"/>
        </w:rPr>
        <w:t xml:space="preserve"> </w:t>
      </w:r>
      <w:r w:rsidRPr="0010202B" w:rsidR="00F12690">
        <w:t>issuers</w:t>
      </w:r>
      <w:r w:rsidRPr="0010202B" w:rsidR="00F12690">
        <w:rPr>
          <w:spacing w:val="-1"/>
        </w:rPr>
        <w:t xml:space="preserve"> </w:t>
      </w:r>
      <w:r w:rsidRPr="0010202B" w:rsidR="00F12690">
        <w:t>each</w:t>
      </w:r>
      <w:r w:rsidRPr="0010202B" w:rsidR="00F12690">
        <w:rPr>
          <w:spacing w:val="-1"/>
        </w:rPr>
        <w:t xml:space="preserve"> </w:t>
      </w:r>
      <w:r w:rsidRPr="0010202B" w:rsidR="00F12690">
        <w:t>offering</w:t>
      </w:r>
      <w:r w:rsidRPr="0010202B" w:rsidR="00F12690">
        <w:rPr>
          <w:spacing w:val="-4"/>
        </w:rPr>
        <w:t xml:space="preserve"> </w:t>
      </w:r>
      <w:r w:rsidRPr="0010202B" w:rsidR="00F12690">
        <w:t>16 plans.</w:t>
      </w:r>
      <w:r w:rsidRPr="0010202B" w:rsidR="00F12690">
        <w:rPr>
          <w:spacing w:val="-1"/>
        </w:rPr>
        <w:t xml:space="preserve"> </w:t>
      </w:r>
      <w:r w:rsidRPr="0010202B">
        <w:t xml:space="preserve">The burden on QHP issuers </w:t>
      </w:r>
      <w:r w:rsidRPr="0010202B">
        <w:t xml:space="preserve">for </w:t>
      </w:r>
      <w:r>
        <w:t>the ECP/NA</w:t>
      </w:r>
      <w:r w:rsidRPr="0010202B">
        <w:t xml:space="preserve"> </w:t>
      </w:r>
      <w:r>
        <w:t xml:space="preserve">template </w:t>
      </w:r>
      <w:r w:rsidRPr="0010202B">
        <w:t xml:space="preserve">data collection per year is estimated to be </w:t>
      </w:r>
      <w:r w:rsidR="004E0DAE">
        <w:t>3,420</w:t>
      </w:r>
      <w:r w:rsidRPr="0010202B">
        <w:t xml:space="preserve"> burden hours</w:t>
      </w:r>
      <w:r w:rsidR="004E0DAE">
        <w:t xml:space="preserve"> with a cost of $257,361.84</w:t>
      </w:r>
      <w:r w:rsidR="00F12690">
        <w:t>.</w:t>
      </w:r>
      <w:r w:rsidRPr="0010202B">
        <w:rPr>
          <w:spacing w:val="-1"/>
        </w:rPr>
        <w:t xml:space="preserve"> </w:t>
      </w:r>
    </w:p>
    <w:p w:rsidR="003229EF" w:rsidP="00E66C65" w14:paraId="3D0C3CEB" w14:textId="77777777">
      <w:pPr>
        <w:pStyle w:val="BodyText"/>
        <w:rPr>
          <w:sz w:val="25"/>
        </w:rPr>
      </w:pPr>
    </w:p>
    <w:p w:rsidR="000B1C51" w:rsidP="00E66C65" w14:paraId="221EC7F9" w14:textId="3F3FDAAD">
      <w:pPr>
        <w:pStyle w:val="BodyText"/>
        <w:rPr>
          <w:strike/>
          <w:spacing w:val="-2"/>
        </w:rPr>
      </w:pPr>
      <w:r>
        <w:t>Pursuant</w:t>
      </w:r>
      <w:r>
        <w:rPr>
          <w:spacing w:val="-3"/>
        </w:rPr>
        <w:t xml:space="preserve"> </w:t>
      </w:r>
      <w:r>
        <w:t>to</w:t>
      </w:r>
      <w:r>
        <w:rPr>
          <w:spacing w:val="-3"/>
        </w:rPr>
        <w:t xml:space="preserve"> </w:t>
      </w:r>
      <w:r>
        <w:t>45</w:t>
      </w:r>
      <w:r>
        <w:rPr>
          <w:spacing w:val="-3"/>
        </w:rPr>
        <w:t xml:space="preserve"> </w:t>
      </w:r>
      <w:r>
        <w:t>CFR</w:t>
      </w:r>
      <w:r>
        <w:rPr>
          <w:spacing w:val="-3"/>
        </w:rPr>
        <w:t xml:space="preserve"> </w:t>
      </w:r>
      <w:r>
        <w:t>156.235,</w:t>
      </w:r>
      <w:r>
        <w:rPr>
          <w:spacing w:val="-3"/>
        </w:rPr>
        <w:t xml:space="preserve"> </w:t>
      </w:r>
      <w:r>
        <w:t>an</w:t>
      </w:r>
      <w:r>
        <w:rPr>
          <w:spacing w:val="-3"/>
        </w:rPr>
        <w:t xml:space="preserve"> </w:t>
      </w:r>
      <w:r>
        <w:t>issuer</w:t>
      </w:r>
      <w:r>
        <w:rPr>
          <w:spacing w:val="-4"/>
        </w:rPr>
        <w:t xml:space="preserve"> </w:t>
      </w:r>
      <w:r>
        <w:t>must</w:t>
      </w:r>
      <w:r>
        <w:rPr>
          <w:spacing w:val="-3"/>
        </w:rPr>
        <w:t xml:space="preserve"> </w:t>
      </w:r>
      <w:r>
        <w:t>include</w:t>
      </w:r>
      <w:r>
        <w:rPr>
          <w:spacing w:val="-4"/>
        </w:rPr>
        <w:t xml:space="preserve"> </w:t>
      </w:r>
      <w:r>
        <w:t>a</w:t>
      </w:r>
      <w:r>
        <w:rPr>
          <w:spacing w:val="-4"/>
        </w:rPr>
        <w:t xml:space="preserve"> </w:t>
      </w:r>
      <w:r>
        <w:t>sufficient</w:t>
      </w:r>
      <w:r>
        <w:rPr>
          <w:spacing w:val="-3"/>
        </w:rPr>
        <w:t xml:space="preserve"> </w:t>
      </w:r>
      <w:r>
        <w:t>number</w:t>
      </w:r>
      <w:r>
        <w:rPr>
          <w:spacing w:val="-4"/>
        </w:rPr>
        <w:t xml:space="preserve"> </w:t>
      </w:r>
      <w:r>
        <w:t>and</w:t>
      </w:r>
      <w:r>
        <w:rPr>
          <w:spacing w:val="-3"/>
        </w:rPr>
        <w:t xml:space="preserve"> </w:t>
      </w:r>
      <w:r>
        <w:t>geographic</w:t>
      </w:r>
      <w:r>
        <w:rPr>
          <w:spacing w:val="-4"/>
        </w:rPr>
        <w:t xml:space="preserve"> </w:t>
      </w:r>
      <w:r>
        <w:t xml:space="preserve">distribution of ECPs to ensure access for low-income, medically underserved individuals. Pursuant to 45 CFR 156.230, an issuer must collect provider information necessary to demonstrate an issuer’s satisfaction of time and distance standards </w:t>
      </w:r>
      <w:r w:rsidR="00AD5F0A">
        <w:t>and</w:t>
      </w:r>
      <w:r>
        <w:t xml:space="preserve"> report the offering of telehealth services for each </w:t>
      </w:r>
      <w:r>
        <w:rPr>
          <w:spacing w:val="-2"/>
        </w:rPr>
        <w:t>provider.</w:t>
      </w:r>
      <w:r w:rsidR="003229EF">
        <w:rPr>
          <w:spacing w:val="-2"/>
        </w:rPr>
        <w:t xml:space="preserve"> Table 2 displays the burden for QHP issuers for the ECP/NA template.</w:t>
      </w:r>
    </w:p>
    <w:p w:rsidR="00CF22C1" w:rsidP="00E66C65" w14:paraId="233CCB79" w14:textId="77777777">
      <w:pPr>
        <w:pStyle w:val="Heading1"/>
        <w:ind w:left="0"/>
      </w:pPr>
    </w:p>
    <w:p w:rsidR="00DF381F" w:rsidP="00E66C65" w14:paraId="72DCC211" w14:textId="0BDC213D">
      <w:pPr>
        <w:pStyle w:val="Heading1"/>
        <w:ind w:left="0"/>
        <w:rPr>
          <w:spacing w:val="-2"/>
        </w:rPr>
      </w:pPr>
      <w:r>
        <w:t>Table</w:t>
      </w:r>
      <w:r>
        <w:rPr>
          <w:spacing w:val="-2"/>
        </w:rPr>
        <w:t xml:space="preserve"> </w:t>
      </w:r>
      <w:r>
        <w:t>2. Burden</w:t>
      </w:r>
      <w:r>
        <w:rPr>
          <w:spacing w:val="-3"/>
        </w:rPr>
        <w:t xml:space="preserve"> </w:t>
      </w:r>
      <w:r>
        <w:t>for</w:t>
      </w:r>
      <w:r>
        <w:rPr>
          <w:spacing w:val="-1"/>
        </w:rPr>
        <w:t xml:space="preserve"> </w:t>
      </w:r>
      <w:r>
        <w:t>QHP</w:t>
      </w:r>
      <w:r>
        <w:rPr>
          <w:spacing w:val="-3"/>
        </w:rPr>
        <w:t xml:space="preserve"> </w:t>
      </w:r>
      <w:r>
        <w:rPr>
          <w:spacing w:val="-2"/>
        </w:rPr>
        <w:t xml:space="preserve">Issuers for the ECP/NA </w:t>
      </w:r>
      <w:r w:rsidR="00992D76">
        <w:rPr>
          <w:spacing w:val="-2"/>
        </w:rPr>
        <w:t xml:space="preserve">Template Data </w:t>
      </w:r>
      <w:r>
        <w:rPr>
          <w:spacing w:val="-2"/>
        </w:rPr>
        <w:t xml:space="preserve">Collection </w:t>
      </w:r>
    </w:p>
    <w:p w:rsidR="003F34B5" w:rsidP="00296762" w14:paraId="5D74EA67" w14:textId="33A17710">
      <w:pPr>
        <w:pStyle w:val="Heading1"/>
        <w:ind w:left="0"/>
        <w:rPr>
          <w:spacing w:val="-2"/>
        </w:rPr>
      </w:pPr>
    </w:p>
    <w:tbl>
      <w:tblPr>
        <w:tblW w:w="9630" w:type="dxa"/>
        <w:tblLayout w:type="fixed"/>
        <w:tblCellMar>
          <w:left w:w="0" w:type="dxa"/>
          <w:right w:w="0" w:type="dxa"/>
        </w:tblCellMar>
        <w:tblLook w:val="01E0"/>
      </w:tblPr>
      <w:tblGrid>
        <w:gridCol w:w="2515"/>
        <w:gridCol w:w="1350"/>
        <w:gridCol w:w="1800"/>
        <w:gridCol w:w="1080"/>
        <w:gridCol w:w="1440"/>
        <w:gridCol w:w="1445"/>
      </w:tblGrid>
      <w:tr w14:paraId="44631EB8" w14:textId="77777777" w:rsidTr="00067D3F">
        <w:tblPrEx>
          <w:tblW w:w="9630" w:type="dxa"/>
          <w:tblLayout w:type="fixed"/>
          <w:tblCellMar>
            <w:left w:w="0" w:type="dxa"/>
            <w:right w:w="0" w:type="dxa"/>
          </w:tblCellMar>
          <w:tblLook w:val="01E0"/>
        </w:tblPrEx>
        <w:trPr>
          <w:trHeight w:hRule="exact" w:val="1242"/>
        </w:trPr>
        <w:tc>
          <w:tcPr>
            <w:tcW w:w="2515" w:type="dxa"/>
            <w:tcBorders>
              <w:top w:val="single" w:sz="4" w:space="0" w:color="000000"/>
              <w:left w:val="single" w:sz="4" w:space="0" w:color="000000"/>
              <w:bottom w:val="single" w:sz="4" w:space="0" w:color="000000"/>
              <w:right w:val="single" w:sz="4" w:space="0" w:color="000000"/>
            </w:tcBorders>
            <w:vAlign w:val="center"/>
          </w:tcPr>
          <w:p w:rsidR="003F34B5" w:rsidRPr="00FA2E92" w:rsidP="001D19AE" w14:paraId="7244103F" w14:textId="77777777">
            <w:pPr>
              <w:keepNext/>
              <w:ind w:left="85" w:right="-20"/>
              <w:rPr>
                <w:b/>
                <w:bCs/>
                <w:sz w:val="24"/>
                <w:szCs w:val="24"/>
              </w:rPr>
            </w:pPr>
            <w:bookmarkStart w:id="13" w:name="_Hlk149122387"/>
            <w:r w:rsidRPr="00FA2E92">
              <w:rPr>
                <w:b/>
                <w:bCs/>
                <w:sz w:val="24"/>
                <w:szCs w:val="24"/>
              </w:rPr>
              <w:t>Labor Cate</w:t>
            </w:r>
            <w:r w:rsidRPr="00FA2E92">
              <w:rPr>
                <w:b/>
                <w:bCs/>
                <w:spacing w:val="-1"/>
                <w:sz w:val="24"/>
                <w:szCs w:val="24"/>
              </w:rPr>
              <w:t>g</w:t>
            </w:r>
            <w:r w:rsidRPr="00FA2E92">
              <w:rPr>
                <w:b/>
                <w:bCs/>
                <w:sz w:val="24"/>
                <w:szCs w:val="24"/>
              </w:rPr>
              <w:t>ory</w:t>
            </w:r>
          </w:p>
        </w:tc>
        <w:tc>
          <w:tcPr>
            <w:tcW w:w="1350" w:type="dxa"/>
            <w:tcBorders>
              <w:top w:val="single" w:sz="4" w:space="0" w:color="000000"/>
              <w:left w:val="single" w:sz="4" w:space="0" w:color="000000"/>
              <w:bottom w:val="single" w:sz="4" w:space="0" w:color="auto"/>
              <w:right w:val="single" w:sz="4" w:space="0" w:color="000000"/>
            </w:tcBorders>
            <w:vAlign w:val="center"/>
          </w:tcPr>
          <w:p w:rsidR="003F34B5" w:rsidRPr="00FA2E92" w:rsidP="001D19AE" w14:paraId="383041C4" w14:textId="77777777">
            <w:pPr>
              <w:keepNext/>
              <w:jc w:val="center"/>
              <w:rPr>
                <w:b/>
                <w:bCs/>
                <w:sz w:val="24"/>
                <w:szCs w:val="24"/>
              </w:rPr>
            </w:pPr>
            <w:r w:rsidRPr="00FA2E92">
              <w:rPr>
                <w:b/>
                <w:bCs/>
                <w:sz w:val="24"/>
                <w:szCs w:val="24"/>
              </w:rPr>
              <w:t>Number of Respondents</w:t>
            </w:r>
          </w:p>
        </w:tc>
        <w:tc>
          <w:tcPr>
            <w:tcW w:w="1800" w:type="dxa"/>
            <w:tcBorders>
              <w:top w:val="single" w:sz="4" w:space="0" w:color="000000"/>
              <w:left w:val="single" w:sz="4" w:space="0" w:color="000000"/>
              <w:bottom w:val="single" w:sz="4" w:space="0" w:color="auto"/>
              <w:right w:val="single" w:sz="4" w:space="0" w:color="000000"/>
            </w:tcBorders>
            <w:vAlign w:val="center"/>
          </w:tcPr>
          <w:p w:rsidR="003F34B5" w:rsidRPr="00FA2E92" w:rsidP="001D19AE" w14:paraId="2E57BFDD" w14:textId="77777777">
            <w:pPr>
              <w:keepNext/>
              <w:jc w:val="center"/>
              <w:rPr>
                <w:b/>
                <w:bCs/>
                <w:sz w:val="24"/>
                <w:szCs w:val="24"/>
              </w:rPr>
            </w:pPr>
            <w:r w:rsidRPr="00FA2E92">
              <w:rPr>
                <w:b/>
                <w:bCs/>
                <w:sz w:val="24"/>
                <w:szCs w:val="24"/>
              </w:rPr>
              <w:t>Hourly Labor Costs (Hourly r</w:t>
            </w:r>
            <w:r w:rsidRPr="00FA2E92">
              <w:rPr>
                <w:b/>
                <w:bCs/>
                <w:spacing w:val="-1"/>
                <w:sz w:val="24"/>
                <w:szCs w:val="24"/>
              </w:rPr>
              <w:t>a</w:t>
            </w:r>
            <w:r w:rsidRPr="00FA2E92">
              <w:rPr>
                <w:b/>
                <w:bCs/>
                <w:sz w:val="24"/>
                <w:szCs w:val="24"/>
              </w:rPr>
              <w:t>te +</w:t>
            </w:r>
            <w:r w:rsidRPr="00FA2E92">
              <w:rPr>
                <w:b/>
                <w:bCs/>
                <w:spacing w:val="-1"/>
                <w:sz w:val="24"/>
                <w:szCs w:val="24"/>
              </w:rPr>
              <w:t xml:space="preserve"> </w:t>
            </w:r>
            <w:r w:rsidRPr="00FA2E92">
              <w:rPr>
                <w:b/>
                <w:bCs/>
                <w:spacing w:val="2"/>
                <w:sz w:val="24"/>
                <w:szCs w:val="24"/>
              </w:rPr>
              <w:t>100</w:t>
            </w:r>
            <w:r w:rsidRPr="00FA2E92">
              <w:rPr>
                <w:b/>
                <w:bCs/>
                <w:sz w:val="24"/>
                <w:szCs w:val="24"/>
              </w:rPr>
              <w:t xml:space="preserve">% </w:t>
            </w:r>
            <w:r w:rsidRPr="00FA2E92">
              <w:rPr>
                <w:b/>
                <w:bCs/>
                <w:spacing w:val="-1"/>
                <w:sz w:val="24"/>
                <w:szCs w:val="24"/>
              </w:rPr>
              <w:t>Fr</w:t>
            </w:r>
            <w:r w:rsidRPr="00FA2E92">
              <w:rPr>
                <w:b/>
                <w:bCs/>
                <w:sz w:val="24"/>
                <w:szCs w:val="24"/>
              </w:rPr>
              <w:t>in</w:t>
            </w:r>
            <w:r w:rsidRPr="00FA2E92">
              <w:rPr>
                <w:b/>
                <w:bCs/>
                <w:spacing w:val="-2"/>
                <w:sz w:val="24"/>
                <w:szCs w:val="24"/>
              </w:rPr>
              <w:t xml:space="preserve">ge </w:t>
            </w:r>
            <w:r w:rsidRPr="00FA2E92">
              <w:rPr>
                <w:b/>
                <w:bCs/>
                <w:sz w:val="24"/>
                <w:szCs w:val="24"/>
              </w:rPr>
              <w:t>b</w:t>
            </w:r>
            <w:r w:rsidRPr="00FA2E92">
              <w:rPr>
                <w:b/>
                <w:bCs/>
                <w:spacing w:val="-1"/>
                <w:sz w:val="24"/>
                <w:szCs w:val="24"/>
              </w:rPr>
              <w:t>e</w:t>
            </w:r>
            <w:r w:rsidRPr="00FA2E92">
              <w:rPr>
                <w:b/>
                <w:bCs/>
                <w:sz w:val="24"/>
                <w:szCs w:val="24"/>
              </w:rPr>
              <w:t>n</w:t>
            </w:r>
            <w:r w:rsidRPr="00FA2E92">
              <w:rPr>
                <w:b/>
                <w:bCs/>
                <w:spacing w:val="-1"/>
                <w:sz w:val="24"/>
                <w:szCs w:val="24"/>
              </w:rPr>
              <w:t>ef</w:t>
            </w:r>
            <w:r w:rsidRPr="00FA2E92">
              <w:rPr>
                <w:b/>
                <w:bCs/>
                <w:sz w:val="24"/>
                <w:szCs w:val="24"/>
              </w:rPr>
              <w:t>its)</w:t>
            </w:r>
          </w:p>
        </w:tc>
        <w:tc>
          <w:tcPr>
            <w:tcW w:w="1080" w:type="dxa"/>
            <w:tcBorders>
              <w:top w:val="single" w:sz="4" w:space="0" w:color="000000"/>
              <w:left w:val="single" w:sz="4" w:space="0" w:color="000000"/>
              <w:bottom w:val="single" w:sz="4" w:space="0" w:color="auto"/>
              <w:right w:val="single" w:sz="4" w:space="0" w:color="000000"/>
            </w:tcBorders>
            <w:vAlign w:val="center"/>
          </w:tcPr>
          <w:p w:rsidR="003F34B5" w:rsidRPr="00FA2E92" w:rsidP="001D19AE" w14:paraId="77685BF2" w14:textId="77777777">
            <w:pPr>
              <w:keepNext/>
              <w:jc w:val="center"/>
              <w:rPr>
                <w:b/>
                <w:bCs/>
                <w:sz w:val="24"/>
                <w:szCs w:val="24"/>
              </w:rPr>
            </w:pPr>
            <w:r w:rsidRPr="00FA2E92">
              <w:rPr>
                <w:b/>
                <w:bCs/>
                <w:sz w:val="24"/>
                <w:szCs w:val="24"/>
              </w:rPr>
              <w:t>Burden Hours</w:t>
            </w:r>
          </w:p>
        </w:tc>
        <w:tc>
          <w:tcPr>
            <w:tcW w:w="1440" w:type="dxa"/>
            <w:tcBorders>
              <w:top w:val="single" w:sz="4" w:space="0" w:color="000000"/>
              <w:left w:val="single" w:sz="4" w:space="0" w:color="000000"/>
              <w:bottom w:val="single" w:sz="4" w:space="0" w:color="000000"/>
              <w:right w:val="single" w:sz="4" w:space="0" w:color="000000"/>
            </w:tcBorders>
            <w:vAlign w:val="center"/>
          </w:tcPr>
          <w:p w:rsidR="003F34B5" w:rsidRPr="00FA2E92" w:rsidP="001D19AE" w14:paraId="799C4ADF" w14:textId="77777777">
            <w:pPr>
              <w:keepNext/>
              <w:jc w:val="center"/>
              <w:rPr>
                <w:b/>
                <w:bCs/>
                <w:sz w:val="24"/>
                <w:szCs w:val="24"/>
              </w:rPr>
            </w:pPr>
            <w:r w:rsidRPr="00FA2E92">
              <w:rPr>
                <w:b/>
                <w:bCs/>
                <w:sz w:val="24"/>
                <w:szCs w:val="24"/>
              </w:rPr>
              <w:t>Total Burden Costs (Per</w:t>
            </w:r>
          </w:p>
          <w:p w:rsidR="003F34B5" w:rsidRPr="0007219E" w:rsidP="001D19AE" w14:paraId="7BF145DE" w14:textId="77777777">
            <w:pPr>
              <w:keepNext/>
              <w:jc w:val="center"/>
              <w:rPr>
                <w:sz w:val="24"/>
                <w:szCs w:val="24"/>
              </w:rPr>
            </w:pPr>
            <w:r w:rsidRPr="00FA2E92">
              <w:rPr>
                <w:b/>
                <w:bCs/>
                <w:sz w:val="24"/>
                <w:szCs w:val="24"/>
              </w:rPr>
              <w:t>Respondent)</w:t>
            </w:r>
          </w:p>
        </w:tc>
        <w:tc>
          <w:tcPr>
            <w:tcW w:w="1445" w:type="dxa"/>
            <w:tcBorders>
              <w:top w:val="single" w:sz="4" w:space="0" w:color="000000"/>
              <w:left w:val="single" w:sz="4" w:space="0" w:color="000000"/>
              <w:bottom w:val="single" w:sz="4" w:space="0" w:color="000000"/>
              <w:right w:val="single" w:sz="4" w:space="0" w:color="000000"/>
            </w:tcBorders>
            <w:vAlign w:val="center"/>
          </w:tcPr>
          <w:p w:rsidR="003F34B5" w:rsidRPr="00FA2E92" w:rsidP="001D19AE" w14:paraId="72125566" w14:textId="77777777">
            <w:pPr>
              <w:keepNext/>
              <w:jc w:val="center"/>
              <w:rPr>
                <w:b/>
                <w:bCs/>
                <w:sz w:val="24"/>
                <w:szCs w:val="24"/>
              </w:rPr>
            </w:pPr>
            <w:r w:rsidRPr="00FA2E92">
              <w:rPr>
                <w:b/>
                <w:bCs/>
                <w:sz w:val="24"/>
                <w:szCs w:val="24"/>
              </w:rPr>
              <w:t>Total Burden Cost (All Respondents)</w:t>
            </w:r>
          </w:p>
        </w:tc>
      </w:tr>
      <w:tr w14:paraId="16C69CC4" w14:textId="77777777" w:rsidTr="003229EF">
        <w:tblPrEx>
          <w:tblW w:w="9630" w:type="dxa"/>
          <w:tblLayout w:type="fixed"/>
          <w:tblCellMar>
            <w:left w:w="0" w:type="dxa"/>
            <w:right w:w="0" w:type="dxa"/>
          </w:tblCellMar>
          <w:tblLook w:val="01E0"/>
        </w:tblPrEx>
        <w:trPr>
          <w:trHeight w:hRule="exact" w:val="631"/>
        </w:trPr>
        <w:tc>
          <w:tcPr>
            <w:tcW w:w="2515" w:type="dxa"/>
            <w:tcBorders>
              <w:top w:val="single" w:sz="4" w:space="0" w:color="000000"/>
              <w:left w:val="single" w:sz="4" w:space="0" w:color="000000"/>
              <w:bottom w:val="single" w:sz="4" w:space="0" w:color="000000"/>
              <w:right w:val="single" w:sz="4" w:space="0" w:color="auto"/>
            </w:tcBorders>
            <w:vAlign w:val="center"/>
          </w:tcPr>
          <w:p w:rsidR="003F34B5" w:rsidRPr="0007219E" w:rsidP="00067D3F" w14:paraId="299E4BA4" w14:textId="0F926065">
            <w:pPr>
              <w:ind w:left="90" w:right="-20"/>
              <w:rPr>
                <w:sz w:val="24"/>
                <w:szCs w:val="24"/>
              </w:rPr>
            </w:pPr>
            <w:r>
              <w:rPr>
                <w:sz w:val="24"/>
                <w:szCs w:val="24"/>
              </w:rPr>
              <w:t>Business Operation Specialist</w:t>
            </w:r>
          </w:p>
        </w:tc>
        <w:tc>
          <w:tcPr>
            <w:tcW w:w="1350" w:type="dxa"/>
            <w:tcBorders>
              <w:top w:val="single" w:sz="4" w:space="0" w:color="auto"/>
              <w:left w:val="single" w:sz="4" w:space="0" w:color="auto"/>
              <w:bottom w:val="single" w:sz="4" w:space="0" w:color="auto"/>
              <w:right w:val="single" w:sz="4" w:space="0" w:color="auto"/>
            </w:tcBorders>
            <w:vAlign w:val="center"/>
          </w:tcPr>
          <w:p w:rsidR="003F34B5" w:rsidP="00136EF2" w14:paraId="38C8A167" w14:textId="6CF6175F">
            <w:pPr>
              <w:ind w:right="-20"/>
              <w:jc w:val="center"/>
              <w:rPr>
                <w:sz w:val="24"/>
                <w:szCs w:val="24"/>
              </w:rPr>
            </w:pPr>
            <w:r>
              <w:rPr>
                <w:sz w:val="24"/>
                <w:szCs w:val="24"/>
              </w:rPr>
              <w:t>171</w:t>
            </w:r>
          </w:p>
        </w:tc>
        <w:tc>
          <w:tcPr>
            <w:tcW w:w="1800" w:type="dxa"/>
            <w:tcBorders>
              <w:top w:val="single" w:sz="4" w:space="0" w:color="auto"/>
              <w:left w:val="single" w:sz="4" w:space="0" w:color="auto"/>
              <w:bottom w:val="single" w:sz="4" w:space="0" w:color="auto"/>
              <w:right w:val="single" w:sz="4" w:space="0" w:color="auto"/>
            </w:tcBorders>
            <w:vAlign w:val="center"/>
          </w:tcPr>
          <w:p w:rsidR="003F34B5" w:rsidRPr="0007219E" w:rsidP="00136EF2" w14:paraId="03E4C98F" w14:textId="26EE7D65">
            <w:pPr>
              <w:ind w:right="-20"/>
              <w:jc w:val="center"/>
              <w:rPr>
                <w:sz w:val="24"/>
                <w:szCs w:val="24"/>
              </w:rPr>
            </w:pPr>
            <w:r>
              <w:rPr>
                <w:sz w:val="24"/>
                <w:szCs w:val="24"/>
              </w:rPr>
              <w:t>$73.06</w:t>
            </w:r>
          </w:p>
        </w:tc>
        <w:tc>
          <w:tcPr>
            <w:tcW w:w="1080" w:type="dxa"/>
            <w:tcBorders>
              <w:top w:val="single" w:sz="4" w:space="0" w:color="auto"/>
              <w:left w:val="single" w:sz="4" w:space="0" w:color="auto"/>
              <w:bottom w:val="single" w:sz="4" w:space="0" w:color="auto"/>
              <w:right w:val="single" w:sz="4" w:space="0" w:color="auto"/>
            </w:tcBorders>
            <w:vAlign w:val="center"/>
          </w:tcPr>
          <w:p w:rsidR="003F34B5" w:rsidRPr="00D569A6" w:rsidP="00136EF2" w14:paraId="7B151DF4" w14:textId="1C8C6A25">
            <w:pPr>
              <w:ind w:right="-20"/>
              <w:jc w:val="center"/>
              <w:rPr>
                <w:sz w:val="24"/>
                <w:szCs w:val="24"/>
              </w:rPr>
            </w:pPr>
            <w:r>
              <w:rPr>
                <w:sz w:val="24"/>
                <w:szCs w:val="24"/>
              </w:rPr>
              <w:t>6</w:t>
            </w:r>
          </w:p>
        </w:tc>
        <w:tc>
          <w:tcPr>
            <w:tcW w:w="1440"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742B23E1" w14:textId="30B19996">
            <w:pPr>
              <w:ind w:right="-20"/>
              <w:jc w:val="center"/>
              <w:rPr>
                <w:sz w:val="24"/>
                <w:szCs w:val="24"/>
              </w:rPr>
            </w:pPr>
            <w:r>
              <w:rPr>
                <w:sz w:val="24"/>
                <w:szCs w:val="24"/>
              </w:rPr>
              <w:t>$438.36</w:t>
            </w:r>
          </w:p>
        </w:tc>
        <w:tc>
          <w:tcPr>
            <w:tcW w:w="1445"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360C73E3" w14:textId="38608A7B">
            <w:pPr>
              <w:ind w:right="-20"/>
              <w:jc w:val="center"/>
              <w:rPr>
                <w:sz w:val="24"/>
                <w:szCs w:val="24"/>
              </w:rPr>
            </w:pPr>
            <w:r>
              <w:rPr>
                <w:color w:val="000000"/>
                <w:sz w:val="24"/>
                <w:szCs w:val="24"/>
              </w:rPr>
              <w:t>$74,959.56</w:t>
            </w:r>
            <w:r w:rsidRPr="00D569A6">
              <w:rPr>
                <w:color w:val="000000"/>
                <w:sz w:val="24"/>
                <w:szCs w:val="24"/>
              </w:rPr>
              <w:t xml:space="preserve"> </w:t>
            </w:r>
          </w:p>
        </w:tc>
      </w:tr>
      <w:tr w14:paraId="3D43CD92" w14:textId="77777777" w:rsidTr="00067D3F">
        <w:tblPrEx>
          <w:tblW w:w="9630" w:type="dxa"/>
          <w:tblLayout w:type="fixed"/>
          <w:tblCellMar>
            <w:left w:w="0" w:type="dxa"/>
            <w:right w:w="0" w:type="dxa"/>
          </w:tblCellMar>
          <w:tblLook w:val="01E0"/>
        </w:tblPrEx>
        <w:trPr>
          <w:trHeight w:hRule="exact" w:val="504"/>
        </w:trPr>
        <w:tc>
          <w:tcPr>
            <w:tcW w:w="2515" w:type="dxa"/>
            <w:tcBorders>
              <w:top w:val="single" w:sz="4" w:space="0" w:color="000000"/>
              <w:left w:val="single" w:sz="4" w:space="0" w:color="000000"/>
              <w:bottom w:val="single" w:sz="4" w:space="0" w:color="000000"/>
              <w:right w:val="single" w:sz="4" w:space="0" w:color="auto"/>
            </w:tcBorders>
            <w:vAlign w:val="center"/>
          </w:tcPr>
          <w:p w:rsidR="003F34B5" w:rsidRPr="0007219E" w:rsidP="00136EF2" w14:paraId="5C78C1C0" w14:textId="74B8553E">
            <w:pPr>
              <w:ind w:left="85" w:right="-20"/>
              <w:rPr>
                <w:sz w:val="24"/>
                <w:szCs w:val="24"/>
              </w:rPr>
            </w:pPr>
            <w:r>
              <w:rPr>
                <w:sz w:val="24"/>
                <w:szCs w:val="24"/>
              </w:rPr>
              <w:t>Compliance Officer</w:t>
            </w:r>
          </w:p>
        </w:tc>
        <w:tc>
          <w:tcPr>
            <w:tcW w:w="1350" w:type="dxa"/>
            <w:tcBorders>
              <w:top w:val="single" w:sz="4" w:space="0" w:color="auto"/>
              <w:left w:val="single" w:sz="4" w:space="0" w:color="auto"/>
              <w:bottom w:val="single" w:sz="4" w:space="0" w:color="auto"/>
              <w:right w:val="single" w:sz="4" w:space="0" w:color="auto"/>
            </w:tcBorders>
            <w:vAlign w:val="center"/>
          </w:tcPr>
          <w:p w:rsidR="003F34B5" w:rsidP="00136EF2" w14:paraId="1FADC595" w14:textId="63C6CF1F">
            <w:pPr>
              <w:ind w:right="-20"/>
              <w:jc w:val="center"/>
              <w:rPr>
                <w:sz w:val="24"/>
                <w:szCs w:val="24"/>
              </w:rPr>
            </w:pPr>
            <w:r>
              <w:rPr>
                <w:sz w:val="24"/>
                <w:szCs w:val="24"/>
              </w:rPr>
              <w:t>171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F34B5" w:rsidRPr="0007219E" w:rsidP="00136EF2" w14:paraId="6881AF02" w14:textId="7C0CD684">
            <w:pPr>
              <w:ind w:right="-20"/>
              <w:jc w:val="center"/>
              <w:rPr>
                <w:sz w:val="24"/>
                <w:szCs w:val="24"/>
              </w:rPr>
            </w:pPr>
            <w:r>
              <w:rPr>
                <w:sz w:val="24"/>
                <w:szCs w:val="24"/>
              </w:rPr>
              <w:t>$68.94</w:t>
            </w:r>
          </w:p>
        </w:tc>
        <w:tc>
          <w:tcPr>
            <w:tcW w:w="1080" w:type="dxa"/>
            <w:tcBorders>
              <w:top w:val="single" w:sz="4" w:space="0" w:color="auto"/>
              <w:left w:val="single" w:sz="4" w:space="0" w:color="auto"/>
              <w:bottom w:val="single" w:sz="4" w:space="0" w:color="auto"/>
              <w:right w:val="single" w:sz="4" w:space="0" w:color="auto"/>
            </w:tcBorders>
            <w:vAlign w:val="center"/>
          </w:tcPr>
          <w:p w:rsidR="003F34B5" w:rsidRPr="00D569A6" w:rsidP="00136EF2" w14:paraId="5223BD50" w14:textId="42BCC676">
            <w:pPr>
              <w:ind w:right="-20"/>
              <w:jc w:val="center"/>
              <w:rPr>
                <w:sz w:val="24"/>
                <w:szCs w:val="24"/>
              </w:rPr>
            </w:pPr>
            <w:r>
              <w:rPr>
                <w:sz w:val="24"/>
                <w:szCs w:val="24"/>
              </w:rPr>
              <w:t>10</w:t>
            </w:r>
          </w:p>
        </w:tc>
        <w:tc>
          <w:tcPr>
            <w:tcW w:w="1440"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40227AE2" w14:textId="664C3D76">
            <w:pPr>
              <w:ind w:right="-20"/>
              <w:jc w:val="center"/>
              <w:rPr>
                <w:sz w:val="24"/>
                <w:szCs w:val="24"/>
              </w:rPr>
            </w:pPr>
            <w:r>
              <w:rPr>
                <w:color w:val="000000"/>
                <w:sz w:val="24"/>
                <w:szCs w:val="24"/>
              </w:rPr>
              <w:t>$689.40</w:t>
            </w:r>
            <w:r w:rsidRPr="00D569A6">
              <w:rPr>
                <w:color w:val="000000"/>
                <w:sz w:val="24"/>
                <w:szCs w:val="24"/>
              </w:rPr>
              <w:t xml:space="preserve"> </w:t>
            </w:r>
          </w:p>
        </w:tc>
        <w:tc>
          <w:tcPr>
            <w:tcW w:w="1445"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05D0FB42" w14:textId="101ECFEF">
            <w:pPr>
              <w:ind w:right="-20"/>
              <w:jc w:val="center"/>
              <w:rPr>
                <w:sz w:val="24"/>
                <w:szCs w:val="24"/>
              </w:rPr>
            </w:pPr>
            <w:r>
              <w:rPr>
                <w:color w:val="000000"/>
                <w:sz w:val="24"/>
                <w:szCs w:val="24"/>
              </w:rPr>
              <w:t>$117,887.40</w:t>
            </w:r>
            <w:r w:rsidRPr="00D569A6">
              <w:rPr>
                <w:color w:val="000000"/>
                <w:sz w:val="24"/>
                <w:szCs w:val="24"/>
              </w:rPr>
              <w:t xml:space="preserve"> </w:t>
            </w:r>
          </w:p>
        </w:tc>
      </w:tr>
      <w:tr w14:paraId="738E6C9D" w14:textId="77777777" w:rsidTr="003229EF">
        <w:tblPrEx>
          <w:tblW w:w="9630" w:type="dxa"/>
          <w:tblLayout w:type="fixed"/>
          <w:tblCellMar>
            <w:left w:w="0" w:type="dxa"/>
            <w:right w:w="0" w:type="dxa"/>
          </w:tblCellMar>
          <w:tblLook w:val="01E0"/>
        </w:tblPrEx>
        <w:trPr>
          <w:trHeight w:hRule="exact" w:val="658"/>
        </w:trPr>
        <w:tc>
          <w:tcPr>
            <w:tcW w:w="2515" w:type="dxa"/>
            <w:tcBorders>
              <w:top w:val="single" w:sz="4" w:space="0" w:color="000000"/>
              <w:left w:val="single" w:sz="4" w:space="0" w:color="000000"/>
              <w:bottom w:val="single" w:sz="4" w:space="0" w:color="000000"/>
              <w:right w:val="single" w:sz="4" w:space="0" w:color="auto"/>
            </w:tcBorders>
            <w:vAlign w:val="center"/>
          </w:tcPr>
          <w:p w:rsidR="003F34B5" w:rsidRPr="0007219E" w:rsidP="00136EF2" w14:paraId="6D323586" w14:textId="7420C58F">
            <w:pPr>
              <w:ind w:left="85" w:right="-20"/>
              <w:rPr>
                <w:sz w:val="24"/>
                <w:szCs w:val="24"/>
              </w:rPr>
            </w:pPr>
            <w:r>
              <w:rPr>
                <w:kern w:val="2"/>
                <w:sz w:val="24"/>
                <w:szCs w:val="24"/>
                <w14:ligatures w14:val="standardContextual"/>
              </w:rPr>
              <w:t>General and Operations Manager</w:t>
            </w:r>
          </w:p>
        </w:tc>
        <w:tc>
          <w:tcPr>
            <w:tcW w:w="1350" w:type="dxa"/>
            <w:tcBorders>
              <w:top w:val="single" w:sz="4" w:space="0" w:color="auto"/>
              <w:left w:val="single" w:sz="4" w:space="0" w:color="auto"/>
              <w:bottom w:val="single" w:sz="4" w:space="0" w:color="auto"/>
              <w:right w:val="single" w:sz="4" w:space="0" w:color="auto"/>
            </w:tcBorders>
            <w:vAlign w:val="center"/>
          </w:tcPr>
          <w:p w:rsidR="003F34B5" w:rsidP="00136EF2" w14:paraId="3A3C4D91" w14:textId="5FD06CC9">
            <w:pPr>
              <w:ind w:right="-20"/>
              <w:jc w:val="center"/>
              <w:rPr>
                <w:sz w:val="24"/>
                <w:szCs w:val="24"/>
              </w:rPr>
            </w:pPr>
            <w:r>
              <w:rPr>
                <w:sz w:val="24"/>
                <w:szCs w:val="24"/>
              </w:rPr>
              <w:t>171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F34B5" w:rsidRPr="0007219E" w:rsidP="00136EF2" w14:paraId="36787F21" w14:textId="24DE7B92">
            <w:pPr>
              <w:ind w:right="-20"/>
              <w:jc w:val="center"/>
              <w:rPr>
                <w:sz w:val="24"/>
                <w:szCs w:val="24"/>
              </w:rPr>
            </w:pPr>
            <w:r>
              <w:rPr>
                <w:sz w:val="24"/>
                <w:szCs w:val="24"/>
              </w:rPr>
              <w:t>$94.32</w:t>
            </w:r>
          </w:p>
        </w:tc>
        <w:tc>
          <w:tcPr>
            <w:tcW w:w="1080" w:type="dxa"/>
            <w:tcBorders>
              <w:top w:val="single" w:sz="4" w:space="0" w:color="auto"/>
              <w:left w:val="single" w:sz="4" w:space="0" w:color="auto"/>
              <w:bottom w:val="single" w:sz="4" w:space="0" w:color="auto"/>
              <w:right w:val="single" w:sz="4" w:space="0" w:color="auto"/>
            </w:tcBorders>
            <w:vAlign w:val="center"/>
          </w:tcPr>
          <w:p w:rsidR="003F34B5" w:rsidRPr="00D569A6" w:rsidP="00136EF2" w14:paraId="47B1EB75" w14:textId="5BAA6642">
            <w:pPr>
              <w:ind w:right="-20"/>
              <w:jc w:val="center"/>
              <w:rPr>
                <w:sz w:val="24"/>
                <w:szCs w:val="24"/>
              </w:rPr>
            </w:pPr>
            <w:r>
              <w:rPr>
                <w:sz w:val="24"/>
                <w:szCs w:val="24"/>
              </w:rPr>
              <w:t>4</w:t>
            </w:r>
          </w:p>
        </w:tc>
        <w:tc>
          <w:tcPr>
            <w:tcW w:w="1440"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0FA2B283" w14:textId="1667D971">
            <w:pPr>
              <w:ind w:right="-20"/>
              <w:jc w:val="center"/>
              <w:rPr>
                <w:sz w:val="24"/>
                <w:szCs w:val="24"/>
              </w:rPr>
            </w:pPr>
            <w:r>
              <w:rPr>
                <w:sz w:val="24"/>
                <w:szCs w:val="24"/>
              </w:rPr>
              <w:t>$377.28</w:t>
            </w:r>
          </w:p>
        </w:tc>
        <w:tc>
          <w:tcPr>
            <w:tcW w:w="1445" w:type="dxa"/>
            <w:tcBorders>
              <w:top w:val="single" w:sz="4" w:space="0" w:color="000000"/>
              <w:left w:val="single" w:sz="4" w:space="0" w:color="auto"/>
              <w:bottom w:val="single" w:sz="4" w:space="0" w:color="000000"/>
              <w:right w:val="single" w:sz="4" w:space="0" w:color="000000"/>
            </w:tcBorders>
            <w:vAlign w:val="center"/>
          </w:tcPr>
          <w:p w:rsidR="003F34B5" w:rsidRPr="00D569A6" w:rsidP="00136EF2" w14:paraId="6FA6F83F" w14:textId="24106AF4">
            <w:pPr>
              <w:ind w:right="-20"/>
              <w:jc w:val="center"/>
              <w:rPr>
                <w:sz w:val="24"/>
                <w:szCs w:val="24"/>
              </w:rPr>
            </w:pPr>
            <w:r>
              <w:rPr>
                <w:color w:val="000000"/>
                <w:sz w:val="24"/>
                <w:szCs w:val="24"/>
              </w:rPr>
              <w:t>$64,514.88</w:t>
            </w:r>
            <w:r w:rsidRPr="00D569A6">
              <w:rPr>
                <w:color w:val="000000"/>
                <w:sz w:val="24"/>
                <w:szCs w:val="24"/>
              </w:rPr>
              <w:t xml:space="preserve"> </w:t>
            </w:r>
          </w:p>
        </w:tc>
      </w:tr>
      <w:tr w14:paraId="3507C708" w14:textId="77777777" w:rsidTr="00067D3F">
        <w:tblPrEx>
          <w:tblW w:w="9630" w:type="dxa"/>
          <w:tblLayout w:type="fixed"/>
          <w:tblCellMar>
            <w:left w:w="0" w:type="dxa"/>
            <w:right w:w="0" w:type="dxa"/>
          </w:tblCellMar>
          <w:tblLook w:val="01E0"/>
        </w:tblPrEx>
        <w:trPr>
          <w:trHeight w:hRule="exact" w:val="504"/>
        </w:trPr>
        <w:tc>
          <w:tcPr>
            <w:tcW w:w="2515" w:type="dxa"/>
            <w:tcBorders>
              <w:top w:val="single" w:sz="4" w:space="0" w:color="000000"/>
              <w:left w:val="single" w:sz="4" w:space="0" w:color="000000"/>
              <w:bottom w:val="single" w:sz="4" w:space="0" w:color="000000"/>
              <w:right w:val="single" w:sz="4" w:space="0" w:color="auto"/>
            </w:tcBorders>
            <w:vAlign w:val="center"/>
          </w:tcPr>
          <w:p w:rsidR="003F34B5" w:rsidRPr="00842960" w:rsidP="00136EF2" w14:paraId="5442149C" w14:textId="77777777">
            <w:pPr>
              <w:ind w:left="85" w:right="-20"/>
              <w:rPr>
                <w:b/>
                <w:bCs/>
                <w:sz w:val="24"/>
                <w:szCs w:val="24"/>
              </w:rPr>
            </w:pPr>
            <w:r w:rsidRPr="00842960">
              <w:rPr>
                <w:b/>
                <w:bCs/>
                <w:sz w:val="24"/>
                <w:szCs w:val="24"/>
              </w:rPr>
              <w:t>Total – Annu</w:t>
            </w:r>
            <w:r w:rsidRPr="00842960">
              <w:rPr>
                <w:b/>
                <w:bCs/>
                <w:spacing w:val="-1"/>
                <w:sz w:val="24"/>
                <w:szCs w:val="24"/>
              </w:rPr>
              <w:t>a</w:t>
            </w:r>
            <w:r w:rsidRPr="00842960">
              <w:rPr>
                <w:b/>
                <w:bCs/>
                <w:sz w:val="24"/>
                <w:szCs w:val="24"/>
              </w:rPr>
              <w:t>l</w:t>
            </w:r>
          </w:p>
        </w:tc>
        <w:tc>
          <w:tcPr>
            <w:tcW w:w="135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061D9A8A" w14:textId="77777777">
            <w:pPr>
              <w:jc w:val="center"/>
              <w:rPr>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38BE48E5" w14:textId="77777777">
            <w:pPr>
              <w:jc w:val="center"/>
              <w:rPr>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76FF4BD6" w14:textId="774BE690">
            <w:pPr>
              <w:jc w:val="center"/>
              <w:rPr>
                <w:b/>
                <w:bCs/>
                <w:sz w:val="24"/>
                <w:szCs w:val="24"/>
              </w:rPr>
            </w:pPr>
            <w:r>
              <w:rPr>
                <w:b/>
                <w:bCs/>
                <w:sz w:val="24"/>
                <w:szCs w:val="24"/>
              </w:rPr>
              <w:t>3,420</w:t>
            </w:r>
          </w:p>
        </w:tc>
        <w:tc>
          <w:tcPr>
            <w:tcW w:w="1440" w:type="dxa"/>
            <w:tcBorders>
              <w:top w:val="single" w:sz="4" w:space="0" w:color="000000"/>
              <w:left w:val="single" w:sz="4" w:space="0" w:color="auto"/>
              <w:bottom w:val="single" w:sz="4" w:space="0" w:color="000000"/>
              <w:right w:val="single" w:sz="4" w:space="0" w:color="000000"/>
            </w:tcBorders>
            <w:vAlign w:val="center"/>
          </w:tcPr>
          <w:p w:rsidR="003F34B5" w:rsidRPr="00842960" w:rsidP="00136EF2" w14:paraId="3B0D37FE" w14:textId="738ADEC6">
            <w:pPr>
              <w:jc w:val="center"/>
              <w:rPr>
                <w:b/>
                <w:bCs/>
                <w:sz w:val="24"/>
                <w:szCs w:val="24"/>
              </w:rPr>
            </w:pPr>
            <w:r w:rsidRPr="00842960">
              <w:rPr>
                <w:b/>
                <w:bCs/>
                <w:color w:val="000000"/>
                <w:sz w:val="24"/>
                <w:szCs w:val="24"/>
              </w:rPr>
              <w:t xml:space="preserve"> </w:t>
            </w:r>
          </w:p>
        </w:tc>
        <w:tc>
          <w:tcPr>
            <w:tcW w:w="1445" w:type="dxa"/>
            <w:tcBorders>
              <w:top w:val="single" w:sz="4" w:space="0" w:color="000000"/>
              <w:left w:val="single" w:sz="4" w:space="0" w:color="auto"/>
              <w:bottom w:val="single" w:sz="4" w:space="0" w:color="000000"/>
              <w:right w:val="single" w:sz="4" w:space="0" w:color="000000"/>
            </w:tcBorders>
            <w:vAlign w:val="center"/>
          </w:tcPr>
          <w:p w:rsidR="003F34B5" w:rsidRPr="00842960" w:rsidP="00136EF2" w14:paraId="0529F0CE" w14:textId="5AAAE054">
            <w:pPr>
              <w:jc w:val="center"/>
              <w:rPr>
                <w:b/>
                <w:bCs/>
                <w:sz w:val="24"/>
                <w:szCs w:val="24"/>
              </w:rPr>
            </w:pPr>
            <w:r>
              <w:rPr>
                <w:b/>
                <w:bCs/>
                <w:color w:val="000000"/>
                <w:sz w:val="24"/>
                <w:szCs w:val="24"/>
              </w:rPr>
              <w:t>$257,361.84</w:t>
            </w:r>
            <w:r w:rsidRPr="00842960">
              <w:rPr>
                <w:b/>
                <w:bCs/>
                <w:color w:val="000000"/>
                <w:sz w:val="24"/>
                <w:szCs w:val="24"/>
              </w:rPr>
              <w:t xml:space="preserve"> </w:t>
            </w:r>
          </w:p>
        </w:tc>
      </w:tr>
      <w:tr w14:paraId="09655C21" w14:textId="77777777" w:rsidTr="00067D3F">
        <w:tblPrEx>
          <w:tblW w:w="9630" w:type="dxa"/>
          <w:tblLayout w:type="fixed"/>
          <w:tblCellMar>
            <w:left w:w="0" w:type="dxa"/>
            <w:right w:w="0" w:type="dxa"/>
          </w:tblCellMar>
          <w:tblLook w:val="01E0"/>
        </w:tblPrEx>
        <w:trPr>
          <w:trHeight w:hRule="exact" w:val="504"/>
        </w:trPr>
        <w:tc>
          <w:tcPr>
            <w:tcW w:w="2515" w:type="dxa"/>
            <w:tcBorders>
              <w:top w:val="single" w:sz="4" w:space="0" w:color="000000"/>
              <w:left w:val="single" w:sz="4" w:space="0" w:color="000000"/>
              <w:bottom w:val="single" w:sz="4" w:space="0" w:color="000000"/>
              <w:right w:val="single" w:sz="4" w:space="0" w:color="auto"/>
            </w:tcBorders>
            <w:vAlign w:val="center"/>
          </w:tcPr>
          <w:p w:rsidR="003F34B5" w:rsidRPr="00842960" w:rsidP="00136EF2" w14:paraId="066B6097" w14:textId="77777777">
            <w:pPr>
              <w:ind w:left="85" w:right="-20"/>
              <w:rPr>
                <w:b/>
                <w:bCs/>
                <w:sz w:val="24"/>
                <w:szCs w:val="24"/>
              </w:rPr>
            </w:pPr>
            <w:r w:rsidRPr="00842960">
              <w:rPr>
                <w:b/>
                <w:bCs/>
                <w:sz w:val="24"/>
                <w:szCs w:val="24"/>
              </w:rPr>
              <w:t>Total – Three Years</w:t>
            </w:r>
          </w:p>
        </w:tc>
        <w:tc>
          <w:tcPr>
            <w:tcW w:w="135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60653CCC" w14:textId="77777777">
            <w:pPr>
              <w:jc w:val="center"/>
              <w:rPr>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26DA43F0" w14:textId="77777777">
            <w:pPr>
              <w:jc w:val="center"/>
              <w:rPr>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F34B5" w:rsidRPr="00842960" w:rsidP="00136EF2" w14:paraId="1E6D2242" w14:textId="296453E7">
            <w:pPr>
              <w:jc w:val="center"/>
              <w:rPr>
                <w:b/>
                <w:bCs/>
                <w:sz w:val="24"/>
                <w:szCs w:val="24"/>
              </w:rPr>
            </w:pPr>
            <w:r>
              <w:rPr>
                <w:b/>
                <w:bCs/>
                <w:sz w:val="24"/>
                <w:szCs w:val="24"/>
              </w:rPr>
              <w:t>10,260</w:t>
            </w:r>
          </w:p>
        </w:tc>
        <w:tc>
          <w:tcPr>
            <w:tcW w:w="1440" w:type="dxa"/>
            <w:tcBorders>
              <w:top w:val="single" w:sz="4" w:space="0" w:color="000000"/>
              <w:left w:val="single" w:sz="4" w:space="0" w:color="auto"/>
              <w:bottom w:val="single" w:sz="4" w:space="0" w:color="000000"/>
              <w:right w:val="single" w:sz="4" w:space="0" w:color="000000"/>
            </w:tcBorders>
            <w:vAlign w:val="center"/>
          </w:tcPr>
          <w:p w:rsidR="003F34B5" w:rsidRPr="00842960" w:rsidP="00136EF2" w14:paraId="5BC8102C" w14:textId="72B6E384">
            <w:pPr>
              <w:jc w:val="center"/>
              <w:rPr>
                <w:b/>
                <w:bCs/>
                <w:sz w:val="24"/>
                <w:szCs w:val="24"/>
              </w:rPr>
            </w:pPr>
            <w:r w:rsidRPr="00842960">
              <w:rPr>
                <w:b/>
                <w:bCs/>
                <w:color w:val="000000"/>
                <w:sz w:val="24"/>
                <w:szCs w:val="24"/>
              </w:rPr>
              <w:t xml:space="preserve"> </w:t>
            </w:r>
          </w:p>
        </w:tc>
        <w:tc>
          <w:tcPr>
            <w:tcW w:w="1445" w:type="dxa"/>
            <w:tcBorders>
              <w:top w:val="single" w:sz="4" w:space="0" w:color="000000"/>
              <w:left w:val="single" w:sz="4" w:space="0" w:color="auto"/>
              <w:bottom w:val="single" w:sz="4" w:space="0" w:color="000000"/>
              <w:right w:val="single" w:sz="4" w:space="0" w:color="000000"/>
            </w:tcBorders>
            <w:vAlign w:val="center"/>
          </w:tcPr>
          <w:p w:rsidR="003F34B5" w:rsidRPr="00842960" w:rsidP="00136EF2" w14:paraId="25214BCA" w14:textId="67393F9D">
            <w:pPr>
              <w:jc w:val="center"/>
              <w:rPr>
                <w:b/>
                <w:bCs/>
                <w:sz w:val="24"/>
                <w:szCs w:val="24"/>
              </w:rPr>
            </w:pPr>
            <w:r>
              <w:rPr>
                <w:b/>
                <w:bCs/>
                <w:color w:val="000000"/>
                <w:sz w:val="24"/>
                <w:szCs w:val="24"/>
              </w:rPr>
              <w:t>$772,085.52</w:t>
            </w:r>
            <w:r w:rsidRPr="00842960">
              <w:rPr>
                <w:b/>
                <w:bCs/>
                <w:color w:val="000000"/>
                <w:sz w:val="24"/>
                <w:szCs w:val="24"/>
              </w:rPr>
              <w:t xml:space="preserve"> </w:t>
            </w:r>
          </w:p>
        </w:tc>
      </w:tr>
      <w:bookmarkEnd w:id="13"/>
    </w:tbl>
    <w:p w:rsidR="00DF381F" w:rsidP="00296762" w14:paraId="249F3C5E" w14:textId="77777777">
      <w:pPr>
        <w:pStyle w:val="BodyText"/>
        <w:rPr>
          <w:b/>
          <w:sz w:val="27"/>
        </w:rPr>
      </w:pPr>
    </w:p>
    <w:p w:rsidR="00E86EC4" w:rsidP="00296762" w14:paraId="2AFEA4CB" w14:textId="7ADC608F">
      <w:pPr>
        <w:pStyle w:val="Heading1"/>
        <w:ind w:left="0"/>
      </w:pPr>
      <w:bookmarkStart w:id="14" w:name="Table_2._Burden_for_QHP_Issuers"/>
      <w:bookmarkStart w:id="15" w:name="Burden_for_Stand-Alone_Dental_Issuers"/>
      <w:bookmarkEnd w:id="14"/>
      <w:bookmarkEnd w:id="15"/>
      <w:r>
        <w:t>Burden</w:t>
      </w:r>
      <w:r>
        <w:rPr>
          <w:spacing w:val="-3"/>
        </w:rPr>
        <w:t xml:space="preserve"> </w:t>
      </w:r>
      <w:r>
        <w:t>for</w:t>
      </w:r>
      <w:r>
        <w:rPr>
          <w:spacing w:val="-3"/>
        </w:rPr>
        <w:t xml:space="preserve"> </w:t>
      </w:r>
      <w:r>
        <w:t>Stand-Alone</w:t>
      </w:r>
      <w:r>
        <w:rPr>
          <w:spacing w:val="-4"/>
        </w:rPr>
        <w:t xml:space="preserve"> </w:t>
      </w:r>
      <w:r>
        <w:t>Dental</w:t>
      </w:r>
      <w:r>
        <w:rPr>
          <w:spacing w:val="-2"/>
        </w:rPr>
        <w:t xml:space="preserve"> Issuers</w:t>
      </w:r>
      <w:r>
        <w:rPr>
          <w:b w:val="0"/>
          <w:spacing w:val="-2"/>
        </w:rPr>
        <w:t xml:space="preserve"> </w:t>
      </w:r>
      <w:r>
        <w:rPr>
          <w:spacing w:val="-2"/>
        </w:rPr>
        <w:t xml:space="preserve">for </w:t>
      </w:r>
      <w:r w:rsidR="000C0AE3">
        <w:t xml:space="preserve">the ECP/NA </w:t>
      </w:r>
      <w:r w:rsidR="005F7A09">
        <w:t xml:space="preserve">Template </w:t>
      </w:r>
      <w:r w:rsidR="00675D91">
        <w:t xml:space="preserve">Data </w:t>
      </w:r>
      <w:r w:rsidR="000C0AE3">
        <w:t>Collection</w:t>
      </w:r>
    </w:p>
    <w:p w:rsidR="00FF5BD6" w:rsidRPr="00F12690" w:rsidP="00296762" w14:paraId="55B81A12" w14:textId="2FE16893">
      <w:pPr>
        <w:rPr>
          <w:bCs/>
          <w:sz w:val="24"/>
          <w:szCs w:val="24"/>
        </w:rPr>
      </w:pPr>
      <w:r w:rsidRPr="00F12690">
        <w:rPr>
          <w:spacing w:val="-1"/>
          <w:sz w:val="24"/>
          <w:szCs w:val="24"/>
        </w:rPr>
        <w:t xml:space="preserve">We estimate that it will take approximately </w:t>
      </w:r>
      <w:r w:rsidRPr="00F12690" w:rsidR="00AA329D">
        <w:rPr>
          <w:spacing w:val="-1"/>
          <w:sz w:val="24"/>
          <w:szCs w:val="24"/>
        </w:rPr>
        <w:t>1</w:t>
      </w:r>
      <w:r w:rsidRPr="00F12690">
        <w:rPr>
          <w:spacing w:val="-1"/>
          <w:sz w:val="24"/>
          <w:szCs w:val="24"/>
        </w:rPr>
        <w:t xml:space="preserve"> hour for a Business Operations Specialist to identify and prepare the provider network data in the issuer’s system to be entered by the Compliance Officer into the ECP/NA template, including identifying and formatting the National Provider Identifier (NPI), provider name, provider address, provider specialty type(s), telehealth availability, network ID(s), and other required fields for each respective provider participating in the issuer’s network. We expect that the Compliance Officer w</w:t>
      </w:r>
      <w:r w:rsidRPr="00F12690" w:rsidR="008825DB">
        <w:rPr>
          <w:spacing w:val="-1"/>
          <w:sz w:val="24"/>
          <w:szCs w:val="24"/>
        </w:rPr>
        <w:t>ill</w:t>
      </w:r>
      <w:r w:rsidRPr="00F12690">
        <w:rPr>
          <w:spacing w:val="-1"/>
          <w:sz w:val="24"/>
          <w:szCs w:val="24"/>
        </w:rPr>
        <w:t xml:space="preserve"> spend approximately </w:t>
      </w:r>
      <w:r w:rsidRPr="00F12690" w:rsidR="00AA329D">
        <w:rPr>
          <w:spacing w:val="-1"/>
          <w:sz w:val="24"/>
          <w:szCs w:val="24"/>
        </w:rPr>
        <w:t>2</w:t>
      </w:r>
      <w:r w:rsidRPr="00F12690">
        <w:rPr>
          <w:spacing w:val="-1"/>
          <w:sz w:val="24"/>
          <w:szCs w:val="24"/>
        </w:rPr>
        <w:t xml:space="preserve"> hours entering these provider data into the ECP/NA template, and the General and Operations Manager w</w:t>
      </w:r>
      <w:r w:rsidRPr="00F12690" w:rsidR="008825DB">
        <w:rPr>
          <w:spacing w:val="-1"/>
          <w:sz w:val="24"/>
          <w:szCs w:val="24"/>
        </w:rPr>
        <w:t>ill</w:t>
      </w:r>
      <w:r w:rsidRPr="00F12690">
        <w:rPr>
          <w:spacing w:val="-1"/>
          <w:sz w:val="24"/>
          <w:szCs w:val="24"/>
        </w:rPr>
        <w:t xml:space="preserve"> spend approximately </w:t>
      </w:r>
      <w:r w:rsidRPr="00F12690" w:rsidR="00AA329D">
        <w:rPr>
          <w:spacing w:val="-1"/>
          <w:sz w:val="24"/>
          <w:szCs w:val="24"/>
        </w:rPr>
        <w:t>1</w:t>
      </w:r>
      <w:r w:rsidRPr="00F12690">
        <w:rPr>
          <w:spacing w:val="-1"/>
          <w:sz w:val="24"/>
          <w:szCs w:val="24"/>
        </w:rPr>
        <w:t xml:space="preserve"> hour conducting a data quality review and submitting the ECP/NA template to CMS.</w:t>
      </w:r>
    </w:p>
    <w:p w:rsidR="00FF5BD6" w:rsidP="00296762" w14:paraId="3707A516" w14:textId="77777777">
      <w:pPr>
        <w:rPr>
          <w:bCs/>
          <w:sz w:val="24"/>
        </w:rPr>
      </w:pPr>
    </w:p>
    <w:p w:rsidR="003368AB" w:rsidP="00F12690" w14:paraId="727717F3" w14:textId="3509911B">
      <w:pPr>
        <w:rPr>
          <w:bCs/>
          <w:sz w:val="24"/>
        </w:rPr>
      </w:pPr>
      <w:r w:rsidRPr="00227480">
        <w:rPr>
          <w:bCs/>
          <w:sz w:val="24"/>
        </w:rPr>
        <w:t>The burden estimate includes collecting and reviewing network adequacy</w:t>
      </w:r>
      <w:r w:rsidR="00AA329D">
        <w:rPr>
          <w:bCs/>
          <w:sz w:val="24"/>
        </w:rPr>
        <w:t xml:space="preserve"> and ECP</w:t>
      </w:r>
      <w:r w:rsidRPr="00227480">
        <w:rPr>
          <w:bCs/>
          <w:sz w:val="24"/>
        </w:rPr>
        <w:t xml:space="preserve"> data starting in </w:t>
      </w:r>
      <w:r w:rsidRPr="00275C84">
        <w:rPr>
          <w:bCs/>
          <w:sz w:val="24"/>
        </w:rPr>
        <w:t>PY202</w:t>
      </w:r>
      <w:r w:rsidR="00DB0C9C">
        <w:rPr>
          <w:bCs/>
          <w:sz w:val="24"/>
        </w:rPr>
        <w:t>5</w:t>
      </w:r>
      <w:r w:rsidRPr="00227480">
        <w:rPr>
          <w:bCs/>
          <w:sz w:val="24"/>
        </w:rPr>
        <w:t xml:space="preserve">. The number of issuers is based on the number of applications for </w:t>
      </w:r>
      <w:r w:rsidR="00DB0C9C">
        <w:rPr>
          <w:bCs/>
          <w:sz w:val="24"/>
        </w:rPr>
        <w:t>PY2024</w:t>
      </w:r>
      <w:r w:rsidRPr="00227480">
        <w:rPr>
          <w:bCs/>
          <w:sz w:val="24"/>
        </w:rPr>
        <w:t>.</w:t>
      </w:r>
      <w:r w:rsidRPr="00F12690" w:rsidR="00F12690">
        <w:rPr>
          <w:bCs/>
          <w:sz w:val="24"/>
        </w:rPr>
        <w:t xml:space="preserve"> </w:t>
      </w:r>
      <w:r w:rsidRPr="00227480">
        <w:rPr>
          <w:bCs/>
          <w:sz w:val="24"/>
        </w:rPr>
        <w:t xml:space="preserve">This estimate is based on </w:t>
      </w:r>
      <w:r>
        <w:rPr>
          <w:bCs/>
          <w:sz w:val="24"/>
        </w:rPr>
        <w:t>194</w:t>
      </w:r>
      <w:r w:rsidRPr="00227480">
        <w:rPr>
          <w:bCs/>
          <w:sz w:val="24"/>
        </w:rPr>
        <w:t xml:space="preserve"> issuers each offering 3 plans. The burden on stand-alone dental issuers for </w:t>
      </w:r>
      <w:r>
        <w:rPr>
          <w:bCs/>
          <w:sz w:val="24"/>
        </w:rPr>
        <w:t>the ECP/NA</w:t>
      </w:r>
      <w:r w:rsidRPr="00227480">
        <w:rPr>
          <w:bCs/>
          <w:sz w:val="24"/>
        </w:rPr>
        <w:t xml:space="preserve"> </w:t>
      </w:r>
      <w:r>
        <w:rPr>
          <w:bCs/>
          <w:sz w:val="24"/>
        </w:rPr>
        <w:t xml:space="preserve">template </w:t>
      </w:r>
      <w:r w:rsidRPr="00227480">
        <w:rPr>
          <w:bCs/>
          <w:sz w:val="24"/>
        </w:rPr>
        <w:t xml:space="preserve">data collection each year is estimated to be </w:t>
      </w:r>
      <w:r w:rsidR="00BC1C13">
        <w:rPr>
          <w:bCs/>
          <w:sz w:val="24"/>
        </w:rPr>
        <w:t xml:space="preserve">776 </w:t>
      </w:r>
      <w:r w:rsidRPr="00227480">
        <w:rPr>
          <w:bCs/>
          <w:sz w:val="24"/>
        </w:rPr>
        <w:t>total burden hours</w:t>
      </w:r>
      <w:r w:rsidRPr="003368AB">
        <w:rPr>
          <w:sz w:val="24"/>
          <w:szCs w:val="24"/>
        </w:rPr>
        <w:t xml:space="preserve"> with a cost of $</w:t>
      </w:r>
      <w:r w:rsidR="00BC1C13">
        <w:rPr>
          <w:sz w:val="24"/>
          <w:szCs w:val="24"/>
        </w:rPr>
        <w:t>59,220.44</w:t>
      </w:r>
      <w:r w:rsidRPr="003368AB">
        <w:rPr>
          <w:sz w:val="24"/>
          <w:szCs w:val="24"/>
        </w:rPr>
        <w:t>.</w:t>
      </w:r>
    </w:p>
    <w:p w:rsidR="00956117" w:rsidRPr="00227480" w:rsidP="00296762" w14:paraId="2ED56463" w14:textId="77777777">
      <w:pPr>
        <w:rPr>
          <w:bCs/>
          <w:sz w:val="24"/>
        </w:rPr>
      </w:pPr>
    </w:p>
    <w:p w:rsidR="000B1C51" w:rsidP="00296762" w14:paraId="7665C3A8" w14:textId="32D4D0C5">
      <w:pPr>
        <w:rPr>
          <w:bCs/>
          <w:sz w:val="24"/>
        </w:rPr>
      </w:pPr>
      <w:r w:rsidRPr="00227480">
        <w:rPr>
          <w:bCs/>
          <w:sz w:val="24"/>
        </w:rPr>
        <w:t xml:space="preserve">Pursuant to 45 CFR 156.235, an issuer must include a sufficient number and geographic distribution of ECPs to ensure access for low-income, medically underserved individuals. </w:t>
      </w:r>
      <w:r w:rsidRPr="00227480">
        <w:rPr>
          <w:bCs/>
          <w:sz w:val="24"/>
        </w:rPr>
        <w:t xml:space="preserve">Pursuant to 45 CFR 156.230, an issuer must collect provider information necessary to demonstrate an issuer’s satisfaction of time and distance </w:t>
      </w:r>
      <w:r w:rsidRPr="00C76432" w:rsidR="00C76432">
        <w:rPr>
          <w:bCs/>
          <w:sz w:val="24"/>
        </w:rPr>
        <w:t>standards and</w:t>
      </w:r>
      <w:r w:rsidRPr="00227480">
        <w:rPr>
          <w:bCs/>
          <w:sz w:val="24"/>
        </w:rPr>
        <w:t xml:space="preserve"> report the offering of telehealth services for each provider.</w:t>
      </w:r>
      <w:r w:rsidR="00675D91">
        <w:rPr>
          <w:bCs/>
          <w:sz w:val="24"/>
        </w:rPr>
        <w:t xml:space="preserve"> </w:t>
      </w:r>
      <w:r w:rsidR="00675D91">
        <w:rPr>
          <w:spacing w:val="-2"/>
        </w:rPr>
        <w:t>Table 3 displays the burden for stand-alone dental issuers for the ECP/NA template.</w:t>
      </w:r>
    </w:p>
    <w:p w:rsidR="00956117" w:rsidRPr="00227480" w:rsidP="00296762" w14:paraId="506D2A7F" w14:textId="77777777">
      <w:pPr>
        <w:rPr>
          <w:bCs/>
          <w:sz w:val="24"/>
        </w:rPr>
      </w:pPr>
    </w:p>
    <w:p w:rsidR="00270905" w:rsidP="00296762" w14:paraId="63CE9157" w14:textId="44FD6956">
      <w:pPr>
        <w:pStyle w:val="Heading1"/>
        <w:ind w:left="0"/>
      </w:pPr>
      <w:bookmarkStart w:id="16" w:name="Table_3._Burden_for_Stand-Alone_Dental_I"/>
      <w:bookmarkEnd w:id="16"/>
      <w:r>
        <w:t>Table</w:t>
      </w:r>
      <w:r>
        <w:rPr>
          <w:spacing w:val="-5"/>
        </w:rPr>
        <w:t xml:space="preserve"> </w:t>
      </w:r>
      <w:r>
        <w:t>3.</w:t>
      </w:r>
      <w:r>
        <w:rPr>
          <w:spacing w:val="-2"/>
        </w:rPr>
        <w:t xml:space="preserve"> </w:t>
      </w:r>
      <w:r>
        <w:t>Burden</w:t>
      </w:r>
      <w:r>
        <w:rPr>
          <w:spacing w:val="-3"/>
        </w:rPr>
        <w:t xml:space="preserve"> </w:t>
      </w:r>
      <w:r>
        <w:t>for</w:t>
      </w:r>
      <w:r>
        <w:rPr>
          <w:spacing w:val="-2"/>
        </w:rPr>
        <w:t xml:space="preserve"> </w:t>
      </w:r>
      <w:r>
        <w:t>Stand-Alone</w:t>
      </w:r>
      <w:r>
        <w:rPr>
          <w:spacing w:val="-3"/>
        </w:rPr>
        <w:t xml:space="preserve"> </w:t>
      </w:r>
      <w:r>
        <w:t>Dental</w:t>
      </w:r>
      <w:r>
        <w:rPr>
          <w:spacing w:val="-1"/>
        </w:rPr>
        <w:t xml:space="preserve"> </w:t>
      </w:r>
      <w:r>
        <w:rPr>
          <w:spacing w:val="-2"/>
        </w:rPr>
        <w:t>Issuers</w:t>
      </w:r>
      <w:r w:rsidR="00956117">
        <w:rPr>
          <w:spacing w:val="-2"/>
        </w:rPr>
        <w:t xml:space="preserve"> for </w:t>
      </w:r>
      <w:r w:rsidR="000C0AE3">
        <w:t xml:space="preserve">the ECP/NA </w:t>
      </w:r>
      <w:r w:rsidR="000C14FC">
        <w:t xml:space="preserve">Template </w:t>
      </w:r>
      <w:r w:rsidR="00675D91">
        <w:t xml:space="preserve">Data </w:t>
      </w:r>
      <w:r w:rsidR="000C0AE3">
        <w:t>Collection</w:t>
      </w:r>
    </w:p>
    <w:p w:rsidR="00F12690" w:rsidP="00296762" w14:paraId="3615E840" w14:textId="77777777">
      <w:pPr>
        <w:pStyle w:val="Heading1"/>
        <w:ind w:left="0"/>
      </w:pPr>
    </w:p>
    <w:tbl>
      <w:tblPr>
        <w:tblW w:w="9535" w:type="dxa"/>
        <w:tblLayout w:type="fixed"/>
        <w:tblCellMar>
          <w:left w:w="0" w:type="dxa"/>
          <w:right w:w="0" w:type="dxa"/>
        </w:tblCellMar>
        <w:tblLook w:val="01E0"/>
      </w:tblPr>
      <w:tblGrid>
        <w:gridCol w:w="2245"/>
        <w:gridCol w:w="1440"/>
        <w:gridCol w:w="1710"/>
        <w:gridCol w:w="1075"/>
        <w:gridCol w:w="1535"/>
        <w:gridCol w:w="1530"/>
      </w:tblGrid>
      <w:tr w14:paraId="3F2A7886" w14:textId="77777777" w:rsidTr="00F12690">
        <w:tblPrEx>
          <w:tblW w:w="9535" w:type="dxa"/>
          <w:tblLayout w:type="fixed"/>
          <w:tblCellMar>
            <w:left w:w="0" w:type="dxa"/>
            <w:right w:w="0" w:type="dxa"/>
          </w:tblCellMar>
          <w:tblLook w:val="01E0"/>
        </w:tblPrEx>
        <w:trPr>
          <w:trHeight w:hRule="exact" w:val="1144"/>
        </w:trPr>
        <w:tc>
          <w:tcPr>
            <w:tcW w:w="2245" w:type="dxa"/>
            <w:tcBorders>
              <w:top w:val="single" w:sz="4" w:space="0" w:color="000000"/>
              <w:left w:val="single" w:sz="4" w:space="0" w:color="000000"/>
              <w:bottom w:val="single" w:sz="4" w:space="0" w:color="000000"/>
              <w:right w:val="single" w:sz="4" w:space="0" w:color="000000"/>
            </w:tcBorders>
            <w:vAlign w:val="center"/>
          </w:tcPr>
          <w:p w:rsidR="00B07E18" w:rsidRPr="00FA2E92" w:rsidP="00F076C9" w14:paraId="1F1D00DA" w14:textId="77777777">
            <w:pPr>
              <w:keepNext/>
              <w:ind w:left="85" w:right="-20"/>
              <w:rPr>
                <w:b/>
                <w:bCs/>
                <w:sz w:val="24"/>
                <w:szCs w:val="24"/>
              </w:rPr>
            </w:pPr>
            <w:r w:rsidRPr="00FA2E92">
              <w:rPr>
                <w:b/>
                <w:bCs/>
                <w:sz w:val="24"/>
                <w:szCs w:val="24"/>
              </w:rPr>
              <w:t>Labor Cate</w:t>
            </w:r>
            <w:r w:rsidRPr="00FA2E92">
              <w:rPr>
                <w:b/>
                <w:bCs/>
                <w:spacing w:val="-1"/>
                <w:sz w:val="24"/>
                <w:szCs w:val="24"/>
              </w:rPr>
              <w:t>g</w:t>
            </w:r>
            <w:r w:rsidRPr="00FA2E92">
              <w:rPr>
                <w:b/>
                <w:bCs/>
                <w:sz w:val="24"/>
                <w:szCs w:val="24"/>
              </w:rPr>
              <w:t>ory</w:t>
            </w:r>
          </w:p>
        </w:tc>
        <w:tc>
          <w:tcPr>
            <w:tcW w:w="1440" w:type="dxa"/>
            <w:tcBorders>
              <w:top w:val="single" w:sz="4" w:space="0" w:color="000000"/>
              <w:left w:val="single" w:sz="4" w:space="0" w:color="000000"/>
              <w:bottom w:val="single" w:sz="4" w:space="0" w:color="auto"/>
              <w:right w:val="single" w:sz="4" w:space="0" w:color="000000"/>
            </w:tcBorders>
            <w:vAlign w:val="center"/>
          </w:tcPr>
          <w:p w:rsidR="00B07E18" w:rsidRPr="00FA2E92" w:rsidP="00F076C9" w14:paraId="36B66737" w14:textId="77777777">
            <w:pPr>
              <w:keepNext/>
              <w:jc w:val="center"/>
              <w:rPr>
                <w:b/>
                <w:bCs/>
                <w:sz w:val="24"/>
                <w:szCs w:val="24"/>
              </w:rPr>
            </w:pPr>
            <w:r w:rsidRPr="00FA2E92">
              <w:rPr>
                <w:b/>
                <w:bCs/>
                <w:sz w:val="24"/>
                <w:szCs w:val="24"/>
              </w:rPr>
              <w:t>Number of Respondents</w:t>
            </w:r>
          </w:p>
        </w:tc>
        <w:tc>
          <w:tcPr>
            <w:tcW w:w="1710" w:type="dxa"/>
            <w:tcBorders>
              <w:top w:val="single" w:sz="4" w:space="0" w:color="000000"/>
              <w:left w:val="single" w:sz="4" w:space="0" w:color="000000"/>
              <w:bottom w:val="single" w:sz="4" w:space="0" w:color="auto"/>
              <w:right w:val="single" w:sz="4" w:space="0" w:color="000000"/>
            </w:tcBorders>
            <w:vAlign w:val="center"/>
          </w:tcPr>
          <w:p w:rsidR="00B07E18" w:rsidRPr="00FA2E92" w:rsidP="00F076C9" w14:paraId="0EA26F6B" w14:textId="77777777">
            <w:pPr>
              <w:keepNext/>
              <w:jc w:val="center"/>
              <w:rPr>
                <w:b/>
                <w:bCs/>
                <w:sz w:val="24"/>
                <w:szCs w:val="24"/>
              </w:rPr>
            </w:pPr>
            <w:r w:rsidRPr="00FA2E92">
              <w:rPr>
                <w:b/>
                <w:bCs/>
                <w:sz w:val="24"/>
                <w:szCs w:val="24"/>
              </w:rPr>
              <w:t>Hourly Labor Costs (Hourly r</w:t>
            </w:r>
            <w:r w:rsidRPr="00FA2E92">
              <w:rPr>
                <w:b/>
                <w:bCs/>
                <w:spacing w:val="-1"/>
                <w:sz w:val="24"/>
                <w:szCs w:val="24"/>
              </w:rPr>
              <w:t>a</w:t>
            </w:r>
            <w:r w:rsidRPr="00FA2E92">
              <w:rPr>
                <w:b/>
                <w:bCs/>
                <w:sz w:val="24"/>
                <w:szCs w:val="24"/>
              </w:rPr>
              <w:t>te +</w:t>
            </w:r>
            <w:r w:rsidRPr="00FA2E92">
              <w:rPr>
                <w:b/>
                <w:bCs/>
                <w:spacing w:val="-1"/>
                <w:sz w:val="24"/>
                <w:szCs w:val="24"/>
              </w:rPr>
              <w:t xml:space="preserve"> </w:t>
            </w:r>
            <w:r w:rsidRPr="00FA2E92">
              <w:rPr>
                <w:b/>
                <w:bCs/>
                <w:spacing w:val="2"/>
                <w:sz w:val="24"/>
                <w:szCs w:val="24"/>
              </w:rPr>
              <w:t>100</w:t>
            </w:r>
            <w:r w:rsidRPr="00FA2E92">
              <w:rPr>
                <w:b/>
                <w:bCs/>
                <w:sz w:val="24"/>
                <w:szCs w:val="24"/>
              </w:rPr>
              <w:t xml:space="preserve">% </w:t>
            </w:r>
            <w:r w:rsidRPr="00FA2E92">
              <w:rPr>
                <w:b/>
                <w:bCs/>
                <w:spacing w:val="-1"/>
                <w:sz w:val="24"/>
                <w:szCs w:val="24"/>
              </w:rPr>
              <w:t>Fr</w:t>
            </w:r>
            <w:r w:rsidRPr="00FA2E92">
              <w:rPr>
                <w:b/>
                <w:bCs/>
                <w:sz w:val="24"/>
                <w:szCs w:val="24"/>
              </w:rPr>
              <w:t>in</w:t>
            </w:r>
            <w:r w:rsidRPr="00FA2E92">
              <w:rPr>
                <w:b/>
                <w:bCs/>
                <w:spacing w:val="-2"/>
                <w:sz w:val="24"/>
                <w:szCs w:val="24"/>
              </w:rPr>
              <w:t xml:space="preserve">ge </w:t>
            </w:r>
            <w:r w:rsidRPr="00FA2E92">
              <w:rPr>
                <w:b/>
                <w:bCs/>
                <w:sz w:val="24"/>
                <w:szCs w:val="24"/>
              </w:rPr>
              <w:t>b</w:t>
            </w:r>
            <w:r w:rsidRPr="00FA2E92">
              <w:rPr>
                <w:b/>
                <w:bCs/>
                <w:spacing w:val="-1"/>
                <w:sz w:val="24"/>
                <w:szCs w:val="24"/>
              </w:rPr>
              <w:t>e</w:t>
            </w:r>
            <w:r w:rsidRPr="00FA2E92">
              <w:rPr>
                <w:b/>
                <w:bCs/>
                <w:sz w:val="24"/>
                <w:szCs w:val="24"/>
              </w:rPr>
              <w:t>n</w:t>
            </w:r>
            <w:r w:rsidRPr="00FA2E92">
              <w:rPr>
                <w:b/>
                <w:bCs/>
                <w:spacing w:val="-1"/>
                <w:sz w:val="24"/>
                <w:szCs w:val="24"/>
              </w:rPr>
              <w:t>ef</w:t>
            </w:r>
            <w:r w:rsidRPr="00FA2E92">
              <w:rPr>
                <w:b/>
                <w:bCs/>
                <w:sz w:val="24"/>
                <w:szCs w:val="24"/>
              </w:rPr>
              <w:t>its)</w:t>
            </w:r>
          </w:p>
        </w:tc>
        <w:tc>
          <w:tcPr>
            <w:tcW w:w="1075" w:type="dxa"/>
            <w:tcBorders>
              <w:top w:val="single" w:sz="4" w:space="0" w:color="000000"/>
              <w:left w:val="single" w:sz="4" w:space="0" w:color="000000"/>
              <w:bottom w:val="single" w:sz="4" w:space="0" w:color="auto"/>
              <w:right w:val="single" w:sz="4" w:space="0" w:color="000000"/>
            </w:tcBorders>
            <w:vAlign w:val="center"/>
          </w:tcPr>
          <w:p w:rsidR="00B07E18" w:rsidRPr="00FA2E92" w:rsidP="00F076C9" w14:paraId="08990576" w14:textId="77777777">
            <w:pPr>
              <w:keepNext/>
              <w:jc w:val="center"/>
              <w:rPr>
                <w:b/>
                <w:bCs/>
                <w:sz w:val="24"/>
                <w:szCs w:val="24"/>
              </w:rPr>
            </w:pPr>
            <w:r w:rsidRPr="00FA2E92">
              <w:rPr>
                <w:b/>
                <w:bCs/>
                <w:sz w:val="24"/>
                <w:szCs w:val="24"/>
              </w:rPr>
              <w:t>Burden Hours</w:t>
            </w:r>
          </w:p>
        </w:tc>
        <w:tc>
          <w:tcPr>
            <w:tcW w:w="1535" w:type="dxa"/>
            <w:tcBorders>
              <w:top w:val="single" w:sz="4" w:space="0" w:color="000000"/>
              <w:left w:val="single" w:sz="4" w:space="0" w:color="000000"/>
              <w:bottom w:val="single" w:sz="4" w:space="0" w:color="000000"/>
              <w:right w:val="single" w:sz="4" w:space="0" w:color="000000"/>
            </w:tcBorders>
            <w:vAlign w:val="center"/>
          </w:tcPr>
          <w:p w:rsidR="00B07E18" w:rsidRPr="00FA2E92" w:rsidP="00F076C9" w14:paraId="71732C12" w14:textId="77777777">
            <w:pPr>
              <w:keepNext/>
              <w:jc w:val="center"/>
              <w:rPr>
                <w:b/>
                <w:bCs/>
                <w:sz w:val="24"/>
                <w:szCs w:val="24"/>
              </w:rPr>
            </w:pPr>
            <w:r w:rsidRPr="00FA2E92">
              <w:rPr>
                <w:b/>
                <w:bCs/>
                <w:sz w:val="24"/>
                <w:szCs w:val="24"/>
              </w:rPr>
              <w:t>Total Burden Costs (Per</w:t>
            </w:r>
          </w:p>
          <w:p w:rsidR="00B07E18" w:rsidRPr="0007219E" w:rsidP="00F076C9" w14:paraId="6A6EB52F" w14:textId="77777777">
            <w:pPr>
              <w:keepNext/>
              <w:jc w:val="center"/>
              <w:rPr>
                <w:sz w:val="24"/>
                <w:szCs w:val="24"/>
              </w:rPr>
            </w:pPr>
            <w:r w:rsidRPr="00FA2E92">
              <w:rPr>
                <w:b/>
                <w:bCs/>
                <w:sz w:val="24"/>
                <w:szCs w:val="24"/>
              </w:rPr>
              <w:t>Respondent)</w:t>
            </w:r>
          </w:p>
        </w:tc>
        <w:tc>
          <w:tcPr>
            <w:tcW w:w="1530" w:type="dxa"/>
            <w:tcBorders>
              <w:top w:val="single" w:sz="4" w:space="0" w:color="000000"/>
              <w:left w:val="single" w:sz="4" w:space="0" w:color="000000"/>
              <w:bottom w:val="single" w:sz="4" w:space="0" w:color="000000"/>
              <w:right w:val="single" w:sz="4" w:space="0" w:color="000000"/>
            </w:tcBorders>
            <w:vAlign w:val="center"/>
          </w:tcPr>
          <w:p w:rsidR="00B07E18" w:rsidRPr="00FA2E92" w:rsidP="00F076C9" w14:paraId="3429B5A6" w14:textId="77777777">
            <w:pPr>
              <w:keepNext/>
              <w:jc w:val="center"/>
              <w:rPr>
                <w:b/>
                <w:bCs/>
                <w:sz w:val="24"/>
                <w:szCs w:val="24"/>
              </w:rPr>
            </w:pPr>
            <w:r w:rsidRPr="00FA2E92">
              <w:rPr>
                <w:b/>
                <w:bCs/>
                <w:sz w:val="24"/>
                <w:szCs w:val="24"/>
              </w:rPr>
              <w:t>Total Burden Cost (All Respondents)</w:t>
            </w:r>
          </w:p>
        </w:tc>
      </w:tr>
      <w:tr w14:paraId="60C80E21" w14:textId="77777777" w:rsidTr="00BC1C13">
        <w:tblPrEx>
          <w:tblW w:w="9535" w:type="dxa"/>
          <w:tblLayout w:type="fixed"/>
          <w:tblCellMar>
            <w:left w:w="0" w:type="dxa"/>
            <w:right w:w="0" w:type="dxa"/>
          </w:tblCellMar>
          <w:tblLook w:val="01E0"/>
        </w:tblPrEx>
        <w:trPr>
          <w:trHeight w:hRule="exact" w:val="613"/>
        </w:trPr>
        <w:tc>
          <w:tcPr>
            <w:tcW w:w="2245" w:type="dxa"/>
            <w:tcBorders>
              <w:top w:val="single" w:sz="4" w:space="0" w:color="000000"/>
              <w:left w:val="single" w:sz="4" w:space="0" w:color="000000"/>
              <w:bottom w:val="single" w:sz="4" w:space="0" w:color="000000"/>
              <w:right w:val="single" w:sz="4" w:space="0" w:color="auto"/>
            </w:tcBorders>
            <w:vAlign w:val="center"/>
          </w:tcPr>
          <w:p w:rsidR="003368AB" w:rsidRPr="0007219E" w:rsidP="003368AB" w14:paraId="5B5E70A3" w14:textId="13E3E765">
            <w:pPr>
              <w:ind w:left="85" w:right="-20"/>
              <w:rPr>
                <w:sz w:val="24"/>
                <w:szCs w:val="24"/>
              </w:rPr>
            </w:pPr>
            <w:r>
              <w:rPr>
                <w:sz w:val="24"/>
                <w:szCs w:val="24"/>
              </w:rPr>
              <w:t>Business Operation Specialist</w:t>
            </w:r>
          </w:p>
        </w:tc>
        <w:tc>
          <w:tcPr>
            <w:tcW w:w="1440" w:type="dxa"/>
            <w:tcBorders>
              <w:top w:val="single" w:sz="4" w:space="0" w:color="auto"/>
              <w:left w:val="single" w:sz="4" w:space="0" w:color="auto"/>
              <w:bottom w:val="single" w:sz="4" w:space="0" w:color="auto"/>
              <w:right w:val="single" w:sz="4" w:space="0" w:color="auto"/>
            </w:tcBorders>
            <w:vAlign w:val="center"/>
          </w:tcPr>
          <w:p w:rsidR="003368AB" w:rsidP="003368AB" w14:paraId="511413C0" w14:textId="66C0680B">
            <w:pPr>
              <w:jc w:val="center"/>
              <w:rPr>
                <w:sz w:val="24"/>
                <w:szCs w:val="24"/>
              </w:rPr>
            </w:pPr>
            <w:r>
              <w:rPr>
                <w:sz w:val="24"/>
                <w:szCs w:val="24"/>
              </w:rPr>
              <w:t>194</w:t>
            </w:r>
          </w:p>
        </w:tc>
        <w:tc>
          <w:tcPr>
            <w:tcW w:w="1710" w:type="dxa"/>
            <w:tcBorders>
              <w:top w:val="single" w:sz="4" w:space="0" w:color="auto"/>
              <w:left w:val="single" w:sz="4" w:space="0" w:color="auto"/>
              <w:bottom w:val="single" w:sz="4" w:space="0" w:color="auto"/>
              <w:right w:val="single" w:sz="4" w:space="0" w:color="auto"/>
            </w:tcBorders>
            <w:vAlign w:val="center"/>
          </w:tcPr>
          <w:p w:rsidR="003368AB" w:rsidRPr="0007219E" w:rsidP="003368AB" w14:paraId="0A46943B" w14:textId="271F2823">
            <w:pPr>
              <w:jc w:val="center"/>
              <w:rPr>
                <w:sz w:val="24"/>
                <w:szCs w:val="24"/>
              </w:rPr>
            </w:pPr>
            <w:r>
              <w:rPr>
                <w:sz w:val="24"/>
                <w:szCs w:val="24"/>
              </w:rPr>
              <w:t>$73.06</w:t>
            </w:r>
          </w:p>
        </w:tc>
        <w:tc>
          <w:tcPr>
            <w:tcW w:w="1075" w:type="dxa"/>
            <w:tcBorders>
              <w:top w:val="single" w:sz="4" w:space="0" w:color="auto"/>
              <w:left w:val="single" w:sz="4" w:space="0" w:color="auto"/>
              <w:bottom w:val="single" w:sz="4" w:space="0" w:color="auto"/>
              <w:right w:val="single" w:sz="4" w:space="0" w:color="auto"/>
            </w:tcBorders>
            <w:vAlign w:val="center"/>
          </w:tcPr>
          <w:p w:rsidR="003368AB" w:rsidRPr="00D569A6" w:rsidP="003368AB" w14:paraId="50B148FD" w14:textId="478F7AFF">
            <w:pPr>
              <w:jc w:val="center"/>
              <w:rPr>
                <w:sz w:val="24"/>
                <w:szCs w:val="24"/>
              </w:rPr>
            </w:pPr>
            <w:r>
              <w:rPr>
                <w:sz w:val="24"/>
                <w:szCs w:val="24"/>
              </w:rPr>
              <w:t>1</w:t>
            </w:r>
          </w:p>
        </w:tc>
        <w:tc>
          <w:tcPr>
            <w:tcW w:w="1535"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3C49FC89" w14:textId="7C0C5F5C">
            <w:pPr>
              <w:jc w:val="center"/>
              <w:rPr>
                <w:sz w:val="24"/>
                <w:szCs w:val="24"/>
              </w:rPr>
            </w:pPr>
            <w:r>
              <w:rPr>
                <w:sz w:val="24"/>
                <w:szCs w:val="24"/>
              </w:rPr>
              <w:t>$73.06</w:t>
            </w:r>
          </w:p>
        </w:tc>
        <w:tc>
          <w:tcPr>
            <w:tcW w:w="1530"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7D69D973" w14:textId="4E3CB8BA">
            <w:pPr>
              <w:jc w:val="center"/>
              <w:rPr>
                <w:sz w:val="24"/>
                <w:szCs w:val="24"/>
              </w:rPr>
            </w:pPr>
            <w:r>
              <w:rPr>
                <w:sz w:val="24"/>
                <w:szCs w:val="24"/>
              </w:rPr>
              <w:t>$14,173.64</w:t>
            </w:r>
          </w:p>
        </w:tc>
      </w:tr>
      <w:tr w14:paraId="0ED81C13" w14:textId="77777777" w:rsidTr="00F12690">
        <w:tblPrEx>
          <w:tblW w:w="9535" w:type="dxa"/>
          <w:tblLayout w:type="fixed"/>
          <w:tblCellMar>
            <w:left w:w="0" w:type="dxa"/>
            <w:right w:w="0" w:type="dxa"/>
          </w:tblCellMar>
          <w:tblLook w:val="01E0"/>
        </w:tblPrEx>
        <w:trPr>
          <w:trHeight w:hRule="exact" w:val="504"/>
        </w:trPr>
        <w:tc>
          <w:tcPr>
            <w:tcW w:w="2245" w:type="dxa"/>
            <w:tcBorders>
              <w:top w:val="single" w:sz="4" w:space="0" w:color="000000"/>
              <w:left w:val="single" w:sz="4" w:space="0" w:color="000000"/>
              <w:bottom w:val="single" w:sz="4" w:space="0" w:color="000000"/>
              <w:right w:val="single" w:sz="4" w:space="0" w:color="auto"/>
            </w:tcBorders>
            <w:vAlign w:val="center"/>
          </w:tcPr>
          <w:p w:rsidR="003368AB" w:rsidRPr="0007219E" w:rsidP="003368AB" w14:paraId="75D303D7" w14:textId="2930C25E">
            <w:pPr>
              <w:ind w:left="85" w:right="-20"/>
              <w:rPr>
                <w:sz w:val="24"/>
                <w:szCs w:val="24"/>
              </w:rPr>
            </w:pPr>
            <w:r>
              <w:rPr>
                <w:sz w:val="24"/>
                <w:szCs w:val="24"/>
              </w:rPr>
              <w:t>Compliance Officer</w:t>
            </w:r>
          </w:p>
        </w:tc>
        <w:tc>
          <w:tcPr>
            <w:tcW w:w="1440" w:type="dxa"/>
            <w:tcBorders>
              <w:top w:val="single" w:sz="4" w:space="0" w:color="auto"/>
              <w:left w:val="single" w:sz="4" w:space="0" w:color="auto"/>
              <w:bottom w:val="single" w:sz="4" w:space="0" w:color="auto"/>
              <w:right w:val="single" w:sz="4" w:space="0" w:color="auto"/>
            </w:tcBorders>
            <w:vAlign w:val="center"/>
          </w:tcPr>
          <w:p w:rsidR="003368AB" w:rsidP="003368AB" w14:paraId="3B4758F9" w14:textId="0BFF2B5C">
            <w:pPr>
              <w:jc w:val="center"/>
              <w:rPr>
                <w:sz w:val="24"/>
                <w:szCs w:val="24"/>
              </w:rPr>
            </w:pPr>
            <w:r>
              <w:rPr>
                <w:sz w:val="24"/>
                <w:szCs w:val="24"/>
              </w:rPr>
              <w:t>194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368AB" w:rsidRPr="0007219E" w:rsidP="003368AB" w14:paraId="3B2D2AB0" w14:textId="0A1B4686">
            <w:pPr>
              <w:jc w:val="center"/>
              <w:rPr>
                <w:sz w:val="24"/>
                <w:szCs w:val="24"/>
              </w:rPr>
            </w:pPr>
            <w:r>
              <w:rPr>
                <w:sz w:val="24"/>
                <w:szCs w:val="24"/>
              </w:rPr>
              <w:t>$68.94</w:t>
            </w:r>
          </w:p>
        </w:tc>
        <w:tc>
          <w:tcPr>
            <w:tcW w:w="1075" w:type="dxa"/>
            <w:tcBorders>
              <w:top w:val="single" w:sz="4" w:space="0" w:color="auto"/>
              <w:left w:val="single" w:sz="4" w:space="0" w:color="auto"/>
              <w:bottom w:val="single" w:sz="4" w:space="0" w:color="auto"/>
              <w:right w:val="single" w:sz="4" w:space="0" w:color="auto"/>
            </w:tcBorders>
            <w:vAlign w:val="center"/>
          </w:tcPr>
          <w:p w:rsidR="003368AB" w:rsidRPr="00D569A6" w:rsidP="003368AB" w14:paraId="4ECB80CC" w14:textId="5058017F">
            <w:pPr>
              <w:jc w:val="center"/>
              <w:rPr>
                <w:sz w:val="24"/>
                <w:szCs w:val="24"/>
              </w:rPr>
            </w:pPr>
            <w:r>
              <w:rPr>
                <w:sz w:val="24"/>
                <w:szCs w:val="24"/>
              </w:rPr>
              <w:t>2</w:t>
            </w:r>
          </w:p>
        </w:tc>
        <w:tc>
          <w:tcPr>
            <w:tcW w:w="1535"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7018EA4C" w14:textId="55416B21">
            <w:pPr>
              <w:jc w:val="center"/>
              <w:rPr>
                <w:sz w:val="24"/>
                <w:szCs w:val="24"/>
              </w:rPr>
            </w:pPr>
            <w:r>
              <w:rPr>
                <w:sz w:val="24"/>
                <w:szCs w:val="24"/>
              </w:rPr>
              <w:t>$137.88</w:t>
            </w:r>
          </w:p>
        </w:tc>
        <w:tc>
          <w:tcPr>
            <w:tcW w:w="1530"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06E15DCC" w14:textId="68C248B1">
            <w:pPr>
              <w:jc w:val="center"/>
              <w:rPr>
                <w:sz w:val="24"/>
                <w:szCs w:val="24"/>
              </w:rPr>
            </w:pPr>
            <w:r>
              <w:rPr>
                <w:sz w:val="24"/>
                <w:szCs w:val="24"/>
              </w:rPr>
              <w:t>$26,748.72</w:t>
            </w:r>
          </w:p>
        </w:tc>
      </w:tr>
      <w:tr w14:paraId="562F3FDE" w14:textId="77777777" w:rsidTr="00BC1C13">
        <w:tblPrEx>
          <w:tblW w:w="9535" w:type="dxa"/>
          <w:tblLayout w:type="fixed"/>
          <w:tblCellMar>
            <w:left w:w="0" w:type="dxa"/>
            <w:right w:w="0" w:type="dxa"/>
          </w:tblCellMar>
          <w:tblLook w:val="01E0"/>
        </w:tblPrEx>
        <w:trPr>
          <w:trHeight w:hRule="exact" w:val="667"/>
        </w:trPr>
        <w:tc>
          <w:tcPr>
            <w:tcW w:w="2245" w:type="dxa"/>
            <w:tcBorders>
              <w:top w:val="single" w:sz="4" w:space="0" w:color="000000"/>
              <w:left w:val="single" w:sz="4" w:space="0" w:color="000000"/>
              <w:bottom w:val="single" w:sz="4" w:space="0" w:color="000000"/>
              <w:right w:val="single" w:sz="4" w:space="0" w:color="auto"/>
            </w:tcBorders>
            <w:vAlign w:val="center"/>
          </w:tcPr>
          <w:p w:rsidR="003368AB" w:rsidRPr="0007219E" w:rsidP="003368AB" w14:paraId="13B9CAE3" w14:textId="4E9D5E39">
            <w:pPr>
              <w:ind w:left="85" w:right="-20"/>
              <w:rPr>
                <w:sz w:val="24"/>
                <w:szCs w:val="24"/>
              </w:rPr>
            </w:pPr>
            <w:r>
              <w:rPr>
                <w:kern w:val="2"/>
                <w:sz w:val="24"/>
                <w:szCs w:val="24"/>
                <w14:ligatures w14:val="standardContextual"/>
              </w:rPr>
              <w:t>General and Operations Manager</w:t>
            </w:r>
          </w:p>
        </w:tc>
        <w:tc>
          <w:tcPr>
            <w:tcW w:w="1440" w:type="dxa"/>
            <w:tcBorders>
              <w:top w:val="single" w:sz="4" w:space="0" w:color="auto"/>
              <w:left w:val="single" w:sz="4" w:space="0" w:color="auto"/>
              <w:bottom w:val="single" w:sz="4" w:space="0" w:color="auto"/>
              <w:right w:val="single" w:sz="4" w:space="0" w:color="auto"/>
            </w:tcBorders>
            <w:vAlign w:val="center"/>
          </w:tcPr>
          <w:p w:rsidR="003368AB" w:rsidP="003368AB" w14:paraId="59A932F7" w14:textId="15F5E03D">
            <w:pPr>
              <w:jc w:val="center"/>
              <w:rPr>
                <w:sz w:val="24"/>
                <w:szCs w:val="24"/>
              </w:rPr>
            </w:pPr>
            <w:r>
              <w:rPr>
                <w:sz w:val="24"/>
                <w:szCs w:val="24"/>
              </w:rPr>
              <w:t>194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368AB" w:rsidRPr="0007219E" w:rsidP="003368AB" w14:paraId="4B151907" w14:textId="28EBB220">
            <w:pPr>
              <w:jc w:val="center"/>
              <w:rPr>
                <w:sz w:val="24"/>
                <w:szCs w:val="24"/>
              </w:rPr>
            </w:pPr>
            <w:r>
              <w:rPr>
                <w:sz w:val="24"/>
                <w:szCs w:val="24"/>
              </w:rPr>
              <w:t>$94.32</w:t>
            </w:r>
          </w:p>
        </w:tc>
        <w:tc>
          <w:tcPr>
            <w:tcW w:w="1075" w:type="dxa"/>
            <w:tcBorders>
              <w:top w:val="single" w:sz="4" w:space="0" w:color="auto"/>
              <w:left w:val="single" w:sz="4" w:space="0" w:color="auto"/>
              <w:bottom w:val="single" w:sz="4" w:space="0" w:color="auto"/>
              <w:right w:val="single" w:sz="4" w:space="0" w:color="auto"/>
            </w:tcBorders>
            <w:vAlign w:val="center"/>
          </w:tcPr>
          <w:p w:rsidR="003368AB" w:rsidRPr="00D569A6" w:rsidP="003368AB" w14:paraId="036DFF95" w14:textId="15AD0CC5">
            <w:pPr>
              <w:jc w:val="center"/>
              <w:rPr>
                <w:sz w:val="24"/>
                <w:szCs w:val="24"/>
              </w:rPr>
            </w:pPr>
            <w:r>
              <w:rPr>
                <w:sz w:val="24"/>
                <w:szCs w:val="24"/>
              </w:rPr>
              <w:t>1</w:t>
            </w:r>
          </w:p>
        </w:tc>
        <w:tc>
          <w:tcPr>
            <w:tcW w:w="1535"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2DF2A908" w14:textId="43E7CEF5">
            <w:pPr>
              <w:jc w:val="center"/>
              <w:rPr>
                <w:sz w:val="24"/>
                <w:szCs w:val="24"/>
              </w:rPr>
            </w:pPr>
            <w:r>
              <w:rPr>
                <w:sz w:val="24"/>
                <w:szCs w:val="24"/>
              </w:rPr>
              <w:t>$94.32</w:t>
            </w:r>
          </w:p>
        </w:tc>
        <w:tc>
          <w:tcPr>
            <w:tcW w:w="1530" w:type="dxa"/>
            <w:tcBorders>
              <w:top w:val="single" w:sz="4" w:space="0" w:color="000000"/>
              <w:left w:val="single" w:sz="4" w:space="0" w:color="auto"/>
              <w:bottom w:val="single" w:sz="4" w:space="0" w:color="000000"/>
              <w:right w:val="single" w:sz="4" w:space="0" w:color="000000"/>
            </w:tcBorders>
            <w:vAlign w:val="center"/>
          </w:tcPr>
          <w:p w:rsidR="003368AB" w:rsidRPr="00D569A6" w:rsidP="003368AB" w14:paraId="514B70B2" w14:textId="04A00D2F">
            <w:pPr>
              <w:jc w:val="center"/>
              <w:rPr>
                <w:sz w:val="24"/>
                <w:szCs w:val="24"/>
              </w:rPr>
            </w:pPr>
            <w:r>
              <w:rPr>
                <w:sz w:val="24"/>
                <w:szCs w:val="24"/>
              </w:rPr>
              <w:t>$18,298.08</w:t>
            </w:r>
          </w:p>
        </w:tc>
      </w:tr>
      <w:tr w14:paraId="779766E4" w14:textId="72554D55" w:rsidTr="00F12690">
        <w:tblPrEx>
          <w:tblW w:w="9535" w:type="dxa"/>
          <w:tblLayout w:type="fixed"/>
          <w:tblCellMar>
            <w:left w:w="0" w:type="dxa"/>
            <w:right w:w="0" w:type="dxa"/>
          </w:tblCellMar>
          <w:tblLook w:val="01E0"/>
        </w:tblPrEx>
        <w:trPr>
          <w:trHeight w:hRule="exact" w:val="504"/>
        </w:trPr>
        <w:tc>
          <w:tcPr>
            <w:tcW w:w="2245" w:type="dxa"/>
            <w:tcBorders>
              <w:top w:val="single" w:sz="4" w:space="0" w:color="000000"/>
              <w:left w:val="single" w:sz="4" w:space="0" w:color="000000"/>
              <w:bottom w:val="single" w:sz="4" w:space="0" w:color="000000"/>
              <w:right w:val="single" w:sz="4" w:space="0" w:color="auto"/>
            </w:tcBorders>
            <w:vAlign w:val="center"/>
          </w:tcPr>
          <w:p w:rsidR="00B07E18" w:rsidRPr="00842960" w:rsidP="00136EF2" w14:paraId="6DB2145E" w14:textId="77777777">
            <w:pPr>
              <w:ind w:left="85" w:right="-20"/>
              <w:rPr>
                <w:b/>
                <w:bCs/>
                <w:sz w:val="24"/>
                <w:szCs w:val="24"/>
              </w:rPr>
            </w:pPr>
            <w:r w:rsidRPr="00842960">
              <w:rPr>
                <w:b/>
                <w:bCs/>
                <w:sz w:val="24"/>
                <w:szCs w:val="24"/>
              </w:rPr>
              <w:t>Total – Annu</w:t>
            </w:r>
            <w:r w:rsidRPr="00842960">
              <w:rPr>
                <w:b/>
                <w:bCs/>
                <w:spacing w:val="-1"/>
                <w:sz w:val="24"/>
                <w:szCs w:val="24"/>
              </w:rPr>
              <w:t>a</w:t>
            </w:r>
            <w:r w:rsidRPr="00842960">
              <w:rPr>
                <w:b/>
                <w:bCs/>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63C4497D"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7C443D9D" w14:textId="77777777">
            <w:pPr>
              <w:jc w:val="center"/>
              <w:rPr>
                <w:b/>
                <w:bCs/>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60FC9DE1" w14:textId="2B73B9FB">
            <w:pPr>
              <w:jc w:val="center"/>
              <w:rPr>
                <w:b/>
                <w:bCs/>
                <w:sz w:val="24"/>
                <w:szCs w:val="24"/>
              </w:rPr>
            </w:pPr>
            <w:r>
              <w:rPr>
                <w:b/>
                <w:bCs/>
                <w:sz w:val="24"/>
                <w:szCs w:val="24"/>
              </w:rPr>
              <w:t>776</w:t>
            </w:r>
          </w:p>
        </w:tc>
        <w:tc>
          <w:tcPr>
            <w:tcW w:w="1535" w:type="dxa"/>
            <w:tcBorders>
              <w:top w:val="single" w:sz="4" w:space="0" w:color="000000"/>
              <w:left w:val="single" w:sz="4" w:space="0" w:color="auto"/>
              <w:bottom w:val="single" w:sz="4" w:space="0" w:color="000000"/>
              <w:right w:val="single" w:sz="4" w:space="0" w:color="000000"/>
            </w:tcBorders>
            <w:vAlign w:val="center"/>
          </w:tcPr>
          <w:p w:rsidR="00B07E18" w:rsidRPr="00842960" w:rsidP="00F076C9" w14:paraId="5641A5AA" w14:textId="30FB880F">
            <w:pPr>
              <w:jc w:val="center"/>
              <w:rPr>
                <w:b/>
                <w:bCs/>
                <w:sz w:val="24"/>
                <w:szCs w:val="24"/>
              </w:rPr>
            </w:pPr>
          </w:p>
        </w:tc>
        <w:tc>
          <w:tcPr>
            <w:tcW w:w="1530" w:type="dxa"/>
            <w:tcBorders>
              <w:top w:val="single" w:sz="4" w:space="0" w:color="000000"/>
              <w:left w:val="single" w:sz="4" w:space="0" w:color="auto"/>
              <w:bottom w:val="single" w:sz="4" w:space="0" w:color="000000"/>
              <w:right w:val="single" w:sz="4" w:space="0" w:color="000000"/>
            </w:tcBorders>
            <w:vAlign w:val="center"/>
          </w:tcPr>
          <w:p w:rsidR="00B07E18" w:rsidRPr="00842960" w:rsidP="00F076C9" w14:paraId="2F7D5E4C" w14:textId="3841EF3A">
            <w:pPr>
              <w:jc w:val="center"/>
              <w:rPr>
                <w:b/>
                <w:bCs/>
                <w:sz w:val="24"/>
                <w:szCs w:val="24"/>
              </w:rPr>
            </w:pPr>
            <w:r>
              <w:rPr>
                <w:b/>
                <w:bCs/>
                <w:sz w:val="24"/>
                <w:szCs w:val="24"/>
              </w:rPr>
              <w:t>$59,220.44</w:t>
            </w:r>
          </w:p>
        </w:tc>
      </w:tr>
      <w:tr w14:paraId="025CE54E" w14:textId="77777777" w:rsidTr="00F12690">
        <w:tblPrEx>
          <w:tblW w:w="9535" w:type="dxa"/>
          <w:tblLayout w:type="fixed"/>
          <w:tblCellMar>
            <w:left w:w="0" w:type="dxa"/>
            <w:right w:w="0" w:type="dxa"/>
          </w:tblCellMar>
          <w:tblLook w:val="01E0"/>
        </w:tblPrEx>
        <w:trPr>
          <w:trHeight w:hRule="exact" w:val="504"/>
        </w:trPr>
        <w:tc>
          <w:tcPr>
            <w:tcW w:w="2245" w:type="dxa"/>
            <w:tcBorders>
              <w:top w:val="single" w:sz="4" w:space="0" w:color="000000"/>
              <w:left w:val="single" w:sz="4" w:space="0" w:color="000000"/>
              <w:bottom w:val="single" w:sz="4" w:space="0" w:color="000000"/>
              <w:right w:val="single" w:sz="4" w:space="0" w:color="auto"/>
            </w:tcBorders>
            <w:vAlign w:val="center"/>
          </w:tcPr>
          <w:p w:rsidR="00B07E18" w:rsidRPr="00842960" w:rsidP="00136EF2" w14:paraId="06533E81" w14:textId="77777777">
            <w:pPr>
              <w:ind w:left="85" w:right="-20"/>
              <w:rPr>
                <w:b/>
                <w:bCs/>
                <w:sz w:val="24"/>
                <w:szCs w:val="24"/>
              </w:rPr>
            </w:pPr>
            <w:r w:rsidRPr="00842960">
              <w:rPr>
                <w:b/>
                <w:bCs/>
                <w:sz w:val="24"/>
                <w:szCs w:val="24"/>
              </w:rPr>
              <w:t>Total – Three Years</w:t>
            </w:r>
          </w:p>
        </w:tc>
        <w:tc>
          <w:tcPr>
            <w:tcW w:w="1440"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42919023"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65536E2C" w14:textId="77777777">
            <w:pPr>
              <w:jc w:val="center"/>
              <w:rPr>
                <w:b/>
                <w:bCs/>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B07E18" w:rsidRPr="00842960" w:rsidP="00F076C9" w14:paraId="4CB6778F" w14:textId="5CB6DDD8">
            <w:pPr>
              <w:jc w:val="center"/>
              <w:rPr>
                <w:b/>
                <w:bCs/>
                <w:sz w:val="24"/>
                <w:szCs w:val="24"/>
              </w:rPr>
            </w:pPr>
            <w:r>
              <w:rPr>
                <w:b/>
                <w:bCs/>
                <w:sz w:val="24"/>
                <w:szCs w:val="24"/>
              </w:rPr>
              <w:t>2,328</w:t>
            </w:r>
          </w:p>
        </w:tc>
        <w:tc>
          <w:tcPr>
            <w:tcW w:w="1535" w:type="dxa"/>
            <w:tcBorders>
              <w:top w:val="single" w:sz="4" w:space="0" w:color="000000"/>
              <w:left w:val="single" w:sz="4" w:space="0" w:color="auto"/>
              <w:bottom w:val="single" w:sz="4" w:space="0" w:color="000000"/>
              <w:right w:val="single" w:sz="4" w:space="0" w:color="000000"/>
            </w:tcBorders>
            <w:vAlign w:val="center"/>
          </w:tcPr>
          <w:p w:rsidR="00B07E18" w:rsidRPr="00842960" w:rsidP="00F076C9" w14:paraId="0F15802B" w14:textId="4BFF4A46">
            <w:pPr>
              <w:jc w:val="center"/>
              <w:rPr>
                <w:b/>
                <w:bCs/>
                <w:sz w:val="24"/>
                <w:szCs w:val="24"/>
              </w:rPr>
            </w:pPr>
          </w:p>
        </w:tc>
        <w:tc>
          <w:tcPr>
            <w:tcW w:w="1530" w:type="dxa"/>
            <w:tcBorders>
              <w:top w:val="single" w:sz="4" w:space="0" w:color="000000"/>
              <w:left w:val="single" w:sz="4" w:space="0" w:color="auto"/>
              <w:bottom w:val="single" w:sz="4" w:space="0" w:color="000000"/>
              <w:right w:val="single" w:sz="4" w:space="0" w:color="000000"/>
            </w:tcBorders>
            <w:vAlign w:val="center"/>
          </w:tcPr>
          <w:p w:rsidR="00B07E18" w:rsidRPr="00842960" w:rsidP="00F076C9" w14:paraId="46E2B595" w14:textId="21F80370">
            <w:pPr>
              <w:jc w:val="center"/>
              <w:rPr>
                <w:b/>
                <w:bCs/>
                <w:sz w:val="24"/>
                <w:szCs w:val="24"/>
              </w:rPr>
            </w:pPr>
            <w:r>
              <w:rPr>
                <w:b/>
                <w:bCs/>
                <w:sz w:val="24"/>
                <w:szCs w:val="24"/>
              </w:rPr>
              <w:t>$177,661.32</w:t>
            </w:r>
          </w:p>
        </w:tc>
      </w:tr>
    </w:tbl>
    <w:p w:rsidR="000B1C51" w:rsidP="00296762" w14:paraId="266983A5" w14:textId="77777777">
      <w:pPr>
        <w:pStyle w:val="Heading1"/>
        <w:ind w:left="0"/>
        <w:rPr>
          <w:sz w:val="26"/>
        </w:rPr>
      </w:pPr>
    </w:p>
    <w:p w:rsidR="00554779" w:rsidRPr="000706E4" w:rsidP="00717DFD" w14:paraId="205A023D" w14:textId="3598A407">
      <w:pPr>
        <w:pStyle w:val="BodyText"/>
        <w:rPr>
          <w:b/>
        </w:rPr>
      </w:pPr>
      <w:r w:rsidRPr="000706E4">
        <w:rPr>
          <w:b/>
        </w:rPr>
        <w:t xml:space="preserve">Burden for QHP Issuers for the </w:t>
      </w:r>
      <w:r w:rsidR="005D0CE2">
        <w:rPr>
          <w:b/>
        </w:rPr>
        <w:t>Appointment Wait Time</w:t>
      </w:r>
      <w:r w:rsidRPr="000706E4">
        <w:rPr>
          <w:b/>
        </w:rPr>
        <w:t xml:space="preserve"> </w:t>
      </w:r>
      <w:r w:rsidR="00DA6253">
        <w:rPr>
          <w:b/>
        </w:rPr>
        <w:t xml:space="preserve">Secret Shopper </w:t>
      </w:r>
      <w:r w:rsidRPr="000706E4">
        <w:rPr>
          <w:b/>
        </w:rPr>
        <w:t>Data Collection</w:t>
      </w:r>
    </w:p>
    <w:p w:rsidR="00554779" w:rsidRPr="000706E4" w:rsidP="00717DFD" w14:paraId="0C489C2B" w14:textId="72D8CF4D">
      <w:pPr>
        <w:rPr>
          <w:rFonts w:eastAsiaTheme="minorEastAsia"/>
          <w:sz w:val="24"/>
          <w:szCs w:val="24"/>
        </w:rPr>
      </w:pPr>
      <w:r w:rsidRPr="000706E4">
        <w:rPr>
          <w:rFonts w:eastAsiaTheme="minorEastAsia"/>
          <w:sz w:val="24"/>
          <w:szCs w:val="24"/>
        </w:rPr>
        <w:t xml:space="preserve">The estimated burden </w:t>
      </w:r>
      <w:r>
        <w:rPr>
          <w:rFonts w:eastAsiaTheme="minorEastAsia"/>
          <w:sz w:val="24"/>
          <w:szCs w:val="24"/>
        </w:rPr>
        <w:t xml:space="preserve">for issuers associated with the </w:t>
      </w:r>
      <w:r w:rsidR="005D0CE2">
        <w:rPr>
          <w:rFonts w:eastAsiaTheme="minorEastAsia"/>
          <w:sz w:val="24"/>
          <w:szCs w:val="24"/>
        </w:rPr>
        <w:t>appointment wait time</w:t>
      </w:r>
      <w:r>
        <w:rPr>
          <w:rFonts w:eastAsiaTheme="minorEastAsia"/>
          <w:sz w:val="24"/>
          <w:szCs w:val="24"/>
        </w:rPr>
        <w:t xml:space="preserve"> </w:t>
      </w:r>
      <w:r w:rsidR="00DA6253">
        <w:rPr>
          <w:rFonts w:eastAsiaTheme="minorEastAsia"/>
          <w:sz w:val="24"/>
          <w:szCs w:val="24"/>
        </w:rPr>
        <w:t xml:space="preserve">secret shopper </w:t>
      </w:r>
      <w:r>
        <w:rPr>
          <w:rFonts w:eastAsiaTheme="minorEastAsia"/>
          <w:sz w:val="24"/>
          <w:szCs w:val="24"/>
        </w:rPr>
        <w:t>data collection is</w:t>
      </w:r>
      <w:r w:rsidRPr="000706E4">
        <w:rPr>
          <w:rFonts w:eastAsiaTheme="minorEastAsia"/>
          <w:sz w:val="24"/>
          <w:szCs w:val="24"/>
        </w:rPr>
        <w:t xml:space="preserve"> based on the following assumptions and definitions:</w:t>
      </w:r>
    </w:p>
    <w:p w:rsidR="00554779" w:rsidRPr="000706E4" w:rsidP="00717DFD" w14:paraId="589BDE82" w14:textId="77777777">
      <w:pPr>
        <w:rPr>
          <w:rFonts w:ascii="Arial Narrow" w:hAnsi="Arial Narrow" w:cs="Calibri"/>
          <w:sz w:val="24"/>
          <w:szCs w:val="24"/>
        </w:rPr>
      </w:pPr>
    </w:p>
    <w:p w:rsidR="00554779" w:rsidRPr="0078663F" w:rsidP="00717DFD" w14:paraId="6EB4069A" w14:textId="612AC543">
      <w:pPr>
        <w:rPr>
          <w:bCs/>
          <w:sz w:val="24"/>
          <w:szCs w:val="24"/>
        </w:rPr>
      </w:pPr>
      <w:r>
        <w:rPr>
          <w:rFonts w:eastAsiaTheme="minorEastAsia"/>
          <w:b/>
          <w:sz w:val="24"/>
          <w:szCs w:val="24"/>
        </w:rPr>
        <w:t xml:space="preserve">Reporting </w:t>
      </w:r>
      <w:r w:rsidRPr="000706E4">
        <w:rPr>
          <w:rFonts w:eastAsiaTheme="minorEastAsia"/>
          <w:b/>
          <w:sz w:val="24"/>
          <w:szCs w:val="24"/>
        </w:rPr>
        <w:t xml:space="preserve">Units. </w:t>
      </w:r>
      <w:r w:rsidRPr="00A1098F" w:rsidR="009B0A57">
        <w:rPr>
          <w:rFonts w:eastAsiaTheme="minorEastAsia"/>
          <w:bCs/>
          <w:sz w:val="24"/>
          <w:szCs w:val="24"/>
        </w:rPr>
        <w:t xml:space="preserve">CMS is requiring medical QHP issuers in the FFEs to contract with a third-party entity to administer secret shopper surveys </w:t>
      </w:r>
      <w:r w:rsidRPr="009B0A57" w:rsidR="009B0A57">
        <w:rPr>
          <w:bCs/>
          <w:sz w:val="24"/>
          <w:szCs w:val="24"/>
        </w:rPr>
        <w:t>to a statistically valid sampling of their primary care and behavioral health providers</w:t>
      </w:r>
      <w:r w:rsidR="004B5A70">
        <w:rPr>
          <w:bCs/>
          <w:sz w:val="24"/>
          <w:szCs w:val="24"/>
        </w:rPr>
        <w:t>, per unique issuer network,</w:t>
      </w:r>
      <w:r w:rsidRPr="009B0A57" w:rsidR="009B0A57">
        <w:rPr>
          <w:bCs/>
          <w:sz w:val="24"/>
          <w:szCs w:val="24"/>
        </w:rPr>
        <w:t xml:space="preserve"> to assess compliance with appointment wait time standards. </w:t>
      </w:r>
      <w:r w:rsidRPr="00A1098F" w:rsidR="009B0A57">
        <w:rPr>
          <w:rFonts w:eastAsiaTheme="minorEastAsia"/>
          <w:bCs/>
          <w:sz w:val="24"/>
          <w:szCs w:val="24"/>
        </w:rPr>
        <w:t>While SADPs will be required to comply with § 156.230(a)(2)(B), SADP issuers will not be required to contract with a third-party and report their findings during calendar year 2025.</w:t>
      </w:r>
      <w:r w:rsidRPr="009B0A57" w:rsidR="009B0A57">
        <w:rPr>
          <w:rFonts w:eastAsiaTheme="minorEastAsia"/>
          <w:b/>
          <w:sz w:val="24"/>
          <w:szCs w:val="24"/>
        </w:rPr>
        <w:t xml:space="preserve"> </w:t>
      </w:r>
      <w:r w:rsidR="00916EC5">
        <w:rPr>
          <w:rFonts w:eastAsiaTheme="minorEastAsia"/>
          <w:bCs/>
          <w:sz w:val="24"/>
          <w:szCs w:val="24"/>
        </w:rPr>
        <w:t xml:space="preserve">For purposes of computing burden calculations, </w:t>
      </w:r>
      <w:r w:rsidRPr="49CEF218" w:rsidR="0078663F">
        <w:rPr>
          <w:rFonts w:eastAsiaTheme="minorEastAsia"/>
          <w:sz w:val="24"/>
          <w:szCs w:val="24"/>
        </w:rPr>
        <w:t xml:space="preserve">CMS is </w:t>
      </w:r>
      <w:r w:rsidRPr="2D5D092A" w:rsidR="3F32AC8B">
        <w:rPr>
          <w:rFonts w:eastAsiaTheme="minorEastAsia"/>
          <w:sz w:val="24"/>
          <w:szCs w:val="24"/>
        </w:rPr>
        <w:t>estimating a total of</w:t>
      </w:r>
      <w:r w:rsidR="006661AC">
        <w:rPr>
          <w:rFonts w:eastAsiaTheme="minorEastAsia"/>
          <w:sz w:val="24"/>
          <w:szCs w:val="24"/>
        </w:rPr>
        <w:t xml:space="preserve"> 305 unique issue</w:t>
      </w:r>
      <w:r w:rsidR="00A876D5">
        <w:rPr>
          <w:rFonts w:eastAsiaTheme="minorEastAsia"/>
          <w:sz w:val="24"/>
          <w:szCs w:val="24"/>
        </w:rPr>
        <w:t>r</w:t>
      </w:r>
      <w:r w:rsidR="006661AC">
        <w:rPr>
          <w:rFonts w:eastAsiaTheme="minorEastAsia"/>
          <w:sz w:val="24"/>
          <w:szCs w:val="24"/>
        </w:rPr>
        <w:t xml:space="preserve"> networks among</w:t>
      </w:r>
      <w:r w:rsidR="006E662F">
        <w:rPr>
          <w:rFonts w:eastAsiaTheme="minorEastAsia"/>
          <w:sz w:val="24"/>
          <w:szCs w:val="24"/>
        </w:rPr>
        <w:t xml:space="preserve"> </w:t>
      </w:r>
      <w:r w:rsidR="003C5152">
        <w:rPr>
          <w:rFonts w:eastAsiaTheme="minorEastAsia"/>
          <w:sz w:val="24"/>
          <w:szCs w:val="24"/>
        </w:rPr>
        <w:t>171</w:t>
      </w:r>
      <w:r w:rsidRPr="49CEF218" w:rsidR="0078663F">
        <w:rPr>
          <w:rFonts w:eastAsiaTheme="minorEastAsia"/>
          <w:sz w:val="24"/>
          <w:szCs w:val="24"/>
        </w:rPr>
        <w:t xml:space="preserve"> </w:t>
      </w:r>
      <w:r w:rsidR="00522D62">
        <w:rPr>
          <w:rFonts w:eastAsiaTheme="minorEastAsia"/>
          <w:sz w:val="24"/>
          <w:szCs w:val="24"/>
        </w:rPr>
        <w:t xml:space="preserve">medical </w:t>
      </w:r>
      <w:r w:rsidR="00916EC5">
        <w:rPr>
          <w:rFonts w:eastAsiaTheme="minorEastAsia"/>
          <w:sz w:val="24"/>
          <w:szCs w:val="24"/>
        </w:rPr>
        <w:t xml:space="preserve">QHP </w:t>
      </w:r>
      <w:r w:rsidRPr="49CEF218" w:rsidR="0078663F">
        <w:rPr>
          <w:rFonts w:eastAsiaTheme="minorEastAsia"/>
          <w:sz w:val="24"/>
          <w:szCs w:val="24"/>
        </w:rPr>
        <w:t>issuer</w:t>
      </w:r>
      <w:r w:rsidR="00AC5C4D">
        <w:rPr>
          <w:rFonts w:eastAsiaTheme="minorEastAsia"/>
          <w:sz w:val="24"/>
          <w:szCs w:val="24"/>
        </w:rPr>
        <w:t>s</w:t>
      </w:r>
      <w:r w:rsidR="006E662F">
        <w:rPr>
          <w:rFonts w:eastAsiaTheme="minorEastAsia"/>
          <w:sz w:val="24"/>
          <w:szCs w:val="24"/>
        </w:rPr>
        <w:t>.</w:t>
      </w:r>
      <w:r w:rsidR="00AC5C4D">
        <w:rPr>
          <w:rFonts w:eastAsiaTheme="minorEastAsia"/>
          <w:sz w:val="24"/>
          <w:szCs w:val="24"/>
        </w:rPr>
        <w:t xml:space="preserve"> </w:t>
      </w:r>
      <w:r w:rsidR="006C7E59">
        <w:rPr>
          <w:rFonts w:eastAsiaTheme="minorEastAsia"/>
          <w:sz w:val="24"/>
          <w:szCs w:val="24"/>
        </w:rPr>
        <w:t xml:space="preserve">We further estimate </w:t>
      </w:r>
      <w:r w:rsidR="00EC32C1">
        <w:rPr>
          <w:rFonts w:eastAsiaTheme="minorEastAsia"/>
          <w:sz w:val="24"/>
          <w:szCs w:val="24"/>
        </w:rPr>
        <w:t xml:space="preserve">each </w:t>
      </w:r>
      <w:r w:rsidR="008A26A9">
        <w:rPr>
          <w:rFonts w:eastAsiaTheme="minorEastAsia"/>
          <w:sz w:val="24"/>
          <w:szCs w:val="24"/>
        </w:rPr>
        <w:t xml:space="preserve">medical QHP </w:t>
      </w:r>
      <w:r w:rsidR="00DF7733">
        <w:rPr>
          <w:rFonts w:eastAsiaTheme="minorEastAsia"/>
          <w:sz w:val="24"/>
          <w:szCs w:val="24"/>
        </w:rPr>
        <w:t>issuer has an average of 1.</w:t>
      </w:r>
      <w:r w:rsidR="00D51911">
        <w:rPr>
          <w:rFonts w:eastAsiaTheme="minorEastAsia"/>
          <w:sz w:val="24"/>
          <w:szCs w:val="24"/>
        </w:rPr>
        <w:t>8</w:t>
      </w:r>
      <w:r w:rsidR="003B149F">
        <w:rPr>
          <w:rFonts w:eastAsiaTheme="minorEastAsia"/>
          <w:sz w:val="24"/>
          <w:szCs w:val="24"/>
        </w:rPr>
        <w:t xml:space="preserve"> unique </w:t>
      </w:r>
      <w:r w:rsidR="004C649D">
        <w:rPr>
          <w:rFonts w:eastAsiaTheme="minorEastAsia"/>
          <w:sz w:val="24"/>
          <w:szCs w:val="24"/>
        </w:rPr>
        <w:t xml:space="preserve">issuer </w:t>
      </w:r>
      <w:r w:rsidR="00DF7733">
        <w:rPr>
          <w:rFonts w:eastAsiaTheme="minorEastAsia"/>
          <w:sz w:val="24"/>
          <w:szCs w:val="24"/>
        </w:rPr>
        <w:t xml:space="preserve">networks. </w:t>
      </w:r>
      <w:r w:rsidR="006661AC">
        <w:rPr>
          <w:rFonts w:eastAsiaTheme="minorEastAsia"/>
          <w:sz w:val="24"/>
          <w:szCs w:val="24"/>
        </w:rPr>
        <w:t>T</w:t>
      </w:r>
      <w:r w:rsidRPr="0017258F" w:rsidR="006661AC">
        <w:rPr>
          <w:rFonts w:eastAsiaTheme="minorEastAsia"/>
          <w:sz w:val="24"/>
          <w:szCs w:val="24"/>
        </w:rPr>
        <w:t>herefore,</w:t>
      </w:r>
      <w:r w:rsidRPr="0017258F" w:rsidR="00CD6F25">
        <w:rPr>
          <w:rFonts w:eastAsiaTheme="minorEastAsia"/>
          <w:sz w:val="24"/>
          <w:szCs w:val="24"/>
        </w:rPr>
        <w:t xml:space="preserve"> we</w:t>
      </w:r>
      <w:r w:rsidRPr="0017258F" w:rsidR="009410FA">
        <w:rPr>
          <w:rFonts w:eastAsiaTheme="minorEastAsia"/>
          <w:sz w:val="24"/>
          <w:szCs w:val="24"/>
        </w:rPr>
        <w:t xml:space="preserve"> estimate that</w:t>
      </w:r>
      <w:r w:rsidRPr="006E662F" w:rsidR="006661AC">
        <w:rPr>
          <w:rFonts w:eastAsiaTheme="minorEastAsia"/>
          <w:sz w:val="24"/>
          <w:szCs w:val="24"/>
        </w:rPr>
        <w:t xml:space="preserve"> each medical QHP issuer will execute a secret shopper survey of providers in</w:t>
      </w:r>
      <w:r w:rsidRPr="006E662F" w:rsidR="0076017E">
        <w:rPr>
          <w:rFonts w:eastAsiaTheme="minorEastAsia"/>
          <w:sz w:val="24"/>
          <w:szCs w:val="24"/>
        </w:rPr>
        <w:t xml:space="preserve"> </w:t>
      </w:r>
      <w:r w:rsidRPr="006E662F" w:rsidR="00677B43">
        <w:rPr>
          <w:rFonts w:eastAsiaTheme="minorEastAsia"/>
          <w:sz w:val="24"/>
          <w:szCs w:val="24"/>
        </w:rPr>
        <w:t xml:space="preserve">1.8 </w:t>
      </w:r>
      <w:r w:rsidRPr="006E662F" w:rsidR="005C68C7">
        <w:rPr>
          <w:rFonts w:eastAsiaTheme="minorEastAsia"/>
          <w:sz w:val="24"/>
          <w:szCs w:val="24"/>
        </w:rPr>
        <w:t>unique i</w:t>
      </w:r>
      <w:r w:rsidRPr="006E662F" w:rsidR="00677B43">
        <w:rPr>
          <w:rFonts w:eastAsiaTheme="minorEastAsia"/>
          <w:sz w:val="24"/>
          <w:szCs w:val="24"/>
        </w:rPr>
        <w:t>ssuer networks</w:t>
      </w:r>
      <w:r w:rsidRPr="006E662F" w:rsidR="0076017E">
        <w:rPr>
          <w:rFonts w:eastAsiaTheme="minorEastAsia"/>
          <w:bCs/>
          <w:sz w:val="24"/>
          <w:szCs w:val="24"/>
        </w:rPr>
        <w:t xml:space="preserve">. For each unique issuer network surveyed, results will be reported. </w:t>
      </w:r>
    </w:p>
    <w:p w:rsidR="00494FBD" w:rsidP="00717DFD" w14:paraId="3E097218" w14:textId="77777777">
      <w:pPr>
        <w:rPr>
          <w:b/>
          <w:bCs/>
          <w:sz w:val="24"/>
          <w:szCs w:val="24"/>
        </w:rPr>
      </w:pPr>
    </w:p>
    <w:p w:rsidR="00554779" w:rsidRPr="000706E4" w:rsidP="00717DFD" w14:paraId="0B6E38EF" w14:textId="04951AE6">
      <w:pPr>
        <w:rPr>
          <w:sz w:val="24"/>
          <w:szCs w:val="24"/>
        </w:rPr>
      </w:pPr>
      <w:r>
        <w:rPr>
          <w:b/>
          <w:bCs/>
          <w:sz w:val="24"/>
          <w:szCs w:val="24"/>
        </w:rPr>
        <w:t>Survey Preparation</w:t>
      </w:r>
      <w:r w:rsidR="00805E12">
        <w:rPr>
          <w:b/>
          <w:bCs/>
          <w:sz w:val="24"/>
          <w:szCs w:val="24"/>
        </w:rPr>
        <w:t>.</w:t>
      </w:r>
      <w:r w:rsidRPr="000706E4">
        <w:rPr>
          <w:sz w:val="24"/>
          <w:szCs w:val="24"/>
        </w:rPr>
        <w:t xml:space="preserve"> </w:t>
      </w:r>
      <w:r w:rsidR="00BF5130">
        <w:rPr>
          <w:sz w:val="24"/>
          <w:szCs w:val="24"/>
        </w:rPr>
        <w:t>CMS estimates</w:t>
      </w:r>
      <w:r w:rsidRPr="000706E4">
        <w:rPr>
          <w:sz w:val="24"/>
          <w:szCs w:val="24"/>
        </w:rPr>
        <w:t xml:space="preserve"> it may take, on average, </w:t>
      </w:r>
      <w:r w:rsidR="00F23428">
        <w:rPr>
          <w:sz w:val="24"/>
          <w:szCs w:val="24"/>
        </w:rPr>
        <w:t>40</w:t>
      </w:r>
      <w:r w:rsidRPr="000706E4">
        <w:rPr>
          <w:sz w:val="24"/>
          <w:szCs w:val="24"/>
        </w:rPr>
        <w:t xml:space="preserve"> hours </w:t>
      </w:r>
      <w:r w:rsidR="00F23428">
        <w:rPr>
          <w:sz w:val="24"/>
          <w:szCs w:val="24"/>
        </w:rPr>
        <w:t>per</w:t>
      </w:r>
      <w:r w:rsidRPr="000706E4">
        <w:rPr>
          <w:sz w:val="24"/>
          <w:szCs w:val="24"/>
        </w:rPr>
        <w:t xml:space="preserve"> issuer </w:t>
      </w:r>
      <w:r w:rsidR="005846DA">
        <w:rPr>
          <w:sz w:val="24"/>
          <w:szCs w:val="24"/>
        </w:rPr>
        <w:t xml:space="preserve">for a Business Operations Specialist </w:t>
      </w:r>
      <w:r w:rsidRPr="000706E4">
        <w:rPr>
          <w:sz w:val="24"/>
          <w:szCs w:val="24"/>
        </w:rPr>
        <w:t xml:space="preserve">to </w:t>
      </w:r>
      <w:r w:rsidR="005637A3">
        <w:rPr>
          <w:sz w:val="24"/>
          <w:szCs w:val="24"/>
        </w:rPr>
        <w:t>engage in the activities</w:t>
      </w:r>
      <w:r w:rsidRPr="000706E4">
        <w:rPr>
          <w:sz w:val="24"/>
          <w:szCs w:val="24"/>
        </w:rPr>
        <w:t xml:space="preserve"> necessary to </w:t>
      </w:r>
      <w:r w:rsidR="005637A3">
        <w:rPr>
          <w:sz w:val="24"/>
          <w:szCs w:val="24"/>
        </w:rPr>
        <w:t>execute a contract</w:t>
      </w:r>
      <w:r w:rsidRPr="000706E4">
        <w:rPr>
          <w:sz w:val="24"/>
          <w:szCs w:val="24"/>
        </w:rPr>
        <w:t xml:space="preserve"> with a third</w:t>
      </w:r>
      <w:r w:rsidR="00232AA3">
        <w:rPr>
          <w:sz w:val="24"/>
          <w:szCs w:val="24"/>
        </w:rPr>
        <w:t>-</w:t>
      </w:r>
      <w:r w:rsidRPr="000706E4">
        <w:rPr>
          <w:sz w:val="24"/>
          <w:szCs w:val="24"/>
        </w:rPr>
        <w:t xml:space="preserve">party </w:t>
      </w:r>
      <w:r w:rsidR="005637A3">
        <w:rPr>
          <w:sz w:val="24"/>
          <w:szCs w:val="24"/>
        </w:rPr>
        <w:t xml:space="preserve">survey </w:t>
      </w:r>
      <w:r w:rsidRPr="000706E4">
        <w:rPr>
          <w:sz w:val="24"/>
          <w:szCs w:val="24"/>
        </w:rPr>
        <w:t>entity to administer the provider secret shopper surveys</w:t>
      </w:r>
      <w:r w:rsidR="005637A3">
        <w:rPr>
          <w:sz w:val="24"/>
          <w:szCs w:val="24"/>
        </w:rPr>
        <w:t xml:space="preserve">, to include development and release of a request for proposals (RFP), review of </w:t>
      </w:r>
      <w:r w:rsidR="001F08DA">
        <w:rPr>
          <w:sz w:val="24"/>
          <w:szCs w:val="24"/>
        </w:rPr>
        <w:t>proposal submissions, selection of a vendor</w:t>
      </w:r>
      <w:r w:rsidR="00060A00">
        <w:rPr>
          <w:sz w:val="24"/>
          <w:szCs w:val="24"/>
        </w:rPr>
        <w:t>, and contract execution</w:t>
      </w:r>
      <w:r w:rsidRPr="000706E4" w:rsidR="009C0554">
        <w:rPr>
          <w:sz w:val="24"/>
          <w:szCs w:val="24"/>
        </w:rPr>
        <w:t xml:space="preserve">. </w:t>
      </w:r>
    </w:p>
    <w:p w:rsidR="00717DFD" w:rsidP="00717DFD" w14:paraId="255BC49F" w14:textId="77777777">
      <w:pPr>
        <w:rPr>
          <w:sz w:val="24"/>
          <w:szCs w:val="24"/>
        </w:rPr>
      </w:pPr>
    </w:p>
    <w:p w:rsidR="004A0BB1" w:rsidP="00717DFD" w14:paraId="3CB3744F" w14:textId="1BE1F5CF">
      <w:pPr>
        <w:rPr>
          <w:color w:val="FF0000"/>
          <w:sz w:val="24"/>
          <w:szCs w:val="24"/>
        </w:rPr>
      </w:pPr>
      <w:r w:rsidRPr="000706E4">
        <w:rPr>
          <w:sz w:val="24"/>
          <w:szCs w:val="24"/>
        </w:rPr>
        <w:t xml:space="preserve">We estimate that it may take, on average, </w:t>
      </w:r>
      <w:r w:rsidR="001F0595">
        <w:rPr>
          <w:sz w:val="24"/>
          <w:szCs w:val="24"/>
        </w:rPr>
        <w:t>48</w:t>
      </w:r>
      <w:r w:rsidRPr="000706E4">
        <w:rPr>
          <w:sz w:val="24"/>
          <w:szCs w:val="24"/>
        </w:rPr>
        <w:t xml:space="preserve"> hours for</w:t>
      </w:r>
      <w:r w:rsidR="002A30F5">
        <w:rPr>
          <w:sz w:val="24"/>
          <w:szCs w:val="24"/>
        </w:rPr>
        <w:t xml:space="preserve"> a Business Operations Specialist on behalf of</w:t>
      </w:r>
      <w:r w:rsidRPr="000706E4">
        <w:rPr>
          <w:sz w:val="24"/>
          <w:szCs w:val="24"/>
        </w:rPr>
        <w:t xml:space="preserve"> the</w:t>
      </w:r>
      <w:r w:rsidR="001F0595">
        <w:rPr>
          <w:sz w:val="24"/>
          <w:szCs w:val="24"/>
        </w:rPr>
        <w:t xml:space="preserve"> issuer and</w:t>
      </w:r>
      <w:r w:rsidRPr="000706E4">
        <w:rPr>
          <w:sz w:val="24"/>
          <w:szCs w:val="24"/>
        </w:rPr>
        <w:t xml:space="preserve"> third party to </w:t>
      </w:r>
      <w:r w:rsidR="001F0595">
        <w:rPr>
          <w:sz w:val="24"/>
          <w:szCs w:val="24"/>
        </w:rPr>
        <w:t>develop and prepare</w:t>
      </w:r>
      <w:r w:rsidRPr="000706E4">
        <w:rPr>
          <w:sz w:val="24"/>
          <w:szCs w:val="24"/>
        </w:rPr>
        <w:t xml:space="preserve"> a </w:t>
      </w:r>
      <w:r w:rsidR="001F0595">
        <w:rPr>
          <w:sz w:val="24"/>
          <w:szCs w:val="24"/>
        </w:rPr>
        <w:t>survey</w:t>
      </w:r>
      <w:r w:rsidR="007719BF">
        <w:rPr>
          <w:sz w:val="24"/>
          <w:szCs w:val="24"/>
        </w:rPr>
        <w:t xml:space="preserve"> script, sampling</w:t>
      </w:r>
      <w:r w:rsidR="001F0595">
        <w:rPr>
          <w:sz w:val="24"/>
          <w:szCs w:val="24"/>
        </w:rPr>
        <w:t xml:space="preserve"> </w:t>
      </w:r>
      <w:r w:rsidRPr="000706E4">
        <w:rPr>
          <w:sz w:val="24"/>
          <w:szCs w:val="24"/>
        </w:rPr>
        <w:t>frame</w:t>
      </w:r>
      <w:r w:rsidR="00153849">
        <w:rPr>
          <w:sz w:val="24"/>
          <w:szCs w:val="24"/>
        </w:rPr>
        <w:t xml:space="preserve">, </w:t>
      </w:r>
      <w:r w:rsidR="007859E7">
        <w:rPr>
          <w:sz w:val="24"/>
          <w:szCs w:val="24"/>
        </w:rPr>
        <w:t>and data collection protocol</w:t>
      </w:r>
      <w:r w:rsidRPr="006E662F" w:rsidR="00AB3C47">
        <w:rPr>
          <w:sz w:val="24"/>
          <w:szCs w:val="24"/>
        </w:rPr>
        <w:t>.</w:t>
      </w:r>
    </w:p>
    <w:p w:rsidR="006E662F" w:rsidP="00717DFD" w14:paraId="469FCC2F" w14:textId="77777777">
      <w:pPr>
        <w:rPr>
          <w:sz w:val="24"/>
          <w:szCs w:val="24"/>
        </w:rPr>
      </w:pPr>
    </w:p>
    <w:p w:rsidR="004A0BB1" w:rsidP="00717DFD" w14:paraId="644ED663" w14:textId="1E22397B">
      <w:pPr>
        <w:rPr>
          <w:sz w:val="24"/>
          <w:szCs w:val="24"/>
        </w:rPr>
      </w:pPr>
      <w:r>
        <w:rPr>
          <w:sz w:val="24"/>
          <w:szCs w:val="24"/>
        </w:rPr>
        <w:t xml:space="preserve">We </w:t>
      </w:r>
      <w:r w:rsidR="00FF5127">
        <w:rPr>
          <w:sz w:val="24"/>
          <w:szCs w:val="24"/>
        </w:rPr>
        <w:t xml:space="preserve">further </w:t>
      </w:r>
      <w:r>
        <w:rPr>
          <w:sz w:val="24"/>
          <w:szCs w:val="24"/>
        </w:rPr>
        <w:t>estimat</w:t>
      </w:r>
      <w:r w:rsidR="00E10AC0">
        <w:rPr>
          <w:sz w:val="24"/>
          <w:szCs w:val="24"/>
        </w:rPr>
        <w:t>e it may take, on average,</w:t>
      </w:r>
      <w:r w:rsidR="006C2159">
        <w:rPr>
          <w:sz w:val="24"/>
          <w:szCs w:val="24"/>
        </w:rPr>
        <w:t xml:space="preserve"> </w:t>
      </w:r>
      <w:r w:rsidR="00361C3C">
        <w:rPr>
          <w:sz w:val="24"/>
          <w:szCs w:val="24"/>
        </w:rPr>
        <w:t>on behalf of</w:t>
      </w:r>
      <w:r w:rsidR="006C2159">
        <w:rPr>
          <w:sz w:val="24"/>
          <w:szCs w:val="24"/>
        </w:rPr>
        <w:t xml:space="preserve"> each </w:t>
      </w:r>
      <w:r w:rsidR="00361C3C">
        <w:rPr>
          <w:sz w:val="24"/>
          <w:szCs w:val="24"/>
        </w:rPr>
        <w:t>third party and</w:t>
      </w:r>
      <w:r w:rsidR="006C2159">
        <w:rPr>
          <w:sz w:val="24"/>
          <w:szCs w:val="24"/>
        </w:rPr>
        <w:t xml:space="preserve"> QHP issuer</w:t>
      </w:r>
      <w:r w:rsidR="00361C3C">
        <w:rPr>
          <w:sz w:val="24"/>
          <w:szCs w:val="24"/>
        </w:rPr>
        <w:t xml:space="preserve">, </w:t>
      </w:r>
      <w:r w:rsidR="00C76E95">
        <w:rPr>
          <w:sz w:val="24"/>
          <w:szCs w:val="24"/>
        </w:rPr>
        <w:t xml:space="preserve">8 </w:t>
      </w:r>
      <w:r w:rsidR="00E10AC0">
        <w:rPr>
          <w:sz w:val="24"/>
          <w:szCs w:val="24"/>
        </w:rPr>
        <w:t xml:space="preserve">hours for a </w:t>
      </w:r>
      <w:r w:rsidR="006C2159">
        <w:rPr>
          <w:sz w:val="24"/>
          <w:szCs w:val="24"/>
        </w:rPr>
        <w:t>G</w:t>
      </w:r>
      <w:r w:rsidR="00C76E95">
        <w:rPr>
          <w:sz w:val="24"/>
          <w:szCs w:val="24"/>
        </w:rPr>
        <w:t xml:space="preserve">eneral and </w:t>
      </w:r>
      <w:r w:rsidR="006C2159">
        <w:rPr>
          <w:sz w:val="24"/>
          <w:szCs w:val="24"/>
        </w:rPr>
        <w:t>O</w:t>
      </w:r>
      <w:r w:rsidR="00C76E95">
        <w:rPr>
          <w:sz w:val="24"/>
          <w:szCs w:val="24"/>
        </w:rPr>
        <w:t xml:space="preserve">perations manager to train </w:t>
      </w:r>
      <w:r w:rsidR="006C2159">
        <w:rPr>
          <w:sz w:val="24"/>
          <w:szCs w:val="24"/>
        </w:rPr>
        <w:t>15 Compliance Officer</w:t>
      </w:r>
      <w:r w:rsidR="00361C3C">
        <w:rPr>
          <w:sz w:val="24"/>
          <w:szCs w:val="24"/>
        </w:rPr>
        <w:t>s</w:t>
      </w:r>
      <w:r w:rsidR="003F6980">
        <w:rPr>
          <w:sz w:val="24"/>
          <w:szCs w:val="24"/>
        </w:rPr>
        <w:t>. It will take the</w:t>
      </w:r>
      <w:r w:rsidR="00FD7832">
        <w:rPr>
          <w:sz w:val="24"/>
          <w:szCs w:val="24"/>
        </w:rPr>
        <w:t xml:space="preserve"> Compliance Officers</w:t>
      </w:r>
      <w:r w:rsidR="003F6980">
        <w:rPr>
          <w:sz w:val="24"/>
          <w:szCs w:val="24"/>
        </w:rPr>
        <w:t xml:space="preserve"> </w:t>
      </w:r>
      <w:r w:rsidR="00FD7832">
        <w:rPr>
          <w:sz w:val="24"/>
          <w:szCs w:val="24"/>
        </w:rPr>
        <w:t>120 hours</w:t>
      </w:r>
      <w:r w:rsidR="003F6980">
        <w:rPr>
          <w:sz w:val="24"/>
          <w:szCs w:val="24"/>
        </w:rPr>
        <w:t xml:space="preserve"> to complete the training in order</w:t>
      </w:r>
      <w:r w:rsidR="00361C3C">
        <w:rPr>
          <w:sz w:val="24"/>
          <w:szCs w:val="24"/>
        </w:rPr>
        <w:t xml:space="preserve"> to execute </w:t>
      </w:r>
      <w:r w:rsidR="00E86B93">
        <w:rPr>
          <w:sz w:val="24"/>
          <w:szCs w:val="24"/>
        </w:rPr>
        <w:t xml:space="preserve">the secret shopper calls to providers. </w:t>
      </w:r>
    </w:p>
    <w:p w:rsidR="002458FF" w:rsidP="00717DFD" w14:paraId="44B6A1FE" w14:textId="77777777">
      <w:pPr>
        <w:rPr>
          <w:sz w:val="24"/>
          <w:szCs w:val="24"/>
        </w:rPr>
      </w:pPr>
    </w:p>
    <w:p w:rsidR="002458FF" w:rsidP="00717DFD" w14:paraId="216BEA8E" w14:textId="730D64AC">
      <w:pPr>
        <w:rPr>
          <w:sz w:val="24"/>
          <w:szCs w:val="24"/>
        </w:rPr>
      </w:pPr>
      <w:r>
        <w:rPr>
          <w:sz w:val="24"/>
          <w:szCs w:val="24"/>
        </w:rPr>
        <w:t>In summary,</w:t>
      </w:r>
      <w:r>
        <w:rPr>
          <w:sz w:val="24"/>
          <w:szCs w:val="24"/>
        </w:rPr>
        <w:t xml:space="preserve"> we estimate it will take </w:t>
      </w:r>
      <w:r w:rsidR="003A1AD5">
        <w:rPr>
          <w:sz w:val="24"/>
          <w:szCs w:val="24"/>
        </w:rPr>
        <w:t xml:space="preserve">216 </w:t>
      </w:r>
      <w:r>
        <w:rPr>
          <w:sz w:val="24"/>
          <w:szCs w:val="24"/>
        </w:rPr>
        <w:t xml:space="preserve">hours per medical QHP issuer to hire a survey vendor, prepare the survey, and train </w:t>
      </w:r>
      <w:r w:rsidR="00545464">
        <w:rPr>
          <w:sz w:val="24"/>
          <w:szCs w:val="24"/>
        </w:rPr>
        <w:t xml:space="preserve">the necessary staff to execute the survey. </w:t>
      </w:r>
    </w:p>
    <w:p w:rsidR="0091658C" w:rsidP="00717DFD" w14:paraId="621AB2AD" w14:textId="77777777">
      <w:pPr>
        <w:rPr>
          <w:rFonts w:eastAsiaTheme="minorEastAsia"/>
          <w:b/>
          <w:sz w:val="24"/>
          <w:szCs w:val="24"/>
        </w:rPr>
      </w:pPr>
    </w:p>
    <w:p w:rsidR="00AB3C47" w:rsidP="00717DFD" w14:paraId="688FB3DA" w14:textId="1511860A">
      <w:pPr>
        <w:rPr>
          <w:sz w:val="24"/>
          <w:szCs w:val="24"/>
        </w:rPr>
      </w:pPr>
      <w:r w:rsidRPr="000706E4">
        <w:rPr>
          <w:rFonts w:eastAsiaTheme="minorEastAsia"/>
          <w:b/>
          <w:sz w:val="24"/>
          <w:szCs w:val="24"/>
        </w:rPr>
        <w:t>Survey vendors.</w:t>
      </w:r>
      <w:r w:rsidRPr="000706E4">
        <w:rPr>
          <w:rFonts w:eastAsiaTheme="minorEastAsia"/>
          <w:sz w:val="24"/>
          <w:szCs w:val="24"/>
        </w:rPr>
        <w:t xml:space="preserve"> CMS is not prescribing a list of survey vendors to use for the </w:t>
      </w:r>
      <w:r w:rsidR="005D0CE2">
        <w:rPr>
          <w:rFonts w:eastAsiaTheme="minorEastAsia"/>
          <w:sz w:val="24"/>
          <w:szCs w:val="24"/>
        </w:rPr>
        <w:t>appointment wait time</w:t>
      </w:r>
      <w:r w:rsidRPr="000706E4">
        <w:rPr>
          <w:rFonts w:eastAsiaTheme="minorEastAsia"/>
          <w:sz w:val="24"/>
          <w:szCs w:val="24"/>
        </w:rPr>
        <w:t xml:space="preserve"> provider secret shopper survey. However, the results of each survey must follow the general submission requirements that will be outlined in future guidance</w:t>
      </w:r>
      <w:r w:rsidR="00BD3848">
        <w:rPr>
          <w:rFonts w:eastAsiaTheme="minorEastAsia"/>
          <w:sz w:val="24"/>
          <w:szCs w:val="24"/>
        </w:rPr>
        <w:t>.</w:t>
      </w:r>
    </w:p>
    <w:p w:rsidR="00717DFD" w:rsidP="00717DFD" w14:paraId="34E02C97" w14:textId="77777777">
      <w:pPr>
        <w:rPr>
          <w:b/>
          <w:bCs/>
          <w:sz w:val="24"/>
          <w:szCs w:val="24"/>
        </w:rPr>
      </w:pPr>
    </w:p>
    <w:p w:rsidR="00AC18D2" w:rsidP="00717DFD" w14:paraId="7101C3E4" w14:textId="3347D255">
      <w:pPr>
        <w:rPr>
          <w:sz w:val="24"/>
          <w:szCs w:val="24"/>
        </w:rPr>
      </w:pPr>
      <w:r w:rsidRPr="002B4BF3">
        <w:rPr>
          <w:b/>
          <w:bCs/>
          <w:sz w:val="24"/>
          <w:szCs w:val="24"/>
        </w:rPr>
        <w:t>Survey Administration</w:t>
      </w:r>
      <w:r>
        <w:rPr>
          <w:sz w:val="24"/>
          <w:szCs w:val="24"/>
        </w:rPr>
        <w:t xml:space="preserve">. </w:t>
      </w:r>
      <w:r w:rsidR="00467FCF">
        <w:rPr>
          <w:sz w:val="24"/>
          <w:szCs w:val="24"/>
        </w:rPr>
        <w:t xml:space="preserve">The estimated </w:t>
      </w:r>
      <w:r w:rsidR="007F1BF2">
        <w:rPr>
          <w:sz w:val="24"/>
          <w:szCs w:val="24"/>
        </w:rPr>
        <w:t xml:space="preserve">the </w:t>
      </w:r>
      <w:r w:rsidR="00467FCF">
        <w:rPr>
          <w:sz w:val="24"/>
          <w:szCs w:val="24"/>
        </w:rPr>
        <w:t xml:space="preserve">number of hours it will take </w:t>
      </w:r>
      <w:r w:rsidR="00AC72F5">
        <w:rPr>
          <w:sz w:val="24"/>
          <w:szCs w:val="24"/>
        </w:rPr>
        <w:t xml:space="preserve">a </w:t>
      </w:r>
      <w:r w:rsidR="005846DA">
        <w:rPr>
          <w:sz w:val="24"/>
          <w:szCs w:val="24"/>
        </w:rPr>
        <w:t xml:space="preserve">Compliance </w:t>
      </w:r>
      <w:r w:rsidR="002661ED">
        <w:rPr>
          <w:sz w:val="24"/>
          <w:szCs w:val="24"/>
        </w:rPr>
        <w:t>Officer</w:t>
      </w:r>
      <w:r w:rsidR="00B83E72">
        <w:rPr>
          <w:sz w:val="24"/>
          <w:szCs w:val="24"/>
        </w:rPr>
        <w:t>,</w:t>
      </w:r>
      <w:r w:rsidR="002661ED">
        <w:rPr>
          <w:sz w:val="24"/>
          <w:szCs w:val="24"/>
        </w:rPr>
        <w:t xml:space="preserve"> </w:t>
      </w:r>
      <w:r w:rsidR="00B83E72">
        <w:rPr>
          <w:sz w:val="24"/>
          <w:szCs w:val="24"/>
        </w:rPr>
        <w:t>employed by the survey</w:t>
      </w:r>
      <w:r w:rsidR="005846DA">
        <w:rPr>
          <w:sz w:val="24"/>
          <w:szCs w:val="24"/>
        </w:rPr>
        <w:t xml:space="preserve"> </w:t>
      </w:r>
      <w:r w:rsidR="00467FCF">
        <w:rPr>
          <w:sz w:val="24"/>
          <w:szCs w:val="24"/>
        </w:rPr>
        <w:t>vendor</w:t>
      </w:r>
      <w:r w:rsidR="00B83E72">
        <w:rPr>
          <w:sz w:val="24"/>
          <w:szCs w:val="24"/>
        </w:rPr>
        <w:t xml:space="preserve">, </w:t>
      </w:r>
      <w:r w:rsidRPr="000706E4" w:rsidR="00554779">
        <w:rPr>
          <w:sz w:val="24"/>
          <w:szCs w:val="24"/>
        </w:rPr>
        <w:t>to administer</w:t>
      </w:r>
      <w:r w:rsidR="00094BEC">
        <w:rPr>
          <w:sz w:val="24"/>
          <w:szCs w:val="24"/>
        </w:rPr>
        <w:t xml:space="preserve"> secret shopper</w:t>
      </w:r>
      <w:r w:rsidRPr="000706E4" w:rsidR="00554779">
        <w:rPr>
          <w:sz w:val="24"/>
          <w:szCs w:val="24"/>
        </w:rPr>
        <w:t xml:space="preserve"> survey</w:t>
      </w:r>
      <w:r w:rsidR="00B83E72">
        <w:rPr>
          <w:sz w:val="24"/>
          <w:szCs w:val="24"/>
        </w:rPr>
        <w:t xml:space="preserve"> calls</w:t>
      </w:r>
      <w:r w:rsidR="00094BEC">
        <w:rPr>
          <w:sz w:val="24"/>
          <w:szCs w:val="24"/>
        </w:rPr>
        <w:t xml:space="preserve"> to providers</w:t>
      </w:r>
      <w:r w:rsidRPr="000706E4" w:rsidR="00554779">
        <w:rPr>
          <w:sz w:val="24"/>
          <w:szCs w:val="24"/>
        </w:rPr>
        <w:t xml:space="preserve"> </w:t>
      </w:r>
      <w:r w:rsidR="00973E1B">
        <w:rPr>
          <w:sz w:val="24"/>
          <w:szCs w:val="24"/>
        </w:rPr>
        <w:t>is</w:t>
      </w:r>
      <w:r w:rsidRPr="000706E4" w:rsidR="00554779">
        <w:rPr>
          <w:sz w:val="24"/>
          <w:szCs w:val="24"/>
        </w:rPr>
        <w:t xml:space="preserve"> based on </w:t>
      </w:r>
      <w:r w:rsidR="00973E1B">
        <w:rPr>
          <w:sz w:val="24"/>
          <w:szCs w:val="24"/>
        </w:rPr>
        <w:t xml:space="preserve">summing </w:t>
      </w:r>
      <w:r w:rsidRPr="000706E4" w:rsidR="00554779">
        <w:rPr>
          <w:sz w:val="24"/>
          <w:szCs w:val="24"/>
        </w:rPr>
        <w:t>a statistically</w:t>
      </w:r>
      <w:r w:rsidR="00467FCF">
        <w:rPr>
          <w:sz w:val="24"/>
          <w:szCs w:val="24"/>
        </w:rPr>
        <w:t>-</w:t>
      </w:r>
      <w:r w:rsidRPr="000706E4" w:rsidR="00554779">
        <w:rPr>
          <w:sz w:val="24"/>
          <w:szCs w:val="24"/>
        </w:rPr>
        <w:t xml:space="preserve">valid sample </w:t>
      </w:r>
      <w:r w:rsidR="00094BEC">
        <w:rPr>
          <w:sz w:val="24"/>
          <w:szCs w:val="24"/>
        </w:rPr>
        <w:t>size drawn from</w:t>
      </w:r>
      <w:r w:rsidRPr="000706E4" w:rsidR="00554779">
        <w:rPr>
          <w:sz w:val="24"/>
          <w:szCs w:val="24"/>
        </w:rPr>
        <w:t xml:space="preserve"> the average </w:t>
      </w:r>
      <w:r w:rsidR="00094BEC">
        <w:rPr>
          <w:sz w:val="24"/>
          <w:szCs w:val="24"/>
        </w:rPr>
        <w:t>number of primary care providers in</w:t>
      </w:r>
      <w:r w:rsidRPr="000706E4" w:rsidR="00554779">
        <w:rPr>
          <w:sz w:val="24"/>
          <w:szCs w:val="24"/>
        </w:rPr>
        <w:t xml:space="preserve"> </w:t>
      </w:r>
      <w:r w:rsidR="00094BEC">
        <w:rPr>
          <w:sz w:val="24"/>
          <w:szCs w:val="24"/>
        </w:rPr>
        <w:t>m</w:t>
      </w:r>
      <w:r w:rsidRPr="000706E4" w:rsidR="00554779">
        <w:rPr>
          <w:sz w:val="24"/>
          <w:szCs w:val="24"/>
        </w:rPr>
        <w:t>edical QHPs</w:t>
      </w:r>
      <w:r w:rsidR="00973E1B">
        <w:rPr>
          <w:sz w:val="24"/>
          <w:szCs w:val="24"/>
        </w:rPr>
        <w:t>’</w:t>
      </w:r>
      <w:r w:rsidRPr="000706E4" w:rsidR="00554779">
        <w:rPr>
          <w:sz w:val="24"/>
          <w:szCs w:val="24"/>
        </w:rPr>
        <w:t xml:space="preserve"> </w:t>
      </w:r>
      <w:r w:rsidR="00094BEC">
        <w:rPr>
          <w:sz w:val="24"/>
          <w:szCs w:val="24"/>
        </w:rPr>
        <w:t xml:space="preserve">provider </w:t>
      </w:r>
      <w:r w:rsidRPr="000706E4" w:rsidR="00554779">
        <w:rPr>
          <w:sz w:val="24"/>
          <w:szCs w:val="24"/>
        </w:rPr>
        <w:t>network</w:t>
      </w:r>
      <w:r w:rsidR="00973E1B">
        <w:rPr>
          <w:sz w:val="24"/>
          <w:szCs w:val="24"/>
        </w:rPr>
        <w:t>s</w:t>
      </w:r>
      <w:r w:rsidRPr="000706E4" w:rsidR="00554779">
        <w:rPr>
          <w:sz w:val="24"/>
          <w:szCs w:val="24"/>
        </w:rPr>
        <w:t xml:space="preserve"> and a statistically</w:t>
      </w:r>
      <w:r w:rsidRPr="220BAEC1" w:rsidR="17C4A839">
        <w:rPr>
          <w:sz w:val="24"/>
          <w:szCs w:val="24"/>
        </w:rPr>
        <w:t xml:space="preserve"> </w:t>
      </w:r>
      <w:r w:rsidRPr="000706E4" w:rsidR="00554779">
        <w:rPr>
          <w:sz w:val="24"/>
          <w:szCs w:val="24"/>
        </w:rPr>
        <w:t>valid sample</w:t>
      </w:r>
      <w:r w:rsidR="00094BEC">
        <w:rPr>
          <w:sz w:val="24"/>
          <w:szCs w:val="24"/>
        </w:rPr>
        <w:t xml:space="preserve"> size drawn from</w:t>
      </w:r>
      <w:r w:rsidRPr="000706E4" w:rsidR="00554779">
        <w:rPr>
          <w:sz w:val="24"/>
          <w:szCs w:val="24"/>
        </w:rPr>
        <w:t xml:space="preserve"> the average </w:t>
      </w:r>
      <w:r w:rsidR="00094BEC">
        <w:rPr>
          <w:sz w:val="24"/>
          <w:szCs w:val="24"/>
        </w:rPr>
        <w:t>number of behavioral health providers in</w:t>
      </w:r>
      <w:r w:rsidRPr="000706E4" w:rsidR="00554779">
        <w:rPr>
          <w:sz w:val="24"/>
          <w:szCs w:val="24"/>
        </w:rPr>
        <w:t xml:space="preserve"> </w:t>
      </w:r>
      <w:r w:rsidR="00094BEC">
        <w:rPr>
          <w:sz w:val="24"/>
          <w:szCs w:val="24"/>
        </w:rPr>
        <w:t>medical QHPs</w:t>
      </w:r>
      <w:r w:rsidR="00973E1B">
        <w:rPr>
          <w:sz w:val="24"/>
          <w:szCs w:val="24"/>
        </w:rPr>
        <w:t>’</w:t>
      </w:r>
      <w:r w:rsidR="00094BEC">
        <w:rPr>
          <w:sz w:val="24"/>
          <w:szCs w:val="24"/>
        </w:rPr>
        <w:t xml:space="preserve"> provider network</w:t>
      </w:r>
      <w:r w:rsidR="00973E1B">
        <w:rPr>
          <w:sz w:val="24"/>
          <w:szCs w:val="24"/>
        </w:rPr>
        <w:t>s</w:t>
      </w:r>
      <w:r w:rsidRPr="000706E4" w:rsidR="00554779">
        <w:rPr>
          <w:sz w:val="24"/>
          <w:szCs w:val="24"/>
        </w:rPr>
        <w:t>.</w:t>
      </w:r>
      <w:r w:rsidR="00BD7619">
        <w:rPr>
          <w:sz w:val="24"/>
          <w:szCs w:val="24"/>
        </w:rPr>
        <w:t xml:space="preserve"> We estimate it will take 0.9 hours </w:t>
      </w:r>
      <w:r w:rsidR="001318F0">
        <w:rPr>
          <w:sz w:val="24"/>
          <w:szCs w:val="24"/>
        </w:rPr>
        <w:t xml:space="preserve">for a Compliance Officer to call each provider. </w:t>
      </w:r>
    </w:p>
    <w:p w:rsidR="00AC18D2" w:rsidP="00717DFD" w14:paraId="61B5F512" w14:textId="77777777">
      <w:pPr>
        <w:rPr>
          <w:sz w:val="24"/>
          <w:szCs w:val="24"/>
        </w:rPr>
      </w:pPr>
    </w:p>
    <w:p w:rsidR="00554779" w:rsidRPr="000706E4" w:rsidP="00717DFD" w14:paraId="52C1AA28" w14:textId="254BC23D">
      <w:pPr>
        <w:rPr>
          <w:sz w:val="24"/>
          <w:szCs w:val="24"/>
        </w:rPr>
      </w:pPr>
      <w:r w:rsidRPr="000706E4">
        <w:rPr>
          <w:sz w:val="24"/>
          <w:szCs w:val="24"/>
        </w:rPr>
        <w:t xml:space="preserve">Accordingly, we </w:t>
      </w:r>
      <w:r w:rsidR="00094BEC">
        <w:rPr>
          <w:sz w:val="24"/>
          <w:szCs w:val="24"/>
        </w:rPr>
        <w:t xml:space="preserve">estimate it </w:t>
      </w:r>
      <w:r w:rsidR="008C7244">
        <w:rPr>
          <w:sz w:val="24"/>
          <w:szCs w:val="24"/>
        </w:rPr>
        <w:t xml:space="preserve">will </w:t>
      </w:r>
      <w:r w:rsidRPr="000706E4" w:rsidR="008C7244">
        <w:rPr>
          <w:sz w:val="24"/>
          <w:szCs w:val="24"/>
        </w:rPr>
        <w:t>take</w:t>
      </w:r>
      <w:r w:rsidR="00094BEC">
        <w:rPr>
          <w:sz w:val="24"/>
          <w:szCs w:val="24"/>
        </w:rPr>
        <w:t xml:space="preserve"> an average of</w:t>
      </w:r>
      <w:r w:rsidR="00EB4BA2">
        <w:rPr>
          <w:sz w:val="24"/>
          <w:szCs w:val="24"/>
        </w:rPr>
        <w:t xml:space="preserve"> </w:t>
      </w:r>
      <w:r w:rsidR="00F323EB">
        <w:rPr>
          <w:sz w:val="24"/>
          <w:szCs w:val="24"/>
        </w:rPr>
        <w:t>1,</w:t>
      </w:r>
      <w:r w:rsidR="00541FE8">
        <w:rPr>
          <w:sz w:val="24"/>
          <w:szCs w:val="24"/>
        </w:rPr>
        <w:t>166</w:t>
      </w:r>
      <w:r w:rsidR="00803979">
        <w:rPr>
          <w:sz w:val="24"/>
          <w:szCs w:val="24"/>
        </w:rPr>
        <w:t xml:space="preserve"> </w:t>
      </w:r>
      <w:r w:rsidRPr="000706E4">
        <w:rPr>
          <w:sz w:val="24"/>
          <w:szCs w:val="24"/>
        </w:rPr>
        <w:t>hours</w:t>
      </w:r>
      <w:r w:rsidR="004D39F1">
        <w:rPr>
          <w:sz w:val="24"/>
          <w:szCs w:val="24"/>
        </w:rPr>
        <w:t xml:space="preserve"> per </w:t>
      </w:r>
      <w:r w:rsidR="00CA43A3">
        <w:rPr>
          <w:sz w:val="24"/>
          <w:szCs w:val="24"/>
        </w:rPr>
        <w:t xml:space="preserve">medical </w:t>
      </w:r>
      <w:r w:rsidR="0047538A">
        <w:rPr>
          <w:sz w:val="24"/>
          <w:szCs w:val="24"/>
        </w:rPr>
        <w:t xml:space="preserve">QHP </w:t>
      </w:r>
      <w:r w:rsidR="004D39F1">
        <w:rPr>
          <w:sz w:val="24"/>
          <w:szCs w:val="24"/>
        </w:rPr>
        <w:t xml:space="preserve">issuer </w:t>
      </w:r>
      <w:r w:rsidR="00E12364">
        <w:rPr>
          <w:sz w:val="24"/>
          <w:szCs w:val="24"/>
        </w:rPr>
        <w:t>(</w:t>
      </w:r>
      <w:r w:rsidR="0047538A">
        <w:rPr>
          <w:sz w:val="24"/>
          <w:szCs w:val="24"/>
        </w:rPr>
        <w:t xml:space="preserve">estimating </w:t>
      </w:r>
      <w:r w:rsidR="00E90C6F">
        <w:rPr>
          <w:sz w:val="24"/>
          <w:szCs w:val="24"/>
        </w:rPr>
        <w:t xml:space="preserve">an average of 1.8 unique issuer networks per </w:t>
      </w:r>
      <w:r w:rsidR="00CA43A3">
        <w:rPr>
          <w:sz w:val="24"/>
          <w:szCs w:val="24"/>
        </w:rPr>
        <w:t>medical QHP issuer</w:t>
      </w:r>
      <w:r w:rsidR="00425B8B">
        <w:rPr>
          <w:sz w:val="24"/>
          <w:szCs w:val="24"/>
        </w:rPr>
        <w:t xml:space="preserve">) </w:t>
      </w:r>
      <w:r w:rsidR="00094BEC">
        <w:rPr>
          <w:sz w:val="24"/>
          <w:szCs w:val="24"/>
        </w:rPr>
        <w:t xml:space="preserve">for survey vendors </w:t>
      </w:r>
      <w:r w:rsidRPr="000706E4">
        <w:rPr>
          <w:sz w:val="24"/>
          <w:szCs w:val="24"/>
        </w:rPr>
        <w:t xml:space="preserve">to complete the </w:t>
      </w:r>
      <w:r w:rsidR="00094BEC">
        <w:rPr>
          <w:sz w:val="24"/>
          <w:szCs w:val="24"/>
        </w:rPr>
        <w:t xml:space="preserve">necessary number of secret shopper </w:t>
      </w:r>
      <w:r w:rsidRPr="000706E4">
        <w:rPr>
          <w:sz w:val="24"/>
          <w:szCs w:val="24"/>
        </w:rPr>
        <w:t xml:space="preserve">phone calls </w:t>
      </w:r>
      <w:r w:rsidR="00094BEC">
        <w:rPr>
          <w:sz w:val="24"/>
          <w:szCs w:val="24"/>
        </w:rPr>
        <w:t xml:space="preserve">to providers </w:t>
      </w:r>
      <w:r w:rsidR="00EB468D">
        <w:rPr>
          <w:sz w:val="24"/>
          <w:szCs w:val="24"/>
        </w:rPr>
        <w:t>and record the findings</w:t>
      </w:r>
      <w:r w:rsidR="003F7B17">
        <w:rPr>
          <w:sz w:val="24"/>
          <w:szCs w:val="24"/>
        </w:rPr>
        <w:t>.</w:t>
      </w:r>
    </w:p>
    <w:p w:rsidR="00717DFD" w:rsidP="00717DFD" w14:paraId="145547A6" w14:textId="77777777">
      <w:pPr>
        <w:rPr>
          <w:b/>
          <w:bCs/>
          <w:sz w:val="24"/>
          <w:szCs w:val="24"/>
        </w:rPr>
      </w:pPr>
    </w:p>
    <w:p w:rsidR="00554779" w:rsidP="00717DFD" w14:paraId="0A6E1F57" w14:textId="5E9E606A">
      <w:pPr>
        <w:rPr>
          <w:sz w:val="24"/>
          <w:szCs w:val="24"/>
        </w:rPr>
      </w:pPr>
      <w:r w:rsidRPr="0060199C">
        <w:rPr>
          <w:b/>
          <w:bCs/>
          <w:sz w:val="24"/>
          <w:szCs w:val="24"/>
        </w:rPr>
        <w:t>Data analysis and reporting.</w:t>
      </w:r>
      <w:r>
        <w:rPr>
          <w:sz w:val="24"/>
          <w:szCs w:val="24"/>
        </w:rPr>
        <w:t xml:space="preserve"> </w:t>
      </w:r>
      <w:r w:rsidRPr="000706E4">
        <w:rPr>
          <w:sz w:val="24"/>
          <w:szCs w:val="24"/>
        </w:rPr>
        <w:t>Once</w:t>
      </w:r>
      <w:r w:rsidR="00C92395">
        <w:rPr>
          <w:sz w:val="24"/>
          <w:szCs w:val="24"/>
        </w:rPr>
        <w:t xml:space="preserve"> the minimum necessary number of survey</w:t>
      </w:r>
      <w:r w:rsidRPr="000706E4">
        <w:rPr>
          <w:sz w:val="24"/>
          <w:szCs w:val="24"/>
        </w:rPr>
        <w:t xml:space="preserve"> phone calls </w:t>
      </w:r>
      <w:r w:rsidR="00535E91">
        <w:rPr>
          <w:sz w:val="24"/>
          <w:szCs w:val="24"/>
        </w:rPr>
        <w:t>are</w:t>
      </w:r>
      <w:r w:rsidRPr="000706E4">
        <w:rPr>
          <w:sz w:val="24"/>
          <w:szCs w:val="24"/>
        </w:rPr>
        <w:t xml:space="preserve"> </w:t>
      </w:r>
      <w:r w:rsidR="00535E91">
        <w:rPr>
          <w:sz w:val="24"/>
          <w:szCs w:val="24"/>
        </w:rPr>
        <w:t>executed and raw data is recorded,</w:t>
      </w:r>
      <w:r w:rsidRPr="000706E4">
        <w:rPr>
          <w:sz w:val="24"/>
          <w:szCs w:val="24"/>
        </w:rPr>
        <w:t xml:space="preserve"> we estimate that a General </w:t>
      </w:r>
      <w:r w:rsidR="003A67A8">
        <w:rPr>
          <w:sz w:val="24"/>
          <w:szCs w:val="24"/>
        </w:rPr>
        <w:t xml:space="preserve">and </w:t>
      </w:r>
      <w:r w:rsidRPr="000706E4">
        <w:rPr>
          <w:sz w:val="24"/>
          <w:szCs w:val="24"/>
        </w:rPr>
        <w:t xml:space="preserve">Operations Manager will </w:t>
      </w:r>
      <w:r w:rsidR="004101E4">
        <w:rPr>
          <w:sz w:val="24"/>
          <w:szCs w:val="24"/>
        </w:rPr>
        <w:t xml:space="preserve">review survey </w:t>
      </w:r>
      <w:r w:rsidR="00B65D46">
        <w:rPr>
          <w:sz w:val="24"/>
          <w:szCs w:val="24"/>
        </w:rPr>
        <w:t>materials</w:t>
      </w:r>
      <w:r w:rsidR="00ED4082">
        <w:rPr>
          <w:sz w:val="24"/>
          <w:szCs w:val="24"/>
        </w:rPr>
        <w:t xml:space="preserve"> and</w:t>
      </w:r>
      <w:r w:rsidRPr="000706E4">
        <w:rPr>
          <w:sz w:val="24"/>
          <w:szCs w:val="24"/>
        </w:rPr>
        <w:t xml:space="preserve"> analyze</w:t>
      </w:r>
      <w:r w:rsidR="00535E91">
        <w:rPr>
          <w:sz w:val="24"/>
          <w:szCs w:val="24"/>
        </w:rPr>
        <w:t xml:space="preserve"> and transform</w:t>
      </w:r>
      <w:r w:rsidRPr="000706E4">
        <w:rPr>
          <w:sz w:val="24"/>
          <w:szCs w:val="24"/>
        </w:rPr>
        <w:t xml:space="preserve"> the raw data in preparation for reporting this information to CMS. We estimate that it may take up to </w:t>
      </w:r>
      <w:r w:rsidR="004101E4">
        <w:rPr>
          <w:sz w:val="24"/>
          <w:szCs w:val="24"/>
        </w:rPr>
        <w:t>50</w:t>
      </w:r>
      <w:r w:rsidRPr="000706E4">
        <w:rPr>
          <w:sz w:val="24"/>
          <w:szCs w:val="24"/>
        </w:rPr>
        <w:t xml:space="preserve"> hours, on average, for a General </w:t>
      </w:r>
      <w:r w:rsidR="00571AF0">
        <w:rPr>
          <w:sz w:val="24"/>
          <w:szCs w:val="24"/>
        </w:rPr>
        <w:t xml:space="preserve">and </w:t>
      </w:r>
      <w:r w:rsidRPr="000706E4">
        <w:rPr>
          <w:sz w:val="24"/>
          <w:szCs w:val="24"/>
        </w:rPr>
        <w:t xml:space="preserve">Operations Manager to </w:t>
      </w:r>
      <w:r w:rsidR="00ED4082">
        <w:rPr>
          <w:sz w:val="24"/>
          <w:szCs w:val="24"/>
        </w:rPr>
        <w:t>review results,</w:t>
      </w:r>
      <w:r w:rsidRPr="000706E4">
        <w:rPr>
          <w:sz w:val="24"/>
          <w:szCs w:val="24"/>
        </w:rPr>
        <w:t xml:space="preserve"> compile the analysis </w:t>
      </w:r>
      <w:r w:rsidR="00AE6904">
        <w:rPr>
          <w:sz w:val="24"/>
          <w:szCs w:val="24"/>
        </w:rPr>
        <w:t xml:space="preserve">and </w:t>
      </w:r>
      <w:r w:rsidR="00535E91">
        <w:rPr>
          <w:sz w:val="24"/>
          <w:szCs w:val="24"/>
        </w:rPr>
        <w:t>submit</w:t>
      </w:r>
      <w:r w:rsidRPr="000706E4">
        <w:rPr>
          <w:sz w:val="24"/>
          <w:szCs w:val="24"/>
        </w:rPr>
        <w:t xml:space="preserve"> the final report. Lastly, we anticipate that it may take</w:t>
      </w:r>
      <w:r w:rsidR="00860F82">
        <w:rPr>
          <w:sz w:val="24"/>
          <w:szCs w:val="24"/>
        </w:rPr>
        <w:t xml:space="preserve"> a General and Operations Manager</w:t>
      </w:r>
      <w:r w:rsidRPr="000706E4">
        <w:rPr>
          <w:sz w:val="24"/>
          <w:szCs w:val="24"/>
        </w:rPr>
        <w:t xml:space="preserve"> an additional 2 hours for the results from the survey to be shared </w:t>
      </w:r>
      <w:r w:rsidR="00535E91">
        <w:rPr>
          <w:sz w:val="24"/>
          <w:szCs w:val="24"/>
        </w:rPr>
        <w:t>by the vendor</w:t>
      </w:r>
      <w:r w:rsidR="00A843D3">
        <w:rPr>
          <w:sz w:val="24"/>
          <w:szCs w:val="24"/>
        </w:rPr>
        <w:t>, approved by</w:t>
      </w:r>
      <w:r w:rsidRPr="000706E4">
        <w:rPr>
          <w:sz w:val="24"/>
          <w:szCs w:val="24"/>
        </w:rPr>
        <w:t xml:space="preserve"> the issuer</w:t>
      </w:r>
      <w:r w:rsidR="00A843D3">
        <w:rPr>
          <w:sz w:val="24"/>
          <w:szCs w:val="24"/>
        </w:rPr>
        <w:t xml:space="preserve">, and </w:t>
      </w:r>
      <w:r w:rsidR="006664BF">
        <w:rPr>
          <w:sz w:val="24"/>
          <w:szCs w:val="24"/>
        </w:rPr>
        <w:t>prepared</w:t>
      </w:r>
      <w:r w:rsidRPr="000706E4">
        <w:rPr>
          <w:sz w:val="24"/>
          <w:szCs w:val="24"/>
        </w:rPr>
        <w:t xml:space="preserve"> for submission to CMS. </w:t>
      </w:r>
      <w:r w:rsidR="003F7B17">
        <w:rPr>
          <w:sz w:val="24"/>
          <w:szCs w:val="24"/>
        </w:rPr>
        <w:t xml:space="preserve">In sum, we estimate it will take 52 hours per issuer to analyze </w:t>
      </w:r>
      <w:r w:rsidR="00DE08F7">
        <w:rPr>
          <w:sz w:val="24"/>
          <w:szCs w:val="24"/>
        </w:rPr>
        <w:t>the survey data and report the results to CMS.</w:t>
      </w:r>
    </w:p>
    <w:p w:rsidR="00717DFD" w:rsidP="00717DFD" w14:paraId="7FA17683" w14:textId="77777777">
      <w:pPr>
        <w:rPr>
          <w:b/>
          <w:bCs/>
          <w:sz w:val="24"/>
          <w:szCs w:val="24"/>
        </w:rPr>
      </w:pPr>
    </w:p>
    <w:p w:rsidR="00163F21" w:rsidRPr="000706E4" w:rsidP="00717DFD" w14:paraId="2FD97780" w14:textId="4A1A06A2">
      <w:pPr>
        <w:rPr>
          <w:rFonts w:eastAsiaTheme="minorEastAsia"/>
          <w:sz w:val="24"/>
          <w:szCs w:val="24"/>
        </w:rPr>
      </w:pPr>
      <w:r w:rsidRPr="003B2E98">
        <w:rPr>
          <w:sz w:val="24"/>
          <w:szCs w:val="24"/>
        </w:rPr>
        <w:t xml:space="preserve">CMS </w:t>
      </w:r>
      <w:r w:rsidRPr="003B2E98" w:rsidR="007451A8">
        <w:rPr>
          <w:sz w:val="24"/>
          <w:szCs w:val="24"/>
        </w:rPr>
        <w:t>e</w:t>
      </w:r>
      <w:r w:rsidR="007451A8">
        <w:rPr>
          <w:sz w:val="24"/>
          <w:szCs w:val="24"/>
        </w:rPr>
        <w:t>stimates</w:t>
      </w:r>
      <w:r w:rsidRPr="003B2E98" w:rsidR="007451A8">
        <w:rPr>
          <w:sz w:val="24"/>
          <w:szCs w:val="24"/>
        </w:rPr>
        <w:t xml:space="preserve"> </w:t>
      </w:r>
      <w:r w:rsidR="00595A86">
        <w:rPr>
          <w:sz w:val="24"/>
          <w:szCs w:val="24"/>
        </w:rPr>
        <w:t>171 medical</w:t>
      </w:r>
      <w:r w:rsidRPr="003B2E98">
        <w:rPr>
          <w:sz w:val="24"/>
          <w:szCs w:val="24"/>
        </w:rPr>
        <w:t xml:space="preserve"> QHP issuers to obtain survey results from an average of 720 providers in each of the </w:t>
      </w:r>
      <w:r w:rsidR="00595A86">
        <w:rPr>
          <w:sz w:val="24"/>
          <w:szCs w:val="24"/>
        </w:rPr>
        <w:t>305 unique</w:t>
      </w:r>
      <w:r w:rsidRPr="003B2E98">
        <w:rPr>
          <w:sz w:val="24"/>
          <w:szCs w:val="24"/>
        </w:rPr>
        <w:t xml:space="preserve"> issuer network</w:t>
      </w:r>
      <w:r>
        <w:rPr>
          <w:sz w:val="24"/>
          <w:szCs w:val="24"/>
        </w:rPr>
        <w:t>s.</w:t>
      </w:r>
      <w:r w:rsidR="009F5ADA">
        <w:rPr>
          <w:sz w:val="24"/>
          <w:szCs w:val="24"/>
        </w:rPr>
        <w:t xml:space="preserve"> W</w:t>
      </w:r>
      <w:r w:rsidRPr="002B4BF3">
        <w:rPr>
          <w:sz w:val="24"/>
          <w:szCs w:val="24"/>
        </w:rPr>
        <w:t xml:space="preserve">e estimate it will take </w:t>
      </w:r>
      <w:r w:rsidR="003165F2">
        <w:rPr>
          <w:sz w:val="24"/>
          <w:szCs w:val="24"/>
        </w:rPr>
        <w:t>245,214</w:t>
      </w:r>
      <w:r w:rsidR="00D905F2">
        <w:rPr>
          <w:sz w:val="24"/>
          <w:szCs w:val="24"/>
        </w:rPr>
        <w:t xml:space="preserve"> </w:t>
      </w:r>
      <w:r w:rsidRPr="002B4BF3">
        <w:rPr>
          <w:sz w:val="24"/>
          <w:szCs w:val="24"/>
        </w:rPr>
        <w:t xml:space="preserve">hours </w:t>
      </w:r>
      <w:r w:rsidR="009F5ADA">
        <w:rPr>
          <w:sz w:val="24"/>
          <w:szCs w:val="24"/>
        </w:rPr>
        <w:t xml:space="preserve">with a cost of </w:t>
      </w:r>
      <w:r w:rsidR="007451A8">
        <w:rPr>
          <w:sz w:val="24"/>
          <w:szCs w:val="24"/>
        </w:rPr>
        <w:t>$17,227,449.72</w:t>
      </w:r>
      <w:r w:rsidR="00903F9E">
        <w:rPr>
          <w:sz w:val="24"/>
          <w:szCs w:val="24"/>
        </w:rPr>
        <w:t xml:space="preserve"> </w:t>
      </w:r>
      <w:r w:rsidR="009F5ADA">
        <w:rPr>
          <w:sz w:val="24"/>
          <w:szCs w:val="24"/>
        </w:rPr>
        <w:t>for all QHP</w:t>
      </w:r>
      <w:r w:rsidRPr="002B4BF3" w:rsidR="009F5ADA">
        <w:rPr>
          <w:sz w:val="24"/>
          <w:szCs w:val="24"/>
        </w:rPr>
        <w:t xml:space="preserve"> </w:t>
      </w:r>
      <w:r w:rsidRPr="002B4BF3">
        <w:rPr>
          <w:sz w:val="24"/>
          <w:szCs w:val="24"/>
        </w:rPr>
        <w:t>issuer</w:t>
      </w:r>
      <w:r w:rsidR="009F5ADA">
        <w:rPr>
          <w:sz w:val="24"/>
          <w:szCs w:val="24"/>
        </w:rPr>
        <w:t>s</w:t>
      </w:r>
      <w:r w:rsidRPr="002B4BF3">
        <w:rPr>
          <w:sz w:val="24"/>
          <w:szCs w:val="24"/>
        </w:rPr>
        <w:t xml:space="preserve"> to engage in all of the activities necessary to complete this data collection, to include selection of a survey vendor, survey</w:t>
      </w:r>
      <w:r w:rsidR="00BA003A">
        <w:rPr>
          <w:sz w:val="24"/>
          <w:szCs w:val="24"/>
        </w:rPr>
        <w:t xml:space="preserve"> development</w:t>
      </w:r>
      <w:r w:rsidR="00D905F2">
        <w:rPr>
          <w:sz w:val="24"/>
          <w:szCs w:val="24"/>
        </w:rPr>
        <w:t xml:space="preserve">, training </w:t>
      </w:r>
      <w:r w:rsidR="00BA003A">
        <w:rPr>
          <w:sz w:val="24"/>
          <w:szCs w:val="24"/>
        </w:rPr>
        <w:t xml:space="preserve">and </w:t>
      </w:r>
      <w:r w:rsidRPr="002B4BF3">
        <w:rPr>
          <w:sz w:val="24"/>
          <w:szCs w:val="24"/>
        </w:rPr>
        <w:t>administration, and data analysis and reporting.</w:t>
      </w:r>
    </w:p>
    <w:p w:rsidR="00554779" w:rsidP="00296762" w14:paraId="69C1F2C1" w14:textId="77DB0A0A">
      <w:pPr>
        <w:rPr>
          <w:sz w:val="24"/>
          <w:szCs w:val="24"/>
        </w:rPr>
      </w:pPr>
    </w:p>
    <w:p w:rsidR="007B6ABF" w:rsidP="003951D1" w14:paraId="274E8D8D" w14:textId="2147F928">
      <w:pPr>
        <w:rPr>
          <w:b/>
          <w:sz w:val="25"/>
          <w:szCs w:val="24"/>
        </w:rPr>
      </w:pPr>
      <w:r w:rsidRPr="009F5ADA">
        <w:rPr>
          <w:sz w:val="24"/>
          <w:szCs w:val="24"/>
        </w:rPr>
        <w:t xml:space="preserve">Pursuant to 45 CFR 156.230(a)(2)(B) QHP issuers in the FFEs must meet </w:t>
      </w:r>
      <w:r w:rsidR="005D0CE2">
        <w:rPr>
          <w:sz w:val="24"/>
          <w:szCs w:val="24"/>
        </w:rPr>
        <w:t>appointment wait time</w:t>
      </w:r>
      <w:r w:rsidRPr="009F5ADA">
        <w:rPr>
          <w:sz w:val="24"/>
          <w:szCs w:val="24"/>
        </w:rPr>
        <w:t xml:space="preserve"> standards</w:t>
      </w:r>
      <w:r>
        <w:rPr>
          <w:sz w:val="24"/>
          <w:szCs w:val="24"/>
        </w:rPr>
        <w:t xml:space="preserve">. </w:t>
      </w:r>
      <w:r w:rsidR="00675D91">
        <w:rPr>
          <w:sz w:val="24"/>
          <w:szCs w:val="24"/>
        </w:rPr>
        <w:t xml:space="preserve">Table 4 displays the burden for all QHP issuers for the </w:t>
      </w:r>
      <w:r w:rsidR="005D0CE2">
        <w:rPr>
          <w:sz w:val="24"/>
          <w:szCs w:val="24"/>
        </w:rPr>
        <w:t>appointment wait time</w:t>
      </w:r>
      <w:r w:rsidR="00675D91">
        <w:rPr>
          <w:sz w:val="24"/>
          <w:szCs w:val="24"/>
        </w:rPr>
        <w:t xml:space="preserve"> secret shopper.</w:t>
      </w:r>
    </w:p>
    <w:p w:rsidR="000F1EBA" w:rsidP="00903F9E" w14:paraId="29B27A95" w14:textId="77777777">
      <w:pPr>
        <w:pStyle w:val="BodyText"/>
        <w:keepNext/>
        <w:rPr>
          <w:b/>
          <w:sz w:val="25"/>
        </w:rPr>
      </w:pPr>
    </w:p>
    <w:p w:rsidR="005F2A18" w:rsidRPr="000706E4" w:rsidP="000F1EBA" w14:paraId="4A684EF6" w14:textId="5B32A35E">
      <w:pPr>
        <w:pStyle w:val="BodyText"/>
        <w:keepNext/>
        <w:widowControl/>
        <w:rPr>
          <w:b/>
        </w:rPr>
      </w:pPr>
      <w:r>
        <w:rPr>
          <w:b/>
          <w:sz w:val="25"/>
        </w:rPr>
        <w:t xml:space="preserve">Table </w:t>
      </w:r>
      <w:r w:rsidR="008877D3">
        <w:rPr>
          <w:b/>
          <w:sz w:val="25"/>
        </w:rPr>
        <w:t>4</w:t>
      </w:r>
      <w:r>
        <w:rPr>
          <w:b/>
          <w:sz w:val="25"/>
        </w:rPr>
        <w:t xml:space="preserve">: </w:t>
      </w:r>
      <w:r w:rsidRPr="00A330AC" w:rsidR="0026694C">
        <w:rPr>
          <w:b/>
        </w:rPr>
        <w:t>Burden</w:t>
      </w:r>
      <w:r w:rsidRPr="00A330AC" w:rsidR="0026694C">
        <w:rPr>
          <w:b/>
          <w:spacing w:val="-3"/>
        </w:rPr>
        <w:t xml:space="preserve"> </w:t>
      </w:r>
      <w:r w:rsidRPr="00A330AC" w:rsidR="0026694C">
        <w:rPr>
          <w:b/>
        </w:rPr>
        <w:t>for</w:t>
      </w:r>
      <w:r w:rsidRPr="00A330AC" w:rsidR="00EA4A36">
        <w:rPr>
          <w:b/>
        </w:rPr>
        <w:t xml:space="preserve"> </w:t>
      </w:r>
      <w:r w:rsidR="004F5F32">
        <w:rPr>
          <w:b/>
        </w:rPr>
        <w:t xml:space="preserve">all </w:t>
      </w:r>
      <w:r w:rsidRPr="00A330AC" w:rsidR="0026694C">
        <w:rPr>
          <w:b/>
        </w:rPr>
        <w:t>QHP</w:t>
      </w:r>
      <w:r w:rsidRPr="00A330AC" w:rsidR="0026694C">
        <w:rPr>
          <w:b/>
          <w:spacing w:val="-3"/>
        </w:rPr>
        <w:t xml:space="preserve"> </w:t>
      </w:r>
      <w:r w:rsidRPr="00A330AC" w:rsidR="0026694C">
        <w:rPr>
          <w:b/>
          <w:spacing w:val="-2"/>
        </w:rPr>
        <w:t xml:space="preserve">Issuers </w:t>
      </w:r>
      <w:r w:rsidRPr="000706E4">
        <w:rPr>
          <w:b/>
        </w:rPr>
        <w:t xml:space="preserve">for the </w:t>
      </w:r>
      <w:r w:rsidR="005D0CE2">
        <w:rPr>
          <w:b/>
        </w:rPr>
        <w:t>Appointment Wait Time</w:t>
      </w:r>
      <w:r w:rsidRPr="000706E4">
        <w:rPr>
          <w:b/>
        </w:rPr>
        <w:t xml:space="preserve"> </w:t>
      </w:r>
      <w:r>
        <w:rPr>
          <w:b/>
        </w:rPr>
        <w:t xml:space="preserve">Secret Shopper </w:t>
      </w:r>
      <w:r w:rsidRPr="000706E4">
        <w:rPr>
          <w:b/>
        </w:rPr>
        <w:t>Data Collection</w:t>
      </w:r>
    </w:p>
    <w:p w:rsidR="00163F21" w:rsidP="00296762" w14:paraId="0F9561DE" w14:textId="6C7E5095">
      <w:pPr>
        <w:pStyle w:val="BodyText"/>
        <w:rPr>
          <w:b/>
          <w:spacing w:val="-2"/>
        </w:rPr>
      </w:pPr>
    </w:p>
    <w:tbl>
      <w:tblPr>
        <w:tblW w:w="9630" w:type="dxa"/>
        <w:tblLayout w:type="fixed"/>
        <w:tblCellMar>
          <w:left w:w="0" w:type="dxa"/>
          <w:right w:w="0" w:type="dxa"/>
        </w:tblCellMar>
        <w:tblLook w:val="01E0"/>
      </w:tblPr>
      <w:tblGrid>
        <w:gridCol w:w="2255"/>
        <w:gridCol w:w="1435"/>
        <w:gridCol w:w="1710"/>
        <w:gridCol w:w="1165"/>
        <w:gridCol w:w="1440"/>
        <w:gridCol w:w="1625"/>
      </w:tblGrid>
      <w:tr w14:paraId="1F4F3C13" w14:textId="77777777" w:rsidTr="004A00DA">
        <w:tblPrEx>
          <w:tblW w:w="9630" w:type="dxa"/>
          <w:tblLayout w:type="fixed"/>
          <w:tblCellMar>
            <w:left w:w="0" w:type="dxa"/>
            <w:right w:w="0" w:type="dxa"/>
          </w:tblCellMar>
          <w:tblLook w:val="01E0"/>
        </w:tblPrEx>
        <w:trPr>
          <w:trHeight w:hRule="exact" w:val="1144"/>
        </w:trPr>
        <w:tc>
          <w:tcPr>
            <w:tcW w:w="2255" w:type="dxa"/>
            <w:tcBorders>
              <w:top w:val="single" w:sz="4" w:space="0" w:color="000000"/>
              <w:left w:val="single" w:sz="4" w:space="0" w:color="000000"/>
              <w:bottom w:val="single" w:sz="4" w:space="0" w:color="000000"/>
              <w:right w:val="single" w:sz="4" w:space="0" w:color="000000"/>
            </w:tcBorders>
            <w:vAlign w:val="center"/>
          </w:tcPr>
          <w:p w:rsidR="00163F21" w:rsidRPr="00FA2E92" w:rsidP="00041601" w14:paraId="27747E78" w14:textId="77777777">
            <w:pPr>
              <w:keepNext/>
              <w:ind w:left="85" w:right="-20"/>
              <w:rPr>
                <w:b/>
                <w:bCs/>
                <w:sz w:val="24"/>
                <w:szCs w:val="24"/>
              </w:rPr>
            </w:pPr>
            <w:r w:rsidRPr="00FA2E92">
              <w:rPr>
                <w:b/>
                <w:bCs/>
                <w:sz w:val="24"/>
                <w:szCs w:val="24"/>
              </w:rPr>
              <w:t>Labor Cate</w:t>
            </w:r>
            <w:r w:rsidRPr="00FA2E92">
              <w:rPr>
                <w:b/>
                <w:bCs/>
                <w:spacing w:val="-1"/>
                <w:sz w:val="24"/>
                <w:szCs w:val="24"/>
              </w:rPr>
              <w:t>g</w:t>
            </w:r>
            <w:r w:rsidRPr="00FA2E92">
              <w:rPr>
                <w:b/>
                <w:bCs/>
                <w:sz w:val="24"/>
                <w:szCs w:val="24"/>
              </w:rPr>
              <w:t>ory</w:t>
            </w:r>
          </w:p>
        </w:tc>
        <w:tc>
          <w:tcPr>
            <w:tcW w:w="1435" w:type="dxa"/>
            <w:tcBorders>
              <w:top w:val="single" w:sz="4" w:space="0" w:color="000000"/>
              <w:left w:val="single" w:sz="4" w:space="0" w:color="000000"/>
              <w:bottom w:val="single" w:sz="4" w:space="0" w:color="auto"/>
              <w:right w:val="single" w:sz="4" w:space="0" w:color="000000"/>
            </w:tcBorders>
            <w:vAlign w:val="center"/>
          </w:tcPr>
          <w:p w:rsidR="00163F21" w:rsidRPr="00FA2E92" w:rsidP="00041601" w14:paraId="3B24870E" w14:textId="77777777">
            <w:pPr>
              <w:keepNext/>
              <w:jc w:val="center"/>
              <w:rPr>
                <w:b/>
                <w:bCs/>
                <w:sz w:val="24"/>
                <w:szCs w:val="24"/>
              </w:rPr>
            </w:pPr>
            <w:r w:rsidRPr="00FA2E92">
              <w:rPr>
                <w:b/>
                <w:bCs/>
                <w:sz w:val="24"/>
                <w:szCs w:val="24"/>
              </w:rPr>
              <w:t>Number of Respondents</w:t>
            </w:r>
          </w:p>
        </w:tc>
        <w:tc>
          <w:tcPr>
            <w:tcW w:w="1710" w:type="dxa"/>
            <w:tcBorders>
              <w:top w:val="single" w:sz="4" w:space="0" w:color="000000"/>
              <w:left w:val="single" w:sz="4" w:space="0" w:color="000000"/>
              <w:bottom w:val="single" w:sz="4" w:space="0" w:color="auto"/>
              <w:right w:val="single" w:sz="4" w:space="0" w:color="000000"/>
            </w:tcBorders>
            <w:vAlign w:val="center"/>
          </w:tcPr>
          <w:p w:rsidR="00163F21" w:rsidRPr="00FA2E92" w:rsidP="00041601" w14:paraId="035DE62D" w14:textId="77777777">
            <w:pPr>
              <w:keepNext/>
              <w:jc w:val="center"/>
              <w:rPr>
                <w:b/>
                <w:bCs/>
                <w:sz w:val="24"/>
                <w:szCs w:val="24"/>
              </w:rPr>
            </w:pPr>
            <w:r w:rsidRPr="00FA2E92">
              <w:rPr>
                <w:b/>
                <w:bCs/>
                <w:sz w:val="24"/>
                <w:szCs w:val="24"/>
              </w:rPr>
              <w:t>Hourly Labor Costs (Hourly r</w:t>
            </w:r>
            <w:r w:rsidRPr="00FA2E92">
              <w:rPr>
                <w:b/>
                <w:bCs/>
                <w:spacing w:val="-1"/>
                <w:sz w:val="24"/>
                <w:szCs w:val="24"/>
              </w:rPr>
              <w:t>a</w:t>
            </w:r>
            <w:r w:rsidRPr="00FA2E92">
              <w:rPr>
                <w:b/>
                <w:bCs/>
                <w:sz w:val="24"/>
                <w:szCs w:val="24"/>
              </w:rPr>
              <w:t>te +</w:t>
            </w:r>
            <w:r w:rsidRPr="00FA2E92">
              <w:rPr>
                <w:b/>
                <w:bCs/>
                <w:spacing w:val="-1"/>
                <w:sz w:val="24"/>
                <w:szCs w:val="24"/>
              </w:rPr>
              <w:t xml:space="preserve"> </w:t>
            </w:r>
            <w:r w:rsidRPr="00FA2E92">
              <w:rPr>
                <w:b/>
                <w:bCs/>
                <w:spacing w:val="2"/>
                <w:sz w:val="24"/>
                <w:szCs w:val="24"/>
              </w:rPr>
              <w:t>100</w:t>
            </w:r>
            <w:r w:rsidRPr="00FA2E92">
              <w:rPr>
                <w:b/>
                <w:bCs/>
                <w:sz w:val="24"/>
                <w:szCs w:val="24"/>
              </w:rPr>
              <w:t xml:space="preserve">% </w:t>
            </w:r>
            <w:r w:rsidRPr="00FA2E92">
              <w:rPr>
                <w:b/>
                <w:bCs/>
                <w:spacing w:val="-1"/>
                <w:sz w:val="24"/>
                <w:szCs w:val="24"/>
              </w:rPr>
              <w:t>Fr</w:t>
            </w:r>
            <w:r w:rsidRPr="00FA2E92">
              <w:rPr>
                <w:b/>
                <w:bCs/>
                <w:sz w:val="24"/>
                <w:szCs w:val="24"/>
              </w:rPr>
              <w:t>in</w:t>
            </w:r>
            <w:r w:rsidRPr="00FA2E92">
              <w:rPr>
                <w:b/>
                <w:bCs/>
                <w:spacing w:val="-2"/>
                <w:sz w:val="24"/>
                <w:szCs w:val="24"/>
              </w:rPr>
              <w:t xml:space="preserve">ge </w:t>
            </w:r>
            <w:r w:rsidRPr="00FA2E92">
              <w:rPr>
                <w:b/>
                <w:bCs/>
                <w:sz w:val="24"/>
                <w:szCs w:val="24"/>
              </w:rPr>
              <w:t>b</w:t>
            </w:r>
            <w:r w:rsidRPr="00FA2E92">
              <w:rPr>
                <w:b/>
                <w:bCs/>
                <w:spacing w:val="-1"/>
                <w:sz w:val="24"/>
                <w:szCs w:val="24"/>
              </w:rPr>
              <w:t>e</w:t>
            </w:r>
            <w:r w:rsidRPr="00FA2E92">
              <w:rPr>
                <w:b/>
                <w:bCs/>
                <w:sz w:val="24"/>
                <w:szCs w:val="24"/>
              </w:rPr>
              <w:t>n</w:t>
            </w:r>
            <w:r w:rsidRPr="00FA2E92">
              <w:rPr>
                <w:b/>
                <w:bCs/>
                <w:spacing w:val="-1"/>
                <w:sz w:val="24"/>
                <w:szCs w:val="24"/>
              </w:rPr>
              <w:t>ef</w:t>
            </w:r>
            <w:r w:rsidRPr="00FA2E92">
              <w:rPr>
                <w:b/>
                <w:bCs/>
                <w:sz w:val="24"/>
                <w:szCs w:val="24"/>
              </w:rPr>
              <w:t>its)</w:t>
            </w:r>
          </w:p>
        </w:tc>
        <w:tc>
          <w:tcPr>
            <w:tcW w:w="1165" w:type="dxa"/>
            <w:tcBorders>
              <w:top w:val="single" w:sz="4" w:space="0" w:color="000000"/>
              <w:left w:val="single" w:sz="4" w:space="0" w:color="000000"/>
              <w:bottom w:val="single" w:sz="4" w:space="0" w:color="auto"/>
              <w:right w:val="single" w:sz="4" w:space="0" w:color="000000"/>
            </w:tcBorders>
            <w:vAlign w:val="center"/>
          </w:tcPr>
          <w:p w:rsidR="00163F21" w:rsidRPr="00FA2E92" w:rsidP="00041601" w14:paraId="445407C4" w14:textId="77777777">
            <w:pPr>
              <w:keepNext/>
              <w:jc w:val="center"/>
              <w:rPr>
                <w:b/>
                <w:bCs/>
                <w:sz w:val="24"/>
                <w:szCs w:val="24"/>
              </w:rPr>
            </w:pPr>
            <w:r w:rsidRPr="00FA2E92">
              <w:rPr>
                <w:b/>
                <w:bCs/>
                <w:sz w:val="24"/>
                <w:szCs w:val="24"/>
              </w:rPr>
              <w:t>Burden Hours</w:t>
            </w:r>
          </w:p>
        </w:tc>
        <w:tc>
          <w:tcPr>
            <w:tcW w:w="1440" w:type="dxa"/>
            <w:tcBorders>
              <w:top w:val="single" w:sz="4" w:space="0" w:color="000000"/>
              <w:left w:val="single" w:sz="4" w:space="0" w:color="000000"/>
              <w:bottom w:val="single" w:sz="4" w:space="0" w:color="000000"/>
              <w:right w:val="single" w:sz="4" w:space="0" w:color="000000"/>
            </w:tcBorders>
            <w:vAlign w:val="center"/>
          </w:tcPr>
          <w:p w:rsidR="00163F21" w:rsidRPr="00FA2E92" w:rsidP="00041601" w14:paraId="66BAC59D" w14:textId="77777777">
            <w:pPr>
              <w:keepNext/>
              <w:jc w:val="center"/>
              <w:rPr>
                <w:b/>
                <w:bCs/>
                <w:sz w:val="24"/>
                <w:szCs w:val="24"/>
              </w:rPr>
            </w:pPr>
            <w:r w:rsidRPr="00FA2E92">
              <w:rPr>
                <w:b/>
                <w:bCs/>
                <w:sz w:val="24"/>
                <w:szCs w:val="24"/>
              </w:rPr>
              <w:t>Total Burden Costs (Per</w:t>
            </w:r>
          </w:p>
          <w:p w:rsidR="00163F21" w:rsidRPr="0007219E" w:rsidP="00041601" w14:paraId="263C08F4" w14:textId="77777777">
            <w:pPr>
              <w:keepNext/>
              <w:jc w:val="center"/>
              <w:rPr>
                <w:sz w:val="24"/>
                <w:szCs w:val="24"/>
              </w:rPr>
            </w:pPr>
            <w:r w:rsidRPr="00FA2E92">
              <w:rPr>
                <w:b/>
                <w:bCs/>
                <w:sz w:val="24"/>
                <w:szCs w:val="24"/>
              </w:rPr>
              <w:t>Respondent)</w:t>
            </w:r>
          </w:p>
        </w:tc>
        <w:tc>
          <w:tcPr>
            <w:tcW w:w="1625" w:type="dxa"/>
            <w:tcBorders>
              <w:top w:val="single" w:sz="4" w:space="0" w:color="000000"/>
              <w:left w:val="single" w:sz="4" w:space="0" w:color="000000"/>
              <w:bottom w:val="single" w:sz="4" w:space="0" w:color="000000"/>
              <w:right w:val="single" w:sz="4" w:space="0" w:color="000000"/>
            </w:tcBorders>
            <w:vAlign w:val="center"/>
          </w:tcPr>
          <w:p w:rsidR="00163F21" w:rsidRPr="00FA2E92" w:rsidP="00041601" w14:paraId="68304836" w14:textId="77777777">
            <w:pPr>
              <w:keepNext/>
              <w:jc w:val="center"/>
              <w:rPr>
                <w:b/>
                <w:bCs/>
                <w:sz w:val="24"/>
                <w:szCs w:val="24"/>
              </w:rPr>
            </w:pPr>
            <w:r w:rsidRPr="00FA2E92">
              <w:rPr>
                <w:b/>
                <w:bCs/>
                <w:sz w:val="24"/>
                <w:szCs w:val="24"/>
              </w:rPr>
              <w:t>Total Burden Cost (All Respondents)</w:t>
            </w:r>
          </w:p>
        </w:tc>
      </w:tr>
      <w:tr w14:paraId="76CE1D42" w14:textId="77777777" w:rsidTr="008E5CA3">
        <w:tblPrEx>
          <w:tblW w:w="9630" w:type="dxa"/>
          <w:tblLayout w:type="fixed"/>
          <w:tblCellMar>
            <w:left w:w="0" w:type="dxa"/>
            <w:right w:w="0" w:type="dxa"/>
          </w:tblCellMar>
          <w:tblLook w:val="01E0"/>
        </w:tblPrEx>
        <w:trPr>
          <w:trHeight w:hRule="exact" w:val="307"/>
        </w:trPr>
        <w:tc>
          <w:tcPr>
            <w:tcW w:w="9630" w:type="dxa"/>
            <w:gridSpan w:val="6"/>
            <w:tcBorders>
              <w:top w:val="single" w:sz="4" w:space="0" w:color="000000"/>
              <w:left w:val="single" w:sz="4" w:space="0" w:color="000000"/>
              <w:bottom w:val="single" w:sz="4" w:space="0" w:color="000000"/>
              <w:right w:val="single" w:sz="4" w:space="0" w:color="000000"/>
            </w:tcBorders>
            <w:vAlign w:val="center"/>
          </w:tcPr>
          <w:p w:rsidR="005F3A63" w:rsidRPr="002244B2" w:rsidP="005F3A63" w14:paraId="7F9E4BC7" w14:textId="6DB14A9A">
            <w:pPr>
              <w:keepNext/>
              <w:rPr>
                <w:b/>
                <w:bCs/>
                <w:sz w:val="24"/>
                <w:szCs w:val="24"/>
              </w:rPr>
            </w:pPr>
            <w:r w:rsidRPr="002244B2">
              <w:rPr>
                <w:b/>
                <w:bCs/>
                <w:sz w:val="24"/>
                <w:szCs w:val="24"/>
              </w:rPr>
              <w:t>Survey Preparation</w:t>
            </w:r>
          </w:p>
        </w:tc>
      </w:tr>
      <w:tr w14:paraId="4212717A" w14:textId="77777777" w:rsidTr="00DA40E5">
        <w:tblPrEx>
          <w:tblW w:w="9630" w:type="dxa"/>
          <w:tblLayout w:type="fixed"/>
          <w:tblCellMar>
            <w:left w:w="0" w:type="dxa"/>
            <w:right w:w="0" w:type="dxa"/>
          </w:tblCellMar>
          <w:tblLook w:val="01E0"/>
        </w:tblPrEx>
        <w:trPr>
          <w:trHeight w:hRule="exact" w:val="361"/>
        </w:trPr>
        <w:tc>
          <w:tcPr>
            <w:tcW w:w="2255" w:type="dxa"/>
            <w:tcBorders>
              <w:top w:val="single" w:sz="4" w:space="0" w:color="000000"/>
              <w:left w:val="single" w:sz="4" w:space="0" w:color="000000"/>
              <w:bottom w:val="single" w:sz="4" w:space="0" w:color="000000"/>
              <w:right w:val="single" w:sz="4" w:space="0" w:color="auto"/>
            </w:tcBorders>
            <w:vAlign w:val="center"/>
          </w:tcPr>
          <w:p w:rsidR="00163F21" w:rsidRPr="005F3A63" w:rsidP="00136EF2" w14:paraId="3DC0736D" w14:textId="03A1E7B2">
            <w:pPr>
              <w:ind w:left="85" w:right="-20"/>
              <w:rPr>
                <w:sz w:val="24"/>
                <w:szCs w:val="24"/>
                <w:vertAlign w:val="superscript"/>
              </w:rPr>
            </w:pPr>
            <w:r w:rsidRPr="0007219E">
              <w:rPr>
                <w:sz w:val="24"/>
                <w:szCs w:val="24"/>
              </w:rPr>
              <w:t>Compliance Officer</w:t>
            </w:r>
          </w:p>
        </w:tc>
        <w:tc>
          <w:tcPr>
            <w:tcW w:w="1435" w:type="dxa"/>
            <w:tcBorders>
              <w:top w:val="single" w:sz="4" w:space="0" w:color="auto"/>
              <w:left w:val="single" w:sz="4" w:space="0" w:color="auto"/>
              <w:bottom w:val="single" w:sz="4" w:space="0" w:color="auto"/>
              <w:right w:val="single" w:sz="4" w:space="0" w:color="auto"/>
            </w:tcBorders>
            <w:vAlign w:val="center"/>
          </w:tcPr>
          <w:p w:rsidR="00163F21" w:rsidP="00041601" w14:paraId="1B19043A" w14:textId="61EFBAFD">
            <w:pPr>
              <w:jc w:val="center"/>
              <w:rPr>
                <w:sz w:val="24"/>
                <w:szCs w:val="24"/>
              </w:rPr>
            </w:pPr>
            <w:r>
              <w:rPr>
                <w:sz w:val="24"/>
                <w:szCs w:val="24"/>
              </w:rPr>
              <w:t>171</w:t>
            </w:r>
          </w:p>
        </w:tc>
        <w:tc>
          <w:tcPr>
            <w:tcW w:w="1710" w:type="dxa"/>
            <w:tcBorders>
              <w:top w:val="single" w:sz="4" w:space="0" w:color="auto"/>
              <w:left w:val="single" w:sz="4" w:space="0" w:color="auto"/>
              <w:bottom w:val="single" w:sz="4" w:space="0" w:color="auto"/>
              <w:right w:val="single" w:sz="4" w:space="0" w:color="auto"/>
            </w:tcBorders>
            <w:vAlign w:val="center"/>
          </w:tcPr>
          <w:p w:rsidR="00163F21" w:rsidRPr="0007219E" w:rsidP="00041601" w14:paraId="29C3E091" w14:textId="4191F913">
            <w:pPr>
              <w:jc w:val="center"/>
              <w:rPr>
                <w:sz w:val="24"/>
                <w:szCs w:val="24"/>
              </w:rPr>
            </w:pPr>
            <w:r w:rsidRPr="0087614A">
              <w:rPr>
                <w:sz w:val="24"/>
                <w:szCs w:val="24"/>
              </w:rPr>
              <w:t>$68.94</w:t>
            </w:r>
          </w:p>
        </w:tc>
        <w:tc>
          <w:tcPr>
            <w:tcW w:w="1165" w:type="dxa"/>
            <w:tcBorders>
              <w:top w:val="single" w:sz="4" w:space="0" w:color="auto"/>
              <w:left w:val="single" w:sz="4" w:space="0" w:color="auto"/>
              <w:bottom w:val="single" w:sz="4" w:space="0" w:color="auto"/>
              <w:right w:val="single" w:sz="4" w:space="0" w:color="auto"/>
            </w:tcBorders>
            <w:vAlign w:val="center"/>
          </w:tcPr>
          <w:p w:rsidR="00163F21" w:rsidRPr="00D569A6" w:rsidP="00041601" w14:paraId="5A8AD6B1" w14:textId="450A1CA9">
            <w:pPr>
              <w:jc w:val="center"/>
              <w:rPr>
                <w:sz w:val="24"/>
                <w:szCs w:val="24"/>
              </w:rPr>
            </w:pPr>
            <w:r>
              <w:rPr>
                <w:sz w:val="24"/>
                <w:szCs w:val="24"/>
              </w:rPr>
              <w:t>120</w:t>
            </w:r>
          </w:p>
        </w:tc>
        <w:tc>
          <w:tcPr>
            <w:tcW w:w="1440" w:type="dxa"/>
            <w:tcBorders>
              <w:top w:val="single" w:sz="4" w:space="0" w:color="000000"/>
              <w:left w:val="single" w:sz="4" w:space="0" w:color="auto"/>
              <w:bottom w:val="single" w:sz="4" w:space="0" w:color="000000"/>
              <w:right w:val="single" w:sz="4" w:space="0" w:color="000000"/>
            </w:tcBorders>
            <w:vAlign w:val="center"/>
          </w:tcPr>
          <w:p w:rsidR="00163F21" w:rsidRPr="00D569A6" w:rsidP="00041601" w14:paraId="1B5B3119" w14:textId="019DB7EE">
            <w:pPr>
              <w:jc w:val="center"/>
              <w:rPr>
                <w:sz w:val="24"/>
                <w:szCs w:val="24"/>
              </w:rPr>
            </w:pPr>
            <w:r>
              <w:rPr>
                <w:sz w:val="24"/>
                <w:szCs w:val="24"/>
              </w:rPr>
              <w:t>$8,272.80</w:t>
            </w:r>
          </w:p>
        </w:tc>
        <w:tc>
          <w:tcPr>
            <w:tcW w:w="1625" w:type="dxa"/>
            <w:tcBorders>
              <w:top w:val="single" w:sz="4" w:space="0" w:color="000000"/>
              <w:left w:val="single" w:sz="4" w:space="0" w:color="auto"/>
              <w:bottom w:val="single" w:sz="4" w:space="0" w:color="000000"/>
              <w:right w:val="single" w:sz="4" w:space="0" w:color="000000"/>
            </w:tcBorders>
            <w:vAlign w:val="center"/>
          </w:tcPr>
          <w:p w:rsidR="00163F21" w:rsidRPr="00D569A6" w:rsidP="00041601" w14:paraId="14775C09" w14:textId="600CED69">
            <w:pPr>
              <w:jc w:val="center"/>
              <w:rPr>
                <w:sz w:val="24"/>
                <w:szCs w:val="24"/>
              </w:rPr>
            </w:pPr>
            <w:r>
              <w:rPr>
                <w:sz w:val="24"/>
                <w:szCs w:val="24"/>
              </w:rPr>
              <w:t>$1,414,648.80</w:t>
            </w:r>
          </w:p>
        </w:tc>
      </w:tr>
      <w:tr w14:paraId="7E468088" w14:textId="77777777" w:rsidTr="004A00DA">
        <w:tblPrEx>
          <w:tblW w:w="9630" w:type="dxa"/>
          <w:tblLayout w:type="fixed"/>
          <w:tblCellMar>
            <w:left w:w="0" w:type="dxa"/>
            <w:right w:w="0" w:type="dxa"/>
          </w:tblCellMar>
          <w:tblLook w:val="01E0"/>
        </w:tblPrEx>
        <w:trPr>
          <w:trHeight w:hRule="exact" w:val="634"/>
        </w:trPr>
        <w:tc>
          <w:tcPr>
            <w:tcW w:w="2255" w:type="dxa"/>
            <w:tcBorders>
              <w:top w:val="single" w:sz="4" w:space="0" w:color="000000"/>
              <w:left w:val="single" w:sz="4" w:space="0" w:color="000000"/>
              <w:bottom w:val="single" w:sz="4" w:space="0" w:color="000000"/>
              <w:right w:val="single" w:sz="4" w:space="0" w:color="auto"/>
            </w:tcBorders>
            <w:vAlign w:val="center"/>
          </w:tcPr>
          <w:p w:rsidR="00163F21" w:rsidRPr="0007219E" w:rsidP="00136EF2" w14:paraId="5898359A" w14:textId="11945C5F">
            <w:pPr>
              <w:ind w:left="85" w:right="-20"/>
              <w:rPr>
                <w:sz w:val="24"/>
                <w:szCs w:val="24"/>
              </w:rPr>
            </w:pPr>
            <w:r w:rsidRPr="00163F21">
              <w:rPr>
                <w:sz w:val="24"/>
                <w:szCs w:val="24"/>
              </w:rPr>
              <w:t>Business Operations Specialist</w:t>
            </w:r>
          </w:p>
        </w:tc>
        <w:tc>
          <w:tcPr>
            <w:tcW w:w="1435" w:type="dxa"/>
            <w:tcBorders>
              <w:top w:val="single" w:sz="4" w:space="0" w:color="auto"/>
              <w:left w:val="single" w:sz="4" w:space="0" w:color="auto"/>
              <w:bottom w:val="single" w:sz="4" w:space="0" w:color="auto"/>
              <w:right w:val="single" w:sz="4" w:space="0" w:color="auto"/>
            </w:tcBorders>
            <w:vAlign w:val="center"/>
          </w:tcPr>
          <w:p w:rsidR="00163F21" w:rsidP="00041601" w14:paraId="624D3E71" w14:textId="71E3DBC6">
            <w:pPr>
              <w:jc w:val="center"/>
              <w:rPr>
                <w:sz w:val="24"/>
                <w:szCs w:val="24"/>
              </w:rPr>
            </w:pPr>
            <w:r>
              <w:rPr>
                <w:sz w:val="24"/>
                <w:szCs w:val="24"/>
              </w:rPr>
              <w:t>171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63F21" w:rsidRPr="0007219E" w:rsidP="00041601" w14:paraId="48616BA9" w14:textId="068B3298">
            <w:pPr>
              <w:jc w:val="center"/>
              <w:rPr>
                <w:sz w:val="24"/>
                <w:szCs w:val="24"/>
              </w:rPr>
            </w:pPr>
            <w:r w:rsidRPr="0087614A">
              <w:rPr>
                <w:sz w:val="24"/>
                <w:szCs w:val="24"/>
              </w:rPr>
              <w:t>$73.06</w:t>
            </w:r>
          </w:p>
        </w:tc>
        <w:tc>
          <w:tcPr>
            <w:tcW w:w="1165" w:type="dxa"/>
            <w:tcBorders>
              <w:top w:val="single" w:sz="4" w:space="0" w:color="auto"/>
              <w:left w:val="single" w:sz="4" w:space="0" w:color="auto"/>
              <w:bottom w:val="single" w:sz="4" w:space="0" w:color="auto"/>
              <w:right w:val="single" w:sz="4" w:space="0" w:color="auto"/>
            </w:tcBorders>
            <w:vAlign w:val="center"/>
          </w:tcPr>
          <w:p w:rsidR="00163F21" w:rsidRPr="00D569A6" w:rsidP="00041601" w14:paraId="5C6C20D6" w14:textId="1B7EA895">
            <w:pPr>
              <w:jc w:val="center"/>
              <w:rPr>
                <w:sz w:val="24"/>
                <w:szCs w:val="24"/>
              </w:rPr>
            </w:pPr>
            <w:r>
              <w:rPr>
                <w:sz w:val="24"/>
                <w:szCs w:val="24"/>
              </w:rPr>
              <w:t>88</w:t>
            </w:r>
          </w:p>
        </w:tc>
        <w:tc>
          <w:tcPr>
            <w:tcW w:w="1440" w:type="dxa"/>
            <w:tcBorders>
              <w:top w:val="single" w:sz="4" w:space="0" w:color="000000"/>
              <w:left w:val="single" w:sz="4" w:space="0" w:color="auto"/>
              <w:bottom w:val="single" w:sz="4" w:space="0" w:color="000000"/>
              <w:right w:val="single" w:sz="4" w:space="0" w:color="000000"/>
            </w:tcBorders>
            <w:vAlign w:val="center"/>
          </w:tcPr>
          <w:p w:rsidR="00163F21" w:rsidRPr="00D569A6" w:rsidP="00041601" w14:paraId="3B34A7E8" w14:textId="22B1A3BD">
            <w:pPr>
              <w:jc w:val="center"/>
              <w:rPr>
                <w:sz w:val="24"/>
                <w:szCs w:val="24"/>
              </w:rPr>
            </w:pPr>
            <w:r>
              <w:rPr>
                <w:sz w:val="24"/>
                <w:szCs w:val="24"/>
              </w:rPr>
              <w:t>$6,429.28</w:t>
            </w:r>
          </w:p>
        </w:tc>
        <w:tc>
          <w:tcPr>
            <w:tcW w:w="1625" w:type="dxa"/>
            <w:tcBorders>
              <w:top w:val="single" w:sz="4" w:space="0" w:color="000000"/>
              <w:left w:val="single" w:sz="4" w:space="0" w:color="auto"/>
              <w:bottom w:val="single" w:sz="4" w:space="0" w:color="000000"/>
              <w:right w:val="single" w:sz="4" w:space="0" w:color="000000"/>
            </w:tcBorders>
            <w:vAlign w:val="center"/>
          </w:tcPr>
          <w:p w:rsidR="00163F21" w:rsidRPr="00D569A6" w:rsidP="00041601" w14:paraId="6E1A33EA" w14:textId="2D674E98">
            <w:pPr>
              <w:jc w:val="center"/>
              <w:rPr>
                <w:sz w:val="24"/>
                <w:szCs w:val="24"/>
              </w:rPr>
            </w:pPr>
            <w:r>
              <w:rPr>
                <w:sz w:val="24"/>
                <w:szCs w:val="24"/>
              </w:rPr>
              <w:t>$1,099,406.88</w:t>
            </w:r>
          </w:p>
        </w:tc>
      </w:tr>
      <w:tr w14:paraId="0D5C60F0" w14:textId="77777777" w:rsidTr="004A00DA">
        <w:tblPrEx>
          <w:tblW w:w="9630" w:type="dxa"/>
          <w:tblLayout w:type="fixed"/>
          <w:tblCellMar>
            <w:left w:w="0" w:type="dxa"/>
            <w:right w:w="0" w:type="dxa"/>
          </w:tblCellMar>
          <w:tblLook w:val="01E0"/>
        </w:tblPrEx>
        <w:trPr>
          <w:trHeight w:hRule="exact" w:val="634"/>
        </w:trPr>
        <w:tc>
          <w:tcPr>
            <w:tcW w:w="2255" w:type="dxa"/>
            <w:tcBorders>
              <w:top w:val="single" w:sz="4" w:space="0" w:color="000000"/>
              <w:left w:val="single" w:sz="4" w:space="0" w:color="000000"/>
              <w:bottom w:val="single" w:sz="4" w:space="0" w:color="000000"/>
              <w:right w:val="single" w:sz="4" w:space="0" w:color="auto"/>
            </w:tcBorders>
            <w:vAlign w:val="center"/>
          </w:tcPr>
          <w:p w:rsidR="0074137B" w:rsidRPr="00163F21" w:rsidP="00136EF2" w14:paraId="4CC8CD76" w14:textId="50F7F79E">
            <w:pPr>
              <w:ind w:left="85" w:right="-20"/>
              <w:rPr>
                <w:sz w:val="24"/>
                <w:szCs w:val="24"/>
              </w:rPr>
            </w:pPr>
            <w:r w:rsidRPr="0074137B">
              <w:rPr>
                <w:sz w:val="24"/>
                <w:szCs w:val="24"/>
              </w:rPr>
              <w:t>General and Operations Manager</w:t>
            </w:r>
          </w:p>
        </w:tc>
        <w:tc>
          <w:tcPr>
            <w:tcW w:w="1435" w:type="dxa"/>
            <w:tcBorders>
              <w:top w:val="single" w:sz="4" w:space="0" w:color="auto"/>
              <w:left w:val="single" w:sz="4" w:space="0" w:color="auto"/>
              <w:bottom w:val="single" w:sz="4" w:space="0" w:color="auto"/>
              <w:right w:val="single" w:sz="4" w:space="0" w:color="auto"/>
            </w:tcBorders>
            <w:vAlign w:val="center"/>
          </w:tcPr>
          <w:p w:rsidR="0074137B" w:rsidP="00041601" w14:paraId="4E7F096C" w14:textId="2C92BD44">
            <w:pPr>
              <w:jc w:val="center"/>
              <w:rPr>
                <w:sz w:val="24"/>
                <w:szCs w:val="24"/>
              </w:rPr>
            </w:pPr>
            <w:r>
              <w:rPr>
                <w:sz w:val="24"/>
                <w:szCs w:val="24"/>
              </w:rPr>
              <w:t>171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4137B" w:rsidRPr="0087614A" w:rsidP="00041601" w14:paraId="7A99611A" w14:textId="6EBED1E4">
            <w:pPr>
              <w:jc w:val="center"/>
              <w:rPr>
                <w:sz w:val="24"/>
                <w:szCs w:val="24"/>
              </w:rPr>
            </w:pPr>
            <w:r w:rsidRPr="0074137B">
              <w:rPr>
                <w:sz w:val="24"/>
                <w:szCs w:val="24"/>
              </w:rPr>
              <w:t>$94.32</w:t>
            </w:r>
          </w:p>
        </w:tc>
        <w:tc>
          <w:tcPr>
            <w:tcW w:w="1165" w:type="dxa"/>
            <w:tcBorders>
              <w:top w:val="single" w:sz="4" w:space="0" w:color="auto"/>
              <w:left w:val="single" w:sz="4" w:space="0" w:color="auto"/>
              <w:bottom w:val="single" w:sz="4" w:space="0" w:color="auto"/>
              <w:right w:val="single" w:sz="4" w:space="0" w:color="auto"/>
            </w:tcBorders>
            <w:vAlign w:val="center"/>
          </w:tcPr>
          <w:p w:rsidR="0074137B" w:rsidRPr="00D569A6" w:rsidP="00041601" w14:paraId="692F1FB9" w14:textId="46A2118A">
            <w:pPr>
              <w:jc w:val="center"/>
              <w:rPr>
                <w:sz w:val="24"/>
                <w:szCs w:val="24"/>
              </w:rPr>
            </w:pPr>
            <w:r>
              <w:rPr>
                <w:sz w:val="24"/>
                <w:szCs w:val="24"/>
              </w:rPr>
              <w:t>8</w:t>
            </w:r>
          </w:p>
        </w:tc>
        <w:tc>
          <w:tcPr>
            <w:tcW w:w="1440" w:type="dxa"/>
            <w:tcBorders>
              <w:top w:val="single" w:sz="4" w:space="0" w:color="000000"/>
              <w:left w:val="single" w:sz="4" w:space="0" w:color="auto"/>
              <w:bottom w:val="single" w:sz="4" w:space="0" w:color="000000"/>
              <w:right w:val="single" w:sz="4" w:space="0" w:color="000000"/>
            </w:tcBorders>
            <w:vAlign w:val="center"/>
          </w:tcPr>
          <w:p w:rsidR="0074137B" w:rsidRPr="00D569A6" w:rsidP="00041601" w14:paraId="4FE0F105" w14:textId="29C10B4B">
            <w:pPr>
              <w:jc w:val="center"/>
              <w:rPr>
                <w:sz w:val="24"/>
                <w:szCs w:val="24"/>
              </w:rPr>
            </w:pPr>
            <w:r>
              <w:rPr>
                <w:sz w:val="24"/>
                <w:szCs w:val="24"/>
              </w:rPr>
              <w:t>$754.56</w:t>
            </w:r>
          </w:p>
        </w:tc>
        <w:tc>
          <w:tcPr>
            <w:tcW w:w="1625" w:type="dxa"/>
            <w:tcBorders>
              <w:top w:val="single" w:sz="4" w:space="0" w:color="000000"/>
              <w:left w:val="single" w:sz="4" w:space="0" w:color="auto"/>
              <w:bottom w:val="single" w:sz="4" w:space="0" w:color="000000"/>
              <w:right w:val="single" w:sz="4" w:space="0" w:color="000000"/>
            </w:tcBorders>
            <w:vAlign w:val="center"/>
          </w:tcPr>
          <w:p w:rsidR="0074137B" w:rsidRPr="00D569A6" w:rsidP="00041601" w14:paraId="038B2D7A" w14:textId="12F4836A">
            <w:pPr>
              <w:jc w:val="center"/>
              <w:rPr>
                <w:color w:val="000000"/>
                <w:sz w:val="24"/>
                <w:szCs w:val="24"/>
              </w:rPr>
            </w:pPr>
            <w:r>
              <w:rPr>
                <w:color w:val="000000"/>
                <w:sz w:val="24"/>
                <w:szCs w:val="24"/>
              </w:rPr>
              <w:t>$129,029.76</w:t>
            </w:r>
          </w:p>
        </w:tc>
      </w:tr>
      <w:tr w14:paraId="36DE9A6C" w14:textId="77777777" w:rsidTr="002244B2">
        <w:tblPrEx>
          <w:tblW w:w="9630" w:type="dxa"/>
          <w:tblLayout w:type="fixed"/>
          <w:tblCellMar>
            <w:left w:w="0" w:type="dxa"/>
            <w:right w:w="0" w:type="dxa"/>
          </w:tblCellMar>
          <w:tblLook w:val="01E0"/>
        </w:tblPrEx>
        <w:trPr>
          <w:trHeight w:hRule="exact" w:val="352"/>
        </w:trPr>
        <w:tc>
          <w:tcPr>
            <w:tcW w:w="9630" w:type="dxa"/>
            <w:gridSpan w:val="6"/>
            <w:tcBorders>
              <w:top w:val="single" w:sz="4" w:space="0" w:color="000000"/>
              <w:left w:val="single" w:sz="4" w:space="0" w:color="000000"/>
              <w:bottom w:val="single" w:sz="4" w:space="0" w:color="000000"/>
              <w:right w:val="single" w:sz="4" w:space="0" w:color="000000"/>
            </w:tcBorders>
            <w:vAlign w:val="center"/>
          </w:tcPr>
          <w:p w:rsidR="002244B2" w:rsidRPr="002244B2" w:rsidP="002244B2" w14:paraId="63DD2B9A" w14:textId="1C8D4BD7">
            <w:pPr>
              <w:rPr>
                <w:b/>
                <w:bCs/>
                <w:color w:val="000000"/>
                <w:sz w:val="24"/>
                <w:szCs w:val="24"/>
              </w:rPr>
            </w:pPr>
            <w:r w:rsidRPr="002244B2">
              <w:rPr>
                <w:b/>
                <w:bCs/>
                <w:color w:val="000000"/>
                <w:sz w:val="24"/>
                <w:szCs w:val="24"/>
              </w:rPr>
              <w:t xml:space="preserve">Survey </w:t>
            </w:r>
            <w:r w:rsidRPr="002244B2" w:rsidR="004A00DA">
              <w:rPr>
                <w:b/>
                <w:bCs/>
                <w:color w:val="000000"/>
                <w:sz w:val="24"/>
                <w:szCs w:val="24"/>
              </w:rPr>
              <w:t>Administration</w:t>
            </w:r>
          </w:p>
        </w:tc>
      </w:tr>
      <w:tr w14:paraId="530EE0D4" w14:textId="77777777" w:rsidTr="004A00DA">
        <w:tblPrEx>
          <w:tblW w:w="9630" w:type="dxa"/>
          <w:tblLayout w:type="fixed"/>
          <w:tblCellMar>
            <w:left w:w="0" w:type="dxa"/>
            <w:right w:w="0" w:type="dxa"/>
          </w:tblCellMar>
          <w:tblLook w:val="01E0"/>
        </w:tblPrEx>
        <w:trPr>
          <w:trHeight w:hRule="exact" w:val="361"/>
        </w:trPr>
        <w:tc>
          <w:tcPr>
            <w:tcW w:w="2255" w:type="dxa"/>
            <w:tcBorders>
              <w:top w:val="single" w:sz="4" w:space="0" w:color="000000"/>
              <w:left w:val="single" w:sz="4" w:space="0" w:color="000000"/>
              <w:bottom w:val="single" w:sz="4" w:space="0" w:color="000000"/>
              <w:right w:val="single" w:sz="4" w:space="0" w:color="auto"/>
            </w:tcBorders>
            <w:vAlign w:val="center"/>
          </w:tcPr>
          <w:p w:rsidR="005F3A63" w:rsidRPr="0074137B" w:rsidP="00136EF2" w14:paraId="76DF409A" w14:textId="424DE301">
            <w:pPr>
              <w:ind w:left="85" w:right="-20"/>
              <w:rPr>
                <w:sz w:val="24"/>
                <w:szCs w:val="24"/>
              </w:rPr>
            </w:pPr>
            <w:r>
              <w:rPr>
                <w:sz w:val="24"/>
                <w:szCs w:val="24"/>
              </w:rPr>
              <w:t>Compliance</w:t>
            </w:r>
            <w:r w:rsidR="00DA40E5">
              <w:rPr>
                <w:sz w:val="24"/>
                <w:szCs w:val="24"/>
              </w:rPr>
              <w:t xml:space="preserve"> Officer</w:t>
            </w:r>
          </w:p>
        </w:tc>
        <w:tc>
          <w:tcPr>
            <w:tcW w:w="1435" w:type="dxa"/>
            <w:tcBorders>
              <w:top w:val="single" w:sz="4" w:space="0" w:color="auto"/>
              <w:left w:val="single" w:sz="4" w:space="0" w:color="auto"/>
              <w:bottom w:val="single" w:sz="4" w:space="0" w:color="auto"/>
              <w:right w:val="single" w:sz="4" w:space="0" w:color="auto"/>
            </w:tcBorders>
            <w:vAlign w:val="center"/>
          </w:tcPr>
          <w:p w:rsidR="005F3A63" w:rsidP="00041601" w14:paraId="6DBE4010" w14:textId="2096CC25">
            <w:pPr>
              <w:jc w:val="center"/>
              <w:rPr>
                <w:sz w:val="24"/>
                <w:szCs w:val="24"/>
              </w:rPr>
            </w:pPr>
            <w:r>
              <w:rPr>
                <w:sz w:val="24"/>
                <w:szCs w:val="24"/>
              </w:rPr>
              <w:t>171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F3A63" w:rsidRPr="0074137B" w:rsidP="00041601" w14:paraId="36ACAA36" w14:textId="6F5C7DA2">
            <w:pPr>
              <w:jc w:val="center"/>
              <w:rPr>
                <w:sz w:val="24"/>
                <w:szCs w:val="24"/>
              </w:rPr>
            </w:pPr>
            <w:r w:rsidRPr="0087614A">
              <w:rPr>
                <w:sz w:val="24"/>
                <w:szCs w:val="24"/>
              </w:rPr>
              <w:t>$68.94</w:t>
            </w:r>
          </w:p>
        </w:tc>
        <w:tc>
          <w:tcPr>
            <w:tcW w:w="1165" w:type="dxa"/>
            <w:tcBorders>
              <w:top w:val="single" w:sz="4" w:space="0" w:color="auto"/>
              <w:left w:val="single" w:sz="4" w:space="0" w:color="auto"/>
              <w:bottom w:val="single" w:sz="4" w:space="0" w:color="auto"/>
              <w:right w:val="single" w:sz="4" w:space="0" w:color="auto"/>
            </w:tcBorders>
            <w:vAlign w:val="center"/>
          </w:tcPr>
          <w:p w:rsidR="005F3A63" w:rsidP="00041601" w14:paraId="190AB1F6" w14:textId="743F46FB">
            <w:pPr>
              <w:jc w:val="center"/>
              <w:rPr>
                <w:sz w:val="24"/>
                <w:szCs w:val="24"/>
              </w:rPr>
            </w:pPr>
            <w:r>
              <w:rPr>
                <w:sz w:val="24"/>
                <w:szCs w:val="24"/>
              </w:rPr>
              <w:t>1</w:t>
            </w:r>
            <w:r w:rsidR="004A00DA">
              <w:rPr>
                <w:sz w:val="24"/>
                <w:szCs w:val="24"/>
              </w:rPr>
              <w:t>,</w:t>
            </w:r>
            <w:r>
              <w:rPr>
                <w:sz w:val="24"/>
                <w:szCs w:val="24"/>
              </w:rPr>
              <w:t>166</w:t>
            </w:r>
          </w:p>
        </w:tc>
        <w:tc>
          <w:tcPr>
            <w:tcW w:w="1440" w:type="dxa"/>
            <w:tcBorders>
              <w:top w:val="single" w:sz="4" w:space="0" w:color="000000"/>
              <w:left w:val="single" w:sz="4" w:space="0" w:color="auto"/>
              <w:bottom w:val="single" w:sz="4" w:space="0" w:color="000000"/>
              <w:right w:val="single" w:sz="4" w:space="0" w:color="000000"/>
            </w:tcBorders>
            <w:vAlign w:val="center"/>
          </w:tcPr>
          <w:p w:rsidR="005F3A63" w:rsidRPr="00D569A6" w:rsidP="00041601" w14:paraId="4A59E3C3" w14:textId="40EE3010">
            <w:pPr>
              <w:jc w:val="center"/>
              <w:rPr>
                <w:sz w:val="24"/>
                <w:szCs w:val="24"/>
              </w:rPr>
            </w:pPr>
            <w:r>
              <w:rPr>
                <w:sz w:val="24"/>
                <w:szCs w:val="24"/>
              </w:rPr>
              <w:t>$80,384.04</w:t>
            </w:r>
          </w:p>
        </w:tc>
        <w:tc>
          <w:tcPr>
            <w:tcW w:w="1625" w:type="dxa"/>
            <w:tcBorders>
              <w:top w:val="single" w:sz="4" w:space="0" w:color="000000"/>
              <w:left w:val="single" w:sz="4" w:space="0" w:color="auto"/>
              <w:bottom w:val="single" w:sz="4" w:space="0" w:color="000000"/>
              <w:right w:val="single" w:sz="4" w:space="0" w:color="000000"/>
            </w:tcBorders>
            <w:vAlign w:val="center"/>
          </w:tcPr>
          <w:p w:rsidR="005F3A63" w:rsidRPr="00D569A6" w:rsidP="00041601" w14:paraId="75838EEC" w14:textId="608A2251">
            <w:pPr>
              <w:jc w:val="center"/>
              <w:rPr>
                <w:color w:val="000000"/>
                <w:sz w:val="24"/>
                <w:szCs w:val="24"/>
              </w:rPr>
            </w:pPr>
            <w:r>
              <w:rPr>
                <w:color w:val="000000"/>
                <w:sz w:val="24"/>
                <w:szCs w:val="24"/>
              </w:rPr>
              <w:t>$13,745,670.84</w:t>
            </w:r>
          </w:p>
        </w:tc>
      </w:tr>
      <w:tr w14:paraId="56DC459A" w14:textId="77777777" w:rsidTr="00903F9E">
        <w:tblPrEx>
          <w:tblW w:w="9630" w:type="dxa"/>
          <w:tblLayout w:type="fixed"/>
          <w:tblCellMar>
            <w:left w:w="0" w:type="dxa"/>
            <w:right w:w="0" w:type="dxa"/>
          </w:tblCellMar>
          <w:tblLook w:val="01E0"/>
        </w:tblPrEx>
        <w:trPr>
          <w:trHeight w:hRule="exact" w:val="352"/>
        </w:trPr>
        <w:tc>
          <w:tcPr>
            <w:tcW w:w="9630" w:type="dxa"/>
            <w:gridSpan w:val="6"/>
            <w:tcBorders>
              <w:top w:val="single" w:sz="4" w:space="0" w:color="000000"/>
              <w:left w:val="single" w:sz="4" w:space="0" w:color="000000"/>
              <w:bottom w:val="single" w:sz="4" w:space="0" w:color="000000"/>
              <w:right w:val="single" w:sz="4" w:space="0" w:color="000000"/>
            </w:tcBorders>
            <w:vAlign w:val="center"/>
          </w:tcPr>
          <w:p w:rsidR="002244B2" w:rsidRPr="002244B2" w:rsidP="002244B2" w14:paraId="3FA277D7" w14:textId="37D61B39">
            <w:pPr>
              <w:rPr>
                <w:b/>
                <w:bCs/>
                <w:color w:val="000000"/>
                <w:sz w:val="24"/>
                <w:szCs w:val="24"/>
              </w:rPr>
            </w:pPr>
            <w:r>
              <w:rPr>
                <w:b/>
                <w:bCs/>
                <w:color w:val="000000"/>
                <w:sz w:val="24"/>
                <w:szCs w:val="24"/>
              </w:rPr>
              <w:t>Survey Analysis</w:t>
            </w:r>
          </w:p>
        </w:tc>
      </w:tr>
      <w:tr w14:paraId="3C8DC250" w14:textId="77777777" w:rsidTr="004A00DA">
        <w:tblPrEx>
          <w:tblW w:w="9630" w:type="dxa"/>
          <w:tblLayout w:type="fixed"/>
          <w:tblCellMar>
            <w:left w:w="0" w:type="dxa"/>
            <w:right w:w="0" w:type="dxa"/>
          </w:tblCellMar>
          <w:tblLook w:val="01E0"/>
        </w:tblPrEx>
        <w:trPr>
          <w:trHeight w:hRule="exact" w:val="634"/>
        </w:trPr>
        <w:tc>
          <w:tcPr>
            <w:tcW w:w="2255" w:type="dxa"/>
            <w:tcBorders>
              <w:top w:val="single" w:sz="4" w:space="0" w:color="000000"/>
              <w:left w:val="single" w:sz="4" w:space="0" w:color="000000"/>
              <w:bottom w:val="single" w:sz="4" w:space="0" w:color="000000"/>
              <w:right w:val="single" w:sz="4" w:space="0" w:color="auto"/>
            </w:tcBorders>
            <w:vAlign w:val="center"/>
          </w:tcPr>
          <w:p w:rsidR="002244B2" w:rsidP="00136EF2" w14:paraId="69E88C8F" w14:textId="3B2F87AA">
            <w:pPr>
              <w:ind w:left="85" w:right="-20"/>
              <w:rPr>
                <w:sz w:val="24"/>
                <w:szCs w:val="24"/>
              </w:rPr>
            </w:pPr>
            <w:r w:rsidRPr="0074137B">
              <w:rPr>
                <w:sz w:val="24"/>
                <w:szCs w:val="24"/>
              </w:rPr>
              <w:t>General and Operations Manager</w:t>
            </w:r>
          </w:p>
        </w:tc>
        <w:tc>
          <w:tcPr>
            <w:tcW w:w="1435" w:type="dxa"/>
            <w:tcBorders>
              <w:top w:val="single" w:sz="4" w:space="0" w:color="auto"/>
              <w:left w:val="single" w:sz="4" w:space="0" w:color="auto"/>
              <w:bottom w:val="single" w:sz="4" w:space="0" w:color="auto"/>
              <w:right w:val="single" w:sz="4" w:space="0" w:color="auto"/>
            </w:tcBorders>
            <w:vAlign w:val="center"/>
          </w:tcPr>
          <w:p w:rsidR="002244B2" w:rsidP="00041601" w14:paraId="196541FD" w14:textId="42C93A99">
            <w:pPr>
              <w:jc w:val="center"/>
              <w:rPr>
                <w:sz w:val="24"/>
                <w:szCs w:val="24"/>
              </w:rPr>
            </w:pPr>
            <w:r>
              <w:rPr>
                <w:sz w:val="24"/>
                <w:szCs w:val="24"/>
              </w:rPr>
              <w:t>171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244B2" w:rsidRPr="0087614A" w:rsidP="00041601" w14:paraId="5CA139EF" w14:textId="4811B784">
            <w:pPr>
              <w:jc w:val="center"/>
              <w:rPr>
                <w:sz w:val="24"/>
                <w:szCs w:val="24"/>
              </w:rPr>
            </w:pPr>
            <w:r w:rsidRPr="0074137B">
              <w:rPr>
                <w:sz w:val="24"/>
                <w:szCs w:val="24"/>
              </w:rPr>
              <w:t>$94.32</w:t>
            </w:r>
          </w:p>
        </w:tc>
        <w:tc>
          <w:tcPr>
            <w:tcW w:w="1165" w:type="dxa"/>
            <w:tcBorders>
              <w:top w:val="single" w:sz="4" w:space="0" w:color="auto"/>
              <w:left w:val="single" w:sz="4" w:space="0" w:color="auto"/>
              <w:bottom w:val="single" w:sz="4" w:space="0" w:color="auto"/>
              <w:right w:val="single" w:sz="4" w:space="0" w:color="auto"/>
            </w:tcBorders>
            <w:vAlign w:val="center"/>
          </w:tcPr>
          <w:p w:rsidR="002244B2" w:rsidP="00041601" w14:paraId="30387A6A" w14:textId="0BF5E1A4">
            <w:pPr>
              <w:jc w:val="center"/>
              <w:rPr>
                <w:sz w:val="24"/>
                <w:szCs w:val="24"/>
              </w:rPr>
            </w:pPr>
            <w:r>
              <w:rPr>
                <w:sz w:val="24"/>
                <w:szCs w:val="24"/>
              </w:rPr>
              <w:t>52</w:t>
            </w:r>
          </w:p>
        </w:tc>
        <w:tc>
          <w:tcPr>
            <w:tcW w:w="1440" w:type="dxa"/>
            <w:tcBorders>
              <w:top w:val="single" w:sz="4" w:space="0" w:color="000000"/>
              <w:left w:val="single" w:sz="4" w:space="0" w:color="auto"/>
              <w:bottom w:val="single" w:sz="4" w:space="0" w:color="000000"/>
              <w:right w:val="single" w:sz="4" w:space="0" w:color="000000"/>
            </w:tcBorders>
            <w:vAlign w:val="center"/>
          </w:tcPr>
          <w:p w:rsidR="002244B2" w:rsidRPr="00D569A6" w:rsidP="00041601" w14:paraId="01BD0044" w14:textId="3BC87DB0">
            <w:pPr>
              <w:jc w:val="center"/>
              <w:rPr>
                <w:sz w:val="24"/>
                <w:szCs w:val="24"/>
              </w:rPr>
            </w:pPr>
            <w:r>
              <w:rPr>
                <w:sz w:val="24"/>
                <w:szCs w:val="24"/>
              </w:rPr>
              <w:t>$4,904.64</w:t>
            </w:r>
          </w:p>
        </w:tc>
        <w:tc>
          <w:tcPr>
            <w:tcW w:w="1625" w:type="dxa"/>
            <w:tcBorders>
              <w:top w:val="single" w:sz="4" w:space="0" w:color="000000"/>
              <w:left w:val="single" w:sz="4" w:space="0" w:color="auto"/>
              <w:bottom w:val="single" w:sz="4" w:space="0" w:color="000000"/>
              <w:right w:val="single" w:sz="4" w:space="0" w:color="000000"/>
            </w:tcBorders>
            <w:vAlign w:val="center"/>
          </w:tcPr>
          <w:p w:rsidR="002244B2" w:rsidRPr="00D569A6" w:rsidP="00041601" w14:paraId="4ABFD651" w14:textId="35135FB4">
            <w:pPr>
              <w:jc w:val="center"/>
              <w:rPr>
                <w:color w:val="000000"/>
                <w:sz w:val="24"/>
                <w:szCs w:val="24"/>
              </w:rPr>
            </w:pPr>
            <w:r>
              <w:rPr>
                <w:color w:val="000000"/>
                <w:sz w:val="24"/>
                <w:szCs w:val="24"/>
              </w:rPr>
              <w:t>$838,693.44</w:t>
            </w:r>
          </w:p>
        </w:tc>
      </w:tr>
      <w:tr w14:paraId="6765DFE0" w14:textId="77777777" w:rsidTr="008E5CA3">
        <w:tblPrEx>
          <w:tblW w:w="9630" w:type="dxa"/>
          <w:tblLayout w:type="fixed"/>
          <w:tblCellMar>
            <w:left w:w="0" w:type="dxa"/>
            <w:right w:w="0" w:type="dxa"/>
          </w:tblCellMar>
          <w:tblLook w:val="01E0"/>
        </w:tblPrEx>
        <w:trPr>
          <w:trHeight w:hRule="exact" w:val="361"/>
        </w:trPr>
        <w:tc>
          <w:tcPr>
            <w:tcW w:w="2255" w:type="dxa"/>
            <w:tcBorders>
              <w:top w:val="single" w:sz="4" w:space="0" w:color="000000"/>
              <w:left w:val="single" w:sz="4" w:space="0" w:color="000000"/>
              <w:bottom w:val="single" w:sz="4" w:space="0" w:color="000000"/>
              <w:right w:val="single" w:sz="4" w:space="0" w:color="auto"/>
            </w:tcBorders>
            <w:vAlign w:val="center"/>
          </w:tcPr>
          <w:p w:rsidR="00163F21" w:rsidRPr="00842960" w:rsidP="00136EF2" w14:paraId="7D46D112" w14:textId="77777777">
            <w:pPr>
              <w:ind w:left="85" w:right="-20"/>
              <w:rPr>
                <w:b/>
                <w:bCs/>
                <w:sz w:val="24"/>
                <w:szCs w:val="24"/>
              </w:rPr>
            </w:pPr>
            <w:r w:rsidRPr="00842960">
              <w:rPr>
                <w:b/>
                <w:bCs/>
                <w:sz w:val="24"/>
                <w:szCs w:val="24"/>
              </w:rPr>
              <w:t>Total – Annu</w:t>
            </w:r>
            <w:r w:rsidRPr="00842960">
              <w:rPr>
                <w:b/>
                <w:bCs/>
                <w:spacing w:val="-1"/>
                <w:sz w:val="24"/>
                <w:szCs w:val="24"/>
              </w:rPr>
              <w:t>a</w:t>
            </w:r>
            <w:r w:rsidRPr="00842960">
              <w:rPr>
                <w:b/>
                <w:bCs/>
                <w:sz w:val="24"/>
                <w:szCs w:val="24"/>
              </w:rPr>
              <w:t>l</w:t>
            </w:r>
          </w:p>
        </w:tc>
        <w:tc>
          <w:tcPr>
            <w:tcW w:w="1435"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20CFA763"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59554094" w14:textId="77777777">
            <w:pPr>
              <w:jc w:val="center"/>
              <w:rPr>
                <w:b/>
                <w:bCs/>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369B4FC6" w14:textId="2F0975FE">
            <w:pPr>
              <w:jc w:val="center"/>
              <w:rPr>
                <w:b/>
                <w:bCs/>
                <w:sz w:val="24"/>
                <w:szCs w:val="24"/>
              </w:rPr>
            </w:pPr>
            <w:r>
              <w:rPr>
                <w:b/>
                <w:bCs/>
                <w:sz w:val="24"/>
                <w:szCs w:val="24"/>
              </w:rPr>
              <w:t>245,214</w:t>
            </w:r>
          </w:p>
        </w:tc>
        <w:tc>
          <w:tcPr>
            <w:tcW w:w="1440" w:type="dxa"/>
            <w:tcBorders>
              <w:top w:val="single" w:sz="4" w:space="0" w:color="000000"/>
              <w:left w:val="single" w:sz="4" w:space="0" w:color="auto"/>
              <w:bottom w:val="single" w:sz="4" w:space="0" w:color="000000"/>
              <w:right w:val="single" w:sz="4" w:space="0" w:color="000000"/>
            </w:tcBorders>
            <w:vAlign w:val="center"/>
          </w:tcPr>
          <w:p w:rsidR="00163F21" w:rsidRPr="00842960" w:rsidP="00041601" w14:paraId="7F5028E1" w14:textId="689D9ECC">
            <w:pPr>
              <w:jc w:val="center"/>
              <w:rPr>
                <w:b/>
                <w:bCs/>
                <w:sz w:val="24"/>
                <w:szCs w:val="24"/>
              </w:rPr>
            </w:pPr>
          </w:p>
        </w:tc>
        <w:tc>
          <w:tcPr>
            <w:tcW w:w="1625" w:type="dxa"/>
            <w:tcBorders>
              <w:top w:val="single" w:sz="4" w:space="0" w:color="000000"/>
              <w:left w:val="single" w:sz="4" w:space="0" w:color="auto"/>
              <w:bottom w:val="single" w:sz="4" w:space="0" w:color="000000"/>
              <w:right w:val="single" w:sz="4" w:space="0" w:color="000000"/>
            </w:tcBorders>
            <w:vAlign w:val="center"/>
          </w:tcPr>
          <w:p w:rsidR="00163F21" w:rsidRPr="00842960" w:rsidP="00041601" w14:paraId="413D4AA8" w14:textId="5874B458">
            <w:pPr>
              <w:jc w:val="center"/>
              <w:rPr>
                <w:b/>
                <w:bCs/>
                <w:sz w:val="24"/>
                <w:szCs w:val="24"/>
              </w:rPr>
            </w:pPr>
            <w:r>
              <w:rPr>
                <w:b/>
                <w:bCs/>
                <w:color w:val="000000"/>
                <w:sz w:val="24"/>
                <w:szCs w:val="24"/>
              </w:rPr>
              <w:t>$17,227,449.72</w:t>
            </w:r>
            <w:r w:rsidRPr="00842960">
              <w:rPr>
                <w:b/>
                <w:bCs/>
                <w:color w:val="000000"/>
                <w:sz w:val="24"/>
                <w:szCs w:val="24"/>
              </w:rPr>
              <w:t xml:space="preserve"> </w:t>
            </w:r>
          </w:p>
        </w:tc>
      </w:tr>
      <w:tr w14:paraId="3F5009ED" w14:textId="77777777" w:rsidTr="008E5CA3">
        <w:tblPrEx>
          <w:tblW w:w="9630" w:type="dxa"/>
          <w:tblLayout w:type="fixed"/>
          <w:tblCellMar>
            <w:left w:w="0" w:type="dxa"/>
            <w:right w:w="0" w:type="dxa"/>
          </w:tblCellMar>
          <w:tblLook w:val="01E0"/>
        </w:tblPrEx>
        <w:trPr>
          <w:trHeight w:hRule="exact" w:val="361"/>
        </w:trPr>
        <w:tc>
          <w:tcPr>
            <w:tcW w:w="2255" w:type="dxa"/>
            <w:tcBorders>
              <w:top w:val="single" w:sz="4" w:space="0" w:color="000000"/>
              <w:left w:val="single" w:sz="4" w:space="0" w:color="000000"/>
              <w:bottom w:val="single" w:sz="4" w:space="0" w:color="000000"/>
              <w:right w:val="single" w:sz="4" w:space="0" w:color="auto"/>
            </w:tcBorders>
            <w:vAlign w:val="center"/>
          </w:tcPr>
          <w:p w:rsidR="00163F21" w:rsidRPr="00842960" w:rsidP="00136EF2" w14:paraId="4A4A9434" w14:textId="77777777">
            <w:pPr>
              <w:ind w:left="85" w:right="-20"/>
              <w:rPr>
                <w:b/>
                <w:bCs/>
                <w:sz w:val="24"/>
                <w:szCs w:val="24"/>
              </w:rPr>
            </w:pPr>
            <w:r w:rsidRPr="00842960">
              <w:rPr>
                <w:b/>
                <w:bCs/>
                <w:sz w:val="24"/>
                <w:szCs w:val="24"/>
              </w:rPr>
              <w:t>Total – Three Years</w:t>
            </w:r>
          </w:p>
        </w:tc>
        <w:tc>
          <w:tcPr>
            <w:tcW w:w="1435"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2A246416"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5120679F" w14:textId="77777777">
            <w:pPr>
              <w:jc w:val="center"/>
              <w:rPr>
                <w:b/>
                <w:bCs/>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163F21" w:rsidRPr="00842960" w:rsidP="00041601" w14:paraId="6334317A" w14:textId="2B4D4578">
            <w:pPr>
              <w:jc w:val="center"/>
              <w:rPr>
                <w:b/>
                <w:bCs/>
                <w:sz w:val="24"/>
                <w:szCs w:val="24"/>
              </w:rPr>
            </w:pPr>
            <w:r>
              <w:rPr>
                <w:b/>
                <w:bCs/>
                <w:sz w:val="24"/>
                <w:szCs w:val="24"/>
              </w:rPr>
              <w:t>735,642</w:t>
            </w:r>
          </w:p>
        </w:tc>
        <w:tc>
          <w:tcPr>
            <w:tcW w:w="1440" w:type="dxa"/>
            <w:tcBorders>
              <w:top w:val="single" w:sz="4" w:space="0" w:color="000000"/>
              <w:left w:val="single" w:sz="4" w:space="0" w:color="auto"/>
              <w:bottom w:val="single" w:sz="4" w:space="0" w:color="000000"/>
              <w:right w:val="single" w:sz="4" w:space="0" w:color="000000"/>
            </w:tcBorders>
            <w:vAlign w:val="center"/>
          </w:tcPr>
          <w:p w:rsidR="00163F21" w:rsidRPr="00842960" w:rsidP="00041601" w14:paraId="645AF2AE" w14:textId="4A2E07FE">
            <w:pPr>
              <w:jc w:val="center"/>
              <w:rPr>
                <w:b/>
                <w:bCs/>
                <w:sz w:val="24"/>
                <w:szCs w:val="24"/>
              </w:rPr>
            </w:pPr>
          </w:p>
        </w:tc>
        <w:tc>
          <w:tcPr>
            <w:tcW w:w="1625" w:type="dxa"/>
            <w:tcBorders>
              <w:top w:val="single" w:sz="4" w:space="0" w:color="000000"/>
              <w:left w:val="single" w:sz="4" w:space="0" w:color="auto"/>
              <w:bottom w:val="single" w:sz="4" w:space="0" w:color="000000"/>
              <w:right w:val="single" w:sz="4" w:space="0" w:color="000000"/>
            </w:tcBorders>
            <w:vAlign w:val="center"/>
          </w:tcPr>
          <w:p w:rsidR="00163F21" w:rsidRPr="00842960" w:rsidP="00041601" w14:paraId="101CE37E" w14:textId="2025B04B">
            <w:pPr>
              <w:jc w:val="center"/>
              <w:rPr>
                <w:b/>
                <w:bCs/>
                <w:sz w:val="24"/>
                <w:szCs w:val="24"/>
              </w:rPr>
            </w:pPr>
            <w:r>
              <w:rPr>
                <w:b/>
                <w:bCs/>
                <w:color w:val="000000"/>
                <w:sz w:val="24"/>
                <w:szCs w:val="24"/>
              </w:rPr>
              <w:t>$51,682,349.16</w:t>
            </w:r>
          </w:p>
        </w:tc>
      </w:tr>
    </w:tbl>
    <w:p w:rsidR="00554779" w:rsidP="00296762" w14:paraId="12345113" w14:textId="77777777">
      <w:pPr>
        <w:pStyle w:val="BodyText"/>
        <w:rPr>
          <w:b/>
          <w:sz w:val="25"/>
        </w:rPr>
      </w:pPr>
    </w:p>
    <w:p w:rsidR="00CF0395" w:rsidRPr="008E5CA3" w:rsidP="005F3A63" w14:paraId="15F2EA18" w14:textId="5FCED2BC">
      <w:pPr>
        <w:pStyle w:val="Heading1"/>
        <w:ind w:left="0"/>
      </w:pPr>
      <w:r w:rsidRPr="008E5CA3">
        <w:t>Table</w:t>
      </w:r>
      <w:r w:rsidRPr="008E5CA3">
        <w:rPr>
          <w:spacing w:val="-3"/>
        </w:rPr>
        <w:t xml:space="preserve"> </w:t>
      </w:r>
      <w:r w:rsidRPr="008E5CA3" w:rsidR="008877D3">
        <w:t>5</w:t>
      </w:r>
      <w:r w:rsidRPr="008E5CA3">
        <w:t>.</w:t>
      </w:r>
      <w:r w:rsidRPr="008E5CA3">
        <w:rPr>
          <w:spacing w:val="-2"/>
        </w:rPr>
        <w:t xml:space="preserve"> </w:t>
      </w:r>
      <w:r w:rsidRPr="008E5CA3">
        <w:t>Summary</w:t>
      </w:r>
      <w:r w:rsidRPr="008E5CA3">
        <w:rPr>
          <w:spacing w:val="-1"/>
        </w:rPr>
        <w:t xml:space="preserve"> </w:t>
      </w:r>
      <w:r w:rsidRPr="008E5CA3">
        <w:t>of</w:t>
      </w:r>
      <w:r w:rsidRPr="008E5CA3">
        <w:rPr>
          <w:spacing w:val="-1"/>
        </w:rPr>
        <w:t xml:space="preserve"> </w:t>
      </w:r>
      <w:r w:rsidRPr="008E5CA3">
        <w:t>Annual</w:t>
      </w:r>
      <w:r w:rsidRPr="008E5CA3">
        <w:rPr>
          <w:spacing w:val="-4"/>
        </w:rPr>
        <w:t xml:space="preserve"> </w:t>
      </w:r>
      <w:r w:rsidRPr="008E5CA3">
        <w:t>Total</w:t>
      </w:r>
      <w:r w:rsidRPr="008E5CA3">
        <w:rPr>
          <w:spacing w:val="-1"/>
        </w:rPr>
        <w:t xml:space="preserve"> </w:t>
      </w:r>
      <w:r w:rsidRPr="008E5CA3">
        <w:rPr>
          <w:spacing w:val="-2"/>
        </w:rPr>
        <w:t>Burden</w:t>
      </w:r>
      <w:r w:rsidRPr="008E5CA3">
        <w:rPr>
          <w:b w:val="0"/>
          <w:spacing w:val="-2"/>
        </w:rPr>
        <w:t xml:space="preserve"> </w:t>
      </w:r>
      <w:r w:rsidRPr="008E5CA3">
        <w:rPr>
          <w:spacing w:val="-2"/>
        </w:rPr>
        <w:t xml:space="preserve">for </w:t>
      </w:r>
      <w:r w:rsidRPr="008E5CA3" w:rsidR="000C0AE3">
        <w:rPr>
          <w:spacing w:val="-2"/>
        </w:rPr>
        <w:t xml:space="preserve">the ECP/NA </w:t>
      </w:r>
      <w:r w:rsidRPr="008E5CA3" w:rsidR="000F4BFB">
        <w:rPr>
          <w:spacing w:val="-2"/>
        </w:rPr>
        <w:t xml:space="preserve">and </w:t>
      </w:r>
      <w:r w:rsidR="005D0CE2">
        <w:rPr>
          <w:spacing w:val="-2"/>
        </w:rPr>
        <w:t>Appointment Wait Time</w:t>
      </w:r>
      <w:r w:rsidRPr="008E5CA3" w:rsidR="000F4BFB">
        <w:rPr>
          <w:spacing w:val="-2"/>
        </w:rPr>
        <w:t xml:space="preserve"> Data </w:t>
      </w:r>
      <w:r w:rsidRPr="008E5CA3" w:rsidR="000C0AE3">
        <w:rPr>
          <w:spacing w:val="-2"/>
        </w:rPr>
        <w:t>Collection</w:t>
      </w:r>
      <w:r w:rsidRPr="008E5CA3" w:rsidR="000F4BFB">
        <w:rPr>
          <w:spacing w:val="-2"/>
        </w:rPr>
        <w:t>s</w:t>
      </w:r>
    </w:p>
    <w:p w:rsidR="000B1C51" w:rsidP="00296762" w14:paraId="5DAE1792" w14:textId="77777777">
      <w:pPr>
        <w:pStyle w:val="BodyText"/>
        <w:spacing w:after="1"/>
        <w:rPr>
          <w:b/>
          <w:sz w:val="21"/>
        </w:rPr>
      </w:pP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5"/>
        <w:gridCol w:w="2880"/>
        <w:gridCol w:w="1530"/>
        <w:gridCol w:w="1621"/>
      </w:tblGrid>
      <w:tr w14:paraId="4CCF3D2B" w14:textId="77777777" w:rsidTr="008E5CA3">
        <w:tblPrEx>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2"/>
        </w:trPr>
        <w:tc>
          <w:tcPr>
            <w:tcW w:w="3595" w:type="dxa"/>
          </w:tcPr>
          <w:p w:rsidR="000B1C51" w:rsidP="00296762" w14:paraId="7ACB2828" w14:textId="77777777">
            <w:pPr>
              <w:pStyle w:val="TableParagraph"/>
              <w:spacing w:before="0"/>
              <w:rPr>
                <w:b/>
                <w:sz w:val="24"/>
              </w:rPr>
            </w:pPr>
          </w:p>
          <w:p w:rsidR="000B1C51" w:rsidP="00296762" w14:paraId="5ED08ADA" w14:textId="77777777">
            <w:pPr>
              <w:pStyle w:val="TableParagraph"/>
              <w:spacing w:before="0"/>
              <w:ind w:left="107"/>
              <w:rPr>
                <w:b/>
                <w:sz w:val="24"/>
              </w:rPr>
            </w:pPr>
            <w:r>
              <w:rPr>
                <w:b/>
                <w:spacing w:val="-6"/>
                <w:sz w:val="24"/>
              </w:rPr>
              <w:t>Table</w:t>
            </w:r>
            <w:r>
              <w:rPr>
                <w:b/>
                <w:spacing w:val="-2"/>
                <w:sz w:val="24"/>
              </w:rPr>
              <w:t xml:space="preserve"> </w:t>
            </w:r>
            <w:r>
              <w:rPr>
                <w:b/>
                <w:spacing w:val="-6"/>
                <w:sz w:val="24"/>
              </w:rPr>
              <w:t>Number:</w:t>
            </w:r>
            <w:r>
              <w:rPr>
                <w:b/>
                <w:spacing w:val="-1"/>
                <w:sz w:val="24"/>
              </w:rPr>
              <w:t xml:space="preserve"> </w:t>
            </w:r>
            <w:r>
              <w:rPr>
                <w:b/>
                <w:spacing w:val="-6"/>
                <w:sz w:val="24"/>
              </w:rPr>
              <w:t>Name</w:t>
            </w:r>
          </w:p>
        </w:tc>
        <w:tc>
          <w:tcPr>
            <w:tcW w:w="2880" w:type="dxa"/>
          </w:tcPr>
          <w:p w:rsidR="000B1C51" w:rsidP="006B7356" w14:paraId="016BC503" w14:textId="77777777">
            <w:pPr>
              <w:pStyle w:val="TableParagraph"/>
              <w:spacing w:before="0"/>
              <w:jc w:val="center"/>
              <w:rPr>
                <w:b/>
                <w:sz w:val="24"/>
              </w:rPr>
            </w:pPr>
          </w:p>
          <w:p w:rsidR="000B1C51" w:rsidP="006B7356" w14:paraId="1E71A237" w14:textId="77777777">
            <w:pPr>
              <w:pStyle w:val="TableParagraph"/>
              <w:spacing w:before="0"/>
              <w:jc w:val="center"/>
              <w:rPr>
                <w:b/>
                <w:sz w:val="24"/>
              </w:rPr>
            </w:pPr>
            <w:r>
              <w:rPr>
                <w:b/>
                <w:sz w:val="24"/>
              </w:rPr>
              <w:t>CFR</w:t>
            </w:r>
            <w:r>
              <w:rPr>
                <w:b/>
                <w:spacing w:val="-3"/>
                <w:sz w:val="24"/>
              </w:rPr>
              <w:t xml:space="preserve"> </w:t>
            </w:r>
            <w:r>
              <w:rPr>
                <w:b/>
                <w:spacing w:val="-2"/>
                <w:sz w:val="24"/>
              </w:rPr>
              <w:t>Section</w:t>
            </w:r>
          </w:p>
        </w:tc>
        <w:tc>
          <w:tcPr>
            <w:tcW w:w="1530" w:type="dxa"/>
          </w:tcPr>
          <w:p w:rsidR="000B1C51" w:rsidP="006B7356" w14:paraId="0868CC36" w14:textId="77777777">
            <w:pPr>
              <w:pStyle w:val="TableParagraph"/>
              <w:spacing w:before="0"/>
              <w:jc w:val="center"/>
              <w:rPr>
                <w:b/>
                <w:sz w:val="24"/>
              </w:rPr>
            </w:pPr>
            <w:r>
              <w:rPr>
                <w:b/>
                <w:spacing w:val="-2"/>
                <w:sz w:val="24"/>
              </w:rPr>
              <w:t>Total</w:t>
            </w:r>
            <w:r>
              <w:rPr>
                <w:b/>
                <w:spacing w:val="-13"/>
                <w:sz w:val="24"/>
              </w:rPr>
              <w:t xml:space="preserve"> </w:t>
            </w:r>
            <w:r>
              <w:rPr>
                <w:b/>
                <w:spacing w:val="-2"/>
                <w:sz w:val="24"/>
              </w:rPr>
              <w:t>Burden Hours</w:t>
            </w:r>
          </w:p>
        </w:tc>
        <w:tc>
          <w:tcPr>
            <w:tcW w:w="1621" w:type="dxa"/>
          </w:tcPr>
          <w:p w:rsidR="000B1C51" w:rsidP="006B7356" w14:paraId="376EE363" w14:textId="77777777">
            <w:pPr>
              <w:pStyle w:val="TableParagraph"/>
              <w:spacing w:before="0"/>
              <w:jc w:val="center"/>
              <w:rPr>
                <w:b/>
                <w:sz w:val="24"/>
              </w:rPr>
            </w:pPr>
            <w:r>
              <w:rPr>
                <w:b/>
                <w:spacing w:val="-2"/>
                <w:sz w:val="24"/>
              </w:rPr>
              <w:t>Total Burden</w:t>
            </w:r>
          </w:p>
          <w:p w:rsidR="000B1C51" w:rsidP="006B7356" w14:paraId="34160BCB" w14:textId="77777777">
            <w:pPr>
              <w:pStyle w:val="TableParagraph"/>
              <w:spacing w:before="0"/>
              <w:jc w:val="center"/>
              <w:rPr>
                <w:b/>
                <w:sz w:val="24"/>
              </w:rPr>
            </w:pPr>
            <w:r>
              <w:rPr>
                <w:b/>
                <w:spacing w:val="-2"/>
                <w:sz w:val="24"/>
              </w:rPr>
              <w:t>Costs</w:t>
            </w:r>
          </w:p>
        </w:tc>
      </w:tr>
      <w:tr w14:paraId="24B24B9B" w14:textId="77777777" w:rsidTr="008E5CA3">
        <w:tblPrEx>
          <w:tblW w:w="9626" w:type="dxa"/>
          <w:tblLayout w:type="fixed"/>
          <w:tblCellMar>
            <w:left w:w="0" w:type="dxa"/>
            <w:right w:w="0" w:type="dxa"/>
          </w:tblCellMar>
          <w:tblLook w:val="01E0"/>
        </w:tblPrEx>
        <w:trPr>
          <w:trHeight w:val="530"/>
        </w:trPr>
        <w:tc>
          <w:tcPr>
            <w:tcW w:w="3595" w:type="dxa"/>
          </w:tcPr>
          <w:p w:rsidR="000B1C51" w:rsidP="00296762" w14:paraId="456A6CF8" w14:textId="26EAB41C">
            <w:pPr>
              <w:pStyle w:val="TableParagraph"/>
              <w:spacing w:before="0"/>
              <w:ind w:left="107"/>
              <w:rPr>
                <w:sz w:val="24"/>
              </w:rPr>
            </w:pPr>
            <w:r>
              <w:rPr>
                <w:sz w:val="24"/>
              </w:rPr>
              <w:t>Table</w:t>
            </w:r>
            <w:r>
              <w:rPr>
                <w:spacing w:val="-15"/>
                <w:sz w:val="24"/>
              </w:rPr>
              <w:t xml:space="preserve"> </w:t>
            </w:r>
            <w:r>
              <w:rPr>
                <w:sz w:val="24"/>
              </w:rPr>
              <w:t>2:</w:t>
            </w:r>
            <w:r>
              <w:rPr>
                <w:spacing w:val="-15"/>
                <w:sz w:val="24"/>
              </w:rPr>
              <w:t xml:space="preserve"> </w:t>
            </w:r>
            <w:r>
              <w:rPr>
                <w:sz w:val="24"/>
              </w:rPr>
              <w:t>Burden</w:t>
            </w:r>
            <w:r>
              <w:rPr>
                <w:spacing w:val="-9"/>
                <w:sz w:val="24"/>
              </w:rPr>
              <w:t xml:space="preserve"> </w:t>
            </w:r>
            <w:r>
              <w:rPr>
                <w:sz w:val="24"/>
              </w:rPr>
              <w:t>for</w:t>
            </w:r>
            <w:r>
              <w:rPr>
                <w:spacing w:val="-8"/>
                <w:sz w:val="24"/>
              </w:rPr>
              <w:t xml:space="preserve"> </w:t>
            </w:r>
            <w:r>
              <w:rPr>
                <w:sz w:val="24"/>
              </w:rPr>
              <w:t>QHP</w:t>
            </w:r>
            <w:r>
              <w:rPr>
                <w:spacing w:val="-3"/>
                <w:sz w:val="24"/>
              </w:rPr>
              <w:t xml:space="preserve"> </w:t>
            </w:r>
            <w:r>
              <w:rPr>
                <w:spacing w:val="-2"/>
                <w:sz w:val="24"/>
              </w:rPr>
              <w:t>Issuers</w:t>
            </w:r>
            <w:r w:rsidR="00C55CB6">
              <w:rPr>
                <w:spacing w:val="-2"/>
                <w:sz w:val="24"/>
              </w:rPr>
              <w:t xml:space="preserve"> for ECP/NA </w:t>
            </w:r>
            <w:r w:rsidR="00992D76">
              <w:rPr>
                <w:spacing w:val="-2"/>
                <w:sz w:val="24"/>
              </w:rPr>
              <w:t xml:space="preserve">Template Data </w:t>
            </w:r>
            <w:r w:rsidR="00C55CB6">
              <w:rPr>
                <w:spacing w:val="-2"/>
                <w:sz w:val="24"/>
              </w:rPr>
              <w:t>Collection</w:t>
            </w:r>
          </w:p>
        </w:tc>
        <w:tc>
          <w:tcPr>
            <w:tcW w:w="2880" w:type="dxa"/>
          </w:tcPr>
          <w:p w:rsidR="009F5ADA" w:rsidP="006B7356" w14:paraId="3305731F" w14:textId="77777777">
            <w:pPr>
              <w:pStyle w:val="TableParagraph"/>
              <w:spacing w:before="0"/>
              <w:jc w:val="center"/>
              <w:rPr>
                <w:spacing w:val="-2"/>
                <w:sz w:val="24"/>
              </w:rPr>
            </w:pPr>
            <w:r>
              <w:rPr>
                <w:sz w:val="24"/>
              </w:rPr>
              <w:t>45</w:t>
            </w:r>
            <w:r>
              <w:rPr>
                <w:spacing w:val="-3"/>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 xml:space="preserve">156.230, </w:t>
            </w:r>
          </w:p>
          <w:p w:rsidR="000B1C51" w:rsidP="008E5CA3" w14:paraId="0CEDBE76" w14:textId="150C4DA0">
            <w:pPr>
              <w:pStyle w:val="TableParagraph"/>
              <w:spacing w:before="0"/>
              <w:jc w:val="center"/>
              <w:rPr>
                <w:sz w:val="24"/>
              </w:rPr>
            </w:pPr>
            <w:r>
              <w:rPr>
                <w:spacing w:val="-2"/>
                <w:sz w:val="24"/>
              </w:rPr>
              <w:t>156.235</w:t>
            </w:r>
          </w:p>
        </w:tc>
        <w:tc>
          <w:tcPr>
            <w:tcW w:w="1530" w:type="dxa"/>
          </w:tcPr>
          <w:p w:rsidR="000B1C51" w:rsidRPr="00091A19" w:rsidP="006B7356" w14:paraId="17B05DA2" w14:textId="19F3809E">
            <w:pPr>
              <w:pStyle w:val="TableParagraph"/>
              <w:spacing w:before="0"/>
              <w:jc w:val="center"/>
              <w:rPr>
                <w:sz w:val="24"/>
              </w:rPr>
            </w:pPr>
            <w:r w:rsidRPr="00091A19">
              <w:rPr>
                <w:sz w:val="24"/>
              </w:rPr>
              <w:t>3,420</w:t>
            </w:r>
          </w:p>
        </w:tc>
        <w:tc>
          <w:tcPr>
            <w:tcW w:w="1621" w:type="dxa"/>
          </w:tcPr>
          <w:p w:rsidR="000B1C51" w:rsidRPr="00091A19" w:rsidP="006B7356" w14:paraId="6404BC22" w14:textId="67938C67">
            <w:pPr>
              <w:pStyle w:val="TableParagraph"/>
              <w:spacing w:before="0"/>
              <w:jc w:val="center"/>
              <w:rPr>
                <w:sz w:val="24"/>
              </w:rPr>
            </w:pPr>
            <w:r w:rsidRPr="00091A19">
              <w:rPr>
                <w:color w:val="000000"/>
                <w:sz w:val="24"/>
                <w:szCs w:val="24"/>
              </w:rPr>
              <w:t>$257,361.84</w:t>
            </w:r>
          </w:p>
        </w:tc>
      </w:tr>
      <w:tr w14:paraId="4B364FA9" w14:textId="77777777" w:rsidTr="006B7356">
        <w:tblPrEx>
          <w:tblW w:w="9626" w:type="dxa"/>
          <w:tblLayout w:type="fixed"/>
          <w:tblCellMar>
            <w:left w:w="0" w:type="dxa"/>
            <w:right w:w="0" w:type="dxa"/>
          </w:tblCellMar>
          <w:tblLook w:val="01E0"/>
        </w:tblPrEx>
        <w:trPr>
          <w:trHeight w:val="573"/>
        </w:trPr>
        <w:tc>
          <w:tcPr>
            <w:tcW w:w="3595" w:type="dxa"/>
          </w:tcPr>
          <w:p w:rsidR="000B1C51" w:rsidP="00296762" w14:paraId="670B3852" w14:textId="77777777">
            <w:pPr>
              <w:pStyle w:val="TableParagraph"/>
              <w:spacing w:before="0"/>
              <w:ind w:left="107"/>
              <w:rPr>
                <w:sz w:val="24"/>
              </w:rPr>
            </w:pPr>
            <w:r>
              <w:rPr>
                <w:sz w:val="24"/>
              </w:rPr>
              <w:t>Table</w:t>
            </w:r>
            <w:r>
              <w:rPr>
                <w:spacing w:val="-15"/>
                <w:sz w:val="24"/>
              </w:rPr>
              <w:t xml:space="preserve"> </w:t>
            </w:r>
            <w:r>
              <w:rPr>
                <w:sz w:val="24"/>
              </w:rPr>
              <w:t>3:</w:t>
            </w:r>
            <w:r>
              <w:rPr>
                <w:spacing w:val="-15"/>
                <w:sz w:val="24"/>
              </w:rPr>
              <w:t xml:space="preserve"> </w:t>
            </w:r>
            <w:r>
              <w:rPr>
                <w:sz w:val="24"/>
              </w:rPr>
              <w:t>Burden</w:t>
            </w:r>
            <w:r>
              <w:rPr>
                <w:spacing w:val="-13"/>
                <w:sz w:val="24"/>
              </w:rPr>
              <w:t xml:space="preserve"> </w:t>
            </w:r>
            <w:r>
              <w:rPr>
                <w:sz w:val="24"/>
              </w:rPr>
              <w:t>for</w:t>
            </w:r>
            <w:r>
              <w:rPr>
                <w:spacing w:val="-9"/>
                <w:sz w:val="24"/>
              </w:rPr>
              <w:t xml:space="preserve"> </w:t>
            </w:r>
            <w:r>
              <w:rPr>
                <w:sz w:val="24"/>
              </w:rPr>
              <w:t>Stand-</w:t>
            </w:r>
            <w:r>
              <w:rPr>
                <w:spacing w:val="-2"/>
                <w:sz w:val="24"/>
              </w:rPr>
              <w:t>Alone</w:t>
            </w:r>
          </w:p>
          <w:p w:rsidR="000B1C51" w:rsidP="00296762" w14:paraId="347C98C7" w14:textId="7C751F0B">
            <w:pPr>
              <w:pStyle w:val="TableParagraph"/>
              <w:spacing w:before="0"/>
              <w:ind w:left="117"/>
              <w:rPr>
                <w:sz w:val="24"/>
              </w:rPr>
            </w:pPr>
            <w:r>
              <w:rPr>
                <w:sz w:val="24"/>
              </w:rPr>
              <w:t>Dental</w:t>
            </w:r>
            <w:r>
              <w:rPr>
                <w:spacing w:val="-1"/>
                <w:sz w:val="24"/>
              </w:rPr>
              <w:t xml:space="preserve"> </w:t>
            </w:r>
            <w:r>
              <w:rPr>
                <w:spacing w:val="-2"/>
                <w:sz w:val="24"/>
              </w:rPr>
              <w:t>Issuers</w:t>
            </w:r>
            <w:r w:rsidR="00C55CB6">
              <w:rPr>
                <w:spacing w:val="-2"/>
                <w:sz w:val="24"/>
              </w:rPr>
              <w:t xml:space="preserve"> for ECP/NA</w:t>
            </w:r>
            <w:r w:rsidR="00992D76">
              <w:rPr>
                <w:spacing w:val="-2"/>
                <w:sz w:val="24"/>
              </w:rPr>
              <w:t xml:space="preserve"> Template</w:t>
            </w:r>
            <w:r w:rsidR="00C55CB6">
              <w:rPr>
                <w:spacing w:val="-2"/>
                <w:sz w:val="24"/>
              </w:rPr>
              <w:t xml:space="preserve"> Collection</w:t>
            </w:r>
            <w:r w:rsidR="00992D76">
              <w:rPr>
                <w:spacing w:val="-2"/>
                <w:sz w:val="24"/>
              </w:rPr>
              <w:t xml:space="preserve"> </w:t>
            </w:r>
          </w:p>
        </w:tc>
        <w:tc>
          <w:tcPr>
            <w:tcW w:w="2880" w:type="dxa"/>
          </w:tcPr>
          <w:p w:rsidR="009F5ADA" w:rsidP="009F5ADA" w14:paraId="6320B619" w14:textId="77777777">
            <w:pPr>
              <w:pStyle w:val="TableParagraph"/>
              <w:spacing w:before="0"/>
              <w:jc w:val="center"/>
              <w:rPr>
                <w:spacing w:val="-2"/>
                <w:sz w:val="24"/>
              </w:rPr>
            </w:pPr>
            <w:r>
              <w:rPr>
                <w:sz w:val="24"/>
              </w:rPr>
              <w:t>45</w:t>
            </w:r>
            <w:r>
              <w:rPr>
                <w:spacing w:val="-3"/>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 xml:space="preserve">156.230, </w:t>
            </w:r>
          </w:p>
          <w:p w:rsidR="009F5ADA" w:rsidP="009F5ADA" w14:paraId="78F6D843" w14:textId="77777777">
            <w:pPr>
              <w:pStyle w:val="TableParagraph"/>
              <w:spacing w:before="0"/>
              <w:jc w:val="center"/>
              <w:rPr>
                <w:sz w:val="24"/>
              </w:rPr>
            </w:pPr>
            <w:r>
              <w:rPr>
                <w:spacing w:val="-2"/>
                <w:sz w:val="24"/>
              </w:rPr>
              <w:t>156.235</w:t>
            </w:r>
          </w:p>
          <w:p w:rsidR="000B1C51" w:rsidP="006B7356" w14:paraId="65F562C0" w14:textId="34EC2A54">
            <w:pPr>
              <w:pStyle w:val="TableParagraph"/>
              <w:spacing w:before="0"/>
              <w:jc w:val="center"/>
              <w:rPr>
                <w:sz w:val="24"/>
              </w:rPr>
            </w:pPr>
          </w:p>
        </w:tc>
        <w:tc>
          <w:tcPr>
            <w:tcW w:w="1530" w:type="dxa"/>
          </w:tcPr>
          <w:p w:rsidR="000B1C51" w:rsidRPr="00091A19" w:rsidP="006B7356" w14:paraId="11DA4CA0" w14:textId="346C9DDA">
            <w:pPr>
              <w:pStyle w:val="TableParagraph"/>
              <w:spacing w:before="0"/>
              <w:jc w:val="center"/>
              <w:rPr>
                <w:sz w:val="24"/>
              </w:rPr>
            </w:pPr>
            <w:r w:rsidRPr="00091A19">
              <w:rPr>
                <w:sz w:val="24"/>
                <w:szCs w:val="24"/>
              </w:rPr>
              <w:t>776</w:t>
            </w:r>
          </w:p>
        </w:tc>
        <w:tc>
          <w:tcPr>
            <w:tcW w:w="1621" w:type="dxa"/>
          </w:tcPr>
          <w:p w:rsidR="000B1C51" w:rsidRPr="00091A19" w:rsidP="006B7356" w14:paraId="7EBA46AD" w14:textId="5972096F">
            <w:pPr>
              <w:pStyle w:val="TableParagraph"/>
              <w:spacing w:before="0"/>
              <w:jc w:val="center"/>
              <w:rPr>
                <w:sz w:val="24"/>
              </w:rPr>
            </w:pPr>
            <w:r w:rsidRPr="00091A19">
              <w:rPr>
                <w:sz w:val="24"/>
                <w:szCs w:val="24"/>
              </w:rPr>
              <w:t>$59,220.44</w:t>
            </w:r>
          </w:p>
        </w:tc>
      </w:tr>
      <w:tr w14:paraId="715D8666" w14:textId="77777777" w:rsidTr="006B7356">
        <w:tblPrEx>
          <w:tblW w:w="9626" w:type="dxa"/>
          <w:tblLayout w:type="fixed"/>
          <w:tblCellMar>
            <w:left w:w="0" w:type="dxa"/>
            <w:right w:w="0" w:type="dxa"/>
          </w:tblCellMar>
          <w:tblLook w:val="01E0"/>
        </w:tblPrEx>
        <w:trPr>
          <w:trHeight w:val="573"/>
        </w:trPr>
        <w:tc>
          <w:tcPr>
            <w:tcW w:w="3595" w:type="dxa"/>
          </w:tcPr>
          <w:p w:rsidR="00C55CB6" w:rsidP="00296762" w14:paraId="6D053A76" w14:textId="4932ACDF">
            <w:pPr>
              <w:pStyle w:val="TableParagraph"/>
              <w:spacing w:before="0"/>
              <w:ind w:left="107"/>
              <w:rPr>
                <w:sz w:val="24"/>
              </w:rPr>
            </w:pPr>
            <w:r>
              <w:rPr>
                <w:sz w:val="24"/>
              </w:rPr>
              <w:t xml:space="preserve">Table </w:t>
            </w:r>
            <w:r w:rsidR="008877D3">
              <w:rPr>
                <w:sz w:val="24"/>
              </w:rPr>
              <w:t>4</w:t>
            </w:r>
            <w:r>
              <w:rPr>
                <w:sz w:val="24"/>
              </w:rPr>
              <w:t>: Burden for</w:t>
            </w:r>
            <w:r w:rsidR="00EA4A36">
              <w:rPr>
                <w:sz w:val="24"/>
              </w:rPr>
              <w:t xml:space="preserve"> </w:t>
            </w:r>
            <w:r w:rsidR="009F5ADA">
              <w:rPr>
                <w:sz w:val="24"/>
              </w:rPr>
              <w:t xml:space="preserve">all </w:t>
            </w:r>
            <w:r>
              <w:rPr>
                <w:sz w:val="24"/>
              </w:rPr>
              <w:t xml:space="preserve">QHP Issuers for </w:t>
            </w:r>
            <w:r w:rsidR="009F5ADA">
              <w:rPr>
                <w:sz w:val="24"/>
              </w:rPr>
              <w:t xml:space="preserve">the </w:t>
            </w:r>
            <w:r w:rsidR="005D0CE2">
              <w:rPr>
                <w:sz w:val="24"/>
              </w:rPr>
              <w:t>Appointment Wait Time</w:t>
            </w:r>
            <w:r w:rsidR="00992D76">
              <w:rPr>
                <w:sz w:val="24"/>
              </w:rPr>
              <w:t xml:space="preserve"> Secret Shopper</w:t>
            </w:r>
            <w:r>
              <w:rPr>
                <w:sz w:val="24"/>
              </w:rPr>
              <w:t xml:space="preserve"> Data Collection</w:t>
            </w:r>
            <w:r w:rsidR="00992D76">
              <w:rPr>
                <w:sz w:val="24"/>
              </w:rPr>
              <w:t xml:space="preserve"> </w:t>
            </w:r>
          </w:p>
        </w:tc>
        <w:tc>
          <w:tcPr>
            <w:tcW w:w="2880" w:type="dxa"/>
          </w:tcPr>
          <w:p w:rsidR="00C55CB6" w:rsidP="006B7356" w14:paraId="7CA0ADBC" w14:textId="66A618F1">
            <w:pPr>
              <w:pStyle w:val="TableParagraph"/>
              <w:spacing w:before="0"/>
              <w:jc w:val="center"/>
              <w:rPr>
                <w:sz w:val="24"/>
              </w:rPr>
            </w:pPr>
            <w:r>
              <w:rPr>
                <w:sz w:val="24"/>
              </w:rPr>
              <w:t>45</w:t>
            </w:r>
            <w:r>
              <w:rPr>
                <w:spacing w:val="-3"/>
                <w:sz w:val="24"/>
              </w:rPr>
              <w:t xml:space="preserve"> </w:t>
            </w:r>
            <w:r>
              <w:rPr>
                <w:sz w:val="24"/>
              </w:rPr>
              <w:t>C.F.R.</w:t>
            </w:r>
            <w:r>
              <w:rPr>
                <w:spacing w:val="-1"/>
                <w:sz w:val="24"/>
              </w:rPr>
              <w:t xml:space="preserve"> </w:t>
            </w:r>
            <w:r w:rsidRPr="00A1098F" w:rsidR="00EC16E5">
              <w:rPr>
                <w:rFonts w:eastAsiaTheme="minorEastAsia"/>
                <w:bCs/>
                <w:sz w:val="24"/>
                <w:szCs w:val="24"/>
              </w:rPr>
              <w:t>§ 156.230(a)(2)(B),</w:t>
            </w:r>
          </w:p>
        </w:tc>
        <w:tc>
          <w:tcPr>
            <w:tcW w:w="1530" w:type="dxa"/>
          </w:tcPr>
          <w:p w:rsidR="00C55CB6" w:rsidRPr="00091A19" w:rsidP="006B7356" w14:paraId="3B3602A7" w14:textId="13C59FE2">
            <w:pPr>
              <w:pStyle w:val="TableParagraph"/>
              <w:spacing w:before="0"/>
              <w:jc w:val="center"/>
              <w:rPr>
                <w:spacing w:val="-2"/>
                <w:sz w:val="24"/>
              </w:rPr>
            </w:pPr>
            <w:r w:rsidRPr="00091A19">
              <w:rPr>
                <w:sz w:val="24"/>
                <w:szCs w:val="24"/>
              </w:rPr>
              <w:t>245,214</w:t>
            </w:r>
          </w:p>
        </w:tc>
        <w:tc>
          <w:tcPr>
            <w:tcW w:w="1621" w:type="dxa"/>
          </w:tcPr>
          <w:p w:rsidR="00C55CB6" w:rsidRPr="00091A19" w:rsidP="006B7356" w14:paraId="2210962A" w14:textId="25515A0A">
            <w:pPr>
              <w:pStyle w:val="TableParagraph"/>
              <w:spacing w:before="0"/>
              <w:jc w:val="center"/>
              <w:rPr>
                <w:spacing w:val="-2"/>
                <w:sz w:val="24"/>
              </w:rPr>
            </w:pPr>
            <w:r w:rsidRPr="00091A19">
              <w:rPr>
                <w:color w:val="000000"/>
                <w:sz w:val="24"/>
                <w:szCs w:val="24"/>
              </w:rPr>
              <w:t>$17,227,449.72</w:t>
            </w:r>
          </w:p>
        </w:tc>
      </w:tr>
      <w:tr w14:paraId="7FD7BD68" w14:textId="77777777" w:rsidTr="008E5CA3">
        <w:tblPrEx>
          <w:tblW w:w="9626" w:type="dxa"/>
          <w:tblLayout w:type="fixed"/>
          <w:tblCellMar>
            <w:left w:w="0" w:type="dxa"/>
            <w:right w:w="0" w:type="dxa"/>
          </w:tblCellMar>
          <w:tblLook w:val="01E0"/>
        </w:tblPrEx>
        <w:trPr>
          <w:trHeight w:val="359"/>
        </w:trPr>
        <w:tc>
          <w:tcPr>
            <w:tcW w:w="3595" w:type="dxa"/>
          </w:tcPr>
          <w:p w:rsidR="000B1C51" w:rsidP="00296762" w14:paraId="7D9AE720" w14:textId="7972F53B">
            <w:pPr>
              <w:pStyle w:val="TableParagraph"/>
              <w:spacing w:before="0"/>
              <w:ind w:left="107"/>
              <w:rPr>
                <w:b/>
                <w:sz w:val="24"/>
              </w:rPr>
            </w:pPr>
            <w:r>
              <w:rPr>
                <w:b/>
                <w:spacing w:val="-2"/>
                <w:sz w:val="24"/>
              </w:rPr>
              <w:t>Total</w:t>
            </w:r>
            <w:r w:rsidR="00091A19">
              <w:rPr>
                <w:b/>
                <w:spacing w:val="-2"/>
                <w:sz w:val="24"/>
              </w:rPr>
              <w:t xml:space="preserve"> - Annual</w:t>
            </w:r>
          </w:p>
        </w:tc>
        <w:tc>
          <w:tcPr>
            <w:tcW w:w="2880" w:type="dxa"/>
          </w:tcPr>
          <w:p w:rsidR="000B1C51" w:rsidP="006B7356" w14:paraId="3AA1A392" w14:textId="77777777">
            <w:pPr>
              <w:pStyle w:val="TableParagraph"/>
              <w:spacing w:before="0"/>
              <w:jc w:val="center"/>
              <w:rPr>
                <w:sz w:val="24"/>
              </w:rPr>
            </w:pPr>
          </w:p>
        </w:tc>
        <w:tc>
          <w:tcPr>
            <w:tcW w:w="1530" w:type="dxa"/>
          </w:tcPr>
          <w:p w:rsidR="000B1C51" w:rsidP="006B7356" w14:paraId="660CF612" w14:textId="477A2941">
            <w:pPr>
              <w:pStyle w:val="TableParagraph"/>
              <w:spacing w:before="0"/>
              <w:jc w:val="center"/>
              <w:rPr>
                <w:b/>
                <w:sz w:val="24"/>
              </w:rPr>
            </w:pPr>
            <w:r>
              <w:rPr>
                <w:b/>
                <w:sz w:val="24"/>
              </w:rPr>
              <w:t>249,410</w:t>
            </w:r>
          </w:p>
        </w:tc>
        <w:tc>
          <w:tcPr>
            <w:tcW w:w="1621" w:type="dxa"/>
          </w:tcPr>
          <w:p w:rsidR="000B1C51" w:rsidP="006B7356" w14:paraId="1A490F2C" w14:textId="09E626D6">
            <w:pPr>
              <w:pStyle w:val="TableParagraph"/>
              <w:spacing w:before="0"/>
              <w:jc w:val="center"/>
              <w:rPr>
                <w:b/>
                <w:sz w:val="24"/>
              </w:rPr>
            </w:pPr>
            <w:r>
              <w:rPr>
                <w:b/>
                <w:sz w:val="24"/>
              </w:rPr>
              <w:t>$</w:t>
            </w:r>
            <w:r w:rsidR="00091A19">
              <w:rPr>
                <w:b/>
                <w:sz w:val="24"/>
              </w:rPr>
              <w:t>17,544,032</w:t>
            </w:r>
          </w:p>
        </w:tc>
      </w:tr>
    </w:tbl>
    <w:p w:rsidR="000B1C51" w14:paraId="128A485A" w14:textId="2FADBAAB">
      <w:pPr>
        <w:pStyle w:val="BodyText"/>
        <w:rPr>
          <w:b/>
          <w:sz w:val="26"/>
        </w:rPr>
      </w:pPr>
    </w:p>
    <w:p w:rsidR="000B1C51" w:rsidP="00B86B2E" w14:paraId="5E066B0D" w14:textId="77777777">
      <w:pPr>
        <w:pStyle w:val="ListParagraph"/>
        <w:numPr>
          <w:ilvl w:val="0"/>
          <w:numId w:val="2"/>
        </w:numPr>
        <w:tabs>
          <w:tab w:val="left" w:pos="630"/>
        </w:tabs>
        <w:ind w:left="360" w:hanging="360"/>
        <w:rPr>
          <w:sz w:val="24"/>
        </w:rPr>
      </w:pPr>
      <w:r>
        <w:rPr>
          <w:sz w:val="24"/>
          <w:u w:val="single"/>
        </w:rPr>
        <w:t>Capital</w:t>
      </w:r>
      <w:r>
        <w:rPr>
          <w:spacing w:val="-4"/>
          <w:sz w:val="24"/>
          <w:u w:val="single"/>
        </w:rPr>
        <w:t xml:space="preserve"> </w:t>
      </w:r>
      <w:r>
        <w:rPr>
          <w:spacing w:val="-2"/>
          <w:sz w:val="24"/>
          <w:u w:val="single"/>
        </w:rPr>
        <w:t>Costs</w:t>
      </w:r>
    </w:p>
    <w:p w:rsidR="000B1C51" w:rsidP="00296762" w14:paraId="3745C111" w14:textId="77777777">
      <w:pPr>
        <w:pStyle w:val="BodyText"/>
        <w:rPr>
          <w:sz w:val="20"/>
        </w:rPr>
      </w:pPr>
    </w:p>
    <w:p w:rsidR="00B86B2E" w:rsidP="00B86B2E" w14:paraId="2EB3AFCF" w14:textId="77777777">
      <w:pPr>
        <w:pStyle w:val="BodyText"/>
        <w:rPr>
          <w:spacing w:val="-2"/>
        </w:rPr>
      </w:pPr>
      <w:r>
        <w:t>There</w:t>
      </w:r>
      <w:r>
        <w:rPr>
          <w:spacing w:val="-4"/>
        </w:rPr>
        <w:t xml:space="preserve"> </w:t>
      </w:r>
      <w:r>
        <w:t>are</w:t>
      </w:r>
      <w:r>
        <w:rPr>
          <w:spacing w:val="-2"/>
        </w:rPr>
        <w:t xml:space="preserve"> </w:t>
      </w:r>
      <w:r>
        <w:t>no</w:t>
      </w:r>
      <w:r>
        <w:rPr>
          <w:spacing w:val="-1"/>
        </w:rPr>
        <w:t xml:space="preserve"> </w:t>
      </w:r>
      <w:r>
        <w:t>anticipated capital</w:t>
      </w:r>
      <w:r>
        <w:rPr>
          <w:spacing w:val="-2"/>
        </w:rPr>
        <w:t xml:space="preserve"> </w:t>
      </w:r>
      <w:r>
        <w:t>costs</w:t>
      </w:r>
      <w:r>
        <w:rPr>
          <w:spacing w:val="-2"/>
        </w:rPr>
        <w:t xml:space="preserve"> </w:t>
      </w:r>
      <w:r>
        <w:t>associated with</w:t>
      </w:r>
      <w:r>
        <w:rPr>
          <w:spacing w:val="-2"/>
        </w:rPr>
        <w:t xml:space="preserve"> </w:t>
      </w:r>
      <w:r>
        <w:t>these</w:t>
      </w:r>
      <w:r>
        <w:rPr>
          <w:spacing w:val="-3"/>
        </w:rPr>
        <w:t xml:space="preserve"> </w:t>
      </w:r>
      <w:r>
        <w:t>information</w:t>
      </w:r>
      <w:r>
        <w:rPr>
          <w:spacing w:val="-1"/>
        </w:rPr>
        <w:t xml:space="preserve"> </w:t>
      </w:r>
      <w:r>
        <w:rPr>
          <w:spacing w:val="-2"/>
        </w:rPr>
        <w:t>collections.</w:t>
      </w:r>
      <w:bookmarkStart w:id="17" w:name="14._Cost_to_Federal_Government"/>
      <w:bookmarkEnd w:id="17"/>
    </w:p>
    <w:p w:rsidR="00B86B2E" w:rsidP="00B86B2E" w14:paraId="31A2ED17" w14:textId="77777777">
      <w:pPr>
        <w:pStyle w:val="BodyText"/>
        <w:ind w:left="105"/>
        <w:rPr>
          <w:spacing w:val="-2"/>
        </w:rPr>
      </w:pPr>
    </w:p>
    <w:p w:rsidR="000B1C51" w:rsidP="00B86B2E" w14:paraId="32CFFF9C" w14:textId="351E9280">
      <w:pPr>
        <w:pStyle w:val="BodyText"/>
        <w:numPr>
          <w:ilvl w:val="0"/>
          <w:numId w:val="2"/>
        </w:numPr>
        <w:ind w:left="360" w:hanging="360"/>
      </w:pPr>
      <w:r>
        <w:rPr>
          <w:u w:val="single"/>
        </w:rPr>
        <w:t>Cost</w:t>
      </w:r>
      <w:r>
        <w:rPr>
          <w:spacing w:val="-2"/>
          <w:u w:val="single"/>
        </w:rPr>
        <w:t xml:space="preserve"> </w:t>
      </w:r>
      <w:r>
        <w:rPr>
          <w:u w:val="single"/>
        </w:rPr>
        <w:t>to</w:t>
      </w:r>
      <w:r>
        <w:rPr>
          <w:spacing w:val="-2"/>
          <w:u w:val="single"/>
        </w:rPr>
        <w:t xml:space="preserve"> </w:t>
      </w:r>
      <w:r>
        <w:rPr>
          <w:u w:val="single"/>
        </w:rPr>
        <w:t>Federal</w:t>
      </w:r>
      <w:r>
        <w:rPr>
          <w:spacing w:val="-2"/>
          <w:u w:val="single"/>
        </w:rPr>
        <w:t xml:space="preserve"> Government</w:t>
      </w:r>
    </w:p>
    <w:p w:rsidR="000B1C51" w:rsidP="00B86B2E" w14:paraId="708DC229" w14:textId="77777777">
      <w:pPr>
        <w:pStyle w:val="BodyText"/>
        <w:rPr>
          <w:sz w:val="27"/>
        </w:rPr>
      </w:pPr>
    </w:p>
    <w:p w:rsidR="008A579B" w:rsidP="00665FB0" w14:paraId="3F48228E" w14:textId="0DCF9AF3">
      <w:pPr>
        <w:pStyle w:val="BodyText"/>
        <w:ind w:hanging="10"/>
        <w:rPr>
          <w:color w:val="0562C1"/>
          <w:spacing w:val="-2"/>
          <w:u w:val="single" w:color="0562C1"/>
        </w:rPr>
      </w:pPr>
      <w:r w:rsidRPr="008E5CA3">
        <w:t xml:space="preserve">We estimate the operations and maintenance costs and the data collection support </w:t>
      </w:r>
      <w:r w:rsidRPr="008E5CA3" w:rsidR="00665FB0">
        <w:t xml:space="preserve">for both the ECP/NA and </w:t>
      </w:r>
      <w:r w:rsidR="005D0CE2">
        <w:t>appointment wait time</w:t>
      </w:r>
      <w:r w:rsidRPr="008E5CA3" w:rsidR="00665FB0">
        <w:t xml:space="preserve"> data collections </w:t>
      </w:r>
      <w:r w:rsidRPr="008E5CA3">
        <w:t>to have a total cost of $</w:t>
      </w:r>
      <w:r w:rsidRPr="00932EB8" w:rsidR="00932EB8">
        <w:t>1,655,820</w:t>
      </w:r>
      <w:r w:rsidRPr="008E5CA3" w:rsidR="002661ED">
        <w:t xml:space="preserve"> </w:t>
      </w:r>
      <w:r w:rsidRPr="008E5CA3">
        <w:t>per year. The calculations for CCIIO employees’</w:t>
      </w:r>
      <w:r w:rsidRPr="008E5CA3">
        <w:rPr>
          <w:spacing w:val="-6"/>
        </w:rPr>
        <w:t xml:space="preserve"> </w:t>
      </w:r>
      <w:r w:rsidRPr="008E5CA3">
        <w:t>hourly</w:t>
      </w:r>
      <w:r w:rsidRPr="008E5CA3">
        <w:rPr>
          <w:spacing w:val="-9"/>
        </w:rPr>
        <w:t xml:space="preserve"> </w:t>
      </w:r>
      <w:r w:rsidRPr="008E5CA3">
        <w:t>salary</w:t>
      </w:r>
      <w:r w:rsidRPr="008E5CA3">
        <w:rPr>
          <w:spacing w:val="-7"/>
        </w:rPr>
        <w:t xml:space="preserve"> </w:t>
      </w:r>
      <w:r w:rsidRPr="008E5CA3">
        <w:t>was</w:t>
      </w:r>
      <w:r w:rsidRPr="008E5CA3">
        <w:rPr>
          <w:spacing w:val="-4"/>
        </w:rPr>
        <w:t xml:space="preserve"> </w:t>
      </w:r>
      <w:r w:rsidRPr="008E5CA3">
        <w:t>obtained</w:t>
      </w:r>
      <w:r w:rsidRPr="008E5CA3">
        <w:rPr>
          <w:spacing w:val="-4"/>
        </w:rPr>
        <w:t xml:space="preserve"> </w:t>
      </w:r>
      <w:r w:rsidRPr="008E5CA3">
        <w:t>from</w:t>
      </w:r>
      <w:r w:rsidRPr="008E5CA3">
        <w:rPr>
          <w:spacing w:val="-4"/>
        </w:rPr>
        <w:t xml:space="preserve"> </w:t>
      </w:r>
      <w:r w:rsidRPr="008E5CA3">
        <w:t>the</w:t>
      </w:r>
      <w:r w:rsidRPr="008E5CA3">
        <w:rPr>
          <w:spacing w:val="-6"/>
        </w:rPr>
        <w:t xml:space="preserve"> </w:t>
      </w:r>
      <w:r w:rsidRPr="008E5CA3">
        <w:t>OPM</w:t>
      </w:r>
      <w:r w:rsidRPr="008E5CA3">
        <w:rPr>
          <w:spacing w:val="-4"/>
        </w:rPr>
        <w:t xml:space="preserve"> </w:t>
      </w:r>
      <w:r w:rsidRPr="008E5CA3">
        <w:t>website:</w:t>
      </w:r>
      <w:r w:rsidRPr="008E5CA3">
        <w:rPr>
          <w:spacing w:val="-9"/>
        </w:rPr>
        <w:t xml:space="preserve"> </w:t>
      </w:r>
      <w:r w:rsidRPr="00932EB8" w:rsidR="00932EB8">
        <w:rPr>
          <w:color w:val="0562C1"/>
          <w:spacing w:val="-2"/>
          <w:u w:val="single" w:color="0562C1"/>
        </w:rPr>
        <w:t>https://www.opm.gov/policy-data-oversight/pay-leave/salaries-wages/salary-tables/24Tables/html/GS_h.aspx</w:t>
      </w:r>
    </w:p>
    <w:p w:rsidR="000B1C51" w:rsidP="00B86B2E" w14:paraId="0B1935B7" w14:textId="77777777">
      <w:pPr>
        <w:pStyle w:val="BodyText"/>
        <w:rPr>
          <w:sz w:val="26"/>
        </w:rPr>
      </w:pPr>
    </w:p>
    <w:p w:rsidR="000B1C51" w:rsidP="00B86B2E" w14:paraId="612E6D05" w14:textId="58743A54">
      <w:pPr>
        <w:pStyle w:val="Heading1"/>
        <w:ind w:left="0" w:hanging="10"/>
      </w:pPr>
      <w:r>
        <w:t>Table</w:t>
      </w:r>
      <w:r>
        <w:rPr>
          <w:spacing w:val="-5"/>
        </w:rPr>
        <w:t xml:space="preserve"> </w:t>
      </w:r>
      <w:r w:rsidR="001E4724">
        <w:t>6</w:t>
      </w:r>
      <w:r w:rsidR="009C0554">
        <w:t>.</w:t>
      </w:r>
      <w:r w:rsidR="009C0554">
        <w:rPr>
          <w:spacing w:val="-5"/>
        </w:rPr>
        <w:t xml:space="preserve"> </w:t>
      </w:r>
      <w:r w:rsidR="00E10DBE">
        <w:rPr>
          <w:spacing w:val="-5"/>
        </w:rPr>
        <w:t xml:space="preserve">Annual </w:t>
      </w:r>
      <w:r>
        <w:t>Administrative</w:t>
      </w:r>
      <w:r>
        <w:rPr>
          <w:spacing w:val="-2"/>
        </w:rPr>
        <w:t xml:space="preserve"> </w:t>
      </w:r>
      <w:r>
        <w:t>Burden</w:t>
      </w:r>
      <w:r>
        <w:rPr>
          <w:spacing w:val="-3"/>
        </w:rPr>
        <w:t xml:space="preserve"> </w:t>
      </w:r>
      <w:r>
        <w:t>Costs</w:t>
      </w:r>
      <w:r>
        <w:rPr>
          <w:spacing w:val="-4"/>
        </w:rPr>
        <w:t xml:space="preserve"> </w:t>
      </w:r>
      <w:r>
        <w:t>for</w:t>
      </w:r>
      <w:r>
        <w:rPr>
          <w:spacing w:val="-5"/>
        </w:rPr>
        <w:t xml:space="preserve"> </w:t>
      </w:r>
      <w:r>
        <w:t>the</w:t>
      </w:r>
      <w:r>
        <w:rPr>
          <w:spacing w:val="-5"/>
        </w:rPr>
        <w:t xml:space="preserve"> </w:t>
      </w:r>
      <w:r>
        <w:t>Federal</w:t>
      </w:r>
      <w:r>
        <w:rPr>
          <w:spacing w:val="-3"/>
        </w:rPr>
        <w:t xml:space="preserve"> </w:t>
      </w:r>
      <w:r>
        <w:t>Government</w:t>
      </w:r>
      <w:r>
        <w:rPr>
          <w:spacing w:val="-3"/>
        </w:rPr>
        <w:t xml:space="preserve"> </w:t>
      </w:r>
      <w:r>
        <w:t>Associated</w:t>
      </w:r>
      <w:r>
        <w:rPr>
          <w:spacing w:val="-3"/>
        </w:rPr>
        <w:t xml:space="preserve"> </w:t>
      </w:r>
      <w:r>
        <w:t>with</w:t>
      </w:r>
      <w:r>
        <w:rPr>
          <w:spacing w:val="-4"/>
        </w:rPr>
        <w:t xml:space="preserve"> </w:t>
      </w:r>
      <w:r>
        <w:t xml:space="preserve">the ECP/NA </w:t>
      </w:r>
      <w:r w:rsidR="008A579B">
        <w:t xml:space="preserve">Data </w:t>
      </w:r>
      <w:r>
        <w:t>Collection</w:t>
      </w:r>
    </w:p>
    <w:p w:rsidR="000B1C51" w:rsidP="00296762" w14:paraId="4D1933DB" w14:textId="77777777">
      <w:pPr>
        <w:pStyle w:val="BodyText"/>
        <w:rPr>
          <w:b/>
          <w:sz w:val="26"/>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5"/>
        <w:gridCol w:w="4271"/>
      </w:tblGrid>
      <w:tr w14:paraId="5C7B7C20" w14:textId="6C4A31BA" w:rsidTr="008E5CA3">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5305" w:type="dxa"/>
          </w:tcPr>
          <w:p w:rsidR="000B1C51" w:rsidP="00296762" w14:paraId="5AE726A2" w14:textId="78ADECDF">
            <w:pPr>
              <w:pStyle w:val="TableParagraph"/>
              <w:spacing w:before="0"/>
              <w:ind w:left="4"/>
              <w:rPr>
                <w:b/>
                <w:sz w:val="24"/>
              </w:rPr>
            </w:pPr>
            <w:r>
              <w:rPr>
                <w:b/>
                <w:spacing w:val="-4"/>
                <w:sz w:val="24"/>
              </w:rPr>
              <w:t>Task</w:t>
            </w:r>
          </w:p>
        </w:tc>
        <w:tc>
          <w:tcPr>
            <w:tcW w:w="4271" w:type="dxa"/>
          </w:tcPr>
          <w:p w:rsidR="000B1C51" w:rsidP="00296762" w14:paraId="70C1F907" w14:textId="347E4C84">
            <w:pPr>
              <w:pStyle w:val="TableParagraph"/>
              <w:spacing w:before="0"/>
              <w:ind w:left="4"/>
              <w:rPr>
                <w:b/>
                <w:sz w:val="24"/>
              </w:rPr>
            </w:pPr>
            <w:r>
              <w:rPr>
                <w:b/>
                <w:sz w:val="24"/>
              </w:rPr>
              <w:t>Estimated</w:t>
            </w:r>
            <w:r>
              <w:rPr>
                <w:b/>
                <w:spacing w:val="-7"/>
                <w:sz w:val="24"/>
              </w:rPr>
              <w:t xml:space="preserve"> </w:t>
            </w:r>
            <w:r>
              <w:rPr>
                <w:b/>
                <w:spacing w:val="-4"/>
                <w:sz w:val="24"/>
              </w:rPr>
              <w:t>Cost</w:t>
            </w:r>
          </w:p>
        </w:tc>
      </w:tr>
      <w:tr w14:paraId="211C4406" w14:textId="77777777" w:rsidTr="0091392C">
        <w:tblPrEx>
          <w:tblW w:w="9576" w:type="dxa"/>
          <w:tblLayout w:type="fixed"/>
          <w:tblCellMar>
            <w:left w:w="0" w:type="dxa"/>
            <w:right w:w="0" w:type="dxa"/>
          </w:tblCellMar>
          <w:tblLook w:val="01E0"/>
        </w:tblPrEx>
        <w:trPr>
          <w:trHeight w:val="297"/>
        </w:trPr>
        <w:tc>
          <w:tcPr>
            <w:tcW w:w="9576" w:type="dxa"/>
            <w:gridSpan w:val="2"/>
          </w:tcPr>
          <w:p w:rsidR="008A579B" w:rsidP="008A579B" w14:paraId="02DE3177" w14:textId="234D2D4B">
            <w:pPr>
              <w:pStyle w:val="TableParagraph"/>
              <w:spacing w:before="0"/>
              <w:ind w:left="4"/>
              <w:jc w:val="both"/>
              <w:rPr>
                <w:b/>
                <w:sz w:val="24"/>
              </w:rPr>
            </w:pPr>
            <w:r>
              <w:rPr>
                <w:b/>
                <w:sz w:val="24"/>
              </w:rPr>
              <w:t>ECP/NA Data Collection</w:t>
            </w:r>
          </w:p>
        </w:tc>
      </w:tr>
      <w:tr w14:paraId="0F057D20" w14:textId="31CF2DAE" w:rsidTr="008E5CA3">
        <w:tblPrEx>
          <w:tblW w:w="9576" w:type="dxa"/>
          <w:tblLayout w:type="fixed"/>
          <w:tblCellMar>
            <w:left w:w="0" w:type="dxa"/>
            <w:right w:w="0" w:type="dxa"/>
          </w:tblCellMar>
          <w:tblLook w:val="01E0"/>
        </w:tblPrEx>
        <w:trPr>
          <w:trHeight w:val="296"/>
        </w:trPr>
        <w:tc>
          <w:tcPr>
            <w:tcW w:w="5305" w:type="dxa"/>
          </w:tcPr>
          <w:p w:rsidR="000B1C51" w:rsidP="00296762" w14:paraId="0855B7C3" w14:textId="32F570E2">
            <w:pPr>
              <w:pStyle w:val="TableParagraph"/>
              <w:spacing w:before="0"/>
              <w:ind w:left="4"/>
              <w:rPr>
                <w:sz w:val="24"/>
              </w:rPr>
            </w:pPr>
            <w:r>
              <w:rPr>
                <w:sz w:val="24"/>
              </w:rPr>
              <w:t>Operations,</w:t>
            </w:r>
            <w:r>
              <w:rPr>
                <w:spacing w:val="-10"/>
                <w:sz w:val="24"/>
              </w:rPr>
              <w:t xml:space="preserve"> </w:t>
            </w:r>
            <w:r>
              <w:rPr>
                <w:sz w:val="24"/>
              </w:rPr>
              <w:t>maintenance,</w:t>
            </w:r>
            <w:r>
              <w:rPr>
                <w:spacing w:val="-8"/>
                <w:sz w:val="24"/>
              </w:rPr>
              <w:t xml:space="preserve"> </w:t>
            </w:r>
            <w:r>
              <w:rPr>
                <w:sz w:val="24"/>
              </w:rPr>
              <w:t>and</w:t>
            </w:r>
            <w:r>
              <w:rPr>
                <w:spacing w:val="-11"/>
                <w:sz w:val="24"/>
              </w:rPr>
              <w:t xml:space="preserve"> </w:t>
            </w:r>
            <w:r>
              <w:rPr>
                <w:sz w:val="24"/>
              </w:rPr>
              <w:t>data</w:t>
            </w:r>
            <w:r>
              <w:rPr>
                <w:spacing w:val="-11"/>
                <w:sz w:val="24"/>
              </w:rPr>
              <w:t xml:space="preserve"> </w:t>
            </w:r>
            <w:r>
              <w:rPr>
                <w:sz w:val="24"/>
              </w:rPr>
              <w:t xml:space="preserve">collection </w:t>
            </w:r>
            <w:r>
              <w:rPr>
                <w:spacing w:val="-2"/>
                <w:sz w:val="24"/>
              </w:rPr>
              <w:t>support</w:t>
            </w:r>
          </w:p>
        </w:tc>
        <w:tc>
          <w:tcPr>
            <w:tcW w:w="4271" w:type="dxa"/>
          </w:tcPr>
          <w:p w:rsidR="000B1C51" w:rsidP="00296762" w14:paraId="5B77690A" w14:textId="0CF86F36">
            <w:pPr>
              <w:pStyle w:val="TableParagraph"/>
              <w:spacing w:before="0"/>
            </w:pPr>
          </w:p>
        </w:tc>
      </w:tr>
      <w:tr w14:paraId="1A749851" w14:textId="05331B99" w:rsidTr="008E5CA3">
        <w:tblPrEx>
          <w:tblW w:w="9576" w:type="dxa"/>
          <w:tblLayout w:type="fixed"/>
          <w:tblCellMar>
            <w:left w:w="0" w:type="dxa"/>
            <w:right w:w="0" w:type="dxa"/>
          </w:tblCellMar>
          <w:tblLook w:val="01E0"/>
        </w:tblPrEx>
        <w:trPr>
          <w:trHeight w:val="297"/>
        </w:trPr>
        <w:tc>
          <w:tcPr>
            <w:tcW w:w="5305" w:type="dxa"/>
          </w:tcPr>
          <w:p w:rsidR="000B1C51" w:rsidP="00296762" w14:paraId="609DFBF4" w14:textId="571A7C74">
            <w:pPr>
              <w:pStyle w:val="TableParagraph"/>
              <w:spacing w:before="0"/>
              <w:ind w:left="4"/>
              <w:rPr>
                <w:sz w:val="24"/>
              </w:rPr>
            </w:pPr>
            <w:r>
              <w:rPr>
                <w:sz w:val="24"/>
              </w:rPr>
              <w:t>2</w:t>
            </w:r>
            <w:r>
              <w:rPr>
                <w:spacing w:val="-2"/>
                <w:sz w:val="24"/>
              </w:rPr>
              <w:t xml:space="preserve"> </w:t>
            </w:r>
            <w:r>
              <w:rPr>
                <w:sz w:val="24"/>
              </w:rPr>
              <w:t>GS-13 (step</w:t>
            </w:r>
            <w:r>
              <w:rPr>
                <w:spacing w:val="-1"/>
                <w:sz w:val="24"/>
              </w:rPr>
              <w:t xml:space="preserve"> </w:t>
            </w:r>
            <w:r>
              <w:rPr>
                <w:sz w:val="24"/>
              </w:rPr>
              <w:t>1): 2 x</w:t>
            </w:r>
            <w:r>
              <w:rPr>
                <w:spacing w:val="2"/>
                <w:sz w:val="24"/>
              </w:rPr>
              <w:t xml:space="preserve"> </w:t>
            </w:r>
            <w:r>
              <w:rPr>
                <w:sz w:val="24"/>
              </w:rPr>
              <w:t>$</w:t>
            </w:r>
            <w:r w:rsidR="00932EB8">
              <w:rPr>
                <w:sz w:val="24"/>
              </w:rPr>
              <w:t>84.82</w:t>
            </w:r>
            <w:r w:rsidR="001E4724">
              <w:rPr>
                <w:sz w:val="24"/>
                <w:vertAlign w:val="superscript"/>
              </w:rPr>
              <w:t>1</w:t>
            </w:r>
            <w:r>
              <w:rPr>
                <w:spacing w:val="1"/>
                <w:sz w:val="24"/>
              </w:rPr>
              <w:t xml:space="preserve"> </w:t>
            </w:r>
            <w:r>
              <w:rPr>
                <w:sz w:val="24"/>
              </w:rPr>
              <w:t>x</w:t>
            </w:r>
            <w:r>
              <w:rPr>
                <w:spacing w:val="2"/>
                <w:sz w:val="24"/>
              </w:rPr>
              <w:t xml:space="preserve"> </w:t>
            </w:r>
            <w:r>
              <w:rPr>
                <w:sz w:val="24"/>
              </w:rPr>
              <w:t>1,800</w:t>
            </w:r>
            <w:r>
              <w:rPr>
                <w:spacing w:val="3"/>
                <w:sz w:val="24"/>
              </w:rPr>
              <w:t xml:space="preserve"> </w:t>
            </w:r>
            <w:r>
              <w:rPr>
                <w:spacing w:val="-2"/>
                <w:sz w:val="24"/>
              </w:rPr>
              <w:t>hours</w:t>
            </w:r>
          </w:p>
        </w:tc>
        <w:tc>
          <w:tcPr>
            <w:tcW w:w="4271" w:type="dxa"/>
          </w:tcPr>
          <w:p w:rsidR="000B1C51" w:rsidP="00296762" w14:paraId="27D7BCD9" w14:textId="53E2707C">
            <w:pPr>
              <w:pStyle w:val="TableParagraph"/>
              <w:spacing w:before="0"/>
              <w:ind w:left="4"/>
              <w:rPr>
                <w:sz w:val="24"/>
              </w:rPr>
            </w:pPr>
            <w:r>
              <w:rPr>
                <w:spacing w:val="-2"/>
                <w:sz w:val="24"/>
              </w:rPr>
              <w:t>$</w:t>
            </w:r>
            <w:r w:rsidR="00932EB8">
              <w:rPr>
                <w:spacing w:val="-2"/>
                <w:sz w:val="24"/>
              </w:rPr>
              <w:t xml:space="preserve">305,352 </w:t>
            </w:r>
          </w:p>
        </w:tc>
      </w:tr>
      <w:tr w14:paraId="4FB6A349" w14:textId="77777777" w:rsidTr="008E5CA3">
        <w:tblPrEx>
          <w:tblW w:w="9576" w:type="dxa"/>
          <w:tblLayout w:type="fixed"/>
          <w:tblCellMar>
            <w:left w:w="0" w:type="dxa"/>
            <w:right w:w="0" w:type="dxa"/>
          </w:tblCellMar>
          <w:tblLook w:val="01E0"/>
        </w:tblPrEx>
        <w:trPr>
          <w:trHeight w:val="297"/>
        </w:trPr>
        <w:tc>
          <w:tcPr>
            <w:tcW w:w="5305" w:type="dxa"/>
          </w:tcPr>
          <w:p w:rsidR="001E4724" w:rsidP="001E4724" w14:paraId="50929EF8" w14:textId="63F96F93">
            <w:pPr>
              <w:pStyle w:val="TableParagraph"/>
              <w:spacing w:before="0"/>
              <w:ind w:left="4"/>
              <w:rPr>
                <w:sz w:val="24"/>
              </w:rPr>
            </w:pPr>
            <w:r>
              <w:rPr>
                <w:sz w:val="24"/>
              </w:rPr>
              <w:t>Federal Contractors</w:t>
            </w:r>
          </w:p>
        </w:tc>
        <w:tc>
          <w:tcPr>
            <w:tcW w:w="4271" w:type="dxa"/>
          </w:tcPr>
          <w:p w:rsidR="001E4724" w:rsidP="001E4724" w14:paraId="23E97EEA" w14:textId="733A3463">
            <w:pPr>
              <w:pStyle w:val="TableParagraph"/>
              <w:spacing w:before="0"/>
              <w:ind w:left="4"/>
              <w:rPr>
                <w:spacing w:val="-2"/>
                <w:sz w:val="24"/>
              </w:rPr>
            </w:pPr>
            <w:r w:rsidRPr="001E4724">
              <w:rPr>
                <w:spacing w:val="-2"/>
                <w:sz w:val="24"/>
              </w:rPr>
              <w:t>$717,624</w:t>
            </w:r>
          </w:p>
        </w:tc>
      </w:tr>
      <w:tr w14:paraId="13862F49" w14:textId="77E90D85" w:rsidTr="008E5CA3">
        <w:tblPrEx>
          <w:tblW w:w="9576" w:type="dxa"/>
          <w:tblLayout w:type="fixed"/>
          <w:tblCellMar>
            <w:left w:w="0" w:type="dxa"/>
            <w:right w:w="0" w:type="dxa"/>
          </w:tblCellMar>
          <w:tblLook w:val="01E0"/>
        </w:tblPrEx>
        <w:trPr>
          <w:trHeight w:val="299"/>
        </w:trPr>
        <w:tc>
          <w:tcPr>
            <w:tcW w:w="5305" w:type="dxa"/>
          </w:tcPr>
          <w:p w:rsidR="000B1C51" w:rsidP="00296762" w14:paraId="060419D8" w14:textId="1CD804EC">
            <w:pPr>
              <w:pStyle w:val="TableParagraph"/>
              <w:spacing w:before="0"/>
              <w:ind w:left="4"/>
              <w:rPr>
                <w:sz w:val="24"/>
              </w:rPr>
            </w:pPr>
            <w:r>
              <w:rPr>
                <w:sz w:val="24"/>
              </w:rPr>
              <w:t>Total</w:t>
            </w:r>
            <w:r>
              <w:rPr>
                <w:spacing w:val="-1"/>
                <w:sz w:val="24"/>
              </w:rPr>
              <w:t xml:space="preserve"> </w:t>
            </w:r>
            <w:r w:rsidR="001E4724">
              <w:rPr>
                <w:spacing w:val="-1"/>
                <w:sz w:val="24"/>
              </w:rPr>
              <w:t xml:space="preserve">ECP/NA </w:t>
            </w:r>
            <w:r>
              <w:rPr>
                <w:sz w:val="24"/>
              </w:rPr>
              <w:t>Costs</w:t>
            </w:r>
            <w:r>
              <w:rPr>
                <w:spacing w:val="-1"/>
                <w:sz w:val="24"/>
              </w:rPr>
              <w:t xml:space="preserve"> </w:t>
            </w:r>
          </w:p>
        </w:tc>
        <w:tc>
          <w:tcPr>
            <w:tcW w:w="4271" w:type="dxa"/>
          </w:tcPr>
          <w:p w:rsidR="000B1C51" w:rsidP="00296762" w14:paraId="666032B5" w14:textId="7E8BCAE8">
            <w:pPr>
              <w:pStyle w:val="TableParagraph"/>
              <w:spacing w:before="0"/>
              <w:ind w:left="4"/>
              <w:rPr>
                <w:sz w:val="24"/>
              </w:rPr>
            </w:pPr>
            <w:r>
              <w:rPr>
                <w:sz w:val="24"/>
              </w:rPr>
              <w:t>$</w:t>
            </w:r>
            <w:r w:rsidR="00932EB8">
              <w:rPr>
                <w:sz w:val="24"/>
              </w:rPr>
              <w:t xml:space="preserve">1,022,976 </w:t>
            </w:r>
          </w:p>
        </w:tc>
      </w:tr>
      <w:tr w14:paraId="640BD461" w14:textId="77777777" w:rsidTr="008E5CA3">
        <w:tblPrEx>
          <w:tblW w:w="9576" w:type="dxa"/>
          <w:tblLayout w:type="fixed"/>
          <w:tblCellMar>
            <w:left w:w="0" w:type="dxa"/>
            <w:right w:w="0" w:type="dxa"/>
          </w:tblCellMar>
          <w:tblLook w:val="01E0"/>
        </w:tblPrEx>
        <w:trPr>
          <w:trHeight w:val="152"/>
        </w:trPr>
        <w:tc>
          <w:tcPr>
            <w:tcW w:w="5305" w:type="dxa"/>
          </w:tcPr>
          <w:p w:rsidR="008A579B" w:rsidP="00296762" w14:paraId="3615FC0F" w14:textId="77777777">
            <w:pPr>
              <w:pStyle w:val="TableParagraph"/>
              <w:spacing w:before="0"/>
              <w:ind w:left="4"/>
              <w:rPr>
                <w:sz w:val="24"/>
              </w:rPr>
            </w:pPr>
          </w:p>
        </w:tc>
        <w:tc>
          <w:tcPr>
            <w:tcW w:w="4271" w:type="dxa"/>
          </w:tcPr>
          <w:p w:rsidR="008A579B" w:rsidP="00296762" w14:paraId="0473A84A" w14:textId="77777777">
            <w:pPr>
              <w:pStyle w:val="TableParagraph"/>
              <w:spacing w:before="0"/>
              <w:ind w:left="4"/>
              <w:rPr>
                <w:spacing w:val="-2"/>
                <w:sz w:val="24"/>
              </w:rPr>
            </w:pPr>
          </w:p>
        </w:tc>
      </w:tr>
      <w:tr w14:paraId="5A1378FB" w14:textId="77777777" w:rsidTr="002633FD">
        <w:tblPrEx>
          <w:tblW w:w="9576" w:type="dxa"/>
          <w:tblLayout w:type="fixed"/>
          <w:tblCellMar>
            <w:left w:w="0" w:type="dxa"/>
            <w:right w:w="0" w:type="dxa"/>
          </w:tblCellMar>
          <w:tblLook w:val="01E0"/>
        </w:tblPrEx>
        <w:trPr>
          <w:trHeight w:val="299"/>
        </w:trPr>
        <w:tc>
          <w:tcPr>
            <w:tcW w:w="9576" w:type="dxa"/>
            <w:gridSpan w:val="2"/>
          </w:tcPr>
          <w:p w:rsidR="008A579B" w:rsidRPr="008A579B" w:rsidP="00296762" w14:paraId="5C203163" w14:textId="26D8AC82">
            <w:pPr>
              <w:pStyle w:val="TableParagraph"/>
              <w:spacing w:before="0"/>
              <w:ind w:left="4"/>
              <w:rPr>
                <w:b/>
                <w:bCs/>
                <w:spacing w:val="-2"/>
                <w:sz w:val="24"/>
              </w:rPr>
            </w:pPr>
            <w:r w:rsidRPr="008A579B">
              <w:rPr>
                <w:b/>
                <w:bCs/>
                <w:sz w:val="24"/>
              </w:rPr>
              <w:t>A</w:t>
            </w:r>
            <w:r>
              <w:rPr>
                <w:b/>
                <w:bCs/>
                <w:sz w:val="24"/>
              </w:rPr>
              <w:t xml:space="preserve">ppointment </w:t>
            </w:r>
            <w:r w:rsidRPr="008A579B">
              <w:rPr>
                <w:b/>
                <w:bCs/>
                <w:sz w:val="24"/>
              </w:rPr>
              <w:t>W</w:t>
            </w:r>
            <w:r>
              <w:rPr>
                <w:b/>
                <w:bCs/>
                <w:sz w:val="24"/>
              </w:rPr>
              <w:t xml:space="preserve">ait </w:t>
            </w:r>
            <w:r w:rsidRPr="008A579B">
              <w:rPr>
                <w:b/>
                <w:bCs/>
                <w:sz w:val="24"/>
              </w:rPr>
              <w:t>T</w:t>
            </w:r>
            <w:r>
              <w:rPr>
                <w:b/>
                <w:bCs/>
                <w:sz w:val="24"/>
              </w:rPr>
              <w:t>ime Data Collection</w:t>
            </w:r>
            <w:r w:rsidRPr="008A579B">
              <w:rPr>
                <w:b/>
                <w:bCs/>
                <w:sz w:val="24"/>
              </w:rPr>
              <w:t xml:space="preserve"> </w:t>
            </w:r>
          </w:p>
        </w:tc>
      </w:tr>
      <w:tr w14:paraId="5E5790E9" w14:textId="77777777" w:rsidTr="008E5CA3">
        <w:tblPrEx>
          <w:tblW w:w="9576" w:type="dxa"/>
          <w:tblLayout w:type="fixed"/>
          <w:tblCellMar>
            <w:left w:w="0" w:type="dxa"/>
            <w:right w:w="0" w:type="dxa"/>
          </w:tblCellMar>
          <w:tblLook w:val="01E0"/>
        </w:tblPrEx>
        <w:trPr>
          <w:trHeight w:val="299"/>
        </w:trPr>
        <w:tc>
          <w:tcPr>
            <w:tcW w:w="5305" w:type="dxa"/>
            <w:tcBorders>
              <w:top w:val="single" w:sz="4" w:space="0" w:color="000000"/>
              <w:left w:val="single" w:sz="4" w:space="0" w:color="000000"/>
              <w:bottom w:val="single" w:sz="4" w:space="0" w:color="000000"/>
              <w:right w:val="single" w:sz="4" w:space="0" w:color="000000"/>
            </w:tcBorders>
          </w:tcPr>
          <w:p w:rsidR="008A579B" w:rsidP="00B8053B" w14:paraId="2CF16B8E" w14:textId="77777777">
            <w:pPr>
              <w:pStyle w:val="TableParagraph"/>
              <w:spacing w:before="0"/>
              <w:ind w:left="4"/>
              <w:rPr>
                <w:sz w:val="24"/>
              </w:rPr>
            </w:pPr>
            <w:r>
              <w:rPr>
                <w:sz w:val="24"/>
              </w:rPr>
              <w:t>Operations,</w:t>
            </w:r>
            <w:r w:rsidRPr="008A579B">
              <w:rPr>
                <w:sz w:val="24"/>
              </w:rPr>
              <w:t xml:space="preserve"> </w:t>
            </w:r>
            <w:r>
              <w:rPr>
                <w:sz w:val="24"/>
              </w:rPr>
              <w:t>maintenance,</w:t>
            </w:r>
            <w:r w:rsidRPr="008A579B">
              <w:rPr>
                <w:sz w:val="24"/>
              </w:rPr>
              <w:t xml:space="preserve"> </w:t>
            </w:r>
            <w:r>
              <w:rPr>
                <w:sz w:val="24"/>
              </w:rPr>
              <w:t>and</w:t>
            </w:r>
            <w:r w:rsidRPr="008A579B">
              <w:rPr>
                <w:sz w:val="24"/>
              </w:rPr>
              <w:t xml:space="preserve"> </w:t>
            </w:r>
            <w:r>
              <w:rPr>
                <w:sz w:val="24"/>
              </w:rPr>
              <w:t>data</w:t>
            </w:r>
            <w:r w:rsidRPr="008A579B">
              <w:rPr>
                <w:sz w:val="24"/>
              </w:rPr>
              <w:t xml:space="preserve"> </w:t>
            </w:r>
            <w:r>
              <w:rPr>
                <w:sz w:val="24"/>
              </w:rPr>
              <w:t xml:space="preserve">collection </w:t>
            </w:r>
            <w:r w:rsidRPr="008A579B">
              <w:rPr>
                <w:sz w:val="24"/>
              </w:rPr>
              <w:t>support</w:t>
            </w:r>
          </w:p>
        </w:tc>
        <w:tc>
          <w:tcPr>
            <w:tcW w:w="4271" w:type="dxa"/>
            <w:tcBorders>
              <w:top w:val="single" w:sz="4" w:space="0" w:color="000000"/>
              <w:left w:val="single" w:sz="4" w:space="0" w:color="000000"/>
              <w:bottom w:val="single" w:sz="4" w:space="0" w:color="000000"/>
              <w:right w:val="single" w:sz="4" w:space="0" w:color="000000"/>
            </w:tcBorders>
          </w:tcPr>
          <w:p w:rsidR="008A579B" w:rsidRPr="008A579B" w:rsidP="008A579B" w14:paraId="44B7E84C" w14:textId="77777777">
            <w:pPr>
              <w:pStyle w:val="TableParagraph"/>
              <w:spacing w:before="0"/>
              <w:ind w:left="4"/>
              <w:rPr>
                <w:spacing w:val="-2"/>
                <w:sz w:val="24"/>
              </w:rPr>
            </w:pPr>
          </w:p>
        </w:tc>
      </w:tr>
      <w:tr w14:paraId="68899DDE" w14:textId="77777777" w:rsidTr="008E5CA3">
        <w:tblPrEx>
          <w:tblW w:w="9576" w:type="dxa"/>
          <w:tblLayout w:type="fixed"/>
          <w:tblCellMar>
            <w:left w:w="0" w:type="dxa"/>
            <w:right w:w="0" w:type="dxa"/>
          </w:tblCellMar>
          <w:tblLook w:val="01E0"/>
        </w:tblPrEx>
        <w:trPr>
          <w:trHeight w:val="299"/>
        </w:trPr>
        <w:tc>
          <w:tcPr>
            <w:tcW w:w="5305" w:type="dxa"/>
            <w:tcBorders>
              <w:top w:val="single" w:sz="4" w:space="0" w:color="000000"/>
              <w:left w:val="single" w:sz="4" w:space="0" w:color="000000"/>
              <w:bottom w:val="single" w:sz="4" w:space="0" w:color="000000"/>
              <w:right w:val="single" w:sz="4" w:space="0" w:color="000000"/>
            </w:tcBorders>
          </w:tcPr>
          <w:p w:rsidR="008A579B" w:rsidP="00B8053B" w14:paraId="605F2AA9" w14:textId="68A5D4AC">
            <w:pPr>
              <w:pStyle w:val="TableParagraph"/>
              <w:spacing w:before="0"/>
              <w:ind w:left="4"/>
              <w:rPr>
                <w:sz w:val="24"/>
              </w:rPr>
            </w:pPr>
            <w:r>
              <w:rPr>
                <w:sz w:val="24"/>
              </w:rPr>
              <w:t>2</w:t>
            </w:r>
            <w:r w:rsidRPr="008A579B">
              <w:rPr>
                <w:sz w:val="24"/>
              </w:rPr>
              <w:t xml:space="preserve"> </w:t>
            </w:r>
            <w:r>
              <w:rPr>
                <w:sz w:val="24"/>
              </w:rPr>
              <w:t>GS-13 (step</w:t>
            </w:r>
            <w:r w:rsidRPr="008A579B">
              <w:rPr>
                <w:sz w:val="24"/>
              </w:rPr>
              <w:t xml:space="preserve"> </w:t>
            </w:r>
            <w:r>
              <w:rPr>
                <w:sz w:val="24"/>
              </w:rPr>
              <w:t>1): 2 x</w:t>
            </w:r>
            <w:r w:rsidRPr="008A579B">
              <w:rPr>
                <w:sz w:val="24"/>
              </w:rPr>
              <w:t xml:space="preserve"> </w:t>
            </w:r>
            <w:r>
              <w:rPr>
                <w:sz w:val="24"/>
              </w:rPr>
              <w:t>$</w:t>
            </w:r>
            <w:r w:rsidR="0047574D">
              <w:rPr>
                <w:sz w:val="24"/>
              </w:rPr>
              <w:t>84.82</w:t>
            </w:r>
            <w:r w:rsidR="00665FB0">
              <w:rPr>
                <w:sz w:val="24"/>
                <w:vertAlign w:val="superscript"/>
              </w:rPr>
              <w:t>1</w:t>
            </w:r>
            <w:r w:rsidRPr="008A579B">
              <w:rPr>
                <w:sz w:val="24"/>
              </w:rPr>
              <w:t xml:space="preserve"> </w:t>
            </w:r>
            <w:r>
              <w:rPr>
                <w:sz w:val="24"/>
              </w:rPr>
              <w:t>x</w:t>
            </w:r>
            <w:r w:rsidRPr="008A579B">
              <w:rPr>
                <w:sz w:val="24"/>
              </w:rPr>
              <w:t xml:space="preserve"> </w:t>
            </w:r>
            <w:r>
              <w:rPr>
                <w:sz w:val="24"/>
              </w:rPr>
              <w:t>1,800</w:t>
            </w:r>
            <w:r w:rsidRPr="008A579B">
              <w:rPr>
                <w:sz w:val="24"/>
              </w:rPr>
              <w:t xml:space="preserve"> hours</w:t>
            </w:r>
          </w:p>
        </w:tc>
        <w:tc>
          <w:tcPr>
            <w:tcW w:w="4271" w:type="dxa"/>
            <w:tcBorders>
              <w:top w:val="single" w:sz="4" w:space="0" w:color="000000"/>
              <w:left w:val="single" w:sz="4" w:space="0" w:color="000000"/>
              <w:bottom w:val="single" w:sz="4" w:space="0" w:color="000000"/>
              <w:right w:val="single" w:sz="4" w:space="0" w:color="000000"/>
            </w:tcBorders>
          </w:tcPr>
          <w:p w:rsidR="008A579B" w:rsidRPr="008A579B" w:rsidP="00B8053B" w14:paraId="3DF48470" w14:textId="43C79A0F">
            <w:pPr>
              <w:pStyle w:val="TableParagraph"/>
              <w:spacing w:before="0"/>
              <w:ind w:left="4"/>
              <w:rPr>
                <w:spacing w:val="-2"/>
                <w:sz w:val="24"/>
              </w:rPr>
            </w:pPr>
            <w:r>
              <w:rPr>
                <w:spacing w:val="-2"/>
                <w:sz w:val="24"/>
              </w:rPr>
              <w:t>$</w:t>
            </w:r>
            <w:r w:rsidR="00932EB8">
              <w:rPr>
                <w:spacing w:val="-2"/>
                <w:sz w:val="24"/>
              </w:rPr>
              <w:t xml:space="preserve">305,352 </w:t>
            </w:r>
          </w:p>
        </w:tc>
      </w:tr>
      <w:tr w14:paraId="0FC74DCA" w14:textId="77777777" w:rsidTr="008E5CA3">
        <w:tblPrEx>
          <w:tblW w:w="9576" w:type="dxa"/>
          <w:tblLayout w:type="fixed"/>
          <w:tblCellMar>
            <w:left w:w="0" w:type="dxa"/>
            <w:right w:w="0" w:type="dxa"/>
          </w:tblCellMar>
          <w:tblLook w:val="01E0"/>
        </w:tblPrEx>
        <w:trPr>
          <w:trHeight w:val="299"/>
        </w:trPr>
        <w:tc>
          <w:tcPr>
            <w:tcW w:w="5305" w:type="dxa"/>
            <w:tcBorders>
              <w:top w:val="single" w:sz="4" w:space="0" w:color="000000"/>
              <w:left w:val="single" w:sz="4" w:space="0" w:color="000000"/>
              <w:bottom w:val="single" w:sz="4" w:space="0" w:color="000000"/>
              <w:right w:val="single" w:sz="4" w:space="0" w:color="000000"/>
            </w:tcBorders>
          </w:tcPr>
          <w:p w:rsidR="001E4724" w:rsidP="00B8053B" w14:paraId="5B7596BA" w14:textId="786C0AAC">
            <w:pPr>
              <w:pStyle w:val="TableParagraph"/>
              <w:spacing w:before="0"/>
              <w:ind w:left="4"/>
              <w:rPr>
                <w:sz w:val="24"/>
              </w:rPr>
            </w:pPr>
            <w:r>
              <w:rPr>
                <w:sz w:val="24"/>
              </w:rPr>
              <w:t>Federal Contractors</w:t>
            </w:r>
          </w:p>
        </w:tc>
        <w:tc>
          <w:tcPr>
            <w:tcW w:w="4271" w:type="dxa"/>
            <w:tcBorders>
              <w:top w:val="single" w:sz="4" w:space="0" w:color="000000"/>
              <w:left w:val="single" w:sz="4" w:space="0" w:color="000000"/>
              <w:bottom w:val="single" w:sz="4" w:space="0" w:color="000000"/>
              <w:right w:val="single" w:sz="4" w:space="0" w:color="000000"/>
            </w:tcBorders>
          </w:tcPr>
          <w:p w:rsidR="001E4724" w:rsidP="00B8053B" w14:paraId="49244712" w14:textId="21B6FAFE">
            <w:pPr>
              <w:pStyle w:val="TableParagraph"/>
              <w:spacing w:before="0"/>
              <w:ind w:left="4"/>
              <w:rPr>
                <w:spacing w:val="-2"/>
                <w:sz w:val="24"/>
              </w:rPr>
            </w:pPr>
            <w:r>
              <w:rPr>
                <w:spacing w:val="-2"/>
                <w:sz w:val="24"/>
              </w:rPr>
              <w:t>$327,492</w:t>
            </w:r>
          </w:p>
        </w:tc>
      </w:tr>
      <w:tr w14:paraId="46E8FF43" w14:textId="77777777" w:rsidTr="008E5CA3">
        <w:tblPrEx>
          <w:tblW w:w="9576" w:type="dxa"/>
          <w:tblLayout w:type="fixed"/>
          <w:tblCellMar>
            <w:left w:w="0" w:type="dxa"/>
            <w:right w:w="0" w:type="dxa"/>
          </w:tblCellMar>
          <w:tblLook w:val="01E0"/>
        </w:tblPrEx>
        <w:trPr>
          <w:trHeight w:val="299"/>
        </w:trPr>
        <w:tc>
          <w:tcPr>
            <w:tcW w:w="5305" w:type="dxa"/>
            <w:tcBorders>
              <w:top w:val="single" w:sz="4" w:space="0" w:color="000000"/>
              <w:left w:val="single" w:sz="4" w:space="0" w:color="000000"/>
              <w:bottom w:val="single" w:sz="4" w:space="0" w:color="000000"/>
              <w:right w:val="single" w:sz="4" w:space="0" w:color="000000"/>
            </w:tcBorders>
          </w:tcPr>
          <w:p w:rsidR="001E4724" w:rsidRPr="008A579B" w:rsidP="00B8053B" w14:paraId="3C00238B" w14:textId="5B6E13FB">
            <w:pPr>
              <w:pStyle w:val="TableParagraph"/>
              <w:spacing w:before="0"/>
              <w:ind w:left="4"/>
              <w:rPr>
                <w:sz w:val="24"/>
              </w:rPr>
            </w:pPr>
            <w:r>
              <w:rPr>
                <w:sz w:val="24"/>
              </w:rPr>
              <w:t xml:space="preserve">Total </w:t>
            </w:r>
            <w:r w:rsidR="005D0CE2">
              <w:rPr>
                <w:sz w:val="24"/>
              </w:rPr>
              <w:t>Appointment Wait Time</w:t>
            </w:r>
            <w:r>
              <w:rPr>
                <w:sz w:val="24"/>
              </w:rPr>
              <w:t xml:space="preserve"> Costs</w:t>
            </w:r>
          </w:p>
        </w:tc>
        <w:tc>
          <w:tcPr>
            <w:tcW w:w="4271" w:type="dxa"/>
            <w:tcBorders>
              <w:top w:val="single" w:sz="4" w:space="0" w:color="000000"/>
              <w:left w:val="single" w:sz="4" w:space="0" w:color="000000"/>
              <w:bottom w:val="single" w:sz="4" w:space="0" w:color="000000"/>
              <w:right w:val="single" w:sz="4" w:space="0" w:color="000000"/>
            </w:tcBorders>
          </w:tcPr>
          <w:p w:rsidR="001E4724" w:rsidP="00B8053B" w14:paraId="6C6056A6" w14:textId="576C6853">
            <w:pPr>
              <w:pStyle w:val="TableParagraph"/>
              <w:spacing w:before="0"/>
              <w:ind w:left="4"/>
              <w:rPr>
                <w:spacing w:val="-2"/>
                <w:sz w:val="24"/>
              </w:rPr>
            </w:pPr>
            <w:r>
              <w:rPr>
                <w:spacing w:val="-2"/>
                <w:sz w:val="24"/>
              </w:rPr>
              <w:t>$</w:t>
            </w:r>
            <w:r w:rsidR="00932EB8">
              <w:rPr>
                <w:spacing w:val="-2"/>
                <w:sz w:val="24"/>
              </w:rPr>
              <w:t xml:space="preserve">632,844 </w:t>
            </w:r>
          </w:p>
        </w:tc>
      </w:tr>
      <w:tr w14:paraId="050E47CA" w14:textId="77777777" w:rsidTr="008E5CA3">
        <w:tblPrEx>
          <w:tblW w:w="9576" w:type="dxa"/>
          <w:tblLayout w:type="fixed"/>
          <w:tblCellMar>
            <w:left w:w="0" w:type="dxa"/>
            <w:right w:w="0" w:type="dxa"/>
          </w:tblCellMar>
          <w:tblLook w:val="01E0"/>
        </w:tblPrEx>
        <w:trPr>
          <w:trHeight w:val="206"/>
        </w:trPr>
        <w:tc>
          <w:tcPr>
            <w:tcW w:w="5305" w:type="dxa"/>
            <w:tcBorders>
              <w:top w:val="single" w:sz="4" w:space="0" w:color="000000"/>
              <w:left w:val="single" w:sz="4" w:space="0" w:color="000000"/>
              <w:bottom w:val="single" w:sz="4" w:space="0" w:color="000000"/>
              <w:right w:val="single" w:sz="4" w:space="0" w:color="000000"/>
            </w:tcBorders>
          </w:tcPr>
          <w:p w:rsidR="001E4724" w:rsidP="00B8053B" w14:paraId="0D33CC11" w14:textId="77777777">
            <w:pPr>
              <w:pStyle w:val="TableParagraph"/>
              <w:spacing w:before="0"/>
              <w:ind w:left="4"/>
              <w:rPr>
                <w:sz w:val="24"/>
              </w:rPr>
            </w:pPr>
          </w:p>
        </w:tc>
        <w:tc>
          <w:tcPr>
            <w:tcW w:w="4271" w:type="dxa"/>
            <w:tcBorders>
              <w:top w:val="single" w:sz="4" w:space="0" w:color="000000"/>
              <w:left w:val="single" w:sz="4" w:space="0" w:color="000000"/>
              <w:bottom w:val="single" w:sz="4" w:space="0" w:color="000000"/>
              <w:right w:val="single" w:sz="4" w:space="0" w:color="000000"/>
            </w:tcBorders>
          </w:tcPr>
          <w:p w:rsidR="001E4724" w:rsidP="00B8053B" w14:paraId="17286DF0" w14:textId="77777777">
            <w:pPr>
              <w:pStyle w:val="TableParagraph"/>
              <w:spacing w:before="0"/>
              <w:ind w:left="4"/>
              <w:rPr>
                <w:spacing w:val="-2"/>
                <w:sz w:val="24"/>
              </w:rPr>
            </w:pPr>
          </w:p>
        </w:tc>
      </w:tr>
      <w:tr w14:paraId="65384BBF" w14:textId="77777777" w:rsidTr="008E5CA3">
        <w:tblPrEx>
          <w:tblW w:w="9576" w:type="dxa"/>
          <w:tblLayout w:type="fixed"/>
          <w:tblCellMar>
            <w:left w:w="0" w:type="dxa"/>
            <w:right w:w="0" w:type="dxa"/>
          </w:tblCellMar>
          <w:tblLook w:val="01E0"/>
        </w:tblPrEx>
        <w:trPr>
          <w:trHeight w:val="386"/>
        </w:trPr>
        <w:tc>
          <w:tcPr>
            <w:tcW w:w="5305" w:type="dxa"/>
            <w:tcBorders>
              <w:top w:val="single" w:sz="4" w:space="0" w:color="000000"/>
              <w:left w:val="single" w:sz="4" w:space="0" w:color="000000"/>
              <w:bottom w:val="single" w:sz="4" w:space="0" w:color="000000"/>
              <w:right w:val="single" w:sz="4" w:space="0" w:color="000000"/>
            </w:tcBorders>
          </w:tcPr>
          <w:p w:rsidR="008A579B" w:rsidRPr="001E4724" w:rsidP="00B8053B" w14:paraId="75B19031" w14:textId="77777777">
            <w:pPr>
              <w:pStyle w:val="TableParagraph"/>
              <w:spacing w:before="0"/>
              <w:ind w:left="4"/>
              <w:rPr>
                <w:b/>
                <w:bCs/>
                <w:sz w:val="24"/>
              </w:rPr>
            </w:pPr>
            <w:r w:rsidRPr="001E4724">
              <w:rPr>
                <w:b/>
                <w:bCs/>
                <w:sz w:val="24"/>
              </w:rPr>
              <w:t>Total Costs to Government</w:t>
            </w:r>
          </w:p>
        </w:tc>
        <w:tc>
          <w:tcPr>
            <w:tcW w:w="4271" w:type="dxa"/>
            <w:tcBorders>
              <w:top w:val="single" w:sz="4" w:space="0" w:color="000000"/>
              <w:left w:val="single" w:sz="4" w:space="0" w:color="000000"/>
              <w:bottom w:val="single" w:sz="4" w:space="0" w:color="000000"/>
              <w:right w:val="single" w:sz="4" w:space="0" w:color="000000"/>
            </w:tcBorders>
          </w:tcPr>
          <w:p w:rsidR="008A579B" w:rsidRPr="001E4724" w:rsidP="00B8053B" w14:paraId="37F5A143" w14:textId="46BC16FB">
            <w:pPr>
              <w:pStyle w:val="TableParagraph"/>
              <w:spacing w:before="0"/>
              <w:ind w:left="4"/>
              <w:rPr>
                <w:b/>
                <w:bCs/>
                <w:spacing w:val="-2"/>
                <w:sz w:val="24"/>
              </w:rPr>
            </w:pPr>
            <w:r w:rsidRPr="001E4724">
              <w:rPr>
                <w:b/>
                <w:bCs/>
                <w:spacing w:val="-2"/>
                <w:sz w:val="24"/>
              </w:rPr>
              <w:t>$</w:t>
            </w:r>
            <w:r w:rsidR="00932EB8">
              <w:rPr>
                <w:b/>
                <w:bCs/>
                <w:spacing w:val="-2"/>
                <w:sz w:val="24"/>
              </w:rPr>
              <w:t xml:space="preserve">1,655,820 </w:t>
            </w:r>
          </w:p>
        </w:tc>
      </w:tr>
    </w:tbl>
    <w:p w:rsidR="001A79B4" w:rsidRPr="001E4724" w:rsidP="00296762" w14:paraId="04874239" w14:textId="38CA844F">
      <w:pPr>
        <w:pStyle w:val="BodyText"/>
        <w:rPr>
          <w:sz w:val="20"/>
          <w:szCs w:val="20"/>
        </w:rPr>
      </w:pPr>
      <w:r w:rsidRPr="001E4724">
        <w:rPr>
          <w:sz w:val="20"/>
          <w:szCs w:val="20"/>
          <w:vertAlign w:val="superscript"/>
        </w:rPr>
        <w:footnoteRef/>
      </w:r>
      <w:r w:rsidRPr="001E4724">
        <w:rPr>
          <w:sz w:val="20"/>
          <w:szCs w:val="20"/>
        </w:rPr>
        <w:t xml:space="preserve"> Hourly basic rate of $</w:t>
      </w:r>
      <w:r w:rsidR="003951D1">
        <w:rPr>
          <w:sz w:val="20"/>
          <w:szCs w:val="20"/>
        </w:rPr>
        <w:t>42.41</w:t>
      </w:r>
      <w:r w:rsidRPr="001E4724">
        <w:rPr>
          <w:sz w:val="20"/>
          <w:szCs w:val="20"/>
        </w:rPr>
        <w:t xml:space="preserve"> + 100% fringe benefit rate.</w:t>
      </w:r>
    </w:p>
    <w:p w:rsidR="001E4724" w:rsidP="00296762" w14:paraId="22DC1F7D" w14:textId="77777777">
      <w:pPr>
        <w:pStyle w:val="BodyText"/>
        <w:rPr>
          <w:b/>
          <w:sz w:val="25"/>
        </w:rPr>
      </w:pPr>
    </w:p>
    <w:p w:rsidR="000B1C51" w:rsidP="00B86B2E" w14:paraId="6BBE3E29" w14:textId="77777777">
      <w:pPr>
        <w:pStyle w:val="ListParagraph"/>
        <w:numPr>
          <w:ilvl w:val="0"/>
          <w:numId w:val="2"/>
        </w:numPr>
        <w:tabs>
          <w:tab w:val="left" w:pos="810"/>
        </w:tabs>
        <w:ind w:left="360" w:hanging="360"/>
        <w:rPr>
          <w:sz w:val="24"/>
        </w:rPr>
      </w:pPr>
      <w:bookmarkStart w:id="18" w:name="15._Changes_to_Burden"/>
      <w:bookmarkEnd w:id="18"/>
      <w:r>
        <w:rPr>
          <w:sz w:val="24"/>
          <w:u w:val="single"/>
        </w:rPr>
        <w:t>Changes</w:t>
      </w:r>
      <w:r>
        <w:rPr>
          <w:spacing w:val="-3"/>
          <w:sz w:val="24"/>
          <w:u w:val="single"/>
        </w:rPr>
        <w:t xml:space="preserve"> </w:t>
      </w:r>
      <w:r>
        <w:rPr>
          <w:sz w:val="24"/>
          <w:u w:val="single"/>
        </w:rPr>
        <w:t xml:space="preserve">to </w:t>
      </w:r>
      <w:r>
        <w:rPr>
          <w:spacing w:val="-2"/>
          <w:sz w:val="24"/>
          <w:u w:val="single"/>
        </w:rPr>
        <w:t>Burden</w:t>
      </w:r>
    </w:p>
    <w:p w:rsidR="003804A0" w:rsidP="00296762" w14:paraId="2E519156" w14:textId="77777777">
      <w:pPr>
        <w:pStyle w:val="BodyText"/>
        <w:rPr>
          <w:spacing w:val="-2"/>
        </w:rPr>
      </w:pPr>
    </w:p>
    <w:p w:rsidR="00910CB8" w:rsidP="003804A0" w14:paraId="3DDF34BB" w14:textId="79785308">
      <w:pPr>
        <w:pStyle w:val="BodyText"/>
        <w:ind w:right="30"/>
        <w:rPr>
          <w:spacing w:val="-2"/>
        </w:rPr>
      </w:pPr>
      <w:r>
        <w:t xml:space="preserve">There is an overall increase in the financial burden for this ICR because of the substantive addition of the activities associated with medical QHP issuers in FFEs needing to contract with a third party to administer secret shopper provider surveys to a statistically valid sample of network providers to </w:t>
      </w:r>
      <w:r w:rsidR="00B33909">
        <w:t>assess</w:t>
      </w:r>
      <w:r>
        <w:t xml:space="preserve"> compliance with </w:t>
      </w:r>
      <w:r w:rsidR="005D0CE2">
        <w:t>appointment wait time</w:t>
      </w:r>
      <w:r>
        <w:t xml:space="preserve"> standards. As a result, the total burden hours increased from 5,380 hours to 249,410 hours, which is an increase of 244,030 hours. The estimated annual costs increased from $392,202</w:t>
      </w:r>
      <w:r w:rsidR="003804A0">
        <w:t xml:space="preserve"> to $</w:t>
      </w:r>
      <w:r w:rsidRPr="003804A0" w:rsidR="003804A0">
        <w:rPr>
          <w:bCs/>
        </w:rPr>
        <w:t>17,544,032</w:t>
      </w:r>
      <w:r w:rsidR="003804A0">
        <w:rPr>
          <w:bCs/>
        </w:rPr>
        <w:t xml:space="preserve">, which is an increase of $17,151,830. </w:t>
      </w:r>
      <w:r>
        <w:t xml:space="preserve">There was also an increase in labor </w:t>
      </w:r>
      <w:r w:rsidR="003804A0">
        <w:t xml:space="preserve">because of the </w:t>
      </w:r>
      <w:r w:rsidR="005D0CE2">
        <w:t>appointment wait time</w:t>
      </w:r>
      <w:r w:rsidR="003804A0">
        <w:t xml:space="preserve"> secret shoppe</w:t>
      </w:r>
      <w:r w:rsidR="00B33909">
        <w:t>r</w:t>
      </w:r>
      <w:r w:rsidR="003804A0">
        <w:t xml:space="preserve"> data collection and </w:t>
      </w:r>
      <w:r>
        <w:t>addition</w:t>
      </w:r>
      <w:r w:rsidR="003804A0">
        <w:t xml:space="preserve"> of the</w:t>
      </w:r>
      <w:r>
        <w:t xml:space="preserve"> labor categories Business Operation Specialist and General and Operations Manager</w:t>
      </w:r>
      <w:r w:rsidR="003804A0">
        <w:t>.</w:t>
      </w:r>
    </w:p>
    <w:p w:rsidR="000B1C51" w:rsidP="00296762" w14:paraId="28C0CAC5" w14:textId="77777777">
      <w:pPr>
        <w:pStyle w:val="BodyText"/>
        <w:rPr>
          <w:sz w:val="25"/>
        </w:rPr>
      </w:pPr>
    </w:p>
    <w:p w:rsidR="000B1C51" w:rsidP="00B86B2E" w14:paraId="072FBFB0" w14:textId="77777777">
      <w:pPr>
        <w:pStyle w:val="ListParagraph"/>
        <w:numPr>
          <w:ilvl w:val="0"/>
          <w:numId w:val="2"/>
        </w:numPr>
        <w:tabs>
          <w:tab w:val="left" w:pos="720"/>
        </w:tabs>
        <w:ind w:left="360" w:hanging="360"/>
        <w:rPr>
          <w:sz w:val="24"/>
        </w:rPr>
      </w:pPr>
      <w:bookmarkStart w:id="19" w:name="16._Publication/Tabulation_Dates"/>
      <w:bookmarkEnd w:id="19"/>
      <w:r>
        <w:rPr>
          <w:sz w:val="24"/>
          <w:u w:val="single"/>
        </w:rPr>
        <w:t>Publication/Tabulation</w:t>
      </w:r>
      <w:r>
        <w:rPr>
          <w:spacing w:val="-8"/>
          <w:sz w:val="24"/>
          <w:u w:val="single"/>
        </w:rPr>
        <w:t xml:space="preserve"> </w:t>
      </w:r>
      <w:r>
        <w:rPr>
          <w:spacing w:val="-4"/>
          <w:sz w:val="24"/>
          <w:u w:val="single"/>
        </w:rPr>
        <w:t>Dates</w:t>
      </w:r>
    </w:p>
    <w:p w:rsidR="000B1C51" w:rsidP="00B86B2E" w14:paraId="4DD9676D" w14:textId="77777777">
      <w:pPr>
        <w:pStyle w:val="BodyText"/>
        <w:rPr>
          <w:sz w:val="19"/>
        </w:rPr>
      </w:pPr>
    </w:p>
    <w:p w:rsidR="000B1C51" w:rsidP="00B86B2E" w14:paraId="2861AC0C" w14:textId="7B393DDB">
      <w:pPr>
        <w:rPr>
          <w:sz w:val="23"/>
        </w:rPr>
      </w:pPr>
      <w:r>
        <w:rPr>
          <w:sz w:val="23"/>
        </w:rPr>
        <w:t xml:space="preserve">The information collected on the ECP/NA template </w:t>
      </w:r>
      <w:r w:rsidR="00081DB4">
        <w:rPr>
          <w:sz w:val="23"/>
        </w:rPr>
        <w:t>submitted by issuers within</w:t>
      </w:r>
      <w:r>
        <w:rPr>
          <w:sz w:val="23"/>
        </w:rPr>
        <w:t xml:space="preserve"> the Issuer Module is used to assess compliance</w:t>
      </w:r>
      <w:r>
        <w:rPr>
          <w:spacing w:val="-1"/>
          <w:sz w:val="23"/>
        </w:rPr>
        <w:t xml:space="preserve"> </w:t>
      </w:r>
      <w:r>
        <w:rPr>
          <w:sz w:val="23"/>
        </w:rPr>
        <w:t>with</w:t>
      </w:r>
      <w:r>
        <w:rPr>
          <w:spacing w:val="-2"/>
          <w:sz w:val="23"/>
        </w:rPr>
        <w:t xml:space="preserve"> </w:t>
      </w:r>
      <w:r>
        <w:rPr>
          <w:sz w:val="23"/>
        </w:rPr>
        <w:t>ECP</w:t>
      </w:r>
      <w:r>
        <w:rPr>
          <w:spacing w:val="-3"/>
          <w:sz w:val="23"/>
        </w:rPr>
        <w:t xml:space="preserve"> </w:t>
      </w:r>
      <w:r>
        <w:rPr>
          <w:sz w:val="23"/>
        </w:rPr>
        <w:t>and</w:t>
      </w:r>
      <w:r>
        <w:rPr>
          <w:spacing w:val="-5"/>
          <w:sz w:val="23"/>
        </w:rPr>
        <w:t xml:space="preserve"> </w:t>
      </w:r>
      <w:r>
        <w:rPr>
          <w:sz w:val="23"/>
        </w:rPr>
        <w:t>network</w:t>
      </w:r>
      <w:r>
        <w:rPr>
          <w:spacing w:val="-2"/>
          <w:sz w:val="23"/>
        </w:rPr>
        <w:t xml:space="preserve"> </w:t>
      </w:r>
      <w:r>
        <w:rPr>
          <w:sz w:val="23"/>
        </w:rPr>
        <w:t>adequacy</w:t>
      </w:r>
      <w:r>
        <w:rPr>
          <w:spacing w:val="-7"/>
          <w:sz w:val="23"/>
        </w:rPr>
        <w:t xml:space="preserve"> </w:t>
      </w:r>
      <w:r>
        <w:rPr>
          <w:sz w:val="23"/>
        </w:rPr>
        <w:t>standards</w:t>
      </w:r>
      <w:r>
        <w:rPr>
          <w:spacing w:val="-3"/>
          <w:sz w:val="23"/>
        </w:rPr>
        <w:t xml:space="preserve"> </w:t>
      </w:r>
      <w:r>
        <w:rPr>
          <w:sz w:val="23"/>
        </w:rPr>
        <w:t>for</w:t>
      </w:r>
      <w:r>
        <w:rPr>
          <w:spacing w:val="-2"/>
          <w:sz w:val="23"/>
        </w:rPr>
        <w:t xml:space="preserve"> </w:t>
      </w:r>
      <w:r>
        <w:rPr>
          <w:sz w:val="23"/>
        </w:rPr>
        <w:t>the</w:t>
      </w:r>
      <w:r>
        <w:rPr>
          <w:spacing w:val="-1"/>
          <w:sz w:val="23"/>
        </w:rPr>
        <w:t xml:space="preserve"> </w:t>
      </w:r>
      <w:r>
        <w:rPr>
          <w:sz w:val="23"/>
        </w:rPr>
        <w:t>purpose</w:t>
      </w:r>
      <w:r>
        <w:rPr>
          <w:spacing w:val="-1"/>
          <w:sz w:val="23"/>
        </w:rPr>
        <w:t xml:space="preserve"> </w:t>
      </w:r>
      <w:r>
        <w:rPr>
          <w:sz w:val="23"/>
        </w:rPr>
        <w:t>of</w:t>
      </w:r>
      <w:r>
        <w:rPr>
          <w:spacing w:val="-5"/>
          <w:sz w:val="23"/>
        </w:rPr>
        <w:t xml:space="preserve"> </w:t>
      </w:r>
      <w:r>
        <w:rPr>
          <w:sz w:val="23"/>
        </w:rPr>
        <w:t>the</w:t>
      </w:r>
      <w:r>
        <w:rPr>
          <w:spacing w:val="-4"/>
          <w:sz w:val="23"/>
        </w:rPr>
        <w:t xml:space="preserve"> </w:t>
      </w:r>
      <w:r>
        <w:rPr>
          <w:sz w:val="23"/>
        </w:rPr>
        <w:t>QHP</w:t>
      </w:r>
      <w:r>
        <w:rPr>
          <w:spacing w:val="-3"/>
          <w:sz w:val="23"/>
        </w:rPr>
        <w:t xml:space="preserve"> </w:t>
      </w:r>
      <w:r>
        <w:rPr>
          <w:sz w:val="23"/>
        </w:rPr>
        <w:t>certification</w:t>
      </w:r>
      <w:r>
        <w:rPr>
          <w:spacing w:val="-2"/>
          <w:sz w:val="23"/>
        </w:rPr>
        <w:t xml:space="preserve"> </w:t>
      </w:r>
      <w:r>
        <w:rPr>
          <w:sz w:val="23"/>
        </w:rPr>
        <w:t xml:space="preserve">process. </w:t>
      </w:r>
      <w:r w:rsidR="00981438">
        <w:rPr>
          <w:sz w:val="23"/>
        </w:rPr>
        <w:t xml:space="preserve">The secret shopper provider survey information collected annually from issuers </w:t>
      </w:r>
      <w:r w:rsidR="009116B6">
        <w:rPr>
          <w:sz w:val="23"/>
        </w:rPr>
        <w:t xml:space="preserve">is used to assess compliance with network adequacy standards for the purpose of the QHP certification process. </w:t>
      </w:r>
      <w:r>
        <w:rPr>
          <w:sz w:val="23"/>
        </w:rPr>
        <w:t>The</w:t>
      </w:r>
      <w:r w:rsidR="0052088F">
        <w:rPr>
          <w:sz w:val="23"/>
        </w:rPr>
        <w:t>se</w:t>
      </w:r>
      <w:r>
        <w:rPr>
          <w:sz w:val="23"/>
        </w:rPr>
        <w:t xml:space="preserve"> data are not made public.</w:t>
      </w:r>
    </w:p>
    <w:p w:rsidR="000B1C51" w:rsidP="00296762" w14:paraId="1256DA00" w14:textId="77777777">
      <w:pPr>
        <w:pStyle w:val="BodyText"/>
        <w:rPr>
          <w:sz w:val="25"/>
        </w:rPr>
      </w:pPr>
    </w:p>
    <w:p w:rsidR="000B1C51" w:rsidP="00B86B2E" w14:paraId="3DAEB31E" w14:textId="77777777">
      <w:pPr>
        <w:pStyle w:val="ListParagraph"/>
        <w:numPr>
          <w:ilvl w:val="0"/>
          <w:numId w:val="2"/>
        </w:numPr>
        <w:tabs>
          <w:tab w:val="left" w:pos="540"/>
        </w:tabs>
        <w:ind w:left="360" w:hanging="360"/>
        <w:rPr>
          <w:sz w:val="24"/>
        </w:rPr>
      </w:pPr>
      <w:bookmarkStart w:id="20" w:name="17._Expiration_Date"/>
      <w:bookmarkEnd w:id="20"/>
      <w:r>
        <w:rPr>
          <w:sz w:val="24"/>
          <w:u w:val="single"/>
        </w:rPr>
        <w:t>Expiration</w:t>
      </w:r>
      <w:r>
        <w:rPr>
          <w:spacing w:val="-3"/>
          <w:sz w:val="24"/>
          <w:u w:val="single"/>
        </w:rPr>
        <w:t xml:space="preserve"> </w:t>
      </w:r>
      <w:r>
        <w:rPr>
          <w:spacing w:val="-4"/>
          <w:sz w:val="24"/>
          <w:u w:val="single"/>
        </w:rPr>
        <w:t>Date</w:t>
      </w:r>
    </w:p>
    <w:p w:rsidR="000B1C51" w:rsidP="00B86B2E" w14:paraId="721A5F6F" w14:textId="77777777">
      <w:pPr>
        <w:pStyle w:val="BodyText"/>
        <w:rPr>
          <w:sz w:val="19"/>
        </w:rPr>
      </w:pPr>
    </w:p>
    <w:p w:rsidR="000B1C51" w:rsidP="00881363" w14:paraId="333EC7C8" w14:textId="00F3C7D4">
      <w:pPr>
        <w:pStyle w:val="BodyText"/>
        <w:ind w:hanging="10"/>
      </w:pPr>
      <w:r>
        <w:t>The</w:t>
      </w:r>
      <w:r>
        <w:rPr>
          <w:spacing w:val="-3"/>
        </w:rPr>
        <w:t xml:space="preserve"> </w:t>
      </w:r>
      <w:r>
        <w:t>expiration</w:t>
      </w:r>
      <w:r>
        <w:rPr>
          <w:spacing w:val="-2"/>
        </w:rPr>
        <w:t xml:space="preserve"> </w:t>
      </w:r>
      <w:r>
        <w:t>date</w:t>
      </w:r>
      <w:r>
        <w:rPr>
          <w:spacing w:val="-3"/>
        </w:rPr>
        <w:t xml:space="preserve"> </w:t>
      </w:r>
      <w:r>
        <w:t>and</w:t>
      </w:r>
      <w:r>
        <w:rPr>
          <w:spacing w:val="-1"/>
        </w:rPr>
        <w:t xml:space="preserve"> </w:t>
      </w:r>
      <w:r>
        <w:t>OMB</w:t>
      </w:r>
      <w:r>
        <w:rPr>
          <w:spacing w:val="-4"/>
        </w:rPr>
        <w:t xml:space="preserve"> </w:t>
      </w:r>
      <w:r>
        <w:t>control</w:t>
      </w:r>
      <w:r>
        <w:rPr>
          <w:spacing w:val="-2"/>
        </w:rPr>
        <w:t xml:space="preserve"> </w:t>
      </w:r>
      <w:r>
        <w:t>number</w:t>
      </w:r>
      <w:r>
        <w:rPr>
          <w:spacing w:val="-3"/>
        </w:rPr>
        <w:t xml:space="preserve"> </w:t>
      </w:r>
      <w:r>
        <w:t>will</w:t>
      </w:r>
      <w:r>
        <w:rPr>
          <w:spacing w:val="-2"/>
        </w:rPr>
        <w:t xml:space="preserve"> </w:t>
      </w:r>
      <w:r>
        <w:t>appear</w:t>
      </w:r>
      <w:r>
        <w:rPr>
          <w:spacing w:val="-3"/>
        </w:rPr>
        <w:t xml:space="preserve"> </w:t>
      </w:r>
      <w:r>
        <w:t>on</w:t>
      </w:r>
      <w:r>
        <w:rPr>
          <w:spacing w:val="-2"/>
        </w:rPr>
        <w:t xml:space="preserve"> </w:t>
      </w:r>
      <w:r>
        <w:t>the</w:t>
      </w:r>
      <w:r>
        <w:rPr>
          <w:spacing w:val="-2"/>
        </w:rPr>
        <w:t xml:space="preserve"> </w:t>
      </w:r>
      <w:r>
        <w:t>first</w:t>
      </w:r>
      <w:r>
        <w:rPr>
          <w:spacing w:val="-2"/>
        </w:rPr>
        <w:t xml:space="preserve"> </w:t>
      </w:r>
      <w:r>
        <w:t>page</w:t>
      </w:r>
      <w:r>
        <w:rPr>
          <w:spacing w:val="-2"/>
        </w:rPr>
        <w:t xml:space="preserve"> </w:t>
      </w:r>
      <w:r>
        <w:t>of</w:t>
      </w:r>
      <w:r>
        <w:rPr>
          <w:spacing w:val="-3"/>
        </w:rPr>
        <w:t xml:space="preserve"> </w:t>
      </w:r>
      <w:r>
        <w:t>the</w:t>
      </w:r>
      <w:r>
        <w:rPr>
          <w:spacing w:val="-3"/>
        </w:rPr>
        <w:t xml:space="preserve"> </w:t>
      </w:r>
      <w:r>
        <w:t>instrument</w:t>
      </w:r>
      <w:r>
        <w:rPr>
          <w:spacing w:val="-2"/>
        </w:rPr>
        <w:t xml:space="preserve"> </w:t>
      </w:r>
      <w:r>
        <w:t>in</w:t>
      </w:r>
      <w:r>
        <w:rPr>
          <w:spacing w:val="-2"/>
        </w:rPr>
        <w:t xml:space="preserve"> </w:t>
      </w:r>
      <w:r>
        <w:t>the top right corner.</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4001217"/>
      <w:docPartObj>
        <w:docPartGallery w:val="Page Numbers (Bottom of Page)"/>
        <w:docPartUnique/>
      </w:docPartObj>
    </w:sdtPr>
    <w:sdtEndPr>
      <w:rPr>
        <w:noProof/>
      </w:rPr>
    </w:sdtEndPr>
    <w:sdtContent>
      <w:p w:rsidR="00881363" w14:paraId="67FC8578" w14:textId="4B5B43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363" w14:paraId="7EE8ED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095C" w:rsidP="00C36655" w14:paraId="49B9D5B7" w14:textId="77777777">
      <w:r>
        <w:separator/>
      </w:r>
    </w:p>
  </w:footnote>
  <w:footnote w:type="continuationSeparator" w:id="1">
    <w:p w:rsidR="00B0095C" w:rsidP="00C36655" w14:paraId="7167BC0E" w14:textId="77777777">
      <w:r>
        <w:continuationSeparator/>
      </w:r>
    </w:p>
  </w:footnote>
  <w:footnote w:type="continuationNotice" w:id="2">
    <w:p w:rsidR="00B0095C" w14:paraId="11211E4A" w14:textId="77777777"/>
  </w:footnote>
  <w:footnote w:id="3">
    <w:p w:rsidR="00844A2A" w:rsidP="00844A2A" w14:paraId="4CE0174E" w14:textId="77777777">
      <w:pPr>
        <w:pStyle w:val="FootnoteText"/>
      </w:pPr>
      <w:r w:rsidRPr="009D6905">
        <w:rPr>
          <w:rStyle w:val="FootnoteReference"/>
          <w:rFonts w:ascii="Times New Roman" w:hAnsi="Times New Roman" w:cs="Times New Roman"/>
        </w:rPr>
        <w:footnoteRef/>
      </w:r>
      <w:r w:rsidRPr="009D6905">
        <w:rPr>
          <w:rFonts w:ascii="Times New Roman" w:hAnsi="Times New Roman" w:cs="Times New Roman"/>
        </w:rPr>
        <w:t xml:space="preserve"> Section 3 (ii) (b) of the </w:t>
      </w:r>
      <w:r w:rsidRPr="009D6905">
        <w:rPr>
          <w:rFonts w:ascii="Times New Roman" w:hAnsi="Times New Roman" w:cs="Times New Roman"/>
          <w:i/>
          <w:iCs/>
        </w:rPr>
        <w:t>2023 Letter to Issuers</w:t>
      </w:r>
      <w:r w:rsidRPr="009D6905">
        <w:rPr>
          <w:rFonts w:ascii="Times New Roman" w:hAnsi="Times New Roman" w:cs="Times New Roman"/>
        </w:rPr>
        <w:t xml:space="preserve"> further outlines the specific quant</w:t>
      </w:r>
      <w:r>
        <w:rPr>
          <w:rFonts w:ascii="Times New Roman" w:hAnsi="Times New Roman" w:cs="Times New Roman"/>
        </w:rPr>
        <w:t>it</w:t>
      </w:r>
      <w:r w:rsidRPr="009D6905">
        <w:rPr>
          <w:rFonts w:ascii="Times New Roman" w:hAnsi="Times New Roman" w:cs="Times New Roman"/>
        </w:rPr>
        <w:t>ative metrics for measuring availability. Specifically, 10 business days for 10 business days for Behavioral Health, 15 business days for routine primary care, and 30 business days for non-urgent specialty care.</w:t>
      </w:r>
      <w:r w:rsidRPr="381967A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74772"/>
    <w:multiLevelType w:val="hybridMultilevel"/>
    <w:tmpl w:val="648846C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7F03751"/>
    <w:multiLevelType w:val="hybridMultilevel"/>
    <w:tmpl w:val="C298C9E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0AE10E9C"/>
    <w:multiLevelType w:val="hybridMultilevel"/>
    <w:tmpl w:val="41A235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
    <w:nsid w:val="107F7BA5"/>
    <w:multiLevelType w:val="hybridMultilevel"/>
    <w:tmpl w:val="80D051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15CF5EE4"/>
    <w:multiLevelType w:val="hybridMultilevel"/>
    <w:tmpl w:val="1D3845C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17607FA0"/>
    <w:multiLevelType w:val="hybridMultilevel"/>
    <w:tmpl w:val="BF0251D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CAA55B9"/>
    <w:multiLevelType w:val="hybridMultilevel"/>
    <w:tmpl w:val="B3CAFE0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2796"/>
    <w:multiLevelType w:val="hybridMultilevel"/>
    <w:tmpl w:val="D5D85A0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38972A79"/>
    <w:multiLevelType w:val="hybridMultilevel"/>
    <w:tmpl w:val="56A20B12"/>
    <w:lvl w:ilvl="0">
      <w:start w:val="1"/>
      <w:numFmt w:val="decimal"/>
      <w:lvlText w:val="%1."/>
      <w:lvlJc w:val="left"/>
      <w:pPr>
        <w:ind w:left="352" w:hanging="248"/>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1844" w:hanging="360"/>
      </w:pPr>
      <w:rPr>
        <w:rFonts w:hint="default"/>
        <w:lang w:val="en-US" w:eastAsia="en-US" w:bidi="ar-SA"/>
      </w:rPr>
    </w:lvl>
    <w:lvl w:ilvl="3">
      <w:start w:val="0"/>
      <w:numFmt w:val="bullet"/>
      <w:lvlText w:val="•"/>
      <w:lvlJc w:val="left"/>
      <w:pPr>
        <w:ind w:left="2848" w:hanging="360"/>
      </w:pPr>
      <w:rPr>
        <w:rFonts w:hint="default"/>
        <w:lang w:val="en-US" w:eastAsia="en-US" w:bidi="ar-SA"/>
      </w:rPr>
    </w:lvl>
    <w:lvl w:ilvl="4">
      <w:start w:val="0"/>
      <w:numFmt w:val="bullet"/>
      <w:lvlText w:val="•"/>
      <w:lvlJc w:val="left"/>
      <w:pPr>
        <w:ind w:left="3853" w:hanging="360"/>
      </w:pPr>
      <w:rPr>
        <w:rFonts w:hint="default"/>
        <w:lang w:val="en-US" w:eastAsia="en-US" w:bidi="ar-SA"/>
      </w:rPr>
    </w:lvl>
    <w:lvl w:ilvl="5">
      <w:start w:val="0"/>
      <w:numFmt w:val="bullet"/>
      <w:lvlText w:val="•"/>
      <w:lvlJc w:val="left"/>
      <w:pPr>
        <w:ind w:left="4857" w:hanging="360"/>
      </w:pPr>
      <w:rPr>
        <w:rFonts w:hint="default"/>
        <w:lang w:val="en-US" w:eastAsia="en-US" w:bidi="ar-SA"/>
      </w:rPr>
    </w:lvl>
    <w:lvl w:ilvl="6">
      <w:start w:val="0"/>
      <w:numFmt w:val="bullet"/>
      <w:lvlText w:val="•"/>
      <w:lvlJc w:val="left"/>
      <w:pPr>
        <w:ind w:left="5862" w:hanging="360"/>
      </w:pPr>
      <w:rPr>
        <w:rFonts w:hint="default"/>
        <w:lang w:val="en-US" w:eastAsia="en-US" w:bidi="ar-SA"/>
      </w:rPr>
    </w:lvl>
    <w:lvl w:ilvl="7">
      <w:start w:val="0"/>
      <w:numFmt w:val="bullet"/>
      <w:lvlText w:val="•"/>
      <w:lvlJc w:val="left"/>
      <w:pPr>
        <w:ind w:left="6866" w:hanging="360"/>
      </w:pPr>
      <w:rPr>
        <w:rFonts w:hint="default"/>
        <w:lang w:val="en-US" w:eastAsia="en-US" w:bidi="ar-SA"/>
      </w:rPr>
    </w:lvl>
    <w:lvl w:ilvl="8">
      <w:start w:val="0"/>
      <w:numFmt w:val="bullet"/>
      <w:lvlText w:val="•"/>
      <w:lvlJc w:val="left"/>
      <w:pPr>
        <w:ind w:left="7871" w:hanging="360"/>
      </w:pPr>
      <w:rPr>
        <w:rFonts w:hint="default"/>
        <w:lang w:val="en-US" w:eastAsia="en-US" w:bidi="ar-SA"/>
      </w:rPr>
    </w:lvl>
  </w:abstractNum>
  <w:abstractNum w:abstractNumId="9">
    <w:nsid w:val="3BF01B51"/>
    <w:multiLevelType w:val="hybridMultilevel"/>
    <w:tmpl w:val="46D8462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60F20075"/>
    <w:multiLevelType w:val="hybridMultilevel"/>
    <w:tmpl w:val="514E8AB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64E625E4"/>
    <w:multiLevelType w:val="hybridMultilevel"/>
    <w:tmpl w:val="9948E4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6C3B7357"/>
    <w:multiLevelType w:val="hybridMultilevel"/>
    <w:tmpl w:val="336E92EE"/>
    <w:lvl w:ilvl="0">
      <w:start w:val="1"/>
      <w:numFmt w:val="upperLetter"/>
      <w:lvlText w:val="%1."/>
      <w:lvlJc w:val="left"/>
      <w:pPr>
        <w:ind w:left="518" w:hanging="413"/>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0"/>
      <w:numFmt w:val="bullet"/>
      <w:lvlText w:val="•"/>
      <w:lvlJc w:val="left"/>
      <w:pPr>
        <w:ind w:left="1456" w:hanging="413"/>
      </w:pPr>
      <w:rPr>
        <w:rFonts w:hint="default"/>
        <w:lang w:val="en-US" w:eastAsia="en-US" w:bidi="ar-SA"/>
      </w:rPr>
    </w:lvl>
    <w:lvl w:ilvl="2">
      <w:start w:val="0"/>
      <w:numFmt w:val="bullet"/>
      <w:lvlText w:val="•"/>
      <w:lvlJc w:val="left"/>
      <w:pPr>
        <w:ind w:left="2392" w:hanging="413"/>
      </w:pPr>
      <w:rPr>
        <w:rFonts w:hint="default"/>
        <w:lang w:val="en-US" w:eastAsia="en-US" w:bidi="ar-SA"/>
      </w:rPr>
    </w:lvl>
    <w:lvl w:ilvl="3">
      <w:start w:val="0"/>
      <w:numFmt w:val="bullet"/>
      <w:lvlText w:val="•"/>
      <w:lvlJc w:val="left"/>
      <w:pPr>
        <w:ind w:left="3328" w:hanging="413"/>
      </w:pPr>
      <w:rPr>
        <w:rFonts w:hint="default"/>
        <w:lang w:val="en-US" w:eastAsia="en-US" w:bidi="ar-SA"/>
      </w:rPr>
    </w:lvl>
    <w:lvl w:ilvl="4">
      <w:start w:val="0"/>
      <w:numFmt w:val="bullet"/>
      <w:lvlText w:val="•"/>
      <w:lvlJc w:val="left"/>
      <w:pPr>
        <w:ind w:left="4264" w:hanging="413"/>
      </w:pPr>
      <w:rPr>
        <w:rFonts w:hint="default"/>
        <w:lang w:val="en-US" w:eastAsia="en-US" w:bidi="ar-SA"/>
      </w:rPr>
    </w:lvl>
    <w:lvl w:ilvl="5">
      <w:start w:val="0"/>
      <w:numFmt w:val="bullet"/>
      <w:lvlText w:val="•"/>
      <w:lvlJc w:val="left"/>
      <w:pPr>
        <w:ind w:left="5200" w:hanging="413"/>
      </w:pPr>
      <w:rPr>
        <w:rFonts w:hint="default"/>
        <w:lang w:val="en-US" w:eastAsia="en-US" w:bidi="ar-SA"/>
      </w:rPr>
    </w:lvl>
    <w:lvl w:ilvl="6">
      <w:start w:val="0"/>
      <w:numFmt w:val="bullet"/>
      <w:lvlText w:val="•"/>
      <w:lvlJc w:val="left"/>
      <w:pPr>
        <w:ind w:left="6136" w:hanging="413"/>
      </w:pPr>
      <w:rPr>
        <w:rFonts w:hint="default"/>
        <w:lang w:val="en-US" w:eastAsia="en-US" w:bidi="ar-SA"/>
      </w:rPr>
    </w:lvl>
    <w:lvl w:ilvl="7">
      <w:start w:val="0"/>
      <w:numFmt w:val="bullet"/>
      <w:lvlText w:val="•"/>
      <w:lvlJc w:val="left"/>
      <w:pPr>
        <w:ind w:left="7072" w:hanging="413"/>
      </w:pPr>
      <w:rPr>
        <w:rFonts w:hint="default"/>
        <w:lang w:val="en-US" w:eastAsia="en-US" w:bidi="ar-SA"/>
      </w:rPr>
    </w:lvl>
    <w:lvl w:ilvl="8">
      <w:start w:val="0"/>
      <w:numFmt w:val="bullet"/>
      <w:lvlText w:val="•"/>
      <w:lvlJc w:val="left"/>
      <w:pPr>
        <w:ind w:left="8008" w:hanging="413"/>
      </w:pPr>
      <w:rPr>
        <w:rFonts w:hint="default"/>
        <w:lang w:val="en-US" w:eastAsia="en-US" w:bidi="ar-SA"/>
      </w:rPr>
    </w:lvl>
  </w:abstractNum>
  <w:abstractNum w:abstractNumId="13">
    <w:nsid w:val="6CD028F4"/>
    <w:multiLevelType w:val="hybridMultilevel"/>
    <w:tmpl w:val="3CA03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54442B"/>
    <w:multiLevelType w:val="hybridMultilevel"/>
    <w:tmpl w:val="C340F0A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728994592">
    <w:abstractNumId w:val="12"/>
  </w:num>
  <w:num w:numId="2" w16cid:durableId="160703548">
    <w:abstractNumId w:val="8"/>
  </w:num>
  <w:num w:numId="3" w16cid:durableId="155584008">
    <w:abstractNumId w:val="7"/>
  </w:num>
  <w:num w:numId="4" w16cid:durableId="959728163">
    <w:abstractNumId w:val="11"/>
  </w:num>
  <w:num w:numId="5" w16cid:durableId="1054811762">
    <w:abstractNumId w:val="0"/>
  </w:num>
  <w:num w:numId="6" w16cid:durableId="1232621851">
    <w:abstractNumId w:val="2"/>
  </w:num>
  <w:num w:numId="7" w16cid:durableId="828710609">
    <w:abstractNumId w:val="3"/>
  </w:num>
  <w:num w:numId="8" w16cid:durableId="1079907016">
    <w:abstractNumId w:val="5"/>
  </w:num>
  <w:num w:numId="9" w16cid:durableId="1995639389">
    <w:abstractNumId w:val="4"/>
  </w:num>
  <w:num w:numId="10" w16cid:durableId="667169385">
    <w:abstractNumId w:val="9"/>
  </w:num>
  <w:num w:numId="11" w16cid:durableId="129514841">
    <w:abstractNumId w:val="14"/>
  </w:num>
  <w:num w:numId="12" w16cid:durableId="1560939774">
    <w:abstractNumId w:val="6"/>
  </w:num>
  <w:num w:numId="13" w16cid:durableId="408387033">
    <w:abstractNumId w:val="10"/>
  </w:num>
  <w:num w:numId="14" w16cid:durableId="718364718">
    <w:abstractNumId w:val="1"/>
  </w:num>
  <w:num w:numId="15" w16cid:durableId="699937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51"/>
    <w:rsid w:val="00013192"/>
    <w:rsid w:val="0001341D"/>
    <w:rsid w:val="0002148E"/>
    <w:rsid w:val="00021E87"/>
    <w:rsid w:val="00026578"/>
    <w:rsid w:val="00026CF5"/>
    <w:rsid w:val="0003335E"/>
    <w:rsid w:val="00041601"/>
    <w:rsid w:val="00041957"/>
    <w:rsid w:val="00045272"/>
    <w:rsid w:val="00060A00"/>
    <w:rsid w:val="00061036"/>
    <w:rsid w:val="000617AF"/>
    <w:rsid w:val="00061C1D"/>
    <w:rsid w:val="000626C4"/>
    <w:rsid w:val="00063CFA"/>
    <w:rsid w:val="00066300"/>
    <w:rsid w:val="00067300"/>
    <w:rsid w:val="00067D3F"/>
    <w:rsid w:val="000706E4"/>
    <w:rsid w:val="0007219E"/>
    <w:rsid w:val="00076524"/>
    <w:rsid w:val="00081DB4"/>
    <w:rsid w:val="00090DDC"/>
    <w:rsid w:val="000913FE"/>
    <w:rsid w:val="00091A19"/>
    <w:rsid w:val="00092284"/>
    <w:rsid w:val="00094BEC"/>
    <w:rsid w:val="00095B5E"/>
    <w:rsid w:val="000A0840"/>
    <w:rsid w:val="000B1C51"/>
    <w:rsid w:val="000B28CE"/>
    <w:rsid w:val="000B7235"/>
    <w:rsid w:val="000C0AE3"/>
    <w:rsid w:val="000C14FC"/>
    <w:rsid w:val="000D1DEA"/>
    <w:rsid w:val="000D2AE5"/>
    <w:rsid w:val="000E061F"/>
    <w:rsid w:val="000E2557"/>
    <w:rsid w:val="000F0010"/>
    <w:rsid w:val="000F1EBA"/>
    <w:rsid w:val="000F4BFB"/>
    <w:rsid w:val="000F54DD"/>
    <w:rsid w:val="0010202B"/>
    <w:rsid w:val="001061CC"/>
    <w:rsid w:val="0010630E"/>
    <w:rsid w:val="00120F1C"/>
    <w:rsid w:val="00123B1F"/>
    <w:rsid w:val="00127069"/>
    <w:rsid w:val="001276DB"/>
    <w:rsid w:val="001318F0"/>
    <w:rsid w:val="0013285B"/>
    <w:rsid w:val="00136EF2"/>
    <w:rsid w:val="001418D1"/>
    <w:rsid w:val="00151ED7"/>
    <w:rsid w:val="00153849"/>
    <w:rsid w:val="001618E1"/>
    <w:rsid w:val="00163F21"/>
    <w:rsid w:val="0017258F"/>
    <w:rsid w:val="0017558A"/>
    <w:rsid w:val="001842C6"/>
    <w:rsid w:val="001976F5"/>
    <w:rsid w:val="001A018D"/>
    <w:rsid w:val="001A14A7"/>
    <w:rsid w:val="001A28FE"/>
    <w:rsid w:val="001A79B4"/>
    <w:rsid w:val="001B4C0C"/>
    <w:rsid w:val="001B7265"/>
    <w:rsid w:val="001C037A"/>
    <w:rsid w:val="001C297F"/>
    <w:rsid w:val="001C49DE"/>
    <w:rsid w:val="001C61D4"/>
    <w:rsid w:val="001D19AE"/>
    <w:rsid w:val="001E4724"/>
    <w:rsid w:val="001E5E1C"/>
    <w:rsid w:val="001F0595"/>
    <w:rsid w:val="001F08DA"/>
    <w:rsid w:val="001F30B2"/>
    <w:rsid w:val="001F375A"/>
    <w:rsid w:val="001F39C8"/>
    <w:rsid w:val="001F63B8"/>
    <w:rsid w:val="001F7A47"/>
    <w:rsid w:val="00203B69"/>
    <w:rsid w:val="0020676D"/>
    <w:rsid w:val="00207D89"/>
    <w:rsid w:val="002244B2"/>
    <w:rsid w:val="00227480"/>
    <w:rsid w:val="00232AA3"/>
    <w:rsid w:val="002340A6"/>
    <w:rsid w:val="002343E9"/>
    <w:rsid w:val="00236B09"/>
    <w:rsid w:val="00243778"/>
    <w:rsid w:val="002458FF"/>
    <w:rsid w:val="0025024D"/>
    <w:rsid w:val="00251EB8"/>
    <w:rsid w:val="00254AB8"/>
    <w:rsid w:val="002565E0"/>
    <w:rsid w:val="0026029E"/>
    <w:rsid w:val="00261EB4"/>
    <w:rsid w:val="00263748"/>
    <w:rsid w:val="002661ED"/>
    <w:rsid w:val="0026694C"/>
    <w:rsid w:val="00270905"/>
    <w:rsid w:val="00273C95"/>
    <w:rsid w:val="00275C84"/>
    <w:rsid w:val="002822FB"/>
    <w:rsid w:val="00285B8A"/>
    <w:rsid w:val="002867C2"/>
    <w:rsid w:val="00291283"/>
    <w:rsid w:val="002950C3"/>
    <w:rsid w:val="00296762"/>
    <w:rsid w:val="002A30F5"/>
    <w:rsid w:val="002B0F70"/>
    <w:rsid w:val="002B4BF3"/>
    <w:rsid w:val="002B7A15"/>
    <w:rsid w:val="002C1A05"/>
    <w:rsid w:val="002C5977"/>
    <w:rsid w:val="002C7068"/>
    <w:rsid w:val="002C7DD9"/>
    <w:rsid w:val="002D7679"/>
    <w:rsid w:val="002E038A"/>
    <w:rsid w:val="002F5636"/>
    <w:rsid w:val="002F6035"/>
    <w:rsid w:val="002F6C8A"/>
    <w:rsid w:val="002F6D12"/>
    <w:rsid w:val="00301DD7"/>
    <w:rsid w:val="003102D4"/>
    <w:rsid w:val="00316378"/>
    <w:rsid w:val="003165F2"/>
    <w:rsid w:val="0031704E"/>
    <w:rsid w:val="0032110E"/>
    <w:rsid w:val="003229EF"/>
    <w:rsid w:val="00324FF7"/>
    <w:rsid w:val="00325A67"/>
    <w:rsid w:val="00326B8A"/>
    <w:rsid w:val="003344A6"/>
    <w:rsid w:val="003362C5"/>
    <w:rsid w:val="003368AB"/>
    <w:rsid w:val="00340F56"/>
    <w:rsid w:val="003438A6"/>
    <w:rsid w:val="00351B4A"/>
    <w:rsid w:val="00355166"/>
    <w:rsid w:val="003559BD"/>
    <w:rsid w:val="00356159"/>
    <w:rsid w:val="003570CD"/>
    <w:rsid w:val="00361C3C"/>
    <w:rsid w:val="00363DD6"/>
    <w:rsid w:val="00364CC7"/>
    <w:rsid w:val="003667D2"/>
    <w:rsid w:val="00374CAB"/>
    <w:rsid w:val="00375499"/>
    <w:rsid w:val="0037550D"/>
    <w:rsid w:val="00376AFF"/>
    <w:rsid w:val="003773FA"/>
    <w:rsid w:val="003804A0"/>
    <w:rsid w:val="003806DB"/>
    <w:rsid w:val="003838C7"/>
    <w:rsid w:val="00385A74"/>
    <w:rsid w:val="00386FB2"/>
    <w:rsid w:val="003877A8"/>
    <w:rsid w:val="003915A9"/>
    <w:rsid w:val="00393065"/>
    <w:rsid w:val="003935CB"/>
    <w:rsid w:val="00393719"/>
    <w:rsid w:val="00394EA5"/>
    <w:rsid w:val="003951D1"/>
    <w:rsid w:val="0039786A"/>
    <w:rsid w:val="003A1AD5"/>
    <w:rsid w:val="003A3A96"/>
    <w:rsid w:val="003A66AD"/>
    <w:rsid w:val="003A67A8"/>
    <w:rsid w:val="003B149F"/>
    <w:rsid w:val="003B2E98"/>
    <w:rsid w:val="003B3A01"/>
    <w:rsid w:val="003C0564"/>
    <w:rsid w:val="003C3045"/>
    <w:rsid w:val="003C5152"/>
    <w:rsid w:val="003D7D85"/>
    <w:rsid w:val="003E4149"/>
    <w:rsid w:val="003F00E8"/>
    <w:rsid w:val="003F34B5"/>
    <w:rsid w:val="003F6980"/>
    <w:rsid w:val="003F7B17"/>
    <w:rsid w:val="004035A5"/>
    <w:rsid w:val="004101E4"/>
    <w:rsid w:val="00415F9F"/>
    <w:rsid w:val="004229C7"/>
    <w:rsid w:val="00425B8B"/>
    <w:rsid w:val="004311AA"/>
    <w:rsid w:val="00432419"/>
    <w:rsid w:val="00432785"/>
    <w:rsid w:val="0043580D"/>
    <w:rsid w:val="00441339"/>
    <w:rsid w:val="004425B1"/>
    <w:rsid w:val="004458A1"/>
    <w:rsid w:val="00446BA6"/>
    <w:rsid w:val="00447B15"/>
    <w:rsid w:val="00450CD8"/>
    <w:rsid w:val="00454694"/>
    <w:rsid w:val="00461425"/>
    <w:rsid w:val="00467381"/>
    <w:rsid w:val="00467FCF"/>
    <w:rsid w:val="0047538A"/>
    <w:rsid w:val="0047574D"/>
    <w:rsid w:val="00476401"/>
    <w:rsid w:val="0048782B"/>
    <w:rsid w:val="00491110"/>
    <w:rsid w:val="004938F7"/>
    <w:rsid w:val="00494FBD"/>
    <w:rsid w:val="004A00DA"/>
    <w:rsid w:val="004A0BB1"/>
    <w:rsid w:val="004A3F5D"/>
    <w:rsid w:val="004A5EF5"/>
    <w:rsid w:val="004A736B"/>
    <w:rsid w:val="004B5A70"/>
    <w:rsid w:val="004C04F4"/>
    <w:rsid w:val="004C649D"/>
    <w:rsid w:val="004D18F4"/>
    <w:rsid w:val="004D199D"/>
    <w:rsid w:val="004D39F1"/>
    <w:rsid w:val="004D44E3"/>
    <w:rsid w:val="004D6951"/>
    <w:rsid w:val="004E0CD6"/>
    <w:rsid w:val="004E0DAE"/>
    <w:rsid w:val="004E214E"/>
    <w:rsid w:val="004E7C89"/>
    <w:rsid w:val="004F5F32"/>
    <w:rsid w:val="00500B67"/>
    <w:rsid w:val="0051307B"/>
    <w:rsid w:val="00516813"/>
    <w:rsid w:val="0052014A"/>
    <w:rsid w:val="0052088F"/>
    <w:rsid w:val="00522D62"/>
    <w:rsid w:val="00531A28"/>
    <w:rsid w:val="00534B5F"/>
    <w:rsid w:val="00535E91"/>
    <w:rsid w:val="00540826"/>
    <w:rsid w:val="00541FE8"/>
    <w:rsid w:val="0054372D"/>
    <w:rsid w:val="00545464"/>
    <w:rsid w:val="005457CF"/>
    <w:rsid w:val="00547508"/>
    <w:rsid w:val="005511B2"/>
    <w:rsid w:val="00554779"/>
    <w:rsid w:val="00555177"/>
    <w:rsid w:val="00555B24"/>
    <w:rsid w:val="00557282"/>
    <w:rsid w:val="0055762A"/>
    <w:rsid w:val="0056059A"/>
    <w:rsid w:val="005637A3"/>
    <w:rsid w:val="005660FF"/>
    <w:rsid w:val="00571974"/>
    <w:rsid w:val="00571AF0"/>
    <w:rsid w:val="00575AD1"/>
    <w:rsid w:val="00577FFA"/>
    <w:rsid w:val="00581ED1"/>
    <w:rsid w:val="005846DA"/>
    <w:rsid w:val="005852FE"/>
    <w:rsid w:val="005876E5"/>
    <w:rsid w:val="00590745"/>
    <w:rsid w:val="00593D7D"/>
    <w:rsid w:val="0059440A"/>
    <w:rsid w:val="00595A86"/>
    <w:rsid w:val="00595BC0"/>
    <w:rsid w:val="005B2933"/>
    <w:rsid w:val="005B540A"/>
    <w:rsid w:val="005C68C7"/>
    <w:rsid w:val="005D0CE2"/>
    <w:rsid w:val="005D311F"/>
    <w:rsid w:val="005E4177"/>
    <w:rsid w:val="005E60E5"/>
    <w:rsid w:val="005E6CBA"/>
    <w:rsid w:val="005F2A18"/>
    <w:rsid w:val="005F3A63"/>
    <w:rsid w:val="005F4175"/>
    <w:rsid w:val="005F4966"/>
    <w:rsid w:val="005F7A09"/>
    <w:rsid w:val="00600282"/>
    <w:rsid w:val="006004C2"/>
    <w:rsid w:val="0060199C"/>
    <w:rsid w:val="00613963"/>
    <w:rsid w:val="0061467B"/>
    <w:rsid w:val="00652003"/>
    <w:rsid w:val="006545E1"/>
    <w:rsid w:val="0066197C"/>
    <w:rsid w:val="00665FB0"/>
    <w:rsid w:val="00666029"/>
    <w:rsid w:val="006661AC"/>
    <w:rsid w:val="006664BF"/>
    <w:rsid w:val="00672640"/>
    <w:rsid w:val="00673032"/>
    <w:rsid w:val="00674EDA"/>
    <w:rsid w:val="00675D91"/>
    <w:rsid w:val="00677B43"/>
    <w:rsid w:val="00682EE1"/>
    <w:rsid w:val="006847BD"/>
    <w:rsid w:val="00685BAB"/>
    <w:rsid w:val="006948E9"/>
    <w:rsid w:val="00696B9B"/>
    <w:rsid w:val="006A4C41"/>
    <w:rsid w:val="006B2738"/>
    <w:rsid w:val="006B2A43"/>
    <w:rsid w:val="006B7356"/>
    <w:rsid w:val="006C0B8D"/>
    <w:rsid w:val="006C1C3F"/>
    <w:rsid w:val="006C2159"/>
    <w:rsid w:val="006C268D"/>
    <w:rsid w:val="006C4B0E"/>
    <w:rsid w:val="006C7E59"/>
    <w:rsid w:val="006D1602"/>
    <w:rsid w:val="006D3948"/>
    <w:rsid w:val="006D4F65"/>
    <w:rsid w:val="006D51B7"/>
    <w:rsid w:val="006E2F63"/>
    <w:rsid w:val="006E51FA"/>
    <w:rsid w:val="006E662F"/>
    <w:rsid w:val="006E687B"/>
    <w:rsid w:val="006F28E2"/>
    <w:rsid w:val="006F3253"/>
    <w:rsid w:val="006F70C9"/>
    <w:rsid w:val="00700656"/>
    <w:rsid w:val="007128FE"/>
    <w:rsid w:val="00714C2F"/>
    <w:rsid w:val="00715046"/>
    <w:rsid w:val="0071539D"/>
    <w:rsid w:val="007173ED"/>
    <w:rsid w:val="00717DFD"/>
    <w:rsid w:val="00717F35"/>
    <w:rsid w:val="00725E88"/>
    <w:rsid w:val="007309A5"/>
    <w:rsid w:val="00733D1C"/>
    <w:rsid w:val="00734208"/>
    <w:rsid w:val="00736AE6"/>
    <w:rsid w:val="0074137B"/>
    <w:rsid w:val="00743902"/>
    <w:rsid w:val="00744A13"/>
    <w:rsid w:val="007451A8"/>
    <w:rsid w:val="00747846"/>
    <w:rsid w:val="0076017E"/>
    <w:rsid w:val="0076162B"/>
    <w:rsid w:val="0076232D"/>
    <w:rsid w:val="00762D3F"/>
    <w:rsid w:val="0076656C"/>
    <w:rsid w:val="0076745B"/>
    <w:rsid w:val="007719BF"/>
    <w:rsid w:val="00780C78"/>
    <w:rsid w:val="00784E3E"/>
    <w:rsid w:val="00784FC8"/>
    <w:rsid w:val="007859E7"/>
    <w:rsid w:val="0078663F"/>
    <w:rsid w:val="00786BFE"/>
    <w:rsid w:val="007874E3"/>
    <w:rsid w:val="007905B5"/>
    <w:rsid w:val="0079181D"/>
    <w:rsid w:val="00795B36"/>
    <w:rsid w:val="00795BF1"/>
    <w:rsid w:val="007A14B2"/>
    <w:rsid w:val="007A4B0B"/>
    <w:rsid w:val="007A5A2D"/>
    <w:rsid w:val="007B1588"/>
    <w:rsid w:val="007B3DE6"/>
    <w:rsid w:val="007B4F7A"/>
    <w:rsid w:val="007B6A6E"/>
    <w:rsid w:val="007B6ABF"/>
    <w:rsid w:val="007C1C75"/>
    <w:rsid w:val="007D0F89"/>
    <w:rsid w:val="007E6BA7"/>
    <w:rsid w:val="007F1BF2"/>
    <w:rsid w:val="007F248F"/>
    <w:rsid w:val="007F5422"/>
    <w:rsid w:val="00800E5D"/>
    <w:rsid w:val="0080280E"/>
    <w:rsid w:val="00803979"/>
    <w:rsid w:val="00805E12"/>
    <w:rsid w:val="0080651B"/>
    <w:rsid w:val="00806ECF"/>
    <w:rsid w:val="008201F8"/>
    <w:rsid w:val="008240B0"/>
    <w:rsid w:val="008307EE"/>
    <w:rsid w:val="00841D22"/>
    <w:rsid w:val="00842960"/>
    <w:rsid w:val="00844A2A"/>
    <w:rsid w:val="00844F8C"/>
    <w:rsid w:val="0085325E"/>
    <w:rsid w:val="008570FD"/>
    <w:rsid w:val="00857BAB"/>
    <w:rsid w:val="00860F82"/>
    <w:rsid w:val="00874DED"/>
    <w:rsid w:val="0087614A"/>
    <w:rsid w:val="00876CD6"/>
    <w:rsid w:val="00881363"/>
    <w:rsid w:val="008825DB"/>
    <w:rsid w:val="00884B2A"/>
    <w:rsid w:val="008867C0"/>
    <w:rsid w:val="008877D3"/>
    <w:rsid w:val="00893AA1"/>
    <w:rsid w:val="008A26A9"/>
    <w:rsid w:val="008A2A22"/>
    <w:rsid w:val="008A4121"/>
    <w:rsid w:val="008A43CB"/>
    <w:rsid w:val="008A579B"/>
    <w:rsid w:val="008A762F"/>
    <w:rsid w:val="008B32AC"/>
    <w:rsid w:val="008B3609"/>
    <w:rsid w:val="008B450B"/>
    <w:rsid w:val="008B4E36"/>
    <w:rsid w:val="008B5346"/>
    <w:rsid w:val="008B6899"/>
    <w:rsid w:val="008C213F"/>
    <w:rsid w:val="008C2DE6"/>
    <w:rsid w:val="008C38C8"/>
    <w:rsid w:val="008C6AFF"/>
    <w:rsid w:val="008C6E67"/>
    <w:rsid w:val="008C7244"/>
    <w:rsid w:val="008E20B9"/>
    <w:rsid w:val="008E40A0"/>
    <w:rsid w:val="008E5CA3"/>
    <w:rsid w:val="008F5A0F"/>
    <w:rsid w:val="00903F9E"/>
    <w:rsid w:val="009104D8"/>
    <w:rsid w:val="00910CB8"/>
    <w:rsid w:val="009116B6"/>
    <w:rsid w:val="009128C1"/>
    <w:rsid w:val="009143CF"/>
    <w:rsid w:val="0091658C"/>
    <w:rsid w:val="00916EC5"/>
    <w:rsid w:val="00920126"/>
    <w:rsid w:val="00922C9B"/>
    <w:rsid w:val="00925B07"/>
    <w:rsid w:val="00927DF2"/>
    <w:rsid w:val="00930324"/>
    <w:rsid w:val="00932EB8"/>
    <w:rsid w:val="009410FA"/>
    <w:rsid w:val="00941A2B"/>
    <w:rsid w:val="00945BFB"/>
    <w:rsid w:val="00946338"/>
    <w:rsid w:val="00950A16"/>
    <w:rsid w:val="00956117"/>
    <w:rsid w:val="00956CD7"/>
    <w:rsid w:val="00956E34"/>
    <w:rsid w:val="00962ACB"/>
    <w:rsid w:val="0096428F"/>
    <w:rsid w:val="009674CF"/>
    <w:rsid w:val="009676E3"/>
    <w:rsid w:val="00973E1B"/>
    <w:rsid w:val="00981438"/>
    <w:rsid w:val="00981F1D"/>
    <w:rsid w:val="00992D76"/>
    <w:rsid w:val="009B0A57"/>
    <w:rsid w:val="009B41D7"/>
    <w:rsid w:val="009B515D"/>
    <w:rsid w:val="009C0554"/>
    <w:rsid w:val="009C7923"/>
    <w:rsid w:val="009D017A"/>
    <w:rsid w:val="009D1A0B"/>
    <w:rsid w:val="009D2966"/>
    <w:rsid w:val="009D6905"/>
    <w:rsid w:val="009E7846"/>
    <w:rsid w:val="009F0380"/>
    <w:rsid w:val="009F06ED"/>
    <w:rsid w:val="009F5ADA"/>
    <w:rsid w:val="00A1098F"/>
    <w:rsid w:val="00A24713"/>
    <w:rsid w:val="00A24A65"/>
    <w:rsid w:val="00A27C21"/>
    <w:rsid w:val="00A27DD0"/>
    <w:rsid w:val="00A3236F"/>
    <w:rsid w:val="00A330AC"/>
    <w:rsid w:val="00A34DA7"/>
    <w:rsid w:val="00A43450"/>
    <w:rsid w:val="00A45178"/>
    <w:rsid w:val="00A468C8"/>
    <w:rsid w:val="00A52ECB"/>
    <w:rsid w:val="00A5716C"/>
    <w:rsid w:val="00A6017A"/>
    <w:rsid w:val="00A61D31"/>
    <w:rsid w:val="00A628B9"/>
    <w:rsid w:val="00A62CD3"/>
    <w:rsid w:val="00A6646D"/>
    <w:rsid w:val="00A843D3"/>
    <w:rsid w:val="00A876D5"/>
    <w:rsid w:val="00A904EF"/>
    <w:rsid w:val="00A91B02"/>
    <w:rsid w:val="00A97193"/>
    <w:rsid w:val="00AA329D"/>
    <w:rsid w:val="00AB3C47"/>
    <w:rsid w:val="00AC01B2"/>
    <w:rsid w:val="00AC0800"/>
    <w:rsid w:val="00AC18D2"/>
    <w:rsid w:val="00AC24F8"/>
    <w:rsid w:val="00AC29E7"/>
    <w:rsid w:val="00AC5C4D"/>
    <w:rsid w:val="00AC72F5"/>
    <w:rsid w:val="00AC7659"/>
    <w:rsid w:val="00AD0432"/>
    <w:rsid w:val="00AD5F0A"/>
    <w:rsid w:val="00AD5FD2"/>
    <w:rsid w:val="00AE1339"/>
    <w:rsid w:val="00AE2043"/>
    <w:rsid w:val="00AE6904"/>
    <w:rsid w:val="00AE7DB1"/>
    <w:rsid w:val="00AF4136"/>
    <w:rsid w:val="00B0050B"/>
    <w:rsid w:val="00B0095C"/>
    <w:rsid w:val="00B014C8"/>
    <w:rsid w:val="00B03377"/>
    <w:rsid w:val="00B05582"/>
    <w:rsid w:val="00B07E18"/>
    <w:rsid w:val="00B11E1F"/>
    <w:rsid w:val="00B14D9C"/>
    <w:rsid w:val="00B1732A"/>
    <w:rsid w:val="00B17630"/>
    <w:rsid w:val="00B21B7B"/>
    <w:rsid w:val="00B23BB5"/>
    <w:rsid w:val="00B33909"/>
    <w:rsid w:val="00B401BD"/>
    <w:rsid w:val="00B421BB"/>
    <w:rsid w:val="00B42951"/>
    <w:rsid w:val="00B4394B"/>
    <w:rsid w:val="00B517CE"/>
    <w:rsid w:val="00B538C0"/>
    <w:rsid w:val="00B53AD7"/>
    <w:rsid w:val="00B54403"/>
    <w:rsid w:val="00B5517D"/>
    <w:rsid w:val="00B65D46"/>
    <w:rsid w:val="00B67435"/>
    <w:rsid w:val="00B67BE3"/>
    <w:rsid w:val="00B77F23"/>
    <w:rsid w:val="00B8053B"/>
    <w:rsid w:val="00B83E72"/>
    <w:rsid w:val="00B85320"/>
    <w:rsid w:val="00B86B2E"/>
    <w:rsid w:val="00B90499"/>
    <w:rsid w:val="00B917AA"/>
    <w:rsid w:val="00B92647"/>
    <w:rsid w:val="00B9473A"/>
    <w:rsid w:val="00B954DC"/>
    <w:rsid w:val="00BA003A"/>
    <w:rsid w:val="00BA10F0"/>
    <w:rsid w:val="00BA6447"/>
    <w:rsid w:val="00BB34C3"/>
    <w:rsid w:val="00BB662A"/>
    <w:rsid w:val="00BB691A"/>
    <w:rsid w:val="00BC0472"/>
    <w:rsid w:val="00BC1C13"/>
    <w:rsid w:val="00BC243C"/>
    <w:rsid w:val="00BC2AB0"/>
    <w:rsid w:val="00BC3F77"/>
    <w:rsid w:val="00BC4B71"/>
    <w:rsid w:val="00BC4CC6"/>
    <w:rsid w:val="00BD10EE"/>
    <w:rsid w:val="00BD2046"/>
    <w:rsid w:val="00BD25AF"/>
    <w:rsid w:val="00BD2E65"/>
    <w:rsid w:val="00BD3848"/>
    <w:rsid w:val="00BD7619"/>
    <w:rsid w:val="00BE41FA"/>
    <w:rsid w:val="00BE4533"/>
    <w:rsid w:val="00BF1C2B"/>
    <w:rsid w:val="00BF3E34"/>
    <w:rsid w:val="00BF5130"/>
    <w:rsid w:val="00BF6BB3"/>
    <w:rsid w:val="00BF7E9F"/>
    <w:rsid w:val="00C16742"/>
    <w:rsid w:val="00C32360"/>
    <w:rsid w:val="00C36655"/>
    <w:rsid w:val="00C429D3"/>
    <w:rsid w:val="00C437F2"/>
    <w:rsid w:val="00C46A30"/>
    <w:rsid w:val="00C46B7A"/>
    <w:rsid w:val="00C53D20"/>
    <w:rsid w:val="00C55CA9"/>
    <w:rsid w:val="00C55CB6"/>
    <w:rsid w:val="00C55DEA"/>
    <w:rsid w:val="00C601E1"/>
    <w:rsid w:val="00C62F72"/>
    <w:rsid w:val="00C73B3E"/>
    <w:rsid w:val="00C76432"/>
    <w:rsid w:val="00C766BC"/>
    <w:rsid w:val="00C76E95"/>
    <w:rsid w:val="00C84BB1"/>
    <w:rsid w:val="00C9076F"/>
    <w:rsid w:val="00C92395"/>
    <w:rsid w:val="00C925E2"/>
    <w:rsid w:val="00C92BE9"/>
    <w:rsid w:val="00C92D87"/>
    <w:rsid w:val="00C9356C"/>
    <w:rsid w:val="00C94388"/>
    <w:rsid w:val="00C97BB0"/>
    <w:rsid w:val="00CA02AA"/>
    <w:rsid w:val="00CA1CC5"/>
    <w:rsid w:val="00CA2C60"/>
    <w:rsid w:val="00CA43A3"/>
    <w:rsid w:val="00CA70CD"/>
    <w:rsid w:val="00CB231D"/>
    <w:rsid w:val="00CB6C4F"/>
    <w:rsid w:val="00CC0C2E"/>
    <w:rsid w:val="00CC168F"/>
    <w:rsid w:val="00CC2099"/>
    <w:rsid w:val="00CC46BA"/>
    <w:rsid w:val="00CD14C8"/>
    <w:rsid w:val="00CD6F25"/>
    <w:rsid w:val="00CE06E8"/>
    <w:rsid w:val="00CF0395"/>
    <w:rsid w:val="00CF1D27"/>
    <w:rsid w:val="00CF21C9"/>
    <w:rsid w:val="00CF22C1"/>
    <w:rsid w:val="00D0500D"/>
    <w:rsid w:val="00D0573A"/>
    <w:rsid w:val="00D21956"/>
    <w:rsid w:val="00D249E3"/>
    <w:rsid w:val="00D24EBF"/>
    <w:rsid w:val="00D26108"/>
    <w:rsid w:val="00D31636"/>
    <w:rsid w:val="00D3241E"/>
    <w:rsid w:val="00D341AA"/>
    <w:rsid w:val="00D43817"/>
    <w:rsid w:val="00D51911"/>
    <w:rsid w:val="00D569A6"/>
    <w:rsid w:val="00D56C7E"/>
    <w:rsid w:val="00D64419"/>
    <w:rsid w:val="00D818CE"/>
    <w:rsid w:val="00D82131"/>
    <w:rsid w:val="00D8213A"/>
    <w:rsid w:val="00D879C6"/>
    <w:rsid w:val="00D905F2"/>
    <w:rsid w:val="00D91203"/>
    <w:rsid w:val="00D91676"/>
    <w:rsid w:val="00D925E3"/>
    <w:rsid w:val="00D9508E"/>
    <w:rsid w:val="00DA1A1A"/>
    <w:rsid w:val="00DA40E5"/>
    <w:rsid w:val="00DA5DD2"/>
    <w:rsid w:val="00DA6253"/>
    <w:rsid w:val="00DA7FFC"/>
    <w:rsid w:val="00DB0C9C"/>
    <w:rsid w:val="00DB1268"/>
    <w:rsid w:val="00DC2294"/>
    <w:rsid w:val="00DC25FB"/>
    <w:rsid w:val="00DC2FE7"/>
    <w:rsid w:val="00DC576E"/>
    <w:rsid w:val="00DD27DC"/>
    <w:rsid w:val="00DD597C"/>
    <w:rsid w:val="00DE08F7"/>
    <w:rsid w:val="00DE0E06"/>
    <w:rsid w:val="00DE635B"/>
    <w:rsid w:val="00DF19E1"/>
    <w:rsid w:val="00DF381F"/>
    <w:rsid w:val="00DF4662"/>
    <w:rsid w:val="00DF7733"/>
    <w:rsid w:val="00E0113A"/>
    <w:rsid w:val="00E10AC0"/>
    <w:rsid w:val="00E10DBE"/>
    <w:rsid w:val="00E10E6B"/>
    <w:rsid w:val="00E12364"/>
    <w:rsid w:val="00E30E89"/>
    <w:rsid w:val="00E32018"/>
    <w:rsid w:val="00E437C6"/>
    <w:rsid w:val="00E4597F"/>
    <w:rsid w:val="00E4598F"/>
    <w:rsid w:val="00E51717"/>
    <w:rsid w:val="00E619AB"/>
    <w:rsid w:val="00E6638A"/>
    <w:rsid w:val="00E66B2D"/>
    <w:rsid w:val="00E66C65"/>
    <w:rsid w:val="00E72AA6"/>
    <w:rsid w:val="00E763F3"/>
    <w:rsid w:val="00E83746"/>
    <w:rsid w:val="00E85E31"/>
    <w:rsid w:val="00E86B93"/>
    <w:rsid w:val="00E86EC4"/>
    <w:rsid w:val="00E90C6F"/>
    <w:rsid w:val="00E91297"/>
    <w:rsid w:val="00EA4A36"/>
    <w:rsid w:val="00EA4BF9"/>
    <w:rsid w:val="00EB0F99"/>
    <w:rsid w:val="00EB126F"/>
    <w:rsid w:val="00EB468D"/>
    <w:rsid w:val="00EB4BA2"/>
    <w:rsid w:val="00EB6AA0"/>
    <w:rsid w:val="00EC0A2D"/>
    <w:rsid w:val="00EC16E5"/>
    <w:rsid w:val="00EC32C1"/>
    <w:rsid w:val="00EC3C35"/>
    <w:rsid w:val="00EC4338"/>
    <w:rsid w:val="00EC59D4"/>
    <w:rsid w:val="00ED0712"/>
    <w:rsid w:val="00ED2777"/>
    <w:rsid w:val="00ED4082"/>
    <w:rsid w:val="00ED470D"/>
    <w:rsid w:val="00ED68B2"/>
    <w:rsid w:val="00EE14D0"/>
    <w:rsid w:val="00EE6E45"/>
    <w:rsid w:val="00EE7DBE"/>
    <w:rsid w:val="00EF2ECB"/>
    <w:rsid w:val="00EF54BF"/>
    <w:rsid w:val="00F00C37"/>
    <w:rsid w:val="00F076C9"/>
    <w:rsid w:val="00F1252C"/>
    <w:rsid w:val="00F12690"/>
    <w:rsid w:val="00F213F1"/>
    <w:rsid w:val="00F23428"/>
    <w:rsid w:val="00F24A20"/>
    <w:rsid w:val="00F256E2"/>
    <w:rsid w:val="00F278EB"/>
    <w:rsid w:val="00F323EB"/>
    <w:rsid w:val="00F42E70"/>
    <w:rsid w:val="00F501B0"/>
    <w:rsid w:val="00F5042C"/>
    <w:rsid w:val="00F5696E"/>
    <w:rsid w:val="00F635C9"/>
    <w:rsid w:val="00F6612D"/>
    <w:rsid w:val="00F67338"/>
    <w:rsid w:val="00F77937"/>
    <w:rsid w:val="00F81E7A"/>
    <w:rsid w:val="00F830B2"/>
    <w:rsid w:val="00F854B5"/>
    <w:rsid w:val="00F8669C"/>
    <w:rsid w:val="00F92922"/>
    <w:rsid w:val="00F94331"/>
    <w:rsid w:val="00F94BEA"/>
    <w:rsid w:val="00F94FCE"/>
    <w:rsid w:val="00F97ADA"/>
    <w:rsid w:val="00FA0DD4"/>
    <w:rsid w:val="00FA2092"/>
    <w:rsid w:val="00FA2E92"/>
    <w:rsid w:val="00FA5617"/>
    <w:rsid w:val="00FA5D23"/>
    <w:rsid w:val="00FB2814"/>
    <w:rsid w:val="00FB4DFB"/>
    <w:rsid w:val="00FB51C2"/>
    <w:rsid w:val="00FB5D2B"/>
    <w:rsid w:val="00FC0841"/>
    <w:rsid w:val="00FC41C5"/>
    <w:rsid w:val="00FC56B0"/>
    <w:rsid w:val="00FD18C7"/>
    <w:rsid w:val="00FD6A7A"/>
    <w:rsid w:val="00FD7832"/>
    <w:rsid w:val="00FE03FF"/>
    <w:rsid w:val="00FF3176"/>
    <w:rsid w:val="00FF4772"/>
    <w:rsid w:val="00FF5127"/>
    <w:rsid w:val="00FF5BD6"/>
    <w:rsid w:val="17C4A839"/>
    <w:rsid w:val="220BAEC1"/>
    <w:rsid w:val="2D5D092A"/>
    <w:rsid w:val="381967A0"/>
    <w:rsid w:val="3F32AC8B"/>
    <w:rsid w:val="49CEF218"/>
    <w:rsid w:val="73246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77805"/>
  <w15:chartTrackingRefBased/>
  <w15:docId w15:val="{9895FD09-BBEA-485E-8377-1A06A95D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AD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0B1C51"/>
    <w:pPr>
      <w:ind w:left="105"/>
      <w:outlineLvl w:val="0"/>
    </w:pPr>
    <w:rPr>
      <w:b/>
      <w:bCs/>
      <w:sz w:val="24"/>
      <w:szCs w:val="24"/>
    </w:rPr>
  </w:style>
  <w:style w:type="paragraph" w:styleId="Heading2">
    <w:name w:val="heading 2"/>
    <w:basedOn w:val="Normal"/>
    <w:next w:val="Normal"/>
    <w:link w:val="Heading2Char"/>
    <w:uiPriority w:val="9"/>
    <w:semiHidden/>
    <w:unhideWhenUsed/>
    <w:qFormat/>
    <w:rsid w:val="000B1C5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51"/>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0B1C51"/>
    <w:rPr>
      <w:sz w:val="24"/>
      <w:szCs w:val="24"/>
    </w:rPr>
  </w:style>
  <w:style w:type="character" w:customStyle="1" w:styleId="BodyTextChar">
    <w:name w:val="Body Text Char"/>
    <w:basedOn w:val="DefaultParagraphFont"/>
    <w:link w:val="BodyText"/>
    <w:uiPriority w:val="1"/>
    <w:rsid w:val="000B1C51"/>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0B1C51"/>
    <w:pPr>
      <w:ind w:left="321" w:right="316"/>
      <w:jc w:val="center"/>
    </w:pPr>
    <w:rPr>
      <w:b/>
      <w:bCs/>
      <w:sz w:val="28"/>
      <w:szCs w:val="28"/>
    </w:rPr>
  </w:style>
  <w:style w:type="character" w:customStyle="1" w:styleId="TitleChar">
    <w:name w:val="Title Char"/>
    <w:basedOn w:val="DefaultParagraphFont"/>
    <w:link w:val="Title"/>
    <w:uiPriority w:val="10"/>
    <w:rsid w:val="000B1C51"/>
    <w:rPr>
      <w:rFonts w:ascii="Times New Roman" w:eastAsia="Times New Roman" w:hAnsi="Times New Roman" w:cs="Times New Roman"/>
      <w:b/>
      <w:bCs/>
      <w:kern w:val="0"/>
      <w:sz w:val="28"/>
      <w:szCs w:val="28"/>
      <w14:ligatures w14:val="none"/>
    </w:rPr>
  </w:style>
  <w:style w:type="character" w:styleId="CommentReference">
    <w:name w:val="annotation reference"/>
    <w:basedOn w:val="DefaultParagraphFont"/>
    <w:uiPriority w:val="99"/>
    <w:unhideWhenUsed/>
    <w:rsid w:val="000B1C51"/>
    <w:rPr>
      <w:sz w:val="16"/>
      <w:szCs w:val="16"/>
    </w:rPr>
  </w:style>
  <w:style w:type="paragraph" w:styleId="CommentText">
    <w:name w:val="annotation text"/>
    <w:basedOn w:val="Normal"/>
    <w:link w:val="CommentTextChar"/>
    <w:uiPriority w:val="99"/>
    <w:unhideWhenUsed/>
    <w:rsid w:val="000B1C51"/>
    <w:rPr>
      <w:sz w:val="20"/>
      <w:szCs w:val="20"/>
    </w:rPr>
  </w:style>
  <w:style w:type="character" w:customStyle="1" w:styleId="CommentTextChar">
    <w:name w:val="Comment Text Char"/>
    <w:basedOn w:val="DefaultParagraphFont"/>
    <w:link w:val="CommentText"/>
    <w:uiPriority w:val="99"/>
    <w:rsid w:val="000B1C51"/>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B1C51"/>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0B1C51"/>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1"/>
    <w:qFormat/>
    <w:rsid w:val="000B1C51"/>
    <w:pPr>
      <w:ind w:left="472" w:hanging="368"/>
    </w:pPr>
  </w:style>
  <w:style w:type="paragraph" w:customStyle="1" w:styleId="TableParagraph">
    <w:name w:val="Table Paragraph"/>
    <w:basedOn w:val="Normal"/>
    <w:uiPriority w:val="1"/>
    <w:qFormat/>
    <w:rsid w:val="000B1C51"/>
    <w:pPr>
      <w:spacing w:before="224"/>
    </w:pPr>
  </w:style>
  <w:style w:type="paragraph" w:styleId="CommentSubject">
    <w:name w:val="annotation subject"/>
    <w:basedOn w:val="CommentText"/>
    <w:next w:val="CommentText"/>
    <w:link w:val="CommentSubjectChar"/>
    <w:uiPriority w:val="99"/>
    <w:semiHidden/>
    <w:unhideWhenUsed/>
    <w:rsid w:val="000B1C51"/>
    <w:rPr>
      <w:b/>
      <w:bCs/>
    </w:rPr>
  </w:style>
  <w:style w:type="character" w:customStyle="1" w:styleId="CommentSubjectChar">
    <w:name w:val="Comment Subject Char"/>
    <w:basedOn w:val="CommentTextChar"/>
    <w:link w:val="CommentSubject"/>
    <w:uiPriority w:val="99"/>
    <w:semiHidden/>
    <w:rsid w:val="000B1C5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B1C51"/>
    <w:pPr>
      <w:spacing w:after="0" w:line="240" w:lineRule="auto"/>
    </w:pPr>
    <w:rPr>
      <w:rFonts w:ascii="Times New Roman" w:eastAsia="Times New Roman" w:hAnsi="Times New Roman" w:cs="Times New Roman"/>
      <w:kern w:val="0"/>
      <w14:ligatures w14:val="none"/>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C36655"/>
    <w:rPr>
      <w:rFonts w:asciiTheme="minorHAnsi" w:eastAsiaTheme="minorHAnsi" w:hAnsiTheme="minorHAnsi" w:cstheme="minorBidi"/>
      <w:sz w:val="20"/>
      <w:szCs w:val="20"/>
    </w:rPr>
  </w:style>
  <w:style w:type="character" w:customStyle="1" w:styleId="FootnoteTextChar">
    <w:name w:val="Footnote Text Char"/>
    <w:aliases w:val="F1 Char,FT Char,Footnote Text AG Char,Footnote Text Char Char Char,Footnote Text Char1 Char Char Char,Footnote ak Char,Footnotes Char,SD Footnote Text Char,Style 14 Char,fn - no space Char,fn Char,fnW Char,footnote text Char,ft Char"/>
    <w:basedOn w:val="DefaultParagraphFont"/>
    <w:link w:val="FootnoteText"/>
    <w:uiPriority w:val="99"/>
    <w:rsid w:val="00C36655"/>
    <w:rPr>
      <w:kern w:val="0"/>
      <w:sz w:val="20"/>
      <w:szCs w:val="20"/>
      <w14:ligatures w14:val="non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C36655"/>
    <w:rPr>
      <w:vertAlign w:val="superscript"/>
    </w:rPr>
  </w:style>
  <w:style w:type="character" w:customStyle="1" w:styleId="cf01">
    <w:name w:val="cf01"/>
    <w:basedOn w:val="DefaultParagraphFont"/>
    <w:rsid w:val="0066197C"/>
    <w:rPr>
      <w:rFonts w:ascii="Segoe UI" w:hAnsi="Segoe UI" w:cs="Segoe UI" w:hint="default"/>
      <w:color w:val="1F3864"/>
      <w:sz w:val="18"/>
      <w:szCs w:val="18"/>
    </w:rPr>
  </w:style>
  <w:style w:type="paragraph" w:customStyle="1" w:styleId="pf0">
    <w:name w:val="pf0"/>
    <w:basedOn w:val="Normal"/>
    <w:rsid w:val="0066197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682EE1"/>
    <w:pPr>
      <w:tabs>
        <w:tab w:val="center" w:pos="4680"/>
        <w:tab w:val="right" w:pos="9360"/>
      </w:tabs>
    </w:pPr>
  </w:style>
  <w:style w:type="character" w:customStyle="1" w:styleId="HeaderChar">
    <w:name w:val="Header Char"/>
    <w:basedOn w:val="DefaultParagraphFont"/>
    <w:link w:val="Header"/>
    <w:uiPriority w:val="99"/>
    <w:rsid w:val="00682EE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82EE1"/>
    <w:pPr>
      <w:tabs>
        <w:tab w:val="center" w:pos="4680"/>
        <w:tab w:val="right" w:pos="9360"/>
      </w:tabs>
    </w:pPr>
  </w:style>
  <w:style w:type="character" w:customStyle="1" w:styleId="FooterChar">
    <w:name w:val="Footer Char"/>
    <w:basedOn w:val="DefaultParagraphFont"/>
    <w:link w:val="Footer"/>
    <w:uiPriority w:val="99"/>
    <w:rsid w:val="00682EE1"/>
    <w:rPr>
      <w:rFonts w:ascii="Times New Roman" w:eastAsia="Times New Roman" w:hAnsi="Times New Roman" w:cs="Times New Roman"/>
      <w:kern w:val="0"/>
      <w14:ligatures w14:val="none"/>
    </w:rPr>
  </w:style>
  <w:style w:type="table" w:styleId="TableGrid">
    <w:name w:val="Table Grid"/>
    <w:basedOn w:val="TableNormal"/>
    <w:uiPriority w:val="39"/>
    <w:rsid w:val="00C1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D3F"/>
    <w:rPr>
      <w:color w:val="0563C1" w:themeColor="hyperlink"/>
      <w:u w:val="single"/>
    </w:rPr>
  </w:style>
  <w:style w:type="character" w:styleId="UnresolvedMention">
    <w:name w:val="Unresolved Mention"/>
    <w:basedOn w:val="DefaultParagraphFont"/>
    <w:uiPriority w:val="99"/>
    <w:semiHidden/>
    <w:unhideWhenUsed/>
    <w:rsid w:val="00067D3F"/>
    <w:rPr>
      <w:color w:val="605E5C"/>
      <w:shd w:val="clear" w:color="auto" w:fill="E1DFDD"/>
    </w:rPr>
  </w:style>
  <w:style w:type="character" w:styleId="FollowedHyperlink">
    <w:name w:val="FollowedHyperlink"/>
    <w:basedOn w:val="DefaultParagraphFont"/>
    <w:uiPriority w:val="99"/>
    <w:semiHidden/>
    <w:unhideWhenUsed/>
    <w:rsid w:val="00067D3F"/>
    <w:rPr>
      <w:color w:val="954F72" w:themeColor="followedHyperlink"/>
      <w:u w:val="single"/>
    </w:rPr>
  </w:style>
  <w:style w:type="character" w:customStyle="1" w:styleId="ui-provider">
    <w:name w:val="ui-provider"/>
    <w:basedOn w:val="DefaultParagraphFont"/>
    <w:rsid w:val="00CC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4" ma:contentTypeDescription="Create a new document." ma:contentTypeScope="" ma:versionID="296237e268a310a20519245c83962429">
  <xsd:schema xmlns:xsd="http://www.w3.org/2001/XMLSchema" xmlns:xs="http://www.w3.org/2001/XMLSchema" xmlns:p="http://schemas.microsoft.com/office/2006/metadata/properties" xmlns:ns3="d02b7574-298d-4180-bdb3-baf93262dc8f" targetNamespace="http://schemas.microsoft.com/office/2006/metadata/properties" ma:root="true" ma:fieldsID="26b44a9bcd49e64c993a582787a7d6bd"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9D0E1-69F4-482C-B8C7-E2B69D7EE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1D95E-DD03-436E-A570-4AD5CE97EBBA}">
  <ds:schemaRefs>
    <ds:schemaRef ds:uri="http://schemas.microsoft.com/office/2006/metadata/properties"/>
    <ds:schemaRef ds:uri="http://schemas.microsoft.com/office/infopath/2007/PartnerControls"/>
    <ds:schemaRef ds:uri="d02b7574-298d-4180-bdb3-baf93262dc8f"/>
  </ds:schemaRefs>
</ds:datastoreItem>
</file>

<file path=customXml/itemProps3.xml><?xml version="1.0" encoding="utf-8"?>
<ds:datastoreItem xmlns:ds="http://schemas.openxmlformats.org/officeDocument/2006/customXml" ds:itemID="{10CBC430-BEDA-4F16-AC7D-8182E5F02B60}">
  <ds:schemaRefs>
    <ds:schemaRef ds:uri="http://schemas.openxmlformats.org/officeDocument/2006/bibliography"/>
  </ds:schemaRefs>
</ds:datastoreItem>
</file>

<file path=customXml/itemProps4.xml><?xml version="1.0" encoding="utf-8"?>
<ds:datastoreItem xmlns:ds="http://schemas.openxmlformats.org/officeDocument/2006/customXml" ds:itemID="{613FFAD1-1DDF-4889-B2CB-C0E5AA56D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Hechtman, Liz (CMS/CCIIO)</dc:creator>
  <cp:lastModifiedBy>Hill, Jamaa (CMS/OSORA)</cp:lastModifiedBy>
  <cp:revision>2</cp:revision>
  <dcterms:created xsi:type="dcterms:W3CDTF">2024-08-08T22:39:00Z</dcterms:created>
  <dcterms:modified xsi:type="dcterms:W3CDTF">2024-08-08T22:39:00Z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MediaServiceImageTags">
    <vt:lpwstr/>
  </property>
</Properties>
</file>