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w:t>
      </w:r>
      <w:r w:rsidRPr="004079DC">
        <w:rPr>
          <w:rFonts w:ascii="Times New Roman" w:hAnsi="Times New Roman" w:cs="Times New Roman"/>
          <w:sz w:val="24"/>
          <w:szCs w:val="24"/>
        </w:rPr>
        <w:t>quality of care</w:t>
      </w:r>
      <w:r w:rsidRPr="004079DC">
        <w:rPr>
          <w:rFonts w:ascii="Times New Roman" w:hAnsi="Times New Roman" w:cs="Times New Roman"/>
          <w:sz w:val="24"/>
          <w:szCs w:val="24"/>
        </w:rPr>
        <w:t xml:space="preserv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In order to</w:t>
      </w:r>
      <w:r w:rsidRPr="004079DC">
        <w:rPr>
          <w:rFonts w:ascii="Times New Roman" w:hAnsi="Times New Roman" w:cs="Times New Roman"/>
          <w:bCs/>
          <w:sz w:val="24"/>
          <w:szCs w:val="24"/>
        </w:rPr>
        <w:t xml:space="preserve">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w:t>
      </w:r>
      <w:r w:rsidRPr="004079DC">
        <w:rPr>
          <w:rFonts w:ascii="Times New Roman" w:hAnsi="Times New Roman" w:cs="Times New Roman"/>
          <w:bCs/>
          <w:sz w:val="24"/>
          <w:szCs w:val="24"/>
        </w:rPr>
        <w:t>2012</w:t>
      </w:r>
      <w:r w:rsidRPr="004079DC">
        <w:rPr>
          <w:rFonts w:ascii="Times New Roman" w:hAnsi="Times New Roman" w:cs="Times New Roman"/>
          <w:bCs/>
          <w:sz w:val="24"/>
          <w:szCs w:val="24"/>
        </w:rPr>
        <w:t xml:space="preserve">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t>accounts, and</w:t>
      </w:r>
      <w:r w:rsidRPr="00983E07" w:rsidR="0014194D">
        <w:rPr>
          <w:rFonts w:ascii="Times New Roman" w:hAnsi="Times New Roman"/>
          <w:sz w:val="24"/>
          <w:szCs w:val="24"/>
        </w:rPr>
        <w:t xml:space="preserve">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3093EA48">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 addressed in the CY 202</w:t>
      </w:r>
      <w:r w:rsidR="00BD159D">
        <w:rPr>
          <w:rFonts w:ascii="Times New Roman" w:hAnsi="Times New Roman" w:cs="Times New Roman"/>
          <w:bCs/>
          <w:sz w:val="24"/>
          <w:szCs w:val="24"/>
        </w:rPr>
        <w:t>5</w:t>
      </w:r>
      <w:r w:rsidRPr="004079DC">
        <w:rPr>
          <w:rFonts w:ascii="Times New Roman" w:hAnsi="Times New Roman" w:cs="Times New Roman"/>
          <w:bCs/>
          <w:sz w:val="24"/>
          <w:szCs w:val="24"/>
        </w:rPr>
        <w:t xml:space="preserve"> ESRD PPS </w:t>
      </w:r>
      <w:r w:rsidR="00BD159D">
        <w:rPr>
          <w:rFonts w:ascii="Times New Roman" w:hAnsi="Times New Roman" w:cs="Times New Roman"/>
          <w:bCs/>
          <w:sz w:val="24"/>
          <w:szCs w:val="24"/>
        </w:rPr>
        <w:t>proposed</w:t>
      </w:r>
      <w:r w:rsidRPr="004079DC" w:rsidR="00BD159D">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A45041">
        <w:rPr>
          <w:rFonts w:ascii="Times New Roman" w:hAnsi="Times New Roman" w:cs="Times New Roman"/>
          <w:bCs/>
          <w:sz w:val="24"/>
          <w:szCs w:val="24"/>
        </w:rPr>
        <w:t>7</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472AEB1D">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w:t>
      </w:r>
      <w:r w:rsidR="00DF6A04">
        <w:rPr>
          <w:rFonts w:ascii="Times New Roman" w:hAnsi="Times New Roman" w:cs="Times New Roman"/>
          <w:sz w:val="24"/>
          <w:szCs w:val="24"/>
        </w:rPr>
        <w:t>The burden associated with the</w:t>
      </w:r>
      <w:r w:rsidR="00B737E4">
        <w:rPr>
          <w:rFonts w:ascii="Times New Roman" w:hAnsi="Times New Roman" w:cs="Times New Roman"/>
          <w:sz w:val="24"/>
          <w:szCs w:val="24"/>
        </w:rPr>
        <w:t xml:space="preserve">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 xml:space="preserve">Healthcare Personnel (HCP) reporting measure </w:t>
      </w:r>
      <w:r w:rsidR="00841034">
        <w:rPr>
          <w:rFonts w:ascii="Times New Roman" w:hAnsi="Times New Roman" w:cs="Times New Roman"/>
          <w:sz w:val="24"/>
          <w:szCs w:val="24"/>
        </w:rPr>
        <w:t>that w</w:t>
      </w:r>
      <w:r w:rsidR="0089311B">
        <w:rPr>
          <w:rFonts w:ascii="Times New Roman" w:hAnsi="Times New Roman" w:cs="Times New Roman"/>
          <w:sz w:val="24"/>
          <w:szCs w:val="24"/>
        </w:rPr>
        <w:t>ill</w:t>
      </w:r>
      <w:r w:rsidR="00841034">
        <w:rPr>
          <w:rFonts w:ascii="Times New Roman" w:hAnsi="Times New Roman" w:cs="Times New Roman"/>
          <w:sz w:val="24"/>
          <w:szCs w:val="24"/>
        </w:rPr>
        <w:t xml:space="preserve">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Pr="00C26FC2" w:rsidR="00C26FC2">
        <w:rPr>
          <w:rFonts w:ascii="Times New Roman" w:hAnsi="Times New Roman" w:cs="Times New Roman"/>
          <w:sz w:val="24"/>
          <w:szCs w:val="24"/>
        </w:rPr>
        <w:t xml:space="preserve">is accounted for under OMB control number 0920-1317 </w:t>
      </w:r>
      <w:r w:rsidR="00DF6A04">
        <w:rPr>
          <w:rFonts w:ascii="Times New Roman" w:hAnsi="Times New Roman" w:cs="Times New Roman"/>
          <w:sz w:val="24"/>
          <w:szCs w:val="24"/>
        </w:rPr>
        <w:t>(</w:t>
      </w:r>
      <w:r w:rsidRPr="00C26FC2" w:rsidR="00C26FC2">
        <w:rPr>
          <w:rFonts w:ascii="Times New Roman" w:hAnsi="Times New Roman" w:cs="Times New Roman"/>
          <w:sz w:val="24"/>
          <w:szCs w:val="24"/>
        </w:rPr>
        <w:t>expiration date March 31, 2026)</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6D9E0A42">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DF6A04">
        <w:rPr>
          <w:rFonts w:ascii="Times New Roman" w:eastAsia="Times New Roman" w:hAnsi="Times New Roman" w:cs="Times New Roman"/>
          <w:sz w:val="24"/>
          <w:szCs w:val="24"/>
        </w:rPr>
        <w:t>5</w:t>
      </w:r>
      <w:r w:rsidRPr="004079DC">
        <w:rPr>
          <w:rFonts w:ascii="Times New Roman" w:eastAsia="Times New Roman" w:hAnsi="Times New Roman" w:cs="Times New Roman"/>
          <w:sz w:val="24"/>
          <w:szCs w:val="24"/>
        </w:rPr>
        <w:t>/PY 202</w:t>
      </w:r>
      <w:r w:rsidR="00DF6A04">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 xml:space="preserve"> ESRD QIP</w:t>
      </w:r>
    </w:p>
    <w:p w:rsidR="00837DA9" w:rsidRPr="00E8772F" w:rsidP="00E8772F" w14:paraId="37624975" w14:textId="74B007F7">
      <w:pPr>
        <w:rPr>
          <w:rFonts w:ascii="Times New Roman" w:hAnsi="Times New Roman" w:cs="Times New Roman"/>
          <w:sz w:val="24"/>
          <w:szCs w:val="24"/>
        </w:rPr>
      </w:pPr>
      <w:r w:rsidRPr="004079DC">
        <w:rPr>
          <w:rFonts w:ascii="Times New Roman" w:hAnsi="Times New Roman" w:cs="Times New Roman"/>
          <w:sz w:val="24"/>
          <w:szCs w:val="24"/>
        </w:rPr>
        <w:t>The CY 202</w:t>
      </w:r>
      <w:r w:rsidR="00DF6A04">
        <w:rPr>
          <w:rFonts w:ascii="Times New Roman" w:hAnsi="Times New Roman" w:cs="Times New Roman"/>
          <w:sz w:val="24"/>
          <w:szCs w:val="24"/>
        </w:rPr>
        <w:t>5</w:t>
      </w:r>
      <w:r w:rsidRPr="004079DC">
        <w:rPr>
          <w:rFonts w:ascii="Times New Roman" w:hAnsi="Times New Roman" w:cs="Times New Roman"/>
          <w:sz w:val="24"/>
          <w:szCs w:val="24"/>
        </w:rPr>
        <w:t xml:space="preserve"> ESRD Prospective Payment System (PPS) </w:t>
      </w:r>
      <w:r w:rsidR="00DF6A04">
        <w:rPr>
          <w:rFonts w:ascii="Times New Roman" w:hAnsi="Times New Roman" w:cs="Times New Roman"/>
          <w:sz w:val="24"/>
          <w:szCs w:val="24"/>
        </w:rPr>
        <w:t>proposed</w:t>
      </w:r>
      <w:r w:rsidRPr="004079DC" w:rsidR="00DF6A04">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DF6A04">
        <w:rPr>
          <w:rFonts w:ascii="Times New Roman" w:hAnsi="Times New Roman" w:cs="Times New Roman"/>
          <w:sz w:val="24"/>
          <w:szCs w:val="24"/>
        </w:rPr>
        <w:t>proposes</w:t>
      </w:r>
      <w:r w:rsidRPr="004079DC" w:rsidR="00DF6A04">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DF6A04">
        <w:rPr>
          <w:rFonts w:ascii="Times New Roman" w:hAnsi="Times New Roman" w:cs="Times New Roman"/>
          <w:sz w:val="24"/>
          <w:szCs w:val="24"/>
        </w:rPr>
        <w:t>5</w:t>
      </w:r>
      <w:r w:rsidRPr="004079DC">
        <w:rPr>
          <w:rFonts w:ascii="Times New Roman" w:hAnsi="Times New Roman" w:cs="Times New Roman"/>
          <w:sz w:val="24"/>
          <w:szCs w:val="24"/>
        </w:rPr>
        <w:t>/PY 202</w:t>
      </w:r>
      <w:r w:rsidR="00DF6A04">
        <w:rPr>
          <w:rFonts w:ascii="Times New Roman" w:hAnsi="Times New Roman" w:cs="Times New Roman"/>
          <w:sz w:val="24"/>
          <w:szCs w:val="24"/>
        </w:rPr>
        <w:t>7</w:t>
      </w:r>
      <w:r w:rsidRPr="004079DC">
        <w:rPr>
          <w:rFonts w:ascii="Times New Roman" w:hAnsi="Times New Roman" w:cs="Times New Roman"/>
          <w:sz w:val="24"/>
          <w:szCs w:val="24"/>
        </w:rPr>
        <w:t xml:space="preserve"> ESRD QIP.  During CY 202</w:t>
      </w:r>
      <w:r w:rsidR="00DF6A04">
        <w:rPr>
          <w:rFonts w:ascii="Times New Roman" w:hAnsi="Times New Roman" w:cs="Times New Roman"/>
          <w:sz w:val="24"/>
          <w:szCs w:val="24"/>
        </w:rPr>
        <w:t>5</w:t>
      </w:r>
      <w:r w:rsidRPr="004079DC">
        <w:rPr>
          <w:rFonts w:ascii="Times New Roman" w:hAnsi="Times New Roman" w:cs="Times New Roman"/>
          <w:sz w:val="24"/>
          <w:szCs w:val="24"/>
        </w:rPr>
        <w:t>/PY 202</w:t>
      </w:r>
      <w:r w:rsidR="00DF6A04">
        <w:rPr>
          <w:rFonts w:ascii="Times New Roman" w:hAnsi="Times New Roman" w:cs="Times New Roman"/>
          <w:sz w:val="24"/>
          <w:szCs w:val="24"/>
        </w:rPr>
        <w:t>7</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837DA9" w:rsidP="00837DA9" w14:paraId="50A8E7DE"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Depression Screening and Follow-Up Clinical Measure (</w:t>
      </w:r>
      <w:r w:rsidRPr="00624C35">
        <w:rPr>
          <w:rFonts w:ascii="Times New Roman" w:eastAsia="Times New Roman" w:hAnsi="Times New Roman" w:cs="Times New Roman"/>
          <w:sz w:val="24"/>
          <w:szCs w:val="24"/>
        </w:rPr>
        <w:t>88 FR 76451</w:t>
      </w:r>
      <w:r>
        <w:rPr>
          <w:rFonts w:ascii="Times New Roman" w:eastAsia="Times New Roman" w:hAnsi="Times New Roman" w:cs="Times New Roman"/>
          <w:sz w:val="24"/>
          <w:szCs w:val="24"/>
        </w:rPr>
        <w:t xml:space="preserve"> through 76453): </w:t>
      </w:r>
      <w:r w:rsidRPr="00880BF4">
        <w:rPr>
          <w:rFonts w:ascii="Times New Roman" w:eastAsia="Times New Roman" w:hAnsi="Times New Roman" w:cs="Times New Roman"/>
          <w:sz w:val="24"/>
          <w:szCs w:val="24"/>
        </w:rPr>
        <w:t>Facility reports in EQRS one of four conditions for each qualifying patient treated during performance period.</w:t>
      </w:r>
    </w:p>
    <w:p w:rsidR="00837DA9" w:rsidP="00837DA9" w14:paraId="00327118" w14:textId="77777777">
      <w:pPr>
        <w:pStyle w:val="ListParagraph"/>
        <w:spacing w:after="0" w:line="240" w:lineRule="auto"/>
        <w:ind w:left="1440"/>
        <w:rPr>
          <w:rFonts w:ascii="Times New Roman" w:eastAsia="Times New Roman" w:hAnsi="Times New Roman" w:cs="Times New Roman"/>
          <w:sz w:val="24"/>
          <w:szCs w:val="24"/>
        </w:rPr>
      </w:pPr>
    </w:p>
    <w:p w:rsidR="007513F7" w:rsidP="007513F7" w14:paraId="6C0FBD92"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Commitment to Health Equity Reporting Measure (</w:t>
      </w:r>
      <w:r w:rsidRPr="00B56AB8">
        <w:rPr>
          <w:rFonts w:ascii="Times New Roman" w:eastAsia="Times New Roman" w:hAnsi="Times New Roman" w:cs="Times New Roman"/>
          <w:sz w:val="24"/>
          <w:szCs w:val="24"/>
        </w:rPr>
        <w:t>88 FR 76437</w:t>
      </w:r>
      <w:r>
        <w:rPr>
          <w:rFonts w:ascii="Times New Roman" w:eastAsia="Times New Roman" w:hAnsi="Times New Roman" w:cs="Times New Roman"/>
          <w:sz w:val="24"/>
          <w:szCs w:val="24"/>
        </w:rPr>
        <w:t xml:space="preserve"> through 76446): </w:t>
      </w:r>
      <w:r w:rsidRPr="00BF52B9">
        <w:rPr>
          <w:rFonts w:ascii="Times New Roman" w:eastAsia="Times New Roman" w:hAnsi="Times New Roman" w:cs="Times New Roman"/>
          <w:sz w:val="24"/>
          <w:szCs w:val="24"/>
        </w:rPr>
        <w:t>Facilities will receive two points each for attesting to five different domains of commitment to advancing health equity for a total of ten points.</w:t>
      </w:r>
    </w:p>
    <w:p w:rsidR="007513F7" w:rsidP="007513F7" w14:paraId="00F0B192" w14:textId="77777777">
      <w:pPr>
        <w:pStyle w:val="ListParagraph"/>
        <w:spacing w:after="0" w:line="240" w:lineRule="auto"/>
        <w:ind w:left="1440"/>
        <w:rPr>
          <w:rFonts w:ascii="Times New Roman" w:eastAsia="Times New Roman" w:hAnsi="Times New Roman" w:cs="Times New Roman"/>
          <w:sz w:val="24"/>
          <w:szCs w:val="24"/>
        </w:rPr>
      </w:pPr>
    </w:p>
    <w:p w:rsidR="004079DC" w:rsidRPr="00CA75CB" w:rsidP="00CA75CB" w14:paraId="4BD68318" w14:textId="562913F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9D4619" w:rsidP="00E8772F" w14:paraId="19C8C2E9" w14:textId="4E443428">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Hypercalcemia </w:t>
      </w:r>
      <w:r w:rsidR="00535FDD">
        <w:rPr>
          <w:rFonts w:ascii="Times New Roman" w:eastAsia="Times New Roman" w:hAnsi="Times New Roman" w:cs="Times New Roman"/>
          <w:sz w:val="24"/>
          <w:szCs w:val="24"/>
        </w:rPr>
        <w:t>Reporting</w:t>
      </w:r>
      <w:r w:rsidRPr="00CA75CB" w:rsidR="00535FDD">
        <w:rPr>
          <w:rFonts w:ascii="Times New Roman" w:eastAsia="Times New Roman" w:hAnsi="Times New Roman" w:cs="Times New Roman"/>
          <w:sz w:val="24"/>
          <w:szCs w:val="24"/>
        </w:rPr>
        <w:t xml:space="preserve"> </w:t>
      </w:r>
      <w:r w:rsidRPr="00CA75CB">
        <w:rPr>
          <w:rFonts w:ascii="Times New Roman" w:eastAsia="Times New Roman" w:hAnsi="Times New Roman" w:cs="Times New Roman"/>
          <w:sz w:val="24"/>
          <w:szCs w:val="24"/>
        </w:rPr>
        <w:t>Measure (</w:t>
      </w:r>
      <w:r w:rsidRPr="00ED14F3" w:rsidR="00ED14F3">
        <w:rPr>
          <w:rFonts w:ascii="Times New Roman" w:eastAsia="Times New Roman" w:hAnsi="Times New Roman" w:cs="Times New Roman"/>
          <w:sz w:val="24"/>
          <w:szCs w:val="24"/>
        </w:rPr>
        <w:t xml:space="preserve">87 FR </w:t>
      </w:r>
      <w:r w:rsidR="000F365C">
        <w:rPr>
          <w:rFonts w:ascii="Times New Roman" w:eastAsia="Times New Roman" w:hAnsi="Times New Roman" w:cs="Times New Roman"/>
          <w:sz w:val="24"/>
          <w:szCs w:val="24"/>
        </w:rPr>
        <w:t xml:space="preserve">67250 through </w:t>
      </w:r>
      <w:r w:rsidRPr="00ED14F3" w:rsidR="00ED14F3">
        <w:rPr>
          <w:rFonts w:ascii="Times New Roman" w:eastAsia="Times New Roman" w:hAnsi="Times New Roman" w:cs="Times New Roman"/>
          <w:sz w:val="24"/>
          <w:szCs w:val="24"/>
        </w:rPr>
        <w:t>67251</w:t>
      </w:r>
      <w:r w:rsidRPr="00CA75CB">
        <w:rPr>
          <w:rFonts w:ascii="Times New Roman" w:eastAsia="Times New Roman" w:hAnsi="Times New Roman" w:cs="Times New Roman"/>
          <w:sz w:val="24"/>
          <w:szCs w:val="24"/>
        </w:rPr>
        <w:t>): Proportion of patient-months with 3-month rolling average of total uncorrected serum calcium greater than 10.2 mg/dL.</w:t>
      </w:r>
      <w:r w:rsidR="00535FDD">
        <w:rPr>
          <w:rFonts w:ascii="Times New Roman" w:eastAsia="Times New Roman" w:hAnsi="Times New Roman" w:cs="Times New Roman"/>
          <w:sz w:val="24"/>
          <w:szCs w:val="24"/>
        </w:rPr>
        <w:t xml:space="preserve"> </w:t>
      </w:r>
    </w:p>
    <w:p w:rsidR="008D1224" w:rsidP="002C1B9B" w14:paraId="6059AD26" w14:textId="77777777">
      <w:pPr>
        <w:spacing w:after="0" w:line="240" w:lineRule="auto"/>
        <w:rPr>
          <w:rFonts w:ascii="Times New Roman" w:eastAsia="Times New Roman" w:hAnsi="Times New Roman" w:cs="Times New Roman"/>
          <w:sz w:val="24"/>
          <w:szCs w:val="24"/>
        </w:rPr>
      </w:pPr>
    </w:p>
    <w:p w:rsidR="007C1F41" w:rsidP="007513F7" w14:paraId="3E351E17" w14:textId="63FCC80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7513F7" w:rsidRPr="005F4734" w:rsidP="005F4734" w14:paraId="36BAF210" w14:textId="77777777">
      <w:pPr>
        <w:spacing w:after="0" w:line="240" w:lineRule="auto"/>
        <w:rPr>
          <w:rFonts w:ascii="Times New Roman" w:eastAsia="Times New Roman" w:hAnsi="Times New Roman" w:cs="Times New Roman"/>
          <w:sz w:val="24"/>
          <w:szCs w:val="24"/>
        </w:rPr>
      </w:pPr>
    </w:p>
    <w:p w:rsidR="007C1F41" w:rsidRPr="00837DA9" w:rsidP="00C649E0" w14:paraId="07540AF5" w14:textId="34C5F374">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Screening for Social Drivers of Health Reporting Measure</w:t>
      </w:r>
      <w:r w:rsidR="00C649E0">
        <w:rPr>
          <w:rFonts w:ascii="Times New Roman" w:eastAsia="Times New Roman" w:hAnsi="Times New Roman" w:cs="Times New Roman"/>
          <w:sz w:val="24"/>
          <w:szCs w:val="24"/>
        </w:rPr>
        <w:t xml:space="preserve"> (</w:t>
      </w:r>
      <w:r w:rsidRPr="00837DA9" w:rsidR="00C649E0">
        <w:rPr>
          <w:rFonts w:ascii="Times New Roman" w:eastAsia="Times New Roman" w:hAnsi="Times New Roman" w:cs="Times New Roman"/>
          <w:sz w:val="24"/>
          <w:szCs w:val="24"/>
        </w:rPr>
        <w:t>88 FR 76466</w:t>
      </w:r>
      <w:r w:rsidR="00C649E0">
        <w:rPr>
          <w:rFonts w:ascii="Times New Roman" w:eastAsia="Times New Roman" w:hAnsi="Times New Roman" w:cs="Times New Roman"/>
          <w:sz w:val="24"/>
          <w:szCs w:val="24"/>
        </w:rPr>
        <w:t xml:space="preserve"> through </w:t>
      </w:r>
      <w:r w:rsidR="008C7A68">
        <w:rPr>
          <w:rFonts w:ascii="Times New Roman" w:eastAsia="Times New Roman" w:hAnsi="Times New Roman" w:cs="Times New Roman"/>
          <w:sz w:val="24"/>
          <w:szCs w:val="24"/>
        </w:rPr>
        <w:t>76476)</w:t>
      </w:r>
      <w:r w:rsidRPr="00837DA9">
        <w:rPr>
          <w:rFonts w:ascii="Times New Roman" w:eastAsia="Times New Roman" w:hAnsi="Times New Roman" w:cs="Times New Roman"/>
          <w:sz w:val="24"/>
          <w:szCs w:val="24"/>
        </w:rPr>
        <w:t>:</w:t>
      </w:r>
      <w:r w:rsidRPr="00837DA9" w:rsidR="00397115">
        <w:rPr>
          <w:rFonts w:ascii="Times New Roman" w:eastAsia="Times New Roman" w:hAnsi="Times New Roman" w:cs="Times New Roman"/>
          <w:sz w:val="24"/>
          <w:szCs w:val="24"/>
        </w:rPr>
        <w:t xml:space="preserve"> Percentage of patients at a dialysis facility </w:t>
      </w:r>
      <w:r w:rsidRPr="00837DA9" w:rsidR="00A2712F">
        <w:rPr>
          <w:rFonts w:ascii="Times New Roman" w:eastAsia="Times New Roman" w:hAnsi="Times New Roman" w:cs="Times New Roman"/>
          <w:sz w:val="24"/>
          <w:szCs w:val="24"/>
        </w:rPr>
        <w:t>who are 18 years or older screened for all five health-related social needs (HRSNs)</w:t>
      </w:r>
      <w:r w:rsidRPr="00837DA9" w:rsidR="00E13E7F">
        <w:rPr>
          <w:rFonts w:ascii="Times New Roman" w:eastAsia="Times New Roman" w:hAnsi="Times New Roman" w:cs="Times New Roman"/>
          <w:sz w:val="24"/>
          <w:szCs w:val="24"/>
        </w:rPr>
        <w:t xml:space="preserve"> (food insecurity, housing instability, transportation needs, utility difficulties, </w:t>
      </w:r>
      <w:r w:rsidRPr="00837DA9" w:rsidR="00C649E0">
        <w:rPr>
          <w:rFonts w:ascii="Times New Roman" w:eastAsia="Times New Roman" w:hAnsi="Times New Roman" w:cs="Times New Roman"/>
          <w:sz w:val="24"/>
          <w:szCs w:val="24"/>
        </w:rPr>
        <w:t>and interpersonal safety).</w:t>
      </w:r>
    </w:p>
    <w:p w:rsidR="009C69FC" w:rsidRPr="00E40A08" w:rsidP="00E40A08" w14:paraId="61987907" w14:textId="77777777">
      <w:pPr>
        <w:pStyle w:val="ListParagraph"/>
        <w:rPr>
          <w:rFonts w:ascii="Times New Roman" w:eastAsia="Times New Roman" w:hAnsi="Times New Roman" w:cs="Times New Roman"/>
          <w:sz w:val="24"/>
          <w:szCs w:val="24"/>
        </w:rPr>
      </w:pPr>
    </w:p>
    <w:p w:rsidR="009C69FC" w:rsidRPr="00CA75CB" w:rsidP="00CA75CB" w14:paraId="6070C73E" w14:textId="3C3A1155">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Screen Positive Rate for Social Drivers of Health Reporting Measure</w:t>
      </w:r>
      <w:r w:rsidR="008C7A68">
        <w:rPr>
          <w:rFonts w:ascii="Times New Roman" w:eastAsia="Times New Roman" w:hAnsi="Times New Roman" w:cs="Times New Roman"/>
          <w:sz w:val="24"/>
          <w:szCs w:val="24"/>
        </w:rPr>
        <w:t xml:space="preserve"> (</w:t>
      </w:r>
      <w:r w:rsidRPr="001F4342" w:rsidR="008C7A68">
        <w:rPr>
          <w:rFonts w:ascii="Times New Roman" w:eastAsia="Times New Roman" w:hAnsi="Times New Roman" w:cs="Times New Roman"/>
          <w:sz w:val="24"/>
          <w:szCs w:val="24"/>
        </w:rPr>
        <w:t>88 FR 764</w:t>
      </w:r>
      <w:r w:rsidR="008C7A68">
        <w:rPr>
          <w:rFonts w:ascii="Times New Roman" w:eastAsia="Times New Roman" w:hAnsi="Times New Roman" w:cs="Times New Roman"/>
          <w:sz w:val="24"/>
          <w:szCs w:val="24"/>
        </w:rPr>
        <w:t xml:space="preserve">76 through </w:t>
      </w:r>
      <w:r w:rsidR="00837DA9">
        <w:rPr>
          <w:rFonts w:ascii="Times New Roman" w:eastAsia="Times New Roman" w:hAnsi="Times New Roman" w:cs="Times New Roman"/>
          <w:sz w:val="24"/>
          <w:szCs w:val="24"/>
        </w:rPr>
        <w:t>76480)</w:t>
      </w:r>
      <w:r>
        <w:rPr>
          <w:rFonts w:ascii="Times New Roman" w:eastAsia="Times New Roman" w:hAnsi="Times New Roman" w:cs="Times New Roman"/>
          <w:sz w:val="24"/>
          <w:szCs w:val="24"/>
        </w:rPr>
        <w:t>:</w:t>
      </w:r>
      <w:r w:rsidR="00CC1ED6">
        <w:rPr>
          <w:rFonts w:ascii="Times New Roman" w:eastAsia="Times New Roman" w:hAnsi="Times New Roman" w:cs="Times New Roman"/>
          <w:sz w:val="24"/>
          <w:szCs w:val="24"/>
        </w:rPr>
        <w:t xml:space="preserve"> Percentage of patients at a dialysis facility who are 18 years or older screened for all five HRSNs</w:t>
      </w:r>
      <w:r w:rsidR="001041F9">
        <w:rPr>
          <w:rFonts w:ascii="Times New Roman" w:eastAsia="Times New Roman" w:hAnsi="Times New Roman" w:cs="Times New Roman"/>
          <w:sz w:val="24"/>
          <w:szCs w:val="24"/>
        </w:rPr>
        <w:t xml:space="preserve">, and who screened positive for one or more of the following five HRSNs: Food insecurity, housing instability, </w:t>
      </w:r>
      <w:r w:rsidR="00A30494">
        <w:rPr>
          <w:rFonts w:ascii="Times New Roman" w:eastAsia="Times New Roman" w:hAnsi="Times New Roman" w:cs="Times New Roman"/>
          <w:sz w:val="24"/>
          <w:szCs w:val="24"/>
        </w:rPr>
        <w:t>transportation needs, utility difficulties,</w:t>
      </w:r>
      <w:r w:rsidR="00F87557">
        <w:rPr>
          <w:rFonts w:ascii="Times New Roman" w:eastAsia="Times New Roman" w:hAnsi="Times New Roman" w:cs="Times New Roman"/>
          <w:sz w:val="24"/>
          <w:szCs w:val="24"/>
        </w:rPr>
        <w:t xml:space="preserve"> or interpersonal safety.</w:t>
      </w:r>
      <w:r w:rsidR="00A30494">
        <w:rPr>
          <w:rFonts w:ascii="Times New Roman" w:eastAsia="Times New Roman" w:hAnsi="Times New Roman" w:cs="Times New Roman"/>
          <w:sz w:val="24"/>
          <w:szCs w:val="24"/>
        </w:rPr>
        <w:t xml:space="preserve"> </w:t>
      </w:r>
    </w:p>
    <w:p w:rsidR="00D1303C" w:rsidP="00D1303C" w14:paraId="3DED9D09" w14:textId="79C5DFD1">
      <w:pPr>
        <w:spacing w:after="0" w:line="240" w:lineRule="auto"/>
        <w:rPr>
          <w:rFonts w:ascii="Times New Roman" w:eastAsia="Times New Roman" w:hAnsi="Times New Roman" w:cs="Times New Roman"/>
          <w:sz w:val="24"/>
          <w:szCs w:val="24"/>
        </w:rPr>
      </w:pPr>
    </w:p>
    <w:p w:rsidR="00D1303C" w:rsidP="00D1303C" w14:paraId="5D515969" w14:textId="09359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CY 202</w:t>
      </w:r>
      <w:r w:rsidR="005B51A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ESRD PPS </w:t>
      </w:r>
      <w:r w:rsidR="005B51A6">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rule, we are </w:t>
      </w:r>
      <w:r w:rsidR="005B51A6">
        <w:rPr>
          <w:rFonts w:ascii="Times New Roman" w:eastAsia="Times New Roman" w:hAnsi="Times New Roman" w:cs="Times New Roman"/>
          <w:sz w:val="24"/>
          <w:szCs w:val="24"/>
        </w:rPr>
        <w:t xml:space="preserve">proposing </w:t>
      </w:r>
      <w:r>
        <w:rPr>
          <w:rFonts w:ascii="Times New Roman" w:eastAsia="Times New Roman" w:hAnsi="Times New Roman" w:cs="Times New Roman"/>
          <w:sz w:val="24"/>
          <w:szCs w:val="24"/>
        </w:rPr>
        <w:t>updates to measures in the ESRD QIP measure set beginning with PY 202</w:t>
      </w:r>
      <w:r w:rsidR="005B51A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21838" w:rsidR="00E21838">
        <w:rPr>
          <w:rFonts w:ascii="Times New Roman" w:eastAsia="Times New Roman" w:hAnsi="Times New Roman" w:cs="Times New Roman"/>
          <w:sz w:val="24"/>
          <w:szCs w:val="24"/>
        </w:rPr>
        <w:t xml:space="preserve">Beginning with PY 2027, we are proposing to replace the Kt/V Dialysis Adequacy Comprehensive clinical measure, on which facility performance is scored on a single measure based on one set of performance standards, with a Kt/V Dialysis Adequacy measure topic, which would be comprised of four individual Kt/V measures and be scored based on a separate set of performance standards for each of those measures.  We are also proposing to remove the National Healthcare Safety Network (NHSN) Dialysis Event reporting measure from the ESRD QIP measure set beginning with PY 2027.  </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3D890B3A">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5B51A6">
        <w:rPr>
          <w:rFonts w:ascii="Times New Roman" w:eastAsia="Times New Roman" w:hAnsi="Times New Roman" w:cs="Times New Roman"/>
          <w:b/>
          <w:sz w:val="24"/>
          <w:szCs w:val="24"/>
        </w:rPr>
        <w:t>5</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shd w:val="clear" w:color="auto" w:fill="auto"/>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shd w:val="clear" w:color="auto" w:fill="auto"/>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shd w:val="clear" w:color="auto" w:fill="auto"/>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066166C4" w14:textId="34DFE3EF">
            <w:pPr>
              <w:spacing w:line="276" w:lineRule="auto"/>
              <w:jc w:val="center"/>
              <w:rPr>
                <w:rFonts w:ascii="Times New Roman" w:hAnsi="Times New Roman" w:cs="Times New Roman"/>
              </w:rPr>
            </w:pPr>
            <w:r w:rsidRPr="00734FA8">
              <w:rPr>
                <w:rFonts w:ascii="Times New Roman" w:hAnsi="Times New Roman" w:cs="Times New Roman"/>
              </w:rPr>
              <w:t>Based on CBE #0323, #0321, #2706, and #1423</w:t>
            </w:r>
          </w:p>
        </w:tc>
        <w:tc>
          <w:tcPr>
            <w:tcW w:w="1299" w:type="pct"/>
            <w:shd w:val="clear" w:color="auto" w:fill="auto"/>
          </w:tcPr>
          <w:p w:rsidR="004079DC" w:rsidRPr="004079DC" w:rsidP="004079DC" w14:paraId="61B00E2B" w14:textId="6F0DDC1D">
            <w:pPr>
              <w:spacing w:line="276" w:lineRule="auto"/>
              <w:rPr>
                <w:rFonts w:ascii="Times New Roman" w:hAnsi="Times New Roman" w:cs="Times New Roman"/>
              </w:rPr>
            </w:pPr>
            <w:r>
              <w:rPr>
                <w:rFonts w:ascii="Times New Roman" w:hAnsi="Times New Roman" w:cs="Times New Roman"/>
              </w:rPr>
              <w:t xml:space="preserve">Kt/V </w:t>
            </w:r>
            <w:r w:rsidRPr="004079DC">
              <w:rPr>
                <w:rFonts w:ascii="Times New Roman" w:hAnsi="Times New Roman" w:cs="Times New Roman"/>
              </w:rPr>
              <w:t xml:space="preserve">Dialysis Adequacy </w:t>
            </w:r>
            <w:r w:rsidR="00A56FCE">
              <w:rPr>
                <w:rFonts w:ascii="Times New Roman" w:hAnsi="Times New Roman" w:cs="Times New Roman"/>
              </w:rPr>
              <w:t>Measure Topic</w:t>
            </w:r>
          </w:p>
        </w:tc>
        <w:tc>
          <w:tcPr>
            <w:tcW w:w="2356" w:type="pct"/>
          </w:tcPr>
          <w:p w:rsidR="004079DC" w:rsidRPr="004079DC" w:rsidP="004079DC" w14:paraId="3A1C84D4" w14:textId="0A0C7C60">
            <w:pPr>
              <w:spacing w:line="276" w:lineRule="auto"/>
              <w:rPr>
                <w:rFonts w:ascii="Times New Roman" w:hAnsi="Times New Roman" w:cs="Times New Roman"/>
              </w:rPr>
            </w:pPr>
            <w:r w:rsidRPr="004079DC">
              <w:rPr>
                <w:rFonts w:ascii="Times New Roman" w:hAnsi="Times New Roman" w:cs="Times New Roman"/>
              </w:rPr>
              <w:t xml:space="preserve">Kt/V </w:t>
            </w:r>
            <w:r w:rsidR="003E3A9A">
              <w:rPr>
                <w:rFonts w:ascii="Times New Roman" w:hAnsi="Times New Roman" w:cs="Times New Roman"/>
              </w:rPr>
              <w:t>v</w:t>
            </w:r>
            <w:r w:rsidRPr="004079DC">
              <w:rPr>
                <w:rFonts w:ascii="Times New Roman" w:hAnsi="Times New Roman" w:cs="Times New Roman"/>
              </w:rPr>
              <w:t>alue</w:t>
            </w:r>
            <w:r w:rsidR="003E3A9A">
              <w:rPr>
                <w:rFonts w:ascii="Times New Roman" w:hAnsi="Times New Roman" w:cs="Times New Roman"/>
              </w:rPr>
              <w:t xml:space="preserve">s for </w:t>
            </w:r>
            <w:r w:rsidRPr="003E3A9A" w:rsidR="003E3A9A">
              <w:rPr>
                <w:rFonts w:ascii="Times New Roman" w:hAnsi="Times New Roman" w:cs="Times New Roman"/>
              </w:rPr>
              <w:t>adult hemodialysis (HD) Kt/V, adult peritoneal dialysis (PD) Kt/V, pediatric HD Kt/V, and pediatric PD Kt/V</w:t>
            </w:r>
            <w:r w:rsidRPr="004079DC">
              <w:rPr>
                <w:rFonts w:ascii="Times New Roman" w:hAnsi="Times New Roman" w:cs="Times New Roman"/>
              </w:rPr>
              <w:t xml:space="preserv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r w14:paraId="0E6BB9D1"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9F6F1B" w:rsidRPr="004079DC" w:rsidP="004079DC" w14:paraId="0D56960B" w14:textId="413BD21C">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F1B" w:rsidP="004079DC" w14:paraId="4DC6E39C" w14:textId="5FD56B88">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9F6F1B" w:rsidRPr="004079DC" w:rsidP="004079DC" w14:paraId="6216B9AD" w14:textId="4F8D1614">
            <w:pPr>
              <w:spacing w:line="276" w:lineRule="auto"/>
              <w:rPr>
                <w:rFonts w:ascii="Times New Roman" w:hAnsi="Times New Roman" w:cs="Times New Roman"/>
              </w:rPr>
            </w:pPr>
            <w:r>
              <w:rPr>
                <w:rFonts w:ascii="Times New Roman" w:hAnsi="Times New Roman" w:cs="Times New Roman"/>
              </w:rPr>
              <w:t>Facility Commitment to Health Equity</w:t>
            </w:r>
          </w:p>
        </w:tc>
        <w:tc>
          <w:tcPr>
            <w:tcW w:w="2356" w:type="pct"/>
            <w:tcBorders>
              <w:top w:val="single" w:sz="4" w:space="0" w:color="auto"/>
              <w:left w:val="single" w:sz="4" w:space="0" w:color="auto"/>
              <w:bottom w:val="single" w:sz="4" w:space="0" w:color="auto"/>
              <w:right w:val="single" w:sz="4" w:space="0" w:color="auto"/>
            </w:tcBorders>
          </w:tcPr>
          <w:p w:rsidR="000B790B" w:rsidRPr="000B790B" w:rsidP="00EF4E14" w14:paraId="6393F29F" w14:textId="77777777">
            <w:pPr>
              <w:spacing w:line="276" w:lineRule="auto"/>
              <w:contextualSpacing/>
              <w:rPr>
                <w:rFonts w:ascii="Times New Roman" w:hAnsi="Times New Roman" w:cs="Times New Roman"/>
              </w:rPr>
            </w:pPr>
            <w:r w:rsidRPr="000B790B">
              <w:rPr>
                <w:rFonts w:ascii="Times New Roman" w:hAnsi="Times New Roman" w:cs="Times New Roman"/>
              </w:rPr>
              <w:t>Facility attests affirmatively to elements in the following 5 domains:</w:t>
            </w:r>
          </w:p>
          <w:p w:rsidR="000B790B" w:rsidRPr="000B790B" w:rsidP="000B790B" w14:paraId="3DCF99A0" w14:textId="1C3BD741">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Equity is a Strategic Priority</w:t>
            </w:r>
          </w:p>
          <w:p w:rsidR="000B790B" w:rsidRPr="000B790B" w:rsidP="000B790B" w14:paraId="60455D20" w14:textId="49BFEAA4">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Collection</w:t>
            </w:r>
          </w:p>
          <w:p w:rsidR="000B790B" w:rsidRPr="000B790B" w:rsidP="000B790B" w14:paraId="601271D6" w14:textId="7BB877E2">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Analysis</w:t>
            </w:r>
          </w:p>
          <w:p w:rsidR="000B790B" w:rsidRPr="000B790B" w:rsidP="000B790B" w14:paraId="3EA5F715" w14:textId="352F9D78">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Quality Improvement</w:t>
            </w:r>
          </w:p>
          <w:p w:rsidR="009F6F1B" w:rsidRPr="004079DC" w:rsidP="000B790B" w14:paraId="1CDE122B" w14:textId="79723EFF">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Leadership Engagement</w:t>
            </w:r>
          </w:p>
        </w:tc>
      </w:tr>
      <w:tr w14:paraId="4F17CEA0"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D06AC" w:rsidP="004079DC" w14:paraId="2D884930" w14:textId="5C5D61B8">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6AC" w:rsidP="004079DC" w14:paraId="606C7646" w14:textId="480AE114">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D06AC" w:rsidP="004079DC" w14:paraId="3C025257" w14:textId="66161724">
            <w:pPr>
              <w:spacing w:line="276" w:lineRule="auto"/>
              <w:rPr>
                <w:rFonts w:ascii="Times New Roman" w:hAnsi="Times New Roman" w:cs="Times New Roman"/>
              </w:rPr>
            </w:pPr>
            <w:r>
              <w:rPr>
                <w:rFonts w:ascii="Times New Roman" w:hAnsi="Times New Roman" w:cs="Times New Roman"/>
              </w:rPr>
              <w:t>Screening for Social Drivers of Health</w:t>
            </w:r>
          </w:p>
        </w:tc>
        <w:tc>
          <w:tcPr>
            <w:tcW w:w="2356" w:type="pct"/>
            <w:tcBorders>
              <w:top w:val="single" w:sz="4" w:space="0" w:color="auto"/>
              <w:left w:val="single" w:sz="4" w:space="0" w:color="auto"/>
              <w:bottom w:val="single" w:sz="4" w:space="0" w:color="auto"/>
              <w:right w:val="single" w:sz="4" w:space="0" w:color="auto"/>
            </w:tcBorders>
          </w:tcPr>
          <w:p w:rsidR="006A0B47" w:rsidRPr="006A0B47" w:rsidP="002865F8" w14:paraId="27EE36A0" w14:textId="68D8CEF0">
            <w:pPr>
              <w:spacing w:after="0" w:line="276" w:lineRule="auto"/>
              <w:contextualSpacing/>
              <w:rPr>
                <w:rFonts w:ascii="Times New Roman" w:hAnsi="Times New Roman" w:cs="Times New Roman"/>
              </w:rPr>
            </w:pPr>
            <w:r w:rsidRPr="006A0B47">
              <w:rPr>
                <w:rFonts w:ascii="Times New Roman" w:hAnsi="Times New Roman" w:cs="Times New Roman"/>
              </w:rPr>
              <w:t xml:space="preserve">Number of eligible patients who were screened for all five </w:t>
            </w:r>
            <w:r w:rsidR="002865F8">
              <w:rPr>
                <w:rFonts w:ascii="Times New Roman" w:hAnsi="Times New Roman" w:cs="Times New Roman"/>
              </w:rPr>
              <w:t>health-related social needs (</w:t>
            </w:r>
            <w:r w:rsidRPr="006A0B47">
              <w:rPr>
                <w:rFonts w:ascii="Times New Roman" w:hAnsi="Times New Roman" w:cs="Times New Roman"/>
              </w:rPr>
              <w:t>HRSNs</w:t>
            </w:r>
            <w:r w:rsidR="002865F8">
              <w:rPr>
                <w:rFonts w:ascii="Times New Roman" w:hAnsi="Times New Roman" w:cs="Times New Roman"/>
              </w:rPr>
              <w:t>)</w:t>
            </w:r>
            <w:r w:rsidRPr="006A0B47">
              <w:rPr>
                <w:rFonts w:ascii="Times New Roman" w:hAnsi="Times New Roman" w:cs="Times New Roman"/>
              </w:rPr>
              <w:t xml:space="preserve">: </w:t>
            </w:r>
          </w:p>
          <w:p w:rsidR="006A0B47" w:rsidRPr="002865F8" w:rsidP="002865F8" w14:paraId="78B2611A" w14:textId="314B9E5E">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Food insecurity,</w:t>
            </w:r>
          </w:p>
          <w:p w:rsidR="006A0B47" w:rsidRPr="002865F8" w:rsidP="002865F8" w14:paraId="6E441F80" w14:textId="112154CA">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Housing instability, </w:t>
            </w:r>
          </w:p>
          <w:p w:rsidR="006A0B47" w:rsidRPr="002865F8" w:rsidP="002865F8" w14:paraId="4679517C" w14:textId="15B2B482">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Transportation needs, </w:t>
            </w:r>
          </w:p>
          <w:p w:rsidR="006A0B47" w:rsidRPr="002865F8" w:rsidP="002865F8" w14:paraId="3737CFC0" w14:textId="11AD874E">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Utility difficulties, or </w:t>
            </w:r>
          </w:p>
          <w:p w:rsidR="004D06AC" w:rsidRPr="002865F8" w:rsidP="002865F8" w14:paraId="401DB78F" w14:textId="6F9CC398">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Interpersonal safety.</w:t>
            </w:r>
          </w:p>
        </w:tc>
      </w:tr>
      <w:tr w14:paraId="59E19037"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D06AC" w:rsidP="004079DC" w14:paraId="2C074A14" w14:textId="5826F6E3">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6AC" w:rsidP="004079DC" w14:paraId="2EB1AB39" w14:textId="5930816F">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D06AC" w:rsidP="004079DC" w14:paraId="710267E5" w14:textId="31A714BD">
            <w:pPr>
              <w:spacing w:line="276" w:lineRule="auto"/>
              <w:rPr>
                <w:rFonts w:ascii="Times New Roman" w:hAnsi="Times New Roman" w:cs="Times New Roman"/>
              </w:rPr>
            </w:pPr>
            <w:r>
              <w:rPr>
                <w:rFonts w:ascii="Times New Roman" w:hAnsi="Times New Roman" w:cs="Times New Roman"/>
              </w:rPr>
              <w:t>Screen Positive Rate for Social Drivers of Health</w:t>
            </w:r>
          </w:p>
        </w:tc>
        <w:tc>
          <w:tcPr>
            <w:tcW w:w="2356" w:type="pct"/>
            <w:tcBorders>
              <w:top w:val="single" w:sz="4" w:space="0" w:color="auto"/>
              <w:left w:val="single" w:sz="4" w:space="0" w:color="auto"/>
              <w:bottom w:val="single" w:sz="4" w:space="0" w:color="auto"/>
              <w:right w:val="single" w:sz="4" w:space="0" w:color="auto"/>
            </w:tcBorders>
          </w:tcPr>
          <w:p w:rsidR="004D06AC" w:rsidRPr="000B790B" w:rsidP="00EF4E14" w14:paraId="0458B342" w14:textId="338E887B">
            <w:pPr>
              <w:spacing w:line="276" w:lineRule="auto"/>
              <w:contextualSpacing/>
              <w:rPr>
                <w:rFonts w:ascii="Times New Roman" w:hAnsi="Times New Roman" w:cs="Times New Roman"/>
              </w:rPr>
            </w:pPr>
            <w:r w:rsidRPr="002865F8">
              <w:rPr>
                <w:rFonts w:ascii="Times New Roman" w:hAnsi="Times New Roman" w:cs="Times New Roman"/>
              </w:rPr>
              <w:t>Number of eligible patients with ‘Yes’ or ‘No’ (non-missing) screening responses for each of the five HRSNs.</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3AD746D9" w14:textId="0703D95E">
      <w:pPr>
        <w:rPr>
          <w:rFonts w:ascii="Times New Roman" w:hAnsi="Times New Roman" w:cs="Times New Roman"/>
          <w:sz w:val="24"/>
          <w:szCs w:val="24"/>
        </w:rPr>
      </w:pP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74A73F2A" w14:textId="77777777">
      <w:pPr>
        <w:spacing w:after="0" w:line="240" w:lineRule="auto"/>
        <w:rPr>
          <w:rFonts w:ascii="Times New Roman" w:eastAsia="Times New Roman" w:hAnsi="Times New Roman" w:cs="Times New Roman"/>
          <w:sz w:val="24"/>
          <w:szCs w:val="24"/>
        </w:rPr>
      </w:pPr>
    </w:p>
    <w:p w:rsidR="004079DC" w:rsidRPr="004079DC" w:rsidP="004079DC" w14:paraId="4F2F24DE" w14:textId="49ED6F0D">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445694">
        <w:rPr>
          <w:rFonts w:ascii="Times New Roman" w:eastAsia="Times New Roman" w:hAnsi="Times New Roman" w:cs="Times New Roman"/>
          <w:sz w:val="24"/>
          <w:szCs w:val="24"/>
        </w:rPr>
        <w:t>7</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915868">
        <w:rPr>
          <w:rFonts w:ascii="Times New Roman" w:eastAsia="Times New Roman" w:hAnsi="Times New Roman" w:cs="Times New Roman"/>
          <w:sz w:val="24"/>
          <w:szCs w:val="24"/>
        </w:rPr>
        <w:t>4</w:t>
      </w:r>
      <w:r w:rsidRPr="0041103D" w:rsidR="007C3F89">
        <w:rPr>
          <w:rFonts w:ascii="Times New Roman" w:eastAsia="Times New Roman" w:hAnsi="Times New Roman" w:cs="Times New Roman"/>
          <w:sz w:val="24"/>
          <w:szCs w:val="24"/>
        </w:rPr>
        <w:t xml:space="preserve"> ESRD PPS </w:t>
      </w:r>
      <w:r w:rsidR="00445694">
        <w:rPr>
          <w:rFonts w:ascii="Times New Roman" w:eastAsia="Times New Roman" w:hAnsi="Times New Roman" w:cs="Times New Roman"/>
          <w:sz w:val="24"/>
          <w:szCs w:val="24"/>
        </w:rPr>
        <w:t>final</w:t>
      </w:r>
      <w:r w:rsidRPr="0041103D" w:rsidR="00445694">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EB5AA0">
        <w:rPr>
          <w:rFonts w:ascii="Times New Roman" w:eastAsia="Times New Roman" w:hAnsi="Times New Roman" w:cs="Times New Roman"/>
          <w:sz w:val="24"/>
          <w:szCs w:val="24"/>
        </w:rPr>
        <w:t>5</w:t>
      </w:r>
      <w:r w:rsidR="007637A5">
        <w:rPr>
          <w:rFonts w:ascii="Times New Roman" w:eastAsia="Times New Roman" w:hAnsi="Times New Roman" w:cs="Times New Roman"/>
          <w:sz w:val="24"/>
          <w:szCs w:val="24"/>
        </w:rPr>
        <w:t xml:space="preserve"> ESRD PPS </w:t>
      </w:r>
      <w:r w:rsidR="00EB5AA0">
        <w:rPr>
          <w:rFonts w:ascii="Times New Roman" w:eastAsia="Times New Roman" w:hAnsi="Times New Roman" w:cs="Times New Roman"/>
          <w:sz w:val="24"/>
          <w:szCs w:val="24"/>
        </w:rPr>
        <w:t xml:space="preserve">proposed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B223EA" w:rsidP="004079DC" w14:paraId="10ECA654" w14:textId="612C437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2423FC" w:rsidR="002423FC">
        <w:rPr>
          <w:rFonts w:ascii="Times New Roman" w:eastAsia="Times New Roman" w:hAnsi="Times New Roman" w:cs="Times New Roman"/>
          <w:sz w:val="24"/>
          <w:szCs w:val="24"/>
        </w:rPr>
        <w:t>1</w:t>
      </w:r>
      <w:r w:rsidR="00B25FBD">
        <w:rPr>
          <w:rFonts w:ascii="Times New Roman" w:eastAsia="Times New Roman" w:hAnsi="Times New Roman" w:cs="Times New Roman"/>
          <w:sz w:val="24"/>
          <w:szCs w:val="24"/>
        </w:rPr>
        <w:t>4</w:t>
      </w:r>
      <w:r w:rsidRPr="002423FC" w:rsidR="002423FC">
        <w:rPr>
          <w:rFonts w:ascii="Times New Roman" w:eastAsia="Times New Roman" w:hAnsi="Times New Roman" w:cs="Times New Roman"/>
          <w:sz w:val="24"/>
          <w:szCs w:val="24"/>
        </w:rPr>
        <w:t>,</w:t>
      </w:r>
      <w:r w:rsidR="00B25FBD">
        <w:rPr>
          <w:rFonts w:ascii="Times New Roman" w:eastAsia="Times New Roman" w:hAnsi="Times New Roman" w:cs="Times New Roman"/>
          <w:sz w:val="24"/>
          <w:szCs w:val="24"/>
        </w:rPr>
        <w:t>6</w:t>
      </w:r>
      <w:r w:rsidRPr="002423FC" w:rsidR="002423FC">
        <w:rPr>
          <w:rFonts w:ascii="Times New Roman" w:eastAsia="Times New Roman" w:hAnsi="Times New Roman" w:cs="Times New Roman"/>
          <w:sz w:val="24"/>
          <w:szCs w:val="24"/>
        </w:rPr>
        <w:t>47,</w:t>
      </w:r>
      <w:r w:rsidR="00B25FBD">
        <w:rPr>
          <w:rFonts w:ascii="Times New Roman" w:eastAsia="Times New Roman" w:hAnsi="Times New Roman" w:cs="Times New Roman"/>
          <w:sz w:val="24"/>
          <w:szCs w:val="24"/>
        </w:rPr>
        <w:t>335</w:t>
      </w:r>
      <w:r w:rsidR="002423FC">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(CY 202</w:t>
      </w:r>
      <w:r w:rsidR="00B25FBD">
        <w:rPr>
          <w:rFonts w:ascii="Times New Roman" w:eastAsia="Times New Roman" w:hAnsi="Times New Roman" w:cs="Times New Roman"/>
          <w:sz w:val="24"/>
          <w:szCs w:val="24"/>
        </w:rPr>
        <w:t>5</w:t>
      </w:r>
      <w:r w:rsidR="00597B9A">
        <w:rPr>
          <w:rFonts w:ascii="Times New Roman" w:eastAsia="Times New Roman" w:hAnsi="Times New Roman" w:cs="Times New Roman"/>
          <w:sz w:val="24"/>
          <w:szCs w:val="24"/>
        </w:rPr>
        <w:t xml:space="preserve"> ESRD PPS </w:t>
      </w:r>
      <w:r w:rsidR="00B25FBD">
        <w:rPr>
          <w:rFonts w:ascii="Times New Roman" w:eastAsia="Times New Roman" w:hAnsi="Times New Roman" w:cs="Times New Roman"/>
          <w:sz w:val="24"/>
          <w:szCs w:val="24"/>
        </w:rPr>
        <w:t xml:space="preserve">proposed </w:t>
      </w:r>
      <w:r w:rsidR="00597B9A">
        <w:rPr>
          <w:rFonts w:ascii="Times New Roman" w:eastAsia="Times New Roman" w:hAnsi="Times New Roman" w:cs="Times New Roman"/>
          <w:sz w:val="24"/>
          <w:szCs w:val="24"/>
        </w:rPr>
        <w:t>rule)</w:t>
      </w:r>
    </w:p>
    <w:p w:rsidR="002217E4" w:rsidP="004079DC" w14:paraId="5EA6472B" w14:textId="2CDA47A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w:t>
      </w:r>
      <w:r w:rsidR="003E186A">
        <w:rPr>
          <w:rFonts w:ascii="Times New Roman" w:eastAsia="Times New Roman" w:hAnsi="Times New Roman" w:cs="Times New Roman"/>
          <w:sz w:val="24"/>
          <w:szCs w:val="24"/>
        </w:rPr>
        <w:t>88 FR 76500</w:t>
      </w:r>
      <w:r w:rsidR="000D0F8D">
        <w:rPr>
          <w:rFonts w:ascii="Times New Roman" w:eastAsia="Times New Roman" w:hAnsi="Times New Roman" w:cs="Times New Roman"/>
          <w:sz w:val="24"/>
          <w:szCs w:val="24"/>
        </w:rPr>
        <w:t>)</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39659BDE">
            <w:pPr>
              <w:spacing w:line="276" w:lineRule="auto"/>
              <w:rPr>
                <w:rFonts w:ascii="Times New Roman" w:hAnsi="Times New Roman" w:cs="Times New Roman"/>
              </w:rPr>
            </w:pPr>
            <w:r>
              <w:rPr>
                <w:rFonts w:ascii="Times New Roman" w:hAnsi="Times New Roman" w:cs="Times New Roman"/>
              </w:rPr>
              <w:t xml:space="preserve">Kt/V </w:t>
            </w:r>
            <w:r w:rsidRPr="004079DC" w:rsidR="00E00C74">
              <w:rPr>
                <w:rFonts w:ascii="Times New Roman" w:hAnsi="Times New Roman" w:cs="Times New Roman"/>
              </w:rPr>
              <w:t xml:space="preserve">Dialysis Adequacy </w:t>
            </w:r>
            <w:r w:rsidR="00034DC5">
              <w:rPr>
                <w:rFonts w:ascii="Times New Roman" w:hAnsi="Times New Roman" w:cs="Times New Roman"/>
              </w:rPr>
              <w:t>Measure Topic</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4079DC" w:rsidP="004079DC" w14:paraId="556FFBE8"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w:t>
            </w:r>
            <w:r w:rsidRPr="004079DC">
              <w:rPr>
                <w:rFonts w:ascii="Times New Roman" w:hAnsi="Times New Roman" w:cs="Times New Roman"/>
                <w:sz w:val="24"/>
                <w:szCs w:val="24"/>
              </w:rPr>
              <w:t>MedRec</w:t>
            </w:r>
            <w:r w:rsidRPr="004079DC">
              <w:rPr>
                <w:rFonts w:ascii="Times New Roman" w:hAnsi="Times New Roman" w:cs="Times New Roman"/>
                <w:sz w:val="24"/>
                <w:szCs w:val="24"/>
              </w:rPr>
              <w:t>)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r w14:paraId="7503FF5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6D6CCEB9" w14:textId="02ADB24D">
            <w:pPr>
              <w:spacing w:line="276" w:lineRule="auto"/>
              <w:rPr>
                <w:rFonts w:ascii="Times New Roman" w:hAnsi="Times New Roman" w:cs="Times New Roman"/>
                <w:sz w:val="24"/>
                <w:szCs w:val="24"/>
              </w:rPr>
            </w:pPr>
            <w:r>
              <w:rPr>
                <w:rFonts w:ascii="Times New Roman" w:hAnsi="Times New Roman" w:cs="Times New Roman"/>
                <w:sz w:val="24"/>
                <w:szCs w:val="24"/>
              </w:rPr>
              <w:t>Facility Commitment to Health Equity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02439050" w14:textId="47E1337D">
            <w:pPr>
              <w:rPr>
                <w:rFonts w:ascii="Times New Roman" w:hAnsi="Times New Roman" w:cs="Times New Roman"/>
              </w:rPr>
            </w:pPr>
            <w:r>
              <w:rPr>
                <w:rFonts w:ascii="Times New Roman" w:hAnsi="Times New Roman" w:cs="Times New Roman"/>
              </w:rPr>
              <w:t>Annually</w:t>
            </w:r>
          </w:p>
        </w:tc>
      </w:tr>
      <w:tr w14:paraId="5D8BBF49"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0247FE8A" w14:textId="1EAADB71">
            <w:pPr>
              <w:spacing w:line="276" w:lineRule="auto"/>
              <w:rPr>
                <w:rFonts w:ascii="Times New Roman" w:hAnsi="Times New Roman" w:cs="Times New Roman"/>
                <w:sz w:val="24"/>
                <w:szCs w:val="24"/>
              </w:rPr>
            </w:pPr>
            <w:r>
              <w:rPr>
                <w:rFonts w:ascii="Times New Roman" w:hAnsi="Times New Roman" w:cs="Times New Roman"/>
                <w:sz w:val="24"/>
                <w:szCs w:val="24"/>
              </w:rPr>
              <w:t>Screening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1EFCA67D" w14:textId="46BB9FEA">
            <w:pPr>
              <w:rPr>
                <w:rFonts w:ascii="Times New Roman" w:hAnsi="Times New Roman" w:cs="Times New Roman"/>
              </w:rPr>
            </w:pPr>
            <w:r>
              <w:rPr>
                <w:rFonts w:ascii="Times New Roman" w:hAnsi="Times New Roman" w:cs="Times New Roman"/>
              </w:rPr>
              <w:t>Annually</w:t>
            </w:r>
          </w:p>
        </w:tc>
      </w:tr>
      <w:tr w14:paraId="589DC12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31DCCD6B" w14:textId="4CBE2D15">
            <w:pPr>
              <w:spacing w:line="276" w:lineRule="auto"/>
              <w:rPr>
                <w:rFonts w:ascii="Times New Roman" w:hAnsi="Times New Roman" w:cs="Times New Roman"/>
                <w:sz w:val="24"/>
                <w:szCs w:val="24"/>
              </w:rPr>
            </w:pPr>
            <w:r>
              <w:rPr>
                <w:rFonts w:ascii="Times New Roman" w:hAnsi="Times New Roman" w:cs="Times New Roman"/>
                <w:sz w:val="24"/>
                <w:szCs w:val="24"/>
              </w:rPr>
              <w:t>Screen Positive Rate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7EC14C6C" w14:textId="0636B4FC">
            <w:pPr>
              <w:rPr>
                <w:rFonts w:ascii="Times New Roman" w:hAnsi="Times New Roman" w:cs="Times New Roman"/>
              </w:rPr>
            </w:pPr>
            <w:r>
              <w:rPr>
                <w:rFonts w:ascii="Times New Roman" w:hAnsi="Times New Roman" w:cs="Times New Roman"/>
              </w:rPr>
              <w:t>Annually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439BB675">
      <w:pPr>
        <w:rPr>
          <w:rFonts w:ascii="Times New Roman" w:hAnsi="Times New Roman" w:cs="Times New Roman"/>
          <w:sz w:val="24"/>
          <w:szCs w:val="24"/>
        </w:rPr>
      </w:pPr>
      <w:r w:rsidRPr="004079DC">
        <w:rPr>
          <w:rFonts w:ascii="Times New Roman" w:hAnsi="Times New Roman" w:cs="Times New Roman"/>
          <w:sz w:val="24"/>
          <w:szCs w:val="24"/>
        </w:rPr>
        <w:t>The CY 202</w:t>
      </w:r>
      <w:r w:rsidR="005B7502">
        <w:rPr>
          <w:rFonts w:ascii="Times New Roman" w:hAnsi="Times New Roman" w:cs="Times New Roman"/>
          <w:sz w:val="24"/>
          <w:szCs w:val="24"/>
        </w:rPr>
        <w:t>5</w:t>
      </w:r>
      <w:r w:rsidRPr="004079DC">
        <w:rPr>
          <w:rFonts w:ascii="Times New Roman" w:hAnsi="Times New Roman" w:cs="Times New Roman"/>
          <w:sz w:val="24"/>
          <w:szCs w:val="24"/>
        </w:rPr>
        <w:t xml:space="preserve"> ESRD PPS proposed rule’s publication, serving as the 60-day Federal Register notice, was published on </w:t>
      </w:r>
      <w:r w:rsidR="006506F2">
        <w:rPr>
          <w:rFonts w:ascii="Times New Roman" w:hAnsi="Times New Roman" w:cs="Times New Roman"/>
          <w:sz w:val="24"/>
          <w:szCs w:val="24"/>
        </w:rPr>
        <w:t>Ju</w:t>
      </w:r>
      <w:r w:rsidR="009D38D9">
        <w:rPr>
          <w:rFonts w:ascii="Times New Roman" w:hAnsi="Times New Roman" w:cs="Times New Roman"/>
          <w:sz w:val="24"/>
          <w:szCs w:val="24"/>
        </w:rPr>
        <w:t>ly 5</w:t>
      </w:r>
      <w:r w:rsidRPr="0010478C" w:rsidR="001557F6">
        <w:rPr>
          <w:rFonts w:ascii="Times New Roman" w:hAnsi="Times New Roman" w:cs="Times New Roman"/>
          <w:sz w:val="24"/>
          <w:szCs w:val="24"/>
        </w:rPr>
        <w:t>, 202</w:t>
      </w:r>
      <w:r w:rsidR="005B7502">
        <w:rPr>
          <w:rFonts w:ascii="Times New Roman" w:hAnsi="Times New Roman" w:cs="Times New Roman"/>
          <w:sz w:val="24"/>
          <w:szCs w:val="24"/>
        </w:rPr>
        <w:t>4</w:t>
      </w:r>
      <w:r w:rsidRPr="0010478C" w:rsidR="00B76E9B">
        <w:rPr>
          <w:rFonts w:ascii="Times New Roman" w:hAnsi="Times New Roman" w:cs="Times New Roman"/>
          <w:sz w:val="24"/>
          <w:szCs w:val="24"/>
        </w:rPr>
        <w:t xml:space="preserve"> </w:t>
      </w:r>
      <w:r w:rsidRPr="0010478C">
        <w:rPr>
          <w:rFonts w:ascii="Times New Roman" w:hAnsi="Times New Roman" w:cs="Times New Roman"/>
          <w:sz w:val="24"/>
          <w:szCs w:val="24"/>
        </w:rPr>
        <w:t>(</w:t>
      </w:r>
      <w:r w:rsidRPr="006F2AC8" w:rsidR="006F2AC8">
        <w:rPr>
          <w:rFonts w:ascii="Times New Roman" w:hAnsi="Times New Roman" w:cs="Times New Roman"/>
          <w:sz w:val="24"/>
          <w:szCs w:val="24"/>
        </w:rPr>
        <w:t>89 FR 55760</w:t>
      </w:r>
      <w:r w:rsidRPr="0010478C">
        <w:rPr>
          <w:rFonts w:ascii="Times New Roman" w:hAnsi="Times New Roman" w:cs="Times New Roman"/>
          <w:sz w:val="24"/>
          <w:szCs w:val="24"/>
        </w:rPr>
        <w:t>).</w:t>
      </w:r>
      <w:r w:rsidR="00316CEE">
        <w:rPr>
          <w:rFonts w:ascii="Times New Roman" w:hAnsi="Times New Roman" w:cs="Times New Roman"/>
          <w:sz w:val="24"/>
          <w:szCs w:val="24"/>
        </w:rPr>
        <w:t xml:space="preserve">  </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BA2D2E" w:rsidRPr="004079DC" w:rsidP="004079DC" w14:paraId="1BBBB334" w14:textId="53486486">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but</w:t>
      </w:r>
      <w:r w:rsidRPr="004079DC">
        <w:rPr>
          <w:rFonts w:ascii="Times New Roman" w:hAnsi="Times New Roman" w:cs="Times New Roman"/>
          <w:sz w:val="24"/>
          <w:szCs w:val="24"/>
        </w:rPr>
        <w:t xml:space="preserve">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A25F1D" w14:paraId="54DF047E" w14:textId="77777777">
      <w:pPr>
        <w:keepNext/>
        <w:keepLines/>
        <w:spacing w:after="0" w:line="240" w:lineRule="auto"/>
        <w:rPr>
          <w:rFonts w:ascii="Times New Roman" w:hAnsi="Times New Roman" w:cs="Times New Roman"/>
          <w:sz w:val="24"/>
          <w:szCs w:val="24"/>
        </w:rPr>
      </w:pPr>
    </w:p>
    <w:p w:rsidR="004079DC" w:rsidP="00BA2D2E" w14:paraId="0ABC3024"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BA2D2E" w:rsidRPr="004079DC" w:rsidP="00A25F1D" w14:paraId="0B219FF4"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9E73A5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of this supporting statement, this estimate excludes burden associated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expiration date March 31, 2026</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2A3F806A">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3B0C6E">
        <w:rPr>
          <w:rFonts w:ascii="Times New Roman" w:hAnsi="Times New Roman" w:cs="Times New Roman"/>
          <w:sz w:val="24"/>
          <w:szCs w:val="24"/>
        </w:rPr>
        <w:t>5</w:t>
      </w:r>
      <w:r w:rsidRPr="009D1C06">
        <w:rPr>
          <w:rFonts w:ascii="Times New Roman" w:hAnsi="Times New Roman" w:cs="Times New Roman"/>
          <w:sz w:val="24"/>
          <w:szCs w:val="24"/>
        </w:rPr>
        <w:t>/PY 202</w:t>
      </w:r>
      <w:r w:rsidR="003B0C6E">
        <w:rPr>
          <w:rFonts w:ascii="Times New Roman" w:hAnsi="Times New Roman" w:cs="Times New Roman"/>
          <w:sz w:val="24"/>
          <w:szCs w:val="24"/>
        </w:rPr>
        <w:t>7</w:t>
      </w:r>
      <w:r w:rsidRPr="009D1C06">
        <w:rPr>
          <w:rFonts w:ascii="Times New Roman" w:hAnsi="Times New Roman" w:cs="Times New Roman"/>
          <w:sz w:val="24"/>
          <w:szCs w:val="24"/>
        </w:rPr>
        <w:t xml:space="preserve"> </w:t>
      </w:r>
      <w:r w:rsidR="005D48C6">
        <w:rPr>
          <w:rFonts w:ascii="Times New Roman" w:hAnsi="Times New Roman" w:cs="Times New Roman"/>
          <w:sz w:val="24"/>
          <w:szCs w:val="24"/>
        </w:rPr>
        <w:t>to be</w:t>
      </w:r>
      <w:r w:rsidRPr="009D1C06">
        <w:rPr>
          <w:rFonts w:ascii="Times New Roman" w:hAnsi="Times New Roman" w:cs="Times New Roman"/>
          <w:sz w:val="24"/>
          <w:szCs w:val="24"/>
        </w:rPr>
        <w:t xml:space="preserve"> </w:t>
      </w:r>
      <w:r w:rsidRPr="007A5A66" w:rsidR="007A5A66">
        <w:rPr>
          <w:rFonts w:ascii="Times New Roman" w:hAnsi="Times New Roman" w:cs="Times New Roman"/>
          <w:sz w:val="24"/>
          <w:szCs w:val="24"/>
        </w:rPr>
        <w:t xml:space="preserve">2,877,743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5D48C6">
        <w:rPr>
          <w:rFonts w:ascii="Times New Roman" w:hAnsi="Times New Roman" w:cs="Times New Roman"/>
          <w:sz w:val="24"/>
          <w:szCs w:val="24"/>
        </w:rPr>
        <w:t>7</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2587"/>
      </w:tblGrid>
      <w:tr w14:paraId="5180D01C" w14:textId="77777777" w:rsidTr="00990631">
        <w:tblPrEx>
          <w:tblW w:w="0" w:type="auto"/>
          <w:tblLook w:val="04A0"/>
        </w:tblPrEx>
        <w:trPr>
          <w:cantSplit/>
          <w:tblHeader/>
        </w:trPr>
        <w:tc>
          <w:tcPr>
            <w:tcW w:w="6048" w:type="dxa"/>
          </w:tcPr>
          <w:p w:rsidR="00990631"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2587" w:type="dxa"/>
          </w:tcPr>
          <w:p w:rsidR="00990631" w:rsidRPr="004079DC" w:rsidP="00990631" w14:paraId="63138C7C" w14:textId="1E969724">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CY 202</w:t>
            </w:r>
            <w:r>
              <w:rPr>
                <w:rFonts w:ascii="Times New Roman" w:hAnsi="Times New Roman" w:cs="Times New Roman"/>
                <w:b/>
                <w:color w:val="000000"/>
              </w:rPr>
              <w:t>5</w:t>
            </w:r>
            <w:r w:rsidRPr="004079DC">
              <w:rPr>
                <w:rFonts w:ascii="Times New Roman" w:hAnsi="Times New Roman" w:cs="Times New Roman"/>
                <w:b/>
                <w:color w:val="000000"/>
              </w:rPr>
              <w:t>/</w:t>
            </w:r>
          </w:p>
          <w:p w:rsidR="00990631" w:rsidRPr="004079DC" w:rsidP="00990631" w14:paraId="00016B5F" w14:textId="1230F8A7">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PY 202</w:t>
            </w:r>
            <w:r>
              <w:rPr>
                <w:rFonts w:ascii="Times New Roman" w:hAnsi="Times New Roman" w:cs="Times New Roman"/>
                <w:b/>
                <w:color w:val="000000"/>
              </w:rPr>
              <w:t>7</w:t>
            </w:r>
          </w:p>
        </w:tc>
      </w:tr>
      <w:tr w14:paraId="28343A8F" w14:textId="77777777" w:rsidTr="00990631">
        <w:tblPrEx>
          <w:tblW w:w="0" w:type="auto"/>
          <w:tblLook w:val="04A0"/>
        </w:tblPrEx>
        <w:trPr>
          <w:cantSplit/>
        </w:trPr>
        <w:tc>
          <w:tcPr>
            <w:tcW w:w="6048" w:type="dxa"/>
          </w:tcPr>
          <w:p w:rsidR="00990631"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2587" w:type="dxa"/>
          </w:tcPr>
          <w:p w:rsidR="00990631" w:rsidRPr="004079DC" w:rsidP="00990631" w14:paraId="397A69A9" w14:textId="2E0A45AC">
            <w:pPr>
              <w:spacing w:line="276" w:lineRule="auto"/>
              <w:ind w:left="410"/>
              <w:contextualSpacing/>
              <w:rPr>
                <w:rFonts w:ascii="Times New Roman" w:hAnsi="Times New Roman" w:cs="Times New Roman"/>
                <w:color w:val="FF0000"/>
              </w:rPr>
            </w:pPr>
            <w:r w:rsidRPr="004079DC">
              <w:rPr>
                <w:rFonts w:ascii="Times New Roman" w:hAnsi="Times New Roman" w:cs="Times New Roman"/>
                <w:color w:val="000000" w:themeColor="text1"/>
              </w:rPr>
              <w:t>7,</w:t>
            </w:r>
            <w:r>
              <w:rPr>
                <w:rFonts w:ascii="Times New Roman" w:hAnsi="Times New Roman" w:cs="Times New Roman"/>
                <w:color w:val="000000" w:themeColor="text1"/>
              </w:rPr>
              <w:t>833</w:t>
            </w:r>
          </w:p>
        </w:tc>
      </w:tr>
      <w:tr w14:paraId="571A9D06" w14:textId="77777777" w:rsidTr="00990631">
        <w:tblPrEx>
          <w:tblW w:w="0" w:type="auto"/>
          <w:tblLook w:val="04A0"/>
        </w:tblPrEx>
        <w:trPr>
          <w:cantSplit/>
        </w:trPr>
        <w:tc>
          <w:tcPr>
            <w:tcW w:w="6048" w:type="dxa"/>
          </w:tcPr>
          <w:p w:rsidR="00990631"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2587" w:type="dxa"/>
          </w:tcPr>
          <w:p w:rsidR="00990631" w:rsidRPr="004079DC" w:rsidP="00990631" w14:paraId="04B2B6C7" w14:textId="3BDBB853">
            <w:pPr>
              <w:ind w:left="410"/>
              <w:contextualSpacing/>
              <w:rPr>
                <w:rFonts w:ascii="Times New Roman" w:hAnsi="Times New Roman" w:cs="Times New Roman"/>
              </w:rPr>
            </w:pPr>
            <w:r>
              <w:rPr>
                <w:rFonts w:ascii="Times New Roman" w:hAnsi="Times New Roman" w:cs="Times New Roman"/>
              </w:rPr>
              <w:t>507,837</w:t>
            </w:r>
          </w:p>
        </w:tc>
      </w:tr>
      <w:tr w14:paraId="678B3747" w14:textId="77777777" w:rsidTr="00990631">
        <w:tblPrEx>
          <w:tblW w:w="0" w:type="auto"/>
          <w:tblLook w:val="04A0"/>
        </w:tblPrEx>
        <w:trPr>
          <w:cantSplit/>
        </w:trPr>
        <w:tc>
          <w:tcPr>
            <w:tcW w:w="6048" w:type="dxa"/>
          </w:tcPr>
          <w:p w:rsidR="00990631"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Number of data elements per patient</w:t>
            </w:r>
          </w:p>
        </w:tc>
        <w:tc>
          <w:tcPr>
            <w:tcW w:w="2587" w:type="dxa"/>
          </w:tcPr>
          <w:p w:rsidR="00990631" w:rsidRPr="004079DC" w:rsidP="00990631" w14:paraId="1655758C" w14:textId="5E7B6F29">
            <w:pPr>
              <w:ind w:left="410"/>
              <w:contextualSpacing/>
              <w:rPr>
                <w:rFonts w:ascii="Times New Roman" w:hAnsi="Times New Roman" w:cs="Times New Roman"/>
              </w:rPr>
            </w:pPr>
            <w:r>
              <w:rPr>
                <w:rFonts w:ascii="Times New Roman" w:hAnsi="Times New Roman" w:cs="Times New Roman"/>
              </w:rPr>
              <w:t>136</w:t>
            </w:r>
          </w:p>
        </w:tc>
      </w:tr>
      <w:tr w14:paraId="738C8E51" w14:textId="77777777" w:rsidTr="00990631">
        <w:tblPrEx>
          <w:tblW w:w="0" w:type="auto"/>
          <w:tblLook w:val="04A0"/>
        </w:tblPrEx>
        <w:trPr>
          <w:cantSplit/>
        </w:trPr>
        <w:tc>
          <w:tcPr>
            <w:tcW w:w="6048" w:type="dxa"/>
          </w:tcPr>
          <w:p w:rsidR="00990631"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2587" w:type="dxa"/>
          </w:tcPr>
          <w:p w:rsidR="00990631" w:rsidRPr="004079DC" w:rsidP="00990631" w14:paraId="682F2432" w14:textId="77777777">
            <w:pPr>
              <w:ind w:left="410"/>
              <w:contextualSpacing/>
              <w:rPr>
                <w:rFonts w:ascii="Times New Roman" w:hAnsi="Times New Roman" w:cs="Times New Roman"/>
              </w:rPr>
            </w:pPr>
            <w:r w:rsidRPr="004079DC">
              <w:rPr>
                <w:rFonts w:ascii="Times New Roman" w:hAnsi="Times New Roman" w:cs="Times New Roman"/>
              </w:rPr>
              <w:t>2.5 minutes</w:t>
            </w:r>
          </w:p>
        </w:tc>
      </w:tr>
      <w:tr w14:paraId="69D11162" w14:textId="77777777" w:rsidTr="00990631">
        <w:tblPrEx>
          <w:tblW w:w="0" w:type="auto"/>
          <w:tblLook w:val="04A0"/>
        </w:tblPrEx>
        <w:trPr>
          <w:cantSplit/>
        </w:trPr>
        <w:tc>
          <w:tcPr>
            <w:tcW w:w="6048" w:type="dxa"/>
          </w:tcPr>
          <w:p w:rsidR="00990631"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2587" w:type="dxa"/>
          </w:tcPr>
          <w:p w:rsidR="00990631" w:rsidRPr="004079DC" w:rsidP="00F56E9A" w14:paraId="43A69C90" w14:textId="54C5D73A">
            <w:pPr>
              <w:contextualSpacing/>
              <w:jc w:val="center"/>
              <w:rPr>
                <w:rFonts w:ascii="Times New Roman" w:hAnsi="Times New Roman" w:cs="Times New Roman"/>
                <w:highlight w:val="yellow"/>
              </w:rPr>
            </w:pPr>
            <w:r w:rsidRPr="004B4E6B">
              <w:rPr>
                <w:rFonts w:ascii="Times New Roman" w:hAnsi="Times New Roman" w:cs="Times New Roman"/>
                <w:sz w:val="24"/>
                <w:szCs w:val="24"/>
              </w:rPr>
              <w:t xml:space="preserve">2,877,743 </w:t>
            </w:r>
            <w:r w:rsidRPr="57E215D3">
              <w:rPr>
                <w:rFonts w:ascii="Times New Roman" w:eastAsia="Times New Roman" w:hAnsi="Times New Roman" w:cs="Times New Roman"/>
                <w:color w:val="000000" w:themeColor="text1"/>
              </w:rPr>
              <w:t>hours</w:t>
            </w:r>
          </w:p>
        </w:tc>
      </w:tr>
      <w:tr w14:paraId="1E6DEB5E" w14:textId="77777777" w:rsidTr="00990631">
        <w:tblPrEx>
          <w:tblW w:w="0" w:type="auto"/>
          <w:tblLook w:val="04A0"/>
        </w:tblPrEx>
        <w:trPr>
          <w:cantSplit/>
        </w:trPr>
        <w:tc>
          <w:tcPr>
            <w:tcW w:w="6048" w:type="dxa"/>
          </w:tcPr>
          <w:p w:rsidR="00990631"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2587" w:type="dxa"/>
            <w:vAlign w:val="center"/>
          </w:tcPr>
          <w:p w:rsidR="00990631" w:rsidRPr="004079DC" w:rsidP="00E8772F" w14:paraId="23F58EA4" w14:textId="32ADA741">
            <w:pPr>
              <w:ind w:left="410"/>
              <w:contextualSpacing/>
              <w:rPr>
                <w:rFonts w:ascii="Times New Roman" w:hAnsi="Times New Roman" w:cs="Times New Roman"/>
              </w:rPr>
            </w:pPr>
            <w:r w:rsidRPr="004079DC">
              <w:rPr>
                <w:rFonts w:ascii="Times New Roman" w:hAnsi="Times New Roman" w:cs="Times New Roman"/>
              </w:rPr>
              <w:t>$4</w:t>
            </w:r>
            <w:r>
              <w:rPr>
                <w:rFonts w:ascii="Times New Roman" w:hAnsi="Times New Roman" w:cs="Times New Roman"/>
              </w:rPr>
              <w:t>5</w:t>
            </w:r>
            <w:r w:rsidRPr="004079DC">
              <w:rPr>
                <w:rFonts w:ascii="Times New Roman" w:hAnsi="Times New Roman" w:cs="Times New Roman"/>
              </w:rPr>
              <w:t>.</w:t>
            </w:r>
            <w:r>
              <w:rPr>
                <w:rFonts w:ascii="Times New Roman" w:hAnsi="Times New Roman" w:cs="Times New Roman"/>
              </w:rPr>
              <w:t>38</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4AF63424">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A36823">
        <w:rPr>
          <w:rFonts w:ascii="Times New Roman" w:hAnsi="Times New Roman" w:cs="Times New Roman"/>
          <w:sz w:val="24"/>
          <w:szCs w:val="24"/>
        </w:rPr>
        <w:t>2</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12415CD7">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DB2F60">
        <w:rPr>
          <w:rFonts w:ascii="Times New Roman" w:hAnsi="Times New Roman" w:cs="Times New Roman"/>
          <w:sz w:val="24"/>
          <w:szCs w:val="24"/>
        </w:rPr>
        <w:t>2</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A4C0F">
        <w:rPr>
          <w:rFonts w:ascii="Times New Roman" w:hAnsi="Times New Roman" w:cs="Times New Roman"/>
          <w:sz w:val="24"/>
          <w:szCs w:val="24"/>
        </w:rPr>
        <w:t>2</w:t>
      </w:r>
      <w:r w:rsidRPr="004079DC">
        <w:rPr>
          <w:rFonts w:ascii="Times New Roman" w:hAnsi="Times New Roman" w:cs="Times New Roman"/>
          <w:sz w:val="24"/>
          <w:szCs w:val="24"/>
        </w:rPr>
        <w:t>.</w:t>
      </w:r>
      <w:r w:rsidR="00225EF3">
        <w:rPr>
          <w:rFonts w:ascii="Times New Roman" w:hAnsi="Times New Roman" w:cs="Times New Roman"/>
          <w:sz w:val="24"/>
          <w:szCs w:val="24"/>
        </w:rPr>
        <w:t>69</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w:t>
      </w:r>
      <w:r w:rsidRPr="004079DC">
        <w:rPr>
          <w:rFonts w:ascii="Times New Roman" w:hAnsi="Times New Roman" w:cs="Times New Roman"/>
          <w:sz w:val="24"/>
          <w:szCs w:val="24"/>
        </w:rPr>
        <w:t>alternative</w:t>
      </w:r>
      <w:r w:rsidRPr="004079DC">
        <w:rPr>
          <w:rFonts w:ascii="Times New Roman" w:hAnsi="Times New Roman" w:cs="Times New Roman"/>
          <w:sz w:val="24"/>
          <w:szCs w:val="24"/>
        </w:rPr>
        <w:t xml:space="preserve"> and we believe that these are reasonable estimation methods.  </w:t>
      </w:r>
    </w:p>
    <w:p w:rsidR="004079DC" w:rsidRPr="004079DC" w:rsidP="00A25F1D" w14:paraId="0F3FB226" w14:textId="03C0B731">
      <w:pPr>
        <w:rPr>
          <w:rFonts w:ascii="Times New Roman" w:eastAsia="Times New Roman" w:hAnsi="Times New Roman" w:cs="Times New Roman"/>
          <w:b/>
          <w:color w:val="000000"/>
          <w:sz w:val="24"/>
          <w:szCs w:val="24"/>
        </w:rPr>
      </w:pPr>
      <w:r w:rsidRPr="004079DC">
        <w:rPr>
          <w:rFonts w:ascii="Times New Roman" w:hAnsi="Times New Roman" w:cs="Times New Roman"/>
          <w:sz w:val="24"/>
          <w:szCs w:val="24"/>
        </w:rPr>
        <w:t>Using the assumptions described above, we estimate an hourly labor cost of $4</w:t>
      </w:r>
      <w:r w:rsidR="00225EF3">
        <w:rPr>
          <w:rFonts w:ascii="Times New Roman" w:hAnsi="Times New Roman" w:cs="Times New Roman"/>
          <w:sz w:val="24"/>
          <w:szCs w:val="24"/>
        </w:rPr>
        <w:t>5</w:t>
      </w:r>
      <w:r w:rsidRPr="004079DC">
        <w:rPr>
          <w:rFonts w:ascii="Times New Roman" w:hAnsi="Times New Roman" w:cs="Times New Roman"/>
          <w:sz w:val="24"/>
          <w:szCs w:val="24"/>
        </w:rPr>
        <w:t>.</w:t>
      </w:r>
      <w:r w:rsidR="00225EF3">
        <w:rPr>
          <w:rFonts w:ascii="Times New Roman" w:hAnsi="Times New Roman" w:cs="Times New Roman"/>
          <w:sz w:val="24"/>
          <w:szCs w:val="24"/>
        </w:rPr>
        <w:t>38</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9B43CB">
        <w:rPr>
          <w:rFonts w:ascii="Times New Roman" w:hAnsi="Times New Roman" w:cs="Times New Roman"/>
          <w:sz w:val="24"/>
          <w:szCs w:val="24"/>
        </w:rPr>
        <w:t>5</w:t>
      </w:r>
      <w:r w:rsidRPr="004079DC">
        <w:rPr>
          <w:rFonts w:ascii="Times New Roman" w:hAnsi="Times New Roman" w:cs="Times New Roman"/>
          <w:sz w:val="24"/>
          <w:szCs w:val="24"/>
        </w:rPr>
        <w:t>/PY 202</w:t>
      </w:r>
      <w:r w:rsidR="009B43CB">
        <w:rPr>
          <w:rFonts w:ascii="Times New Roman" w:hAnsi="Times New Roman" w:cs="Times New Roman"/>
          <w:sz w:val="24"/>
          <w:szCs w:val="24"/>
        </w:rPr>
        <w:t>7</w:t>
      </w:r>
      <w:r w:rsidRPr="004079DC">
        <w:rPr>
          <w:rFonts w:ascii="Times New Roman" w:hAnsi="Times New Roman" w:cs="Times New Roman"/>
          <w:sz w:val="24"/>
          <w:szCs w:val="24"/>
        </w:rPr>
        <w:t xml:space="preserve"> </w:t>
      </w:r>
      <w:r w:rsidR="00044FFF">
        <w:rPr>
          <w:rFonts w:ascii="Times New Roman" w:hAnsi="Times New Roman" w:cs="Times New Roman"/>
          <w:sz w:val="24"/>
          <w:szCs w:val="24"/>
        </w:rPr>
        <w:t>to be</w:t>
      </w:r>
      <w:r w:rsidRPr="004079DC">
        <w:rPr>
          <w:rFonts w:ascii="Times New Roman" w:hAnsi="Times New Roman" w:cs="Times New Roman"/>
          <w:sz w:val="24"/>
          <w:szCs w:val="24"/>
        </w:rPr>
        <w:t xml:space="preserve"> $</w:t>
      </w:r>
      <w:r w:rsidR="001C4527">
        <w:rPr>
          <w:rFonts w:ascii="Times New Roman" w:hAnsi="Times New Roman" w:cs="Times New Roman"/>
          <w:sz w:val="24"/>
          <w:szCs w:val="24"/>
        </w:rPr>
        <w:t>130</w:t>
      </w:r>
      <w:r w:rsidR="00654EF9">
        <w:rPr>
          <w:rFonts w:ascii="Times New Roman" w:hAnsi="Times New Roman" w:cs="Times New Roman"/>
          <w:sz w:val="24"/>
          <w:szCs w:val="24"/>
        </w:rPr>
        <w:t>,</w:t>
      </w:r>
      <w:r w:rsidR="00506E73">
        <w:rPr>
          <w:rFonts w:ascii="Times New Roman" w:hAnsi="Times New Roman" w:cs="Times New Roman"/>
          <w:sz w:val="24"/>
          <w:szCs w:val="24"/>
        </w:rPr>
        <w:t>591</w:t>
      </w:r>
      <w:r w:rsidR="00654EF9">
        <w:rPr>
          <w:rFonts w:ascii="Times New Roman" w:hAnsi="Times New Roman" w:cs="Times New Roman"/>
          <w:sz w:val="24"/>
          <w:szCs w:val="24"/>
        </w:rPr>
        <w:t>,</w:t>
      </w:r>
      <w:r w:rsidR="004C2C9F">
        <w:rPr>
          <w:rFonts w:ascii="Times New Roman" w:hAnsi="Times New Roman" w:cs="Times New Roman"/>
          <w:sz w:val="24"/>
          <w:szCs w:val="24"/>
        </w:rPr>
        <w:t>977</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 xml:space="preserve">2,877,743 </w:t>
      </w:r>
      <w:r w:rsidR="00063076">
        <w:rPr>
          <w:rFonts w:ascii="Times New Roman" w:hAnsi="Times New Roman" w:cs="Times New Roman"/>
          <w:sz w:val="24"/>
          <w:szCs w:val="24"/>
        </w:rPr>
        <w:t>hours x $4</w:t>
      </w:r>
      <w:r w:rsidR="00F13884">
        <w:rPr>
          <w:rFonts w:ascii="Times New Roman" w:hAnsi="Times New Roman" w:cs="Times New Roman"/>
          <w:sz w:val="24"/>
          <w:szCs w:val="24"/>
        </w:rPr>
        <w:t>5</w:t>
      </w:r>
      <w:r w:rsidR="00063076">
        <w:rPr>
          <w:rFonts w:ascii="Times New Roman" w:hAnsi="Times New Roman" w:cs="Times New Roman"/>
          <w:sz w:val="24"/>
          <w:szCs w:val="24"/>
        </w:rPr>
        <w:t>.</w:t>
      </w:r>
      <w:r w:rsidR="00F13884">
        <w:rPr>
          <w:rFonts w:ascii="Times New Roman" w:hAnsi="Times New Roman" w:cs="Times New Roman"/>
          <w:sz w:val="24"/>
          <w:szCs w:val="24"/>
        </w:rPr>
        <w:t>38</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42559180">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 CY 202</w:t>
      </w:r>
      <w:r w:rsidR="003F71E7">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F71E7">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565FEC" w:rsidP="004079DC" w14:paraId="1F013C86" w14:textId="77777777">
      <w:pPr>
        <w:spacing w:after="0" w:line="240" w:lineRule="auto"/>
        <w:jc w:val="center"/>
        <w:rPr>
          <w:rFonts w:ascii="Times New Roman" w:eastAsia="Times New Roman" w:hAnsi="Times New Roman" w:cs="Times New Roman"/>
          <w:bCs/>
          <w:color w:val="FF0000"/>
          <w:sz w:val="24"/>
          <w:szCs w:val="24"/>
        </w:rPr>
      </w:pPr>
      <w:r w:rsidRPr="00E8772F">
        <w:rPr>
          <w:rFonts w:ascii="Times New Roman" w:eastAsia="Times New Roman" w:hAnsi="Times New Roman" w:cs="Times New Roman"/>
          <w:bCs/>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4906D3F5">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25</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0A9C4D26">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6FD5CAB6" w14:textId="57B1E93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77CE9788" w14:textId="5F4C27A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64</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25884B7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1DDAFF15" w14:textId="7447F47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A7279D" w:rsidRPr="00071B37" w:rsidP="00A7279D" w14:paraId="75789D72" w14:textId="1D99769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071B37">
              <w:rPr>
                <w:rFonts w:ascii="Times New Roman" w:hAnsi="Times New Roman" w:cs="Times New Roman"/>
                <w:sz w:val="20"/>
                <w:szCs w:val="20"/>
              </w:rPr>
              <w:t>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942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12</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2367E6E9">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0E5D46D6" w14:textId="2B4FAF1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2B734B92" w14:textId="2AFDA7E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A7279D" w:rsidRPr="00071B37" w:rsidP="00A7279D" w14:paraId="0126F2FD" w14:textId="1BBDB44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4A53D63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202E1DCE" w14:textId="03017210">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A7279D" w:rsidRPr="00071B37" w:rsidP="00A7279D" w14:paraId="243A3CA8" w14:textId="05999E8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071B37">
              <w:rPr>
                <w:rFonts w:ascii="Times New Roman" w:hAnsi="Times New Roman" w:cs="Times New Roman"/>
                <w:sz w:val="20"/>
                <w:szCs w:val="20"/>
              </w:rPr>
              <w:t>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942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12</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505159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Kt/V</w:t>
            </w:r>
            <w:r w:rsidRPr="004079DC">
              <w:rPr>
                <w:rFonts w:ascii="Times New Roman" w:eastAsia="Times New Roman" w:hAnsi="Times New Roman" w:cs="Times New Roman"/>
                <w:color w:val="000000"/>
                <w:sz w:val="20"/>
                <w:szCs w:val="20"/>
              </w:rPr>
              <w:t xml:space="preserve"> </w:t>
            </w:r>
            <w:r w:rsidRPr="004079DC" w:rsidR="00E00C74">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Measure Topic</w:t>
            </w:r>
          </w:p>
        </w:tc>
        <w:tc>
          <w:tcPr>
            <w:tcW w:w="1080" w:type="dxa"/>
            <w:noWrap/>
            <w:vAlign w:val="center"/>
          </w:tcPr>
          <w:p w:rsidR="00A7279D" w:rsidRPr="004079DC" w:rsidP="00A7279D" w14:paraId="6F3DAE64" w14:textId="7162978C">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2C582A37" w14:textId="78C3EA0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4D584B6F" w14:textId="0EF6AAE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2EA307DA">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2C379A4C" w14:textId="6F2ABED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A7279D" w:rsidRPr="00071B37" w:rsidP="00A7279D" w14:paraId="6C272661" w14:textId="7FDFA7D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Pr="006E5FC1" w:rsidR="001E64D3">
              <w:rPr>
                <w:rFonts w:ascii="Times New Roman" w:hAnsi="Times New Roman" w:cs="Times New Roman"/>
                <w:sz w:val="20"/>
                <w:szCs w:val="20"/>
              </w:rPr>
              <w:t>413</w:t>
            </w:r>
            <w:r w:rsidRPr="006E5FC1">
              <w:rPr>
                <w:rFonts w:ascii="Times New Roman" w:hAnsi="Times New Roman" w:cs="Times New Roman"/>
                <w:sz w:val="20"/>
                <w:szCs w:val="20"/>
              </w:rPr>
              <w:t>.</w:t>
            </w:r>
            <w:r w:rsidRPr="006E5FC1" w:rsidR="001E64D3">
              <w:rPr>
                <w:rFonts w:ascii="Times New Roman" w:hAnsi="Times New Roman" w:cs="Times New Roman"/>
                <w:sz w:val="20"/>
                <w:szCs w:val="20"/>
              </w:rPr>
              <w:t>18</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4236FC09">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086B40" w:rsidRPr="00071B37" w:rsidP="00086B40" w14:paraId="6C89EED3" w14:textId="2276B8B1">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086B40" w:rsidRPr="00071B37" w:rsidP="00086B40" w14:paraId="029C0700" w14:textId="3F9830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623F7FA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086B40" w:rsidRPr="00071B37" w:rsidP="00086B40" w14:paraId="542486C0" w14:textId="7777777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2.7</w:t>
            </w:r>
          </w:p>
        </w:tc>
        <w:tc>
          <w:tcPr>
            <w:tcW w:w="1260" w:type="dxa"/>
            <w:noWrap/>
            <w:vAlign w:val="center"/>
          </w:tcPr>
          <w:p w:rsidR="00086B40" w:rsidRPr="00071B37" w:rsidP="00086B40" w14:paraId="18524952" w14:textId="391060D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$122.</w:t>
            </w:r>
            <w:r w:rsidRPr="006E5FC1" w:rsidR="00A7279D">
              <w:rPr>
                <w:rFonts w:ascii="Times New Roman" w:hAnsi="Times New Roman" w:cs="Times New Roman"/>
                <w:sz w:val="20"/>
                <w:szCs w:val="20"/>
              </w:rPr>
              <w:t>5</w:t>
            </w:r>
            <w:r w:rsidRPr="006E5FC1" w:rsidR="00BF2D07">
              <w:rPr>
                <w:rFonts w:ascii="Times New Roman" w:hAnsi="Times New Roman" w:cs="Times New Roman"/>
                <w:sz w:val="20"/>
                <w:szCs w:val="20"/>
              </w:rPr>
              <w:t>9</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2"/>
          </w:p>
        </w:tc>
        <w:tc>
          <w:tcPr>
            <w:tcW w:w="1080" w:type="dxa"/>
            <w:noWrap/>
            <w:vAlign w:val="center"/>
          </w:tcPr>
          <w:p w:rsidR="002D3F07" w:rsidRPr="004079DC" w:rsidP="002D3F07" w14:paraId="7D785F81" w14:textId="445FDCA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2D3F07" w:rsidRPr="00071B37" w:rsidP="002D3F07" w14:paraId="0DF4DA51" w14:textId="4239B4EF">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2D3F07" w:rsidRPr="00071B37" w:rsidP="002D3F07" w14:paraId="0568120C" w14:textId="3ADF0BB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2D3F07" w:rsidRPr="00071B37" w:rsidP="002D3F07" w14:paraId="048907D1" w14:textId="6B5647A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2D3F07" w:rsidRPr="00071B37" w:rsidP="002D3F07" w14:paraId="17FD8BE9"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2D3F07" w:rsidRPr="00071B37" w:rsidP="002D3F07" w14:paraId="74ED18D9" w14:textId="32E6709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2D3F07" w:rsidRPr="00071B37" w:rsidP="002D3F07" w14:paraId="46DF274E" w14:textId="0714DE1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2D3F07" w:rsidRPr="00071B37" w:rsidP="002D3F07" w14:paraId="79F3B985" w14:textId="235F7F5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BF2D07">
              <w:rPr>
                <w:rFonts w:ascii="Times New Roman" w:hAnsi="Times New Roman" w:cs="Times New Roman"/>
                <w:sz w:val="20"/>
                <w:szCs w:val="20"/>
              </w:rPr>
              <w:t>4</w:t>
            </w:r>
            <w:r w:rsidRPr="006E5FC1">
              <w:rPr>
                <w:rFonts w:ascii="Times New Roman" w:hAnsi="Times New Roman" w:cs="Times New Roman"/>
                <w:sz w:val="20"/>
                <w:szCs w:val="20"/>
              </w:rPr>
              <w:t>,</w:t>
            </w:r>
            <w:r w:rsidRPr="006E5FC1" w:rsidR="00BF2D07">
              <w:rPr>
                <w:rFonts w:ascii="Times New Roman" w:hAnsi="Times New Roman" w:cs="Times New Roman"/>
                <w:sz w:val="20"/>
                <w:szCs w:val="20"/>
              </w:rPr>
              <w:t>413</w:t>
            </w:r>
            <w:r w:rsidRPr="006E5FC1">
              <w:rPr>
                <w:rFonts w:ascii="Times New Roman" w:hAnsi="Times New Roman" w:cs="Times New Roman"/>
                <w:sz w:val="20"/>
                <w:szCs w:val="20"/>
              </w:rPr>
              <w:t>.</w:t>
            </w:r>
            <w:r w:rsidRPr="006E5FC1" w:rsidR="00BF2D07">
              <w:rPr>
                <w:rFonts w:ascii="Times New Roman" w:hAnsi="Times New Roman" w:cs="Times New Roman"/>
                <w:sz w:val="20"/>
                <w:szCs w:val="20"/>
              </w:rPr>
              <w:t>18</w:t>
            </w:r>
          </w:p>
        </w:tc>
      </w:tr>
      <w:tr w14:paraId="2113B115" w14:textId="77777777" w:rsidTr="00FB2ACC">
        <w:tblPrEx>
          <w:tblW w:w="11245" w:type="dxa"/>
          <w:tblLayout w:type="fixed"/>
          <w:tblLook w:val="04A0"/>
        </w:tblPrEx>
        <w:trPr>
          <w:cantSplit/>
          <w:trHeight w:val="180"/>
        </w:trPr>
        <w:tc>
          <w:tcPr>
            <w:tcW w:w="1525" w:type="dxa"/>
            <w:noWrap/>
            <w:vAlign w:val="bottom"/>
          </w:tcPr>
          <w:p w:rsidR="003F71E7" w:rsidRPr="004079DC" w:rsidP="003F71E7" w14:paraId="14886622" w14:textId="103C17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3F71E7" w:rsidP="003F71E7" w14:paraId="4FC2D362" w14:textId="21A56B4D">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3F71E7" w:rsidRPr="006E5FC1" w:rsidP="003F71E7" w14:paraId="003436D0" w14:textId="6D6F8736">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3F71E7" w:rsidRPr="00071B37" w:rsidP="003F71E7" w14:paraId="6E2785BA" w14:textId="6AA31CBF">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3F71E7" w:rsidRPr="00071B37" w:rsidP="003F71E7" w14:paraId="7D422B4D" w14:textId="7411095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3F71E7" w:rsidRPr="00071B37" w:rsidP="003F71E7" w14:paraId="6E84256D" w14:textId="4C9FCFB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3F71E7" w:rsidRPr="00071B37" w:rsidP="003F71E7" w14:paraId="5E9CBB8F" w14:textId="310C2C5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3F71E7" w:rsidRPr="006E5FC1" w:rsidP="003F71E7" w14:paraId="3DD44B9E" w14:textId="3B0E6D0F">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3F71E7" w:rsidRPr="006E5FC1" w:rsidP="003F71E7" w14:paraId="1465D11B" w14:textId="337AB5A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r w14:paraId="43FEDA3F"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58285856" w14:textId="6F13C1B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Screening for Social Drivers of Health Clinical Measure</w:t>
            </w:r>
          </w:p>
        </w:tc>
        <w:tc>
          <w:tcPr>
            <w:tcW w:w="1080" w:type="dxa"/>
            <w:noWrap/>
            <w:vAlign w:val="center"/>
          </w:tcPr>
          <w:p w:rsidR="008D5A24" w:rsidP="008D5A24" w14:paraId="1ED1BAC7" w14:textId="0597ECBD">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8D5A24" w:rsidRPr="006E5FC1" w:rsidP="008D5A24" w14:paraId="6EF72E78" w14:textId="3244A02C">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8D5A24" w:rsidRPr="00071B37" w:rsidP="008D5A24" w14:paraId="1BBEAB0E" w14:textId="0DC17EB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8D5A24" w:rsidRPr="00071B37" w:rsidP="008D5A24" w14:paraId="7CB4FC7E" w14:textId="70E08E5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464767C2" w14:textId="71C0A65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3C644C3A" w14:textId="1EC2586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8D5A24" w:rsidRPr="006E5FC1" w:rsidP="008D5A24" w14:paraId="6ECD233C" w14:textId="20C70905">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8D5A24" w:rsidRPr="006E5FC1" w:rsidP="008D5A24" w14:paraId="4ECDB0A7" w14:textId="0EB1B9DE">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r w14:paraId="0867CCEA"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21E99463" w14:textId="7A71F5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Positive Rate for Social Drivers of Health Reporting Measure</w:t>
            </w:r>
          </w:p>
        </w:tc>
        <w:tc>
          <w:tcPr>
            <w:tcW w:w="1080" w:type="dxa"/>
            <w:noWrap/>
            <w:vAlign w:val="center"/>
          </w:tcPr>
          <w:p w:rsidR="008D5A24" w:rsidP="008D5A24" w14:paraId="18EE5AA1" w14:textId="5334443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8D5A24" w:rsidRPr="006E5FC1" w:rsidP="008D5A24" w14:paraId="0B17A2F7" w14:textId="26B40153">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8D5A24" w:rsidRPr="00071B37" w:rsidP="008D5A24" w14:paraId="24D3945B" w14:textId="62A39BA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8D5A24" w:rsidRPr="00071B37" w:rsidP="008D5A24" w14:paraId="63EF2A7E" w14:textId="5EA69B3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693E0FE5" w14:textId="389CD349">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0CF4A228" w14:textId="1C95BAD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8D5A24" w:rsidRPr="006E5FC1" w:rsidP="008D5A24" w14:paraId="1FFD8378" w14:textId="372C9FF2">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8D5A24" w:rsidRPr="006E5FC1" w:rsidP="008D5A24" w14:paraId="5BA94924" w14:textId="4600CD5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343E042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 CY 202</w:t>
      </w:r>
      <w:r w:rsidR="008D5A24">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8D5A24">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27D29F4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4079DC" w:rsidR="00AC7F63">
              <w:rPr>
                <w:rFonts w:ascii="Times New Roman" w:eastAsia="Times New Roman" w:hAnsi="Times New Roman" w:cs="Times New Roman"/>
                <w:color w:val="000000"/>
                <w:sz w:val="20"/>
                <w:szCs w:val="20"/>
              </w:rPr>
              <w:t>,</w:t>
            </w:r>
            <w:r w:rsidR="00D330E2">
              <w:rPr>
                <w:rFonts w:ascii="Times New Roman" w:eastAsia="Times New Roman" w:hAnsi="Times New Roman" w:cs="Times New Roman"/>
                <w:color w:val="000000"/>
                <w:sz w:val="20"/>
                <w:szCs w:val="20"/>
              </w:rPr>
              <w:t>817</w:t>
            </w:r>
          </w:p>
        </w:tc>
        <w:tc>
          <w:tcPr>
            <w:tcW w:w="1710" w:type="dxa"/>
            <w:vAlign w:val="center"/>
          </w:tcPr>
          <w:p w:rsidR="003B40CC" w:rsidRPr="004079DC" w:rsidP="003B40CC" w14:paraId="73173A37" w14:textId="7D5F8EB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38142D">
              <w:rPr>
                <w:rFonts w:ascii="Times New Roman" w:eastAsia="Times New Roman" w:hAnsi="Times New Roman" w:cs="Times New Roman"/>
                <w:color w:val="000000"/>
                <w:sz w:val="20"/>
                <w:szCs w:val="20"/>
              </w:rPr>
              <w:t>67</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39</w:t>
            </w:r>
          </w:p>
        </w:tc>
        <w:tc>
          <w:tcPr>
            <w:tcW w:w="1890" w:type="dxa"/>
            <w:vAlign w:val="center"/>
          </w:tcPr>
          <w:p w:rsidR="003B40CC" w:rsidRPr="004079DC" w:rsidP="003B40CC" w14:paraId="5D2154AD" w14:textId="42CC632A">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6</w:t>
            </w:r>
            <w:r w:rsidR="00EA40E3">
              <w:rPr>
                <w:rFonts w:ascii="Times New Roman" w:eastAsia="Times New Roman" w:hAnsi="Times New Roman" w:cs="Times New Roman"/>
                <w:color w:val="000000"/>
                <w:sz w:val="20"/>
                <w:szCs w:val="20"/>
              </w:rPr>
              <w:t>72</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03</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4FF61B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r w:rsidR="00AC7F63">
              <w:rPr>
                <w:rFonts w:ascii="Times New Roman" w:eastAsia="Times New Roman" w:hAnsi="Times New Roman" w:cs="Times New Roman"/>
                <w:color w:val="000000"/>
                <w:sz w:val="20"/>
                <w:szCs w:val="20"/>
              </w:rPr>
              <w:t>,</w:t>
            </w:r>
            <w:r w:rsidR="00D330E2">
              <w:rPr>
                <w:rFonts w:ascii="Times New Roman" w:eastAsia="Times New Roman" w:hAnsi="Times New Roman" w:cs="Times New Roman"/>
                <w:color w:val="000000"/>
                <w:sz w:val="20"/>
                <w:szCs w:val="20"/>
              </w:rPr>
              <w:t>065</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832</w:t>
            </w:r>
          </w:p>
        </w:tc>
        <w:tc>
          <w:tcPr>
            <w:tcW w:w="1710" w:type="dxa"/>
            <w:vAlign w:val="center"/>
          </w:tcPr>
          <w:p w:rsidR="003B40CC" w:rsidRPr="004079DC" w:rsidP="003B40CC" w14:paraId="2628786A" w14:textId="7A569CF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877</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743</w:t>
            </w:r>
          </w:p>
        </w:tc>
        <w:tc>
          <w:tcPr>
            <w:tcW w:w="1890" w:type="dxa"/>
            <w:vAlign w:val="center"/>
          </w:tcPr>
          <w:p w:rsidR="003B40CC" w:rsidRPr="004079DC" w:rsidP="003B40CC" w14:paraId="79A03A45" w14:textId="31EB2564">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591</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977</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23479A7E">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720047">
              <w:rPr>
                <w:rFonts w:ascii="Times New Roman" w:hAnsi="Times New Roman" w:cs="Times New Roman"/>
                <w:b/>
                <w:color w:val="000000"/>
              </w:rPr>
              <w:t>5</w:t>
            </w:r>
            <w:r w:rsidRPr="004079DC">
              <w:rPr>
                <w:rFonts w:ascii="Times New Roman" w:hAnsi="Times New Roman" w:cs="Times New Roman"/>
                <w:b/>
                <w:color w:val="000000"/>
              </w:rPr>
              <w:t xml:space="preserve"> </w:t>
            </w:r>
          </w:p>
          <w:p w:rsidR="004079DC" w:rsidRPr="004079DC" w:rsidP="004079DC" w14:paraId="1BB47B17" w14:textId="3B0CAE72">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720047">
              <w:rPr>
                <w:rFonts w:ascii="Times New Roman" w:hAnsi="Times New Roman" w:cs="Times New Roman"/>
                <w:b/>
                <w:color w:val="000000"/>
              </w:rPr>
              <w:t>7</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7D71E7F4">
            <w:pPr>
              <w:ind w:left="720"/>
              <w:contextualSpacing/>
              <w:jc w:val="center"/>
              <w:rPr>
                <w:rFonts w:ascii="Times New Roman" w:hAnsi="Times New Roman" w:cs="Times New Roman"/>
              </w:rPr>
            </w:pPr>
            <w:r w:rsidRPr="004079DC">
              <w:rPr>
                <w:rFonts w:ascii="Times New Roman" w:hAnsi="Times New Roman" w:cs="Times New Roman"/>
              </w:rPr>
              <w:t>$4</w:t>
            </w:r>
            <w:r w:rsidR="00EA40E3">
              <w:rPr>
                <w:rFonts w:ascii="Times New Roman" w:hAnsi="Times New Roman" w:cs="Times New Roman"/>
              </w:rPr>
              <w:t>5</w:t>
            </w:r>
            <w:r w:rsidRPr="004079DC">
              <w:rPr>
                <w:rFonts w:ascii="Times New Roman" w:hAnsi="Times New Roman" w:cs="Times New Roman"/>
              </w:rPr>
              <w:t>.</w:t>
            </w:r>
            <w:r w:rsidR="00EA40E3">
              <w:rPr>
                <w:rFonts w:ascii="Times New Roman" w:hAnsi="Times New Roman" w:cs="Times New Roman"/>
              </w:rPr>
              <w:t>38</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2E870330">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D16EFD">
        <w:rPr>
          <w:rFonts w:ascii="Times New Roman" w:eastAsia="Times New Roman" w:hAnsi="Times New Roman" w:cs="Times New Roman"/>
          <w:color w:val="000000"/>
          <w:sz w:val="24"/>
          <w:szCs w:val="24"/>
        </w:rPr>
        <w:t>5</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04829A46">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55A1A">
        <w:rPr>
          <w:rFonts w:ascii="Times New Roman" w:hAnsi="Times New Roman" w:cs="Times New Roman"/>
          <w:sz w:val="24"/>
          <w:szCs w:val="24"/>
        </w:rPr>
        <w:t>2</w:t>
      </w:r>
      <w:r w:rsidRPr="004079DC" w:rsidR="00AC7F63">
        <w:rPr>
          <w:rFonts w:ascii="Times New Roman" w:hAnsi="Times New Roman" w:cs="Times New Roman"/>
          <w:sz w:val="24"/>
          <w:szCs w:val="24"/>
        </w:rPr>
        <w:t>.</w:t>
      </w:r>
      <w:r w:rsidR="00EA40E3">
        <w:rPr>
          <w:rFonts w:ascii="Times New Roman" w:hAnsi="Times New Roman" w:cs="Times New Roman"/>
          <w:sz w:val="24"/>
          <w:szCs w:val="24"/>
        </w:rPr>
        <w:t>69</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EA40E3">
        <w:rPr>
          <w:rFonts w:ascii="Times New Roman" w:hAnsi="Times New Roman" w:cs="Times New Roman"/>
          <w:sz w:val="24"/>
          <w:szCs w:val="24"/>
        </w:rPr>
        <w:t>5</w:t>
      </w:r>
      <w:r w:rsidRPr="004079DC" w:rsidR="00AC7F63">
        <w:rPr>
          <w:rFonts w:ascii="Times New Roman" w:hAnsi="Times New Roman" w:cs="Times New Roman"/>
          <w:sz w:val="24"/>
          <w:szCs w:val="24"/>
        </w:rPr>
        <w:t>.</w:t>
      </w:r>
      <w:r w:rsidR="00EA40E3">
        <w:rPr>
          <w:rFonts w:ascii="Times New Roman" w:hAnsi="Times New Roman" w:cs="Times New Roman"/>
          <w:sz w:val="24"/>
          <w:szCs w:val="24"/>
        </w:rPr>
        <w:t>38</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4E4E4D">
        <w:rPr>
          <w:rFonts w:ascii="Times New Roman" w:hAnsi="Times New Roman" w:cs="Times New Roman"/>
          <w:sz w:val="24"/>
          <w:szCs w:val="24"/>
        </w:rPr>
        <w:t>5</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F2521E">
        <w:rPr>
          <w:rFonts w:ascii="Times New Roman" w:hAnsi="Times New Roman" w:cs="Times New Roman"/>
          <w:sz w:val="24"/>
          <w:szCs w:val="24"/>
        </w:rPr>
        <w:t>4</w:t>
      </w:r>
      <w:r w:rsidR="00E43503">
        <w:rPr>
          <w:rFonts w:ascii="Times New Roman" w:hAnsi="Times New Roman" w:cs="Times New Roman"/>
          <w:sz w:val="24"/>
          <w:szCs w:val="24"/>
        </w:rPr>
        <w:t>,</w:t>
      </w:r>
      <w:r w:rsidR="00F2521E">
        <w:rPr>
          <w:rFonts w:ascii="Times New Roman" w:hAnsi="Times New Roman" w:cs="Times New Roman"/>
          <w:sz w:val="24"/>
          <w:szCs w:val="24"/>
        </w:rPr>
        <w:t>035</w:t>
      </w:r>
      <w:r w:rsidR="00386106">
        <w:rPr>
          <w:rFonts w:ascii="Times New Roman" w:hAnsi="Times New Roman" w:cs="Times New Roman"/>
          <w:sz w:val="24"/>
          <w:szCs w:val="24"/>
        </w:rPr>
        <w:t xml:space="preserve"> (750 hours x $4</w:t>
      </w:r>
      <w:r w:rsidR="009A12AC">
        <w:rPr>
          <w:rFonts w:ascii="Times New Roman" w:hAnsi="Times New Roman" w:cs="Times New Roman"/>
          <w:sz w:val="24"/>
          <w:szCs w:val="24"/>
        </w:rPr>
        <w:t>5</w:t>
      </w:r>
      <w:r w:rsidR="00386106">
        <w:rPr>
          <w:rFonts w:ascii="Times New Roman" w:hAnsi="Times New Roman" w:cs="Times New Roman"/>
          <w:sz w:val="24"/>
          <w:szCs w:val="24"/>
        </w:rPr>
        <w:t>.</w:t>
      </w:r>
      <w:r w:rsidR="009A12AC">
        <w:rPr>
          <w:rFonts w:ascii="Times New Roman" w:hAnsi="Times New Roman" w:cs="Times New Roman"/>
          <w:sz w:val="24"/>
          <w:szCs w:val="24"/>
        </w:rPr>
        <w:t>38</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7404C1B5">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4E4E4D">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4E4E4D">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0BA767B1">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4E4E4D">
              <w:rPr>
                <w:rFonts w:ascii="Times New Roman" w:eastAsia="Times New Roman" w:hAnsi="Times New Roman" w:cs="Times New Roman"/>
                <w:b/>
                <w:color w:val="000000"/>
                <w:sz w:val="20"/>
                <w:szCs w:val="20"/>
              </w:rPr>
              <w:t>5</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173FAFA0">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9A12AC">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38</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3E4FB184">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9A12AC">
              <w:rPr>
                <w:rFonts w:ascii="Times New Roman" w:eastAsia="Times New Roman" w:hAnsi="Times New Roman" w:cs="Times New Roman"/>
                <w:color w:val="000000"/>
                <w:sz w:val="20"/>
                <w:szCs w:val="20"/>
              </w:rPr>
              <w:t>3</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4</w:t>
            </w:r>
            <w:r w:rsidR="00B80DE2">
              <w:rPr>
                <w:rFonts w:ascii="Times New Roman" w:eastAsia="Times New Roman" w:hAnsi="Times New Roman" w:cs="Times New Roman"/>
                <w:color w:val="000000"/>
                <w:sz w:val="20"/>
                <w:szCs w:val="20"/>
              </w:rPr>
              <w:t>5</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6D0AADEE">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4E4E4D">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44773">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1E6D076B">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9A12AC">
              <w:rPr>
                <w:rFonts w:ascii="Times New Roman" w:eastAsia="Times New Roman" w:hAnsi="Times New Roman" w:cs="Times New Roman"/>
                <w:color w:val="000000"/>
                <w:sz w:val="20"/>
                <w:szCs w:val="20"/>
              </w:rPr>
              <w:t>3</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4</w:t>
            </w:r>
            <w:r w:rsidR="00B80DE2">
              <w:rPr>
                <w:rFonts w:ascii="Times New Roman" w:eastAsia="Times New Roman" w:hAnsi="Times New Roman" w:cs="Times New Roman"/>
                <w:color w:val="000000"/>
                <w:sz w:val="20"/>
                <w:szCs w:val="20"/>
              </w:rPr>
              <w:t>5</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58371974">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A41173">
              <w:rPr>
                <w:rFonts w:ascii="Times New Roman" w:eastAsia="Times New Roman" w:hAnsi="Times New Roman" w:cs="Times New Roman"/>
                <w:color w:val="000000"/>
                <w:sz w:val="20"/>
                <w:szCs w:val="20"/>
              </w:rPr>
              <w:t>4</w:t>
            </w:r>
            <w:r w:rsidR="00E43503">
              <w:rPr>
                <w:rFonts w:ascii="Times New Roman" w:eastAsia="Times New Roman" w:hAnsi="Times New Roman" w:cs="Times New Roman"/>
                <w:color w:val="000000"/>
                <w:sz w:val="20"/>
                <w:szCs w:val="20"/>
              </w:rPr>
              <w:t>,</w:t>
            </w:r>
            <w:r w:rsidR="00A41173">
              <w:rPr>
                <w:rFonts w:ascii="Times New Roman" w:eastAsia="Times New Roman" w:hAnsi="Times New Roman" w:cs="Times New Roman"/>
                <w:color w:val="000000"/>
                <w:sz w:val="20"/>
                <w:szCs w:val="20"/>
              </w:rPr>
              <w:t>035</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0105D9FF">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 xml:space="preserve">The annual burden hours are </w:t>
      </w:r>
      <w:r w:rsidR="00FF6CE1">
        <w:rPr>
          <w:rFonts w:ascii="Times New Roman" w:eastAsia="Times New Roman" w:hAnsi="Times New Roman" w:cs="Times New Roman"/>
          <w:bCs/>
          <w:sz w:val="24"/>
          <w:szCs w:val="24"/>
        </w:rPr>
        <w:t>959</w:t>
      </w:r>
      <w:r w:rsidRPr="00483032">
        <w:rPr>
          <w:rFonts w:ascii="Times New Roman" w:eastAsia="Times New Roman" w:hAnsi="Times New Roman" w:cs="Times New Roman"/>
          <w:bCs/>
          <w:sz w:val="24"/>
          <w:szCs w:val="24"/>
        </w:rPr>
        <w:t>,</w:t>
      </w:r>
      <w:r w:rsidR="00FF6CE1">
        <w:rPr>
          <w:rFonts w:ascii="Times New Roman" w:eastAsia="Times New Roman" w:hAnsi="Times New Roman" w:cs="Times New Roman"/>
          <w:bCs/>
          <w:sz w:val="24"/>
          <w:szCs w:val="24"/>
        </w:rPr>
        <w:t>497</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Pr="009779EC" w:rsidR="000A0E5A">
        <w:rPr>
          <w:rFonts w:ascii="Times New Roman" w:eastAsia="Times New Roman" w:hAnsi="Times New Roman" w:cs="Times New Roman"/>
          <w:bCs/>
          <w:sz w:val="24"/>
          <w:szCs w:val="24"/>
        </w:rPr>
        <w:t>877</w:t>
      </w:r>
      <w:r w:rsidRPr="009779EC">
        <w:rPr>
          <w:rFonts w:ascii="Times New Roman" w:eastAsia="Times New Roman" w:hAnsi="Times New Roman" w:cs="Times New Roman"/>
          <w:bCs/>
          <w:sz w:val="24"/>
          <w:szCs w:val="24"/>
        </w:rPr>
        <w:t>,</w:t>
      </w:r>
      <w:r w:rsidRPr="009779EC" w:rsidR="000A0E5A">
        <w:rPr>
          <w:rFonts w:ascii="Times New Roman" w:eastAsia="Times New Roman" w:hAnsi="Times New Roman" w:cs="Times New Roman"/>
          <w:bCs/>
          <w:sz w:val="24"/>
          <w:szCs w:val="24"/>
        </w:rPr>
        <w:t>743</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51179527">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3"/>
      <w:r w:rsidR="0056719B">
        <w:rPr>
          <w:rFonts w:ascii="Times New Roman" w:eastAsia="Times New Roman" w:hAnsi="Times New Roman" w:cs="Times New Roman"/>
          <w:sz w:val="24"/>
          <w:szCs w:val="24"/>
        </w:rPr>
        <w:t>$</w:t>
      </w:r>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D45062" w:rsidP="004079DC" w14:paraId="5E28EB50" w14:textId="52723DCE">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FB3DA3">
        <w:rPr>
          <w:rFonts w:ascii="Times New Roman" w:hAnsi="Times New Roman" w:cs="Times New Roman"/>
          <w:sz w:val="24"/>
          <w:szCs w:val="24"/>
        </w:rPr>
        <w:t>5</w:t>
      </w:r>
      <w:r w:rsidRPr="004079DC">
        <w:rPr>
          <w:rFonts w:ascii="Times New Roman" w:hAnsi="Times New Roman" w:cs="Times New Roman"/>
          <w:sz w:val="24"/>
          <w:szCs w:val="24"/>
        </w:rPr>
        <w:t xml:space="preserve">, we are </w:t>
      </w:r>
      <w:r w:rsidRPr="00E21838" w:rsidR="009F6927">
        <w:rPr>
          <w:rFonts w:ascii="Times New Roman" w:eastAsia="Times New Roman" w:hAnsi="Times New Roman" w:cs="Times New Roman"/>
          <w:sz w:val="24"/>
          <w:szCs w:val="24"/>
        </w:rPr>
        <w:t xml:space="preserve">proposing to replace the Kt/V Dialysis Adequacy Comprehensive clinical measure, on which facility performance is scored on a single measure based on one set of performance standards, with a Kt/V Dialysis Adequacy measure topic, which would be comprised of four individual Kt/V measures and be scored based on a separate set of performance standards for each of those measures.  </w:t>
      </w:r>
      <w:r w:rsidRPr="0099394B" w:rsidR="0099394B">
        <w:rPr>
          <w:rFonts w:ascii="Times New Roman" w:eastAsia="Times New Roman" w:hAnsi="Times New Roman" w:cs="Times New Roman"/>
          <w:sz w:val="24"/>
          <w:szCs w:val="24"/>
        </w:rPr>
        <w:t>However, we are not proposing to update facility reporting requirements as part of that proposal</w:t>
      </w:r>
      <w:r w:rsidR="0099394B">
        <w:rPr>
          <w:rFonts w:ascii="Times New Roman" w:eastAsia="Times New Roman" w:hAnsi="Times New Roman" w:cs="Times New Roman"/>
          <w:sz w:val="24"/>
          <w:szCs w:val="24"/>
        </w:rPr>
        <w:t xml:space="preserve">, and therefore do not </w:t>
      </w:r>
      <w:r w:rsidR="00CC1B20">
        <w:rPr>
          <w:rFonts w:ascii="Times New Roman" w:eastAsia="Times New Roman" w:hAnsi="Times New Roman" w:cs="Times New Roman"/>
          <w:sz w:val="24"/>
          <w:szCs w:val="24"/>
        </w:rPr>
        <w:t>estimate any increased reporting burden</w:t>
      </w:r>
      <w:r w:rsidR="0094478E">
        <w:rPr>
          <w:rFonts w:ascii="Times New Roman" w:eastAsia="Times New Roman" w:hAnsi="Times New Roman" w:cs="Times New Roman"/>
          <w:sz w:val="24"/>
          <w:szCs w:val="24"/>
        </w:rPr>
        <w:t xml:space="preserve"> associated with the proposed Kt/V Dialysis Adequacy measure topic</w:t>
      </w:r>
      <w:r w:rsidR="00FE52D3">
        <w:rPr>
          <w:rFonts w:ascii="Times New Roman" w:eastAsia="Times New Roman" w:hAnsi="Times New Roman" w:cs="Times New Roman"/>
          <w:sz w:val="24"/>
          <w:szCs w:val="24"/>
        </w:rPr>
        <w:t xml:space="preserve">.  </w:t>
      </w:r>
      <w:r w:rsidRPr="004079DC" w:rsidR="00AC4674">
        <w:rPr>
          <w:rFonts w:ascii="Times New Roman" w:hAnsi="Times New Roman" w:cs="Times New Roman"/>
          <w:sz w:val="24"/>
          <w:szCs w:val="24"/>
        </w:rPr>
        <w:t xml:space="preserve">The </w:t>
      </w:r>
      <w:r w:rsidR="00AC4674">
        <w:rPr>
          <w:rFonts w:ascii="Times New Roman" w:hAnsi="Times New Roman" w:cs="Times New Roman"/>
          <w:sz w:val="24"/>
          <w:szCs w:val="24"/>
        </w:rPr>
        <w:t>annual burden hours</w:t>
      </w:r>
      <w:r w:rsidRPr="004079DC" w:rsidR="00AC4674">
        <w:rPr>
          <w:rFonts w:ascii="Times New Roman" w:hAnsi="Times New Roman" w:cs="Times New Roman"/>
          <w:sz w:val="24"/>
          <w:szCs w:val="24"/>
        </w:rPr>
        <w:t xml:space="preserve"> specified in this PRA package (for the CY 202</w:t>
      </w:r>
      <w:r w:rsidR="00AC4674">
        <w:rPr>
          <w:rFonts w:ascii="Times New Roman" w:hAnsi="Times New Roman" w:cs="Times New Roman"/>
          <w:sz w:val="24"/>
          <w:szCs w:val="24"/>
        </w:rPr>
        <w:t>5</w:t>
      </w:r>
      <w:r w:rsidRPr="004079DC" w:rsidR="00AC4674">
        <w:rPr>
          <w:rFonts w:ascii="Times New Roman" w:hAnsi="Times New Roman" w:cs="Times New Roman"/>
          <w:sz w:val="24"/>
          <w:szCs w:val="24"/>
        </w:rPr>
        <w:t xml:space="preserve"> ESRD PPS </w:t>
      </w:r>
      <w:r w:rsidR="00AC4674">
        <w:rPr>
          <w:rFonts w:ascii="Times New Roman" w:hAnsi="Times New Roman" w:cs="Times New Roman"/>
          <w:sz w:val="24"/>
          <w:szCs w:val="24"/>
        </w:rPr>
        <w:t>proposed</w:t>
      </w:r>
      <w:r w:rsidRPr="004079DC" w:rsidR="00AC4674">
        <w:rPr>
          <w:rFonts w:ascii="Times New Roman" w:hAnsi="Times New Roman" w:cs="Times New Roman"/>
          <w:sz w:val="24"/>
          <w:szCs w:val="24"/>
        </w:rPr>
        <w:t xml:space="preserve"> rule) </w:t>
      </w:r>
      <w:r w:rsidRPr="009D1C06" w:rsidR="00AC4674">
        <w:rPr>
          <w:rFonts w:ascii="Times New Roman" w:hAnsi="Times New Roman" w:cs="Times New Roman"/>
          <w:sz w:val="24"/>
          <w:szCs w:val="24"/>
        </w:rPr>
        <w:t xml:space="preserve">for the 3-year OMB approval period </w:t>
      </w:r>
      <w:r w:rsidR="00DC7458">
        <w:rPr>
          <w:rFonts w:ascii="Times New Roman" w:hAnsi="Times New Roman" w:cs="Times New Roman"/>
          <w:sz w:val="24"/>
          <w:szCs w:val="24"/>
        </w:rPr>
        <w:t>decrease from</w:t>
      </w:r>
      <w:r w:rsidR="00AC4674">
        <w:rPr>
          <w:rFonts w:ascii="Times New Roman" w:hAnsi="Times New Roman" w:cs="Times New Roman"/>
          <w:sz w:val="24"/>
          <w:szCs w:val="24"/>
        </w:rPr>
        <w:t xml:space="preserve"> the currently approved</w:t>
      </w:r>
      <w:r w:rsidRPr="004079DC" w:rsidR="00AC4674">
        <w:rPr>
          <w:rFonts w:ascii="Times New Roman" w:hAnsi="Times New Roman" w:cs="Times New Roman"/>
          <w:sz w:val="24"/>
          <w:szCs w:val="24"/>
        </w:rPr>
        <w:t xml:space="preserve"> PRA package (associated with the CY 20</w:t>
      </w:r>
      <w:r w:rsidR="00AC4674">
        <w:rPr>
          <w:rFonts w:ascii="Times New Roman" w:hAnsi="Times New Roman" w:cs="Times New Roman"/>
          <w:sz w:val="24"/>
          <w:szCs w:val="24"/>
        </w:rPr>
        <w:t>2</w:t>
      </w:r>
      <w:r w:rsidR="00DC7458">
        <w:rPr>
          <w:rFonts w:ascii="Times New Roman" w:hAnsi="Times New Roman" w:cs="Times New Roman"/>
          <w:sz w:val="24"/>
          <w:szCs w:val="24"/>
        </w:rPr>
        <w:t>4</w:t>
      </w:r>
      <w:r w:rsidRPr="004079DC" w:rsidR="00AC4674">
        <w:rPr>
          <w:rFonts w:ascii="Times New Roman" w:hAnsi="Times New Roman" w:cs="Times New Roman"/>
          <w:sz w:val="24"/>
          <w:szCs w:val="24"/>
        </w:rPr>
        <w:t xml:space="preserve"> ESRD PPS final rule)</w:t>
      </w:r>
      <w:r w:rsidR="00AC4674">
        <w:rPr>
          <w:rFonts w:ascii="Times New Roman" w:hAnsi="Times New Roman" w:cs="Times New Roman"/>
          <w:sz w:val="24"/>
          <w:szCs w:val="24"/>
        </w:rPr>
        <w:t xml:space="preserve">, </w:t>
      </w:r>
      <w:r w:rsidR="00DC7458">
        <w:rPr>
          <w:rFonts w:ascii="Times New Roman" w:hAnsi="Times New Roman" w:cs="Times New Roman"/>
          <w:sz w:val="24"/>
          <w:szCs w:val="24"/>
        </w:rPr>
        <w:t xml:space="preserve">from </w:t>
      </w:r>
      <w:r w:rsidR="00152B74">
        <w:rPr>
          <w:rFonts w:ascii="Times New Roman" w:hAnsi="Times New Roman" w:cs="Times New Roman"/>
          <w:sz w:val="24"/>
          <w:szCs w:val="24"/>
        </w:rPr>
        <w:t>1,848,212 annual burden hours to 959,497 burden hours</w:t>
      </w:r>
      <w:r w:rsidRPr="004079DC" w:rsidR="00AC4674">
        <w:rPr>
          <w:rFonts w:ascii="Times New Roman" w:hAnsi="Times New Roman" w:cs="Times New Roman"/>
          <w:sz w:val="24"/>
          <w:szCs w:val="24"/>
        </w:rPr>
        <w:t xml:space="preserve">. </w:t>
      </w:r>
      <w:r w:rsidR="00AC4674">
        <w:rPr>
          <w:rFonts w:ascii="Times New Roman" w:hAnsi="Times New Roman" w:cs="Times New Roman"/>
          <w:sz w:val="24"/>
          <w:szCs w:val="24"/>
        </w:rPr>
        <w:t xml:space="preserve"> </w:t>
      </w:r>
      <w:r w:rsidR="00152B74">
        <w:rPr>
          <w:rFonts w:ascii="Times New Roman" w:hAnsi="Times New Roman" w:cs="Times New Roman"/>
          <w:sz w:val="24"/>
          <w:szCs w:val="24"/>
        </w:rPr>
        <w:t xml:space="preserve">That is because the </w:t>
      </w:r>
      <w:r w:rsidR="00247AF4">
        <w:rPr>
          <w:rFonts w:ascii="Times New Roman" w:hAnsi="Times New Roman" w:cs="Times New Roman"/>
          <w:sz w:val="24"/>
          <w:szCs w:val="24"/>
        </w:rPr>
        <w:t xml:space="preserve">annual burden hours in the currently approved PRA package </w:t>
      </w:r>
      <w:r w:rsidR="00C97ADF">
        <w:rPr>
          <w:rFonts w:ascii="Times New Roman" w:hAnsi="Times New Roman" w:cs="Times New Roman"/>
          <w:sz w:val="24"/>
          <w:szCs w:val="24"/>
        </w:rPr>
        <w:t xml:space="preserve">associated with the CY 2024 ESRD PPS final rule </w:t>
      </w:r>
      <w:r w:rsidR="00247AF4">
        <w:rPr>
          <w:rFonts w:ascii="Times New Roman" w:hAnsi="Times New Roman" w:cs="Times New Roman"/>
          <w:sz w:val="24"/>
          <w:szCs w:val="24"/>
        </w:rPr>
        <w:t>include burden hours for both PY 2026 and PY 202</w:t>
      </w:r>
      <w:r w:rsidR="00C97ADF">
        <w:rPr>
          <w:rFonts w:ascii="Times New Roman" w:hAnsi="Times New Roman" w:cs="Times New Roman"/>
          <w:sz w:val="24"/>
          <w:szCs w:val="24"/>
        </w:rPr>
        <w:t xml:space="preserve">7, </w:t>
      </w:r>
      <w:r w:rsidR="009234D2">
        <w:rPr>
          <w:rFonts w:ascii="Times New Roman" w:hAnsi="Times New Roman" w:cs="Times New Roman"/>
          <w:sz w:val="24"/>
          <w:szCs w:val="24"/>
        </w:rPr>
        <w:t xml:space="preserve">reflecting 2.6 million hours in PY 2026 and 2.8 million hours in PY 2027 </w:t>
      </w:r>
      <w:r w:rsidR="009D7379">
        <w:rPr>
          <w:rFonts w:ascii="Times New Roman" w:hAnsi="Times New Roman" w:cs="Times New Roman"/>
          <w:sz w:val="24"/>
          <w:szCs w:val="24"/>
        </w:rPr>
        <w:t xml:space="preserve">across all dialysis facilities </w:t>
      </w:r>
      <w:r w:rsidR="00C97ADF">
        <w:rPr>
          <w:rFonts w:ascii="Times New Roman" w:hAnsi="Times New Roman" w:cs="Times New Roman"/>
          <w:sz w:val="24"/>
          <w:szCs w:val="24"/>
        </w:rPr>
        <w:t xml:space="preserve">averaged out over three years. </w:t>
      </w:r>
      <w:r w:rsidR="009D7379">
        <w:rPr>
          <w:rFonts w:ascii="Times New Roman" w:hAnsi="Times New Roman" w:cs="Times New Roman"/>
          <w:sz w:val="24"/>
          <w:szCs w:val="24"/>
        </w:rPr>
        <w:t xml:space="preserve"> Because t</w:t>
      </w:r>
      <w:r w:rsidR="00AC0453">
        <w:rPr>
          <w:rFonts w:ascii="Times New Roman" w:hAnsi="Times New Roman" w:cs="Times New Roman"/>
          <w:sz w:val="24"/>
          <w:szCs w:val="24"/>
        </w:rPr>
        <w:t xml:space="preserve">he CY 2025 ESRD PPS proposed rule only </w:t>
      </w:r>
      <w:r w:rsidR="009D7379">
        <w:rPr>
          <w:rFonts w:ascii="Times New Roman" w:hAnsi="Times New Roman" w:cs="Times New Roman"/>
          <w:sz w:val="24"/>
          <w:szCs w:val="24"/>
        </w:rPr>
        <w:t xml:space="preserve">discusses </w:t>
      </w:r>
      <w:r w:rsidR="00AC0453">
        <w:rPr>
          <w:rFonts w:ascii="Times New Roman" w:hAnsi="Times New Roman" w:cs="Times New Roman"/>
          <w:sz w:val="24"/>
          <w:szCs w:val="24"/>
        </w:rPr>
        <w:t>PY 2027</w:t>
      </w:r>
      <w:r w:rsidR="00E72920">
        <w:rPr>
          <w:rFonts w:ascii="Times New Roman" w:hAnsi="Times New Roman" w:cs="Times New Roman"/>
          <w:sz w:val="24"/>
          <w:szCs w:val="24"/>
        </w:rPr>
        <w:t xml:space="preserve"> policies and proposals</w:t>
      </w:r>
      <w:r w:rsidR="009063E4">
        <w:rPr>
          <w:rFonts w:ascii="Times New Roman" w:hAnsi="Times New Roman" w:cs="Times New Roman"/>
          <w:sz w:val="24"/>
          <w:szCs w:val="24"/>
        </w:rPr>
        <w:t xml:space="preserve">, this PRA package only reflects </w:t>
      </w:r>
      <w:r w:rsidR="00E72920">
        <w:rPr>
          <w:rFonts w:ascii="Times New Roman" w:hAnsi="Times New Roman" w:cs="Times New Roman"/>
          <w:sz w:val="24"/>
          <w:szCs w:val="24"/>
        </w:rPr>
        <w:t xml:space="preserve">the 2.8 million </w:t>
      </w:r>
      <w:r w:rsidR="009063E4">
        <w:rPr>
          <w:rFonts w:ascii="Times New Roman" w:hAnsi="Times New Roman" w:cs="Times New Roman"/>
          <w:sz w:val="24"/>
          <w:szCs w:val="24"/>
        </w:rPr>
        <w:t>burden hours for PY 2027</w:t>
      </w:r>
      <w:r w:rsidR="009234D2">
        <w:rPr>
          <w:rFonts w:ascii="Times New Roman" w:hAnsi="Times New Roman" w:cs="Times New Roman"/>
          <w:sz w:val="24"/>
          <w:szCs w:val="24"/>
        </w:rPr>
        <w:t xml:space="preserve">.  </w:t>
      </w:r>
      <w:r w:rsidR="007B4FAC">
        <w:rPr>
          <w:rFonts w:ascii="Times New Roman" w:hAnsi="Times New Roman" w:cs="Times New Roman"/>
          <w:sz w:val="24"/>
          <w:szCs w:val="24"/>
        </w:rPr>
        <w:t xml:space="preserve">Averaged out over the three years, the annual burden hours are </w:t>
      </w:r>
      <w:r w:rsidR="00547E8A">
        <w:rPr>
          <w:rFonts w:ascii="Times New Roman" w:hAnsi="Times New Roman" w:cs="Times New Roman"/>
          <w:sz w:val="24"/>
          <w:szCs w:val="24"/>
        </w:rPr>
        <w:t>959</w:t>
      </w:r>
      <w:r w:rsidR="007B4FAC">
        <w:rPr>
          <w:rFonts w:ascii="Times New Roman" w:hAnsi="Times New Roman" w:cs="Times New Roman"/>
          <w:sz w:val="24"/>
          <w:szCs w:val="24"/>
        </w:rPr>
        <w:t>,</w:t>
      </w:r>
      <w:r w:rsidR="00547E8A">
        <w:rPr>
          <w:rFonts w:ascii="Times New Roman" w:hAnsi="Times New Roman" w:cs="Times New Roman"/>
          <w:sz w:val="24"/>
          <w:szCs w:val="24"/>
        </w:rPr>
        <w:t>497</w:t>
      </w:r>
      <w:r w:rsidR="007B4FAC">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 xml:space="preserve">The goal of the data collection is to evaluate facility performance on measures in the ESRD QIP measure set for the given year </w:t>
      </w:r>
      <w:r w:rsidRPr="004079DC">
        <w:rPr>
          <w:rFonts w:ascii="Times New Roman" w:eastAsia="Times New Roman" w:hAnsi="Times New Roman" w:cs="Times New Roman"/>
          <w:sz w:val="24"/>
          <w:szCs w:val="24"/>
        </w:rPr>
        <w:t>in order to</w:t>
      </w:r>
      <w:r w:rsidRPr="004079DC">
        <w:rPr>
          <w:rFonts w:ascii="Times New Roman" w:eastAsia="Times New Roman" w:hAnsi="Times New Roman" w:cs="Times New Roman"/>
          <w:sz w:val="24"/>
          <w:szCs w:val="24"/>
        </w:rPr>
        <w:t xml:space="preserve">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79C" w:rsidP="004079DC" w14:paraId="559DA36D" w14:textId="77777777">
      <w:pPr>
        <w:spacing w:after="0" w:line="240" w:lineRule="auto"/>
      </w:pPr>
      <w:r>
        <w:separator/>
      </w:r>
    </w:p>
  </w:footnote>
  <w:footnote w:type="continuationSeparator" w:id="1">
    <w:p w:rsidR="0026579C" w:rsidP="004079DC" w14:paraId="041DA236" w14:textId="77777777">
      <w:pPr>
        <w:spacing w:after="0" w:line="240" w:lineRule="auto"/>
      </w:pPr>
      <w:r>
        <w:continuationSeparator/>
      </w:r>
    </w:p>
  </w:footnote>
  <w:footnote w:type="continuationNotice" w:id="2">
    <w:p w:rsidR="0026579C" w14:paraId="0356279C"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99063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99063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Pr>
          <w:rFonts w:ascii="Times New Roman" w:hAnsi="Times New Roman" w:cs="Times New Roman"/>
        </w:rPr>
        <w:t>.</w:t>
      </w:r>
    </w:p>
  </w:footnote>
  <w:footnote w:id="10">
    <w:p w:rsidR="0099063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546869C4">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231D25" w:rsidR="00231D25">
        <w:rPr>
          <w:rFonts w:ascii="Times New Roman" w:hAnsi="Times New Roman" w:cs="Times New Roman"/>
        </w:rPr>
        <w:t>https://www.bls.gov/oes/2022/may/oes292072.htm</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73C9FA9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history="1">
        <w:r w:rsidRPr="002C7F22" w:rsidR="00827403">
          <w:rPr>
            <w:rStyle w:val="Hyperlink"/>
            <w:rFonts w:ascii="Times New Roman" w:hAnsi="Times New Roman" w:cs="Times New Roman"/>
            <w:sz w:val="20"/>
            <w:szCs w:val="20"/>
          </w:rPr>
          <w:t>https://www.bls.gov/oes/2022/may/oes292072.htm</w:t>
        </w:r>
      </w:hyperlink>
      <w:r w:rsidR="00C55A1A">
        <w:rPr>
          <w:rFonts w:ascii="Times New Roman" w:hAnsi="Times New Roman" w:cs="Times New Roman"/>
          <w:color w:val="000000"/>
          <w:sz w:val="20"/>
          <w:szCs w:val="20"/>
        </w:rPr>
        <w:t xml:space="preserve"> </w:t>
      </w:r>
      <w:r w:rsidRPr="00E65EFD">
        <w:rPr>
          <w:rFonts w:ascii="Times New Roman" w:hAnsi="Times New Roman" w:cs="Times New Roman"/>
          <w:color w:val="000000"/>
          <w:sz w:val="20"/>
          <w:szCs w:val="20"/>
        </w:rPr>
        <w:t>(Estimates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4F2F91"/>
    <w:multiLevelType w:val="hybridMultilevel"/>
    <w:tmpl w:val="11E6E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6"/>
  </w:num>
  <w:num w:numId="4" w16cid:durableId="1440225587">
    <w:abstractNumId w:val="12"/>
  </w:num>
  <w:num w:numId="5" w16cid:durableId="323825367">
    <w:abstractNumId w:val="15"/>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4"/>
  </w:num>
  <w:num w:numId="15" w16cid:durableId="1370498227">
    <w:abstractNumId w:val="8"/>
  </w:num>
  <w:num w:numId="16" w16cid:durableId="716315207">
    <w:abstractNumId w:val="9"/>
  </w:num>
  <w:num w:numId="17" w16cid:durableId="2046523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22944"/>
    <w:rsid w:val="0002482C"/>
    <w:rsid w:val="00025283"/>
    <w:rsid w:val="00026E68"/>
    <w:rsid w:val="00030235"/>
    <w:rsid w:val="000308A8"/>
    <w:rsid w:val="00032871"/>
    <w:rsid w:val="00034DC5"/>
    <w:rsid w:val="00037636"/>
    <w:rsid w:val="00042D85"/>
    <w:rsid w:val="0004301A"/>
    <w:rsid w:val="00044391"/>
    <w:rsid w:val="00044FFF"/>
    <w:rsid w:val="000465FC"/>
    <w:rsid w:val="00050F10"/>
    <w:rsid w:val="000511A7"/>
    <w:rsid w:val="00051F4D"/>
    <w:rsid w:val="00052308"/>
    <w:rsid w:val="000567CF"/>
    <w:rsid w:val="0005751A"/>
    <w:rsid w:val="00063076"/>
    <w:rsid w:val="0006762D"/>
    <w:rsid w:val="00070850"/>
    <w:rsid w:val="00071B37"/>
    <w:rsid w:val="000777E8"/>
    <w:rsid w:val="00083BD2"/>
    <w:rsid w:val="000850FE"/>
    <w:rsid w:val="00086B40"/>
    <w:rsid w:val="000877F2"/>
    <w:rsid w:val="00087926"/>
    <w:rsid w:val="000961F3"/>
    <w:rsid w:val="000A055A"/>
    <w:rsid w:val="000A0E5A"/>
    <w:rsid w:val="000A2FEA"/>
    <w:rsid w:val="000A5813"/>
    <w:rsid w:val="000A7258"/>
    <w:rsid w:val="000B27E3"/>
    <w:rsid w:val="000B3529"/>
    <w:rsid w:val="000B39F3"/>
    <w:rsid w:val="000B790B"/>
    <w:rsid w:val="000B7E4F"/>
    <w:rsid w:val="000C0239"/>
    <w:rsid w:val="000C0C0C"/>
    <w:rsid w:val="000D0311"/>
    <w:rsid w:val="000D04F6"/>
    <w:rsid w:val="000D0F8D"/>
    <w:rsid w:val="000E64A2"/>
    <w:rsid w:val="000E69A1"/>
    <w:rsid w:val="000E79FF"/>
    <w:rsid w:val="000F0859"/>
    <w:rsid w:val="000F365C"/>
    <w:rsid w:val="000F4E74"/>
    <w:rsid w:val="00101D75"/>
    <w:rsid w:val="001020EC"/>
    <w:rsid w:val="001041F9"/>
    <w:rsid w:val="0010478C"/>
    <w:rsid w:val="00104F33"/>
    <w:rsid w:val="001101A4"/>
    <w:rsid w:val="00111A58"/>
    <w:rsid w:val="00114013"/>
    <w:rsid w:val="001241E8"/>
    <w:rsid w:val="00124B14"/>
    <w:rsid w:val="00135800"/>
    <w:rsid w:val="00140F93"/>
    <w:rsid w:val="0014194D"/>
    <w:rsid w:val="00145437"/>
    <w:rsid w:val="00145642"/>
    <w:rsid w:val="00147FDD"/>
    <w:rsid w:val="00150BA2"/>
    <w:rsid w:val="00152B74"/>
    <w:rsid w:val="00154B45"/>
    <w:rsid w:val="001557F6"/>
    <w:rsid w:val="00160E1F"/>
    <w:rsid w:val="00165DF2"/>
    <w:rsid w:val="001742BF"/>
    <w:rsid w:val="00174A41"/>
    <w:rsid w:val="00176060"/>
    <w:rsid w:val="0018256E"/>
    <w:rsid w:val="00183661"/>
    <w:rsid w:val="001838E4"/>
    <w:rsid w:val="00186604"/>
    <w:rsid w:val="00187B29"/>
    <w:rsid w:val="00187FE3"/>
    <w:rsid w:val="0019558C"/>
    <w:rsid w:val="001A0798"/>
    <w:rsid w:val="001A0D3A"/>
    <w:rsid w:val="001A106D"/>
    <w:rsid w:val="001A11DA"/>
    <w:rsid w:val="001A5A52"/>
    <w:rsid w:val="001A5D45"/>
    <w:rsid w:val="001A687C"/>
    <w:rsid w:val="001A7CFC"/>
    <w:rsid w:val="001B04A3"/>
    <w:rsid w:val="001B0FE2"/>
    <w:rsid w:val="001B1056"/>
    <w:rsid w:val="001B3783"/>
    <w:rsid w:val="001B4F12"/>
    <w:rsid w:val="001B4F53"/>
    <w:rsid w:val="001C13AD"/>
    <w:rsid w:val="001C2091"/>
    <w:rsid w:val="001C4527"/>
    <w:rsid w:val="001C4A0B"/>
    <w:rsid w:val="001D0438"/>
    <w:rsid w:val="001D4B34"/>
    <w:rsid w:val="001D65E6"/>
    <w:rsid w:val="001D7BD8"/>
    <w:rsid w:val="001E64D3"/>
    <w:rsid w:val="001F1EA2"/>
    <w:rsid w:val="001F4342"/>
    <w:rsid w:val="001F6CE2"/>
    <w:rsid w:val="00205569"/>
    <w:rsid w:val="002121A7"/>
    <w:rsid w:val="002145DE"/>
    <w:rsid w:val="002217E4"/>
    <w:rsid w:val="002248E3"/>
    <w:rsid w:val="00224B22"/>
    <w:rsid w:val="00225EF3"/>
    <w:rsid w:val="0022701E"/>
    <w:rsid w:val="00231D25"/>
    <w:rsid w:val="0023340D"/>
    <w:rsid w:val="002418FC"/>
    <w:rsid w:val="002423FC"/>
    <w:rsid w:val="00246323"/>
    <w:rsid w:val="00247AF4"/>
    <w:rsid w:val="00250098"/>
    <w:rsid w:val="00250A87"/>
    <w:rsid w:val="00254788"/>
    <w:rsid w:val="002600F5"/>
    <w:rsid w:val="0026100C"/>
    <w:rsid w:val="0026579C"/>
    <w:rsid w:val="00266417"/>
    <w:rsid w:val="00267A00"/>
    <w:rsid w:val="00267CDD"/>
    <w:rsid w:val="00270387"/>
    <w:rsid w:val="0027688D"/>
    <w:rsid w:val="002776F2"/>
    <w:rsid w:val="00283B12"/>
    <w:rsid w:val="00283FF7"/>
    <w:rsid w:val="002865F8"/>
    <w:rsid w:val="00290CC6"/>
    <w:rsid w:val="002914C6"/>
    <w:rsid w:val="00297EA8"/>
    <w:rsid w:val="002B07B6"/>
    <w:rsid w:val="002B246B"/>
    <w:rsid w:val="002B2563"/>
    <w:rsid w:val="002B59C4"/>
    <w:rsid w:val="002B6625"/>
    <w:rsid w:val="002C1B9B"/>
    <w:rsid w:val="002C3A34"/>
    <w:rsid w:val="002C42C5"/>
    <w:rsid w:val="002C5436"/>
    <w:rsid w:val="002C7F22"/>
    <w:rsid w:val="002D3F07"/>
    <w:rsid w:val="002E27D3"/>
    <w:rsid w:val="002E4151"/>
    <w:rsid w:val="002F175F"/>
    <w:rsid w:val="002F67D5"/>
    <w:rsid w:val="00300FC7"/>
    <w:rsid w:val="0030153D"/>
    <w:rsid w:val="00313AE4"/>
    <w:rsid w:val="00314665"/>
    <w:rsid w:val="00316CEE"/>
    <w:rsid w:val="00316D62"/>
    <w:rsid w:val="00325F90"/>
    <w:rsid w:val="00327F74"/>
    <w:rsid w:val="00330BEC"/>
    <w:rsid w:val="00332231"/>
    <w:rsid w:val="00332883"/>
    <w:rsid w:val="003332AE"/>
    <w:rsid w:val="0034282B"/>
    <w:rsid w:val="00343380"/>
    <w:rsid w:val="00344773"/>
    <w:rsid w:val="003447E7"/>
    <w:rsid w:val="00345717"/>
    <w:rsid w:val="0034772C"/>
    <w:rsid w:val="00347FEC"/>
    <w:rsid w:val="00352B72"/>
    <w:rsid w:val="00354D32"/>
    <w:rsid w:val="00370DBC"/>
    <w:rsid w:val="00373E2F"/>
    <w:rsid w:val="00374DCF"/>
    <w:rsid w:val="003769D1"/>
    <w:rsid w:val="0038142D"/>
    <w:rsid w:val="00382729"/>
    <w:rsid w:val="003828D0"/>
    <w:rsid w:val="00383837"/>
    <w:rsid w:val="00386106"/>
    <w:rsid w:val="0038621F"/>
    <w:rsid w:val="003901BB"/>
    <w:rsid w:val="003908CA"/>
    <w:rsid w:val="00392D89"/>
    <w:rsid w:val="00393F2B"/>
    <w:rsid w:val="0039472B"/>
    <w:rsid w:val="00395198"/>
    <w:rsid w:val="00397115"/>
    <w:rsid w:val="003A0CB9"/>
    <w:rsid w:val="003A1FAA"/>
    <w:rsid w:val="003A3A4E"/>
    <w:rsid w:val="003B0C44"/>
    <w:rsid w:val="003B0C6E"/>
    <w:rsid w:val="003B3491"/>
    <w:rsid w:val="003B40CC"/>
    <w:rsid w:val="003C1D95"/>
    <w:rsid w:val="003C4E66"/>
    <w:rsid w:val="003D03DF"/>
    <w:rsid w:val="003D2DB6"/>
    <w:rsid w:val="003D4459"/>
    <w:rsid w:val="003D6D1D"/>
    <w:rsid w:val="003D7E06"/>
    <w:rsid w:val="003E00C5"/>
    <w:rsid w:val="003E186A"/>
    <w:rsid w:val="003E3097"/>
    <w:rsid w:val="003E3A9A"/>
    <w:rsid w:val="003E71BF"/>
    <w:rsid w:val="003F23C4"/>
    <w:rsid w:val="003F5B00"/>
    <w:rsid w:val="003F71E7"/>
    <w:rsid w:val="00401307"/>
    <w:rsid w:val="004046D5"/>
    <w:rsid w:val="004071C0"/>
    <w:rsid w:val="004079DC"/>
    <w:rsid w:val="00410878"/>
    <w:rsid w:val="0041103D"/>
    <w:rsid w:val="00412C23"/>
    <w:rsid w:val="00412D23"/>
    <w:rsid w:val="00415513"/>
    <w:rsid w:val="0042309A"/>
    <w:rsid w:val="00424F3A"/>
    <w:rsid w:val="004365A0"/>
    <w:rsid w:val="004424E0"/>
    <w:rsid w:val="004447CF"/>
    <w:rsid w:val="00445694"/>
    <w:rsid w:val="00462399"/>
    <w:rsid w:val="00471C9B"/>
    <w:rsid w:val="0047505A"/>
    <w:rsid w:val="0047779C"/>
    <w:rsid w:val="00483032"/>
    <w:rsid w:val="0048681E"/>
    <w:rsid w:val="004878DC"/>
    <w:rsid w:val="004933F8"/>
    <w:rsid w:val="004A0343"/>
    <w:rsid w:val="004B0AFF"/>
    <w:rsid w:val="004B0E81"/>
    <w:rsid w:val="004B2839"/>
    <w:rsid w:val="004B459A"/>
    <w:rsid w:val="004B4E6B"/>
    <w:rsid w:val="004B79AA"/>
    <w:rsid w:val="004C0E8F"/>
    <w:rsid w:val="004C2C9F"/>
    <w:rsid w:val="004C32DF"/>
    <w:rsid w:val="004C6584"/>
    <w:rsid w:val="004D06AC"/>
    <w:rsid w:val="004E0250"/>
    <w:rsid w:val="004E2156"/>
    <w:rsid w:val="004E251E"/>
    <w:rsid w:val="004E4E4D"/>
    <w:rsid w:val="004E5E4B"/>
    <w:rsid w:val="004E770D"/>
    <w:rsid w:val="00505696"/>
    <w:rsid w:val="00506BE4"/>
    <w:rsid w:val="00506E73"/>
    <w:rsid w:val="005117CA"/>
    <w:rsid w:val="005162A7"/>
    <w:rsid w:val="00520C0C"/>
    <w:rsid w:val="00521943"/>
    <w:rsid w:val="00527291"/>
    <w:rsid w:val="00527311"/>
    <w:rsid w:val="00527731"/>
    <w:rsid w:val="00534E73"/>
    <w:rsid w:val="00535FDD"/>
    <w:rsid w:val="00544B11"/>
    <w:rsid w:val="00545D25"/>
    <w:rsid w:val="005478B3"/>
    <w:rsid w:val="00547E8A"/>
    <w:rsid w:val="0055245D"/>
    <w:rsid w:val="00553D23"/>
    <w:rsid w:val="005617FC"/>
    <w:rsid w:val="00561EE1"/>
    <w:rsid w:val="00565FEC"/>
    <w:rsid w:val="0056719B"/>
    <w:rsid w:val="00576034"/>
    <w:rsid w:val="0058382D"/>
    <w:rsid w:val="005909C7"/>
    <w:rsid w:val="00593B09"/>
    <w:rsid w:val="00595AC9"/>
    <w:rsid w:val="005960F8"/>
    <w:rsid w:val="00597B9A"/>
    <w:rsid w:val="005A477B"/>
    <w:rsid w:val="005A6969"/>
    <w:rsid w:val="005B24A9"/>
    <w:rsid w:val="005B2A33"/>
    <w:rsid w:val="005B446C"/>
    <w:rsid w:val="005B51A6"/>
    <w:rsid w:val="005B574D"/>
    <w:rsid w:val="005B74AE"/>
    <w:rsid w:val="005B7502"/>
    <w:rsid w:val="005C1E12"/>
    <w:rsid w:val="005C3B3D"/>
    <w:rsid w:val="005C4BB0"/>
    <w:rsid w:val="005C53E5"/>
    <w:rsid w:val="005C5817"/>
    <w:rsid w:val="005D0D9E"/>
    <w:rsid w:val="005D1E64"/>
    <w:rsid w:val="005D3E14"/>
    <w:rsid w:val="005D48C6"/>
    <w:rsid w:val="005D57CE"/>
    <w:rsid w:val="005D7FB9"/>
    <w:rsid w:val="005E58D0"/>
    <w:rsid w:val="005F1CE1"/>
    <w:rsid w:val="005F4384"/>
    <w:rsid w:val="005F4734"/>
    <w:rsid w:val="005F7231"/>
    <w:rsid w:val="00603E2C"/>
    <w:rsid w:val="00605446"/>
    <w:rsid w:val="00624C35"/>
    <w:rsid w:val="00634405"/>
    <w:rsid w:val="0063726A"/>
    <w:rsid w:val="0064492E"/>
    <w:rsid w:val="0064545A"/>
    <w:rsid w:val="006506F2"/>
    <w:rsid w:val="00650D5D"/>
    <w:rsid w:val="006539DE"/>
    <w:rsid w:val="00653A60"/>
    <w:rsid w:val="00654EF9"/>
    <w:rsid w:val="00656E22"/>
    <w:rsid w:val="00670051"/>
    <w:rsid w:val="00671A6E"/>
    <w:rsid w:val="0067248B"/>
    <w:rsid w:val="00676A62"/>
    <w:rsid w:val="006825CB"/>
    <w:rsid w:val="006831BE"/>
    <w:rsid w:val="00690415"/>
    <w:rsid w:val="00690973"/>
    <w:rsid w:val="006942B9"/>
    <w:rsid w:val="00694614"/>
    <w:rsid w:val="006A0B47"/>
    <w:rsid w:val="006A42FE"/>
    <w:rsid w:val="006A6880"/>
    <w:rsid w:val="006C375D"/>
    <w:rsid w:val="006C42F5"/>
    <w:rsid w:val="006C4888"/>
    <w:rsid w:val="006D131E"/>
    <w:rsid w:val="006D282A"/>
    <w:rsid w:val="006D413D"/>
    <w:rsid w:val="006D5767"/>
    <w:rsid w:val="006E5FC1"/>
    <w:rsid w:val="006F0370"/>
    <w:rsid w:val="006F0DF7"/>
    <w:rsid w:val="006F13D4"/>
    <w:rsid w:val="006F2AC8"/>
    <w:rsid w:val="006F5234"/>
    <w:rsid w:val="0070102C"/>
    <w:rsid w:val="007041F2"/>
    <w:rsid w:val="00704238"/>
    <w:rsid w:val="007059F6"/>
    <w:rsid w:val="0070703A"/>
    <w:rsid w:val="00712BEC"/>
    <w:rsid w:val="00716121"/>
    <w:rsid w:val="00717657"/>
    <w:rsid w:val="00720047"/>
    <w:rsid w:val="00720CED"/>
    <w:rsid w:val="00724D69"/>
    <w:rsid w:val="00727F3F"/>
    <w:rsid w:val="007337F5"/>
    <w:rsid w:val="00734FA8"/>
    <w:rsid w:val="00735225"/>
    <w:rsid w:val="00736953"/>
    <w:rsid w:val="00737D04"/>
    <w:rsid w:val="00747902"/>
    <w:rsid w:val="00750459"/>
    <w:rsid w:val="007513F7"/>
    <w:rsid w:val="00753551"/>
    <w:rsid w:val="00760866"/>
    <w:rsid w:val="00761ECC"/>
    <w:rsid w:val="007637A5"/>
    <w:rsid w:val="00767464"/>
    <w:rsid w:val="00767C15"/>
    <w:rsid w:val="00770330"/>
    <w:rsid w:val="0077098F"/>
    <w:rsid w:val="0077128B"/>
    <w:rsid w:val="00771633"/>
    <w:rsid w:val="00784D23"/>
    <w:rsid w:val="007942BE"/>
    <w:rsid w:val="0079648B"/>
    <w:rsid w:val="007A00AB"/>
    <w:rsid w:val="007A3CF6"/>
    <w:rsid w:val="007A538D"/>
    <w:rsid w:val="007A5A66"/>
    <w:rsid w:val="007B4FAC"/>
    <w:rsid w:val="007B7F7F"/>
    <w:rsid w:val="007C183C"/>
    <w:rsid w:val="007C1F41"/>
    <w:rsid w:val="007C22C6"/>
    <w:rsid w:val="007C285E"/>
    <w:rsid w:val="007C28FA"/>
    <w:rsid w:val="007C31EE"/>
    <w:rsid w:val="007C3F89"/>
    <w:rsid w:val="007C6031"/>
    <w:rsid w:val="007C6C31"/>
    <w:rsid w:val="007C6DB6"/>
    <w:rsid w:val="007D0FE9"/>
    <w:rsid w:val="007D2C9C"/>
    <w:rsid w:val="007D351C"/>
    <w:rsid w:val="007D6765"/>
    <w:rsid w:val="007D7B2C"/>
    <w:rsid w:val="007E2170"/>
    <w:rsid w:val="007E4995"/>
    <w:rsid w:val="007E5007"/>
    <w:rsid w:val="007E61FD"/>
    <w:rsid w:val="007F04C0"/>
    <w:rsid w:val="007F0F38"/>
    <w:rsid w:val="007F308E"/>
    <w:rsid w:val="007F3CFF"/>
    <w:rsid w:val="007F5215"/>
    <w:rsid w:val="007F5E66"/>
    <w:rsid w:val="00803F91"/>
    <w:rsid w:val="00804D3E"/>
    <w:rsid w:val="00805408"/>
    <w:rsid w:val="00807077"/>
    <w:rsid w:val="00812382"/>
    <w:rsid w:val="00815816"/>
    <w:rsid w:val="008206E1"/>
    <w:rsid w:val="008255D6"/>
    <w:rsid w:val="00827403"/>
    <w:rsid w:val="00837DA9"/>
    <w:rsid w:val="00841034"/>
    <w:rsid w:val="0084258C"/>
    <w:rsid w:val="0084366D"/>
    <w:rsid w:val="00844159"/>
    <w:rsid w:val="008515A9"/>
    <w:rsid w:val="008518EE"/>
    <w:rsid w:val="008546D8"/>
    <w:rsid w:val="00857FAF"/>
    <w:rsid w:val="0086038B"/>
    <w:rsid w:val="008648F0"/>
    <w:rsid w:val="008662AB"/>
    <w:rsid w:val="00867BD0"/>
    <w:rsid w:val="0087064C"/>
    <w:rsid w:val="00870AC5"/>
    <w:rsid w:val="00871174"/>
    <w:rsid w:val="00871F5F"/>
    <w:rsid w:val="008737FA"/>
    <w:rsid w:val="00873FCF"/>
    <w:rsid w:val="00874C40"/>
    <w:rsid w:val="00880BF4"/>
    <w:rsid w:val="00880EA2"/>
    <w:rsid w:val="00881028"/>
    <w:rsid w:val="00882EAF"/>
    <w:rsid w:val="008856F3"/>
    <w:rsid w:val="00892492"/>
    <w:rsid w:val="0089311B"/>
    <w:rsid w:val="00893A0C"/>
    <w:rsid w:val="00894285"/>
    <w:rsid w:val="008958A1"/>
    <w:rsid w:val="00896AA2"/>
    <w:rsid w:val="008A1E99"/>
    <w:rsid w:val="008A4C0F"/>
    <w:rsid w:val="008B0603"/>
    <w:rsid w:val="008B150D"/>
    <w:rsid w:val="008B31AF"/>
    <w:rsid w:val="008B6E3B"/>
    <w:rsid w:val="008C0086"/>
    <w:rsid w:val="008C3536"/>
    <w:rsid w:val="008C7797"/>
    <w:rsid w:val="008C7A68"/>
    <w:rsid w:val="008D1224"/>
    <w:rsid w:val="008D27EC"/>
    <w:rsid w:val="008D5A24"/>
    <w:rsid w:val="008E0C9A"/>
    <w:rsid w:val="008E5242"/>
    <w:rsid w:val="009002C4"/>
    <w:rsid w:val="0090125E"/>
    <w:rsid w:val="009016C8"/>
    <w:rsid w:val="00902012"/>
    <w:rsid w:val="009063E4"/>
    <w:rsid w:val="00907EAB"/>
    <w:rsid w:val="00915868"/>
    <w:rsid w:val="00922149"/>
    <w:rsid w:val="00922515"/>
    <w:rsid w:val="009234D2"/>
    <w:rsid w:val="00925050"/>
    <w:rsid w:val="00925293"/>
    <w:rsid w:val="00926227"/>
    <w:rsid w:val="00932805"/>
    <w:rsid w:val="00935A3F"/>
    <w:rsid w:val="009374A1"/>
    <w:rsid w:val="00940C09"/>
    <w:rsid w:val="00941164"/>
    <w:rsid w:val="00942E75"/>
    <w:rsid w:val="00943C8F"/>
    <w:rsid w:val="0094478E"/>
    <w:rsid w:val="009479B6"/>
    <w:rsid w:val="00951621"/>
    <w:rsid w:val="00962D3A"/>
    <w:rsid w:val="00963A79"/>
    <w:rsid w:val="00965D8C"/>
    <w:rsid w:val="00973575"/>
    <w:rsid w:val="00974684"/>
    <w:rsid w:val="009779EC"/>
    <w:rsid w:val="00983E07"/>
    <w:rsid w:val="00990631"/>
    <w:rsid w:val="0099149F"/>
    <w:rsid w:val="009923CA"/>
    <w:rsid w:val="00992E27"/>
    <w:rsid w:val="0099394B"/>
    <w:rsid w:val="00995328"/>
    <w:rsid w:val="00995EAB"/>
    <w:rsid w:val="00997BCD"/>
    <w:rsid w:val="009A12AC"/>
    <w:rsid w:val="009A6122"/>
    <w:rsid w:val="009A639C"/>
    <w:rsid w:val="009B43CB"/>
    <w:rsid w:val="009B541D"/>
    <w:rsid w:val="009B6443"/>
    <w:rsid w:val="009C46A1"/>
    <w:rsid w:val="009C5F91"/>
    <w:rsid w:val="009C69FC"/>
    <w:rsid w:val="009D16F8"/>
    <w:rsid w:val="009D1C06"/>
    <w:rsid w:val="009D38D9"/>
    <w:rsid w:val="009D40A2"/>
    <w:rsid w:val="009D4619"/>
    <w:rsid w:val="009D6754"/>
    <w:rsid w:val="009D7379"/>
    <w:rsid w:val="009E0535"/>
    <w:rsid w:val="009F6927"/>
    <w:rsid w:val="009F6F1B"/>
    <w:rsid w:val="00A02A23"/>
    <w:rsid w:val="00A069D7"/>
    <w:rsid w:val="00A07525"/>
    <w:rsid w:val="00A07A75"/>
    <w:rsid w:val="00A22013"/>
    <w:rsid w:val="00A25B62"/>
    <w:rsid w:val="00A25F1D"/>
    <w:rsid w:val="00A2712F"/>
    <w:rsid w:val="00A30494"/>
    <w:rsid w:val="00A3094B"/>
    <w:rsid w:val="00A349B3"/>
    <w:rsid w:val="00A36823"/>
    <w:rsid w:val="00A375CD"/>
    <w:rsid w:val="00A37B6B"/>
    <w:rsid w:val="00A405C6"/>
    <w:rsid w:val="00A41173"/>
    <w:rsid w:val="00A4188C"/>
    <w:rsid w:val="00A44F75"/>
    <w:rsid w:val="00A45041"/>
    <w:rsid w:val="00A531B3"/>
    <w:rsid w:val="00A53441"/>
    <w:rsid w:val="00A56971"/>
    <w:rsid w:val="00A56FCE"/>
    <w:rsid w:val="00A65140"/>
    <w:rsid w:val="00A65B48"/>
    <w:rsid w:val="00A7279D"/>
    <w:rsid w:val="00A72ABA"/>
    <w:rsid w:val="00A77510"/>
    <w:rsid w:val="00A813B5"/>
    <w:rsid w:val="00A81A42"/>
    <w:rsid w:val="00A82CE7"/>
    <w:rsid w:val="00A858A2"/>
    <w:rsid w:val="00A90D2A"/>
    <w:rsid w:val="00A94300"/>
    <w:rsid w:val="00A9432C"/>
    <w:rsid w:val="00A95655"/>
    <w:rsid w:val="00A959D0"/>
    <w:rsid w:val="00A95BB2"/>
    <w:rsid w:val="00A96000"/>
    <w:rsid w:val="00AA0903"/>
    <w:rsid w:val="00AA42A3"/>
    <w:rsid w:val="00AB0752"/>
    <w:rsid w:val="00AB544F"/>
    <w:rsid w:val="00AB5D29"/>
    <w:rsid w:val="00AB7275"/>
    <w:rsid w:val="00AC0453"/>
    <w:rsid w:val="00AC0FD0"/>
    <w:rsid w:val="00AC306B"/>
    <w:rsid w:val="00AC4674"/>
    <w:rsid w:val="00AC7075"/>
    <w:rsid w:val="00AC77F9"/>
    <w:rsid w:val="00AC7F63"/>
    <w:rsid w:val="00AD675D"/>
    <w:rsid w:val="00AE0ECC"/>
    <w:rsid w:val="00AE1B7B"/>
    <w:rsid w:val="00AE1C41"/>
    <w:rsid w:val="00AE3ED7"/>
    <w:rsid w:val="00AE6247"/>
    <w:rsid w:val="00AE6BDC"/>
    <w:rsid w:val="00AF67D2"/>
    <w:rsid w:val="00B002E1"/>
    <w:rsid w:val="00B15258"/>
    <w:rsid w:val="00B20F3D"/>
    <w:rsid w:val="00B223EA"/>
    <w:rsid w:val="00B225D4"/>
    <w:rsid w:val="00B22844"/>
    <w:rsid w:val="00B23DF1"/>
    <w:rsid w:val="00B25FBD"/>
    <w:rsid w:val="00B347D3"/>
    <w:rsid w:val="00B36786"/>
    <w:rsid w:val="00B413BB"/>
    <w:rsid w:val="00B429A4"/>
    <w:rsid w:val="00B43ADD"/>
    <w:rsid w:val="00B4604C"/>
    <w:rsid w:val="00B520E0"/>
    <w:rsid w:val="00B53F1A"/>
    <w:rsid w:val="00B551B7"/>
    <w:rsid w:val="00B5586C"/>
    <w:rsid w:val="00B56AB8"/>
    <w:rsid w:val="00B65E05"/>
    <w:rsid w:val="00B667CB"/>
    <w:rsid w:val="00B71B5C"/>
    <w:rsid w:val="00B737E4"/>
    <w:rsid w:val="00B740D6"/>
    <w:rsid w:val="00B75847"/>
    <w:rsid w:val="00B76E9B"/>
    <w:rsid w:val="00B80DE2"/>
    <w:rsid w:val="00B81CDD"/>
    <w:rsid w:val="00B91104"/>
    <w:rsid w:val="00B93559"/>
    <w:rsid w:val="00B9527F"/>
    <w:rsid w:val="00BA1802"/>
    <w:rsid w:val="00BA2117"/>
    <w:rsid w:val="00BA2D2E"/>
    <w:rsid w:val="00BA7359"/>
    <w:rsid w:val="00BA76BF"/>
    <w:rsid w:val="00BB0217"/>
    <w:rsid w:val="00BB15AD"/>
    <w:rsid w:val="00BB15C0"/>
    <w:rsid w:val="00BB569E"/>
    <w:rsid w:val="00BB752D"/>
    <w:rsid w:val="00BC355A"/>
    <w:rsid w:val="00BC4709"/>
    <w:rsid w:val="00BC6DF6"/>
    <w:rsid w:val="00BD159D"/>
    <w:rsid w:val="00BD6576"/>
    <w:rsid w:val="00BE3221"/>
    <w:rsid w:val="00BF2D07"/>
    <w:rsid w:val="00BF52B9"/>
    <w:rsid w:val="00BF5C6C"/>
    <w:rsid w:val="00BF65CB"/>
    <w:rsid w:val="00C07609"/>
    <w:rsid w:val="00C1193D"/>
    <w:rsid w:val="00C13AE1"/>
    <w:rsid w:val="00C26FC2"/>
    <w:rsid w:val="00C3315F"/>
    <w:rsid w:val="00C336DA"/>
    <w:rsid w:val="00C439AC"/>
    <w:rsid w:val="00C4681F"/>
    <w:rsid w:val="00C53125"/>
    <w:rsid w:val="00C55A1A"/>
    <w:rsid w:val="00C62540"/>
    <w:rsid w:val="00C626F3"/>
    <w:rsid w:val="00C635B8"/>
    <w:rsid w:val="00C649D1"/>
    <w:rsid w:val="00C649E0"/>
    <w:rsid w:val="00C70502"/>
    <w:rsid w:val="00C720CA"/>
    <w:rsid w:val="00C82C29"/>
    <w:rsid w:val="00C86F46"/>
    <w:rsid w:val="00C9192E"/>
    <w:rsid w:val="00C97ADF"/>
    <w:rsid w:val="00CA243C"/>
    <w:rsid w:val="00CA698E"/>
    <w:rsid w:val="00CA75CB"/>
    <w:rsid w:val="00CB1DB6"/>
    <w:rsid w:val="00CC1B20"/>
    <w:rsid w:val="00CC1ED6"/>
    <w:rsid w:val="00CC5E0E"/>
    <w:rsid w:val="00CC7747"/>
    <w:rsid w:val="00CC7EDF"/>
    <w:rsid w:val="00CD185E"/>
    <w:rsid w:val="00CD5656"/>
    <w:rsid w:val="00CE1D9B"/>
    <w:rsid w:val="00CE42FF"/>
    <w:rsid w:val="00CF3FC6"/>
    <w:rsid w:val="00CF4027"/>
    <w:rsid w:val="00CF5CDA"/>
    <w:rsid w:val="00CF5FDB"/>
    <w:rsid w:val="00CF698C"/>
    <w:rsid w:val="00D061A5"/>
    <w:rsid w:val="00D1303C"/>
    <w:rsid w:val="00D162EE"/>
    <w:rsid w:val="00D16EFD"/>
    <w:rsid w:val="00D17424"/>
    <w:rsid w:val="00D1761B"/>
    <w:rsid w:val="00D20AB4"/>
    <w:rsid w:val="00D21079"/>
    <w:rsid w:val="00D22769"/>
    <w:rsid w:val="00D330E2"/>
    <w:rsid w:val="00D377D6"/>
    <w:rsid w:val="00D377EB"/>
    <w:rsid w:val="00D40C52"/>
    <w:rsid w:val="00D445F9"/>
    <w:rsid w:val="00D447C3"/>
    <w:rsid w:val="00D4497F"/>
    <w:rsid w:val="00D45062"/>
    <w:rsid w:val="00D45C72"/>
    <w:rsid w:val="00D47CFD"/>
    <w:rsid w:val="00D508EB"/>
    <w:rsid w:val="00D55143"/>
    <w:rsid w:val="00D636B0"/>
    <w:rsid w:val="00D737D1"/>
    <w:rsid w:val="00D77FD3"/>
    <w:rsid w:val="00D84C59"/>
    <w:rsid w:val="00D84E0C"/>
    <w:rsid w:val="00D85777"/>
    <w:rsid w:val="00DA55A5"/>
    <w:rsid w:val="00DA683D"/>
    <w:rsid w:val="00DB2F60"/>
    <w:rsid w:val="00DB7BC4"/>
    <w:rsid w:val="00DC43AE"/>
    <w:rsid w:val="00DC7458"/>
    <w:rsid w:val="00DD1B00"/>
    <w:rsid w:val="00DD5CA9"/>
    <w:rsid w:val="00DE233F"/>
    <w:rsid w:val="00DF0199"/>
    <w:rsid w:val="00DF01B1"/>
    <w:rsid w:val="00DF1D1D"/>
    <w:rsid w:val="00DF3C17"/>
    <w:rsid w:val="00DF6A04"/>
    <w:rsid w:val="00E00C74"/>
    <w:rsid w:val="00E04659"/>
    <w:rsid w:val="00E059F4"/>
    <w:rsid w:val="00E105C8"/>
    <w:rsid w:val="00E117E8"/>
    <w:rsid w:val="00E13E7F"/>
    <w:rsid w:val="00E14237"/>
    <w:rsid w:val="00E15940"/>
    <w:rsid w:val="00E165E9"/>
    <w:rsid w:val="00E21838"/>
    <w:rsid w:val="00E221F8"/>
    <w:rsid w:val="00E34558"/>
    <w:rsid w:val="00E3683D"/>
    <w:rsid w:val="00E40A08"/>
    <w:rsid w:val="00E43503"/>
    <w:rsid w:val="00E47DEE"/>
    <w:rsid w:val="00E65EFD"/>
    <w:rsid w:val="00E673BB"/>
    <w:rsid w:val="00E72920"/>
    <w:rsid w:val="00E86DAE"/>
    <w:rsid w:val="00E8772F"/>
    <w:rsid w:val="00E951C8"/>
    <w:rsid w:val="00EA40E3"/>
    <w:rsid w:val="00EB3A51"/>
    <w:rsid w:val="00EB5AA0"/>
    <w:rsid w:val="00EB6228"/>
    <w:rsid w:val="00EB6B51"/>
    <w:rsid w:val="00EC5EEB"/>
    <w:rsid w:val="00EC7CB6"/>
    <w:rsid w:val="00ED14F3"/>
    <w:rsid w:val="00ED1D12"/>
    <w:rsid w:val="00ED4A25"/>
    <w:rsid w:val="00ED7FAB"/>
    <w:rsid w:val="00EE12A3"/>
    <w:rsid w:val="00EE413B"/>
    <w:rsid w:val="00EE4A7C"/>
    <w:rsid w:val="00EE5F1A"/>
    <w:rsid w:val="00EF4740"/>
    <w:rsid w:val="00EF4E14"/>
    <w:rsid w:val="00F06439"/>
    <w:rsid w:val="00F10110"/>
    <w:rsid w:val="00F12626"/>
    <w:rsid w:val="00F13884"/>
    <w:rsid w:val="00F158F7"/>
    <w:rsid w:val="00F16E55"/>
    <w:rsid w:val="00F172B2"/>
    <w:rsid w:val="00F17A5C"/>
    <w:rsid w:val="00F2521E"/>
    <w:rsid w:val="00F35F0C"/>
    <w:rsid w:val="00F5225A"/>
    <w:rsid w:val="00F56E9A"/>
    <w:rsid w:val="00F7209F"/>
    <w:rsid w:val="00F74F73"/>
    <w:rsid w:val="00F8244C"/>
    <w:rsid w:val="00F82DD2"/>
    <w:rsid w:val="00F83189"/>
    <w:rsid w:val="00F84974"/>
    <w:rsid w:val="00F87557"/>
    <w:rsid w:val="00F87BB5"/>
    <w:rsid w:val="00F92213"/>
    <w:rsid w:val="00F935D0"/>
    <w:rsid w:val="00F952E9"/>
    <w:rsid w:val="00F95676"/>
    <w:rsid w:val="00FA27FF"/>
    <w:rsid w:val="00FA33CB"/>
    <w:rsid w:val="00FA67C4"/>
    <w:rsid w:val="00FB0B02"/>
    <w:rsid w:val="00FB1D80"/>
    <w:rsid w:val="00FB2ACC"/>
    <w:rsid w:val="00FB328D"/>
    <w:rsid w:val="00FB391B"/>
    <w:rsid w:val="00FB3DA3"/>
    <w:rsid w:val="00FB4F76"/>
    <w:rsid w:val="00FB6954"/>
    <w:rsid w:val="00FB7C22"/>
    <w:rsid w:val="00FD631B"/>
    <w:rsid w:val="00FE1739"/>
    <w:rsid w:val="00FE1829"/>
    <w:rsid w:val="00FE3249"/>
    <w:rsid w:val="00FE4499"/>
    <w:rsid w:val="00FE52D3"/>
    <w:rsid w:val="00FF5CAE"/>
    <w:rsid w:val="00FF6CE1"/>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 Id="rId2" Type="http://schemas.openxmlformats.org/officeDocument/2006/relationships/hyperlink" Target="https://www.bls.gov/oes/2022/may/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3.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EC6D3-D685-4EBE-811C-0C6C2FF9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Houseal, Delia (CMS/CCSQ)</cp:lastModifiedBy>
  <cp:revision>2</cp:revision>
  <dcterms:created xsi:type="dcterms:W3CDTF">2024-07-31T17:28:00Z</dcterms:created>
  <dcterms:modified xsi:type="dcterms:W3CDTF">2024-07-31T17:28:00Z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