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190C" w14:paraId="70A0DA88" w14:textId="298B4828">
      <w:pPr>
        <w:pStyle w:val="Heading1"/>
        <w:spacing w:before="60"/>
        <w:ind w:left="276"/>
      </w:pPr>
      <w:r>
        <w:t xml:space="preserve">Supporting Statement Part </w:t>
      </w:r>
      <w:r w:rsidR="00C85E07">
        <w:t>A</w:t>
      </w:r>
    </w:p>
    <w:p w:rsidR="00B5190C" w14:paraId="65EC9268" w14:textId="6B6BB759">
      <w:pPr>
        <w:ind w:left="395" w:right="276"/>
        <w:jc w:val="center"/>
        <w:rPr>
          <w:b/>
          <w:sz w:val="24"/>
        </w:rPr>
      </w:pPr>
      <w:r>
        <w:rPr>
          <w:b/>
          <w:sz w:val="24"/>
        </w:rPr>
        <w:t xml:space="preserve"> Prior Authorization </w:t>
      </w:r>
      <w:r w:rsidR="00E5487A">
        <w:rPr>
          <w:b/>
          <w:sz w:val="24"/>
        </w:rPr>
        <w:t>Demonstration for</w:t>
      </w:r>
      <w:r>
        <w:rPr>
          <w:b/>
          <w:sz w:val="24"/>
        </w:rPr>
        <w:t xml:space="preserve"> Certain </w:t>
      </w:r>
      <w:r w:rsidR="00DD6211">
        <w:rPr>
          <w:b/>
          <w:sz w:val="24"/>
        </w:rPr>
        <w:t>Ambulatory Surgical Center</w:t>
      </w:r>
      <w:r>
        <w:rPr>
          <w:b/>
          <w:sz w:val="24"/>
        </w:rPr>
        <w:t xml:space="preserve"> (</w:t>
      </w:r>
      <w:r w:rsidR="00DD6211">
        <w:rPr>
          <w:b/>
          <w:sz w:val="24"/>
        </w:rPr>
        <w:t>ASC</w:t>
      </w:r>
      <w:r>
        <w:rPr>
          <w:b/>
          <w:sz w:val="24"/>
        </w:rPr>
        <w:t>) Services</w:t>
      </w:r>
      <w:r w:rsidR="00BD3227">
        <w:rPr>
          <w:b/>
          <w:sz w:val="24"/>
        </w:rPr>
        <w:t xml:space="preserve"> </w:t>
      </w:r>
    </w:p>
    <w:p w:rsidR="00B5190C" w14:paraId="3FB99B7D" w14:textId="5F5BE099">
      <w:pPr>
        <w:ind w:left="395" w:right="276"/>
        <w:jc w:val="center"/>
        <w:rPr>
          <w:b/>
          <w:sz w:val="24"/>
        </w:rPr>
      </w:pPr>
      <w:r w:rsidRPr="007C55CE">
        <w:rPr>
          <w:b/>
          <w:sz w:val="24"/>
        </w:rPr>
        <w:t>CMS-1088</w:t>
      </w:r>
      <w:r w:rsidR="00C85E07">
        <w:rPr>
          <w:b/>
          <w:sz w:val="24"/>
        </w:rPr>
        <w:t>4 (OMB Control Number: 0938-NEW</w:t>
      </w:r>
    </w:p>
    <w:p w:rsidR="00B5190C" w14:paraId="4E8EDFFA" w14:textId="77777777">
      <w:pPr>
        <w:pStyle w:val="BodyText"/>
        <w:spacing w:before="5"/>
        <w:rPr>
          <w:b/>
        </w:rPr>
      </w:pPr>
    </w:p>
    <w:p w:rsidR="00B5190C" w:rsidRPr="00B76E33" w:rsidP="00B76E33" w14:paraId="5A33644B" w14:textId="77777777">
      <w:pPr>
        <w:pStyle w:val="Heading1"/>
        <w:ind w:left="0"/>
        <w:jc w:val="left"/>
      </w:pPr>
      <w:r w:rsidRPr="00B76E33">
        <w:t>BACKGROUND</w:t>
      </w:r>
    </w:p>
    <w:p w:rsidR="00B5190C" w14:paraId="009B6F5C" w14:textId="77777777">
      <w:pPr>
        <w:pStyle w:val="BodyText"/>
        <w:spacing w:before="8"/>
        <w:rPr>
          <w:b/>
          <w:sz w:val="27"/>
        </w:rPr>
      </w:pPr>
    </w:p>
    <w:p w:rsidR="00522810" w:rsidP="00AC628A" w14:paraId="4FFAFF16" w14:textId="6F18822E">
      <w:pPr>
        <w:contextualSpacing/>
        <w:rPr>
          <w:spacing w:val="-4"/>
          <w:sz w:val="24"/>
          <w:szCs w:val="24"/>
        </w:rPr>
      </w:pPr>
      <w:r w:rsidRPr="00C61653">
        <w:rPr>
          <w:spacing w:val="-4"/>
          <w:sz w:val="24"/>
          <w:szCs w:val="24"/>
        </w:rPr>
        <w:t xml:space="preserve">The </w:t>
      </w:r>
      <w:r w:rsidRPr="00C61653">
        <w:rPr>
          <w:sz w:val="24"/>
          <w:szCs w:val="24"/>
        </w:rPr>
        <w:t xml:space="preserve">Centers </w:t>
      </w:r>
      <w:r w:rsidRPr="00C61653">
        <w:rPr>
          <w:spacing w:val="-3"/>
          <w:sz w:val="24"/>
          <w:szCs w:val="24"/>
        </w:rPr>
        <w:t xml:space="preserve">for Medicare </w:t>
      </w:r>
      <w:r w:rsidRPr="00C61653">
        <w:rPr>
          <w:sz w:val="24"/>
          <w:szCs w:val="24"/>
        </w:rPr>
        <w:t xml:space="preserve">&amp; </w:t>
      </w:r>
      <w:r w:rsidRPr="00C61653">
        <w:rPr>
          <w:spacing w:val="-5"/>
          <w:sz w:val="24"/>
          <w:szCs w:val="24"/>
        </w:rPr>
        <w:t xml:space="preserve">Medicaid </w:t>
      </w:r>
      <w:r w:rsidRPr="00C61653">
        <w:rPr>
          <w:spacing w:val="-3"/>
          <w:sz w:val="24"/>
          <w:szCs w:val="24"/>
        </w:rPr>
        <w:t xml:space="preserve">Services (CMS) </w:t>
      </w:r>
      <w:r w:rsidRPr="00FD2E18" w:rsidR="000210C9">
        <w:rPr>
          <w:spacing w:val="-4"/>
          <w:sz w:val="24"/>
          <w:szCs w:val="24"/>
        </w:rPr>
        <w:t xml:space="preserve">intends to use the Section 402(a)(1)(J) demonstration authority to implement a 5-year demonstration project for the </w:t>
      </w:r>
      <w:r w:rsidR="000210C9">
        <w:rPr>
          <w:spacing w:val="4"/>
          <w:sz w:val="24"/>
          <w:szCs w:val="24"/>
        </w:rPr>
        <w:t>p</w:t>
      </w:r>
      <w:r w:rsidRPr="00E5487A" w:rsidR="00E5487A">
        <w:rPr>
          <w:spacing w:val="4"/>
          <w:sz w:val="24"/>
          <w:szCs w:val="24"/>
        </w:rPr>
        <w:t xml:space="preserve">rior </w:t>
      </w:r>
      <w:r w:rsidR="000210C9">
        <w:rPr>
          <w:spacing w:val="4"/>
          <w:sz w:val="24"/>
          <w:szCs w:val="24"/>
        </w:rPr>
        <w:t>a</w:t>
      </w:r>
      <w:r w:rsidRPr="00E5487A" w:rsidR="00E5487A">
        <w:rPr>
          <w:spacing w:val="4"/>
          <w:sz w:val="24"/>
          <w:szCs w:val="24"/>
        </w:rPr>
        <w:t xml:space="preserve">uthorization </w:t>
      </w:r>
      <w:r w:rsidRPr="00FD2E18" w:rsidR="000210C9">
        <w:rPr>
          <w:spacing w:val="-4"/>
          <w:sz w:val="24"/>
          <w:szCs w:val="24"/>
        </w:rPr>
        <w:t xml:space="preserve">of </w:t>
      </w:r>
      <w:r w:rsidR="000210C9">
        <w:rPr>
          <w:spacing w:val="-4"/>
          <w:sz w:val="24"/>
          <w:szCs w:val="24"/>
        </w:rPr>
        <w:t>c</w:t>
      </w:r>
      <w:r w:rsidRPr="00FD2E18" w:rsidR="000210C9">
        <w:rPr>
          <w:spacing w:val="-4"/>
          <w:sz w:val="24"/>
          <w:szCs w:val="24"/>
        </w:rPr>
        <w:t xml:space="preserve">ertain </w:t>
      </w:r>
      <w:r w:rsidR="000210C9">
        <w:rPr>
          <w:spacing w:val="-4"/>
          <w:sz w:val="24"/>
          <w:szCs w:val="24"/>
        </w:rPr>
        <w:t>s</w:t>
      </w:r>
      <w:r w:rsidRPr="00FD2E18" w:rsidR="000210C9">
        <w:rPr>
          <w:spacing w:val="-4"/>
          <w:sz w:val="24"/>
          <w:szCs w:val="24"/>
        </w:rPr>
        <w:t xml:space="preserve">ervices </w:t>
      </w:r>
      <w:r w:rsidR="000210C9">
        <w:rPr>
          <w:spacing w:val="-4"/>
          <w:sz w:val="24"/>
          <w:szCs w:val="24"/>
        </w:rPr>
        <w:t>p</w:t>
      </w:r>
      <w:r w:rsidRPr="00FD2E18" w:rsidR="000210C9">
        <w:rPr>
          <w:spacing w:val="-4"/>
          <w:sz w:val="24"/>
          <w:szCs w:val="24"/>
        </w:rPr>
        <w:t>rovided in A</w:t>
      </w:r>
      <w:r w:rsidR="000210C9">
        <w:rPr>
          <w:spacing w:val="-4"/>
          <w:sz w:val="24"/>
          <w:szCs w:val="24"/>
        </w:rPr>
        <w:t xml:space="preserve">mbulatory </w:t>
      </w:r>
      <w:r w:rsidRPr="00FD2E18" w:rsidR="000210C9">
        <w:rPr>
          <w:spacing w:val="-4"/>
          <w:sz w:val="24"/>
          <w:szCs w:val="24"/>
        </w:rPr>
        <w:t>S</w:t>
      </w:r>
      <w:r w:rsidR="000210C9">
        <w:rPr>
          <w:spacing w:val="-4"/>
          <w:sz w:val="24"/>
          <w:szCs w:val="24"/>
        </w:rPr>
        <w:t xml:space="preserve">urgical </w:t>
      </w:r>
      <w:r w:rsidRPr="00FD2E18" w:rsidR="000210C9">
        <w:rPr>
          <w:spacing w:val="-4"/>
          <w:sz w:val="24"/>
          <w:szCs w:val="24"/>
        </w:rPr>
        <w:t>C</w:t>
      </w:r>
      <w:r w:rsidR="000210C9">
        <w:rPr>
          <w:spacing w:val="-4"/>
          <w:sz w:val="24"/>
          <w:szCs w:val="24"/>
        </w:rPr>
        <w:t>enter</w:t>
      </w:r>
      <w:r w:rsidRPr="00FD2E18" w:rsidR="000210C9">
        <w:rPr>
          <w:spacing w:val="-4"/>
          <w:sz w:val="24"/>
          <w:szCs w:val="24"/>
        </w:rPr>
        <w:t>s</w:t>
      </w:r>
      <w:r w:rsidR="000210C9">
        <w:rPr>
          <w:spacing w:val="-4"/>
          <w:sz w:val="24"/>
          <w:szCs w:val="24"/>
        </w:rPr>
        <w:t xml:space="preserve"> (ASC)</w:t>
      </w:r>
      <w:r w:rsidRPr="00FD2E18" w:rsidR="000210C9">
        <w:rPr>
          <w:spacing w:val="-4"/>
          <w:sz w:val="24"/>
          <w:szCs w:val="24"/>
        </w:rPr>
        <w:t xml:space="preserve"> for a limited number of demonstration states</w:t>
      </w:r>
      <w:r>
        <w:rPr>
          <w:rStyle w:val="FootnoteReference"/>
          <w:spacing w:val="-4"/>
          <w:sz w:val="24"/>
          <w:szCs w:val="24"/>
        </w:rPr>
        <w:footnoteReference w:id="3"/>
      </w:r>
      <w:r w:rsidRPr="00FD2E18" w:rsidR="000210C9">
        <w:rPr>
          <w:spacing w:val="-4"/>
          <w:sz w:val="24"/>
          <w:szCs w:val="24"/>
        </w:rPr>
        <w:t>.  The service categories targeted by the demonstration are blepharoplasty, botulinum toxin injections, panniculectomy, rhinoplasty, and vein ablation procedures</w:t>
      </w:r>
      <w:r w:rsidR="000210C9">
        <w:rPr>
          <w:spacing w:val="-4"/>
          <w:sz w:val="24"/>
          <w:szCs w:val="24"/>
        </w:rPr>
        <w:t xml:space="preserve">. </w:t>
      </w:r>
      <w:r w:rsidRPr="00813A51">
        <w:rPr>
          <w:spacing w:val="-4"/>
          <w:sz w:val="24"/>
          <w:szCs w:val="24"/>
        </w:rPr>
        <w:t xml:space="preserve">The Calendar Year 2020 Outpatient Prospective Payment System/Ambulatory Surgical Center (OPPS/ASC) Final Rule (CMS -1717-FC) established a nationwide prior authorization process and requirements for certain </w:t>
      </w:r>
      <w:r w:rsidR="00663ECA">
        <w:rPr>
          <w:spacing w:val="-4"/>
          <w:sz w:val="24"/>
          <w:szCs w:val="24"/>
        </w:rPr>
        <w:t>hospital outpatient department (OPD)</w:t>
      </w:r>
      <w:r w:rsidRPr="00813A51">
        <w:rPr>
          <w:spacing w:val="-4"/>
          <w:sz w:val="24"/>
          <w:szCs w:val="24"/>
        </w:rPr>
        <w:t xml:space="preserve"> services, which are blepharoplasty, botulinum toxin injections, rhinoplasty, panniculectomy, and vein </w:t>
      </w:r>
      <w:r w:rsidRPr="00813A51" w:rsidR="000C28B8">
        <w:rPr>
          <w:spacing w:val="-4"/>
          <w:sz w:val="24"/>
          <w:szCs w:val="24"/>
        </w:rPr>
        <w:t>ablation</w:t>
      </w:r>
      <w:r w:rsidRPr="00A06CDF" w:rsidR="000C28B8">
        <w:rPr>
          <w:spacing w:val="-4"/>
          <w:sz w:val="24"/>
          <w:szCs w:val="24"/>
        </w:rPr>
        <w:t>.</w:t>
      </w:r>
      <w:r w:rsidR="00747071">
        <w:rPr>
          <w:spacing w:val="-4"/>
          <w:sz w:val="24"/>
          <w:szCs w:val="24"/>
        </w:rPr>
        <w:t xml:space="preserve"> </w:t>
      </w:r>
      <w:r w:rsidRPr="00813A51" w:rsidR="000C28B8">
        <w:rPr>
          <w:spacing w:val="-4"/>
          <w:sz w:val="24"/>
          <w:szCs w:val="24"/>
        </w:rPr>
        <w:t xml:space="preserve"> These</w:t>
      </w:r>
      <w:r w:rsidRPr="00813A51">
        <w:rPr>
          <w:spacing w:val="-4"/>
          <w:sz w:val="24"/>
          <w:szCs w:val="24"/>
        </w:rPr>
        <w:t xml:space="preserve"> targeted services can potentially be provided as cosmetic procedures, rather than medically necessary procedures, resulting in improper or fraudulent payments. </w:t>
      </w:r>
    </w:p>
    <w:p w:rsidR="009A19A7" w:rsidP="00AC628A" w14:paraId="71B61290" w14:textId="77777777">
      <w:pPr>
        <w:contextualSpacing/>
        <w:rPr>
          <w:spacing w:val="-4"/>
          <w:sz w:val="24"/>
          <w:szCs w:val="24"/>
        </w:rPr>
      </w:pPr>
    </w:p>
    <w:p w:rsidR="007F0519" w:rsidP="00AC628A" w14:paraId="62FEA678" w14:textId="3129FA6B">
      <w:pPr>
        <w:contextualSpacing/>
        <w:rPr>
          <w:spacing w:val="-4"/>
          <w:sz w:val="24"/>
          <w:szCs w:val="24"/>
        </w:rPr>
      </w:pPr>
      <w:r w:rsidRPr="00352587">
        <w:rPr>
          <w:spacing w:val="-4"/>
          <w:sz w:val="24"/>
          <w:szCs w:val="24"/>
        </w:rPr>
        <w:t xml:space="preserve">Data from 2019 to 2021 shows </w:t>
      </w:r>
      <w:r w:rsidR="00EA0AFE">
        <w:rPr>
          <w:spacing w:val="-4"/>
          <w:sz w:val="24"/>
          <w:szCs w:val="24"/>
        </w:rPr>
        <w:t xml:space="preserve">these </w:t>
      </w:r>
      <w:r w:rsidRPr="00352587">
        <w:rPr>
          <w:spacing w:val="-4"/>
          <w:sz w:val="24"/>
          <w:szCs w:val="24"/>
        </w:rPr>
        <w:t>services have experienced significant increases in utilization in the ASC setting.</w:t>
      </w:r>
      <w:r w:rsidR="00747071">
        <w:rPr>
          <w:spacing w:val="-4"/>
          <w:sz w:val="24"/>
          <w:szCs w:val="24"/>
        </w:rPr>
        <w:t xml:space="preserve"> </w:t>
      </w:r>
      <w:r w:rsidRPr="00352587">
        <w:rPr>
          <w:spacing w:val="-4"/>
          <w:sz w:val="24"/>
          <w:szCs w:val="24"/>
        </w:rPr>
        <w:t xml:space="preserve"> </w:t>
      </w:r>
      <w:r w:rsidRPr="00813A51" w:rsidR="00813A51">
        <w:rPr>
          <w:spacing w:val="-4"/>
          <w:sz w:val="24"/>
          <w:szCs w:val="24"/>
        </w:rPr>
        <w:t>There is considerable concern about unnecessary utilization of these services in the OPD moving to the ASC as the OPD prior authorization program continues and services are scrutinized in the OPD setting.</w:t>
      </w:r>
      <w:r w:rsidR="00747071">
        <w:rPr>
          <w:spacing w:val="-4"/>
          <w:sz w:val="24"/>
          <w:szCs w:val="24"/>
        </w:rPr>
        <w:t xml:space="preserve"> </w:t>
      </w:r>
      <w:r w:rsidRPr="00813A51" w:rsidR="00813A51">
        <w:rPr>
          <w:spacing w:val="-4"/>
          <w:sz w:val="24"/>
          <w:szCs w:val="24"/>
        </w:rPr>
        <w:t xml:space="preserve"> </w:t>
      </w:r>
      <w:r w:rsidRPr="007F0519">
        <w:rPr>
          <w:spacing w:val="-4"/>
          <w:sz w:val="24"/>
          <w:szCs w:val="24"/>
        </w:rPr>
        <w:t xml:space="preserve">Implementing prior authorization requirements in the ASC setting would help prevent that shift in unnecessary utilization and potential fraud, waste, and abuse. </w:t>
      </w:r>
      <w:r>
        <w:rPr>
          <w:spacing w:val="-4"/>
          <w:sz w:val="24"/>
          <w:szCs w:val="24"/>
        </w:rPr>
        <w:t>CMS</w:t>
      </w:r>
      <w:r w:rsidRPr="00352587">
        <w:rPr>
          <w:spacing w:val="-4"/>
          <w:sz w:val="24"/>
          <w:szCs w:val="24"/>
        </w:rPr>
        <w:t xml:space="preserve"> selected the </w:t>
      </w:r>
      <w:r w:rsidR="00FF58E9">
        <w:rPr>
          <w:spacing w:val="-4"/>
          <w:sz w:val="24"/>
          <w:szCs w:val="24"/>
        </w:rPr>
        <w:t>targeted</w:t>
      </w:r>
      <w:r w:rsidRPr="00352587">
        <w:rPr>
          <w:spacing w:val="-4"/>
          <w:sz w:val="24"/>
          <w:szCs w:val="24"/>
        </w:rPr>
        <w:t xml:space="preserve"> services for inclusion in this demonstration</w:t>
      </w:r>
      <w:r w:rsidR="00D25915">
        <w:rPr>
          <w:spacing w:val="-4"/>
          <w:sz w:val="24"/>
          <w:szCs w:val="24"/>
        </w:rPr>
        <w:t>,</w:t>
      </w:r>
      <w:r w:rsidRPr="00352587">
        <w:rPr>
          <w:spacing w:val="-4"/>
          <w:sz w:val="24"/>
          <w:szCs w:val="24"/>
        </w:rPr>
        <w:t xml:space="preserve"> based upon problematic events, data, trends, and potential billing behavior impacts of the OPD Prior Authorization Program which requires prior authorization as a condition of payment for these services</w:t>
      </w:r>
      <w:r w:rsidR="00D236BA">
        <w:rPr>
          <w:spacing w:val="-4"/>
          <w:sz w:val="24"/>
          <w:szCs w:val="24"/>
        </w:rPr>
        <w:t>.</w:t>
      </w:r>
    </w:p>
    <w:p w:rsidR="009A19A7" w:rsidP="00AC628A" w14:paraId="25832900" w14:textId="77777777">
      <w:pPr>
        <w:contextualSpacing/>
        <w:rPr>
          <w:spacing w:val="-4"/>
          <w:sz w:val="24"/>
          <w:szCs w:val="24"/>
        </w:rPr>
      </w:pPr>
    </w:p>
    <w:p w:rsidR="00A06CDF" w:rsidP="00A06CDF" w14:paraId="554DEB14" w14:textId="32789E75">
      <w:pPr>
        <w:contextualSpacing/>
        <w:rPr>
          <w:spacing w:val="-4"/>
          <w:sz w:val="24"/>
          <w:szCs w:val="24"/>
        </w:rPr>
      </w:pPr>
      <w:r w:rsidRPr="00A06CDF">
        <w:rPr>
          <w:spacing w:val="-4"/>
          <w:sz w:val="24"/>
          <w:szCs w:val="24"/>
        </w:rPr>
        <w:t xml:space="preserve">The proposed demonstration will help ensure eligible treating providers in ASCs are only performing the targeted services for beneficiaries in accordance with Medicare guidelines, by requiring them to submit a </w:t>
      </w:r>
      <w:r w:rsidR="006C2B91">
        <w:rPr>
          <w:spacing w:val="-4"/>
          <w:sz w:val="24"/>
          <w:szCs w:val="24"/>
        </w:rPr>
        <w:t>prior authorization</w:t>
      </w:r>
      <w:r w:rsidRPr="00A06CDF">
        <w:rPr>
          <w:spacing w:val="-4"/>
          <w:sz w:val="24"/>
          <w:szCs w:val="24"/>
        </w:rPr>
        <w:t xml:space="preserve"> request and obtain a provisional affirmation before providing a service or be subject to prepayment review and potentially be denied payment if services are deemed ineligible. </w:t>
      </w:r>
      <w:r w:rsidR="00747071">
        <w:rPr>
          <w:spacing w:val="-4"/>
          <w:sz w:val="24"/>
          <w:szCs w:val="24"/>
        </w:rPr>
        <w:t xml:space="preserve"> </w:t>
      </w:r>
      <w:r w:rsidRPr="00A06CDF">
        <w:rPr>
          <w:spacing w:val="-4"/>
          <w:sz w:val="24"/>
          <w:szCs w:val="24"/>
        </w:rPr>
        <w:t>We see the demonstration as another step in our overall approach to enhancing our ability to separate problematic providers from those providers proactively working to comply with our coverage and documentation requirements, thus helping prevent fraud, waste, and abuse.</w:t>
      </w:r>
      <w:r w:rsidR="00096848">
        <w:rPr>
          <w:spacing w:val="-4"/>
          <w:sz w:val="24"/>
          <w:szCs w:val="24"/>
        </w:rPr>
        <w:t xml:space="preserve"> </w:t>
      </w:r>
    </w:p>
    <w:p w:rsidR="00066F7A" w:rsidP="00AC628A" w14:paraId="4492D01F" w14:textId="77777777">
      <w:pPr>
        <w:contextualSpacing/>
        <w:rPr>
          <w:spacing w:val="-4"/>
          <w:sz w:val="24"/>
          <w:szCs w:val="24"/>
        </w:rPr>
      </w:pPr>
    </w:p>
    <w:p w:rsidR="00066F7A" w:rsidP="00066F7A" w14:paraId="29DA7FCC" w14:textId="77777777">
      <w:pPr>
        <w:pStyle w:val="Heading5"/>
        <w:rPr>
          <w:rFonts w:ascii="Times New Roman" w:hAnsi="Times New Roman" w:cs="Times New Roman"/>
          <w:color w:val="auto"/>
          <w:sz w:val="24"/>
          <w:szCs w:val="24"/>
        </w:rPr>
      </w:pPr>
      <w:r w:rsidRPr="00C61653">
        <w:rPr>
          <w:rFonts w:ascii="Times New Roman" w:hAnsi="Times New Roman" w:cs="Times New Roman"/>
          <w:color w:val="auto"/>
          <w:sz w:val="24"/>
          <w:szCs w:val="24"/>
        </w:rPr>
        <w:t>TARGETING FRAUD and IMPROPER PAYMENTS</w:t>
      </w:r>
    </w:p>
    <w:p w:rsidR="00066F7A" w:rsidRPr="00B333D5" w:rsidP="00B333D5" w14:paraId="24BAC299" w14:textId="77777777"/>
    <w:p w:rsidR="0040095A" w:rsidRPr="00A06CDF" w:rsidP="0040095A" w14:paraId="0F5B8F7A" w14:textId="061DF440">
      <w:pPr>
        <w:contextualSpacing/>
        <w:rPr>
          <w:spacing w:val="-4"/>
          <w:sz w:val="24"/>
          <w:szCs w:val="24"/>
        </w:rPr>
      </w:pPr>
      <w:r>
        <w:rPr>
          <w:spacing w:val="-4"/>
          <w:sz w:val="24"/>
          <w:szCs w:val="24"/>
        </w:rPr>
        <w:t>I</w:t>
      </w:r>
      <w:r w:rsidRPr="00A06CDF">
        <w:rPr>
          <w:spacing w:val="-4"/>
          <w:sz w:val="24"/>
          <w:szCs w:val="24"/>
        </w:rPr>
        <w:t>n addition to improving methods for the investigation and prosecution of fraud, we believe a demonstration may facilitate a reduction in the overall improper payment rate for the targeted services by requiring providers to provide documentation prior to providing a service or be subject to prepayment review.</w:t>
      </w:r>
      <w:r w:rsidR="00747071">
        <w:rPr>
          <w:spacing w:val="-4"/>
          <w:sz w:val="24"/>
          <w:szCs w:val="24"/>
        </w:rPr>
        <w:t xml:space="preserve"> </w:t>
      </w:r>
      <w:r w:rsidRPr="00A06CDF">
        <w:rPr>
          <w:spacing w:val="-4"/>
          <w:sz w:val="24"/>
          <w:szCs w:val="24"/>
        </w:rPr>
        <w:t xml:space="preserve"> We identified the targeted services for the demonstration by reviewing payment data for trends that could indicate a potential increase in fraudulent billing behavior from some providers in ASCs. </w:t>
      </w:r>
      <w:r w:rsidR="00747071">
        <w:rPr>
          <w:spacing w:val="-4"/>
          <w:sz w:val="24"/>
          <w:szCs w:val="24"/>
        </w:rPr>
        <w:t xml:space="preserve"> </w:t>
      </w:r>
      <w:r w:rsidRPr="00A06CDF">
        <w:rPr>
          <w:spacing w:val="-4"/>
          <w:sz w:val="24"/>
          <w:szCs w:val="24"/>
        </w:rPr>
        <w:t xml:space="preserve">We also considered known healthcare fraud schemes, state and federal healthcare fraud indictments, and </w:t>
      </w:r>
      <w:r w:rsidRPr="00A06CDF">
        <w:rPr>
          <w:spacing w:val="-4"/>
          <w:sz w:val="24"/>
          <w:szCs w:val="24"/>
        </w:rPr>
        <w:t xml:space="preserve">behavior impacts from the OPD Prior Authorization Program. </w:t>
      </w:r>
    </w:p>
    <w:p w:rsidR="0040095A" w14:paraId="32E0407F" w14:textId="77777777">
      <w:pPr>
        <w:contextualSpacing/>
        <w:rPr>
          <w:spacing w:val="-4"/>
          <w:sz w:val="24"/>
          <w:szCs w:val="24"/>
        </w:rPr>
      </w:pPr>
    </w:p>
    <w:p w:rsidR="00B5190C" w:rsidP="00B333D5" w14:paraId="6F0272EA" w14:textId="098542D9">
      <w:pPr>
        <w:contextualSpacing/>
      </w:pPr>
      <w:r w:rsidRPr="00813A51">
        <w:rPr>
          <w:spacing w:val="-4"/>
          <w:sz w:val="24"/>
          <w:szCs w:val="24"/>
        </w:rPr>
        <w:t xml:space="preserve">Spending for the selected services in the OPD setting was over $79.7 million before implementing prior authorization and then dropped by 28% to approximately $57.3 million. This represents a savings of over $22.4 million and we expect similar results in the ASC setting. </w:t>
      </w:r>
      <w:r w:rsidR="00D62384">
        <w:rPr>
          <w:spacing w:val="-4"/>
          <w:sz w:val="24"/>
          <w:szCs w:val="24"/>
        </w:rPr>
        <w:t xml:space="preserve"> </w:t>
      </w:r>
      <w:r w:rsidRPr="00813A51">
        <w:rPr>
          <w:spacing w:val="-4"/>
          <w:sz w:val="24"/>
          <w:szCs w:val="24"/>
        </w:rPr>
        <w:t xml:space="preserve">Additionally, there have been several recent law enforcement actions for each of the selected services. </w:t>
      </w:r>
      <w:r w:rsidR="00D62384">
        <w:rPr>
          <w:spacing w:val="-4"/>
          <w:sz w:val="24"/>
          <w:szCs w:val="24"/>
        </w:rPr>
        <w:t xml:space="preserve"> </w:t>
      </w:r>
      <w:r w:rsidRPr="00813A51">
        <w:rPr>
          <w:spacing w:val="-4"/>
          <w:sz w:val="24"/>
          <w:szCs w:val="24"/>
        </w:rPr>
        <w:t xml:space="preserve">These cases demonstrate the need for greater oversight to help prevent fraudulent behavior. </w:t>
      </w:r>
      <w:r w:rsidR="00D62384">
        <w:rPr>
          <w:spacing w:val="-4"/>
          <w:sz w:val="24"/>
          <w:szCs w:val="24"/>
        </w:rPr>
        <w:t xml:space="preserve"> </w:t>
      </w:r>
      <w:r w:rsidRPr="00813A51">
        <w:rPr>
          <w:spacing w:val="-4"/>
          <w:sz w:val="24"/>
          <w:szCs w:val="24"/>
        </w:rPr>
        <w:t>Implementing prior authorization requirements for these same services in the ASC setting would help prevent and reverse that shift in potentially fraudulent behavior.</w:t>
      </w:r>
      <w:r w:rsidRPr="00C61653">
        <w:rPr>
          <w:i/>
          <w:spacing w:val="10"/>
          <w:sz w:val="24"/>
          <w:szCs w:val="24"/>
        </w:rPr>
        <w:t xml:space="preserve"> </w:t>
      </w:r>
    </w:p>
    <w:p w:rsidR="00B5190C" w:rsidP="00B76E33" w14:paraId="1A59B3AE" w14:textId="77777777">
      <w:pPr>
        <w:pStyle w:val="BodyText"/>
      </w:pPr>
    </w:p>
    <w:p w:rsidR="00813A51" w:rsidRPr="00813A51" w:rsidP="00813A51" w14:paraId="7F0FBF90" w14:textId="51BADD65">
      <w:pPr>
        <w:keepNext/>
        <w:spacing w:before="78"/>
        <w:ind w:right="158"/>
        <w:rPr>
          <w:sz w:val="24"/>
          <w:szCs w:val="24"/>
        </w:rPr>
      </w:pPr>
      <w:r w:rsidRPr="00813A51">
        <w:rPr>
          <w:sz w:val="24"/>
          <w:szCs w:val="24"/>
        </w:rPr>
        <w:t>Demonstration Design</w:t>
      </w:r>
    </w:p>
    <w:p w:rsidR="00813A51" w:rsidRPr="00813A51" w:rsidP="00813A51" w14:paraId="1A34F5B8" w14:textId="1914D7CA">
      <w:pPr>
        <w:keepNext/>
        <w:spacing w:before="78"/>
        <w:ind w:right="158"/>
        <w:rPr>
          <w:sz w:val="24"/>
          <w:szCs w:val="24"/>
        </w:rPr>
      </w:pPr>
      <w:r w:rsidRPr="00813A51">
        <w:rPr>
          <w:sz w:val="24"/>
          <w:szCs w:val="24"/>
        </w:rPr>
        <w:t xml:space="preserve">CMS proposes requiring prior authorization requests for ASC services prior to furnishing those services. </w:t>
      </w:r>
      <w:r w:rsidR="00D62384">
        <w:rPr>
          <w:sz w:val="24"/>
          <w:szCs w:val="24"/>
        </w:rPr>
        <w:t xml:space="preserve"> </w:t>
      </w:r>
      <w:r w:rsidRPr="00813A51">
        <w:rPr>
          <w:sz w:val="24"/>
          <w:szCs w:val="24"/>
        </w:rPr>
        <w:t xml:space="preserve">The proposed demonstration does not change Medicare benefit or coverage requirements, nor does it create new documentation requirements. </w:t>
      </w:r>
      <w:r w:rsidR="00D62384">
        <w:rPr>
          <w:sz w:val="24"/>
          <w:szCs w:val="24"/>
        </w:rPr>
        <w:t xml:space="preserve"> </w:t>
      </w:r>
      <w:r w:rsidRPr="00813A51">
        <w:rPr>
          <w:sz w:val="24"/>
          <w:szCs w:val="24"/>
        </w:rPr>
        <w:t xml:space="preserve">Instead, regularly required documentation must be submitted earlier in the process. </w:t>
      </w:r>
      <w:r w:rsidR="00D62384">
        <w:rPr>
          <w:sz w:val="24"/>
          <w:szCs w:val="24"/>
        </w:rPr>
        <w:t xml:space="preserve"> </w:t>
      </w:r>
      <w:r w:rsidRPr="00813A51">
        <w:rPr>
          <w:sz w:val="24"/>
          <w:szCs w:val="24"/>
        </w:rPr>
        <w:t>The prior authorization process will test methods to improve the investigation and prosecution of fraud and will also help ensure that payments for ambulatory surgical services meet Medicare requirements prior to providers submitting claims for payment, thereby helping to prevent improper payments, including payments representing potential fraud, waste, or abuse.</w:t>
      </w:r>
    </w:p>
    <w:p w:rsidR="00813A51" w:rsidRPr="00813A51" w:rsidP="00813A51" w14:paraId="7CC357CD" w14:textId="77777777">
      <w:pPr>
        <w:keepNext/>
        <w:spacing w:before="78"/>
        <w:ind w:right="158"/>
        <w:rPr>
          <w:sz w:val="24"/>
          <w:szCs w:val="24"/>
        </w:rPr>
      </w:pPr>
    </w:p>
    <w:p w:rsidR="00813A51" w:rsidRPr="00813A51" w:rsidP="00813A51" w14:paraId="6D0C4A02" w14:textId="6BDE29CA">
      <w:pPr>
        <w:keepNext/>
        <w:spacing w:before="78"/>
        <w:ind w:right="158"/>
        <w:rPr>
          <w:sz w:val="24"/>
          <w:szCs w:val="24"/>
        </w:rPr>
      </w:pPr>
      <w:r w:rsidRPr="00813A51">
        <w:rPr>
          <w:sz w:val="24"/>
          <w:szCs w:val="24"/>
        </w:rPr>
        <w:t xml:space="preserve">This demonstration will include ASC providers that submit claims with place of service 24 (Ambulatory Surgical Center), perform certain ASC services in the </w:t>
      </w:r>
      <w:r w:rsidR="00D519A2">
        <w:rPr>
          <w:sz w:val="24"/>
          <w:szCs w:val="24"/>
        </w:rPr>
        <w:t>10-</w:t>
      </w:r>
      <w:r w:rsidRPr="00813A51">
        <w:rPr>
          <w:sz w:val="24"/>
          <w:szCs w:val="24"/>
        </w:rPr>
        <w:t xml:space="preserve">demonstration states, and submit claims to Medicare fee-for-service. </w:t>
      </w:r>
      <w:r w:rsidR="00D62384">
        <w:rPr>
          <w:sz w:val="24"/>
          <w:szCs w:val="24"/>
        </w:rPr>
        <w:t xml:space="preserve"> </w:t>
      </w:r>
      <w:r w:rsidRPr="00813A51">
        <w:rPr>
          <w:sz w:val="24"/>
          <w:szCs w:val="24"/>
        </w:rPr>
        <w:t>If a provider does not obtain prior authorization and the service is furnished, the claim will be subject to prepayment review.</w:t>
      </w:r>
      <w:r w:rsidR="00D62384">
        <w:rPr>
          <w:sz w:val="24"/>
          <w:szCs w:val="24"/>
        </w:rPr>
        <w:t xml:space="preserve"> </w:t>
      </w:r>
      <w:r w:rsidRPr="00813A51">
        <w:rPr>
          <w:sz w:val="24"/>
          <w:szCs w:val="24"/>
        </w:rPr>
        <w:t xml:space="preserve"> Prepayment review means that the Medicare Administrative Contractor (MAC) will make a claim determination before claim payment, using the standard Medicare prepayment review process.</w:t>
      </w:r>
    </w:p>
    <w:p w:rsidR="000C28B8" w:rsidP="00F65AD2" w14:paraId="60A1BC99" w14:textId="77777777">
      <w:pPr>
        <w:pStyle w:val="BodyText"/>
        <w:spacing w:before="78"/>
        <w:ind w:right="261"/>
      </w:pPr>
    </w:p>
    <w:p w:rsidR="00586035" w:rsidP="00522810" w14:paraId="52728203" w14:textId="1E09CE59">
      <w:pPr>
        <w:pStyle w:val="BodyText"/>
        <w:spacing w:before="78"/>
        <w:ind w:right="261"/>
      </w:pPr>
      <w:r w:rsidRPr="000C28B8">
        <w:t xml:space="preserve">Providers that forgo </w:t>
      </w:r>
      <w:r w:rsidR="00096848">
        <w:t>prior authorization</w:t>
      </w:r>
      <w:r w:rsidRPr="000C28B8">
        <w:t xml:space="preserve"> could incur financial losses on services that are provided and found ineligible for payment during prepayment review and would be unable to legally pass these costs onto their patients, unless the patient signed an Advanced Beneficiary Notice of Non-coverage in advance. </w:t>
      </w:r>
      <w:r w:rsidR="00D62384">
        <w:t xml:space="preserve"> </w:t>
      </w:r>
      <w:r w:rsidRPr="000C28B8">
        <w:t xml:space="preserve">The ASC provider will submit the </w:t>
      </w:r>
      <w:r w:rsidR="00096848">
        <w:t>prior authorization requests</w:t>
      </w:r>
      <w:r w:rsidRPr="000C28B8">
        <w:t xml:space="preserve"> to their local MAC jurisdiction. </w:t>
      </w:r>
      <w:r w:rsidR="00D62384">
        <w:t xml:space="preserve"> </w:t>
      </w:r>
      <w:r w:rsidRPr="000C28B8">
        <w:t xml:space="preserve">The MAC will review the information submitted and issue the decision (provisional affirmation, non-affirmation, or partial affirmation) to the provider. </w:t>
      </w:r>
    </w:p>
    <w:p w:rsidR="00586035" w:rsidP="00522810" w14:paraId="2ED0A417" w14:textId="77777777">
      <w:pPr>
        <w:pStyle w:val="BodyText"/>
        <w:spacing w:before="78"/>
        <w:ind w:right="261"/>
      </w:pPr>
    </w:p>
    <w:p w:rsidR="00F65AD2" w:rsidRPr="009839D2" w:rsidP="00F65AD2" w14:paraId="7B1139EB" w14:textId="0165009A">
      <w:pPr>
        <w:pStyle w:val="BodyText"/>
        <w:spacing w:before="78"/>
        <w:ind w:right="261"/>
      </w:pPr>
      <w:r>
        <w:t xml:space="preserve">A provisional affirmation is a preliminary finding that a future claim for the service will meet Medicare’s coverage, coding, and payment rules. </w:t>
      </w:r>
      <w:r w:rsidR="00D62384">
        <w:t xml:space="preserve"> </w:t>
      </w:r>
      <w:r>
        <w:t xml:space="preserve">Consistent with existing CMS prior authorization program processes, a claim with a provisional affirmation may nevertheless be denied based on either technical requirements that can only be evaluated after the claim has been submitted for formal processing or based on information not available at the time the MAC receives the </w:t>
      </w:r>
      <w:r w:rsidR="00096848">
        <w:t>prior authorization request</w:t>
      </w:r>
      <w:r>
        <w:t xml:space="preserve">. </w:t>
      </w:r>
      <w:r w:rsidR="00D62384">
        <w:t xml:space="preserve"> </w:t>
      </w:r>
      <w:r>
        <w:t>A non-affirmation</w:t>
      </w:r>
      <w:r w:rsidR="00096848">
        <w:t xml:space="preserve"> prior authorization</w:t>
      </w:r>
      <w:r>
        <w:t xml:space="preserve"> decision is a preliminary finding that, if a future claim is submitted to Medicare for the requested service, it does not meet Medicare’s coverage, coding, and payment requirements.</w:t>
      </w:r>
      <w:r w:rsidR="00D62384">
        <w:t xml:space="preserve"> </w:t>
      </w:r>
      <w:r>
        <w:t xml:space="preserve"> A provisional partial affirmation </w:t>
      </w:r>
      <w:r w:rsidR="00096848">
        <w:t>prior authorization</w:t>
      </w:r>
      <w:r>
        <w:t xml:space="preserve"> decision means that one or more service(s) on the </w:t>
      </w:r>
      <w:r w:rsidR="00096848">
        <w:t>prior authorization request</w:t>
      </w:r>
      <w:r>
        <w:t xml:space="preserve"> received a provisional affirmation decision and one or more service(s) received a non-affirmation decision.</w:t>
      </w:r>
      <w:r w:rsidR="00077BF2">
        <w:t xml:space="preserve"> </w:t>
      </w:r>
      <w:r w:rsidR="00D62384">
        <w:t xml:space="preserve"> </w:t>
      </w:r>
      <w:r w:rsidRPr="009839D2">
        <w:t xml:space="preserve">While most </w:t>
      </w:r>
      <w:r w:rsidRPr="009839D2">
        <w:t xml:space="preserve">prior authorization reviews will be decided within </w:t>
      </w:r>
      <w:r w:rsidR="00FE09F3">
        <w:t>7</w:t>
      </w:r>
      <w:r w:rsidR="00D519A2">
        <w:t>-</w:t>
      </w:r>
      <w:r w:rsidRPr="009839D2">
        <w:t xml:space="preserve">days, providers have an opportunity to submit prior authorization requests for expedited review when a delay could seriously jeopardize the beneficiary’s life, health, or ability to regain maximum function. </w:t>
      </w:r>
      <w:r w:rsidR="00D62384">
        <w:t xml:space="preserve"> </w:t>
      </w:r>
      <w:r w:rsidR="00A8152C">
        <w:t xml:space="preserve">A decision will be rendered within the expedited review timeframe of </w:t>
      </w:r>
      <w:r w:rsidR="00FF2494">
        <w:t>2 business days</w:t>
      </w:r>
      <w:r w:rsidR="00A8152C">
        <w:t xml:space="preserve"> for requests that are deemed valid for expedited review. </w:t>
      </w:r>
    </w:p>
    <w:p w:rsidR="009A19A7" w:rsidP="00813A51" w14:paraId="2D668036" w14:textId="77777777">
      <w:pPr>
        <w:keepNext/>
        <w:spacing w:before="78"/>
        <w:ind w:right="158"/>
        <w:rPr>
          <w:sz w:val="24"/>
          <w:szCs w:val="24"/>
        </w:rPr>
      </w:pPr>
    </w:p>
    <w:p w:rsidR="009A19A7" w:rsidP="00813A51" w14:paraId="192A6D03" w14:textId="60EAA836">
      <w:pPr>
        <w:keepNext/>
        <w:spacing w:before="78"/>
        <w:ind w:right="158"/>
        <w:rPr>
          <w:sz w:val="24"/>
          <w:szCs w:val="24"/>
        </w:rPr>
      </w:pPr>
      <w:r w:rsidRPr="00522810">
        <w:rPr>
          <w:sz w:val="24"/>
          <w:szCs w:val="24"/>
        </w:rPr>
        <w:t xml:space="preserve">As is standard with our prior authorization processes, a unique tracking number (UTN) will be assigned to each </w:t>
      </w:r>
      <w:r w:rsidR="00096848">
        <w:rPr>
          <w:sz w:val="24"/>
          <w:szCs w:val="24"/>
        </w:rPr>
        <w:t>prior authorization request</w:t>
      </w:r>
      <w:r w:rsidRPr="00522810">
        <w:rPr>
          <w:sz w:val="24"/>
          <w:szCs w:val="24"/>
        </w:rPr>
        <w:t xml:space="preserve">. </w:t>
      </w:r>
      <w:r w:rsidR="00D62384">
        <w:rPr>
          <w:sz w:val="24"/>
          <w:szCs w:val="24"/>
        </w:rPr>
        <w:t xml:space="preserve"> </w:t>
      </w:r>
      <w:r w:rsidRPr="00522810">
        <w:rPr>
          <w:sz w:val="24"/>
          <w:szCs w:val="24"/>
        </w:rPr>
        <w:t xml:space="preserve">The MAC will send decision letters with the UTN to the requester using the method the </w:t>
      </w:r>
      <w:r w:rsidR="00096848">
        <w:rPr>
          <w:sz w:val="24"/>
          <w:szCs w:val="24"/>
        </w:rPr>
        <w:t>prior authorization request</w:t>
      </w:r>
      <w:r w:rsidRPr="00522810">
        <w:rPr>
          <w:sz w:val="24"/>
          <w:szCs w:val="24"/>
        </w:rPr>
        <w:t xml:space="preserve"> was received postmarked </w:t>
      </w:r>
      <w:r w:rsidRPr="007B3E71">
        <w:rPr>
          <w:sz w:val="24"/>
          <w:szCs w:val="24"/>
        </w:rPr>
        <w:t xml:space="preserve">within </w:t>
      </w:r>
      <w:r w:rsidRPr="007B3E71" w:rsidR="007B3E71">
        <w:rPr>
          <w:sz w:val="24"/>
          <w:szCs w:val="24"/>
        </w:rPr>
        <w:t>7</w:t>
      </w:r>
      <w:r w:rsidR="00D519A2">
        <w:rPr>
          <w:sz w:val="24"/>
          <w:szCs w:val="24"/>
        </w:rPr>
        <w:t>-</w:t>
      </w:r>
      <w:r w:rsidRPr="00522810">
        <w:rPr>
          <w:sz w:val="24"/>
          <w:szCs w:val="24"/>
        </w:rPr>
        <w:t xml:space="preserve">days for standard review and </w:t>
      </w:r>
      <w:r w:rsidR="00FF2494">
        <w:rPr>
          <w:sz w:val="24"/>
          <w:szCs w:val="24"/>
        </w:rPr>
        <w:t>2 business days</w:t>
      </w:r>
      <w:r w:rsidR="00C07D09">
        <w:rPr>
          <w:sz w:val="24"/>
          <w:szCs w:val="24"/>
        </w:rPr>
        <w:t xml:space="preserve"> </w:t>
      </w:r>
      <w:r w:rsidRPr="00522810">
        <w:rPr>
          <w:sz w:val="24"/>
          <w:szCs w:val="24"/>
        </w:rPr>
        <w:t>for expedited review.</w:t>
      </w:r>
      <w:r w:rsidR="00D62384">
        <w:rPr>
          <w:sz w:val="24"/>
          <w:szCs w:val="24"/>
        </w:rPr>
        <w:t xml:space="preserve"> </w:t>
      </w:r>
      <w:r w:rsidRPr="00522810">
        <w:rPr>
          <w:sz w:val="24"/>
          <w:szCs w:val="24"/>
        </w:rPr>
        <w:t xml:space="preserve"> Providers must place the UTN received on the claim submitted.</w:t>
      </w:r>
    </w:p>
    <w:p w:rsidR="009A19A7" w:rsidP="00813A51" w14:paraId="4BC03222" w14:textId="77777777">
      <w:pPr>
        <w:keepNext/>
        <w:spacing w:before="78"/>
        <w:ind w:right="158"/>
        <w:rPr>
          <w:sz w:val="24"/>
          <w:szCs w:val="24"/>
        </w:rPr>
      </w:pPr>
    </w:p>
    <w:p w:rsidR="00813A51" w:rsidRPr="00813A51" w:rsidP="00813A51" w14:paraId="5F7C4F79" w14:textId="33FBEFDD">
      <w:pPr>
        <w:keepNext/>
        <w:spacing w:before="78"/>
        <w:ind w:right="158"/>
        <w:rPr>
          <w:sz w:val="24"/>
          <w:szCs w:val="24"/>
        </w:rPr>
      </w:pPr>
      <w:r w:rsidRPr="00813A51">
        <w:rPr>
          <w:sz w:val="24"/>
          <w:szCs w:val="24"/>
        </w:rPr>
        <w:t xml:space="preserve">CMS will implement an exemption process for those providers who continually show compliance with meeting coverage requirements, and those providers will not need to request </w:t>
      </w:r>
      <w:r w:rsidR="00DF095D">
        <w:rPr>
          <w:sz w:val="24"/>
          <w:szCs w:val="24"/>
        </w:rPr>
        <w:t>prior authorization</w:t>
      </w:r>
      <w:r w:rsidRPr="00813A51">
        <w:rPr>
          <w:sz w:val="24"/>
          <w:szCs w:val="24"/>
        </w:rPr>
        <w:t xml:space="preserve"> for the selected services.</w:t>
      </w:r>
      <w:r w:rsidR="00D62384">
        <w:rPr>
          <w:sz w:val="24"/>
          <w:szCs w:val="24"/>
        </w:rPr>
        <w:t xml:space="preserve"> </w:t>
      </w:r>
      <w:r w:rsidRPr="00813A51">
        <w:t xml:space="preserve"> </w:t>
      </w:r>
      <w:r>
        <w:rPr>
          <w:sz w:val="24"/>
          <w:szCs w:val="24"/>
        </w:rPr>
        <w:t xml:space="preserve">This </w:t>
      </w:r>
      <w:r w:rsidRPr="00813A51">
        <w:rPr>
          <w:sz w:val="24"/>
          <w:szCs w:val="24"/>
        </w:rPr>
        <w:t>exemption w</w:t>
      </w:r>
      <w:r>
        <w:rPr>
          <w:sz w:val="24"/>
          <w:szCs w:val="24"/>
        </w:rPr>
        <w:t>ill</w:t>
      </w:r>
      <w:r w:rsidRPr="00813A51">
        <w:rPr>
          <w:sz w:val="24"/>
          <w:szCs w:val="24"/>
        </w:rPr>
        <w:t xml:space="preserve"> remain in effect until CMS elects to withdraw the exemption.  CMS may elect to exempt providers that achieve a prior authorization provisional affirmation threshold of at least 90</w:t>
      </w:r>
      <w:r w:rsidR="00D62384">
        <w:rPr>
          <w:sz w:val="24"/>
          <w:szCs w:val="24"/>
        </w:rPr>
        <w:t>%</w:t>
      </w:r>
      <w:r w:rsidRPr="00813A51">
        <w:rPr>
          <w:sz w:val="24"/>
          <w:szCs w:val="24"/>
        </w:rPr>
        <w:t xml:space="preserve"> during an annual assessment.  In addition, CMS may withdraw an exemption if evidence becomes available based on a review of claims that such claims do not meet Medicare’s billing, coding, or payment guidelines.  Moreover, CMS may suspend the </w:t>
      </w:r>
      <w:r>
        <w:rPr>
          <w:sz w:val="24"/>
          <w:szCs w:val="24"/>
        </w:rPr>
        <w:t xml:space="preserve">ASC </w:t>
      </w:r>
      <w:r w:rsidRPr="00813A51">
        <w:rPr>
          <w:sz w:val="24"/>
          <w:szCs w:val="24"/>
        </w:rPr>
        <w:t>prior authorization process requirements generally or for a particular service(s) at any time by issuing notification on CMS’ website.</w:t>
      </w:r>
    </w:p>
    <w:p w:rsidR="00813A51" w:rsidRPr="00813A51" w:rsidP="00813A51" w14:paraId="3F01BDA2" w14:textId="77777777">
      <w:pPr>
        <w:keepNext/>
        <w:spacing w:before="78"/>
        <w:ind w:right="158"/>
        <w:rPr>
          <w:sz w:val="24"/>
          <w:szCs w:val="24"/>
        </w:rPr>
      </w:pPr>
    </w:p>
    <w:p w:rsidR="00813A51" w:rsidP="00813A51" w14:paraId="2D577AE2" w14:textId="4DBE5CA5">
      <w:pPr>
        <w:keepNext/>
        <w:spacing w:before="78"/>
        <w:ind w:right="158"/>
        <w:rPr>
          <w:sz w:val="24"/>
          <w:szCs w:val="24"/>
        </w:rPr>
      </w:pPr>
      <w:r w:rsidRPr="00813A51">
        <w:rPr>
          <w:sz w:val="24"/>
          <w:szCs w:val="24"/>
        </w:rPr>
        <w:t xml:space="preserve">CMS will implement the demonstration in one phase, and it will last </w:t>
      </w:r>
      <w:r w:rsidR="007B3E71">
        <w:rPr>
          <w:sz w:val="24"/>
          <w:szCs w:val="24"/>
        </w:rPr>
        <w:t>5</w:t>
      </w:r>
      <w:r w:rsidR="00D519A2">
        <w:rPr>
          <w:sz w:val="24"/>
          <w:szCs w:val="24"/>
        </w:rPr>
        <w:t>-</w:t>
      </w:r>
      <w:r w:rsidRPr="00813A51">
        <w:rPr>
          <w:sz w:val="24"/>
          <w:szCs w:val="24"/>
        </w:rPr>
        <w:t xml:space="preserve">years. </w:t>
      </w:r>
      <w:r w:rsidR="00070ACA">
        <w:rPr>
          <w:sz w:val="24"/>
          <w:szCs w:val="24"/>
        </w:rPr>
        <w:t xml:space="preserve">CMS </w:t>
      </w:r>
      <w:r w:rsidRPr="00813A51">
        <w:rPr>
          <w:sz w:val="24"/>
          <w:szCs w:val="24"/>
        </w:rPr>
        <w:t>do</w:t>
      </w:r>
      <w:r w:rsidR="00070ACA">
        <w:rPr>
          <w:sz w:val="24"/>
          <w:szCs w:val="24"/>
        </w:rPr>
        <w:t>es</w:t>
      </w:r>
      <w:r w:rsidRPr="00813A51">
        <w:rPr>
          <w:sz w:val="24"/>
          <w:szCs w:val="24"/>
        </w:rPr>
        <w:t xml:space="preserve"> not anticipate beginning the demonstration earlier than 202</w:t>
      </w:r>
      <w:r w:rsidR="005A536F">
        <w:rPr>
          <w:sz w:val="24"/>
          <w:szCs w:val="24"/>
        </w:rPr>
        <w:t>5</w:t>
      </w:r>
      <w:r w:rsidR="000E0EA4">
        <w:rPr>
          <w:sz w:val="24"/>
          <w:szCs w:val="24"/>
        </w:rPr>
        <w:t>.</w:t>
      </w:r>
      <w:r w:rsidRPr="00813A51">
        <w:rPr>
          <w:sz w:val="24"/>
          <w:szCs w:val="24"/>
        </w:rPr>
        <w:t xml:space="preserve"> </w:t>
      </w:r>
      <w:r w:rsidR="00D62384">
        <w:rPr>
          <w:sz w:val="24"/>
          <w:szCs w:val="24"/>
        </w:rPr>
        <w:t xml:space="preserve"> </w:t>
      </w:r>
      <w:r w:rsidRPr="00813A51">
        <w:rPr>
          <w:sz w:val="24"/>
          <w:szCs w:val="24"/>
        </w:rPr>
        <w:t xml:space="preserve">In this demonstration, the MACs will be utilizing a similar review process for these services as they do for the OPD prior authorization program. </w:t>
      </w:r>
      <w:r w:rsidR="00D62384">
        <w:rPr>
          <w:sz w:val="24"/>
          <w:szCs w:val="24"/>
        </w:rPr>
        <w:t xml:space="preserve"> </w:t>
      </w:r>
      <w:r w:rsidRPr="00813A51">
        <w:rPr>
          <w:sz w:val="24"/>
          <w:szCs w:val="24"/>
        </w:rPr>
        <w:t xml:space="preserve">The documentation requirements that MACs already have for the services in the OPD program, including local coverage determinations (LCDs), are applicable to these ASC services as well. </w:t>
      </w:r>
      <w:r w:rsidR="00D62384">
        <w:rPr>
          <w:sz w:val="24"/>
          <w:szCs w:val="24"/>
        </w:rPr>
        <w:t xml:space="preserve"> </w:t>
      </w:r>
      <w:r w:rsidRPr="00813A51">
        <w:rPr>
          <w:sz w:val="24"/>
          <w:szCs w:val="24"/>
        </w:rPr>
        <w:t>Since MACs already have a foundation for reviewing prior authorization request</w:t>
      </w:r>
      <w:r w:rsidR="00E83000">
        <w:rPr>
          <w:sz w:val="24"/>
          <w:szCs w:val="24"/>
        </w:rPr>
        <w:t>s</w:t>
      </w:r>
      <w:r w:rsidRPr="00813A51">
        <w:rPr>
          <w:sz w:val="24"/>
          <w:szCs w:val="24"/>
        </w:rPr>
        <w:t xml:space="preserve"> for these services, we believe that phasing in this demonstration is not necessary, and it can begin in all the demonstration states </w:t>
      </w:r>
      <w:r w:rsidR="00C30E87">
        <w:rPr>
          <w:sz w:val="24"/>
          <w:szCs w:val="24"/>
        </w:rPr>
        <w:t>simultaneously</w:t>
      </w:r>
      <w:r w:rsidRPr="00813A51">
        <w:rPr>
          <w:sz w:val="24"/>
          <w:szCs w:val="24"/>
        </w:rPr>
        <w:t>.</w:t>
      </w:r>
    </w:p>
    <w:p w:rsidR="00B5190C" w14:paraId="7D96EE29" w14:textId="77777777">
      <w:pPr>
        <w:pStyle w:val="BodyText"/>
        <w:spacing w:before="1"/>
        <w:rPr>
          <w:b/>
          <w:sz w:val="21"/>
        </w:rPr>
      </w:pPr>
    </w:p>
    <w:p w:rsidR="00B5190C" w:rsidP="00B76E33" w14:paraId="223B8658" w14:textId="77777777">
      <w:pPr>
        <w:pStyle w:val="Heading1"/>
        <w:ind w:left="0"/>
        <w:jc w:val="left"/>
      </w:pPr>
      <w:r>
        <w:t>JUSTIFICATION</w:t>
      </w:r>
    </w:p>
    <w:p w:rsidR="00B5190C" w14:paraId="609DA3BA" w14:textId="77777777">
      <w:pPr>
        <w:pStyle w:val="BodyText"/>
        <w:spacing w:before="4"/>
        <w:rPr>
          <w:b/>
        </w:rPr>
      </w:pPr>
    </w:p>
    <w:p w:rsidR="00B5190C" w:rsidP="00B76E33" w14:paraId="1A9EF488" w14:textId="77777777">
      <w:pPr>
        <w:pStyle w:val="ListParagraph"/>
        <w:numPr>
          <w:ilvl w:val="0"/>
          <w:numId w:val="1"/>
        </w:numPr>
        <w:tabs>
          <w:tab w:val="left" w:pos="0"/>
        </w:tabs>
        <w:ind w:left="0" w:firstLine="0"/>
        <w:rPr>
          <w:sz w:val="24"/>
        </w:rPr>
      </w:pPr>
      <w:r>
        <w:rPr>
          <w:sz w:val="24"/>
          <w:u w:val="single"/>
        </w:rPr>
        <w:t>Need and Legal</w:t>
      </w:r>
      <w:r>
        <w:rPr>
          <w:spacing w:val="40"/>
          <w:sz w:val="24"/>
          <w:u w:val="single"/>
        </w:rPr>
        <w:t xml:space="preserve"> </w:t>
      </w:r>
      <w:r>
        <w:rPr>
          <w:spacing w:val="-4"/>
          <w:sz w:val="24"/>
          <w:u w:val="single"/>
        </w:rPr>
        <w:t>Basis</w:t>
      </w:r>
    </w:p>
    <w:p w:rsidR="00B5190C" w:rsidP="00B76E33" w14:paraId="5F17D6B4" w14:textId="77777777">
      <w:pPr>
        <w:pStyle w:val="BodyText"/>
        <w:tabs>
          <w:tab w:val="left" w:pos="0"/>
        </w:tabs>
        <w:spacing w:before="4"/>
        <w:rPr>
          <w:sz w:val="17"/>
        </w:rPr>
      </w:pPr>
    </w:p>
    <w:p w:rsidR="00E27A97" w:rsidRPr="00C61653" w:rsidP="00E27A97" w14:paraId="72AB54DE" w14:textId="4F4869BF">
      <w:pPr>
        <w:pStyle w:val="BodyText"/>
        <w:spacing w:before="69"/>
        <w:ind w:right="205" w:hanging="1"/>
      </w:pPr>
      <w:r w:rsidRPr="00C61653">
        <w:rPr>
          <w:spacing w:val="-4"/>
        </w:rPr>
        <w:t xml:space="preserve">Section </w:t>
      </w:r>
      <w:r w:rsidRPr="00C61653">
        <w:rPr>
          <w:spacing w:val="-3"/>
        </w:rPr>
        <w:t xml:space="preserve">402(a)(1)(J) </w:t>
      </w:r>
      <w:r w:rsidRPr="00C61653">
        <w:rPr>
          <w:spacing w:val="-4"/>
        </w:rPr>
        <w:t xml:space="preserve">of the Social Security Amendments of </w:t>
      </w:r>
      <w:r w:rsidRPr="00C61653">
        <w:rPr>
          <w:spacing w:val="-6"/>
        </w:rPr>
        <w:t xml:space="preserve">1967 </w:t>
      </w:r>
      <w:r w:rsidRPr="00C61653">
        <w:rPr>
          <w:spacing w:val="-3"/>
        </w:rPr>
        <w:t xml:space="preserve">(42 </w:t>
      </w:r>
      <w:r w:rsidRPr="00C61653">
        <w:t xml:space="preserve">U.S.C. </w:t>
      </w:r>
      <w:r w:rsidRPr="00C61653">
        <w:rPr>
          <w:spacing w:val="-3"/>
        </w:rPr>
        <w:t>1395b-1(a)(1)(J))</w:t>
      </w:r>
      <w:r w:rsidRPr="00C61653">
        <w:rPr>
          <w:spacing w:val="-35"/>
        </w:rPr>
        <w:t xml:space="preserve"> </w:t>
      </w:r>
      <w:r w:rsidRPr="00C61653">
        <w:rPr>
          <w:spacing w:val="-5"/>
        </w:rPr>
        <w:t>authorizes</w:t>
      </w:r>
      <w:r w:rsidRPr="00C61653">
        <w:rPr>
          <w:spacing w:val="19"/>
        </w:rPr>
        <w:t xml:space="preserve"> </w:t>
      </w:r>
      <w:r w:rsidRPr="00C61653">
        <w:rPr>
          <w:spacing w:val="-4"/>
        </w:rPr>
        <w:t>the</w:t>
      </w:r>
      <w:r w:rsidRPr="00C61653">
        <w:rPr>
          <w:spacing w:val="11"/>
        </w:rPr>
        <w:t xml:space="preserve"> </w:t>
      </w:r>
      <w:r w:rsidRPr="00C61653">
        <w:t>Secretary</w:t>
      </w:r>
      <w:r w:rsidRPr="00C61653">
        <w:rPr>
          <w:spacing w:val="-19"/>
        </w:rPr>
        <w:t xml:space="preserve"> </w:t>
      </w:r>
      <w:r w:rsidRPr="00C61653">
        <w:t>to</w:t>
      </w:r>
      <w:r w:rsidRPr="00C61653">
        <w:rPr>
          <w:spacing w:val="13"/>
        </w:rPr>
        <w:t xml:space="preserve"> </w:t>
      </w:r>
      <w:r w:rsidRPr="00C61653">
        <w:rPr>
          <w:spacing w:val="-6"/>
        </w:rPr>
        <w:t>“develop</w:t>
      </w:r>
      <w:r w:rsidRPr="00C61653">
        <w:rPr>
          <w:spacing w:val="46"/>
        </w:rPr>
        <w:t xml:space="preserve"> </w:t>
      </w:r>
      <w:r w:rsidRPr="00C61653">
        <w:rPr>
          <w:spacing w:val="-4"/>
        </w:rPr>
        <w:t>or</w:t>
      </w:r>
      <w:r w:rsidRPr="00C61653">
        <w:rPr>
          <w:spacing w:val="6"/>
        </w:rPr>
        <w:t xml:space="preserve"> </w:t>
      </w:r>
      <w:r w:rsidRPr="00C61653">
        <w:rPr>
          <w:spacing w:val="-3"/>
        </w:rPr>
        <w:t>demonstrate</w:t>
      </w:r>
      <w:r w:rsidRPr="00C61653">
        <w:rPr>
          <w:spacing w:val="27"/>
        </w:rPr>
        <w:t xml:space="preserve"> </w:t>
      </w:r>
      <w:r w:rsidRPr="00C61653">
        <w:rPr>
          <w:spacing w:val="-7"/>
        </w:rPr>
        <w:t>improved</w:t>
      </w:r>
      <w:r w:rsidRPr="00C61653">
        <w:rPr>
          <w:spacing w:val="-6"/>
        </w:rPr>
        <w:t xml:space="preserve"> </w:t>
      </w:r>
      <w:r w:rsidRPr="00C61653">
        <w:rPr>
          <w:spacing w:val="-5"/>
        </w:rPr>
        <w:t>methods</w:t>
      </w:r>
      <w:r w:rsidRPr="00C61653">
        <w:rPr>
          <w:spacing w:val="41"/>
        </w:rPr>
        <w:t xml:space="preserve"> </w:t>
      </w:r>
      <w:r w:rsidRPr="00C61653">
        <w:rPr>
          <w:spacing w:val="-3"/>
        </w:rPr>
        <w:t>for</w:t>
      </w:r>
      <w:r w:rsidRPr="00C61653">
        <w:rPr>
          <w:spacing w:val="6"/>
        </w:rPr>
        <w:t xml:space="preserve"> </w:t>
      </w:r>
      <w:r w:rsidRPr="00C61653">
        <w:rPr>
          <w:spacing w:val="-4"/>
        </w:rPr>
        <w:t>the</w:t>
      </w:r>
      <w:r w:rsidRPr="00C61653">
        <w:rPr>
          <w:spacing w:val="11"/>
        </w:rPr>
        <w:t xml:space="preserve"> </w:t>
      </w:r>
      <w:r w:rsidRPr="00C61653">
        <w:rPr>
          <w:spacing w:val="-7"/>
        </w:rPr>
        <w:t>investigation</w:t>
      </w:r>
      <w:r w:rsidRPr="00C61653">
        <w:rPr>
          <w:spacing w:val="27"/>
        </w:rPr>
        <w:t xml:space="preserve"> </w:t>
      </w:r>
      <w:r w:rsidRPr="00C61653">
        <w:rPr>
          <w:spacing w:val="-4"/>
        </w:rPr>
        <w:t>and</w:t>
      </w:r>
      <w:r w:rsidRPr="00C61653">
        <w:rPr>
          <w:spacing w:val="-58"/>
        </w:rPr>
        <w:t xml:space="preserve"> </w:t>
      </w:r>
      <w:r w:rsidRPr="00C61653">
        <w:rPr>
          <w:spacing w:val="-4"/>
        </w:rPr>
        <w:t xml:space="preserve">prosecution of </w:t>
      </w:r>
      <w:r w:rsidRPr="00C61653">
        <w:t xml:space="preserve">fraud </w:t>
      </w:r>
      <w:r w:rsidRPr="00C61653">
        <w:rPr>
          <w:spacing w:val="-10"/>
        </w:rPr>
        <w:t xml:space="preserve">in </w:t>
      </w:r>
      <w:r w:rsidRPr="00C61653">
        <w:rPr>
          <w:spacing w:val="-4"/>
        </w:rPr>
        <w:t xml:space="preserve">the </w:t>
      </w:r>
      <w:r w:rsidRPr="00C61653">
        <w:rPr>
          <w:spacing w:val="-8"/>
        </w:rPr>
        <w:t xml:space="preserve">provision </w:t>
      </w:r>
      <w:r w:rsidRPr="00C61653">
        <w:rPr>
          <w:spacing w:val="-4"/>
        </w:rPr>
        <w:t xml:space="preserve">of </w:t>
      </w:r>
      <w:r w:rsidRPr="00C61653">
        <w:rPr>
          <w:spacing w:val="2"/>
        </w:rPr>
        <w:t xml:space="preserve">care </w:t>
      </w:r>
      <w:r w:rsidRPr="00C61653">
        <w:rPr>
          <w:spacing w:val="-4"/>
        </w:rPr>
        <w:t xml:space="preserve">or </w:t>
      </w:r>
      <w:r w:rsidRPr="00C61653">
        <w:t xml:space="preserve">services </w:t>
      </w:r>
      <w:r w:rsidRPr="00C61653">
        <w:rPr>
          <w:spacing w:val="-4"/>
        </w:rPr>
        <w:t xml:space="preserve">under the health programs established </w:t>
      </w:r>
      <w:r w:rsidRPr="00C61653">
        <w:rPr>
          <w:spacing w:val="4"/>
        </w:rPr>
        <w:t>by</w:t>
      </w:r>
      <w:r w:rsidRPr="00C61653">
        <w:t xml:space="preserve"> </w:t>
      </w:r>
      <w:r w:rsidRPr="00C61653">
        <w:rPr>
          <w:spacing w:val="-4"/>
        </w:rPr>
        <w:t>the</w:t>
      </w:r>
      <w:r w:rsidRPr="00C61653">
        <w:rPr>
          <w:spacing w:val="9"/>
        </w:rPr>
        <w:t xml:space="preserve"> </w:t>
      </w:r>
      <w:r w:rsidRPr="00C61653">
        <w:rPr>
          <w:spacing w:val="-4"/>
        </w:rPr>
        <w:t>Social</w:t>
      </w:r>
      <w:r w:rsidRPr="00C61653">
        <w:rPr>
          <w:spacing w:val="17"/>
        </w:rPr>
        <w:t xml:space="preserve"> </w:t>
      </w:r>
      <w:r w:rsidRPr="00C61653">
        <w:rPr>
          <w:spacing w:val="-4"/>
        </w:rPr>
        <w:t>Security</w:t>
      </w:r>
      <w:r w:rsidRPr="00C61653">
        <w:rPr>
          <w:spacing w:val="27"/>
        </w:rPr>
        <w:t xml:space="preserve"> </w:t>
      </w:r>
      <w:r w:rsidRPr="00C61653">
        <w:rPr>
          <w:spacing w:val="2"/>
        </w:rPr>
        <w:t>Act</w:t>
      </w:r>
      <w:r w:rsidRPr="00C61653">
        <w:rPr>
          <w:spacing w:val="-15"/>
        </w:rPr>
        <w:t xml:space="preserve"> </w:t>
      </w:r>
      <w:r w:rsidRPr="00C61653">
        <w:rPr>
          <w:spacing w:val="-3"/>
        </w:rPr>
        <w:t>(the</w:t>
      </w:r>
      <w:r w:rsidRPr="00C61653">
        <w:rPr>
          <w:spacing w:val="9"/>
        </w:rPr>
        <w:t xml:space="preserve"> </w:t>
      </w:r>
      <w:r w:rsidRPr="00C61653">
        <w:t>Act).”</w:t>
      </w:r>
      <w:r w:rsidRPr="00C61653">
        <w:rPr>
          <w:spacing w:val="58"/>
        </w:rPr>
        <w:t xml:space="preserve"> </w:t>
      </w:r>
      <w:r w:rsidRPr="00C61653">
        <w:t>Pursuant</w:t>
      </w:r>
      <w:r w:rsidRPr="00C61653">
        <w:rPr>
          <w:spacing w:val="1"/>
        </w:rPr>
        <w:t xml:space="preserve"> </w:t>
      </w:r>
      <w:r w:rsidRPr="00C61653">
        <w:t>to</w:t>
      </w:r>
      <w:r w:rsidRPr="00C61653">
        <w:rPr>
          <w:spacing w:val="12"/>
        </w:rPr>
        <w:t xml:space="preserve"> </w:t>
      </w:r>
      <w:r w:rsidRPr="00C61653">
        <w:rPr>
          <w:spacing w:val="-8"/>
        </w:rPr>
        <w:t>this</w:t>
      </w:r>
      <w:r w:rsidRPr="00C61653">
        <w:rPr>
          <w:spacing w:val="22"/>
        </w:rPr>
        <w:t xml:space="preserve"> </w:t>
      </w:r>
      <w:r w:rsidRPr="00C61653">
        <w:rPr>
          <w:spacing w:val="-6"/>
        </w:rPr>
        <w:t>authority,</w:t>
      </w:r>
      <w:r w:rsidRPr="00C61653">
        <w:rPr>
          <w:spacing w:val="40"/>
        </w:rPr>
        <w:t xml:space="preserve"> </w:t>
      </w:r>
      <w:r w:rsidRPr="00C61653">
        <w:rPr>
          <w:spacing w:val="-4"/>
        </w:rPr>
        <w:t>the</w:t>
      </w:r>
      <w:r w:rsidRPr="00C61653">
        <w:rPr>
          <w:spacing w:val="25"/>
        </w:rPr>
        <w:t xml:space="preserve"> </w:t>
      </w:r>
      <w:r w:rsidRPr="00C61653">
        <w:t>CMS</w:t>
      </w:r>
      <w:r w:rsidRPr="00C61653">
        <w:rPr>
          <w:spacing w:val="-2"/>
        </w:rPr>
        <w:t xml:space="preserve"> </w:t>
      </w:r>
      <w:r w:rsidRPr="00C61653">
        <w:t>seeks</w:t>
      </w:r>
      <w:r w:rsidRPr="00C61653">
        <w:rPr>
          <w:spacing w:val="-10"/>
        </w:rPr>
        <w:t xml:space="preserve"> </w:t>
      </w:r>
      <w:r w:rsidRPr="00C61653">
        <w:t>to</w:t>
      </w:r>
      <w:r w:rsidRPr="00C61653">
        <w:rPr>
          <w:spacing w:val="11"/>
        </w:rPr>
        <w:t xml:space="preserve"> </w:t>
      </w:r>
      <w:r w:rsidRPr="00C61653">
        <w:rPr>
          <w:spacing w:val="-5"/>
        </w:rPr>
        <w:t>develop</w:t>
      </w:r>
      <w:r w:rsidRPr="00C61653">
        <w:rPr>
          <w:spacing w:val="6"/>
        </w:rPr>
        <w:t xml:space="preserve"> </w:t>
      </w:r>
      <w:r w:rsidRPr="00C61653">
        <w:rPr>
          <w:spacing w:val="-4"/>
        </w:rPr>
        <w:t>and</w:t>
      </w:r>
      <w:r w:rsidR="00D519A2">
        <w:rPr>
          <w:spacing w:val="-4"/>
        </w:rPr>
        <w:t xml:space="preserve"> </w:t>
      </w:r>
      <w:r w:rsidRPr="00C61653">
        <w:rPr>
          <w:spacing w:val="-57"/>
        </w:rPr>
        <w:t xml:space="preserve"> </w:t>
      </w:r>
      <w:r w:rsidRPr="00C61653">
        <w:rPr>
          <w:spacing w:val="-8"/>
        </w:rPr>
        <w:t>implement</w:t>
      </w:r>
      <w:r w:rsidR="00D519A2">
        <w:rPr>
          <w:spacing w:val="-8"/>
        </w:rPr>
        <w:t xml:space="preserve"> </w:t>
      </w:r>
      <w:r w:rsidRPr="00C61653">
        <w:t xml:space="preserve">a revised </w:t>
      </w:r>
      <w:r w:rsidRPr="00C61653">
        <w:rPr>
          <w:spacing w:val="-3"/>
        </w:rPr>
        <w:t xml:space="preserve">Medicare </w:t>
      </w:r>
      <w:r w:rsidRPr="00C61653">
        <w:rPr>
          <w:spacing w:val="-5"/>
        </w:rPr>
        <w:t xml:space="preserve">demonstration </w:t>
      </w:r>
      <w:r w:rsidRPr="00C61653">
        <w:rPr>
          <w:spacing w:val="-4"/>
        </w:rPr>
        <w:t xml:space="preserve">project, which </w:t>
      </w:r>
      <w:r w:rsidRPr="00C61653">
        <w:t xml:space="preserve">CMS </w:t>
      </w:r>
      <w:r w:rsidRPr="00C61653">
        <w:rPr>
          <w:spacing w:val="-5"/>
        </w:rPr>
        <w:t xml:space="preserve">believes </w:t>
      </w:r>
      <w:r w:rsidRPr="00C61653">
        <w:rPr>
          <w:spacing w:val="-9"/>
        </w:rPr>
        <w:t xml:space="preserve">will </w:t>
      </w:r>
      <w:r w:rsidRPr="00C61653">
        <w:rPr>
          <w:spacing w:val="-6"/>
        </w:rPr>
        <w:t xml:space="preserve">help </w:t>
      </w:r>
      <w:r w:rsidRPr="00C61653">
        <w:t xml:space="preserve">assist </w:t>
      </w:r>
      <w:r w:rsidRPr="00C61653">
        <w:rPr>
          <w:spacing w:val="-10"/>
        </w:rPr>
        <w:t>in</w:t>
      </w:r>
      <w:r w:rsidRPr="00C61653">
        <w:rPr>
          <w:spacing w:val="-36"/>
        </w:rPr>
        <w:t xml:space="preserve"> </w:t>
      </w:r>
      <w:r w:rsidR="00BD3227">
        <w:rPr>
          <w:spacing w:val="-36"/>
        </w:rPr>
        <w:t xml:space="preserve"> </w:t>
      </w:r>
      <w:r w:rsidRPr="00C61653">
        <w:rPr>
          <w:spacing w:val="-7"/>
        </w:rPr>
        <w:t>developing</w:t>
      </w:r>
      <w:r w:rsidRPr="00C61653">
        <w:t xml:space="preserve"> </w:t>
      </w:r>
      <w:r w:rsidRPr="00C61653">
        <w:rPr>
          <w:spacing w:val="-7"/>
        </w:rPr>
        <w:t xml:space="preserve">improved </w:t>
      </w:r>
      <w:r w:rsidRPr="00C61653">
        <w:t xml:space="preserve">procedures </w:t>
      </w:r>
      <w:r w:rsidRPr="00C61653">
        <w:rPr>
          <w:spacing w:val="-3"/>
        </w:rPr>
        <w:t xml:space="preserve">for </w:t>
      </w:r>
      <w:r w:rsidRPr="00C61653">
        <w:rPr>
          <w:spacing w:val="-4"/>
        </w:rPr>
        <w:t xml:space="preserve">the </w:t>
      </w:r>
      <w:r w:rsidRPr="00C61653">
        <w:rPr>
          <w:spacing w:val="-5"/>
        </w:rPr>
        <w:t xml:space="preserve">identification, </w:t>
      </w:r>
      <w:r w:rsidRPr="00C61653">
        <w:rPr>
          <w:spacing w:val="-6"/>
        </w:rPr>
        <w:t xml:space="preserve">investigation, </w:t>
      </w:r>
      <w:r w:rsidRPr="00C61653">
        <w:t xml:space="preserve">and </w:t>
      </w:r>
      <w:r w:rsidRPr="00C61653">
        <w:rPr>
          <w:spacing w:val="-4"/>
        </w:rPr>
        <w:t xml:space="preserve">prosecution of </w:t>
      </w:r>
      <w:r w:rsidRPr="00C61653">
        <w:rPr>
          <w:spacing w:val="-3"/>
        </w:rPr>
        <w:t xml:space="preserve">Medicare </w:t>
      </w:r>
      <w:r w:rsidRPr="00C61653">
        <w:t xml:space="preserve">fraud </w:t>
      </w:r>
      <w:r w:rsidRPr="00C61653">
        <w:rPr>
          <w:spacing w:val="-4"/>
        </w:rPr>
        <w:t xml:space="preserve">occurring </w:t>
      </w:r>
      <w:r>
        <w:rPr>
          <w:spacing w:val="-5"/>
        </w:rPr>
        <w:t>in ambulatory surgical centers</w:t>
      </w:r>
      <w:r w:rsidR="00BD3227">
        <w:rPr>
          <w:spacing w:val="-5"/>
        </w:rPr>
        <w:t xml:space="preserve"> providing services to Medicare beneficiaries</w:t>
      </w:r>
      <w:r>
        <w:t xml:space="preserve">. </w:t>
      </w:r>
    </w:p>
    <w:p w:rsidR="008F1CE3" w:rsidP="00B76E33" w14:paraId="020C2941" w14:textId="77777777">
      <w:pPr>
        <w:pStyle w:val="BodyText"/>
        <w:tabs>
          <w:tab w:val="left" w:pos="0"/>
        </w:tabs>
        <w:spacing w:before="6"/>
      </w:pPr>
    </w:p>
    <w:p w:rsidR="00B5190C" w:rsidP="00B76E33" w14:paraId="59640211" w14:textId="77777777">
      <w:pPr>
        <w:pStyle w:val="ListParagraph"/>
        <w:numPr>
          <w:ilvl w:val="0"/>
          <w:numId w:val="1"/>
        </w:numPr>
        <w:tabs>
          <w:tab w:val="left" w:pos="0"/>
        </w:tabs>
        <w:ind w:left="0" w:firstLine="0"/>
        <w:rPr>
          <w:sz w:val="24"/>
        </w:rPr>
      </w:pPr>
      <w:r>
        <w:rPr>
          <w:spacing w:val="-6"/>
          <w:sz w:val="24"/>
          <w:u w:val="single"/>
        </w:rPr>
        <w:t xml:space="preserve">Information </w:t>
      </w:r>
      <w:r>
        <w:rPr>
          <w:sz w:val="24"/>
          <w:u w:val="single"/>
        </w:rPr>
        <w:t>Users and Use</w:t>
      </w:r>
    </w:p>
    <w:p w:rsidR="00B5190C" w:rsidP="00B76E33" w14:paraId="6CB01AFE" w14:textId="77777777">
      <w:pPr>
        <w:pStyle w:val="BodyText"/>
        <w:tabs>
          <w:tab w:val="left" w:pos="0"/>
        </w:tabs>
        <w:spacing w:before="8"/>
        <w:rPr>
          <w:sz w:val="22"/>
        </w:rPr>
      </w:pPr>
    </w:p>
    <w:p w:rsidR="00B5190C" w:rsidP="00D524FD" w14:paraId="4E4EED6A" w14:textId="73B1C341">
      <w:pPr>
        <w:pStyle w:val="BodyText"/>
        <w:tabs>
          <w:tab w:val="left" w:pos="0"/>
        </w:tabs>
        <w:spacing w:before="90"/>
      </w:pPr>
      <w:r>
        <w:t xml:space="preserve">The </w:t>
      </w:r>
      <w:r w:rsidR="0032766F">
        <w:t xml:space="preserve">information required for </w:t>
      </w:r>
      <w:r>
        <w:t>the prior authorization</w:t>
      </w:r>
      <w:r>
        <w:rPr>
          <w:spacing w:val="-14"/>
        </w:rPr>
        <w:t xml:space="preserve"> </w:t>
      </w:r>
      <w:r>
        <w:t>request includes all documentation necessary to show that the service meets applicable Medicare coverage, coding, and payment rules.</w:t>
      </w:r>
      <w:r w:rsidR="00D62384">
        <w:t xml:space="preserve"> </w:t>
      </w:r>
      <w:r w:rsidR="0032766F">
        <w:t xml:space="preserve"> </w:t>
      </w:r>
      <w:r w:rsidR="001545CB">
        <w:rPr>
          <w:spacing w:val="-5"/>
        </w:rPr>
        <w:t>Trained clinical reviewers</w:t>
      </w:r>
      <w:r w:rsidR="001545CB">
        <w:rPr>
          <w:spacing w:val="-3"/>
        </w:rPr>
        <w:t xml:space="preserve"> at the</w:t>
      </w:r>
      <w:r w:rsidR="00E83000">
        <w:rPr>
          <w:spacing w:val="-3"/>
        </w:rPr>
        <w:t xml:space="preserve"> </w:t>
      </w:r>
      <w:r w:rsidR="001545CB">
        <w:rPr>
          <w:spacing w:val="-3"/>
        </w:rPr>
        <w:t>MACs will receive and review the information required for this collection.</w:t>
      </w:r>
      <w:r w:rsidR="008154CB">
        <w:rPr>
          <w:spacing w:val="-3"/>
        </w:rPr>
        <w:t xml:space="preserve">  </w:t>
      </w:r>
      <w:r w:rsidR="0032766F">
        <w:t xml:space="preserve">Review of that documentation will be used </w:t>
      </w:r>
      <w:r w:rsidR="0032766F">
        <w:rPr>
          <w:spacing w:val="-3"/>
        </w:rPr>
        <w:t xml:space="preserve">to determine </w:t>
      </w:r>
      <w:r w:rsidR="0032766F">
        <w:rPr>
          <w:spacing w:val="-4"/>
        </w:rPr>
        <w:t xml:space="preserve">if the requested services are </w:t>
      </w:r>
      <w:r w:rsidR="001545CB">
        <w:rPr>
          <w:spacing w:val="-4"/>
        </w:rPr>
        <w:t xml:space="preserve">medically </w:t>
      </w:r>
      <w:r w:rsidR="0032766F">
        <w:rPr>
          <w:spacing w:val="-4"/>
        </w:rPr>
        <w:t>necessary and meet Medicare requirements</w:t>
      </w:r>
      <w:r w:rsidR="0032766F">
        <w:t>.</w:t>
      </w:r>
      <w:r w:rsidRPr="00BD3227" w:rsidR="00BD3227">
        <w:t xml:space="preserve"> </w:t>
      </w:r>
      <w:r w:rsidR="00D62384">
        <w:t xml:space="preserve"> </w:t>
      </w:r>
      <w:r w:rsidRPr="00BD3227" w:rsidR="00BD3227">
        <w:t>The information required under this collection is requested by Medicare contractors to determine proper payment or if there is a suspicion of fraud.  Medicare contractors will request the information from</w:t>
      </w:r>
      <w:r w:rsidR="004B359B">
        <w:t xml:space="preserve"> ASC</w:t>
      </w:r>
      <w:r w:rsidRPr="00BD3227" w:rsidR="00BD3227">
        <w:t xml:space="preserve"> providers submitting claims for payment from the Medicare program in advance to determine appropriate payment.</w:t>
      </w:r>
    </w:p>
    <w:p w:rsidR="001805B2" w:rsidRPr="00D524FD" w:rsidP="00D524FD" w14:paraId="11DAC1C4" w14:textId="77777777">
      <w:pPr>
        <w:pStyle w:val="BodyText"/>
        <w:tabs>
          <w:tab w:val="left" w:pos="0"/>
        </w:tabs>
        <w:spacing w:before="90"/>
      </w:pPr>
    </w:p>
    <w:p w:rsidR="00B5190C" w:rsidP="00B76E33" w14:paraId="44F6DDF7" w14:textId="77777777">
      <w:pPr>
        <w:pStyle w:val="ListParagraph"/>
        <w:numPr>
          <w:ilvl w:val="0"/>
          <w:numId w:val="1"/>
        </w:numPr>
        <w:tabs>
          <w:tab w:val="left" w:pos="0"/>
        </w:tabs>
        <w:ind w:left="0" w:firstLine="0"/>
        <w:rPr>
          <w:sz w:val="24"/>
        </w:rPr>
      </w:pPr>
      <w:r>
        <w:rPr>
          <w:spacing w:val="-7"/>
          <w:sz w:val="24"/>
          <w:u w:val="single"/>
        </w:rPr>
        <w:t xml:space="preserve">Improved </w:t>
      </w:r>
      <w:r>
        <w:rPr>
          <w:spacing w:val="-6"/>
          <w:sz w:val="24"/>
          <w:u w:val="single"/>
        </w:rPr>
        <w:t>Information</w:t>
      </w:r>
      <w:r>
        <w:rPr>
          <w:spacing w:val="2"/>
          <w:sz w:val="24"/>
          <w:u w:val="single"/>
        </w:rPr>
        <w:t xml:space="preserve"> </w:t>
      </w:r>
      <w:r>
        <w:rPr>
          <w:spacing w:val="-5"/>
          <w:sz w:val="24"/>
          <w:u w:val="single"/>
        </w:rPr>
        <w:t>Techniques</w:t>
      </w:r>
    </w:p>
    <w:p w:rsidR="00B5190C" w:rsidP="00B76E33" w14:paraId="4DAE1A22" w14:textId="77777777">
      <w:pPr>
        <w:pStyle w:val="BodyText"/>
        <w:tabs>
          <w:tab w:val="left" w:pos="0"/>
        </w:tabs>
        <w:spacing w:before="1"/>
        <w:rPr>
          <w:sz w:val="22"/>
        </w:rPr>
      </w:pPr>
    </w:p>
    <w:p w:rsidR="00B5190C" w:rsidP="00824444" w14:paraId="2B2D562E" w14:textId="172AF952">
      <w:pPr>
        <w:pStyle w:val="BodyText"/>
        <w:tabs>
          <w:tab w:val="left" w:pos="0"/>
        </w:tabs>
        <w:spacing w:line="238" w:lineRule="auto"/>
        <w:ind w:right="648"/>
        <w:rPr>
          <w:spacing w:val="-5"/>
        </w:rPr>
      </w:pPr>
      <w:r>
        <w:rPr>
          <w:spacing w:val="-6"/>
        </w:rPr>
        <w:t xml:space="preserve">Some </w:t>
      </w:r>
      <w:r>
        <w:t xml:space="preserve">of </w:t>
      </w:r>
      <w:r>
        <w:rPr>
          <w:spacing w:val="-7"/>
        </w:rPr>
        <w:t xml:space="preserve">this collection </w:t>
      </w:r>
      <w:r>
        <w:t xml:space="preserve">of </w:t>
      </w:r>
      <w:r>
        <w:rPr>
          <w:spacing w:val="-7"/>
        </w:rPr>
        <w:t xml:space="preserve">information </w:t>
      </w:r>
      <w:r>
        <w:rPr>
          <w:spacing w:val="-5"/>
        </w:rPr>
        <w:t xml:space="preserve">could </w:t>
      </w:r>
      <w:r>
        <w:rPr>
          <w:spacing w:val="-10"/>
        </w:rPr>
        <w:t xml:space="preserve">involve </w:t>
      </w:r>
      <w:r>
        <w:rPr>
          <w:spacing w:val="-3"/>
        </w:rPr>
        <w:t xml:space="preserve">the </w:t>
      </w:r>
      <w:r>
        <w:t xml:space="preserve">use of </w:t>
      </w:r>
      <w:r>
        <w:rPr>
          <w:spacing w:val="-5"/>
        </w:rPr>
        <w:t xml:space="preserve">electronic </w:t>
      </w:r>
      <w:r>
        <w:t xml:space="preserve">or </w:t>
      </w:r>
      <w:r>
        <w:rPr>
          <w:spacing w:val="-3"/>
        </w:rPr>
        <w:t xml:space="preserve">other </w:t>
      </w:r>
      <w:r>
        <w:rPr>
          <w:spacing w:val="-4"/>
        </w:rPr>
        <w:t xml:space="preserve">forms of </w:t>
      </w:r>
      <w:r>
        <w:rPr>
          <w:spacing w:val="-7"/>
        </w:rPr>
        <w:t xml:space="preserve">information </w:t>
      </w:r>
      <w:r>
        <w:rPr>
          <w:spacing w:val="-6"/>
        </w:rPr>
        <w:t xml:space="preserve">technology </w:t>
      </w:r>
      <w:r>
        <w:t xml:space="preserve">at </w:t>
      </w:r>
      <w:r>
        <w:rPr>
          <w:spacing w:val="-3"/>
        </w:rPr>
        <w:t xml:space="preserve">the </w:t>
      </w:r>
      <w:r>
        <w:rPr>
          <w:spacing w:val="-5"/>
        </w:rPr>
        <w:t xml:space="preserve">discretion </w:t>
      </w:r>
      <w:r>
        <w:t xml:space="preserve">of </w:t>
      </w:r>
      <w:r>
        <w:rPr>
          <w:spacing w:val="-3"/>
        </w:rPr>
        <w:t xml:space="preserve">the </w:t>
      </w:r>
      <w:r>
        <w:rPr>
          <w:spacing w:val="-5"/>
        </w:rPr>
        <w:t xml:space="preserve">requester.  </w:t>
      </w:r>
      <w:r>
        <w:t xml:space="preserve">Where available, </w:t>
      </w:r>
      <w:r>
        <w:rPr>
          <w:spacing w:val="2"/>
        </w:rPr>
        <w:t xml:space="preserve">requesters </w:t>
      </w:r>
      <w:r>
        <w:rPr>
          <w:spacing w:val="-4"/>
        </w:rPr>
        <w:t xml:space="preserve">may submit their requests and/or other </w:t>
      </w:r>
      <w:r>
        <w:rPr>
          <w:spacing w:val="-5"/>
        </w:rPr>
        <w:t xml:space="preserve">documentation </w:t>
      </w:r>
      <w:r>
        <w:rPr>
          <w:spacing w:val="-4"/>
        </w:rPr>
        <w:t xml:space="preserve">through </w:t>
      </w:r>
      <w:r>
        <w:rPr>
          <w:spacing w:val="-5"/>
        </w:rPr>
        <w:t xml:space="preserve">electronic </w:t>
      </w:r>
      <w:r>
        <w:rPr>
          <w:spacing w:val="-4"/>
        </w:rPr>
        <w:t>means.</w:t>
      </w:r>
      <w:r w:rsidR="00590EF9">
        <w:rPr>
          <w:spacing w:val="-4"/>
        </w:rPr>
        <w:t xml:space="preserve"> </w:t>
      </w:r>
      <w:r>
        <w:rPr>
          <w:spacing w:val="-4"/>
        </w:rPr>
        <w:t xml:space="preserve"> </w:t>
      </w:r>
      <w:r>
        <w:rPr>
          <w:spacing w:val="-3"/>
        </w:rPr>
        <w:t xml:space="preserve">CMS </w:t>
      </w:r>
      <w:r>
        <w:rPr>
          <w:spacing w:val="-4"/>
        </w:rPr>
        <w:t xml:space="preserve">offers </w:t>
      </w:r>
      <w:r>
        <w:rPr>
          <w:spacing w:val="-5"/>
        </w:rPr>
        <w:t xml:space="preserve">electronic </w:t>
      </w:r>
      <w:r>
        <w:rPr>
          <w:spacing w:val="-4"/>
        </w:rPr>
        <w:t xml:space="preserve">submission </w:t>
      </w:r>
      <w:r>
        <w:rPr>
          <w:spacing w:val="-3"/>
        </w:rPr>
        <w:t xml:space="preserve">of </w:t>
      </w:r>
      <w:r>
        <w:rPr>
          <w:spacing w:val="-4"/>
        </w:rPr>
        <w:t xml:space="preserve">medical </w:t>
      </w:r>
      <w:r>
        <w:rPr>
          <w:spacing w:val="-5"/>
        </w:rPr>
        <w:t xml:space="preserve">documentation </w:t>
      </w:r>
      <w:r>
        <w:t>(</w:t>
      </w:r>
      <w:r>
        <w:t>esMD</w:t>
      </w:r>
      <w:r>
        <w:t>)</w:t>
      </w:r>
      <w:r>
        <w:rPr>
          <w:rStyle w:val="FootnoteReference"/>
        </w:rPr>
        <w:footnoteReference w:id="4"/>
      </w:r>
      <w:r>
        <w:rPr>
          <w:position w:val="9"/>
          <w:sz w:val="16"/>
        </w:rPr>
        <w:t xml:space="preserve"> </w:t>
      </w:r>
      <w:r>
        <w:rPr>
          <w:spacing w:val="2"/>
        </w:rPr>
        <w:t xml:space="preserve">and </w:t>
      </w:r>
      <w:r>
        <w:rPr>
          <w:spacing w:val="-3"/>
        </w:rPr>
        <w:t xml:space="preserve">the </w:t>
      </w:r>
      <w:r>
        <w:rPr>
          <w:spacing w:val="-4"/>
        </w:rPr>
        <w:t xml:space="preserve">MACs provide </w:t>
      </w:r>
      <w:r>
        <w:rPr>
          <w:spacing w:val="-5"/>
        </w:rPr>
        <w:t xml:space="preserve">electronic </w:t>
      </w:r>
      <w:r>
        <w:rPr>
          <w:spacing w:val="-4"/>
        </w:rPr>
        <w:t xml:space="preserve">portals </w:t>
      </w:r>
      <w:r>
        <w:rPr>
          <w:spacing w:val="-3"/>
        </w:rPr>
        <w:t xml:space="preserve">for </w:t>
      </w:r>
      <w:r>
        <w:rPr>
          <w:spacing w:val="-4"/>
        </w:rPr>
        <w:t xml:space="preserve">providers </w:t>
      </w:r>
      <w:r>
        <w:t xml:space="preserve">to </w:t>
      </w:r>
      <w:r>
        <w:rPr>
          <w:spacing w:val="-4"/>
        </w:rPr>
        <w:t>submit their</w:t>
      </w:r>
      <w:r>
        <w:rPr>
          <w:spacing w:val="-20"/>
        </w:rPr>
        <w:t xml:space="preserve"> </w:t>
      </w:r>
      <w:r>
        <w:rPr>
          <w:spacing w:val="-5"/>
        </w:rPr>
        <w:t>documentation.</w:t>
      </w:r>
    </w:p>
    <w:p w:rsidR="00AE1044" w:rsidP="00824444" w14:paraId="113A890A" w14:textId="77777777">
      <w:pPr>
        <w:pStyle w:val="BodyText"/>
        <w:tabs>
          <w:tab w:val="left" w:pos="0"/>
        </w:tabs>
        <w:spacing w:line="237" w:lineRule="auto"/>
        <w:ind w:right="643"/>
      </w:pPr>
    </w:p>
    <w:p w:rsidR="00B5190C" w:rsidP="00824444" w14:paraId="054FF5A9" w14:textId="77777777">
      <w:pPr>
        <w:pStyle w:val="ListParagraph"/>
        <w:numPr>
          <w:ilvl w:val="0"/>
          <w:numId w:val="1"/>
        </w:numPr>
        <w:tabs>
          <w:tab w:val="left" w:pos="0"/>
        </w:tabs>
        <w:ind w:left="0" w:firstLine="0"/>
        <w:rPr>
          <w:sz w:val="24"/>
        </w:rPr>
      </w:pPr>
      <w:r>
        <w:rPr>
          <w:spacing w:val="-8"/>
          <w:sz w:val="24"/>
          <w:u w:val="single"/>
        </w:rPr>
        <w:t xml:space="preserve">Duplication </w:t>
      </w:r>
      <w:r>
        <w:rPr>
          <w:spacing w:val="-3"/>
          <w:sz w:val="24"/>
          <w:u w:val="single"/>
        </w:rPr>
        <w:t xml:space="preserve">and </w:t>
      </w:r>
      <w:r>
        <w:rPr>
          <w:spacing w:val="-10"/>
          <w:sz w:val="24"/>
          <w:u w:val="single"/>
        </w:rPr>
        <w:t>Similar</w:t>
      </w:r>
      <w:r>
        <w:rPr>
          <w:sz w:val="24"/>
          <w:u w:val="single"/>
        </w:rPr>
        <w:t xml:space="preserve"> </w:t>
      </w:r>
      <w:r>
        <w:rPr>
          <w:spacing w:val="-6"/>
          <w:sz w:val="24"/>
          <w:u w:val="single"/>
        </w:rPr>
        <w:t>Information</w:t>
      </w:r>
    </w:p>
    <w:p w:rsidR="00B5190C" w:rsidP="00B76E33" w14:paraId="67900ACA" w14:textId="77777777">
      <w:pPr>
        <w:pStyle w:val="BodyText"/>
        <w:tabs>
          <w:tab w:val="left" w:pos="0"/>
        </w:tabs>
        <w:spacing w:before="2"/>
        <w:rPr>
          <w:sz w:val="22"/>
        </w:rPr>
      </w:pPr>
    </w:p>
    <w:p w:rsidR="00B5190C" w:rsidP="00B76E33" w14:paraId="1BFAE2A4" w14:textId="48439A57">
      <w:pPr>
        <w:pStyle w:val="BodyText"/>
        <w:tabs>
          <w:tab w:val="left" w:pos="0"/>
        </w:tabs>
        <w:spacing w:before="90"/>
        <w:ind w:right="603"/>
      </w:pPr>
      <w:r>
        <w:t xml:space="preserve">CMS as a </w:t>
      </w:r>
      <w:r>
        <w:rPr>
          <w:spacing w:val="-7"/>
        </w:rPr>
        <w:t xml:space="preserve">whole </w:t>
      </w:r>
      <w:r>
        <w:rPr>
          <w:spacing w:val="-3"/>
        </w:rPr>
        <w:t xml:space="preserve">does </w:t>
      </w:r>
      <w:r>
        <w:rPr>
          <w:spacing w:val="-4"/>
        </w:rPr>
        <w:t xml:space="preserve">not </w:t>
      </w:r>
      <w:r>
        <w:rPr>
          <w:spacing w:val="-5"/>
        </w:rPr>
        <w:t xml:space="preserve">collect </w:t>
      </w:r>
      <w:r>
        <w:rPr>
          <w:spacing w:val="-3"/>
        </w:rPr>
        <w:t xml:space="preserve">the </w:t>
      </w:r>
      <w:r>
        <w:rPr>
          <w:spacing w:val="-7"/>
        </w:rPr>
        <w:t xml:space="preserve">information </w:t>
      </w:r>
      <w:r>
        <w:rPr>
          <w:spacing w:val="-5"/>
        </w:rPr>
        <w:t xml:space="preserve">in </w:t>
      </w:r>
      <w:r>
        <w:t xml:space="preserve">any </w:t>
      </w:r>
      <w:r>
        <w:rPr>
          <w:spacing w:val="-7"/>
        </w:rPr>
        <w:t xml:space="preserve">existing </w:t>
      </w:r>
      <w:r>
        <w:rPr>
          <w:spacing w:val="-3"/>
        </w:rPr>
        <w:t>format.</w:t>
      </w:r>
      <w:r w:rsidR="00DD78D3">
        <w:rPr>
          <w:spacing w:val="-3"/>
        </w:rPr>
        <w:t xml:space="preserve">  </w:t>
      </w:r>
      <w:r>
        <w:rPr>
          <w:spacing w:val="-6"/>
        </w:rPr>
        <w:t xml:space="preserve">With </w:t>
      </w:r>
      <w:r>
        <w:rPr>
          <w:spacing w:val="-5"/>
        </w:rPr>
        <w:t xml:space="preserve">the </w:t>
      </w:r>
      <w:r>
        <w:rPr>
          <w:spacing w:val="-4"/>
        </w:rPr>
        <w:t xml:space="preserve">exception of basic </w:t>
      </w:r>
      <w:r>
        <w:rPr>
          <w:spacing w:val="-7"/>
        </w:rPr>
        <w:t xml:space="preserve">identifying information </w:t>
      </w:r>
      <w:r>
        <w:t>such a</w:t>
      </w:r>
      <w:r w:rsidR="00D314E0">
        <w:t>s</w:t>
      </w:r>
      <w:r>
        <w:t xml:space="preserve"> </w:t>
      </w:r>
      <w:r>
        <w:rPr>
          <w:spacing w:val="-5"/>
        </w:rPr>
        <w:t xml:space="preserve">beneficiary </w:t>
      </w:r>
      <w:r>
        <w:t xml:space="preserve">name, address, etc., there </w:t>
      </w:r>
      <w:r>
        <w:rPr>
          <w:spacing w:val="-10"/>
        </w:rPr>
        <w:t xml:space="preserve">is no </w:t>
      </w:r>
      <w:r>
        <w:t xml:space="preserve">standard form or </w:t>
      </w:r>
      <w:r>
        <w:rPr>
          <w:spacing w:val="-6"/>
        </w:rPr>
        <w:t xml:space="preserve">location </w:t>
      </w:r>
      <w:r>
        <w:t xml:space="preserve">where </w:t>
      </w:r>
      <w:r>
        <w:rPr>
          <w:spacing w:val="-7"/>
        </w:rPr>
        <w:t xml:space="preserve">this information </w:t>
      </w:r>
      <w:r>
        <w:t xml:space="preserve">can </w:t>
      </w:r>
      <w:r>
        <w:rPr>
          <w:spacing w:val="-3"/>
        </w:rPr>
        <w:t xml:space="preserve">be </w:t>
      </w:r>
      <w:r>
        <w:rPr>
          <w:spacing w:val="-4"/>
        </w:rPr>
        <w:t>gathered.</w:t>
      </w:r>
    </w:p>
    <w:p w:rsidR="00B5190C" w:rsidP="00B76E33" w14:paraId="02D57FB4" w14:textId="77777777">
      <w:pPr>
        <w:pStyle w:val="BodyText"/>
        <w:tabs>
          <w:tab w:val="left" w:pos="0"/>
        </w:tabs>
        <w:spacing w:before="1"/>
      </w:pPr>
    </w:p>
    <w:p w:rsidR="00B5190C" w:rsidP="00B76E33" w14:paraId="5390D2DD" w14:textId="77777777">
      <w:pPr>
        <w:pStyle w:val="ListParagraph"/>
        <w:numPr>
          <w:ilvl w:val="0"/>
          <w:numId w:val="1"/>
        </w:numPr>
        <w:tabs>
          <w:tab w:val="left" w:pos="0"/>
        </w:tabs>
        <w:spacing w:before="1"/>
        <w:ind w:left="0" w:firstLine="0"/>
        <w:rPr>
          <w:sz w:val="24"/>
        </w:rPr>
      </w:pPr>
      <w:r>
        <w:rPr>
          <w:spacing w:val="-9"/>
          <w:sz w:val="24"/>
          <w:u w:val="single"/>
        </w:rPr>
        <w:t>Small</w:t>
      </w:r>
      <w:r>
        <w:rPr>
          <w:spacing w:val="-7"/>
          <w:sz w:val="24"/>
          <w:u w:val="single"/>
        </w:rPr>
        <w:t xml:space="preserve"> </w:t>
      </w:r>
      <w:r>
        <w:rPr>
          <w:sz w:val="24"/>
          <w:u w:val="single"/>
        </w:rPr>
        <w:t>Businesses</w:t>
      </w:r>
    </w:p>
    <w:p w:rsidR="00B5190C" w:rsidP="00B76E33" w14:paraId="75F64426" w14:textId="77777777">
      <w:pPr>
        <w:pStyle w:val="BodyText"/>
        <w:tabs>
          <w:tab w:val="left" w:pos="0"/>
        </w:tabs>
        <w:spacing w:before="9"/>
        <w:rPr>
          <w:sz w:val="22"/>
        </w:rPr>
      </w:pPr>
    </w:p>
    <w:p w:rsidR="00B5190C" w:rsidP="00B76E33" w14:paraId="03A14AD0" w14:textId="1032415A">
      <w:pPr>
        <w:pStyle w:val="BodyText"/>
        <w:tabs>
          <w:tab w:val="left" w:pos="0"/>
        </w:tabs>
        <w:spacing w:before="78"/>
      </w:pPr>
      <w:r>
        <w:rPr>
          <w:spacing w:val="-7"/>
        </w:rPr>
        <w:t xml:space="preserve">This collection </w:t>
      </w:r>
      <w:r>
        <w:rPr>
          <w:spacing w:val="-8"/>
        </w:rPr>
        <w:t xml:space="preserve">will </w:t>
      </w:r>
      <w:r>
        <w:rPr>
          <w:spacing w:val="-5"/>
        </w:rPr>
        <w:t xml:space="preserve">impact small </w:t>
      </w:r>
      <w:r>
        <w:rPr>
          <w:spacing w:val="-4"/>
        </w:rPr>
        <w:t xml:space="preserve">businesses </w:t>
      </w:r>
      <w:r>
        <w:t xml:space="preserve">or </w:t>
      </w:r>
      <w:r>
        <w:rPr>
          <w:spacing w:val="-3"/>
        </w:rPr>
        <w:t xml:space="preserve">other </w:t>
      </w:r>
      <w:r>
        <w:rPr>
          <w:spacing w:val="-6"/>
        </w:rPr>
        <w:t xml:space="preserve">entities </w:t>
      </w:r>
      <w:r>
        <w:t xml:space="preserve">to </w:t>
      </w:r>
      <w:r>
        <w:rPr>
          <w:spacing w:val="-3"/>
        </w:rPr>
        <w:t xml:space="preserve">the </w:t>
      </w:r>
      <w:r>
        <w:t xml:space="preserve">extent that </w:t>
      </w:r>
      <w:r>
        <w:rPr>
          <w:spacing w:val="-4"/>
        </w:rPr>
        <w:t xml:space="preserve">those </w:t>
      </w:r>
      <w:r w:rsidR="0051657E">
        <w:rPr>
          <w:spacing w:val="-4"/>
        </w:rPr>
        <w:t xml:space="preserve">ambulatory surgical centers </w:t>
      </w:r>
      <w:r w:rsidR="00762D8A">
        <w:rPr>
          <w:spacing w:val="-4"/>
        </w:rPr>
        <w:t xml:space="preserve">that qualify as </w:t>
      </w:r>
      <w:r>
        <w:rPr>
          <w:spacing w:val="-5"/>
        </w:rPr>
        <w:t xml:space="preserve">small </w:t>
      </w:r>
      <w:r>
        <w:rPr>
          <w:spacing w:val="-4"/>
        </w:rPr>
        <w:t xml:space="preserve">businesses </w:t>
      </w:r>
      <w:r>
        <w:rPr>
          <w:spacing w:val="-9"/>
        </w:rPr>
        <w:t xml:space="preserve">bill </w:t>
      </w:r>
      <w:r>
        <w:rPr>
          <w:spacing w:val="-4"/>
        </w:rPr>
        <w:t xml:space="preserve">Medicare </w:t>
      </w:r>
      <w:r w:rsidR="00762D8A">
        <w:rPr>
          <w:spacing w:val="-4"/>
        </w:rPr>
        <w:t>for the services that require prior authorization.</w:t>
      </w:r>
      <w:r w:rsidR="007A54B4">
        <w:rPr>
          <w:spacing w:val="-8"/>
        </w:rPr>
        <w:t xml:space="preserve">  </w:t>
      </w:r>
      <w:r w:rsidR="007A54B4">
        <w:rPr>
          <w:spacing w:val="-4"/>
        </w:rPr>
        <w:t>Providers</w:t>
      </w:r>
      <w:r w:rsidRPr="007A54B4" w:rsidR="007A54B4">
        <w:rPr>
          <w:spacing w:val="-4"/>
        </w:rPr>
        <w:t xml:space="preserve"> regardless of size must maintain </w:t>
      </w:r>
      <w:r w:rsidR="00AC0B8B">
        <w:t xml:space="preserve">and submit </w:t>
      </w:r>
      <w:r w:rsidRPr="007A54B4" w:rsidR="007A54B4">
        <w:rPr>
          <w:spacing w:val="-4"/>
        </w:rPr>
        <w:t>the necessary documentation to support their claims.</w:t>
      </w:r>
    </w:p>
    <w:p w:rsidR="00B5190C" w:rsidP="00B76E33" w14:paraId="5DBFBB58" w14:textId="77777777">
      <w:pPr>
        <w:pStyle w:val="BodyText"/>
        <w:tabs>
          <w:tab w:val="left" w:pos="0"/>
        </w:tabs>
        <w:spacing w:before="5"/>
        <w:rPr>
          <w:sz w:val="25"/>
        </w:rPr>
      </w:pPr>
    </w:p>
    <w:p w:rsidR="00B5190C" w:rsidP="00B76E33" w14:paraId="1F82F823" w14:textId="77777777">
      <w:pPr>
        <w:pStyle w:val="ListParagraph"/>
        <w:numPr>
          <w:ilvl w:val="0"/>
          <w:numId w:val="1"/>
        </w:numPr>
        <w:tabs>
          <w:tab w:val="left" w:pos="0"/>
        </w:tabs>
        <w:ind w:left="0" w:firstLine="0"/>
        <w:rPr>
          <w:sz w:val="24"/>
        </w:rPr>
      </w:pPr>
      <w:r>
        <w:rPr>
          <w:sz w:val="24"/>
          <w:u w:val="single"/>
        </w:rPr>
        <w:t xml:space="preserve">Less </w:t>
      </w:r>
      <w:r>
        <w:rPr>
          <w:spacing w:val="-5"/>
          <w:sz w:val="24"/>
          <w:u w:val="single"/>
        </w:rPr>
        <w:t>Frequent</w:t>
      </w:r>
      <w:r>
        <w:rPr>
          <w:spacing w:val="3"/>
          <w:sz w:val="24"/>
          <w:u w:val="single"/>
        </w:rPr>
        <w:t xml:space="preserve"> </w:t>
      </w:r>
      <w:r>
        <w:rPr>
          <w:spacing w:val="-7"/>
          <w:sz w:val="24"/>
          <w:u w:val="single"/>
        </w:rPr>
        <w:t>Collections</w:t>
      </w:r>
    </w:p>
    <w:p w:rsidR="00B5190C" w:rsidP="00B76E33" w14:paraId="7E761008" w14:textId="77777777">
      <w:pPr>
        <w:pStyle w:val="BodyText"/>
        <w:tabs>
          <w:tab w:val="left" w:pos="0"/>
        </w:tabs>
        <w:spacing w:before="5"/>
        <w:rPr>
          <w:sz w:val="16"/>
        </w:rPr>
      </w:pPr>
    </w:p>
    <w:p w:rsidR="00FF3EDF" w:rsidP="00FF3EDF" w14:paraId="63770004" w14:textId="7D74091F">
      <w:pPr>
        <w:pStyle w:val="BodyText"/>
        <w:spacing w:after="360"/>
      </w:pPr>
      <w:r>
        <w:t xml:space="preserve">Under prior authorization, a request is submitted for </w:t>
      </w:r>
      <w:r w:rsidR="0032766F">
        <w:t xml:space="preserve">a </w:t>
      </w:r>
      <w:r>
        <w:t>service</w:t>
      </w:r>
      <w:r w:rsidR="0026703D">
        <w:t xml:space="preserve"> prior to the service being rendered and the claim being submitted</w:t>
      </w:r>
      <w:r>
        <w:t xml:space="preserve">. </w:t>
      </w:r>
      <w:r w:rsidR="00C55D20">
        <w:t xml:space="preserve"> </w:t>
      </w:r>
      <w:r w:rsidR="0032766F">
        <w:t>As the reviews under this program help reduce unnecessary increases in utilization for these services</w:t>
      </w:r>
      <w:r w:rsidR="00EA0AFE">
        <w:t xml:space="preserve"> and fraud</w:t>
      </w:r>
      <w:r w:rsidR="0032766F">
        <w:t xml:space="preserve">, </w:t>
      </w:r>
      <w:r>
        <w:rPr>
          <w:spacing w:val="-3"/>
        </w:rPr>
        <w:t xml:space="preserve">less </w:t>
      </w:r>
      <w:r>
        <w:t xml:space="preserve">frequent </w:t>
      </w:r>
      <w:r>
        <w:rPr>
          <w:spacing w:val="-7"/>
        </w:rPr>
        <w:t xml:space="preserve">collection </w:t>
      </w:r>
      <w:r>
        <w:t xml:space="preserve">of </w:t>
      </w:r>
      <w:r>
        <w:rPr>
          <w:spacing w:val="-7"/>
        </w:rPr>
        <w:t xml:space="preserve">information </w:t>
      </w:r>
      <w:r>
        <w:rPr>
          <w:spacing w:val="-6"/>
        </w:rPr>
        <w:t xml:space="preserve">would </w:t>
      </w:r>
      <w:r>
        <w:rPr>
          <w:spacing w:val="-5"/>
        </w:rPr>
        <w:t xml:space="preserve">be </w:t>
      </w:r>
      <w:r>
        <w:rPr>
          <w:spacing w:val="-7"/>
        </w:rPr>
        <w:t xml:space="preserve">imprudent </w:t>
      </w:r>
      <w:r>
        <w:t xml:space="preserve">and </w:t>
      </w:r>
      <w:r>
        <w:rPr>
          <w:spacing w:val="-7"/>
        </w:rPr>
        <w:t xml:space="preserve">undermine </w:t>
      </w:r>
      <w:r w:rsidR="0027030B">
        <w:t>that goal</w:t>
      </w:r>
      <w:r>
        <w:t>.</w:t>
      </w:r>
      <w:r w:rsidR="002C2310">
        <w:t xml:space="preserve"> </w:t>
      </w:r>
      <w:r w:rsidR="001545CB">
        <w:t xml:space="preserve"> </w:t>
      </w:r>
      <w:r w:rsidR="00CB65C4">
        <w:t xml:space="preserve">However, </w:t>
      </w:r>
      <w:r w:rsidR="001545CB">
        <w:t xml:space="preserve">CMS has a process for less frequent collections for those providers who demonstrate compliance with Medicare rules after an initial assessment period. </w:t>
      </w:r>
      <w:r w:rsidRPr="00CB65C4" w:rsidR="00CB65C4">
        <w:t xml:space="preserve"> </w:t>
      </w:r>
      <w:r w:rsidR="00CB65C4">
        <w:t>CMS may elect to exempt a provider from the prior authorization process upon a provider’s demonstration of compliance with Medicare coverage, coding, and payment rules by achieving</w:t>
      </w:r>
      <w:r w:rsidRPr="0021167A" w:rsidR="00CB65C4">
        <w:t xml:space="preserve"> a prior authorization </w:t>
      </w:r>
      <w:r w:rsidR="00CB65C4">
        <w:t xml:space="preserve">provisional </w:t>
      </w:r>
      <w:r w:rsidRPr="0021167A" w:rsidR="00CB65C4">
        <w:t>affirmation threshold of at least 90</w:t>
      </w:r>
      <w:r w:rsidR="00D62384">
        <w:t>%</w:t>
      </w:r>
      <w:r w:rsidRPr="0021167A" w:rsidR="00CB65C4">
        <w:t xml:space="preserve"> during a</w:t>
      </w:r>
      <w:r w:rsidR="002C2310">
        <w:t xml:space="preserve">n </w:t>
      </w:r>
      <w:r w:rsidRPr="00E23E98" w:rsidR="00CB65C4">
        <w:t>annual assessment</w:t>
      </w:r>
      <w:r w:rsidR="00CB65C4">
        <w:t xml:space="preserve">. </w:t>
      </w:r>
      <w:r w:rsidRPr="0021167A" w:rsidR="00CB65C4">
        <w:t xml:space="preserve"> </w:t>
      </w:r>
      <w:r w:rsidR="00CB65C4">
        <w:t>An exemption may be withdrawn if a provider’s rate of non</w:t>
      </w:r>
      <w:r w:rsidR="000D64B1">
        <w:t>-</w:t>
      </w:r>
      <w:r w:rsidR="00CB65C4">
        <w:t>payable claims submitted becomes higher than 10</w:t>
      </w:r>
      <w:r w:rsidR="00D62384">
        <w:t>%</w:t>
      </w:r>
      <w:r w:rsidR="00CB65C4">
        <w:t xml:space="preserve"> during a</w:t>
      </w:r>
      <w:r w:rsidR="007A56B8">
        <w:t xml:space="preserve">n </w:t>
      </w:r>
      <w:r w:rsidR="009F1052">
        <w:t xml:space="preserve">annual </w:t>
      </w:r>
      <w:r w:rsidR="00CB65C4">
        <w:t>assessment.</w:t>
      </w:r>
    </w:p>
    <w:p w:rsidR="00B5190C" w:rsidP="00B76E33" w14:paraId="586DF6A2" w14:textId="77777777">
      <w:pPr>
        <w:pStyle w:val="ListParagraph"/>
        <w:numPr>
          <w:ilvl w:val="0"/>
          <w:numId w:val="1"/>
        </w:numPr>
        <w:tabs>
          <w:tab w:val="left" w:pos="0"/>
        </w:tabs>
        <w:ind w:left="0" w:firstLine="0"/>
        <w:rPr>
          <w:sz w:val="24"/>
        </w:rPr>
      </w:pPr>
      <w:r>
        <w:rPr>
          <w:sz w:val="24"/>
          <w:u w:val="single"/>
        </w:rPr>
        <w:t>Special</w:t>
      </w:r>
      <w:r>
        <w:rPr>
          <w:spacing w:val="5"/>
          <w:sz w:val="24"/>
          <w:u w:val="single"/>
        </w:rPr>
        <w:t xml:space="preserve"> </w:t>
      </w:r>
      <w:r>
        <w:rPr>
          <w:sz w:val="24"/>
          <w:u w:val="single"/>
        </w:rPr>
        <w:t>Circumstances</w:t>
      </w:r>
    </w:p>
    <w:p w:rsidR="00B5190C" w:rsidP="00B76E33" w14:paraId="0D9B82D1" w14:textId="77777777">
      <w:pPr>
        <w:pStyle w:val="BodyText"/>
        <w:tabs>
          <w:tab w:val="left" w:pos="0"/>
        </w:tabs>
        <w:rPr>
          <w:sz w:val="17"/>
        </w:rPr>
      </w:pPr>
    </w:p>
    <w:p w:rsidR="00B5190C" w:rsidP="00B76E33" w14:paraId="21F636DD" w14:textId="2797575D">
      <w:pPr>
        <w:pStyle w:val="BodyText"/>
        <w:tabs>
          <w:tab w:val="left" w:pos="0"/>
        </w:tabs>
        <w:spacing w:before="90"/>
      </w:pPr>
      <w:r>
        <w:t>There are no special circumstances.</w:t>
      </w:r>
    </w:p>
    <w:p w:rsidR="008F1CE3" w:rsidP="00B76E33" w14:paraId="73FF5FD4" w14:textId="77777777">
      <w:pPr>
        <w:pStyle w:val="BodyText"/>
        <w:tabs>
          <w:tab w:val="left" w:pos="0"/>
        </w:tabs>
        <w:spacing w:before="90"/>
      </w:pPr>
    </w:p>
    <w:p w:rsidR="00B5190C" w:rsidRPr="00F65D61" w:rsidP="00B76E33" w14:paraId="7DA372D4" w14:textId="626B4C26">
      <w:pPr>
        <w:pStyle w:val="ListParagraph"/>
        <w:numPr>
          <w:ilvl w:val="0"/>
          <w:numId w:val="1"/>
        </w:numPr>
        <w:tabs>
          <w:tab w:val="left" w:pos="0"/>
        </w:tabs>
        <w:spacing w:before="1"/>
        <w:ind w:left="0" w:firstLine="0"/>
        <w:rPr>
          <w:sz w:val="24"/>
        </w:rPr>
      </w:pPr>
      <w:r>
        <w:rPr>
          <w:sz w:val="24"/>
          <w:u w:val="single"/>
        </w:rPr>
        <w:t>Federal Register</w:t>
      </w:r>
      <w:r>
        <w:rPr>
          <w:spacing w:val="-5"/>
          <w:sz w:val="24"/>
          <w:u w:val="single"/>
        </w:rPr>
        <w:t xml:space="preserve"> </w:t>
      </w:r>
      <w:r>
        <w:rPr>
          <w:spacing w:val="-4"/>
          <w:sz w:val="24"/>
          <w:u w:val="single"/>
        </w:rPr>
        <w:t>Notice</w:t>
      </w:r>
    </w:p>
    <w:p w:rsidR="008C3C66" w:rsidP="00B333D5" w14:paraId="5F053C29" w14:textId="77777777">
      <w:pPr>
        <w:tabs>
          <w:tab w:val="left" w:pos="0"/>
        </w:tabs>
        <w:spacing w:before="1"/>
        <w:rPr>
          <w:sz w:val="24"/>
        </w:rPr>
      </w:pPr>
    </w:p>
    <w:p w:rsidR="00483EE9" w:rsidP="00B333D5" w14:paraId="296A4AC2" w14:textId="483F9A5E">
      <w:pPr>
        <w:tabs>
          <w:tab w:val="left" w:pos="0"/>
        </w:tabs>
        <w:spacing w:before="1"/>
        <w:rPr>
          <w:sz w:val="24"/>
        </w:rPr>
      </w:pPr>
      <w:r>
        <w:rPr>
          <w:sz w:val="24"/>
        </w:rPr>
        <w:t>A 60-day Federal Register notice</w:t>
      </w:r>
      <w:r w:rsidR="00FF2494">
        <w:rPr>
          <w:sz w:val="24"/>
        </w:rPr>
        <w:t xml:space="preserve"> </w:t>
      </w:r>
      <w:r>
        <w:rPr>
          <w:sz w:val="24"/>
        </w:rPr>
        <w:t xml:space="preserve">published on </w:t>
      </w:r>
      <w:r w:rsidR="00FF2494">
        <w:rPr>
          <w:sz w:val="24"/>
        </w:rPr>
        <w:t>February 16, 2024</w:t>
      </w:r>
      <w:r w:rsidR="00F8017A">
        <w:rPr>
          <w:sz w:val="24"/>
        </w:rPr>
        <w:t xml:space="preserve"> (</w:t>
      </w:r>
      <w:r w:rsidRPr="00FF2494" w:rsidR="00F8017A">
        <w:rPr>
          <w:sz w:val="24"/>
        </w:rPr>
        <w:t>89 FR 12350</w:t>
      </w:r>
      <w:r w:rsidR="00F8017A">
        <w:rPr>
          <w:sz w:val="24"/>
        </w:rPr>
        <w:t>)</w:t>
      </w:r>
      <w:r>
        <w:rPr>
          <w:sz w:val="24"/>
        </w:rPr>
        <w:t xml:space="preserve">. </w:t>
      </w:r>
      <w:r w:rsidR="005221FF">
        <w:rPr>
          <w:sz w:val="24"/>
        </w:rPr>
        <w:t>Responses to comments received are included in Attachment A.</w:t>
      </w:r>
    </w:p>
    <w:p w:rsidR="005221FF" w:rsidP="00B333D5" w14:paraId="26F8DA2C" w14:textId="77777777">
      <w:pPr>
        <w:tabs>
          <w:tab w:val="left" w:pos="0"/>
        </w:tabs>
        <w:spacing w:before="1"/>
        <w:rPr>
          <w:sz w:val="24"/>
        </w:rPr>
      </w:pPr>
    </w:p>
    <w:p w:rsidR="005221FF" w:rsidRPr="00B333D5" w:rsidP="00B333D5" w14:paraId="0202EE7D" w14:textId="35E83F8F">
      <w:pPr>
        <w:tabs>
          <w:tab w:val="left" w:pos="0"/>
        </w:tabs>
        <w:spacing w:before="1"/>
        <w:rPr>
          <w:sz w:val="24"/>
        </w:rPr>
      </w:pPr>
      <w:r>
        <w:rPr>
          <w:sz w:val="24"/>
        </w:rPr>
        <w:t>No outside consultation was sought.</w:t>
      </w:r>
    </w:p>
    <w:p w:rsidR="00483EE9" w:rsidP="00F65D61" w14:paraId="05E8D5BB" w14:textId="77777777">
      <w:pPr>
        <w:pStyle w:val="BodyText"/>
        <w:tabs>
          <w:tab w:val="left" w:pos="0"/>
        </w:tabs>
      </w:pPr>
    </w:p>
    <w:p w:rsidR="00B5190C" w:rsidP="00B76E33" w14:paraId="42A37A98" w14:textId="77777777">
      <w:pPr>
        <w:pStyle w:val="BodyText"/>
        <w:tabs>
          <w:tab w:val="left" w:pos="0"/>
        </w:tabs>
        <w:spacing w:before="6"/>
      </w:pPr>
    </w:p>
    <w:p w:rsidR="00B5190C" w:rsidP="00B76E33" w14:paraId="14A300FF" w14:textId="77777777">
      <w:pPr>
        <w:pStyle w:val="ListParagraph"/>
        <w:numPr>
          <w:ilvl w:val="0"/>
          <w:numId w:val="1"/>
        </w:numPr>
        <w:tabs>
          <w:tab w:val="left" w:pos="0"/>
          <w:tab w:val="left" w:pos="524"/>
          <w:tab w:val="left" w:pos="525"/>
        </w:tabs>
        <w:spacing w:before="1"/>
        <w:ind w:left="0" w:firstLine="0"/>
        <w:rPr>
          <w:sz w:val="24"/>
        </w:rPr>
      </w:pPr>
      <w:r>
        <w:rPr>
          <w:sz w:val="24"/>
          <w:u w:val="single"/>
        </w:rPr>
        <w:t xml:space="preserve">Payments </w:t>
      </w:r>
      <w:r>
        <w:rPr>
          <w:spacing w:val="-5"/>
          <w:sz w:val="24"/>
          <w:u w:val="single"/>
        </w:rPr>
        <w:t xml:space="preserve">or </w:t>
      </w:r>
      <w:r>
        <w:rPr>
          <w:spacing w:val="-7"/>
          <w:sz w:val="24"/>
          <w:u w:val="single"/>
        </w:rPr>
        <w:t xml:space="preserve">Gifts </w:t>
      </w:r>
      <w:r>
        <w:rPr>
          <w:sz w:val="24"/>
          <w:u w:val="single"/>
        </w:rPr>
        <w:t>to</w:t>
      </w:r>
      <w:r>
        <w:rPr>
          <w:spacing w:val="-17"/>
          <w:sz w:val="24"/>
          <w:u w:val="single"/>
        </w:rPr>
        <w:t xml:space="preserve"> </w:t>
      </w:r>
      <w:r>
        <w:rPr>
          <w:spacing w:val="-5"/>
          <w:sz w:val="24"/>
          <w:u w:val="single"/>
        </w:rPr>
        <w:t>respondents</w:t>
      </w:r>
    </w:p>
    <w:p w:rsidR="00B5190C" w:rsidP="00B76E33" w14:paraId="4C6A0011" w14:textId="77777777">
      <w:pPr>
        <w:pStyle w:val="BodyText"/>
        <w:tabs>
          <w:tab w:val="left" w:pos="0"/>
        </w:tabs>
        <w:spacing w:before="10"/>
        <w:rPr>
          <w:sz w:val="22"/>
        </w:rPr>
      </w:pPr>
    </w:p>
    <w:p w:rsidR="00744A9A" w:rsidP="008C00F3" w14:paraId="7A0EF89B" w14:textId="7CCB5C36">
      <w:pPr>
        <w:pStyle w:val="BodyText"/>
        <w:tabs>
          <w:tab w:val="left" w:pos="0"/>
        </w:tabs>
        <w:spacing w:before="90"/>
        <w:ind w:right="183"/>
        <w:rPr>
          <w:spacing w:val="-5"/>
        </w:rPr>
      </w:pPr>
      <w:r>
        <w:t xml:space="preserve">No </w:t>
      </w:r>
      <w:r>
        <w:rPr>
          <w:spacing w:val="-4"/>
        </w:rPr>
        <w:t xml:space="preserve">payments </w:t>
      </w:r>
      <w:r>
        <w:rPr>
          <w:spacing w:val="-3"/>
        </w:rPr>
        <w:t xml:space="preserve">or </w:t>
      </w:r>
      <w:r>
        <w:rPr>
          <w:spacing w:val="-6"/>
        </w:rPr>
        <w:t xml:space="preserve">gifts </w:t>
      </w:r>
      <w:r>
        <w:rPr>
          <w:spacing w:val="-8"/>
        </w:rPr>
        <w:t xml:space="preserve">will </w:t>
      </w:r>
      <w:r>
        <w:t xml:space="preserve">be </w:t>
      </w:r>
      <w:r>
        <w:rPr>
          <w:spacing w:val="-5"/>
        </w:rPr>
        <w:t xml:space="preserve">given </w:t>
      </w:r>
      <w:r>
        <w:t xml:space="preserve">to </w:t>
      </w:r>
      <w:r>
        <w:rPr>
          <w:spacing w:val="-4"/>
        </w:rPr>
        <w:t xml:space="preserve">respondents </w:t>
      </w:r>
      <w:r>
        <w:t xml:space="preserve">to encourage </w:t>
      </w:r>
      <w:r>
        <w:rPr>
          <w:spacing w:val="-5"/>
        </w:rPr>
        <w:t xml:space="preserve">their </w:t>
      </w:r>
      <w:r>
        <w:t xml:space="preserve">response to any request </w:t>
      </w:r>
      <w:r>
        <w:rPr>
          <w:spacing w:val="-5"/>
        </w:rPr>
        <w:t xml:space="preserve">for </w:t>
      </w:r>
      <w:r>
        <w:rPr>
          <w:spacing w:val="-7"/>
        </w:rPr>
        <w:t xml:space="preserve">information </w:t>
      </w:r>
      <w:r>
        <w:rPr>
          <w:spacing w:val="-4"/>
        </w:rPr>
        <w:t xml:space="preserve">under </w:t>
      </w:r>
      <w:r>
        <w:rPr>
          <w:spacing w:val="-7"/>
        </w:rPr>
        <w:t xml:space="preserve">this </w:t>
      </w:r>
      <w:r>
        <w:rPr>
          <w:spacing w:val="-4"/>
        </w:rPr>
        <w:t xml:space="preserve">control </w:t>
      </w:r>
      <w:r>
        <w:rPr>
          <w:spacing w:val="-5"/>
        </w:rPr>
        <w:t>number.</w:t>
      </w:r>
    </w:p>
    <w:p w:rsidR="00CC089C" w:rsidRPr="008C00F3" w:rsidP="008C00F3" w14:paraId="209D6DA5" w14:textId="77777777">
      <w:pPr>
        <w:pStyle w:val="BodyText"/>
        <w:tabs>
          <w:tab w:val="left" w:pos="0"/>
        </w:tabs>
        <w:spacing w:before="90"/>
        <w:ind w:right="183"/>
        <w:rPr>
          <w:spacing w:val="-5"/>
        </w:rPr>
      </w:pPr>
    </w:p>
    <w:p w:rsidR="00B5190C" w:rsidP="00B76E33" w14:paraId="2B644194" w14:textId="77777777">
      <w:pPr>
        <w:pStyle w:val="ListParagraph"/>
        <w:numPr>
          <w:ilvl w:val="0"/>
          <w:numId w:val="1"/>
        </w:numPr>
        <w:tabs>
          <w:tab w:val="left" w:pos="0"/>
          <w:tab w:val="left" w:pos="636"/>
          <w:tab w:val="left" w:pos="637"/>
        </w:tabs>
        <w:spacing w:before="208"/>
        <w:ind w:left="0" w:firstLine="0"/>
        <w:rPr>
          <w:sz w:val="24"/>
        </w:rPr>
      </w:pPr>
      <w:r>
        <w:rPr>
          <w:spacing w:val="-8"/>
          <w:sz w:val="24"/>
          <w:u w:val="single"/>
        </w:rPr>
        <w:t>Confidentiality</w:t>
      </w:r>
    </w:p>
    <w:p w:rsidR="00B5190C" w:rsidP="00B76E33" w14:paraId="40349A91" w14:textId="77777777">
      <w:pPr>
        <w:pStyle w:val="BodyText"/>
        <w:tabs>
          <w:tab w:val="left" w:pos="0"/>
        </w:tabs>
        <w:spacing w:before="7"/>
        <w:rPr>
          <w:sz w:val="22"/>
        </w:rPr>
      </w:pPr>
    </w:p>
    <w:p w:rsidR="00B5190C" w:rsidP="00B76E33" w14:paraId="3D1A7150" w14:textId="645B73CD">
      <w:pPr>
        <w:pStyle w:val="BodyText"/>
        <w:tabs>
          <w:tab w:val="left" w:pos="0"/>
        </w:tabs>
        <w:spacing w:before="1"/>
        <w:ind w:right="484"/>
      </w:pPr>
      <w:r>
        <w:rPr>
          <w:spacing w:val="-4"/>
        </w:rPr>
        <w:t xml:space="preserve">Medicare </w:t>
      </w:r>
      <w:r>
        <w:t xml:space="preserve">contractors </w:t>
      </w:r>
      <w:r>
        <w:rPr>
          <w:spacing w:val="-4"/>
        </w:rPr>
        <w:t xml:space="preserve">have </w:t>
      </w:r>
      <w:r>
        <w:t xml:space="preserve">procedures </w:t>
      </w:r>
      <w:r>
        <w:rPr>
          <w:spacing w:val="-6"/>
        </w:rPr>
        <w:t xml:space="preserve">in </w:t>
      </w:r>
      <w:r>
        <w:rPr>
          <w:spacing w:val="-4"/>
        </w:rPr>
        <w:t xml:space="preserve">place </w:t>
      </w:r>
      <w:r>
        <w:t xml:space="preserve">to ensure </w:t>
      </w:r>
      <w:r>
        <w:rPr>
          <w:spacing w:val="-3"/>
        </w:rPr>
        <w:t xml:space="preserve">the </w:t>
      </w:r>
      <w:r>
        <w:rPr>
          <w:spacing w:val="-5"/>
        </w:rPr>
        <w:t xml:space="preserve">protection </w:t>
      </w:r>
      <w:r>
        <w:t xml:space="preserve">of </w:t>
      </w:r>
      <w:r>
        <w:rPr>
          <w:spacing w:val="-3"/>
        </w:rPr>
        <w:t xml:space="preserve">the </w:t>
      </w:r>
      <w:r>
        <w:rPr>
          <w:spacing w:val="-4"/>
        </w:rPr>
        <w:t xml:space="preserve">health </w:t>
      </w:r>
      <w:r>
        <w:rPr>
          <w:spacing w:val="-7"/>
        </w:rPr>
        <w:t xml:space="preserve">information provided. </w:t>
      </w:r>
      <w:r w:rsidR="00930B28">
        <w:rPr>
          <w:spacing w:val="-7"/>
        </w:rPr>
        <w:t xml:space="preserve"> </w:t>
      </w:r>
      <w:r>
        <w:rPr>
          <w:spacing w:val="-3"/>
        </w:rPr>
        <w:t xml:space="preserve">The </w:t>
      </w:r>
      <w:r>
        <w:t xml:space="preserve">Health Insurance </w:t>
      </w:r>
      <w:r>
        <w:rPr>
          <w:spacing w:val="-6"/>
        </w:rPr>
        <w:t xml:space="preserve">Portability </w:t>
      </w:r>
      <w:r>
        <w:t xml:space="preserve">and </w:t>
      </w:r>
      <w:r>
        <w:rPr>
          <w:spacing w:val="-6"/>
        </w:rPr>
        <w:t xml:space="preserve">Accountability </w:t>
      </w:r>
      <w:r>
        <w:t xml:space="preserve">Act (HIPAA) Privacy </w:t>
      </w:r>
      <w:r>
        <w:rPr>
          <w:spacing w:val="-6"/>
        </w:rPr>
        <w:t xml:space="preserve">Rule </w:t>
      </w:r>
      <w:r>
        <w:rPr>
          <w:spacing w:val="-7"/>
        </w:rPr>
        <w:t xml:space="preserve">allows </w:t>
      </w:r>
      <w:r>
        <w:rPr>
          <w:spacing w:val="-3"/>
        </w:rPr>
        <w:t xml:space="preserve">for the </w:t>
      </w:r>
      <w:r>
        <w:rPr>
          <w:spacing w:val="-6"/>
        </w:rPr>
        <w:t xml:space="preserve">disclosure </w:t>
      </w:r>
      <w:r>
        <w:t xml:space="preserve">of </w:t>
      </w:r>
      <w:r>
        <w:rPr>
          <w:spacing w:val="-4"/>
        </w:rPr>
        <w:t xml:space="preserve">health </w:t>
      </w:r>
      <w:r>
        <w:t xml:space="preserve">records </w:t>
      </w:r>
      <w:r>
        <w:rPr>
          <w:spacing w:val="-3"/>
        </w:rPr>
        <w:t xml:space="preserve">for </w:t>
      </w:r>
      <w:r>
        <w:rPr>
          <w:spacing w:val="-4"/>
        </w:rPr>
        <w:t>payment purposes.</w:t>
      </w:r>
      <w:r w:rsidR="00EB26CF">
        <w:rPr>
          <w:spacing w:val="-4"/>
        </w:rPr>
        <w:t xml:space="preserve"> </w:t>
      </w:r>
      <w:r w:rsidR="00930B28">
        <w:rPr>
          <w:spacing w:val="-4"/>
        </w:rPr>
        <w:t xml:space="preserve"> </w:t>
      </w:r>
      <w:r w:rsidR="00EB26CF">
        <w:rPr>
          <w:spacing w:val="-3"/>
        </w:rPr>
        <w:t xml:space="preserve">The MACs </w:t>
      </w:r>
      <w:r w:rsidR="00EB26CF">
        <w:rPr>
          <w:spacing w:val="-8"/>
        </w:rPr>
        <w:t xml:space="preserve">will </w:t>
      </w:r>
      <w:r w:rsidR="00EB26CF">
        <w:t xml:space="preserve">safeguard </w:t>
      </w:r>
      <w:r w:rsidR="00EB26CF">
        <w:rPr>
          <w:spacing w:val="-4"/>
        </w:rPr>
        <w:t xml:space="preserve">all </w:t>
      </w:r>
      <w:r w:rsidR="00EB26CF">
        <w:t xml:space="preserve">protected </w:t>
      </w:r>
      <w:r w:rsidR="00EB26CF">
        <w:rPr>
          <w:spacing w:val="-4"/>
        </w:rPr>
        <w:t xml:space="preserve">health </w:t>
      </w:r>
      <w:r w:rsidR="00EB26CF">
        <w:rPr>
          <w:spacing w:val="-7"/>
        </w:rPr>
        <w:t xml:space="preserve">information </w:t>
      </w:r>
      <w:r w:rsidR="00EB26CF">
        <w:rPr>
          <w:spacing w:val="-4"/>
        </w:rPr>
        <w:t xml:space="preserve">collected </w:t>
      </w:r>
      <w:r w:rsidR="00EB26CF">
        <w:rPr>
          <w:spacing w:val="-5"/>
        </w:rPr>
        <w:t xml:space="preserve">in </w:t>
      </w:r>
      <w:r w:rsidR="00EB26CF">
        <w:t xml:space="preserve">accordance </w:t>
      </w:r>
      <w:r w:rsidR="00EB26CF">
        <w:rPr>
          <w:spacing w:val="-5"/>
        </w:rPr>
        <w:t xml:space="preserve">with </w:t>
      </w:r>
      <w:r w:rsidR="00EB26CF">
        <w:t xml:space="preserve">HIPAA and Privacy Act standards as </w:t>
      </w:r>
      <w:r w:rsidR="00EB26CF">
        <w:rPr>
          <w:spacing w:val="-6"/>
        </w:rPr>
        <w:t>applicable.</w:t>
      </w:r>
    </w:p>
    <w:p w:rsidR="00B5190C" w:rsidP="00B76E33" w14:paraId="6D9C8F74" w14:textId="77777777">
      <w:pPr>
        <w:pStyle w:val="BodyText"/>
        <w:tabs>
          <w:tab w:val="left" w:pos="0"/>
        </w:tabs>
        <w:spacing w:before="9"/>
        <w:rPr>
          <w:sz w:val="20"/>
        </w:rPr>
      </w:pPr>
    </w:p>
    <w:p w:rsidR="00B5190C" w:rsidP="00B76E33" w14:paraId="2A3852CC" w14:textId="77777777">
      <w:pPr>
        <w:pStyle w:val="ListParagraph"/>
        <w:numPr>
          <w:ilvl w:val="0"/>
          <w:numId w:val="1"/>
        </w:numPr>
        <w:tabs>
          <w:tab w:val="left" w:pos="0"/>
          <w:tab w:val="left" w:pos="636"/>
          <w:tab w:val="left" w:pos="637"/>
        </w:tabs>
        <w:spacing w:before="1"/>
        <w:ind w:left="0" w:firstLine="0"/>
        <w:rPr>
          <w:sz w:val="24"/>
        </w:rPr>
      </w:pPr>
      <w:r>
        <w:rPr>
          <w:spacing w:val="-8"/>
          <w:sz w:val="24"/>
          <w:u w:val="single"/>
        </w:rPr>
        <w:t>Sensitive</w:t>
      </w:r>
      <w:r>
        <w:rPr>
          <w:spacing w:val="6"/>
          <w:sz w:val="24"/>
          <w:u w:val="single"/>
        </w:rPr>
        <w:t xml:space="preserve"> </w:t>
      </w:r>
      <w:r>
        <w:rPr>
          <w:spacing w:val="-7"/>
          <w:sz w:val="24"/>
          <w:u w:val="single"/>
        </w:rPr>
        <w:t>Questions</w:t>
      </w:r>
    </w:p>
    <w:p w:rsidR="00B5190C" w:rsidP="00B76E33" w14:paraId="4DCD271D" w14:textId="77777777">
      <w:pPr>
        <w:pStyle w:val="BodyText"/>
        <w:tabs>
          <w:tab w:val="left" w:pos="0"/>
        </w:tabs>
        <w:spacing w:before="7"/>
        <w:rPr>
          <w:sz w:val="22"/>
        </w:rPr>
      </w:pPr>
    </w:p>
    <w:p w:rsidR="00B5190C" w:rsidP="00B76E33" w14:paraId="5262568E" w14:textId="77777777">
      <w:pPr>
        <w:pStyle w:val="BodyText"/>
        <w:tabs>
          <w:tab w:val="left" w:pos="0"/>
        </w:tabs>
        <w:spacing w:before="90"/>
      </w:pPr>
      <w:r>
        <w:t>There are no questions of a sensitive nature associated with this information collection.</w:t>
      </w:r>
    </w:p>
    <w:p w:rsidR="00B5190C" w:rsidP="00B76E33" w14:paraId="219F6951" w14:textId="77777777">
      <w:pPr>
        <w:pStyle w:val="BodyText"/>
        <w:tabs>
          <w:tab w:val="left" w:pos="0"/>
        </w:tabs>
        <w:spacing w:before="10"/>
      </w:pPr>
    </w:p>
    <w:p w:rsidR="00B5190C" w:rsidP="00B76E33" w14:paraId="7B981932" w14:textId="77777777">
      <w:pPr>
        <w:pStyle w:val="ListParagraph"/>
        <w:numPr>
          <w:ilvl w:val="0"/>
          <w:numId w:val="1"/>
        </w:numPr>
        <w:tabs>
          <w:tab w:val="left" w:pos="0"/>
          <w:tab w:val="left" w:pos="636"/>
          <w:tab w:val="left" w:pos="637"/>
        </w:tabs>
        <w:ind w:left="0" w:firstLine="0"/>
        <w:rPr>
          <w:sz w:val="24"/>
        </w:rPr>
      </w:pPr>
      <w:r>
        <w:rPr>
          <w:spacing w:val="-5"/>
          <w:sz w:val="24"/>
          <w:u w:val="single"/>
        </w:rPr>
        <w:t>Burden</w:t>
      </w:r>
      <w:r>
        <w:rPr>
          <w:spacing w:val="-19"/>
          <w:sz w:val="24"/>
          <w:u w:val="single"/>
        </w:rPr>
        <w:t xml:space="preserve"> </w:t>
      </w:r>
      <w:r>
        <w:rPr>
          <w:spacing w:val="-5"/>
          <w:sz w:val="24"/>
          <w:u w:val="single"/>
        </w:rPr>
        <w:t>Estimate</w:t>
      </w:r>
    </w:p>
    <w:p w:rsidR="00B5190C" w:rsidP="00B76E33" w14:paraId="150B8C07" w14:textId="77777777">
      <w:pPr>
        <w:pStyle w:val="BodyText"/>
        <w:tabs>
          <w:tab w:val="left" w:pos="0"/>
        </w:tabs>
        <w:spacing w:before="1"/>
        <w:rPr>
          <w:sz w:val="16"/>
        </w:rPr>
      </w:pPr>
    </w:p>
    <w:p w:rsidR="00B5190C" w:rsidP="00B76E33" w14:paraId="77079B91" w14:textId="1B274A62">
      <w:pPr>
        <w:pStyle w:val="BodyText"/>
        <w:tabs>
          <w:tab w:val="left" w:pos="0"/>
        </w:tabs>
        <w:spacing w:before="78"/>
        <w:ind w:right="236"/>
      </w:pPr>
      <w:bookmarkStart w:id="0" w:name="_Hlk101335152"/>
      <w:r>
        <w:t xml:space="preserve">The information collection requirements associated with prior authorization requests for these covered </w:t>
      </w:r>
      <w:r w:rsidR="00592BE3">
        <w:t>ASC</w:t>
      </w:r>
      <w:r>
        <w:t xml:space="preserve"> services </w:t>
      </w:r>
      <w:r w:rsidR="00C96990">
        <w:t>is</w:t>
      </w:r>
      <w:r>
        <w:t xml:space="preserve"> the required documentation submitted by providers.</w:t>
      </w:r>
      <w:r w:rsidR="0042769D">
        <w:t xml:space="preserve">  </w:t>
      </w:r>
      <w:r w:rsidR="00326DB5">
        <w:t>The</w:t>
      </w:r>
      <w:r>
        <w:t xml:space="preserve"> prior authorization request must include all relevant documentation necessary to show that the service meets applicable Medicare coverage, coding, and payment rules and that the request be submitted before the service is </w:t>
      </w:r>
      <w:r w:rsidR="00C96990">
        <w:t xml:space="preserve">provided </w:t>
      </w:r>
      <w:r>
        <w:t>to the beneficiary and before the claim is submitted for processing.</w:t>
      </w:r>
      <w:r w:rsidR="007B3E71">
        <w:t xml:space="preserve"> </w:t>
      </w:r>
      <w:r w:rsidR="00CD2416">
        <w:t xml:space="preserve"> </w:t>
      </w:r>
      <w:r w:rsidRPr="00813A51" w:rsidR="00CD2416">
        <w:t xml:space="preserve">If a provider does not obtain prior authorization and the service is furnished, the claim will be subject to prepayment review. </w:t>
      </w:r>
      <w:r w:rsidR="007B3E71">
        <w:t xml:space="preserve"> </w:t>
      </w:r>
      <w:r w:rsidRPr="00813A51" w:rsidR="00CD2416">
        <w:t>Prepayment review means that the MAC will make a claim determination before claim payment, using the standard Medicare prepayment review process</w:t>
      </w:r>
      <w:r w:rsidR="006D3C5C">
        <w:t>.</w:t>
      </w:r>
      <w:r>
        <w:t xml:space="preserve"> </w:t>
      </w:r>
      <w:r w:rsidR="009307CA">
        <w:t xml:space="preserve"> </w:t>
      </w:r>
      <w:bookmarkEnd w:id="0"/>
      <w:r>
        <w:t xml:space="preserve">The burden associated with this process is the time and effort necessary for the submitter to locate and obtain the relevant </w:t>
      </w:r>
      <w:r w:rsidR="00C96990">
        <w:t>supporting documentation to show that the service meets applicable coverage, coding</w:t>
      </w:r>
      <w:r>
        <w:t>, and payment rules, and to forward the information to CMS or its contractor (MAC) for review and determination of a provisional affirmation.</w:t>
      </w:r>
    </w:p>
    <w:p w:rsidR="00B5190C" w:rsidP="00B76E33" w14:paraId="79E7FE43" w14:textId="77777777">
      <w:pPr>
        <w:pStyle w:val="BodyText"/>
        <w:tabs>
          <w:tab w:val="left" w:pos="0"/>
        </w:tabs>
      </w:pPr>
    </w:p>
    <w:p w:rsidR="00450819" w:rsidP="00FF3EDF" w14:paraId="7914D6C3" w14:textId="01A06EB9">
      <w:pPr>
        <w:pStyle w:val="BodyText"/>
        <w:tabs>
          <w:tab w:val="left" w:pos="0"/>
        </w:tabs>
        <w:ind w:right="156"/>
      </w:pPr>
      <w:bookmarkStart w:id="1" w:name="_Hlk101335398"/>
      <w:r>
        <w:t xml:space="preserve">CMS expects that this information will generally be maintained by providers within the normal course of business and that this information will be readily available. </w:t>
      </w:r>
      <w:r w:rsidR="003F6D68">
        <w:t xml:space="preserve"> </w:t>
      </w:r>
      <w:bookmarkEnd w:id="1"/>
      <w:r>
        <w:t xml:space="preserve">CMS estimates that the </w:t>
      </w:r>
      <w:r>
        <w:t xml:space="preserve">average time for office clerical activities associated with this task </w:t>
      </w:r>
      <w:r w:rsidR="0081622E">
        <w:t>is</w:t>
      </w:r>
      <w:r>
        <w:t xml:space="preserve"> 30</w:t>
      </w:r>
      <w:r w:rsidR="00D519A2">
        <w:t>-</w:t>
      </w:r>
      <w:r>
        <w:t xml:space="preserve">minutes, which is equivalent to normal prepayment or </w:t>
      </w:r>
      <w:r>
        <w:t>postpayment</w:t>
      </w:r>
      <w:r>
        <w:t xml:space="preserve"> medical review. </w:t>
      </w:r>
      <w:r w:rsidR="003F6D68">
        <w:t xml:space="preserve"> </w:t>
      </w:r>
    </w:p>
    <w:p w:rsidR="00AC326C" w:rsidRPr="00B76E33" w:rsidP="00B6798E" w14:paraId="0A184952" w14:textId="77777777">
      <w:pPr>
        <w:pStyle w:val="Heading1"/>
        <w:ind w:left="0"/>
        <w:jc w:val="left"/>
        <w:rPr>
          <w:b w:val="0"/>
        </w:rPr>
      </w:pPr>
    </w:p>
    <w:p w:rsidR="001B7BEE" w:rsidP="00B76E33" w14:paraId="7BB110D8" w14:textId="4656E6FB">
      <w:pPr>
        <w:pStyle w:val="BodyText"/>
        <w:tabs>
          <w:tab w:val="left" w:pos="0"/>
        </w:tabs>
        <w:ind w:right="156"/>
      </w:pPr>
      <w:r>
        <w:t>Based on calendar year 20</w:t>
      </w:r>
      <w:r w:rsidR="002C2885">
        <w:t xml:space="preserve">21 </w:t>
      </w:r>
      <w:r w:rsidR="00C14A97">
        <w:t>claim</w:t>
      </w:r>
      <w:r>
        <w:t>s</w:t>
      </w:r>
      <w:r w:rsidR="00C14A97">
        <w:t xml:space="preserve"> </w:t>
      </w:r>
      <w:r>
        <w:t>data</w:t>
      </w:r>
      <w:r w:rsidR="00C14A97">
        <w:t xml:space="preserve"> f</w:t>
      </w:r>
      <w:r>
        <w:t>rom the demonstration states f</w:t>
      </w:r>
      <w:r w:rsidR="00C14A97">
        <w:t xml:space="preserve">or the </w:t>
      </w:r>
      <w:r>
        <w:t>services</w:t>
      </w:r>
      <w:r w:rsidR="00C14A97">
        <w:t xml:space="preserve"> selected </w:t>
      </w:r>
      <w:r>
        <w:t>(</w:t>
      </w:r>
      <w:r w:rsidR="00C14A97">
        <w:t>75,744 claims</w:t>
      </w:r>
      <w:r>
        <w:t>),</w:t>
      </w:r>
      <w:r>
        <w:t xml:space="preserve"> CMS estimate</w:t>
      </w:r>
      <w:r w:rsidR="00C14A97">
        <w:t>s</w:t>
      </w:r>
      <w:r>
        <w:t xml:space="preserve"> that </w:t>
      </w:r>
      <w:r w:rsidR="00C14A97">
        <w:t xml:space="preserve">95% will be submitted for prior authorization for a total of 71,959 initial prior authorization requests </w:t>
      </w:r>
      <w:r w:rsidR="000C4FD2">
        <w:t>annually</w:t>
      </w:r>
      <w:r w:rsidR="00C14A97">
        <w:t xml:space="preserve">. </w:t>
      </w:r>
      <w:r w:rsidR="007B3E71">
        <w:t xml:space="preserve"> </w:t>
      </w:r>
      <w:r w:rsidR="00C14A97">
        <w:t>CMS estimates that 25% of initial submissions will be resubmitted, 25% of first resubmissions will be resubmitted a second time, and 25% of second resubmissions will be submitted for a third time for a total of 23,620 resubmissions</w:t>
      </w:r>
      <w:r w:rsidR="000C4FD2">
        <w:t xml:space="preserve"> annually</w:t>
      </w:r>
      <w:r w:rsidR="00C14A97">
        <w:t xml:space="preserve">. </w:t>
      </w:r>
      <w:r>
        <w:t xml:space="preserve">Overall, this equates to 95,579 total prior authorization requests to be submitted </w:t>
      </w:r>
      <w:r w:rsidR="000C4FD2">
        <w:t>annually</w:t>
      </w:r>
      <w:r>
        <w:t xml:space="preserve">. </w:t>
      </w:r>
    </w:p>
    <w:p w:rsidR="001B7BEE" w:rsidP="00B76E33" w14:paraId="079636E3" w14:textId="77777777">
      <w:pPr>
        <w:pStyle w:val="BodyText"/>
        <w:tabs>
          <w:tab w:val="left" w:pos="0"/>
        </w:tabs>
        <w:ind w:right="156"/>
      </w:pPr>
    </w:p>
    <w:p w:rsidR="002220EE" w:rsidP="00B76E33" w14:paraId="2489E6CA" w14:textId="0F07783E">
      <w:pPr>
        <w:pStyle w:val="BodyText"/>
        <w:tabs>
          <w:tab w:val="left" w:pos="0"/>
        </w:tabs>
        <w:ind w:right="156"/>
      </w:pPr>
      <w:r>
        <w:t xml:space="preserve">CMS expects 97% of </w:t>
      </w:r>
      <w:r w:rsidR="001B7BEE">
        <w:t xml:space="preserve">requests </w:t>
      </w:r>
      <w:r>
        <w:t>to be submitted by fax or electronically and 3</w:t>
      </w:r>
      <w:r w:rsidR="00364791">
        <w:t xml:space="preserve">% to be submitted by mail, based on submission data from the </w:t>
      </w:r>
      <w:r w:rsidR="001B7BEE">
        <w:t>OPD p</w:t>
      </w:r>
      <w:r w:rsidR="00364791">
        <w:t xml:space="preserve">rior </w:t>
      </w:r>
      <w:r w:rsidR="001B7BEE">
        <w:t>a</w:t>
      </w:r>
      <w:r w:rsidR="00364791">
        <w:t xml:space="preserve">uthorization program. </w:t>
      </w:r>
      <w:r w:rsidR="007B3E71">
        <w:t xml:space="preserve"> </w:t>
      </w:r>
      <w:r w:rsidR="00364791">
        <w:t xml:space="preserve">Based on these percentages CMS estimates </w:t>
      </w:r>
      <w:r w:rsidR="00461E5B">
        <w:t xml:space="preserve">there </w:t>
      </w:r>
      <w:r w:rsidR="00480333">
        <w:t xml:space="preserve">would </w:t>
      </w:r>
      <w:r w:rsidR="00461E5B">
        <w:t xml:space="preserve">be </w:t>
      </w:r>
      <w:r w:rsidR="00364791">
        <w:t>92,712</w:t>
      </w:r>
      <w:r w:rsidR="009F5CE6">
        <w:t xml:space="preserve"> </w:t>
      </w:r>
      <w:r w:rsidR="00364791">
        <w:t xml:space="preserve">total </w:t>
      </w:r>
      <w:r w:rsidR="009C213E">
        <w:t xml:space="preserve">prior authorization </w:t>
      </w:r>
      <w:r w:rsidR="00461E5B">
        <w:t xml:space="preserve">requests </w:t>
      </w:r>
      <w:r w:rsidR="00364791">
        <w:t xml:space="preserve">submitted by fax or electronically and 2,867 submitted by </w:t>
      </w:r>
      <w:r w:rsidR="00461E5B">
        <w:t xml:space="preserve">mail </w:t>
      </w:r>
      <w:r w:rsidR="000C4FD2">
        <w:t>annually</w:t>
      </w:r>
      <w:r w:rsidR="00461E5B">
        <w:t>.</w:t>
      </w:r>
      <w:r w:rsidRPr="006D3C5C" w:rsidR="006D3C5C">
        <w:t xml:space="preserve">  CMS estimates a cost of $5 per request for mailing medical records</w:t>
      </w:r>
      <w:r>
        <w:t xml:space="preserve">, for a </w:t>
      </w:r>
      <w:r w:rsidR="00461E5B">
        <w:t xml:space="preserve">total </w:t>
      </w:r>
      <w:r w:rsidR="00364791">
        <w:t xml:space="preserve">estimated </w:t>
      </w:r>
      <w:r w:rsidR="00461E5B">
        <w:t>mailing cost</w:t>
      </w:r>
      <w:r w:rsidR="00364791">
        <w:t xml:space="preserve"> </w:t>
      </w:r>
      <w:r>
        <w:t>of</w:t>
      </w:r>
      <w:r w:rsidR="00461E5B">
        <w:t xml:space="preserve"> $</w:t>
      </w:r>
      <w:r w:rsidRPr="006948F1" w:rsidR="006948F1">
        <w:t xml:space="preserve">14,337 </w:t>
      </w:r>
      <w:r w:rsidR="0052272D">
        <w:t>(</w:t>
      </w:r>
      <w:r w:rsidRPr="006948F1" w:rsidR="006948F1">
        <w:rPr>
          <w:color w:val="000000"/>
        </w:rPr>
        <w:t>2,867</w:t>
      </w:r>
      <w:r w:rsidR="006948F1">
        <w:rPr>
          <w:color w:val="000000"/>
        </w:rPr>
        <w:t xml:space="preserve"> </w:t>
      </w:r>
      <w:r w:rsidR="006D3C5C">
        <w:rPr>
          <w:color w:val="000000"/>
        </w:rPr>
        <w:t xml:space="preserve">total </w:t>
      </w:r>
      <w:r w:rsidR="00C95EB8">
        <w:t>mailed requests x $5</w:t>
      </w:r>
      <w:r w:rsidR="0027030B">
        <w:t xml:space="preserve"> per request</w:t>
      </w:r>
      <w:r w:rsidR="00C95EB8">
        <w:t>)</w:t>
      </w:r>
      <w:r w:rsidR="00461E5B">
        <w:t xml:space="preserve">. </w:t>
      </w:r>
    </w:p>
    <w:p w:rsidR="002220EE" w:rsidP="00B76E33" w14:paraId="41E88508" w14:textId="77777777">
      <w:pPr>
        <w:pStyle w:val="BodyText"/>
        <w:tabs>
          <w:tab w:val="left" w:pos="0"/>
        </w:tabs>
        <w:ind w:right="156"/>
      </w:pPr>
    </w:p>
    <w:p w:rsidR="00B5190C" w:rsidP="00B76E33" w14:paraId="446DFBB0" w14:textId="2C9C9361">
      <w:pPr>
        <w:pStyle w:val="BodyText"/>
        <w:tabs>
          <w:tab w:val="left" w:pos="0"/>
        </w:tabs>
        <w:ind w:right="156"/>
      </w:pPr>
      <w:r>
        <w:t>CMS also estimate</w:t>
      </w:r>
      <w:r w:rsidR="002220EE">
        <w:t>s</w:t>
      </w:r>
      <w:r>
        <w:t xml:space="preserve"> that an additional 3 hours would be required for attending educational meetings</w:t>
      </w:r>
      <w:r w:rsidR="0058596B">
        <w:rPr>
          <w:rFonts w:eastAsia="Calibri"/>
        </w:rPr>
        <w:t>,</w:t>
      </w:r>
      <w:r w:rsidRPr="00A82102" w:rsidR="0058596B">
        <w:rPr>
          <w:rFonts w:eastAsia="Calibri"/>
        </w:rPr>
        <w:t xml:space="preserve"> </w:t>
      </w:r>
      <w:r w:rsidR="0058596B">
        <w:rPr>
          <w:rFonts w:eastAsia="Calibri"/>
        </w:rPr>
        <w:t xml:space="preserve">training staff on what services require prior authorization, </w:t>
      </w:r>
      <w:r>
        <w:t xml:space="preserve">and reviewing training documents. </w:t>
      </w:r>
      <w:r w:rsidR="007B3E71">
        <w:t xml:space="preserve"> </w:t>
      </w:r>
      <w:r>
        <w:t xml:space="preserve">While there may be an associated burden on beneficiaries while they wait for the prior authorization decision, CMS </w:t>
      </w:r>
      <w:r w:rsidR="00480333">
        <w:t xml:space="preserve">was </w:t>
      </w:r>
      <w:r>
        <w:t>unable to quantify that</w:t>
      </w:r>
      <w:r>
        <w:rPr>
          <w:spacing w:val="-2"/>
        </w:rPr>
        <w:t xml:space="preserve"> </w:t>
      </w:r>
      <w:r>
        <w:t>burden.</w:t>
      </w:r>
    </w:p>
    <w:p w:rsidR="00B5190C" w:rsidP="00B76E33" w14:paraId="4A5D706B" w14:textId="77777777">
      <w:pPr>
        <w:pStyle w:val="BodyText"/>
        <w:tabs>
          <w:tab w:val="left" w:pos="0"/>
        </w:tabs>
        <w:spacing w:before="9"/>
      </w:pPr>
    </w:p>
    <w:p w:rsidR="00B5190C" w:rsidP="00612B5C" w14:paraId="2F0DECF8" w14:textId="394CE547">
      <w:pPr>
        <w:pStyle w:val="BodyText"/>
        <w:tabs>
          <w:tab w:val="left" w:pos="0"/>
        </w:tabs>
        <w:ind w:right="183"/>
      </w:pPr>
      <w:r>
        <w:t>The average labor costs (including 100</w:t>
      </w:r>
      <w:r w:rsidR="007B3E71">
        <w:t>%</w:t>
      </w:r>
      <w:r>
        <w:t xml:space="preserve"> fringe benefits) used to estimate the costs were calculated using data available from the Bureau of Labor Statistics</w:t>
      </w:r>
      <w:r w:rsidR="00E702E7">
        <w:t xml:space="preserve"> (BLS)</w:t>
      </w:r>
      <w:r>
        <w:t xml:space="preserve">. </w:t>
      </w:r>
      <w:r w:rsidR="007B3E71">
        <w:t xml:space="preserve"> </w:t>
      </w:r>
      <w:r>
        <w:t xml:space="preserve">Based on the </w:t>
      </w:r>
      <w:r w:rsidR="00B47FC1">
        <w:t>BLS</w:t>
      </w:r>
      <w:r>
        <w:t xml:space="preserve"> </w:t>
      </w:r>
      <w:r w:rsidR="008B0AE7">
        <w:t>2</w:t>
      </w:r>
      <w:r w:rsidR="002C2885">
        <w:t>02</w:t>
      </w:r>
      <w:r w:rsidR="005221FF">
        <w:t>3Fo</w:t>
      </w:r>
      <w:r w:rsidR="008B0AE7">
        <w:t xml:space="preserve"> rate for </w:t>
      </w:r>
      <w:r w:rsidR="002E1C5D">
        <w:t xml:space="preserve">Miscellaneous Healthcare Support </w:t>
      </w:r>
      <w:r w:rsidR="00CC41D7">
        <w:t>Occupations</w:t>
      </w:r>
      <w:r w:rsidR="00612B5C">
        <w:t xml:space="preserve"> </w:t>
      </w:r>
      <w:r w:rsidR="00576CE9">
        <w:t>for Outpatient Care Centers</w:t>
      </w:r>
      <w:r>
        <w:t>, CMS estimate</w:t>
      </w:r>
      <w:r w:rsidR="00480333">
        <w:t>d</w:t>
      </w:r>
      <w:r>
        <w:t xml:space="preserve"> a </w:t>
      </w:r>
      <w:r w:rsidR="00B251DF">
        <w:t>median</w:t>
      </w:r>
      <w:r>
        <w:t xml:space="preserve"> hourly rate of $</w:t>
      </w:r>
      <w:r w:rsidR="00576CE9">
        <w:t>22</w:t>
      </w:r>
      <w:r w:rsidRPr="002C2885" w:rsidR="002C2885">
        <w:t>.</w:t>
      </w:r>
      <w:r w:rsidR="00576CE9">
        <w:t>28</w:t>
      </w:r>
      <w:r w:rsidR="006948F1">
        <w:t xml:space="preserve"> </w:t>
      </w:r>
      <w:r>
        <w:t>with a loaded rate of</w:t>
      </w:r>
      <w:r w:rsidR="00612B5C">
        <w:t xml:space="preserve"> </w:t>
      </w:r>
      <w:r>
        <w:t>$</w:t>
      </w:r>
      <w:r w:rsidR="00576CE9">
        <w:t>40</w:t>
      </w:r>
      <w:r w:rsidRPr="002C2885" w:rsidR="002C2885">
        <w:t>.</w:t>
      </w:r>
      <w:r w:rsidR="00576CE9">
        <w:t>81</w:t>
      </w:r>
      <w:r>
        <w:t>.</w:t>
      </w:r>
      <w:r>
        <w:rPr>
          <w:rStyle w:val="FootnoteReference"/>
        </w:rPr>
        <w:footnoteReference w:id="5"/>
      </w:r>
      <w:r>
        <w:t xml:space="preserve"> </w:t>
      </w:r>
      <w:r w:rsidRPr="00440AF3" w:rsidR="001B23B8">
        <w:t>Th</w:t>
      </w:r>
      <w:r w:rsidR="002220EE">
        <w:t>is</w:t>
      </w:r>
      <w:r w:rsidRPr="00440AF3" w:rsidR="001B23B8">
        <w:t xml:space="preserve"> prior authorization </w:t>
      </w:r>
      <w:r w:rsidR="002220EE">
        <w:t>demonstration</w:t>
      </w:r>
      <w:r w:rsidRPr="00440AF3" w:rsidR="001B23B8">
        <w:t xml:space="preserve"> does not create any new documents or administrative requirements.  Instead, it </w:t>
      </w:r>
      <w:r w:rsidR="007B3E71">
        <w:t>only</w:t>
      </w:r>
      <w:r w:rsidRPr="00440AF3" w:rsidR="001B23B8">
        <w:t xml:space="preserve"> requires the currently needed documents to be submitted earlier in the claim process.  Therefore, the estimate use</w:t>
      </w:r>
      <w:r w:rsidR="00480333">
        <w:t>d</w:t>
      </w:r>
      <w:r w:rsidRPr="00440AF3" w:rsidR="001B23B8">
        <w:t xml:space="preserve"> the clerical rate as CMS does not feel that clinical staff would need to spend more time on completing the documentation than would be needed in the absence of the demonstration.  The hourly rate reflects the time needed for the additional clerical work of submitting the prior authorization request itself. </w:t>
      </w:r>
      <w:r w:rsidR="0052272D">
        <w:t xml:space="preserve"> </w:t>
      </w:r>
      <w:r w:rsidR="002220EE">
        <w:t xml:space="preserve">Based on </w:t>
      </w:r>
      <w:r w:rsidRPr="00CC13D2" w:rsidR="0052272D">
        <w:t xml:space="preserve">the total </w:t>
      </w:r>
      <w:r w:rsidR="002220EE">
        <w:t xml:space="preserve">estimated </w:t>
      </w:r>
      <w:r w:rsidRPr="00CC13D2" w:rsidR="0052272D">
        <w:t xml:space="preserve">number of submissions </w:t>
      </w:r>
      <w:r w:rsidR="00536027">
        <w:t>annually</w:t>
      </w:r>
      <w:r w:rsidRPr="00CC13D2" w:rsidR="0052272D">
        <w:t xml:space="preserve"> </w:t>
      </w:r>
      <w:r w:rsidR="002220EE">
        <w:t>(</w:t>
      </w:r>
      <w:r w:rsidRPr="00036F2F" w:rsidR="00036F2F">
        <w:t>95,579</w:t>
      </w:r>
      <w:r w:rsidR="002220EE">
        <w:t xml:space="preserve">; </w:t>
      </w:r>
      <w:r w:rsidRPr="00036F2F" w:rsidR="00036F2F">
        <w:t>92,712</w:t>
      </w:r>
      <w:r w:rsidRPr="00CC13D2" w:rsidR="0052272D">
        <w:t xml:space="preserve"> submissions through fax or electronic means + </w:t>
      </w:r>
      <w:r w:rsidRPr="00036F2F" w:rsidR="00036F2F">
        <w:t>2,867</w:t>
      </w:r>
      <w:r w:rsidRPr="00CC13D2" w:rsidR="0052272D">
        <w:t xml:space="preserve"> mailed submissions)</w:t>
      </w:r>
      <w:r w:rsidR="002220EE">
        <w:t xml:space="preserve">, </w:t>
      </w:r>
      <w:r w:rsidRPr="00440AF3">
        <w:t>CMS estimate</w:t>
      </w:r>
      <w:r w:rsidR="002220EE">
        <w:t>s</w:t>
      </w:r>
      <w:r w:rsidRPr="00440AF3">
        <w:t xml:space="preserve"> that the total burden </w:t>
      </w:r>
      <w:r w:rsidR="00536027">
        <w:t>annually</w:t>
      </w:r>
      <w:r w:rsidRPr="00440AF3">
        <w:t xml:space="preserve">, allotted across all providers, </w:t>
      </w:r>
      <w:r>
        <w:t xml:space="preserve">would be </w:t>
      </w:r>
      <w:r w:rsidR="00B251DF">
        <w:t>59,904</w:t>
      </w:r>
      <w:r w:rsidR="0052272D">
        <w:t xml:space="preserve"> </w:t>
      </w:r>
      <w:r>
        <w:t xml:space="preserve">hours (.5 hours x </w:t>
      </w:r>
      <w:r w:rsidR="00B36AC8">
        <w:t>95,579</w:t>
      </w:r>
      <w:r w:rsidR="0052272D">
        <w:t xml:space="preserve"> </w:t>
      </w:r>
      <w:r>
        <w:t xml:space="preserve">submissions plus 3 hours x </w:t>
      </w:r>
      <w:r w:rsidR="00B36AC8">
        <w:t>4,038</w:t>
      </w:r>
      <w:r w:rsidR="0052272D">
        <w:t xml:space="preserve"> </w:t>
      </w:r>
      <w:r>
        <w:t xml:space="preserve">providers for education). </w:t>
      </w:r>
      <w:r w:rsidR="007B3E71">
        <w:t xml:space="preserve"> </w:t>
      </w:r>
      <w:r>
        <w:t xml:space="preserve">The </w:t>
      </w:r>
      <w:r w:rsidR="00C52563">
        <w:t xml:space="preserve">annual </w:t>
      </w:r>
      <w:r>
        <w:t xml:space="preserve">burden cost </w:t>
      </w:r>
      <w:r w:rsidR="00C52563">
        <w:t>is</w:t>
      </w:r>
      <w:r w:rsidR="00480333">
        <w:t xml:space="preserve"> </w:t>
      </w:r>
      <w:r>
        <w:t>$</w:t>
      </w:r>
      <w:r w:rsidR="00B251DF">
        <w:t>2,</w:t>
      </w:r>
      <w:r w:rsidR="00576CE9">
        <w:t>459</w:t>
      </w:r>
      <w:r w:rsidR="00B251DF">
        <w:t>,</w:t>
      </w:r>
      <w:r w:rsidR="00576CE9">
        <w:t>019</w:t>
      </w:r>
      <w:r>
        <w:t xml:space="preserve"> (</w:t>
      </w:r>
      <w:r w:rsidR="00DD288C">
        <w:t>59,904</w:t>
      </w:r>
      <w:r w:rsidR="0052272D">
        <w:t xml:space="preserve"> </w:t>
      </w:r>
      <w:r>
        <w:t>hours x $</w:t>
      </w:r>
      <w:r w:rsidR="00576CE9">
        <w:t>40</w:t>
      </w:r>
      <w:r w:rsidR="00AD4CCE">
        <w:t>.</w:t>
      </w:r>
      <w:r w:rsidR="00576CE9">
        <w:t>81</w:t>
      </w:r>
      <w:r>
        <w:t xml:space="preserve"> plus $</w:t>
      </w:r>
      <w:r w:rsidR="00DD288C">
        <w:t>14,337</w:t>
      </w:r>
      <w:r w:rsidR="0052272D">
        <w:t xml:space="preserve"> </w:t>
      </w:r>
      <w:r>
        <w:t xml:space="preserve">for mailing costs). </w:t>
      </w:r>
    </w:p>
    <w:p w:rsidR="005A5712" w:rsidP="00B76E33" w14:paraId="60345636" w14:textId="77777777">
      <w:pPr>
        <w:pStyle w:val="BodyText"/>
        <w:tabs>
          <w:tab w:val="left" w:pos="0"/>
        </w:tabs>
      </w:pPr>
    </w:p>
    <w:p w:rsidR="002048DC" w14:paraId="70F5D4E6" w14:textId="21F5764A">
      <w:pPr>
        <w:pStyle w:val="BodyText"/>
        <w:spacing w:before="78" w:after="2"/>
        <w:ind w:left="100" w:right="341"/>
      </w:pPr>
    </w:p>
    <w:p w:rsidR="002220EE" w14:paraId="2114E56F" w14:textId="77777777">
      <w:pPr>
        <w:rPr>
          <w:sz w:val="24"/>
        </w:rPr>
      </w:pPr>
      <w:r>
        <w:rPr>
          <w:sz w:val="24"/>
        </w:rPr>
        <w:br w:type="page"/>
      </w:r>
    </w:p>
    <w:p w:rsidR="00B5190C" w:rsidP="00FF3EDF" w14:paraId="5770726F" w14:textId="404A64EF">
      <w:pPr>
        <w:rPr>
          <w:sz w:val="24"/>
        </w:rPr>
      </w:pPr>
      <w:r w:rsidRPr="00450819">
        <w:rPr>
          <w:sz w:val="24"/>
        </w:rPr>
        <w:t>Annual (12</w:t>
      </w:r>
      <w:r w:rsidR="00D519A2">
        <w:rPr>
          <w:sz w:val="24"/>
        </w:rPr>
        <w:t>-</w:t>
      </w:r>
      <w:r w:rsidRPr="00450819">
        <w:rPr>
          <w:sz w:val="24"/>
        </w:rPr>
        <w:t xml:space="preserve">Month) Estimated Burden and Cost Table for the Prior Authorization Process and Requirements for Certain </w:t>
      </w:r>
      <w:r w:rsidR="00312FB8">
        <w:rPr>
          <w:sz w:val="24"/>
        </w:rPr>
        <w:t>ASC</w:t>
      </w:r>
      <w:r w:rsidR="0066047D">
        <w:rPr>
          <w:sz w:val="24"/>
        </w:rPr>
        <w:t xml:space="preserve"> </w:t>
      </w:r>
      <w:r w:rsidRPr="00450819">
        <w:rPr>
          <w:sz w:val="24"/>
        </w:rPr>
        <w:t>Services</w:t>
      </w:r>
      <w:r w:rsidR="00D5071A">
        <w:rPr>
          <w:sz w:val="24"/>
        </w:rPr>
        <w:t xml:space="preserve">- </w:t>
      </w:r>
      <w:r w:rsidR="00312FB8">
        <w:rPr>
          <w:sz w:val="24"/>
        </w:rPr>
        <w:t>Five</w:t>
      </w:r>
      <w:r w:rsidR="00D5071A">
        <w:rPr>
          <w:sz w:val="24"/>
        </w:rPr>
        <w:t xml:space="preserve"> Service Categories</w:t>
      </w:r>
    </w:p>
    <w:p w:rsidR="00ED1924" w:rsidP="00FF3EDF" w14:paraId="3EBE1D60" w14:textId="77777777">
      <w:pPr>
        <w:rPr>
          <w:sz w:val="24"/>
        </w:rPr>
      </w:pPr>
    </w:p>
    <w:p w:rsidR="002048DC" w:rsidP="00FF3EDF" w14:paraId="1DAC07EA" w14:textId="6BB86429">
      <w:pPr>
        <w:rPr>
          <w:sz w:val="24"/>
        </w:rPr>
      </w:pPr>
    </w:p>
    <w:tbl>
      <w:tblPr>
        <w:tblStyle w:val="TableGrid0"/>
        <w:tblW w:w="10530" w:type="dxa"/>
        <w:tblLook w:val="04A0"/>
      </w:tblPr>
      <w:tblGrid>
        <w:gridCol w:w="2217"/>
        <w:gridCol w:w="2027"/>
        <w:gridCol w:w="1830"/>
        <w:gridCol w:w="2036"/>
        <w:gridCol w:w="2420"/>
      </w:tblGrid>
      <w:tr w14:paraId="73651610" w14:textId="77777777" w:rsidTr="005A2EAF">
        <w:tblPrEx>
          <w:tblW w:w="10530" w:type="dxa"/>
          <w:tblLook w:val="04A0"/>
        </w:tblPrEx>
        <w:trPr>
          <w:trHeight w:val="940"/>
        </w:trPr>
        <w:tc>
          <w:tcPr>
            <w:tcW w:w="2217" w:type="dxa"/>
            <w:hideMark/>
          </w:tcPr>
          <w:p w:rsidR="005A2EAF" w:rsidRPr="005A2EAF" w:rsidP="005A2EAF" w14:paraId="085C9278" w14:textId="77777777">
            <w:pPr>
              <w:widowControl/>
              <w:autoSpaceDE/>
              <w:autoSpaceDN/>
              <w:rPr>
                <w:color w:val="000000"/>
                <w:sz w:val="24"/>
                <w:szCs w:val="24"/>
              </w:rPr>
            </w:pPr>
            <w:r w:rsidRPr="005A2EAF">
              <w:rPr>
                <w:color w:val="000000"/>
                <w:sz w:val="24"/>
                <w:szCs w:val="24"/>
              </w:rPr>
              <w:t>Activity</w:t>
            </w:r>
          </w:p>
        </w:tc>
        <w:tc>
          <w:tcPr>
            <w:tcW w:w="2027" w:type="dxa"/>
            <w:hideMark/>
          </w:tcPr>
          <w:p w:rsidR="005A2EAF" w:rsidRPr="005A2EAF" w:rsidP="005A2EAF" w14:paraId="626BB6F8" w14:textId="77777777">
            <w:pPr>
              <w:widowControl/>
              <w:autoSpaceDE/>
              <w:autoSpaceDN/>
              <w:rPr>
                <w:color w:val="000000"/>
                <w:sz w:val="24"/>
                <w:szCs w:val="24"/>
              </w:rPr>
            </w:pPr>
            <w:r w:rsidRPr="005A2EAF">
              <w:rPr>
                <w:color w:val="000000"/>
                <w:sz w:val="24"/>
                <w:szCs w:val="24"/>
              </w:rPr>
              <w:t>Responses Per Year</w:t>
            </w:r>
            <w:r w:rsidRPr="005A2EAF">
              <w:rPr>
                <w:color w:val="000000"/>
                <w:sz w:val="24"/>
                <w:szCs w:val="24"/>
              </w:rPr>
              <w:br/>
              <w:t>(i.e. number of reviewed claims)</w:t>
            </w:r>
          </w:p>
        </w:tc>
        <w:tc>
          <w:tcPr>
            <w:tcW w:w="1830" w:type="dxa"/>
            <w:hideMark/>
          </w:tcPr>
          <w:p w:rsidR="005A2EAF" w:rsidRPr="005A2EAF" w:rsidP="005A2EAF" w14:paraId="59573CD5" w14:textId="77777777">
            <w:pPr>
              <w:widowControl/>
              <w:autoSpaceDE/>
              <w:autoSpaceDN/>
              <w:rPr>
                <w:color w:val="000000"/>
                <w:sz w:val="24"/>
                <w:szCs w:val="24"/>
              </w:rPr>
            </w:pPr>
            <w:r w:rsidRPr="005A2EAF">
              <w:rPr>
                <w:color w:val="000000"/>
                <w:sz w:val="24"/>
                <w:szCs w:val="24"/>
              </w:rPr>
              <w:t>Time Per Response (hours) or Dollar Cost</w:t>
            </w:r>
          </w:p>
        </w:tc>
        <w:tc>
          <w:tcPr>
            <w:tcW w:w="2036" w:type="dxa"/>
            <w:hideMark/>
          </w:tcPr>
          <w:p w:rsidR="005A2EAF" w:rsidRPr="005A2EAF" w:rsidP="005A2EAF" w14:paraId="02C59112" w14:textId="77777777">
            <w:pPr>
              <w:widowControl/>
              <w:autoSpaceDE/>
              <w:autoSpaceDN/>
              <w:rPr>
                <w:color w:val="000000"/>
                <w:sz w:val="24"/>
                <w:szCs w:val="24"/>
              </w:rPr>
            </w:pPr>
            <w:r w:rsidRPr="005A2EAF">
              <w:rPr>
                <w:color w:val="000000"/>
                <w:sz w:val="24"/>
                <w:szCs w:val="24"/>
              </w:rPr>
              <w:t>Total Burden Per Year (hours)</w:t>
            </w:r>
          </w:p>
        </w:tc>
        <w:tc>
          <w:tcPr>
            <w:tcW w:w="2420" w:type="dxa"/>
            <w:hideMark/>
          </w:tcPr>
          <w:p w:rsidR="005A2EAF" w:rsidRPr="005A2EAF" w:rsidP="005A2EAF" w14:paraId="705B2346" w14:textId="77777777">
            <w:pPr>
              <w:widowControl/>
              <w:autoSpaceDE/>
              <w:autoSpaceDN/>
              <w:rPr>
                <w:color w:val="000000"/>
                <w:sz w:val="24"/>
                <w:szCs w:val="24"/>
              </w:rPr>
            </w:pPr>
            <w:r w:rsidRPr="005A2EAF">
              <w:rPr>
                <w:color w:val="000000"/>
                <w:sz w:val="24"/>
                <w:szCs w:val="24"/>
              </w:rPr>
              <w:t xml:space="preserve">Total Burden </w:t>
            </w:r>
            <w:r w:rsidRPr="005A2EAF">
              <w:rPr>
                <w:color w:val="000000"/>
                <w:sz w:val="24"/>
                <w:szCs w:val="24"/>
              </w:rPr>
              <w:t>Costs  Per</w:t>
            </w:r>
            <w:r w:rsidRPr="005A2EAF">
              <w:rPr>
                <w:color w:val="000000"/>
                <w:sz w:val="24"/>
                <w:szCs w:val="24"/>
              </w:rPr>
              <w:t xml:space="preserve"> Year Using Loaded Rate</w:t>
            </w:r>
          </w:p>
        </w:tc>
      </w:tr>
      <w:tr w14:paraId="4BD3A0D8" w14:textId="77777777" w:rsidTr="005A2EAF">
        <w:tblPrEx>
          <w:tblW w:w="10530" w:type="dxa"/>
          <w:tblLook w:val="04A0"/>
        </w:tblPrEx>
        <w:trPr>
          <w:trHeight w:val="940"/>
        </w:trPr>
        <w:tc>
          <w:tcPr>
            <w:tcW w:w="2217" w:type="dxa"/>
            <w:hideMark/>
          </w:tcPr>
          <w:p w:rsidR="005A2EAF" w:rsidRPr="005A2EAF" w:rsidP="005A2EAF" w14:paraId="080C484C" w14:textId="77777777">
            <w:pPr>
              <w:widowControl/>
              <w:autoSpaceDE/>
              <w:autoSpaceDN/>
              <w:rPr>
                <w:color w:val="000000"/>
                <w:sz w:val="24"/>
                <w:szCs w:val="24"/>
              </w:rPr>
            </w:pPr>
            <w:r w:rsidRPr="005A2EAF">
              <w:rPr>
                <w:color w:val="000000"/>
                <w:sz w:val="24"/>
                <w:szCs w:val="24"/>
              </w:rPr>
              <w:t>Fax and Electronic Submitted Requests- Initial Submissions</w:t>
            </w:r>
          </w:p>
        </w:tc>
        <w:tc>
          <w:tcPr>
            <w:tcW w:w="2027" w:type="dxa"/>
            <w:hideMark/>
          </w:tcPr>
          <w:p w:rsidR="005A2EAF" w:rsidRPr="005A2EAF" w:rsidP="005A2EAF" w14:paraId="5A3E2F0D" w14:textId="77777777">
            <w:pPr>
              <w:widowControl/>
              <w:autoSpaceDE/>
              <w:autoSpaceDN/>
              <w:jc w:val="center"/>
              <w:rPr>
                <w:color w:val="000000"/>
                <w:sz w:val="24"/>
                <w:szCs w:val="24"/>
              </w:rPr>
            </w:pPr>
            <w:r w:rsidRPr="005A2EAF">
              <w:rPr>
                <w:color w:val="000000"/>
                <w:sz w:val="24"/>
                <w:szCs w:val="24"/>
              </w:rPr>
              <w:t>69,800</w:t>
            </w:r>
          </w:p>
        </w:tc>
        <w:tc>
          <w:tcPr>
            <w:tcW w:w="1830" w:type="dxa"/>
            <w:hideMark/>
          </w:tcPr>
          <w:p w:rsidR="005A2EAF" w:rsidRPr="005A2EAF" w:rsidP="005A2EAF" w14:paraId="1E9FDC58" w14:textId="77777777">
            <w:pPr>
              <w:widowControl/>
              <w:autoSpaceDE/>
              <w:autoSpaceDN/>
              <w:jc w:val="center"/>
              <w:rPr>
                <w:color w:val="000000"/>
                <w:sz w:val="24"/>
                <w:szCs w:val="24"/>
              </w:rPr>
            </w:pPr>
            <w:r w:rsidRPr="005A2EAF">
              <w:rPr>
                <w:color w:val="000000"/>
                <w:sz w:val="24"/>
                <w:szCs w:val="24"/>
              </w:rPr>
              <w:t>0.5</w:t>
            </w:r>
          </w:p>
        </w:tc>
        <w:tc>
          <w:tcPr>
            <w:tcW w:w="2036" w:type="dxa"/>
            <w:hideMark/>
          </w:tcPr>
          <w:p w:rsidR="005A2EAF" w:rsidRPr="005A2EAF" w:rsidP="005A2EAF" w14:paraId="75D4CE8B" w14:textId="77777777">
            <w:pPr>
              <w:widowControl/>
              <w:autoSpaceDE/>
              <w:autoSpaceDN/>
              <w:jc w:val="center"/>
              <w:rPr>
                <w:color w:val="000000"/>
                <w:sz w:val="24"/>
                <w:szCs w:val="24"/>
              </w:rPr>
            </w:pPr>
            <w:r w:rsidRPr="005A2EAF">
              <w:rPr>
                <w:color w:val="000000"/>
                <w:sz w:val="24"/>
                <w:szCs w:val="24"/>
              </w:rPr>
              <w:t>34,900</w:t>
            </w:r>
          </w:p>
        </w:tc>
        <w:tc>
          <w:tcPr>
            <w:tcW w:w="2420" w:type="dxa"/>
            <w:hideMark/>
          </w:tcPr>
          <w:p w:rsidR="005A2EAF" w:rsidRPr="005A2EAF" w:rsidP="005A2EAF" w14:paraId="00049BA4" w14:textId="0C28147A">
            <w:pPr>
              <w:widowControl/>
              <w:autoSpaceDE/>
              <w:autoSpaceDN/>
              <w:jc w:val="center"/>
              <w:rPr>
                <w:color w:val="000000"/>
                <w:sz w:val="24"/>
                <w:szCs w:val="24"/>
              </w:rPr>
            </w:pPr>
            <w:r w:rsidRPr="005A2EAF">
              <w:rPr>
                <w:color w:val="000000"/>
                <w:sz w:val="24"/>
                <w:szCs w:val="24"/>
              </w:rPr>
              <w:t>$1</w:t>
            </w:r>
            <w:r w:rsidR="00576CE9">
              <w:rPr>
                <w:color w:val="000000"/>
                <w:sz w:val="24"/>
                <w:szCs w:val="24"/>
              </w:rPr>
              <w:t>,424</w:t>
            </w:r>
            <w:r w:rsidRPr="005A2EAF">
              <w:rPr>
                <w:color w:val="000000"/>
                <w:sz w:val="24"/>
                <w:szCs w:val="24"/>
              </w:rPr>
              <w:t>,</w:t>
            </w:r>
            <w:r w:rsidR="00576CE9">
              <w:rPr>
                <w:color w:val="000000"/>
                <w:sz w:val="24"/>
                <w:szCs w:val="24"/>
              </w:rPr>
              <w:t>269</w:t>
            </w:r>
          </w:p>
        </w:tc>
      </w:tr>
      <w:tr w14:paraId="2095C91F" w14:textId="77777777" w:rsidTr="005A2EAF">
        <w:tblPrEx>
          <w:tblW w:w="10530" w:type="dxa"/>
          <w:tblLook w:val="04A0"/>
        </w:tblPrEx>
        <w:trPr>
          <w:trHeight w:val="940"/>
        </w:trPr>
        <w:tc>
          <w:tcPr>
            <w:tcW w:w="2217" w:type="dxa"/>
            <w:hideMark/>
          </w:tcPr>
          <w:p w:rsidR="005A2EAF" w:rsidRPr="005A2EAF" w:rsidP="005A2EAF" w14:paraId="10CE5624" w14:textId="77777777">
            <w:pPr>
              <w:widowControl/>
              <w:autoSpaceDE/>
              <w:autoSpaceDN/>
              <w:rPr>
                <w:color w:val="000000"/>
                <w:sz w:val="24"/>
                <w:szCs w:val="24"/>
              </w:rPr>
            </w:pPr>
            <w:r w:rsidRPr="005A2EAF">
              <w:rPr>
                <w:color w:val="000000"/>
                <w:sz w:val="24"/>
                <w:szCs w:val="24"/>
              </w:rPr>
              <w:t>Fax and Electronic Submitted Requests-Resubmissions</w:t>
            </w:r>
          </w:p>
        </w:tc>
        <w:tc>
          <w:tcPr>
            <w:tcW w:w="2027" w:type="dxa"/>
            <w:hideMark/>
          </w:tcPr>
          <w:p w:rsidR="005A2EAF" w:rsidRPr="005A2EAF" w:rsidP="005A2EAF" w14:paraId="56CB51FB" w14:textId="77777777">
            <w:pPr>
              <w:widowControl/>
              <w:autoSpaceDE/>
              <w:autoSpaceDN/>
              <w:jc w:val="center"/>
              <w:rPr>
                <w:color w:val="000000"/>
                <w:sz w:val="24"/>
                <w:szCs w:val="24"/>
              </w:rPr>
            </w:pPr>
            <w:r w:rsidRPr="005A2EAF">
              <w:rPr>
                <w:color w:val="000000"/>
                <w:sz w:val="24"/>
                <w:szCs w:val="24"/>
              </w:rPr>
              <w:t>22,911</w:t>
            </w:r>
          </w:p>
        </w:tc>
        <w:tc>
          <w:tcPr>
            <w:tcW w:w="1830" w:type="dxa"/>
            <w:hideMark/>
          </w:tcPr>
          <w:p w:rsidR="005A2EAF" w:rsidRPr="005A2EAF" w:rsidP="005A2EAF" w14:paraId="5114FF25" w14:textId="77777777">
            <w:pPr>
              <w:widowControl/>
              <w:autoSpaceDE/>
              <w:autoSpaceDN/>
              <w:jc w:val="center"/>
              <w:rPr>
                <w:color w:val="000000"/>
                <w:sz w:val="24"/>
                <w:szCs w:val="24"/>
              </w:rPr>
            </w:pPr>
            <w:r w:rsidRPr="005A2EAF">
              <w:rPr>
                <w:color w:val="000000"/>
                <w:sz w:val="24"/>
                <w:szCs w:val="24"/>
              </w:rPr>
              <w:t>0.5</w:t>
            </w:r>
          </w:p>
        </w:tc>
        <w:tc>
          <w:tcPr>
            <w:tcW w:w="2036" w:type="dxa"/>
            <w:hideMark/>
          </w:tcPr>
          <w:p w:rsidR="005A2EAF" w:rsidRPr="005A2EAF" w:rsidP="005A2EAF" w14:paraId="2D8D1D09" w14:textId="77777777">
            <w:pPr>
              <w:widowControl/>
              <w:autoSpaceDE/>
              <w:autoSpaceDN/>
              <w:jc w:val="center"/>
              <w:rPr>
                <w:color w:val="000000"/>
                <w:sz w:val="24"/>
                <w:szCs w:val="24"/>
              </w:rPr>
            </w:pPr>
            <w:r w:rsidRPr="005A2EAF">
              <w:rPr>
                <w:color w:val="000000"/>
                <w:sz w:val="24"/>
                <w:szCs w:val="24"/>
              </w:rPr>
              <w:t>11,456</w:t>
            </w:r>
          </w:p>
        </w:tc>
        <w:tc>
          <w:tcPr>
            <w:tcW w:w="2420" w:type="dxa"/>
            <w:hideMark/>
          </w:tcPr>
          <w:p w:rsidR="005A2EAF" w:rsidRPr="005A2EAF" w:rsidP="005A2EAF" w14:paraId="199FC002" w14:textId="1C82CB70">
            <w:pPr>
              <w:widowControl/>
              <w:autoSpaceDE/>
              <w:autoSpaceDN/>
              <w:jc w:val="center"/>
              <w:rPr>
                <w:color w:val="000000"/>
                <w:sz w:val="24"/>
                <w:szCs w:val="24"/>
              </w:rPr>
            </w:pPr>
            <w:r w:rsidRPr="005A2EAF">
              <w:rPr>
                <w:color w:val="000000"/>
                <w:sz w:val="24"/>
                <w:szCs w:val="24"/>
              </w:rPr>
              <w:t>$4</w:t>
            </w:r>
            <w:r w:rsidR="00576CE9">
              <w:rPr>
                <w:color w:val="000000"/>
                <w:sz w:val="24"/>
                <w:szCs w:val="24"/>
              </w:rPr>
              <w:t>67</w:t>
            </w:r>
            <w:r w:rsidRPr="005A2EAF">
              <w:rPr>
                <w:color w:val="000000"/>
                <w:sz w:val="24"/>
                <w:szCs w:val="24"/>
              </w:rPr>
              <w:t>,5</w:t>
            </w:r>
            <w:r w:rsidR="00576CE9">
              <w:rPr>
                <w:color w:val="000000"/>
                <w:sz w:val="24"/>
                <w:szCs w:val="24"/>
              </w:rPr>
              <w:t>19</w:t>
            </w:r>
          </w:p>
        </w:tc>
      </w:tr>
      <w:tr w14:paraId="08465FB5" w14:textId="77777777" w:rsidTr="005A2EAF">
        <w:tblPrEx>
          <w:tblW w:w="10530" w:type="dxa"/>
          <w:tblLook w:val="04A0"/>
        </w:tblPrEx>
        <w:trPr>
          <w:trHeight w:val="630"/>
        </w:trPr>
        <w:tc>
          <w:tcPr>
            <w:tcW w:w="2217" w:type="dxa"/>
            <w:hideMark/>
          </w:tcPr>
          <w:p w:rsidR="005A2EAF" w:rsidRPr="005A2EAF" w:rsidP="005A2EAF" w14:paraId="2D516D2D" w14:textId="77777777">
            <w:pPr>
              <w:widowControl/>
              <w:autoSpaceDE/>
              <w:autoSpaceDN/>
              <w:rPr>
                <w:color w:val="000000"/>
                <w:sz w:val="24"/>
                <w:szCs w:val="24"/>
              </w:rPr>
            </w:pPr>
            <w:r w:rsidRPr="005A2EAF">
              <w:rPr>
                <w:color w:val="000000"/>
                <w:sz w:val="24"/>
                <w:szCs w:val="24"/>
              </w:rPr>
              <w:t>Mailed in Requests- Initial Submissions</w:t>
            </w:r>
          </w:p>
        </w:tc>
        <w:tc>
          <w:tcPr>
            <w:tcW w:w="2027" w:type="dxa"/>
            <w:hideMark/>
          </w:tcPr>
          <w:p w:rsidR="005A2EAF" w:rsidRPr="005A2EAF" w:rsidP="005A2EAF" w14:paraId="27D612B1" w14:textId="77777777">
            <w:pPr>
              <w:widowControl/>
              <w:autoSpaceDE/>
              <w:autoSpaceDN/>
              <w:jc w:val="center"/>
              <w:rPr>
                <w:rFonts w:ascii="Calibri" w:hAnsi="Calibri" w:cs="Calibri"/>
                <w:color w:val="000000"/>
                <w:sz w:val="24"/>
                <w:szCs w:val="24"/>
              </w:rPr>
            </w:pPr>
            <w:bookmarkStart w:id="2" w:name="_Hlk153204919"/>
            <w:r w:rsidRPr="005A2EAF">
              <w:rPr>
                <w:rFonts w:ascii="Calibri" w:hAnsi="Calibri" w:cs="Calibri"/>
                <w:color w:val="000000"/>
                <w:sz w:val="24"/>
                <w:szCs w:val="24"/>
              </w:rPr>
              <w:t>2,159</w:t>
            </w:r>
            <w:bookmarkEnd w:id="2"/>
          </w:p>
        </w:tc>
        <w:tc>
          <w:tcPr>
            <w:tcW w:w="1830" w:type="dxa"/>
            <w:hideMark/>
          </w:tcPr>
          <w:p w:rsidR="005A2EAF" w:rsidRPr="005A2EAF" w:rsidP="005A2EAF" w14:paraId="5A97E4BE" w14:textId="77777777">
            <w:pPr>
              <w:widowControl/>
              <w:autoSpaceDE/>
              <w:autoSpaceDN/>
              <w:jc w:val="center"/>
              <w:rPr>
                <w:color w:val="000000"/>
                <w:sz w:val="24"/>
                <w:szCs w:val="24"/>
              </w:rPr>
            </w:pPr>
            <w:r w:rsidRPr="005A2EAF">
              <w:rPr>
                <w:color w:val="000000"/>
                <w:sz w:val="24"/>
                <w:szCs w:val="24"/>
              </w:rPr>
              <w:t>0.5</w:t>
            </w:r>
          </w:p>
        </w:tc>
        <w:tc>
          <w:tcPr>
            <w:tcW w:w="2036" w:type="dxa"/>
            <w:hideMark/>
          </w:tcPr>
          <w:p w:rsidR="005A2EAF" w:rsidRPr="005A2EAF" w:rsidP="005A2EAF" w14:paraId="102F4211" w14:textId="77777777">
            <w:pPr>
              <w:widowControl/>
              <w:autoSpaceDE/>
              <w:autoSpaceDN/>
              <w:jc w:val="center"/>
              <w:rPr>
                <w:color w:val="000000"/>
                <w:sz w:val="24"/>
                <w:szCs w:val="24"/>
              </w:rPr>
            </w:pPr>
            <w:r w:rsidRPr="005A2EAF">
              <w:rPr>
                <w:color w:val="000000"/>
                <w:sz w:val="24"/>
                <w:szCs w:val="24"/>
              </w:rPr>
              <w:t>1,079</w:t>
            </w:r>
          </w:p>
        </w:tc>
        <w:tc>
          <w:tcPr>
            <w:tcW w:w="2420" w:type="dxa"/>
            <w:hideMark/>
          </w:tcPr>
          <w:p w:rsidR="005A2EAF" w:rsidRPr="005A2EAF" w:rsidP="005A2EAF" w14:paraId="00062F04" w14:textId="41B25307">
            <w:pPr>
              <w:widowControl/>
              <w:autoSpaceDE/>
              <w:autoSpaceDN/>
              <w:jc w:val="center"/>
              <w:rPr>
                <w:color w:val="000000"/>
                <w:sz w:val="24"/>
                <w:szCs w:val="24"/>
              </w:rPr>
            </w:pPr>
            <w:r w:rsidRPr="005A2EAF">
              <w:rPr>
                <w:color w:val="000000"/>
                <w:sz w:val="24"/>
                <w:szCs w:val="24"/>
              </w:rPr>
              <w:t>$4</w:t>
            </w:r>
            <w:r w:rsidR="00576CE9">
              <w:rPr>
                <w:color w:val="000000"/>
                <w:sz w:val="24"/>
                <w:szCs w:val="24"/>
              </w:rPr>
              <w:t>4</w:t>
            </w:r>
            <w:r w:rsidRPr="005A2EAF">
              <w:rPr>
                <w:color w:val="000000"/>
                <w:sz w:val="24"/>
                <w:szCs w:val="24"/>
              </w:rPr>
              <w:t>,0</w:t>
            </w:r>
            <w:r w:rsidR="00576CE9">
              <w:rPr>
                <w:color w:val="000000"/>
                <w:sz w:val="24"/>
                <w:szCs w:val="24"/>
              </w:rPr>
              <w:t>34</w:t>
            </w:r>
          </w:p>
        </w:tc>
      </w:tr>
      <w:tr w14:paraId="127B3E8E" w14:textId="77777777" w:rsidTr="005A2EAF">
        <w:tblPrEx>
          <w:tblW w:w="10530" w:type="dxa"/>
          <w:tblLook w:val="04A0"/>
        </w:tblPrEx>
        <w:trPr>
          <w:trHeight w:val="630"/>
        </w:trPr>
        <w:tc>
          <w:tcPr>
            <w:tcW w:w="2217" w:type="dxa"/>
            <w:hideMark/>
          </w:tcPr>
          <w:p w:rsidR="005A2EAF" w:rsidRPr="005A2EAF" w:rsidP="005A2EAF" w14:paraId="0ED25F87" w14:textId="77777777">
            <w:pPr>
              <w:widowControl/>
              <w:autoSpaceDE/>
              <w:autoSpaceDN/>
              <w:rPr>
                <w:color w:val="000000"/>
                <w:sz w:val="24"/>
                <w:szCs w:val="24"/>
              </w:rPr>
            </w:pPr>
            <w:bookmarkStart w:id="3" w:name="_Hlk173491181"/>
            <w:r w:rsidRPr="005A2EAF">
              <w:rPr>
                <w:color w:val="000000"/>
                <w:sz w:val="24"/>
                <w:szCs w:val="24"/>
              </w:rPr>
              <w:t>Mailed in Requests- Resubmissions</w:t>
            </w:r>
            <w:bookmarkEnd w:id="3"/>
          </w:p>
        </w:tc>
        <w:tc>
          <w:tcPr>
            <w:tcW w:w="2027" w:type="dxa"/>
            <w:hideMark/>
          </w:tcPr>
          <w:p w:rsidR="005A2EAF" w:rsidRPr="005A2EAF" w:rsidP="005A2EAF" w14:paraId="37A764BA" w14:textId="77777777">
            <w:pPr>
              <w:widowControl/>
              <w:autoSpaceDE/>
              <w:autoSpaceDN/>
              <w:jc w:val="center"/>
              <w:rPr>
                <w:color w:val="000000"/>
                <w:sz w:val="24"/>
                <w:szCs w:val="24"/>
              </w:rPr>
            </w:pPr>
            <w:r w:rsidRPr="005A2EAF">
              <w:rPr>
                <w:color w:val="000000"/>
                <w:sz w:val="24"/>
                <w:szCs w:val="24"/>
              </w:rPr>
              <w:t>709</w:t>
            </w:r>
          </w:p>
        </w:tc>
        <w:tc>
          <w:tcPr>
            <w:tcW w:w="1830" w:type="dxa"/>
            <w:hideMark/>
          </w:tcPr>
          <w:p w:rsidR="005A2EAF" w:rsidRPr="005A2EAF" w:rsidP="005A2EAF" w14:paraId="2BCFFB12" w14:textId="77777777">
            <w:pPr>
              <w:widowControl/>
              <w:autoSpaceDE/>
              <w:autoSpaceDN/>
              <w:jc w:val="center"/>
              <w:rPr>
                <w:color w:val="000000"/>
                <w:sz w:val="24"/>
                <w:szCs w:val="24"/>
              </w:rPr>
            </w:pPr>
            <w:r w:rsidRPr="005A2EAF">
              <w:rPr>
                <w:color w:val="000000"/>
                <w:sz w:val="24"/>
                <w:szCs w:val="24"/>
              </w:rPr>
              <w:t>0.5</w:t>
            </w:r>
          </w:p>
        </w:tc>
        <w:tc>
          <w:tcPr>
            <w:tcW w:w="2036" w:type="dxa"/>
            <w:hideMark/>
          </w:tcPr>
          <w:p w:rsidR="005A2EAF" w:rsidRPr="005A2EAF" w:rsidP="005A2EAF" w14:paraId="64DFBE73" w14:textId="77777777">
            <w:pPr>
              <w:widowControl/>
              <w:autoSpaceDE/>
              <w:autoSpaceDN/>
              <w:jc w:val="center"/>
              <w:rPr>
                <w:color w:val="000000"/>
                <w:sz w:val="24"/>
                <w:szCs w:val="24"/>
              </w:rPr>
            </w:pPr>
            <w:r w:rsidRPr="005A2EAF">
              <w:rPr>
                <w:color w:val="000000"/>
                <w:sz w:val="24"/>
                <w:szCs w:val="24"/>
              </w:rPr>
              <w:t>354</w:t>
            </w:r>
          </w:p>
        </w:tc>
        <w:tc>
          <w:tcPr>
            <w:tcW w:w="2420" w:type="dxa"/>
            <w:hideMark/>
          </w:tcPr>
          <w:p w:rsidR="005A2EAF" w:rsidRPr="005A2EAF" w:rsidP="005A2EAF" w14:paraId="769A249B" w14:textId="26FE0CA4">
            <w:pPr>
              <w:widowControl/>
              <w:autoSpaceDE/>
              <w:autoSpaceDN/>
              <w:jc w:val="center"/>
              <w:rPr>
                <w:color w:val="000000"/>
                <w:sz w:val="24"/>
                <w:szCs w:val="24"/>
              </w:rPr>
            </w:pPr>
            <w:r w:rsidRPr="005A2EAF">
              <w:rPr>
                <w:color w:val="000000"/>
                <w:sz w:val="24"/>
                <w:szCs w:val="24"/>
              </w:rPr>
              <w:t>$1</w:t>
            </w:r>
            <w:r w:rsidR="00F64C2C">
              <w:rPr>
                <w:color w:val="000000"/>
                <w:sz w:val="24"/>
                <w:szCs w:val="24"/>
              </w:rPr>
              <w:t>4</w:t>
            </w:r>
            <w:r w:rsidRPr="005A2EAF">
              <w:rPr>
                <w:color w:val="000000"/>
                <w:sz w:val="24"/>
                <w:szCs w:val="24"/>
              </w:rPr>
              <w:t>,</w:t>
            </w:r>
            <w:r w:rsidR="00F64C2C">
              <w:rPr>
                <w:color w:val="000000"/>
                <w:sz w:val="24"/>
                <w:szCs w:val="24"/>
              </w:rPr>
              <w:t>443</w:t>
            </w:r>
          </w:p>
        </w:tc>
      </w:tr>
      <w:tr w14:paraId="003FC7F5" w14:textId="77777777" w:rsidTr="005A2EAF">
        <w:tblPrEx>
          <w:tblW w:w="10530" w:type="dxa"/>
          <w:tblLook w:val="04A0"/>
        </w:tblPrEx>
        <w:trPr>
          <w:trHeight w:val="320"/>
        </w:trPr>
        <w:tc>
          <w:tcPr>
            <w:tcW w:w="2217" w:type="dxa"/>
            <w:hideMark/>
          </w:tcPr>
          <w:p w:rsidR="005A2EAF" w:rsidRPr="005A2EAF" w:rsidP="005A2EAF" w14:paraId="1D1B84F6" w14:textId="77777777">
            <w:pPr>
              <w:widowControl/>
              <w:autoSpaceDE/>
              <w:autoSpaceDN/>
              <w:rPr>
                <w:color w:val="000000"/>
                <w:sz w:val="24"/>
                <w:szCs w:val="24"/>
              </w:rPr>
            </w:pPr>
            <w:r w:rsidRPr="005A2EAF">
              <w:rPr>
                <w:color w:val="000000"/>
                <w:sz w:val="24"/>
                <w:szCs w:val="24"/>
              </w:rPr>
              <w:t>Mailing Costs</w:t>
            </w:r>
          </w:p>
        </w:tc>
        <w:tc>
          <w:tcPr>
            <w:tcW w:w="2027" w:type="dxa"/>
            <w:hideMark/>
          </w:tcPr>
          <w:p w:rsidR="005A2EAF" w:rsidRPr="005A2EAF" w:rsidP="005A2EAF" w14:paraId="43C88DC2" w14:textId="77777777">
            <w:pPr>
              <w:widowControl/>
              <w:autoSpaceDE/>
              <w:autoSpaceDN/>
              <w:jc w:val="center"/>
              <w:rPr>
                <w:color w:val="000000"/>
                <w:sz w:val="24"/>
                <w:szCs w:val="24"/>
              </w:rPr>
            </w:pPr>
            <w:r w:rsidRPr="005A2EAF">
              <w:rPr>
                <w:color w:val="000000"/>
                <w:sz w:val="24"/>
                <w:szCs w:val="24"/>
              </w:rPr>
              <w:t>2,867</w:t>
            </w:r>
          </w:p>
        </w:tc>
        <w:tc>
          <w:tcPr>
            <w:tcW w:w="1830" w:type="dxa"/>
            <w:hideMark/>
          </w:tcPr>
          <w:p w:rsidR="005A2EAF" w:rsidRPr="005A2EAF" w:rsidP="005A2EAF" w14:paraId="7FF334BF" w14:textId="77777777">
            <w:pPr>
              <w:widowControl/>
              <w:autoSpaceDE/>
              <w:autoSpaceDN/>
              <w:jc w:val="center"/>
              <w:rPr>
                <w:color w:val="000000"/>
                <w:sz w:val="24"/>
                <w:szCs w:val="24"/>
              </w:rPr>
            </w:pPr>
            <w:r w:rsidRPr="005A2EAF">
              <w:rPr>
                <w:color w:val="000000"/>
                <w:sz w:val="24"/>
                <w:szCs w:val="24"/>
              </w:rPr>
              <w:t>5</w:t>
            </w:r>
          </w:p>
        </w:tc>
        <w:tc>
          <w:tcPr>
            <w:tcW w:w="2036" w:type="dxa"/>
            <w:hideMark/>
          </w:tcPr>
          <w:p w:rsidR="005A2EAF" w:rsidRPr="005A2EAF" w:rsidP="005A2EAF" w14:paraId="303B8B75" w14:textId="77777777">
            <w:pPr>
              <w:widowControl/>
              <w:autoSpaceDE/>
              <w:autoSpaceDN/>
              <w:jc w:val="center"/>
              <w:rPr>
                <w:color w:val="000000"/>
                <w:sz w:val="24"/>
                <w:szCs w:val="24"/>
              </w:rPr>
            </w:pPr>
            <w:r w:rsidRPr="005A2EAF">
              <w:rPr>
                <w:color w:val="000000"/>
                <w:sz w:val="24"/>
                <w:szCs w:val="24"/>
              </w:rPr>
              <w:t> </w:t>
            </w:r>
          </w:p>
        </w:tc>
        <w:tc>
          <w:tcPr>
            <w:tcW w:w="2420" w:type="dxa"/>
            <w:hideMark/>
          </w:tcPr>
          <w:p w:rsidR="005A2EAF" w:rsidRPr="005A2EAF" w:rsidP="005A2EAF" w14:paraId="7761DBF2" w14:textId="19A42FFD">
            <w:pPr>
              <w:widowControl/>
              <w:autoSpaceDE/>
              <w:autoSpaceDN/>
              <w:jc w:val="center"/>
              <w:rPr>
                <w:color w:val="000000"/>
                <w:sz w:val="24"/>
                <w:szCs w:val="24"/>
              </w:rPr>
            </w:pPr>
            <w:r w:rsidRPr="005A2EAF">
              <w:rPr>
                <w:color w:val="000000"/>
                <w:sz w:val="24"/>
                <w:szCs w:val="24"/>
              </w:rPr>
              <w:t>$14,</w:t>
            </w:r>
            <w:r w:rsidR="00F64C2C">
              <w:rPr>
                <w:color w:val="000000"/>
                <w:sz w:val="24"/>
                <w:szCs w:val="24"/>
              </w:rPr>
              <w:t>33</w:t>
            </w:r>
            <w:r w:rsidR="00576CE9">
              <w:rPr>
                <w:color w:val="000000"/>
                <w:sz w:val="24"/>
                <w:szCs w:val="24"/>
              </w:rPr>
              <w:t>7</w:t>
            </w:r>
          </w:p>
        </w:tc>
      </w:tr>
      <w:tr w14:paraId="0B21DBFC" w14:textId="77777777" w:rsidTr="005A2EAF">
        <w:tblPrEx>
          <w:tblW w:w="10530" w:type="dxa"/>
          <w:tblLook w:val="04A0"/>
        </w:tblPrEx>
        <w:trPr>
          <w:trHeight w:val="630"/>
        </w:trPr>
        <w:tc>
          <w:tcPr>
            <w:tcW w:w="2217" w:type="dxa"/>
            <w:hideMark/>
          </w:tcPr>
          <w:p w:rsidR="005A2EAF" w:rsidRPr="005A2EAF" w:rsidP="005A2EAF" w14:paraId="29E6AAFE" w14:textId="77777777">
            <w:pPr>
              <w:widowControl/>
              <w:autoSpaceDE/>
              <w:autoSpaceDN/>
              <w:rPr>
                <w:color w:val="000000"/>
                <w:sz w:val="24"/>
                <w:szCs w:val="24"/>
              </w:rPr>
            </w:pPr>
            <w:bookmarkStart w:id="4" w:name="_Hlk173491284"/>
            <w:r w:rsidRPr="005A2EAF">
              <w:rPr>
                <w:color w:val="000000"/>
                <w:sz w:val="24"/>
                <w:szCs w:val="24"/>
              </w:rPr>
              <w:t>Provider Demonstration- Education</w:t>
            </w:r>
            <w:bookmarkEnd w:id="4"/>
          </w:p>
        </w:tc>
        <w:tc>
          <w:tcPr>
            <w:tcW w:w="2027" w:type="dxa"/>
            <w:noWrap/>
            <w:hideMark/>
          </w:tcPr>
          <w:p w:rsidR="005A2EAF" w:rsidRPr="005A2EAF" w:rsidP="005A2EAF" w14:paraId="113A9377" w14:textId="77777777">
            <w:pPr>
              <w:widowControl/>
              <w:autoSpaceDE/>
              <w:autoSpaceDN/>
              <w:jc w:val="center"/>
              <w:rPr>
                <w:color w:val="000000"/>
                <w:sz w:val="24"/>
                <w:szCs w:val="24"/>
              </w:rPr>
            </w:pPr>
            <w:r w:rsidRPr="005A2EAF">
              <w:rPr>
                <w:color w:val="000000"/>
                <w:sz w:val="24"/>
                <w:szCs w:val="24"/>
              </w:rPr>
              <w:t>4,038</w:t>
            </w:r>
          </w:p>
        </w:tc>
        <w:tc>
          <w:tcPr>
            <w:tcW w:w="1830" w:type="dxa"/>
            <w:hideMark/>
          </w:tcPr>
          <w:p w:rsidR="005A2EAF" w:rsidRPr="005A2EAF" w:rsidP="005A2EAF" w14:paraId="0F37FF25" w14:textId="77777777">
            <w:pPr>
              <w:widowControl/>
              <w:autoSpaceDE/>
              <w:autoSpaceDN/>
              <w:jc w:val="center"/>
              <w:rPr>
                <w:color w:val="000000"/>
                <w:sz w:val="24"/>
                <w:szCs w:val="24"/>
              </w:rPr>
            </w:pPr>
            <w:r w:rsidRPr="005A2EAF">
              <w:rPr>
                <w:color w:val="000000"/>
                <w:sz w:val="24"/>
                <w:szCs w:val="24"/>
              </w:rPr>
              <w:t>3</w:t>
            </w:r>
          </w:p>
        </w:tc>
        <w:tc>
          <w:tcPr>
            <w:tcW w:w="2036" w:type="dxa"/>
            <w:hideMark/>
          </w:tcPr>
          <w:p w:rsidR="005A2EAF" w:rsidRPr="005A2EAF" w:rsidP="005A2EAF" w14:paraId="7243E9C8" w14:textId="77777777">
            <w:pPr>
              <w:widowControl/>
              <w:autoSpaceDE/>
              <w:autoSpaceDN/>
              <w:jc w:val="center"/>
              <w:rPr>
                <w:color w:val="000000"/>
                <w:sz w:val="24"/>
                <w:szCs w:val="24"/>
              </w:rPr>
            </w:pPr>
            <w:r w:rsidRPr="005A2EAF">
              <w:rPr>
                <w:color w:val="000000"/>
                <w:sz w:val="24"/>
                <w:szCs w:val="24"/>
              </w:rPr>
              <w:t>12,114</w:t>
            </w:r>
          </w:p>
        </w:tc>
        <w:tc>
          <w:tcPr>
            <w:tcW w:w="2420" w:type="dxa"/>
            <w:hideMark/>
          </w:tcPr>
          <w:p w:rsidR="005A2EAF" w:rsidRPr="005A2EAF" w:rsidP="005A2EAF" w14:paraId="326C9877" w14:textId="21DB91B9">
            <w:pPr>
              <w:widowControl/>
              <w:autoSpaceDE/>
              <w:autoSpaceDN/>
              <w:jc w:val="center"/>
              <w:rPr>
                <w:color w:val="000000"/>
                <w:sz w:val="24"/>
                <w:szCs w:val="24"/>
              </w:rPr>
            </w:pPr>
            <w:r w:rsidRPr="005A2EAF">
              <w:rPr>
                <w:color w:val="000000"/>
                <w:sz w:val="24"/>
                <w:szCs w:val="24"/>
              </w:rPr>
              <w:t>$4</w:t>
            </w:r>
            <w:r w:rsidR="00576CE9">
              <w:rPr>
                <w:color w:val="000000"/>
                <w:sz w:val="24"/>
                <w:szCs w:val="24"/>
              </w:rPr>
              <w:t>94</w:t>
            </w:r>
            <w:r w:rsidRPr="005A2EAF">
              <w:rPr>
                <w:color w:val="000000"/>
                <w:sz w:val="24"/>
                <w:szCs w:val="24"/>
              </w:rPr>
              <w:t>,</w:t>
            </w:r>
            <w:r w:rsidR="00576CE9">
              <w:rPr>
                <w:color w:val="000000"/>
                <w:sz w:val="24"/>
                <w:szCs w:val="24"/>
              </w:rPr>
              <w:t>372</w:t>
            </w:r>
          </w:p>
        </w:tc>
      </w:tr>
      <w:tr w14:paraId="0A3F0205" w14:textId="77777777" w:rsidTr="005A2EAF">
        <w:tblPrEx>
          <w:tblW w:w="10530" w:type="dxa"/>
          <w:tblLook w:val="04A0"/>
        </w:tblPrEx>
        <w:trPr>
          <w:trHeight w:val="320"/>
        </w:trPr>
        <w:tc>
          <w:tcPr>
            <w:tcW w:w="2217" w:type="dxa"/>
            <w:hideMark/>
          </w:tcPr>
          <w:p w:rsidR="005A2EAF" w:rsidRPr="005A2EAF" w:rsidP="005A2EAF" w14:paraId="2D01025A" w14:textId="77777777">
            <w:pPr>
              <w:widowControl/>
              <w:autoSpaceDE/>
              <w:autoSpaceDN/>
              <w:rPr>
                <w:color w:val="000000"/>
                <w:sz w:val="24"/>
                <w:szCs w:val="24"/>
              </w:rPr>
            </w:pPr>
            <w:r w:rsidRPr="005A2EAF">
              <w:rPr>
                <w:color w:val="000000"/>
                <w:sz w:val="24"/>
                <w:szCs w:val="24"/>
              </w:rPr>
              <w:t>Total</w:t>
            </w:r>
          </w:p>
        </w:tc>
        <w:tc>
          <w:tcPr>
            <w:tcW w:w="2027" w:type="dxa"/>
            <w:hideMark/>
          </w:tcPr>
          <w:p w:rsidR="005A2EAF" w:rsidRPr="005A2EAF" w:rsidP="005A2EAF" w14:paraId="1AC40C31" w14:textId="77777777">
            <w:pPr>
              <w:widowControl/>
              <w:autoSpaceDE/>
              <w:autoSpaceDN/>
              <w:jc w:val="center"/>
              <w:rPr>
                <w:color w:val="000000"/>
                <w:sz w:val="24"/>
                <w:szCs w:val="24"/>
              </w:rPr>
            </w:pPr>
            <w:r w:rsidRPr="005A2EAF">
              <w:rPr>
                <w:color w:val="000000"/>
                <w:sz w:val="24"/>
                <w:szCs w:val="24"/>
              </w:rPr>
              <w:t> </w:t>
            </w:r>
          </w:p>
        </w:tc>
        <w:tc>
          <w:tcPr>
            <w:tcW w:w="1830" w:type="dxa"/>
            <w:hideMark/>
          </w:tcPr>
          <w:p w:rsidR="005A2EAF" w:rsidRPr="005A2EAF" w:rsidP="005A2EAF" w14:paraId="6E1470F1" w14:textId="77777777">
            <w:pPr>
              <w:widowControl/>
              <w:autoSpaceDE/>
              <w:autoSpaceDN/>
              <w:jc w:val="center"/>
              <w:rPr>
                <w:color w:val="000000"/>
                <w:sz w:val="24"/>
                <w:szCs w:val="24"/>
              </w:rPr>
            </w:pPr>
            <w:r w:rsidRPr="005A2EAF">
              <w:rPr>
                <w:color w:val="000000"/>
                <w:sz w:val="24"/>
                <w:szCs w:val="24"/>
              </w:rPr>
              <w:t> </w:t>
            </w:r>
          </w:p>
        </w:tc>
        <w:tc>
          <w:tcPr>
            <w:tcW w:w="2036" w:type="dxa"/>
            <w:hideMark/>
          </w:tcPr>
          <w:p w:rsidR="005A2EAF" w:rsidRPr="005A2EAF" w:rsidP="005A2EAF" w14:paraId="213DAFC9" w14:textId="77777777">
            <w:pPr>
              <w:widowControl/>
              <w:autoSpaceDE/>
              <w:autoSpaceDN/>
              <w:jc w:val="center"/>
              <w:rPr>
                <w:color w:val="000000"/>
                <w:sz w:val="24"/>
                <w:szCs w:val="24"/>
              </w:rPr>
            </w:pPr>
            <w:r w:rsidRPr="005A2EAF">
              <w:rPr>
                <w:color w:val="000000"/>
                <w:sz w:val="24"/>
                <w:szCs w:val="24"/>
              </w:rPr>
              <w:t>59,904</w:t>
            </w:r>
          </w:p>
        </w:tc>
        <w:tc>
          <w:tcPr>
            <w:tcW w:w="2420" w:type="dxa"/>
            <w:hideMark/>
          </w:tcPr>
          <w:p w:rsidR="005A2EAF" w:rsidRPr="005A2EAF" w:rsidP="005A2EAF" w14:paraId="568D6A97" w14:textId="0CE5785F">
            <w:pPr>
              <w:widowControl/>
              <w:autoSpaceDE/>
              <w:autoSpaceDN/>
              <w:jc w:val="center"/>
              <w:rPr>
                <w:color w:val="000000"/>
                <w:sz w:val="24"/>
                <w:szCs w:val="24"/>
              </w:rPr>
            </w:pPr>
            <w:r w:rsidRPr="005A2EAF">
              <w:rPr>
                <w:color w:val="000000"/>
                <w:sz w:val="24"/>
                <w:szCs w:val="24"/>
              </w:rPr>
              <w:t>$2,</w:t>
            </w:r>
            <w:r w:rsidR="00F64C2C">
              <w:rPr>
                <w:color w:val="000000"/>
                <w:sz w:val="24"/>
                <w:szCs w:val="24"/>
              </w:rPr>
              <w:t>45</w:t>
            </w:r>
            <w:r w:rsidR="00AF28CA">
              <w:rPr>
                <w:color w:val="000000"/>
                <w:sz w:val="24"/>
                <w:szCs w:val="24"/>
              </w:rPr>
              <w:t>9</w:t>
            </w:r>
            <w:r w:rsidR="00F64C2C">
              <w:rPr>
                <w:color w:val="000000"/>
                <w:sz w:val="24"/>
                <w:szCs w:val="24"/>
              </w:rPr>
              <w:t>,</w:t>
            </w:r>
            <w:r w:rsidR="00AF28CA">
              <w:rPr>
                <w:color w:val="000000"/>
                <w:sz w:val="24"/>
                <w:szCs w:val="24"/>
              </w:rPr>
              <w:t>019</w:t>
            </w:r>
          </w:p>
        </w:tc>
      </w:tr>
    </w:tbl>
    <w:p w:rsidR="003A250D" w14:paraId="0D09202B" w14:textId="77777777">
      <w:pPr>
        <w:pStyle w:val="BodyText"/>
        <w:spacing w:before="2"/>
      </w:pPr>
    </w:p>
    <w:p w:rsidR="00B5190C" w14:paraId="17D64A1D" w14:textId="77777777">
      <w:pPr>
        <w:pStyle w:val="ListParagraph"/>
        <w:numPr>
          <w:ilvl w:val="0"/>
          <w:numId w:val="1"/>
        </w:numPr>
        <w:tabs>
          <w:tab w:val="left" w:pos="636"/>
          <w:tab w:val="left" w:pos="637"/>
        </w:tabs>
        <w:spacing w:before="180"/>
        <w:ind w:left="636" w:hanging="536"/>
        <w:rPr>
          <w:sz w:val="24"/>
        </w:rPr>
      </w:pPr>
      <w:r>
        <w:rPr>
          <w:spacing w:val="-7"/>
          <w:sz w:val="24"/>
          <w:u w:val="single"/>
        </w:rPr>
        <w:t>Capital</w:t>
      </w:r>
      <w:r>
        <w:rPr>
          <w:spacing w:val="-16"/>
          <w:sz w:val="24"/>
          <w:u w:val="single"/>
        </w:rPr>
        <w:t xml:space="preserve"> </w:t>
      </w:r>
      <w:r>
        <w:rPr>
          <w:sz w:val="24"/>
          <w:u w:val="single"/>
        </w:rPr>
        <w:t>Costs</w:t>
      </w:r>
    </w:p>
    <w:p w:rsidR="00B5190C" w14:paraId="12E5FA3A" w14:textId="77777777">
      <w:pPr>
        <w:pStyle w:val="BodyText"/>
        <w:spacing w:before="1"/>
        <w:rPr>
          <w:sz w:val="23"/>
        </w:rPr>
      </w:pPr>
    </w:p>
    <w:p w:rsidR="00B5190C" w14:paraId="1BBD45AF" w14:textId="4CE35FF6">
      <w:pPr>
        <w:pStyle w:val="BodyText"/>
        <w:spacing w:before="10"/>
      </w:pPr>
      <w:r>
        <w:t>There are no capital cost</w:t>
      </w:r>
      <w:r w:rsidR="00870EA9">
        <w:t>s</w:t>
      </w:r>
      <w:r>
        <w:t xml:space="preserve"> associated with this collection.</w:t>
      </w:r>
    </w:p>
    <w:p w:rsidR="00144361" w14:paraId="47271068" w14:textId="77777777">
      <w:pPr>
        <w:pStyle w:val="BodyText"/>
        <w:spacing w:before="10"/>
      </w:pPr>
    </w:p>
    <w:p w:rsidR="00B5190C" w14:paraId="40AD4AB6" w14:textId="77777777">
      <w:pPr>
        <w:pStyle w:val="ListParagraph"/>
        <w:numPr>
          <w:ilvl w:val="0"/>
          <w:numId w:val="1"/>
        </w:numPr>
        <w:tabs>
          <w:tab w:val="left" w:pos="656"/>
          <w:tab w:val="left" w:pos="657"/>
        </w:tabs>
        <w:spacing w:before="90"/>
        <w:ind w:left="656" w:hanging="536"/>
        <w:rPr>
          <w:sz w:val="24"/>
        </w:rPr>
      </w:pPr>
      <w:r>
        <w:rPr>
          <w:sz w:val="24"/>
          <w:u w:val="single"/>
        </w:rPr>
        <w:t xml:space="preserve">Costs to </w:t>
      </w:r>
      <w:r>
        <w:rPr>
          <w:spacing w:val="-5"/>
          <w:sz w:val="24"/>
          <w:u w:val="single"/>
        </w:rPr>
        <w:t>Federal</w:t>
      </w:r>
      <w:r>
        <w:rPr>
          <w:spacing w:val="6"/>
          <w:sz w:val="24"/>
          <w:u w:val="single"/>
        </w:rPr>
        <w:t xml:space="preserve"> </w:t>
      </w:r>
      <w:r>
        <w:rPr>
          <w:spacing w:val="-5"/>
          <w:sz w:val="24"/>
          <w:u w:val="single"/>
        </w:rPr>
        <w:t>Government</w:t>
      </w:r>
    </w:p>
    <w:p w:rsidR="00B5190C" w14:paraId="5317F54B" w14:textId="77777777">
      <w:pPr>
        <w:pStyle w:val="BodyText"/>
        <w:spacing w:before="7"/>
        <w:rPr>
          <w:sz w:val="22"/>
        </w:rPr>
      </w:pPr>
    </w:p>
    <w:p w:rsidR="00C823AC" w:rsidP="00C823AC" w14:paraId="29B7AE9D" w14:textId="628A099B">
      <w:pPr>
        <w:pStyle w:val="BodyText"/>
        <w:ind w:left="119" w:right="112"/>
      </w:pPr>
      <w:r w:rsidRPr="0066047D">
        <w:t>The estimate</w:t>
      </w:r>
      <w:r>
        <w:t>d</w:t>
      </w:r>
      <w:r w:rsidRPr="0066047D">
        <w:t xml:space="preserve"> </w:t>
      </w:r>
      <w:r>
        <w:t xml:space="preserve">yearly </w:t>
      </w:r>
      <w:r w:rsidRPr="0066047D" w:rsidR="00240CED">
        <w:t xml:space="preserve">costs associated with </w:t>
      </w:r>
      <w:r>
        <w:t>operating this demonstration is</w:t>
      </w:r>
      <w:r w:rsidRPr="0066047D" w:rsidR="00240CED">
        <w:t xml:space="preserve"> approximately </w:t>
      </w:r>
      <w:r w:rsidRPr="0066047D" w:rsidR="0066047D">
        <w:t>$</w:t>
      </w:r>
      <w:r w:rsidR="00E64646">
        <w:t>4</w:t>
      </w:r>
      <w:r w:rsidRPr="0066047D" w:rsidR="004D0DE2">
        <w:t>.</w:t>
      </w:r>
      <w:r w:rsidR="00E64646">
        <w:t>6</w:t>
      </w:r>
      <w:r w:rsidRPr="0066047D" w:rsidR="00240CED">
        <w:t xml:space="preserve"> million</w:t>
      </w:r>
      <w:r>
        <w:t>.</w:t>
      </w:r>
      <w:r w:rsidR="0066047D">
        <w:t xml:space="preserve"> </w:t>
      </w:r>
      <w:r w:rsidR="007B3E71">
        <w:t xml:space="preserve"> </w:t>
      </w:r>
      <w:r w:rsidR="00E64646">
        <w:t xml:space="preserve">The cost </w:t>
      </w:r>
      <w:r>
        <w:rPr>
          <w:spacing w:val="-6"/>
        </w:rPr>
        <w:t xml:space="preserve">estimate </w:t>
      </w:r>
      <w:r>
        <w:rPr>
          <w:spacing w:val="-4"/>
        </w:rPr>
        <w:t xml:space="preserve">is </w:t>
      </w:r>
      <w:r>
        <w:rPr>
          <w:spacing w:val="-5"/>
        </w:rPr>
        <w:t xml:space="preserve">based </w:t>
      </w:r>
      <w:r>
        <w:rPr>
          <w:spacing w:val="-3"/>
        </w:rPr>
        <w:t xml:space="preserve">on review of </w:t>
      </w:r>
      <w:r>
        <w:rPr>
          <w:spacing w:val="-5"/>
        </w:rPr>
        <w:t xml:space="preserve">the </w:t>
      </w:r>
      <w:r>
        <w:rPr>
          <w:spacing w:val="-6"/>
        </w:rPr>
        <w:t xml:space="preserve">anticipated number </w:t>
      </w:r>
      <w:r>
        <w:rPr>
          <w:spacing w:val="-3"/>
        </w:rPr>
        <w:t xml:space="preserve">of </w:t>
      </w:r>
      <w:r>
        <w:rPr>
          <w:spacing w:val="-5"/>
        </w:rPr>
        <w:t>prior</w:t>
      </w:r>
      <w:r>
        <w:rPr>
          <w:spacing w:val="-11"/>
        </w:rPr>
        <w:t xml:space="preserve"> </w:t>
      </w:r>
      <w:r>
        <w:rPr>
          <w:spacing w:val="-6"/>
        </w:rPr>
        <w:t>authorization</w:t>
      </w:r>
      <w:r>
        <w:rPr>
          <w:spacing w:val="-12"/>
        </w:rPr>
        <w:t xml:space="preserve"> </w:t>
      </w:r>
      <w:r>
        <w:rPr>
          <w:spacing w:val="-6"/>
        </w:rPr>
        <w:t>requests,</w:t>
      </w:r>
      <w:r>
        <w:rPr>
          <w:spacing w:val="-10"/>
        </w:rPr>
        <w:t xml:space="preserve"> </w:t>
      </w:r>
      <w:r>
        <w:rPr>
          <w:spacing w:val="-5"/>
        </w:rPr>
        <w:t>both</w:t>
      </w:r>
      <w:r>
        <w:rPr>
          <w:spacing w:val="-12"/>
        </w:rPr>
        <w:t xml:space="preserve"> </w:t>
      </w:r>
      <w:r>
        <w:rPr>
          <w:spacing w:val="-6"/>
        </w:rPr>
        <w:t>initial</w:t>
      </w:r>
      <w:r>
        <w:rPr>
          <w:spacing w:val="-10"/>
        </w:rPr>
        <w:t xml:space="preserve"> </w:t>
      </w:r>
      <w:r>
        <w:rPr>
          <w:spacing w:val="-4"/>
        </w:rPr>
        <w:t>and</w:t>
      </w:r>
      <w:r>
        <w:rPr>
          <w:spacing w:val="-10"/>
        </w:rPr>
        <w:t xml:space="preserve"> </w:t>
      </w:r>
      <w:r>
        <w:rPr>
          <w:spacing w:val="-6"/>
        </w:rPr>
        <w:t>resubmissions,</w:t>
      </w:r>
      <w:r>
        <w:rPr>
          <w:spacing w:val="-12"/>
        </w:rPr>
        <w:t xml:space="preserve"> </w:t>
      </w:r>
      <w:r>
        <w:rPr>
          <w:spacing w:val="-5"/>
        </w:rPr>
        <w:t>that</w:t>
      </w:r>
      <w:r>
        <w:rPr>
          <w:spacing w:val="-11"/>
        </w:rPr>
        <w:t xml:space="preserve"> </w:t>
      </w:r>
      <w:r>
        <w:rPr>
          <w:spacing w:val="-5"/>
        </w:rPr>
        <w:t>would</w:t>
      </w:r>
      <w:r>
        <w:rPr>
          <w:spacing w:val="-11"/>
        </w:rPr>
        <w:t xml:space="preserve"> </w:t>
      </w:r>
      <w:r>
        <w:rPr>
          <w:spacing w:val="-3"/>
        </w:rPr>
        <w:t>be</w:t>
      </w:r>
      <w:r>
        <w:rPr>
          <w:spacing w:val="-10"/>
        </w:rPr>
        <w:t xml:space="preserve"> </w:t>
      </w:r>
      <w:r>
        <w:rPr>
          <w:spacing w:val="-6"/>
        </w:rPr>
        <w:t>submitted,</w:t>
      </w:r>
      <w:r>
        <w:rPr>
          <w:spacing w:val="-10"/>
        </w:rPr>
        <w:t xml:space="preserve"> </w:t>
      </w:r>
      <w:r>
        <w:rPr>
          <w:spacing w:val="-4"/>
        </w:rPr>
        <w:t>the</w:t>
      </w:r>
      <w:r>
        <w:rPr>
          <w:spacing w:val="-10"/>
        </w:rPr>
        <w:t xml:space="preserve"> </w:t>
      </w:r>
      <w:r>
        <w:rPr>
          <w:spacing w:val="-6"/>
        </w:rPr>
        <w:t>number</w:t>
      </w:r>
      <w:r>
        <w:rPr>
          <w:spacing w:val="-10"/>
        </w:rPr>
        <w:t xml:space="preserve"> </w:t>
      </w:r>
      <w:r>
        <w:rPr>
          <w:spacing w:val="-3"/>
        </w:rPr>
        <w:t>of</w:t>
      </w:r>
      <w:r>
        <w:rPr>
          <w:spacing w:val="-11"/>
        </w:rPr>
        <w:t xml:space="preserve"> </w:t>
      </w:r>
      <w:r>
        <w:rPr>
          <w:spacing w:val="-6"/>
        </w:rPr>
        <w:t xml:space="preserve">claims skipping prior authorization </w:t>
      </w:r>
      <w:r>
        <w:rPr>
          <w:spacing w:val="-5"/>
        </w:rPr>
        <w:t xml:space="preserve">that would </w:t>
      </w:r>
      <w:r>
        <w:rPr>
          <w:spacing w:val="-3"/>
        </w:rPr>
        <w:t xml:space="preserve">be </w:t>
      </w:r>
      <w:r>
        <w:rPr>
          <w:spacing w:val="-6"/>
        </w:rPr>
        <w:t xml:space="preserve">medically reviewed through </w:t>
      </w:r>
      <w:r>
        <w:rPr>
          <w:spacing w:val="-4"/>
        </w:rPr>
        <w:t xml:space="preserve">the </w:t>
      </w:r>
      <w:r>
        <w:rPr>
          <w:spacing w:val="-6"/>
        </w:rPr>
        <w:t xml:space="preserve">prepayment medical record </w:t>
      </w:r>
      <w:r>
        <w:rPr>
          <w:spacing w:val="-5"/>
        </w:rPr>
        <w:t xml:space="preserve">review </w:t>
      </w:r>
      <w:r>
        <w:rPr>
          <w:spacing w:val="-6"/>
        </w:rPr>
        <w:t xml:space="preserve">process, </w:t>
      </w:r>
      <w:r>
        <w:rPr>
          <w:spacing w:val="-4"/>
        </w:rPr>
        <w:t xml:space="preserve">the </w:t>
      </w:r>
      <w:r>
        <w:rPr>
          <w:spacing w:val="-6"/>
        </w:rPr>
        <w:t xml:space="preserve">number </w:t>
      </w:r>
      <w:r>
        <w:rPr>
          <w:spacing w:val="-3"/>
        </w:rPr>
        <w:t xml:space="preserve">of </w:t>
      </w:r>
      <w:r>
        <w:rPr>
          <w:spacing w:val="-6"/>
        </w:rPr>
        <w:t xml:space="preserve">potential appeals, </w:t>
      </w:r>
      <w:r>
        <w:rPr>
          <w:spacing w:val="-4"/>
        </w:rPr>
        <w:t xml:space="preserve">and </w:t>
      </w:r>
      <w:r>
        <w:rPr>
          <w:spacing w:val="-5"/>
        </w:rPr>
        <w:t xml:space="preserve">the cost </w:t>
      </w:r>
      <w:r>
        <w:rPr>
          <w:spacing w:val="-3"/>
        </w:rPr>
        <w:t xml:space="preserve">of </w:t>
      </w:r>
      <w:r>
        <w:rPr>
          <w:spacing w:val="-6"/>
        </w:rPr>
        <w:t xml:space="preserve">outreach </w:t>
      </w:r>
      <w:r>
        <w:rPr>
          <w:spacing w:val="-4"/>
        </w:rPr>
        <w:t xml:space="preserve">and </w:t>
      </w:r>
      <w:r>
        <w:rPr>
          <w:spacing w:val="-6"/>
        </w:rPr>
        <w:t xml:space="preserve">education </w:t>
      </w:r>
      <w:r>
        <w:rPr>
          <w:spacing w:val="-3"/>
        </w:rPr>
        <w:t>to providers practicing in the demonstration states</w:t>
      </w:r>
      <w:r>
        <w:rPr>
          <w:spacing w:val="-6"/>
        </w:rPr>
        <w:t>.</w:t>
      </w:r>
    </w:p>
    <w:p w:rsidR="00E64646" w:rsidP="000C4FD2" w14:paraId="5D8A8E07" w14:textId="19D5946E">
      <w:pPr>
        <w:pStyle w:val="BodyText"/>
      </w:pPr>
    </w:p>
    <w:p w:rsidR="00B5190C" w:rsidRPr="004F6DAE" w:rsidP="00615378" w14:paraId="3F6F0FB7" w14:textId="77777777">
      <w:pPr>
        <w:pStyle w:val="ListParagraph"/>
        <w:numPr>
          <w:ilvl w:val="0"/>
          <w:numId w:val="1"/>
        </w:numPr>
        <w:tabs>
          <w:tab w:val="left" w:pos="656"/>
          <w:tab w:val="left" w:pos="657"/>
        </w:tabs>
        <w:ind w:left="648" w:hanging="533"/>
        <w:rPr>
          <w:sz w:val="24"/>
        </w:rPr>
      </w:pPr>
      <w:r w:rsidRPr="00D654F8">
        <w:rPr>
          <w:spacing w:val="-6"/>
          <w:sz w:val="24"/>
          <w:u w:val="single"/>
        </w:rPr>
        <w:t xml:space="preserve">Changes </w:t>
      </w:r>
      <w:r w:rsidRPr="00D654F8">
        <w:rPr>
          <w:spacing w:val="-3"/>
          <w:sz w:val="24"/>
          <w:u w:val="single"/>
        </w:rPr>
        <w:t>in</w:t>
      </w:r>
      <w:r w:rsidRPr="00D654F8">
        <w:rPr>
          <w:spacing w:val="-8"/>
          <w:sz w:val="24"/>
          <w:u w:val="single"/>
        </w:rPr>
        <w:t xml:space="preserve"> </w:t>
      </w:r>
      <w:r w:rsidRPr="00D654F8">
        <w:rPr>
          <w:spacing w:val="-6"/>
          <w:sz w:val="24"/>
          <w:u w:val="single"/>
        </w:rPr>
        <w:t>Burden</w:t>
      </w:r>
    </w:p>
    <w:p w:rsidR="005221FF" w:rsidP="005221FF" w14:paraId="19EA33FF" w14:textId="77777777">
      <w:pPr>
        <w:tabs>
          <w:tab w:val="left" w:pos="656"/>
          <w:tab w:val="left" w:pos="657"/>
        </w:tabs>
        <w:rPr>
          <w:sz w:val="24"/>
        </w:rPr>
      </w:pPr>
    </w:p>
    <w:p w:rsidR="005221FF" w:rsidP="005221FF" w14:paraId="702DFAC3" w14:textId="7F723374">
      <w:pPr>
        <w:tabs>
          <w:tab w:val="left" w:pos="656"/>
          <w:tab w:val="left" w:pos="657"/>
        </w:tabs>
        <w:rPr>
          <w:sz w:val="24"/>
        </w:rPr>
      </w:pPr>
      <w:r>
        <w:rPr>
          <w:sz w:val="24"/>
        </w:rPr>
        <w:t>This is a new collection of information.</w:t>
      </w:r>
    </w:p>
    <w:p w:rsidR="005221FF" w:rsidP="005221FF" w14:paraId="2E3F1651" w14:textId="77777777">
      <w:pPr>
        <w:tabs>
          <w:tab w:val="left" w:pos="656"/>
          <w:tab w:val="left" w:pos="657"/>
        </w:tabs>
        <w:rPr>
          <w:sz w:val="24"/>
        </w:rPr>
      </w:pPr>
    </w:p>
    <w:p w:rsidR="00B5190C" w14:paraId="4A586F25" w14:textId="60941E01">
      <w:pPr>
        <w:pStyle w:val="ListParagraph"/>
        <w:numPr>
          <w:ilvl w:val="0"/>
          <w:numId w:val="1"/>
        </w:numPr>
        <w:tabs>
          <w:tab w:val="left" w:pos="671"/>
          <w:tab w:val="left" w:pos="672"/>
        </w:tabs>
        <w:ind w:left="672" w:hanging="552"/>
        <w:rPr>
          <w:sz w:val="24"/>
        </w:rPr>
      </w:pPr>
      <w:r>
        <w:rPr>
          <w:spacing w:val="-7"/>
          <w:sz w:val="24"/>
          <w:u w:val="single"/>
        </w:rPr>
        <w:t>Pub</w:t>
      </w:r>
      <w:r w:rsidR="00461E5B">
        <w:rPr>
          <w:spacing w:val="-7"/>
          <w:sz w:val="24"/>
          <w:u w:val="single"/>
        </w:rPr>
        <w:t xml:space="preserve">lication </w:t>
      </w:r>
      <w:r w:rsidR="00461E5B">
        <w:rPr>
          <w:spacing w:val="-5"/>
          <w:sz w:val="24"/>
          <w:u w:val="single"/>
        </w:rPr>
        <w:t>or</w:t>
      </w:r>
      <w:r w:rsidR="00461E5B">
        <w:rPr>
          <w:spacing w:val="25"/>
          <w:sz w:val="24"/>
          <w:u w:val="single"/>
        </w:rPr>
        <w:t xml:space="preserve"> </w:t>
      </w:r>
      <w:r w:rsidR="00461E5B">
        <w:rPr>
          <w:spacing w:val="-7"/>
          <w:sz w:val="24"/>
          <w:u w:val="single"/>
        </w:rPr>
        <w:t>Tabulation</w:t>
      </w:r>
    </w:p>
    <w:p w:rsidR="00B5190C" w14:paraId="3DACA95F" w14:textId="77777777">
      <w:pPr>
        <w:pStyle w:val="BodyText"/>
        <w:spacing w:before="2"/>
        <w:rPr>
          <w:sz w:val="16"/>
        </w:rPr>
      </w:pPr>
    </w:p>
    <w:p w:rsidR="00B5190C" w14:paraId="23EA6D91" w14:textId="31C595BC">
      <w:pPr>
        <w:pStyle w:val="BodyText"/>
        <w:spacing w:before="90"/>
        <w:ind w:left="120"/>
      </w:pPr>
      <w:r w:rsidRPr="00B251DF">
        <w:t>There are no plans to publish or tabulate the information collected</w:t>
      </w:r>
      <w:r w:rsidRPr="00B251DF" w:rsidR="006C147E">
        <w:t xml:space="preserve"> due to this information being </w:t>
      </w:r>
      <w:r w:rsidRPr="00B251DF" w:rsidR="006C147E">
        <w:t>confidential.</w:t>
      </w:r>
      <w:r w:rsidR="006C147E">
        <w:t xml:space="preserve"> </w:t>
      </w:r>
      <w:r w:rsidRPr="004E0E09" w:rsidR="004E0E09">
        <w:t xml:space="preserve"> CMS will </w:t>
      </w:r>
      <w:r w:rsidR="00741285">
        <w:t xml:space="preserve">periodically </w:t>
      </w:r>
      <w:r w:rsidRPr="004E0E09" w:rsidR="004E0E09">
        <w:t>publish summary level information on the demonstration such as the number of prior auth</w:t>
      </w:r>
      <w:r w:rsidR="00741285">
        <w:t>orization</w:t>
      </w:r>
      <w:r w:rsidRPr="004E0E09" w:rsidR="004E0E09">
        <w:t xml:space="preserve"> requests submitted, </w:t>
      </w:r>
      <w:r w:rsidR="00741285">
        <w:t xml:space="preserve">number of requests </w:t>
      </w:r>
      <w:r w:rsidRPr="004E0E09" w:rsidR="004E0E09">
        <w:t xml:space="preserve">affirmed, </w:t>
      </w:r>
      <w:r w:rsidR="00741285">
        <w:t xml:space="preserve">number of requests </w:t>
      </w:r>
      <w:r w:rsidRPr="004E0E09" w:rsidR="004E0E09">
        <w:t>non-affirmed, etc.</w:t>
      </w:r>
      <w:r>
        <w:rPr>
          <w:rStyle w:val="FootnoteReference"/>
        </w:rPr>
        <w:footnoteReference w:id="6"/>
      </w:r>
    </w:p>
    <w:p w:rsidR="00B5190C" w14:paraId="737A1529" w14:textId="50D1A0E3">
      <w:pPr>
        <w:pStyle w:val="BodyText"/>
        <w:rPr>
          <w:sz w:val="28"/>
        </w:rPr>
      </w:pPr>
    </w:p>
    <w:p w:rsidR="00B5190C" w14:paraId="2D8ABCA8" w14:textId="77777777">
      <w:pPr>
        <w:pStyle w:val="ListParagraph"/>
        <w:numPr>
          <w:ilvl w:val="0"/>
          <w:numId w:val="1"/>
        </w:numPr>
        <w:tabs>
          <w:tab w:val="left" w:pos="528"/>
        </w:tabs>
        <w:ind w:left="528" w:hanging="408"/>
        <w:rPr>
          <w:sz w:val="24"/>
        </w:rPr>
      </w:pPr>
      <w:r>
        <w:rPr>
          <w:spacing w:val="19"/>
          <w:sz w:val="24"/>
          <w:u w:val="single"/>
        </w:rPr>
        <w:t xml:space="preserve"> </w:t>
      </w:r>
      <w:r>
        <w:rPr>
          <w:spacing w:val="-8"/>
          <w:sz w:val="24"/>
          <w:u w:val="single"/>
        </w:rPr>
        <w:t>Expiration</w:t>
      </w:r>
      <w:r>
        <w:rPr>
          <w:spacing w:val="11"/>
          <w:sz w:val="24"/>
          <w:u w:val="single"/>
        </w:rPr>
        <w:t xml:space="preserve"> </w:t>
      </w:r>
      <w:r>
        <w:rPr>
          <w:sz w:val="24"/>
          <w:u w:val="single"/>
        </w:rPr>
        <w:t>Date</w:t>
      </w:r>
    </w:p>
    <w:p w:rsidR="00AB5720" w:rsidP="00B54A66" w14:paraId="7C125BAF" w14:textId="6385302B">
      <w:pPr>
        <w:spacing w:before="66"/>
      </w:pPr>
    </w:p>
    <w:p w:rsidR="00B5190C" w:rsidP="00B54A66" w14:paraId="0F0C4D27" w14:textId="75A697A5">
      <w:pPr>
        <w:spacing w:before="66"/>
        <w:ind w:left="120"/>
        <w:rPr>
          <w:rFonts w:ascii="Calibri"/>
          <w:sz w:val="20"/>
        </w:rPr>
      </w:pPr>
      <w:r w:rsidRPr="00B54A66">
        <w:rPr>
          <w:sz w:val="24"/>
          <w:szCs w:val="24"/>
        </w:rPr>
        <w:t xml:space="preserve">Each instrument displays the expiration date and OMB control number on the first page, top right corner. </w:t>
      </w:r>
    </w:p>
    <w:sectPr>
      <w:footerReference w:type="default" r:id="rId9"/>
      <w:pgSz w:w="12240" w:h="15840"/>
      <w:pgMar w:top="1500" w:right="1200" w:bottom="1260" w:left="1200" w:header="0" w:footer="10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BA8" w14:paraId="25265D7B" w14:textId="6CF0012D">
    <w:pPr>
      <w:pStyle w:val="Footer"/>
      <w:jc w:val="right"/>
    </w:pPr>
    <w:sdt>
      <w:sdtPr>
        <w:id w:val="10296064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6798E">
          <w:rPr>
            <w:noProof/>
          </w:rPr>
          <w:t>1</w:t>
        </w:r>
        <w:r>
          <w:rPr>
            <w:noProof/>
          </w:rPr>
          <w:fldChar w:fldCharType="end"/>
        </w:r>
      </w:sdtContent>
    </w:sdt>
  </w:p>
  <w:p w:rsidR="00B5190C" w14:paraId="2C766295" w14:textId="5E59FB0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3071" w14:paraId="1A45AB0D" w14:textId="77777777">
      <w:r>
        <w:separator/>
      </w:r>
    </w:p>
  </w:footnote>
  <w:footnote w:type="continuationSeparator" w:id="1">
    <w:p w:rsidR="00BE3071" w14:paraId="45837315" w14:textId="77777777">
      <w:r>
        <w:continuationSeparator/>
      </w:r>
    </w:p>
  </w:footnote>
  <w:footnote w:type="continuationNotice" w:id="2">
    <w:p w:rsidR="00BE3071" w14:paraId="3B2A0F2F" w14:textId="77777777"/>
  </w:footnote>
  <w:footnote w:id="3">
    <w:p w:rsidR="000210C9" w:rsidP="000210C9" w14:paraId="625404D3" w14:textId="77777777">
      <w:pPr>
        <w:pStyle w:val="FootnoteText"/>
      </w:pPr>
      <w:r>
        <w:rPr>
          <w:rStyle w:val="FootnoteReference"/>
        </w:rPr>
        <w:footnoteRef/>
      </w:r>
      <w:r>
        <w:t xml:space="preserve"> </w:t>
      </w:r>
      <w:r w:rsidRPr="00457B67">
        <w:rPr>
          <w:rFonts w:ascii="Times New Roman" w:hAnsi="Times New Roman"/>
        </w:rPr>
        <w:t>The states included in this demonstration are California, Florida, Texas, Arizona, Ohio, Tennessee, Pennsylvania, Maryland, Georgia, and New York.</w:t>
      </w:r>
    </w:p>
  </w:footnote>
  <w:footnote w:id="4">
    <w:p w:rsidR="009F1052" w:rsidRPr="00C46509" w:rsidP="009F1052" w14:paraId="2EED2689" w14:textId="42BD2187">
      <w:pPr>
        <w:spacing w:before="66"/>
        <w:ind w:left="120"/>
        <w:rPr>
          <w:sz w:val="20"/>
          <w:szCs w:val="20"/>
        </w:rPr>
      </w:pPr>
      <w:r w:rsidRPr="00C46509">
        <w:rPr>
          <w:rStyle w:val="FootnoteReference"/>
          <w:sz w:val="20"/>
          <w:szCs w:val="20"/>
        </w:rPr>
        <w:footnoteRef/>
      </w:r>
      <w:r w:rsidRPr="00C46509">
        <w:rPr>
          <w:sz w:val="20"/>
          <w:szCs w:val="20"/>
        </w:rPr>
        <w:t xml:space="preserve"> </w:t>
      </w:r>
      <w:hyperlink r:id="rId1">
        <w:r w:rsidRPr="00C46509" w:rsidR="00B6798E">
          <w:rPr>
            <w:sz w:val="20"/>
            <w:szCs w:val="20"/>
          </w:rPr>
          <w:t>http://www.cms.gov/esMD</w:t>
        </w:r>
      </w:hyperlink>
    </w:p>
    <w:p w:rsidR="009F1052" w14:paraId="2EFFE6F8" w14:textId="77777777">
      <w:pPr>
        <w:pStyle w:val="FootnoteText"/>
      </w:pPr>
    </w:p>
  </w:footnote>
  <w:footnote w:id="5">
    <w:p w:rsidR="0080181C" w:rsidRPr="0080181C" w14:paraId="46A0451C" w14:textId="58597B50">
      <w:pPr>
        <w:pStyle w:val="FootnoteText"/>
        <w:rPr>
          <w:rFonts w:ascii="Times New Roman" w:hAnsi="Times New Roman"/>
        </w:rPr>
      </w:pPr>
      <w:r w:rsidRPr="0080181C">
        <w:rPr>
          <w:rStyle w:val="FootnoteReference"/>
          <w:rFonts w:ascii="Times New Roman" w:hAnsi="Times New Roman"/>
        </w:rPr>
        <w:footnoteRef/>
      </w:r>
      <w:r w:rsidRPr="0080181C">
        <w:rPr>
          <w:rFonts w:ascii="Times New Roman" w:hAnsi="Times New Roman"/>
        </w:rPr>
        <w:t xml:space="preserve"> </w:t>
      </w:r>
      <w:r w:rsidRPr="008B0AE7" w:rsidR="008B0AE7">
        <w:rPr>
          <w:rFonts w:ascii="Times New Roman" w:hAnsi="Times New Roman"/>
        </w:rPr>
        <w:t>https://www.bls.gov/oes/tables.htm</w:t>
      </w:r>
    </w:p>
  </w:footnote>
  <w:footnote w:id="6">
    <w:p w:rsidR="00E5116B" w:rsidRPr="004F6DAE" w14:paraId="040E08CB" w14:textId="7C04E84A">
      <w:pPr>
        <w:pStyle w:val="FootnoteText"/>
        <w:rPr>
          <w:rFonts w:ascii="Times New Roman" w:hAnsi="Times New Roman"/>
        </w:rPr>
      </w:pPr>
      <w:r w:rsidRPr="004F6DAE">
        <w:rPr>
          <w:rStyle w:val="FootnoteReference"/>
          <w:rFonts w:ascii="Times New Roman" w:hAnsi="Times New Roman"/>
        </w:rPr>
        <w:footnoteRef/>
      </w:r>
      <w:r w:rsidRPr="004F6DAE">
        <w:rPr>
          <w:rFonts w:ascii="Times New Roman" w:hAnsi="Times New Roman"/>
        </w:rPr>
        <w:t xml:space="preserve"> </w:t>
      </w:r>
      <w:hyperlink r:id="rId2" w:history="1">
        <w:r w:rsidRPr="004F6DAE">
          <w:rPr>
            <w:rStyle w:val="Hyperlink"/>
            <w:rFonts w:ascii="Times New Roman" w:hAnsi="Times New Roman"/>
          </w:rPr>
          <w:t>https://www.cms.gov/data-research/monitoring-programs/medicare-fee-service-compliance-programs/prior-authorization-and-pre-claim-review-initiatives</w:t>
        </w:r>
      </w:hyperlink>
      <w:r>
        <w:rPr>
          <w:rFonts w:ascii="Times New Roman" w:hAnsi="Times New Roman"/>
        </w:rPr>
        <w:t xml:space="preserve"> - Downloads Section - “Prior Authorization and Pre-Claim Review Program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143B87"/>
    <w:multiLevelType w:val="hybridMultilevel"/>
    <w:tmpl w:val="BE38F7CC"/>
    <w:lvl w:ilvl="0">
      <w:start w:val="1"/>
      <w:numFmt w:val="decimal"/>
      <w:lvlText w:val="%1."/>
      <w:lvlJc w:val="left"/>
      <w:pPr>
        <w:ind w:left="570" w:hanging="450"/>
      </w:pPr>
      <w:rPr>
        <w:rFonts w:ascii="Times New Roman" w:eastAsia="Times New Roman" w:hAnsi="Times New Roman" w:cs="Times New Roman" w:hint="default"/>
        <w:spacing w:val="-9"/>
        <w:w w:val="99"/>
        <w:sz w:val="24"/>
        <w:szCs w:val="24"/>
      </w:rPr>
    </w:lvl>
    <w:lvl w:ilvl="1">
      <w:start w:val="0"/>
      <w:numFmt w:val="bullet"/>
      <w:lvlText w:val="•"/>
      <w:lvlJc w:val="left"/>
      <w:pPr>
        <w:ind w:left="1506" w:hanging="450"/>
      </w:pPr>
      <w:rPr>
        <w:rFonts w:hint="default"/>
      </w:rPr>
    </w:lvl>
    <w:lvl w:ilvl="2">
      <w:start w:val="0"/>
      <w:numFmt w:val="bullet"/>
      <w:lvlText w:val="•"/>
      <w:lvlJc w:val="left"/>
      <w:pPr>
        <w:ind w:left="2432" w:hanging="450"/>
      </w:pPr>
      <w:rPr>
        <w:rFonts w:hint="default"/>
      </w:rPr>
    </w:lvl>
    <w:lvl w:ilvl="3">
      <w:start w:val="0"/>
      <w:numFmt w:val="bullet"/>
      <w:lvlText w:val="•"/>
      <w:lvlJc w:val="left"/>
      <w:pPr>
        <w:ind w:left="3358" w:hanging="450"/>
      </w:pPr>
      <w:rPr>
        <w:rFonts w:hint="default"/>
      </w:rPr>
    </w:lvl>
    <w:lvl w:ilvl="4">
      <w:start w:val="0"/>
      <w:numFmt w:val="bullet"/>
      <w:lvlText w:val="•"/>
      <w:lvlJc w:val="left"/>
      <w:pPr>
        <w:ind w:left="4284" w:hanging="450"/>
      </w:pPr>
      <w:rPr>
        <w:rFonts w:hint="default"/>
      </w:rPr>
    </w:lvl>
    <w:lvl w:ilvl="5">
      <w:start w:val="0"/>
      <w:numFmt w:val="bullet"/>
      <w:lvlText w:val="•"/>
      <w:lvlJc w:val="left"/>
      <w:pPr>
        <w:ind w:left="5210" w:hanging="450"/>
      </w:pPr>
      <w:rPr>
        <w:rFonts w:hint="default"/>
      </w:rPr>
    </w:lvl>
    <w:lvl w:ilvl="6">
      <w:start w:val="0"/>
      <w:numFmt w:val="bullet"/>
      <w:lvlText w:val="•"/>
      <w:lvlJc w:val="left"/>
      <w:pPr>
        <w:ind w:left="6136" w:hanging="450"/>
      </w:pPr>
      <w:rPr>
        <w:rFonts w:hint="default"/>
      </w:rPr>
    </w:lvl>
    <w:lvl w:ilvl="7">
      <w:start w:val="0"/>
      <w:numFmt w:val="bullet"/>
      <w:lvlText w:val="•"/>
      <w:lvlJc w:val="left"/>
      <w:pPr>
        <w:ind w:left="7062" w:hanging="450"/>
      </w:pPr>
      <w:rPr>
        <w:rFonts w:hint="default"/>
      </w:rPr>
    </w:lvl>
    <w:lvl w:ilvl="8">
      <w:start w:val="0"/>
      <w:numFmt w:val="bullet"/>
      <w:lvlText w:val="•"/>
      <w:lvlJc w:val="left"/>
      <w:pPr>
        <w:ind w:left="7988" w:hanging="450"/>
      </w:pPr>
      <w:rPr>
        <w:rFonts w:hint="default"/>
      </w:rPr>
    </w:lvl>
  </w:abstractNum>
  <w:abstractNum w:abstractNumId="1">
    <w:nsid w:val="55184231"/>
    <w:multiLevelType w:val="hybridMultilevel"/>
    <w:tmpl w:val="8E76F1CE"/>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
    <w:nsid w:val="5F5628BC"/>
    <w:multiLevelType w:val="hybridMultilevel"/>
    <w:tmpl w:val="03007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740381">
    <w:abstractNumId w:val="0"/>
  </w:num>
  <w:num w:numId="2" w16cid:durableId="366949921">
    <w:abstractNumId w:val="2"/>
  </w:num>
  <w:num w:numId="3" w16cid:durableId="12296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0C"/>
    <w:rsid w:val="00000F8B"/>
    <w:rsid w:val="000048AA"/>
    <w:rsid w:val="000076AB"/>
    <w:rsid w:val="00012E8C"/>
    <w:rsid w:val="00015814"/>
    <w:rsid w:val="00016996"/>
    <w:rsid w:val="00017968"/>
    <w:rsid w:val="000210C9"/>
    <w:rsid w:val="00024953"/>
    <w:rsid w:val="000252F7"/>
    <w:rsid w:val="000267E6"/>
    <w:rsid w:val="00026F19"/>
    <w:rsid w:val="00036F2F"/>
    <w:rsid w:val="00040932"/>
    <w:rsid w:val="00041172"/>
    <w:rsid w:val="00041B98"/>
    <w:rsid w:val="00044A18"/>
    <w:rsid w:val="0004573C"/>
    <w:rsid w:val="0005275D"/>
    <w:rsid w:val="00054A03"/>
    <w:rsid w:val="00066F7A"/>
    <w:rsid w:val="00070A66"/>
    <w:rsid w:val="00070ACA"/>
    <w:rsid w:val="00074C7E"/>
    <w:rsid w:val="0007679A"/>
    <w:rsid w:val="00077BF2"/>
    <w:rsid w:val="000844C1"/>
    <w:rsid w:val="00085900"/>
    <w:rsid w:val="00096848"/>
    <w:rsid w:val="000977ED"/>
    <w:rsid w:val="000A66ED"/>
    <w:rsid w:val="000A7EB4"/>
    <w:rsid w:val="000B4EE4"/>
    <w:rsid w:val="000C111E"/>
    <w:rsid w:val="000C28B8"/>
    <w:rsid w:val="000C4FD2"/>
    <w:rsid w:val="000D2F43"/>
    <w:rsid w:val="000D64B1"/>
    <w:rsid w:val="000E0EA4"/>
    <w:rsid w:val="000E318B"/>
    <w:rsid w:val="000E340E"/>
    <w:rsid w:val="000F4B74"/>
    <w:rsid w:val="001026C7"/>
    <w:rsid w:val="00102E0F"/>
    <w:rsid w:val="00104D25"/>
    <w:rsid w:val="001101BD"/>
    <w:rsid w:val="001106AA"/>
    <w:rsid w:val="001114AA"/>
    <w:rsid w:val="001153EF"/>
    <w:rsid w:val="0011550B"/>
    <w:rsid w:val="00125A23"/>
    <w:rsid w:val="00127877"/>
    <w:rsid w:val="0013419B"/>
    <w:rsid w:val="00141C42"/>
    <w:rsid w:val="001434F4"/>
    <w:rsid w:val="00144361"/>
    <w:rsid w:val="001545CB"/>
    <w:rsid w:val="00170685"/>
    <w:rsid w:val="00171D13"/>
    <w:rsid w:val="001805B2"/>
    <w:rsid w:val="001805F7"/>
    <w:rsid w:val="001831DB"/>
    <w:rsid w:val="00183F66"/>
    <w:rsid w:val="00190B50"/>
    <w:rsid w:val="0019108A"/>
    <w:rsid w:val="00193566"/>
    <w:rsid w:val="001948C2"/>
    <w:rsid w:val="00197AB3"/>
    <w:rsid w:val="001A793A"/>
    <w:rsid w:val="001B23B8"/>
    <w:rsid w:val="001B4176"/>
    <w:rsid w:val="001B5A78"/>
    <w:rsid w:val="001B5E43"/>
    <w:rsid w:val="001B6089"/>
    <w:rsid w:val="001B7BEE"/>
    <w:rsid w:val="001B7F38"/>
    <w:rsid w:val="001C36B2"/>
    <w:rsid w:val="001C6DE7"/>
    <w:rsid w:val="001E0143"/>
    <w:rsid w:val="001E3921"/>
    <w:rsid w:val="002021F0"/>
    <w:rsid w:val="002048DC"/>
    <w:rsid w:val="0021167A"/>
    <w:rsid w:val="0021213B"/>
    <w:rsid w:val="002178D2"/>
    <w:rsid w:val="002220EE"/>
    <w:rsid w:val="002235A6"/>
    <w:rsid w:val="002248F2"/>
    <w:rsid w:val="0023128C"/>
    <w:rsid w:val="00232B76"/>
    <w:rsid w:val="00232C92"/>
    <w:rsid w:val="00237640"/>
    <w:rsid w:val="00237C50"/>
    <w:rsid w:val="00240CED"/>
    <w:rsid w:val="00242BD7"/>
    <w:rsid w:val="00247DEF"/>
    <w:rsid w:val="00250CC6"/>
    <w:rsid w:val="002540A1"/>
    <w:rsid w:val="00266886"/>
    <w:rsid w:val="0026703D"/>
    <w:rsid w:val="00270045"/>
    <w:rsid w:val="002701EE"/>
    <w:rsid w:val="0027030B"/>
    <w:rsid w:val="00270B59"/>
    <w:rsid w:val="00276D5D"/>
    <w:rsid w:val="0028499C"/>
    <w:rsid w:val="00286B78"/>
    <w:rsid w:val="002901AB"/>
    <w:rsid w:val="0029271E"/>
    <w:rsid w:val="0029580F"/>
    <w:rsid w:val="002A227F"/>
    <w:rsid w:val="002A2EAC"/>
    <w:rsid w:val="002A4415"/>
    <w:rsid w:val="002A5C9B"/>
    <w:rsid w:val="002B064F"/>
    <w:rsid w:val="002B087B"/>
    <w:rsid w:val="002B13B0"/>
    <w:rsid w:val="002B38B4"/>
    <w:rsid w:val="002C1C72"/>
    <w:rsid w:val="002C2310"/>
    <w:rsid w:val="002C2885"/>
    <w:rsid w:val="002C5103"/>
    <w:rsid w:val="002D3549"/>
    <w:rsid w:val="002D6BEF"/>
    <w:rsid w:val="002E0D00"/>
    <w:rsid w:val="002E1C5D"/>
    <w:rsid w:val="002F1AB7"/>
    <w:rsid w:val="002F1D1B"/>
    <w:rsid w:val="002F2059"/>
    <w:rsid w:val="002F36D5"/>
    <w:rsid w:val="002F4327"/>
    <w:rsid w:val="00300697"/>
    <w:rsid w:val="0030288C"/>
    <w:rsid w:val="00312FB8"/>
    <w:rsid w:val="003146BF"/>
    <w:rsid w:val="00326DB5"/>
    <w:rsid w:val="0032766F"/>
    <w:rsid w:val="00333907"/>
    <w:rsid w:val="00337871"/>
    <w:rsid w:val="003425A1"/>
    <w:rsid w:val="00343E41"/>
    <w:rsid w:val="00343F15"/>
    <w:rsid w:val="003452E6"/>
    <w:rsid w:val="003465C0"/>
    <w:rsid w:val="00347B0A"/>
    <w:rsid w:val="00352587"/>
    <w:rsid w:val="00364791"/>
    <w:rsid w:val="00367A2A"/>
    <w:rsid w:val="0037453A"/>
    <w:rsid w:val="00374985"/>
    <w:rsid w:val="00382B1E"/>
    <w:rsid w:val="00383B32"/>
    <w:rsid w:val="00383BA8"/>
    <w:rsid w:val="00385D73"/>
    <w:rsid w:val="003866A3"/>
    <w:rsid w:val="00392898"/>
    <w:rsid w:val="00393A24"/>
    <w:rsid w:val="00393F52"/>
    <w:rsid w:val="003A00AA"/>
    <w:rsid w:val="003A011C"/>
    <w:rsid w:val="003A250D"/>
    <w:rsid w:val="003A25DD"/>
    <w:rsid w:val="003A6404"/>
    <w:rsid w:val="003D031F"/>
    <w:rsid w:val="003D5894"/>
    <w:rsid w:val="003E6685"/>
    <w:rsid w:val="003E6A18"/>
    <w:rsid w:val="003E7AA2"/>
    <w:rsid w:val="003F2BF4"/>
    <w:rsid w:val="003F6D68"/>
    <w:rsid w:val="0040095A"/>
    <w:rsid w:val="00400F68"/>
    <w:rsid w:val="00402BF2"/>
    <w:rsid w:val="0040497C"/>
    <w:rsid w:val="00404C6E"/>
    <w:rsid w:val="0041329F"/>
    <w:rsid w:val="0042482E"/>
    <w:rsid w:val="0042769D"/>
    <w:rsid w:val="00434916"/>
    <w:rsid w:val="004356A4"/>
    <w:rsid w:val="004402D8"/>
    <w:rsid w:val="00440AF3"/>
    <w:rsid w:val="00450819"/>
    <w:rsid w:val="00456904"/>
    <w:rsid w:val="00457B67"/>
    <w:rsid w:val="00461E5B"/>
    <w:rsid w:val="004629EF"/>
    <w:rsid w:val="00462F60"/>
    <w:rsid w:val="00470271"/>
    <w:rsid w:val="004726A1"/>
    <w:rsid w:val="00474EC0"/>
    <w:rsid w:val="004800CB"/>
    <w:rsid w:val="00480333"/>
    <w:rsid w:val="00483EE9"/>
    <w:rsid w:val="00487056"/>
    <w:rsid w:val="00491417"/>
    <w:rsid w:val="004A05FA"/>
    <w:rsid w:val="004A1024"/>
    <w:rsid w:val="004A5DC3"/>
    <w:rsid w:val="004A677B"/>
    <w:rsid w:val="004B0F99"/>
    <w:rsid w:val="004B359B"/>
    <w:rsid w:val="004B4E25"/>
    <w:rsid w:val="004C1A19"/>
    <w:rsid w:val="004D0DE2"/>
    <w:rsid w:val="004D459A"/>
    <w:rsid w:val="004D5203"/>
    <w:rsid w:val="004D5D51"/>
    <w:rsid w:val="004D710E"/>
    <w:rsid w:val="004E0E09"/>
    <w:rsid w:val="004E4778"/>
    <w:rsid w:val="004F6DAE"/>
    <w:rsid w:val="0050044B"/>
    <w:rsid w:val="0050372F"/>
    <w:rsid w:val="00511728"/>
    <w:rsid w:val="005129AF"/>
    <w:rsid w:val="00513A0F"/>
    <w:rsid w:val="00514703"/>
    <w:rsid w:val="0051657E"/>
    <w:rsid w:val="005221FF"/>
    <w:rsid w:val="0052272D"/>
    <w:rsid w:val="00522810"/>
    <w:rsid w:val="0053472B"/>
    <w:rsid w:val="00536027"/>
    <w:rsid w:val="00536320"/>
    <w:rsid w:val="00556666"/>
    <w:rsid w:val="00570059"/>
    <w:rsid w:val="00576CE9"/>
    <w:rsid w:val="005828D2"/>
    <w:rsid w:val="00582E60"/>
    <w:rsid w:val="0058596B"/>
    <w:rsid w:val="00586035"/>
    <w:rsid w:val="00590EF9"/>
    <w:rsid w:val="0059232E"/>
    <w:rsid w:val="00592BE3"/>
    <w:rsid w:val="005A1CAB"/>
    <w:rsid w:val="005A2EAF"/>
    <w:rsid w:val="005A536F"/>
    <w:rsid w:val="005A5712"/>
    <w:rsid w:val="005A7BC8"/>
    <w:rsid w:val="005B1C80"/>
    <w:rsid w:val="005B4CC1"/>
    <w:rsid w:val="005C5972"/>
    <w:rsid w:val="005D2FFB"/>
    <w:rsid w:val="005D4251"/>
    <w:rsid w:val="005D620B"/>
    <w:rsid w:val="005E13C4"/>
    <w:rsid w:val="005F4492"/>
    <w:rsid w:val="005F56E4"/>
    <w:rsid w:val="005F7051"/>
    <w:rsid w:val="00601ED3"/>
    <w:rsid w:val="006109A7"/>
    <w:rsid w:val="00612B5C"/>
    <w:rsid w:val="00615378"/>
    <w:rsid w:val="006463A7"/>
    <w:rsid w:val="00651BD6"/>
    <w:rsid w:val="00654468"/>
    <w:rsid w:val="00657DE6"/>
    <w:rsid w:val="0066047D"/>
    <w:rsid w:val="00662B73"/>
    <w:rsid w:val="00663ECA"/>
    <w:rsid w:val="00666B43"/>
    <w:rsid w:val="00673774"/>
    <w:rsid w:val="006755AD"/>
    <w:rsid w:val="00677ADB"/>
    <w:rsid w:val="0068216E"/>
    <w:rsid w:val="006839D9"/>
    <w:rsid w:val="006948F1"/>
    <w:rsid w:val="00697320"/>
    <w:rsid w:val="006A0FC1"/>
    <w:rsid w:val="006A2D0D"/>
    <w:rsid w:val="006A5B6E"/>
    <w:rsid w:val="006A65A9"/>
    <w:rsid w:val="006A7696"/>
    <w:rsid w:val="006A7742"/>
    <w:rsid w:val="006B0614"/>
    <w:rsid w:val="006B339F"/>
    <w:rsid w:val="006B79E7"/>
    <w:rsid w:val="006C0008"/>
    <w:rsid w:val="006C147E"/>
    <w:rsid w:val="006C2B91"/>
    <w:rsid w:val="006C37F7"/>
    <w:rsid w:val="006C62C0"/>
    <w:rsid w:val="006D2301"/>
    <w:rsid w:val="006D3C5C"/>
    <w:rsid w:val="006E2441"/>
    <w:rsid w:val="006E2610"/>
    <w:rsid w:val="006F3D1E"/>
    <w:rsid w:val="006F5715"/>
    <w:rsid w:val="0070333D"/>
    <w:rsid w:val="00712BA4"/>
    <w:rsid w:val="00712C20"/>
    <w:rsid w:val="00714B11"/>
    <w:rsid w:val="00715F7C"/>
    <w:rsid w:val="007169C9"/>
    <w:rsid w:val="0071783C"/>
    <w:rsid w:val="0073142E"/>
    <w:rsid w:val="007367FB"/>
    <w:rsid w:val="00736B0B"/>
    <w:rsid w:val="00741285"/>
    <w:rsid w:val="00744A9A"/>
    <w:rsid w:val="00744E5C"/>
    <w:rsid w:val="007461A3"/>
    <w:rsid w:val="00746C22"/>
    <w:rsid w:val="00747071"/>
    <w:rsid w:val="00753C27"/>
    <w:rsid w:val="00754871"/>
    <w:rsid w:val="007548C3"/>
    <w:rsid w:val="007554E4"/>
    <w:rsid w:val="00762D8A"/>
    <w:rsid w:val="00764BDA"/>
    <w:rsid w:val="00764BEC"/>
    <w:rsid w:val="00772E9A"/>
    <w:rsid w:val="00775582"/>
    <w:rsid w:val="0079682E"/>
    <w:rsid w:val="007A0AB6"/>
    <w:rsid w:val="007A0FFA"/>
    <w:rsid w:val="007A1105"/>
    <w:rsid w:val="007A3E9A"/>
    <w:rsid w:val="007A54B4"/>
    <w:rsid w:val="007A56B8"/>
    <w:rsid w:val="007A5CA0"/>
    <w:rsid w:val="007A6C36"/>
    <w:rsid w:val="007A789E"/>
    <w:rsid w:val="007B3E71"/>
    <w:rsid w:val="007C55CE"/>
    <w:rsid w:val="007C6F1D"/>
    <w:rsid w:val="007D1EBD"/>
    <w:rsid w:val="007D52FD"/>
    <w:rsid w:val="007D746A"/>
    <w:rsid w:val="007D7907"/>
    <w:rsid w:val="007E6661"/>
    <w:rsid w:val="007F0519"/>
    <w:rsid w:val="007F253C"/>
    <w:rsid w:val="008009EB"/>
    <w:rsid w:val="008012D6"/>
    <w:rsid w:val="0080181C"/>
    <w:rsid w:val="00810ECF"/>
    <w:rsid w:val="00813A51"/>
    <w:rsid w:val="008154CB"/>
    <w:rsid w:val="0081622E"/>
    <w:rsid w:val="00824444"/>
    <w:rsid w:val="008406F7"/>
    <w:rsid w:val="0084087B"/>
    <w:rsid w:val="00841589"/>
    <w:rsid w:val="00843747"/>
    <w:rsid w:val="0084518C"/>
    <w:rsid w:val="00850DB3"/>
    <w:rsid w:val="00852053"/>
    <w:rsid w:val="00853DCC"/>
    <w:rsid w:val="00856276"/>
    <w:rsid w:val="00863609"/>
    <w:rsid w:val="0086591A"/>
    <w:rsid w:val="00870EA9"/>
    <w:rsid w:val="00873032"/>
    <w:rsid w:val="00873A79"/>
    <w:rsid w:val="00883771"/>
    <w:rsid w:val="0088618F"/>
    <w:rsid w:val="00890EB5"/>
    <w:rsid w:val="00891661"/>
    <w:rsid w:val="008917B4"/>
    <w:rsid w:val="0089252F"/>
    <w:rsid w:val="00892965"/>
    <w:rsid w:val="0089771B"/>
    <w:rsid w:val="008A77D5"/>
    <w:rsid w:val="008A7CE5"/>
    <w:rsid w:val="008B0AE7"/>
    <w:rsid w:val="008B798D"/>
    <w:rsid w:val="008B7A5B"/>
    <w:rsid w:val="008C00F3"/>
    <w:rsid w:val="008C1769"/>
    <w:rsid w:val="008C3C66"/>
    <w:rsid w:val="008C476D"/>
    <w:rsid w:val="008C4F12"/>
    <w:rsid w:val="008C5FC9"/>
    <w:rsid w:val="008D6E6F"/>
    <w:rsid w:val="008E4F12"/>
    <w:rsid w:val="008E6A47"/>
    <w:rsid w:val="008F1C81"/>
    <w:rsid w:val="008F1CE3"/>
    <w:rsid w:val="008F75FB"/>
    <w:rsid w:val="009002E1"/>
    <w:rsid w:val="00902518"/>
    <w:rsid w:val="009117CF"/>
    <w:rsid w:val="009177BF"/>
    <w:rsid w:val="00917F04"/>
    <w:rsid w:val="00920524"/>
    <w:rsid w:val="00925BA7"/>
    <w:rsid w:val="009307CA"/>
    <w:rsid w:val="00930B28"/>
    <w:rsid w:val="0093131E"/>
    <w:rsid w:val="00935AA9"/>
    <w:rsid w:val="00955975"/>
    <w:rsid w:val="00957652"/>
    <w:rsid w:val="00963ABB"/>
    <w:rsid w:val="0096618A"/>
    <w:rsid w:val="009710B5"/>
    <w:rsid w:val="00975005"/>
    <w:rsid w:val="00975B07"/>
    <w:rsid w:val="00976A5A"/>
    <w:rsid w:val="00981832"/>
    <w:rsid w:val="00982A7A"/>
    <w:rsid w:val="009839D2"/>
    <w:rsid w:val="00987094"/>
    <w:rsid w:val="0099338B"/>
    <w:rsid w:val="00995466"/>
    <w:rsid w:val="00996010"/>
    <w:rsid w:val="009A19A7"/>
    <w:rsid w:val="009B2A8B"/>
    <w:rsid w:val="009B462B"/>
    <w:rsid w:val="009B5E9C"/>
    <w:rsid w:val="009B63AD"/>
    <w:rsid w:val="009C213E"/>
    <w:rsid w:val="009C5F3F"/>
    <w:rsid w:val="009D086E"/>
    <w:rsid w:val="009D2C7B"/>
    <w:rsid w:val="009E12FB"/>
    <w:rsid w:val="009E29DD"/>
    <w:rsid w:val="009E6DFB"/>
    <w:rsid w:val="009F0C72"/>
    <w:rsid w:val="009F1052"/>
    <w:rsid w:val="009F4DB0"/>
    <w:rsid w:val="009F5CE6"/>
    <w:rsid w:val="00A06CDF"/>
    <w:rsid w:val="00A13603"/>
    <w:rsid w:val="00A22D19"/>
    <w:rsid w:val="00A30736"/>
    <w:rsid w:val="00A33373"/>
    <w:rsid w:val="00A3412C"/>
    <w:rsid w:val="00A346E0"/>
    <w:rsid w:val="00A36A59"/>
    <w:rsid w:val="00A462FD"/>
    <w:rsid w:val="00A52E12"/>
    <w:rsid w:val="00A53980"/>
    <w:rsid w:val="00A554C8"/>
    <w:rsid w:val="00A5579B"/>
    <w:rsid w:val="00A56E6C"/>
    <w:rsid w:val="00A578FE"/>
    <w:rsid w:val="00A613BE"/>
    <w:rsid w:val="00A62637"/>
    <w:rsid w:val="00A70434"/>
    <w:rsid w:val="00A8152C"/>
    <w:rsid w:val="00A81936"/>
    <w:rsid w:val="00A82102"/>
    <w:rsid w:val="00A849A1"/>
    <w:rsid w:val="00A860CF"/>
    <w:rsid w:val="00A87822"/>
    <w:rsid w:val="00A8797F"/>
    <w:rsid w:val="00A936EC"/>
    <w:rsid w:val="00AA5F81"/>
    <w:rsid w:val="00AB0F10"/>
    <w:rsid w:val="00AB5720"/>
    <w:rsid w:val="00AB7E16"/>
    <w:rsid w:val="00AC0B8B"/>
    <w:rsid w:val="00AC326C"/>
    <w:rsid w:val="00AC5249"/>
    <w:rsid w:val="00AC628A"/>
    <w:rsid w:val="00AD3CA5"/>
    <w:rsid w:val="00AD4CCE"/>
    <w:rsid w:val="00AE0309"/>
    <w:rsid w:val="00AE1044"/>
    <w:rsid w:val="00AE48A0"/>
    <w:rsid w:val="00AE5CB9"/>
    <w:rsid w:val="00AE6814"/>
    <w:rsid w:val="00AF28CA"/>
    <w:rsid w:val="00AF4EEE"/>
    <w:rsid w:val="00B158D8"/>
    <w:rsid w:val="00B22954"/>
    <w:rsid w:val="00B22A6A"/>
    <w:rsid w:val="00B23BC9"/>
    <w:rsid w:val="00B251DF"/>
    <w:rsid w:val="00B254AF"/>
    <w:rsid w:val="00B25589"/>
    <w:rsid w:val="00B26067"/>
    <w:rsid w:val="00B271A8"/>
    <w:rsid w:val="00B3103E"/>
    <w:rsid w:val="00B333D5"/>
    <w:rsid w:val="00B36AC8"/>
    <w:rsid w:val="00B41320"/>
    <w:rsid w:val="00B46E85"/>
    <w:rsid w:val="00B47FC1"/>
    <w:rsid w:val="00B5190C"/>
    <w:rsid w:val="00B51999"/>
    <w:rsid w:val="00B54704"/>
    <w:rsid w:val="00B54A66"/>
    <w:rsid w:val="00B57EB1"/>
    <w:rsid w:val="00B66C0C"/>
    <w:rsid w:val="00B6798E"/>
    <w:rsid w:val="00B67C90"/>
    <w:rsid w:val="00B72EA0"/>
    <w:rsid w:val="00B76E33"/>
    <w:rsid w:val="00B77C12"/>
    <w:rsid w:val="00B82311"/>
    <w:rsid w:val="00B829CF"/>
    <w:rsid w:val="00B84F93"/>
    <w:rsid w:val="00B85521"/>
    <w:rsid w:val="00B877D0"/>
    <w:rsid w:val="00B9332D"/>
    <w:rsid w:val="00BA409F"/>
    <w:rsid w:val="00BA653B"/>
    <w:rsid w:val="00BB114C"/>
    <w:rsid w:val="00BC325F"/>
    <w:rsid w:val="00BC3C09"/>
    <w:rsid w:val="00BC7552"/>
    <w:rsid w:val="00BD0286"/>
    <w:rsid w:val="00BD1DAF"/>
    <w:rsid w:val="00BD3227"/>
    <w:rsid w:val="00BE17EC"/>
    <w:rsid w:val="00BE1EDA"/>
    <w:rsid w:val="00BE3071"/>
    <w:rsid w:val="00BE4FB5"/>
    <w:rsid w:val="00C02948"/>
    <w:rsid w:val="00C05268"/>
    <w:rsid w:val="00C07D09"/>
    <w:rsid w:val="00C14A97"/>
    <w:rsid w:val="00C15B3E"/>
    <w:rsid w:val="00C17DE6"/>
    <w:rsid w:val="00C254A7"/>
    <w:rsid w:val="00C30E87"/>
    <w:rsid w:val="00C35BD3"/>
    <w:rsid w:val="00C35E1F"/>
    <w:rsid w:val="00C4184B"/>
    <w:rsid w:val="00C45E12"/>
    <w:rsid w:val="00C46509"/>
    <w:rsid w:val="00C47F65"/>
    <w:rsid w:val="00C5173B"/>
    <w:rsid w:val="00C52563"/>
    <w:rsid w:val="00C55D20"/>
    <w:rsid w:val="00C57598"/>
    <w:rsid w:val="00C61653"/>
    <w:rsid w:val="00C67296"/>
    <w:rsid w:val="00C742E0"/>
    <w:rsid w:val="00C76A63"/>
    <w:rsid w:val="00C76B0F"/>
    <w:rsid w:val="00C8137E"/>
    <w:rsid w:val="00C823AC"/>
    <w:rsid w:val="00C8509A"/>
    <w:rsid w:val="00C85E07"/>
    <w:rsid w:val="00C900B3"/>
    <w:rsid w:val="00C950AB"/>
    <w:rsid w:val="00C957EF"/>
    <w:rsid w:val="00C95EB8"/>
    <w:rsid w:val="00C96990"/>
    <w:rsid w:val="00C970F3"/>
    <w:rsid w:val="00CA3353"/>
    <w:rsid w:val="00CB40D0"/>
    <w:rsid w:val="00CB65C4"/>
    <w:rsid w:val="00CC089C"/>
    <w:rsid w:val="00CC13D2"/>
    <w:rsid w:val="00CC1E86"/>
    <w:rsid w:val="00CC382C"/>
    <w:rsid w:val="00CC41D7"/>
    <w:rsid w:val="00CC432F"/>
    <w:rsid w:val="00CC5D00"/>
    <w:rsid w:val="00CC6EA2"/>
    <w:rsid w:val="00CD0D68"/>
    <w:rsid w:val="00CD2416"/>
    <w:rsid w:val="00CD350C"/>
    <w:rsid w:val="00CD6997"/>
    <w:rsid w:val="00CE1844"/>
    <w:rsid w:val="00CE2BA9"/>
    <w:rsid w:val="00CE4D62"/>
    <w:rsid w:val="00CE6F4C"/>
    <w:rsid w:val="00CF39F7"/>
    <w:rsid w:val="00CF64EC"/>
    <w:rsid w:val="00CF6B12"/>
    <w:rsid w:val="00D03DA1"/>
    <w:rsid w:val="00D04D51"/>
    <w:rsid w:val="00D06E67"/>
    <w:rsid w:val="00D12B2A"/>
    <w:rsid w:val="00D236BA"/>
    <w:rsid w:val="00D25915"/>
    <w:rsid w:val="00D314E0"/>
    <w:rsid w:val="00D32671"/>
    <w:rsid w:val="00D42D5B"/>
    <w:rsid w:val="00D4309B"/>
    <w:rsid w:val="00D46B41"/>
    <w:rsid w:val="00D501E0"/>
    <w:rsid w:val="00D5071A"/>
    <w:rsid w:val="00D519A2"/>
    <w:rsid w:val="00D524FD"/>
    <w:rsid w:val="00D56F4F"/>
    <w:rsid w:val="00D62384"/>
    <w:rsid w:val="00D62E93"/>
    <w:rsid w:val="00D645AB"/>
    <w:rsid w:val="00D64C0B"/>
    <w:rsid w:val="00D654F8"/>
    <w:rsid w:val="00D7152D"/>
    <w:rsid w:val="00D72118"/>
    <w:rsid w:val="00D72E88"/>
    <w:rsid w:val="00D7317C"/>
    <w:rsid w:val="00D75C2E"/>
    <w:rsid w:val="00D873C3"/>
    <w:rsid w:val="00D87A0B"/>
    <w:rsid w:val="00D87F92"/>
    <w:rsid w:val="00D92664"/>
    <w:rsid w:val="00D92DF8"/>
    <w:rsid w:val="00D96F6D"/>
    <w:rsid w:val="00DC3710"/>
    <w:rsid w:val="00DC52D3"/>
    <w:rsid w:val="00DD0688"/>
    <w:rsid w:val="00DD288C"/>
    <w:rsid w:val="00DD6211"/>
    <w:rsid w:val="00DD6D9B"/>
    <w:rsid w:val="00DD6E7F"/>
    <w:rsid w:val="00DD78D3"/>
    <w:rsid w:val="00DE3439"/>
    <w:rsid w:val="00DE4F64"/>
    <w:rsid w:val="00DE5431"/>
    <w:rsid w:val="00DE69CD"/>
    <w:rsid w:val="00DF0852"/>
    <w:rsid w:val="00DF095D"/>
    <w:rsid w:val="00DF1E07"/>
    <w:rsid w:val="00DF514E"/>
    <w:rsid w:val="00DF7514"/>
    <w:rsid w:val="00E165C6"/>
    <w:rsid w:val="00E1711E"/>
    <w:rsid w:val="00E17AFA"/>
    <w:rsid w:val="00E20306"/>
    <w:rsid w:val="00E23E98"/>
    <w:rsid w:val="00E2468E"/>
    <w:rsid w:val="00E27339"/>
    <w:rsid w:val="00E27A97"/>
    <w:rsid w:val="00E34DFF"/>
    <w:rsid w:val="00E35446"/>
    <w:rsid w:val="00E36FC7"/>
    <w:rsid w:val="00E41EE4"/>
    <w:rsid w:val="00E5116B"/>
    <w:rsid w:val="00E5487A"/>
    <w:rsid w:val="00E638BC"/>
    <w:rsid w:val="00E64646"/>
    <w:rsid w:val="00E66358"/>
    <w:rsid w:val="00E70162"/>
    <w:rsid w:val="00E702E7"/>
    <w:rsid w:val="00E71D38"/>
    <w:rsid w:val="00E75736"/>
    <w:rsid w:val="00E77664"/>
    <w:rsid w:val="00E80562"/>
    <w:rsid w:val="00E83000"/>
    <w:rsid w:val="00E90717"/>
    <w:rsid w:val="00E95DBD"/>
    <w:rsid w:val="00E96A44"/>
    <w:rsid w:val="00EA0AFE"/>
    <w:rsid w:val="00EB0844"/>
    <w:rsid w:val="00EB26CF"/>
    <w:rsid w:val="00EB49CB"/>
    <w:rsid w:val="00EB559D"/>
    <w:rsid w:val="00EB5FB2"/>
    <w:rsid w:val="00EC1B68"/>
    <w:rsid w:val="00EC252C"/>
    <w:rsid w:val="00EC3C65"/>
    <w:rsid w:val="00EC7B4F"/>
    <w:rsid w:val="00ED1924"/>
    <w:rsid w:val="00ED2CE1"/>
    <w:rsid w:val="00EE57B3"/>
    <w:rsid w:val="00EE58FE"/>
    <w:rsid w:val="00EE5F53"/>
    <w:rsid w:val="00EE6E92"/>
    <w:rsid w:val="00EF1D17"/>
    <w:rsid w:val="00EF3734"/>
    <w:rsid w:val="00EF42AA"/>
    <w:rsid w:val="00F0059C"/>
    <w:rsid w:val="00F046A4"/>
    <w:rsid w:val="00F07E65"/>
    <w:rsid w:val="00F13719"/>
    <w:rsid w:val="00F13AC3"/>
    <w:rsid w:val="00F25ADC"/>
    <w:rsid w:val="00F27651"/>
    <w:rsid w:val="00F36767"/>
    <w:rsid w:val="00F368AC"/>
    <w:rsid w:val="00F43F55"/>
    <w:rsid w:val="00F52EF6"/>
    <w:rsid w:val="00F534C5"/>
    <w:rsid w:val="00F562D0"/>
    <w:rsid w:val="00F56911"/>
    <w:rsid w:val="00F56B12"/>
    <w:rsid w:val="00F6081D"/>
    <w:rsid w:val="00F63BD5"/>
    <w:rsid w:val="00F64C2C"/>
    <w:rsid w:val="00F65316"/>
    <w:rsid w:val="00F65AD2"/>
    <w:rsid w:val="00F65D61"/>
    <w:rsid w:val="00F673D0"/>
    <w:rsid w:val="00F743F5"/>
    <w:rsid w:val="00F8017A"/>
    <w:rsid w:val="00F83473"/>
    <w:rsid w:val="00F905FE"/>
    <w:rsid w:val="00F91371"/>
    <w:rsid w:val="00FA009C"/>
    <w:rsid w:val="00FA44D7"/>
    <w:rsid w:val="00FA5B78"/>
    <w:rsid w:val="00FA6EBF"/>
    <w:rsid w:val="00FA7FFC"/>
    <w:rsid w:val="00FC4752"/>
    <w:rsid w:val="00FD2E18"/>
    <w:rsid w:val="00FE09F3"/>
    <w:rsid w:val="00FE4B16"/>
    <w:rsid w:val="00FE4F7F"/>
    <w:rsid w:val="00FF18B7"/>
    <w:rsid w:val="00FF1A41"/>
    <w:rsid w:val="00FF2494"/>
    <w:rsid w:val="00FF3EDF"/>
    <w:rsid w:val="00FF3F7F"/>
    <w:rsid w:val="00FF4A70"/>
    <w:rsid w:val="00FF58E9"/>
    <w:rsid w:val="00FF73D7"/>
  </w:rsids>
  <w:docVars>
    <w:docVar w:name="__Grammarly_42___1" w:val="H4sIAAAAAAAEAKtWcslP9kxRslIyNDayNLEwMzQxNLI0NzE1MrBU0lEKTi0uzszPAykwMq8FABsVBxI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4D8D84"/>
  <w15:docId w15:val="{F18CF9A8-BCDA-41BD-B1BE-FEB4E6D9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5" w:right="276"/>
      <w:jc w:val="center"/>
      <w:outlineLvl w:val="0"/>
    </w:pPr>
    <w:rPr>
      <w:b/>
      <w:bCs/>
      <w:sz w:val="24"/>
      <w:szCs w:val="24"/>
    </w:rPr>
  </w:style>
  <w:style w:type="paragraph" w:styleId="Heading2">
    <w:name w:val="heading 2"/>
    <w:basedOn w:val="Normal"/>
    <w:next w:val="Normal"/>
    <w:link w:val="Heading2Char"/>
    <w:uiPriority w:val="9"/>
    <w:unhideWhenUsed/>
    <w:qFormat/>
    <w:rsid w:val="00FF3E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unhideWhenUsed/>
    <w:qFormat/>
    <w:rsid w:val="00066F7A"/>
    <w:pPr>
      <w:keepNext/>
      <w:keepLines/>
      <w:autoSpaceDE/>
      <w:autoSpaceDN/>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70" w:hanging="536"/>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461E5B"/>
    <w:rPr>
      <w:sz w:val="16"/>
      <w:szCs w:val="16"/>
    </w:rPr>
  </w:style>
  <w:style w:type="paragraph" w:styleId="CommentText">
    <w:name w:val="annotation text"/>
    <w:basedOn w:val="Normal"/>
    <w:link w:val="CommentTextChar"/>
    <w:uiPriority w:val="99"/>
    <w:unhideWhenUsed/>
    <w:rsid w:val="00461E5B"/>
    <w:rPr>
      <w:sz w:val="20"/>
      <w:szCs w:val="20"/>
    </w:rPr>
  </w:style>
  <w:style w:type="character" w:customStyle="1" w:styleId="CommentTextChar">
    <w:name w:val="Comment Text Char"/>
    <w:basedOn w:val="DefaultParagraphFont"/>
    <w:link w:val="CommentText"/>
    <w:uiPriority w:val="99"/>
    <w:rsid w:val="00461E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E5B"/>
    <w:rPr>
      <w:b/>
      <w:bCs/>
    </w:rPr>
  </w:style>
  <w:style w:type="character" w:customStyle="1" w:styleId="CommentSubjectChar">
    <w:name w:val="Comment Subject Char"/>
    <w:basedOn w:val="CommentTextChar"/>
    <w:link w:val="CommentSubject"/>
    <w:uiPriority w:val="99"/>
    <w:semiHidden/>
    <w:rsid w:val="00461E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E5B"/>
    <w:rPr>
      <w:rFonts w:ascii="Segoe UI" w:eastAsia="Times New Roman" w:hAnsi="Segoe UI" w:cs="Segoe UI"/>
      <w:sz w:val="18"/>
      <w:szCs w:val="18"/>
    </w:rPr>
  </w:style>
  <w:style w:type="paragraph" w:styleId="Header">
    <w:name w:val="header"/>
    <w:basedOn w:val="Normal"/>
    <w:link w:val="HeaderChar"/>
    <w:uiPriority w:val="99"/>
    <w:unhideWhenUsed/>
    <w:rsid w:val="008F1C81"/>
    <w:pPr>
      <w:tabs>
        <w:tab w:val="center" w:pos="4680"/>
        <w:tab w:val="right" w:pos="9360"/>
      </w:tabs>
    </w:pPr>
  </w:style>
  <w:style w:type="character" w:customStyle="1" w:styleId="HeaderChar">
    <w:name w:val="Header Char"/>
    <w:basedOn w:val="DefaultParagraphFont"/>
    <w:link w:val="Header"/>
    <w:uiPriority w:val="99"/>
    <w:rsid w:val="008F1C81"/>
    <w:rPr>
      <w:rFonts w:ascii="Times New Roman" w:eastAsia="Times New Roman" w:hAnsi="Times New Roman" w:cs="Times New Roman"/>
    </w:rPr>
  </w:style>
  <w:style w:type="paragraph" w:styleId="Revision">
    <w:name w:val="Revision"/>
    <w:hidden/>
    <w:uiPriority w:val="99"/>
    <w:semiHidden/>
    <w:rsid w:val="008F1C81"/>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44A9A"/>
    <w:rPr>
      <w:color w:val="0000FF" w:themeColor="hyperlink"/>
      <w:u w:val="single"/>
    </w:rPr>
  </w:style>
  <w:style w:type="paragraph" w:styleId="FootnoteText">
    <w:name w:val="footnote text"/>
    <w:aliases w:val="Char18,Char181,Char182,Char183,F1,Footnote Text Char Char,Footnote Text Char Char Char Char,fn,fn1,fn2"/>
    <w:basedOn w:val="Normal"/>
    <w:link w:val="FootnoteTextChar"/>
    <w:uiPriority w:val="99"/>
    <w:qFormat/>
    <w:rsid w:val="008E4F12"/>
    <w:pPr>
      <w:widowControl/>
      <w:autoSpaceDE/>
      <w:autoSpaceDN/>
    </w:pPr>
    <w:rPr>
      <w:rFonts w:ascii="Courier New" w:hAnsi="Courier New"/>
      <w:sz w:val="20"/>
      <w:szCs w:val="20"/>
    </w:rPr>
  </w:style>
  <w:style w:type="character" w:customStyle="1" w:styleId="FootnoteTextChar">
    <w:name w:val="Footnote Text Char"/>
    <w:aliases w:val="Char18 Char,Char181 Char,Char182 Char,Char183 Char,F1 Char,Footnote Text Char Char Char,Footnote Text Char Char Char Char Char,fn Char,fn1 Char,fn2 Char"/>
    <w:basedOn w:val="DefaultParagraphFont"/>
    <w:link w:val="FootnoteText"/>
    <w:uiPriority w:val="99"/>
    <w:rsid w:val="008E4F12"/>
    <w:rPr>
      <w:rFonts w:ascii="Courier New" w:eastAsia="Times New Roman" w:hAnsi="Courier New"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8E4F12"/>
    <w:rPr>
      <w:vertAlign w:val="superscript"/>
    </w:rPr>
  </w:style>
  <w:style w:type="character" w:styleId="FollowedHyperlink">
    <w:name w:val="FollowedHyperlink"/>
    <w:basedOn w:val="DefaultParagraphFont"/>
    <w:uiPriority w:val="99"/>
    <w:semiHidden/>
    <w:unhideWhenUsed/>
    <w:rsid w:val="00AE0309"/>
    <w:rPr>
      <w:color w:val="800080" w:themeColor="followedHyperlink"/>
      <w:u w:val="single"/>
    </w:rPr>
  </w:style>
  <w:style w:type="paragraph" w:styleId="Footer">
    <w:name w:val="footer"/>
    <w:basedOn w:val="Normal"/>
    <w:link w:val="FooterChar"/>
    <w:uiPriority w:val="99"/>
    <w:unhideWhenUsed/>
    <w:rsid w:val="009F1052"/>
    <w:pPr>
      <w:tabs>
        <w:tab w:val="center" w:pos="4680"/>
        <w:tab w:val="right" w:pos="9360"/>
      </w:tabs>
    </w:pPr>
  </w:style>
  <w:style w:type="character" w:customStyle="1" w:styleId="FooterChar">
    <w:name w:val="Footer Char"/>
    <w:basedOn w:val="DefaultParagraphFont"/>
    <w:link w:val="Footer"/>
    <w:uiPriority w:val="99"/>
    <w:rsid w:val="009F1052"/>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F3EDF"/>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D72118"/>
    <w:rPr>
      <w:i/>
      <w:iCs/>
    </w:rPr>
  </w:style>
  <w:style w:type="table" w:customStyle="1" w:styleId="TableGrid">
    <w:name w:val="TableGrid"/>
    <w:rsid w:val="001805B2"/>
    <w:pPr>
      <w:widowControl/>
      <w:autoSpaceDE/>
      <w:autoSpaceDN/>
    </w:pPr>
    <w:rPr>
      <w:rFonts w:eastAsiaTheme="minorEastAsia"/>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2701EE"/>
    <w:rPr>
      <w:sz w:val="20"/>
      <w:szCs w:val="20"/>
    </w:rPr>
  </w:style>
  <w:style w:type="character" w:customStyle="1" w:styleId="EndnoteTextChar">
    <w:name w:val="Endnote Text Char"/>
    <w:basedOn w:val="DefaultParagraphFont"/>
    <w:link w:val="EndnoteText"/>
    <w:uiPriority w:val="99"/>
    <w:semiHidden/>
    <w:rsid w:val="002701E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701EE"/>
    <w:rPr>
      <w:vertAlign w:val="superscript"/>
    </w:rPr>
  </w:style>
  <w:style w:type="character" w:styleId="UnresolvedMention">
    <w:name w:val="Unresolved Mention"/>
    <w:basedOn w:val="DefaultParagraphFont"/>
    <w:uiPriority w:val="99"/>
    <w:semiHidden/>
    <w:unhideWhenUsed/>
    <w:rsid w:val="00E35446"/>
    <w:rPr>
      <w:color w:val="605E5C"/>
      <w:shd w:val="clear" w:color="auto" w:fill="E1DFDD"/>
    </w:rPr>
  </w:style>
  <w:style w:type="table" w:styleId="TableGrid0">
    <w:name w:val="Table Grid"/>
    <w:basedOn w:val="TableNormal"/>
    <w:uiPriority w:val="39"/>
    <w:rsid w:val="00D43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66F7A"/>
    <w:rPr>
      <w:rFonts w:asciiTheme="majorHAnsi" w:eastAsiaTheme="majorEastAsia" w:hAnsiTheme="majorHAnsi" w:cstheme="majorBidi"/>
      <w:color w:val="365F91" w:themeColor="accent1" w:themeShade="BF"/>
    </w:rPr>
  </w:style>
  <w:style w:type="character" w:customStyle="1" w:styleId="BodyTextChar">
    <w:name w:val="Body Text Char"/>
    <w:basedOn w:val="DefaultParagraphFont"/>
    <w:link w:val="BodyText"/>
    <w:uiPriority w:val="1"/>
    <w:rsid w:val="00C823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cms.gov/esMD" TargetMode="External" /><Relationship Id="rId2" Type="http://schemas.openxmlformats.org/officeDocument/2006/relationships/hyperlink" Target="https://www.cms.gov/data-research/monitoring-programs/medicare-fee-service-compliance-programs/prior-authorization-and-pre-claim-review-initiati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1" ma:contentTypeDescription="Create a new document." ma:contentTypeScope="" ma:versionID="3b5190208cb096421cb3749d0f2857b2">
  <xsd:schema xmlns:xsd="http://www.w3.org/2001/XMLSchema" xmlns:xs="http://www.w3.org/2001/XMLSchema" xmlns:p="http://schemas.microsoft.com/office/2006/metadata/properties" xmlns:ns3="d02b7574-298d-4180-bdb3-baf93262dc8f" targetNamespace="http://schemas.microsoft.com/office/2006/metadata/properties" ma:root="true" ma:fieldsID="4b356a1da5869791c30eb5215fd4369f" ns3:_="">
    <xsd:import namespace="d02b7574-298d-4180-bdb3-baf93262dc8f"/>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D610B-2550-4811-8EC8-C0B8098690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460C9-9B69-4851-A57E-A9F1D991A524}">
  <ds:schemaRefs>
    <ds:schemaRef ds:uri="http://schemas.openxmlformats.org/officeDocument/2006/bibliography"/>
  </ds:schemaRefs>
</ds:datastoreItem>
</file>

<file path=customXml/itemProps3.xml><?xml version="1.0" encoding="utf-8"?>
<ds:datastoreItem xmlns:ds="http://schemas.openxmlformats.org/officeDocument/2006/customXml" ds:itemID="{52A5DF31-39B7-43FA-BE7A-C9D8D3C8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015C9-E4A0-4E3A-ACAF-40787D053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Prior Authorization supporting statement PRA package</vt:lpstr>
    </vt:vector>
  </TitlesOfParts>
  <Company>CMS</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supporting statement PRA package</dc:title>
  <dc:creator>Kristal Vines</dc:creator>
  <cp:lastModifiedBy>Carlisle, Justin (CMS/CPI)</cp:lastModifiedBy>
  <cp:revision>3</cp:revision>
  <cp:lastPrinted>2020-11-24T15:52:00Z</cp:lastPrinted>
  <dcterms:created xsi:type="dcterms:W3CDTF">2024-08-02T15:51:00Z</dcterms:created>
  <dcterms:modified xsi:type="dcterms:W3CDTF">2024-08-02T15:52:00Z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2019-07-25T00:00:00Z</vt:filetime>
  </property>
  <property fmtid="{D5CDD505-2E9C-101B-9397-08002B2CF9AE}" pid="4" name="Creator">
    <vt:lpwstr>Microsoft® Word 2016</vt:lpwstr>
  </property>
  <property fmtid="{D5CDD505-2E9C-101B-9397-08002B2CF9AE}" pid="5" name="LastSaved">
    <vt:filetime>2019-08-14T00:00:00Z</vt:filetime>
  </property>
  <property fmtid="{D5CDD505-2E9C-101B-9397-08002B2CF9AE}" pid="6" name="_NewReviewCycle">
    <vt:lpwstr/>
  </property>
</Properties>
</file>