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018A" w:rsidRPr="001A70EF" w:rsidP="008E6518" w14:paraId="0D4A6121" w14:textId="77777777">
      <w:pPr>
        <w:pStyle w:val="Title"/>
      </w:pPr>
      <w:r w:rsidRPr="001A70EF">
        <w:t>Quality Standards – Quality Improvement Strategy Supporting Statement</w:t>
      </w:r>
    </w:p>
    <w:p w:rsidR="008E6518" w:rsidP="008E6518" w14:paraId="158E4D13" w14:textId="507CFD62">
      <w:pPr>
        <w:pStyle w:val="Subtitle"/>
      </w:pPr>
      <w:r>
        <w:t>Supporting Statement for Information Collection: Quality Improvement Strategy Implementation Plan</w:t>
      </w:r>
      <w:r w:rsidR="00F6216B">
        <w:t xml:space="preserve">, </w:t>
      </w:r>
      <w:r>
        <w:t>Progress Report</w:t>
      </w:r>
      <w:r w:rsidR="1E504C95">
        <w:t>,</w:t>
      </w:r>
      <w:r w:rsidR="005E069E">
        <w:t xml:space="preserve"> </w:t>
      </w:r>
      <w:r w:rsidR="00F6216B">
        <w:t>and Modification Summary Supplement</w:t>
      </w:r>
      <w:r w:rsidR="40502676">
        <w:t xml:space="preserve"> </w:t>
      </w:r>
      <w:r w:rsidR="4AF0BE31">
        <w:t>Forms</w:t>
      </w:r>
    </w:p>
    <w:p w:rsidR="008E6518" w:rsidRPr="008E6518" w:rsidP="003A3AD8" w14:paraId="4AC087B2" w14:textId="726AF681">
      <w:pPr>
        <w:jc w:val="center"/>
      </w:pPr>
      <w:r>
        <w:t>(CMS-10540/OMB Control number – 0938-1286)</w:t>
      </w:r>
    </w:p>
    <w:p w:rsidR="008F1EB4" w:rsidRPr="001A70EF" w:rsidP="001A70EF" w14:paraId="48089564" w14:textId="77777777">
      <w:pPr>
        <w:pStyle w:val="Heading2"/>
      </w:pPr>
      <w:r w:rsidRPr="001A70EF">
        <w:t>Background</w:t>
      </w:r>
    </w:p>
    <w:p w:rsidR="00D72985" w:rsidP="00E1018A" w14:paraId="0C5807A8" w14:textId="0432F50F">
      <w:pPr>
        <w:pStyle w:val="BodyText"/>
      </w:pPr>
      <w:r w:rsidRPr="001833E2">
        <w:t>A</w:t>
      </w:r>
      <w:r w:rsidRPr="00D72985">
        <w:rPr>
          <w:rFonts w:eastAsia="Calibri"/>
        </w:rPr>
        <w:t xml:space="preserve"> Qualified Health Plan (QHP)</w:t>
      </w:r>
      <w:r w:rsidR="00403792">
        <w:rPr>
          <w:rFonts w:eastAsia="Calibri"/>
        </w:rPr>
        <w:t xml:space="preserve"> </w:t>
      </w:r>
      <w:r w:rsidRPr="00D72985">
        <w:rPr>
          <w:rFonts w:eastAsia="Calibri"/>
        </w:rPr>
        <w:t xml:space="preserve">issuer participating in </w:t>
      </w:r>
      <w:r w:rsidR="00DC35E0">
        <w:rPr>
          <w:rFonts w:eastAsia="Calibri"/>
        </w:rPr>
        <w:t xml:space="preserve">an Exchange </w:t>
      </w:r>
      <w:r w:rsidRPr="00D72985">
        <w:rPr>
          <w:rFonts w:eastAsia="Calibri"/>
        </w:rPr>
        <w:t>for two or more consecutive years must implement and report on a quality improvement strategy (QIS)</w:t>
      </w:r>
      <w:r w:rsidR="00DA4234">
        <w:rPr>
          <w:rFonts w:eastAsia="Calibri"/>
        </w:rPr>
        <w:t xml:space="preserve"> or strategies</w:t>
      </w:r>
      <w:r w:rsidRPr="00D72985">
        <w:rPr>
          <w:rFonts w:eastAsia="Calibri"/>
        </w:rPr>
        <w:t xml:space="preserve">, in accordance with section 1311(g) of the </w:t>
      </w:r>
      <w:r w:rsidR="002A5F21">
        <w:rPr>
          <w:rFonts w:eastAsia="Calibri"/>
        </w:rPr>
        <w:t xml:space="preserve">Patient Protection and </w:t>
      </w:r>
      <w:r w:rsidRPr="00D72985">
        <w:rPr>
          <w:rFonts w:eastAsia="Calibri"/>
        </w:rPr>
        <w:t>Affordable Care Act</w:t>
      </w:r>
      <w:r w:rsidR="001438BB">
        <w:rPr>
          <w:rFonts w:eastAsia="Calibri"/>
        </w:rPr>
        <w:t xml:space="preserve"> (PPACA)</w:t>
      </w:r>
      <w:r w:rsidRPr="00D72985">
        <w:rPr>
          <w:rFonts w:eastAsia="Calibri"/>
        </w:rPr>
        <w:t>, to cover all its QHPs</w:t>
      </w:r>
      <w:r w:rsidRPr="00D72985">
        <w:rPr>
          <w:rFonts w:eastAsia="Calibri"/>
        </w:rPr>
        <w:t xml:space="preserve">. </w:t>
      </w:r>
      <w:r w:rsidRPr="002525CE">
        <w:t xml:space="preserve">The QIS </w:t>
      </w:r>
      <w:r>
        <w:t xml:space="preserve">requirements </w:t>
      </w:r>
      <w:r w:rsidRPr="002525CE">
        <w:t>appl</w:t>
      </w:r>
      <w:r>
        <w:t>y</w:t>
      </w:r>
      <w:r w:rsidRPr="002525CE">
        <w:t xml:space="preserve"> to all issuers offering QHPs through the individual market</w:t>
      </w:r>
      <w:r w:rsidR="00F34C80">
        <w:t>place</w:t>
      </w:r>
      <w:r w:rsidRPr="002525CE">
        <w:t xml:space="preserve"> or through the Small Business Health Options Program (SHOP).</w:t>
      </w:r>
      <w:r>
        <w:t xml:space="preserve"> All QHP</w:t>
      </w:r>
      <w:r w:rsidRPr="177BD681" w:rsidR="00835445">
        <w:t xml:space="preserve"> </w:t>
      </w:r>
      <w:r>
        <w:t xml:space="preserve">issuers must comply with the following requirements: </w:t>
      </w:r>
    </w:p>
    <w:p w:rsidR="00D72985" w:rsidP="00D72985" w14:paraId="282A61D8" w14:textId="31EFEA1C">
      <w:pPr>
        <w:pStyle w:val="BodyText"/>
        <w:numPr>
          <w:ilvl w:val="0"/>
          <w:numId w:val="13"/>
        </w:numPr>
        <w:spacing w:before="0" w:after="0"/>
      </w:pPr>
      <w:r>
        <w:t>Implement a quality improvement strategy, defined</w:t>
      </w:r>
      <w:r w:rsidR="00914C2C">
        <w:t xml:space="preserve"> </w:t>
      </w:r>
      <w:r>
        <w:t xml:space="preserve">as a payment structure that provides increased reimbursement or other incentives. </w:t>
      </w:r>
    </w:p>
    <w:p w:rsidR="00E41AD5" w:rsidRPr="00E41AD5" w:rsidP="00E41AD5" w14:paraId="313A7545" w14:textId="65C2EFE6">
      <w:pPr>
        <w:pStyle w:val="ListParagraph"/>
        <w:numPr>
          <w:ilvl w:val="0"/>
          <w:numId w:val="13"/>
        </w:numPr>
        <w:rPr>
          <w:sz w:val="24"/>
          <w:szCs w:val="20"/>
        </w:rPr>
      </w:pPr>
      <w:r w:rsidRPr="00E41AD5">
        <w:rPr>
          <w:sz w:val="24"/>
          <w:szCs w:val="20"/>
        </w:rPr>
        <w:t>Implement at least one of the following</w:t>
      </w:r>
      <w:r w:rsidR="002211B2">
        <w:rPr>
          <w:sz w:val="24"/>
          <w:szCs w:val="20"/>
        </w:rPr>
        <w:t>:</w:t>
      </w:r>
      <w:r w:rsidRPr="00E41AD5">
        <w:rPr>
          <w:sz w:val="24"/>
          <w:szCs w:val="20"/>
        </w:rPr>
        <w:t xml:space="preserve"> </w:t>
      </w:r>
    </w:p>
    <w:p w:rsidR="00D72985" w:rsidRPr="005D4608" w:rsidP="00D72985" w14:paraId="5F04940C" w14:textId="0467507E">
      <w:pPr>
        <w:pStyle w:val="BodyText"/>
        <w:numPr>
          <w:ilvl w:val="1"/>
          <w:numId w:val="14"/>
        </w:numPr>
        <w:spacing w:before="0" w:after="0"/>
        <w:ind w:left="1170" w:hanging="180"/>
        <w:rPr>
          <w:szCs w:val="24"/>
        </w:rPr>
      </w:pPr>
      <w:r>
        <w:rPr>
          <w:szCs w:val="24"/>
        </w:rPr>
        <w:t>A</w:t>
      </w:r>
      <w:r w:rsidRPr="005D4608">
        <w:rPr>
          <w:szCs w:val="24"/>
        </w:rPr>
        <w:t>ctivities for improving health outcomes</w:t>
      </w:r>
      <w:r w:rsidR="00D0224C">
        <w:rPr>
          <w:rFonts w:eastAsia="Calibri"/>
          <w:color w:val="000000"/>
          <w:szCs w:val="24"/>
        </w:rPr>
        <w:t>,</w:t>
      </w:r>
      <w:r w:rsidRPr="00D72985">
        <w:rPr>
          <w:rFonts w:eastAsia="Calibri"/>
          <w:color w:val="000000"/>
          <w:szCs w:val="24"/>
        </w:rPr>
        <w:t xml:space="preserve"> </w:t>
      </w:r>
    </w:p>
    <w:p w:rsidR="00D72985" w:rsidRPr="005D4608" w:rsidP="00D72985" w14:paraId="4DB07AFB" w14:textId="03F25B53">
      <w:pPr>
        <w:pStyle w:val="BodyText"/>
        <w:numPr>
          <w:ilvl w:val="1"/>
          <w:numId w:val="14"/>
        </w:numPr>
        <w:spacing w:before="0" w:after="0"/>
        <w:ind w:left="1170" w:hanging="180"/>
        <w:rPr>
          <w:szCs w:val="24"/>
        </w:rPr>
      </w:pPr>
      <w:r>
        <w:rPr>
          <w:szCs w:val="24"/>
        </w:rPr>
        <w:t>A</w:t>
      </w:r>
      <w:r w:rsidRPr="005D4608">
        <w:rPr>
          <w:szCs w:val="24"/>
        </w:rPr>
        <w:t>ctivities to prevent hospital readmissions</w:t>
      </w:r>
      <w:r w:rsidR="00D0224C">
        <w:rPr>
          <w:rFonts w:eastAsia="Calibri"/>
          <w:color w:val="000000"/>
          <w:szCs w:val="24"/>
        </w:rPr>
        <w:t>,</w:t>
      </w:r>
      <w:r w:rsidRPr="00D72985">
        <w:rPr>
          <w:rFonts w:eastAsia="Calibri"/>
          <w:color w:val="000000"/>
          <w:szCs w:val="24"/>
        </w:rPr>
        <w:t xml:space="preserve"> </w:t>
      </w:r>
    </w:p>
    <w:p w:rsidR="00D72985" w:rsidRPr="005D4608" w:rsidP="00D72985" w14:paraId="066ADB3C" w14:textId="7F5EA3C1">
      <w:pPr>
        <w:pStyle w:val="BodyText"/>
        <w:numPr>
          <w:ilvl w:val="1"/>
          <w:numId w:val="14"/>
        </w:numPr>
        <w:spacing w:before="0" w:after="0"/>
        <w:ind w:left="1170" w:hanging="180"/>
        <w:rPr>
          <w:szCs w:val="24"/>
        </w:rPr>
      </w:pPr>
      <w:r>
        <w:rPr>
          <w:szCs w:val="24"/>
        </w:rPr>
        <w:t>A</w:t>
      </w:r>
      <w:r w:rsidRPr="005D4608">
        <w:rPr>
          <w:szCs w:val="24"/>
        </w:rPr>
        <w:t>ctivities to improve patient safety and reduce medical errors</w:t>
      </w:r>
      <w:r w:rsidR="00D0224C">
        <w:rPr>
          <w:rFonts w:eastAsia="Calibri"/>
          <w:color w:val="000000"/>
          <w:szCs w:val="24"/>
        </w:rPr>
        <w:t>,</w:t>
      </w:r>
      <w:r w:rsidRPr="00D72985">
        <w:rPr>
          <w:rFonts w:eastAsia="Calibri"/>
          <w:color w:val="000000"/>
          <w:szCs w:val="24"/>
        </w:rPr>
        <w:t xml:space="preserve"> </w:t>
      </w:r>
      <w:r w:rsidR="00E41AD5">
        <w:rPr>
          <w:rFonts w:eastAsia="Calibri"/>
          <w:color w:val="000000"/>
          <w:szCs w:val="24"/>
        </w:rPr>
        <w:t>and/or</w:t>
      </w:r>
    </w:p>
    <w:p w:rsidR="00D72985" w:rsidRPr="005D4608" w:rsidP="00D72985" w14:paraId="4C693D6D" w14:textId="138A5B04">
      <w:pPr>
        <w:pStyle w:val="BodyText"/>
        <w:numPr>
          <w:ilvl w:val="1"/>
          <w:numId w:val="14"/>
        </w:numPr>
        <w:spacing w:before="0" w:after="0"/>
        <w:ind w:left="1170" w:hanging="180"/>
        <w:rPr>
          <w:szCs w:val="24"/>
        </w:rPr>
      </w:pPr>
      <w:r>
        <w:rPr>
          <w:szCs w:val="24"/>
        </w:rPr>
        <w:t>W</w:t>
      </w:r>
      <w:r w:rsidRPr="005D4608">
        <w:rPr>
          <w:szCs w:val="24"/>
        </w:rPr>
        <w:t>ellness and health promotion activities</w:t>
      </w:r>
      <w:r w:rsidR="00E41AD5">
        <w:rPr>
          <w:rFonts w:eastAsia="Calibri"/>
          <w:color w:val="000000"/>
          <w:szCs w:val="24"/>
        </w:rPr>
        <w:t>.</w:t>
      </w:r>
    </w:p>
    <w:p w:rsidR="002211B2" w:rsidP="00D72985" w14:paraId="0C50BC1A" w14:textId="64552982">
      <w:pPr>
        <w:pStyle w:val="BodyText"/>
        <w:numPr>
          <w:ilvl w:val="0"/>
          <w:numId w:val="13"/>
        </w:numPr>
        <w:spacing w:before="0" w:after="0"/>
      </w:pPr>
      <w:r>
        <w:t>Implement at least one QIS that includes activities to reduce health and health care disparities</w:t>
      </w:r>
      <w:r w:rsidR="00275C1E">
        <w:t>.</w:t>
      </w:r>
      <w:r>
        <w:rPr>
          <w:rStyle w:val="FootnoteReference"/>
        </w:rPr>
        <w:footnoteReference w:id="3"/>
      </w:r>
    </w:p>
    <w:p w:rsidR="00D72985" w:rsidRPr="00FB1F65" w:rsidP="00D72985" w14:paraId="7CB1F9FC" w14:textId="2B9B9FDD">
      <w:pPr>
        <w:pStyle w:val="BodyText"/>
        <w:numPr>
          <w:ilvl w:val="0"/>
          <w:numId w:val="13"/>
        </w:numPr>
        <w:spacing w:before="0" w:after="0"/>
      </w:pPr>
      <w:r>
        <w:t>Comply with guidelines established by the Secretary of Health and Human Services (HHS) in consultation with experts in health care quality and stakeholders.</w:t>
      </w:r>
    </w:p>
    <w:p w:rsidR="00D72985" w:rsidRPr="00D72985" w:rsidP="00D72985" w14:paraId="52D04556" w14:textId="59964F53">
      <w:pPr>
        <w:pStyle w:val="BodyText"/>
        <w:numPr>
          <w:ilvl w:val="0"/>
          <w:numId w:val="13"/>
        </w:numPr>
        <w:spacing w:before="0" w:after="0"/>
        <w:rPr>
          <w:rFonts w:eastAsia="Calibri"/>
        </w:rPr>
      </w:pPr>
      <w:r>
        <w:t xml:space="preserve">Report strategy progress to the applicable </w:t>
      </w:r>
      <w:r w:rsidR="2E594549">
        <w:t xml:space="preserve">Exchanges </w:t>
      </w:r>
      <w:r>
        <w:t>on a periodic basis.</w:t>
      </w:r>
    </w:p>
    <w:p w:rsidR="007C006C" w:rsidRPr="00BC10CF" w:rsidP="00BB09D0" w14:paraId="1B00D9C6" w14:textId="0A28AACF">
      <w:pPr>
        <w:pStyle w:val="BodyText"/>
      </w:pPr>
      <w:r w:rsidRPr="00D72985">
        <w:rPr>
          <w:rFonts w:eastAsia="Calibri"/>
        </w:rPr>
        <w:t xml:space="preserve">All </w:t>
      </w:r>
      <w:r w:rsidR="00AC772D">
        <w:rPr>
          <w:rFonts w:eastAsia="Calibri"/>
        </w:rPr>
        <w:t>Exchanges</w:t>
      </w:r>
      <w:r w:rsidRPr="00D72985" w:rsidR="00AC772D">
        <w:rPr>
          <w:rFonts w:eastAsia="Calibri"/>
        </w:rPr>
        <w:t xml:space="preserve"> </w:t>
      </w:r>
      <w:r w:rsidRPr="00D72985">
        <w:rPr>
          <w:rFonts w:eastAsia="Calibri"/>
        </w:rPr>
        <w:t xml:space="preserve">are required to evaluate quality improvement strategies for issuer applicants. State-based </w:t>
      </w:r>
      <w:r w:rsidR="00AC772D">
        <w:rPr>
          <w:rFonts w:eastAsia="Calibri"/>
        </w:rPr>
        <w:t>Exchanges</w:t>
      </w:r>
      <w:r w:rsidRPr="00D72985" w:rsidR="00AC772D">
        <w:rPr>
          <w:rFonts w:eastAsia="Calibri"/>
        </w:rPr>
        <w:t xml:space="preserve"> </w:t>
      </w:r>
      <w:r w:rsidRPr="00D72985">
        <w:rPr>
          <w:rFonts w:eastAsia="Calibri"/>
        </w:rPr>
        <w:t>(</w:t>
      </w:r>
      <w:r w:rsidRPr="00D72985" w:rsidR="00AC772D">
        <w:rPr>
          <w:rFonts w:eastAsia="Calibri"/>
        </w:rPr>
        <w:t>SB</w:t>
      </w:r>
      <w:r w:rsidR="00AC772D">
        <w:rPr>
          <w:rFonts w:eastAsia="Calibri"/>
        </w:rPr>
        <w:t>E</w:t>
      </w:r>
      <w:r w:rsidRPr="00D72985" w:rsidR="00AC772D">
        <w:rPr>
          <w:rFonts w:eastAsia="Calibri"/>
        </w:rPr>
        <w:t>s</w:t>
      </w:r>
      <w:r w:rsidRPr="00D72985">
        <w:rPr>
          <w:rFonts w:eastAsia="Calibri"/>
        </w:rPr>
        <w:t>)</w:t>
      </w:r>
      <w:r w:rsidRPr="00A40F7C" w:rsidR="001E1A58">
        <w:rPr>
          <w:rStyle w:val="FootnoteReference"/>
        </w:rPr>
        <w:t xml:space="preserve"> </w:t>
      </w:r>
      <w:r>
        <w:rPr>
          <w:rStyle w:val="FootnoteReference"/>
        </w:rPr>
        <w:footnoteReference w:id="4"/>
      </w:r>
      <w:r w:rsidRPr="00D72985">
        <w:rPr>
          <w:rFonts w:eastAsia="Calibri"/>
        </w:rPr>
        <w:t xml:space="preserve"> will evaluate the strategies of the issuers applying to offer QHPs in their respective </w:t>
      </w:r>
      <w:r w:rsidR="00AC772D">
        <w:rPr>
          <w:rFonts w:eastAsia="Calibri"/>
        </w:rPr>
        <w:t>Exchanges</w:t>
      </w:r>
      <w:r w:rsidRPr="00D72985">
        <w:rPr>
          <w:rFonts w:eastAsia="Calibri"/>
        </w:rPr>
        <w:t xml:space="preserve">. The Centers for Medicare &amp; Medicaid Services (CMS) will evaluate the strategies of issuers applying to offer QHPs in most </w:t>
      </w:r>
      <w:r w:rsidR="00FF2DE3">
        <w:rPr>
          <w:rFonts w:eastAsia="Calibri"/>
        </w:rPr>
        <w:t>Federally facilitated</w:t>
      </w:r>
      <w:r w:rsidR="00347171">
        <w:rPr>
          <w:rFonts w:eastAsia="Calibri"/>
        </w:rPr>
        <w:t xml:space="preserve"> </w:t>
      </w:r>
      <w:r w:rsidR="00AC772D">
        <w:rPr>
          <w:rFonts w:eastAsia="Calibri"/>
        </w:rPr>
        <w:t xml:space="preserve">Exchanges </w:t>
      </w:r>
      <w:r w:rsidR="00347171">
        <w:rPr>
          <w:rFonts w:eastAsia="Calibri"/>
        </w:rPr>
        <w:t>(</w:t>
      </w:r>
      <w:r w:rsidRPr="00D72985">
        <w:rPr>
          <w:rFonts w:eastAsia="Calibri"/>
        </w:rPr>
        <w:t>FF</w:t>
      </w:r>
      <w:r w:rsidR="00AC772D">
        <w:rPr>
          <w:rFonts w:eastAsia="Calibri"/>
        </w:rPr>
        <w:t>Es</w:t>
      </w:r>
      <w:r w:rsidR="00347171">
        <w:rPr>
          <w:rFonts w:eastAsia="Calibri"/>
        </w:rPr>
        <w:t>)</w:t>
      </w:r>
      <w:r w:rsidRPr="00D72985">
        <w:rPr>
          <w:rFonts w:eastAsia="Calibri"/>
        </w:rPr>
        <w:t>.</w:t>
      </w:r>
      <w:r>
        <w:rPr>
          <w:rStyle w:val="FootnoteReference"/>
        </w:rPr>
        <w:footnoteReference w:id="5"/>
      </w:r>
      <w:r w:rsidRPr="00BC10CF" w:rsidR="001E1A58">
        <w:t xml:space="preserve"> </w:t>
      </w:r>
      <w:r w:rsidRPr="00D72985">
        <w:rPr>
          <w:rFonts w:eastAsia="Calibri"/>
        </w:rPr>
        <w:t xml:space="preserve">In </w:t>
      </w:r>
      <w:r w:rsidR="003B00C8">
        <w:rPr>
          <w:rFonts w:eastAsia="Calibri"/>
        </w:rPr>
        <w:t xml:space="preserve">FFEs where </w:t>
      </w:r>
      <w:r w:rsidR="002E2588">
        <w:rPr>
          <w:rFonts w:eastAsia="Calibri"/>
        </w:rPr>
        <w:t>S</w:t>
      </w:r>
      <w:r w:rsidRPr="00D72985">
        <w:rPr>
          <w:rFonts w:eastAsia="Calibri"/>
        </w:rPr>
        <w:t>tates perform</w:t>
      </w:r>
      <w:r w:rsidR="003B00C8">
        <w:rPr>
          <w:rFonts w:eastAsia="Calibri"/>
        </w:rPr>
        <w:t xml:space="preserve"> p</w:t>
      </w:r>
      <w:r w:rsidRPr="00D72985">
        <w:rPr>
          <w:rFonts w:eastAsia="Calibri"/>
        </w:rPr>
        <w:t xml:space="preserve">lan management, </w:t>
      </w:r>
      <w:r>
        <w:t xml:space="preserve">issuers applying to offer QHPs will undergo a joint review of their </w:t>
      </w:r>
      <w:r w:rsidR="00BD177A">
        <w:t xml:space="preserve">quality improvement strategies </w:t>
      </w:r>
      <w:r w:rsidR="007F57CF">
        <w:t>b</w:t>
      </w:r>
      <w:r>
        <w:t xml:space="preserve">y the </w:t>
      </w:r>
      <w:r w:rsidR="002E2588">
        <w:t>S</w:t>
      </w:r>
      <w:r>
        <w:t>tate and the FF</w:t>
      </w:r>
      <w:r w:rsidR="00AC772D">
        <w:t>E</w:t>
      </w:r>
      <w:r>
        <w:t>. CMS</w:t>
      </w:r>
      <w:r w:rsidRPr="001769B4">
        <w:t xml:space="preserve"> requests approval from the Office of Management and Budget (OMB) for </w:t>
      </w:r>
      <w:r w:rsidR="00C95EA8">
        <w:t xml:space="preserve">the renewal of </w:t>
      </w:r>
      <w:r w:rsidRPr="001769B4">
        <w:t>the information collection associated with the QIS</w:t>
      </w:r>
      <w:r w:rsidR="00DA4234">
        <w:t xml:space="preserve"> requirements</w:t>
      </w:r>
      <w:r w:rsidRPr="001769B4">
        <w:t>.</w:t>
      </w:r>
    </w:p>
    <w:p w:rsidR="008F1EB4" w:rsidRPr="00BC10CF" w:rsidP="00A001CE" w14:paraId="0AAF3921" w14:textId="77777777">
      <w:pPr>
        <w:pStyle w:val="Heading2"/>
        <w:pageBreakBefore/>
      </w:pPr>
      <w:r w:rsidRPr="00BC10CF">
        <w:t>Justification</w:t>
      </w:r>
    </w:p>
    <w:p w:rsidR="001A70EF" w:rsidRPr="001A70EF" w:rsidP="001A70EF" w14:paraId="7F2F634D" w14:textId="77777777">
      <w:pPr>
        <w:pStyle w:val="Heading3"/>
      </w:pPr>
      <w:r w:rsidRPr="001A70EF">
        <w:t>Need and Legal Basis</w:t>
      </w:r>
    </w:p>
    <w:p w:rsidR="00D0224C" w:rsidP="001A70EF" w14:paraId="36B71793" w14:textId="650E7C2D">
      <w:pPr>
        <w:pStyle w:val="BodyText"/>
      </w:pPr>
      <w:r w:rsidRPr="00BC10CF">
        <w:t xml:space="preserve">The </w:t>
      </w:r>
      <w:r w:rsidR="00F35386">
        <w:t>PPACA</w:t>
      </w:r>
      <w:r w:rsidRPr="00BC10CF">
        <w:t xml:space="preserve"> establishes requirements to support the delivery of quality health care coverage for health in</w:t>
      </w:r>
      <w:r>
        <w:t>surance issuers offering QHPs through</w:t>
      </w:r>
      <w:r w:rsidRPr="00BC10CF">
        <w:t xml:space="preserve"> the </w:t>
      </w:r>
      <w:r w:rsidR="00072085">
        <w:t>Exchanges</w:t>
      </w:r>
      <w:r w:rsidR="00380D94">
        <w:t>.</w:t>
      </w:r>
      <w:r>
        <w:rPr>
          <w:rStyle w:val="FootnoteReference"/>
        </w:rPr>
        <w:footnoteReference w:id="6"/>
      </w:r>
      <w:r w:rsidRPr="004C55B7">
        <w:t xml:space="preserve"> </w:t>
      </w:r>
      <w:r w:rsidRPr="001769B4" w:rsidR="00C541F2">
        <w:t xml:space="preserve">Section 1311(c)(1)(E) of the </w:t>
      </w:r>
      <w:r w:rsidR="00F51DD1">
        <w:t xml:space="preserve">PPACA </w:t>
      </w:r>
      <w:r w:rsidRPr="001769B4" w:rsidR="00C541F2">
        <w:t xml:space="preserve">specifies </w:t>
      </w:r>
      <w:r w:rsidR="003A155D">
        <w:t xml:space="preserve">that </w:t>
      </w:r>
      <w:r w:rsidRPr="001769B4" w:rsidR="00C541F2">
        <w:t>certifi</w:t>
      </w:r>
      <w:r w:rsidR="009302D0">
        <w:t>cation</w:t>
      </w:r>
      <w:r w:rsidRPr="001769B4" w:rsidR="00C541F2">
        <w:t xml:space="preserve"> as a </w:t>
      </w:r>
      <w:r w:rsidR="00877CF7">
        <w:t xml:space="preserve">QHP </w:t>
      </w:r>
      <w:r w:rsidRPr="001769B4" w:rsidR="00C541F2">
        <w:t xml:space="preserve">for participation </w:t>
      </w:r>
      <w:r w:rsidR="00E05F10">
        <w:t>i</w:t>
      </w:r>
      <w:r w:rsidRPr="001769B4" w:rsidR="00C541F2">
        <w:t>n a</w:t>
      </w:r>
      <w:r w:rsidR="00072085">
        <w:t>n</w:t>
      </w:r>
      <w:r w:rsidRPr="001769B4" w:rsidR="00C541F2">
        <w:t xml:space="preserve"> </w:t>
      </w:r>
      <w:r w:rsidR="00072085">
        <w:t>Exchange</w:t>
      </w:r>
      <w:r w:rsidRPr="001769B4" w:rsidR="00C541F2">
        <w:t xml:space="preserve"> </w:t>
      </w:r>
      <w:r w:rsidR="009302D0">
        <w:t xml:space="preserve">is contingent upon </w:t>
      </w:r>
      <w:r w:rsidRPr="001769B4" w:rsidR="00C541F2">
        <w:t>each health plan implement</w:t>
      </w:r>
      <w:r w:rsidR="009302D0">
        <w:t>ing</w:t>
      </w:r>
      <w:r w:rsidRPr="001769B4" w:rsidR="00C541F2">
        <w:t xml:space="preserve"> a </w:t>
      </w:r>
      <w:r w:rsidR="00607E77">
        <w:t>QIS</w:t>
      </w:r>
      <w:r w:rsidRPr="001769B4" w:rsidR="00C541F2">
        <w:t xml:space="preserve">. Section 1311(g)(1) </w:t>
      </w:r>
      <w:r w:rsidR="00080D37">
        <w:t xml:space="preserve">of the </w:t>
      </w:r>
      <w:r w:rsidR="00D9510B">
        <w:t>PPACA</w:t>
      </w:r>
      <w:r>
        <w:t>,</w:t>
      </w:r>
      <w:r w:rsidR="00173535">
        <w:t xml:space="preserve"> entitled “Rewarding Quality Through Market-Based Incentives</w:t>
      </w:r>
      <w:r w:rsidR="00243E84">
        <w:t>,</w:t>
      </w:r>
      <w:r w:rsidR="00173535">
        <w:t>”</w:t>
      </w:r>
      <w:r w:rsidRPr="001769B4" w:rsidR="00080D37">
        <w:t xml:space="preserve"> </w:t>
      </w:r>
      <w:r w:rsidRPr="001769B4" w:rsidR="00C541F2">
        <w:t>describes this strategy as a payment structure provid</w:t>
      </w:r>
      <w:r w:rsidR="009302D0">
        <w:t>ing</w:t>
      </w:r>
      <w:r w:rsidRPr="001769B4" w:rsidR="00C541F2">
        <w:t xml:space="preserve"> i</w:t>
      </w:r>
      <w:r w:rsidRPr="006533EB" w:rsidR="006533EB">
        <w:t>ncreased reimbursement or other</w:t>
      </w:r>
      <w:r w:rsidR="006533EB">
        <w:t xml:space="preserve"> </w:t>
      </w:r>
      <w:r w:rsidRPr="001769B4" w:rsidR="00C541F2">
        <w:t>incentives for improving health outcomes of plan enrollees</w:t>
      </w:r>
      <w:r>
        <w:t>,</w:t>
      </w:r>
      <w:r w:rsidRPr="001769B4" w:rsidR="00DA4234">
        <w:t xml:space="preserve"> </w:t>
      </w:r>
      <w:r w:rsidR="007F57CF">
        <w:t>implementing</w:t>
      </w:r>
      <w:r w:rsidRPr="001769B4" w:rsidR="00C541F2">
        <w:t xml:space="preserve"> activities to preven</w:t>
      </w:r>
      <w:r w:rsidR="007F57CF">
        <w:t>t hospital readmissions</w:t>
      </w:r>
      <w:r>
        <w:t>,</w:t>
      </w:r>
      <w:r w:rsidR="007F57CF">
        <w:t xml:space="preserve"> improving patient safety and reducing medical errors</w:t>
      </w:r>
      <w:r>
        <w:t>,</w:t>
      </w:r>
      <w:r w:rsidR="007F57CF">
        <w:t xml:space="preserve"> promoting</w:t>
      </w:r>
      <w:r w:rsidRPr="001769B4" w:rsidR="00C541F2">
        <w:t xml:space="preserve"> wellness and health</w:t>
      </w:r>
      <w:r>
        <w:t>,</w:t>
      </w:r>
      <w:r w:rsidR="007F57CF">
        <w:t xml:space="preserve"> and</w:t>
      </w:r>
      <w:r w:rsidR="0034445C">
        <w:t>/or</w:t>
      </w:r>
      <w:r w:rsidR="007F57CF">
        <w:t xml:space="preserve"> implementing </w:t>
      </w:r>
      <w:r w:rsidRPr="001769B4" w:rsidR="00C541F2">
        <w:t xml:space="preserve">activities to reduce health and health care disparities. </w:t>
      </w:r>
    </w:p>
    <w:p w:rsidR="00D0224C" w:rsidRPr="008B03FA" w:rsidP="001A70EF" w14:paraId="6E2630BA" w14:textId="3EB81CAB">
      <w:pPr>
        <w:pStyle w:val="BodyText"/>
        <w:rPr>
          <w:szCs w:val="24"/>
        </w:rPr>
      </w:pPr>
      <w:r w:rsidRPr="001769B4">
        <w:t xml:space="preserve">Section 1311(g)(2) </w:t>
      </w:r>
      <w:r w:rsidR="00080D37">
        <w:t xml:space="preserve">of the </w:t>
      </w:r>
      <w:r w:rsidR="00D9510B">
        <w:t>PPACA</w:t>
      </w:r>
      <w:r w:rsidRPr="001769B4" w:rsidR="00080D37">
        <w:t xml:space="preserve"> </w:t>
      </w:r>
      <w:r w:rsidRPr="001769B4">
        <w:t xml:space="preserve">requires the Secretary to develop guidelines </w:t>
      </w:r>
      <w:r w:rsidR="00625138">
        <w:t>i</w:t>
      </w:r>
      <w:r w:rsidRPr="001769B4">
        <w:t xml:space="preserve">n consultation with health care quality experts and stakeholders, including periodic reporting of the activities that the </w:t>
      </w:r>
      <w:r w:rsidR="00812AB2">
        <w:t xml:space="preserve">QHP </w:t>
      </w:r>
      <w:r w:rsidR="00116912">
        <w:t xml:space="preserve">issuer </w:t>
      </w:r>
      <w:r w:rsidRPr="001769B4">
        <w:t xml:space="preserve">has conducted to implement </w:t>
      </w:r>
      <w:r w:rsidR="005625CF">
        <w:t xml:space="preserve">a </w:t>
      </w:r>
      <w:r w:rsidRPr="001769B4">
        <w:t xml:space="preserve">QIS, to the applicable </w:t>
      </w:r>
      <w:r w:rsidR="00072085">
        <w:t>Exchange</w:t>
      </w:r>
      <w:r w:rsidRPr="001769B4">
        <w:t xml:space="preserve">, as described in section 1311(g)(3). </w:t>
      </w:r>
      <w:r w:rsidRPr="00045D3A" w:rsidR="006533EB">
        <w:t xml:space="preserve">45 C.F.R. § 155.200(d) </w:t>
      </w:r>
      <w:r w:rsidRPr="00045D3A">
        <w:t>direct</w:t>
      </w:r>
      <w:r w:rsidRPr="00045D3A" w:rsidR="006533EB">
        <w:t>s</w:t>
      </w:r>
      <w:r w:rsidRPr="00045D3A" w:rsidR="00BB09D0">
        <w:t xml:space="preserve"> </w:t>
      </w:r>
      <w:r w:rsidR="00072085">
        <w:t>Exchanges</w:t>
      </w:r>
      <w:r w:rsidRPr="00045D3A" w:rsidR="00072085">
        <w:t xml:space="preserve"> </w:t>
      </w:r>
      <w:r w:rsidRPr="00045D3A">
        <w:t xml:space="preserve">to evaluate quality improvement strategies, </w:t>
      </w:r>
      <w:r w:rsidRPr="00045D3A" w:rsidR="006533EB">
        <w:t>and 45 C.F.R. § 156.200(b)</w:t>
      </w:r>
      <w:r w:rsidRPr="006533EB" w:rsidR="006533EB">
        <w:t xml:space="preserve"> </w:t>
      </w:r>
      <w:r w:rsidRPr="001769B4">
        <w:t>direct</w:t>
      </w:r>
      <w:r w:rsidR="006533EB">
        <w:t>s</w:t>
      </w:r>
      <w:r w:rsidRPr="001769B4">
        <w:t xml:space="preserve"> issuers to implement and report on a </w:t>
      </w:r>
      <w:r w:rsidR="005625CF">
        <w:t>QIS</w:t>
      </w:r>
      <w:r w:rsidRPr="001769B4">
        <w:t xml:space="preserve"> or strategies </w:t>
      </w:r>
      <w:r w:rsidRPr="00A001A1">
        <w:rPr>
          <w:szCs w:val="24"/>
        </w:rPr>
        <w:t>consisten</w:t>
      </w:r>
      <w:r w:rsidRPr="00A001A1" w:rsidR="006533EB">
        <w:rPr>
          <w:szCs w:val="24"/>
        </w:rPr>
        <w:t xml:space="preserve">t with section 1311(g) </w:t>
      </w:r>
      <w:r w:rsidRPr="00A001A1" w:rsidR="004C55B7">
        <w:rPr>
          <w:szCs w:val="24"/>
        </w:rPr>
        <w:t>standards</w:t>
      </w:r>
      <w:r w:rsidRPr="00A001A1">
        <w:rPr>
          <w:szCs w:val="24"/>
        </w:rPr>
        <w:t xml:space="preserve"> as a QHP certification criteria for participation in a</w:t>
      </w:r>
      <w:r w:rsidRPr="00F445FE" w:rsidR="00072085">
        <w:rPr>
          <w:szCs w:val="24"/>
        </w:rPr>
        <w:t>n Exchange</w:t>
      </w:r>
      <w:r w:rsidRPr="00F445FE">
        <w:rPr>
          <w:szCs w:val="24"/>
        </w:rPr>
        <w:t xml:space="preserve">. </w:t>
      </w:r>
    </w:p>
    <w:p w:rsidR="00C541F2" w:rsidRPr="003A3AD8" w:rsidP="001A70EF" w14:paraId="580189A4" w14:textId="3D2EEB13">
      <w:pPr>
        <w:pStyle w:val="BodyText"/>
        <w:rPr>
          <w:szCs w:val="24"/>
        </w:rPr>
      </w:pPr>
      <w:r w:rsidRPr="001C47E5">
        <w:rPr>
          <w:szCs w:val="24"/>
        </w:rPr>
        <w:t xml:space="preserve">The statutory QIS requirements extend to all </w:t>
      </w:r>
      <w:r w:rsidRPr="001C47E5" w:rsidR="00072085">
        <w:rPr>
          <w:szCs w:val="24"/>
        </w:rPr>
        <w:t>E</w:t>
      </w:r>
      <w:r w:rsidRPr="004B4B3A" w:rsidR="00072085">
        <w:rPr>
          <w:szCs w:val="24"/>
        </w:rPr>
        <w:t xml:space="preserve">xchange </w:t>
      </w:r>
      <w:r w:rsidRPr="004B4B3A">
        <w:rPr>
          <w:szCs w:val="24"/>
        </w:rPr>
        <w:t xml:space="preserve">types, including </w:t>
      </w:r>
      <w:r w:rsidRPr="006B0BE7" w:rsidR="00364104">
        <w:rPr>
          <w:szCs w:val="24"/>
        </w:rPr>
        <w:t xml:space="preserve">the </w:t>
      </w:r>
      <w:r w:rsidRPr="006B0BE7" w:rsidR="00347171">
        <w:rPr>
          <w:szCs w:val="24"/>
        </w:rPr>
        <w:t>FF</w:t>
      </w:r>
      <w:r w:rsidRPr="006B0BE7" w:rsidR="00072085">
        <w:rPr>
          <w:szCs w:val="24"/>
        </w:rPr>
        <w:t>E</w:t>
      </w:r>
      <w:r w:rsidRPr="00824CAD" w:rsidR="000D5E58">
        <w:rPr>
          <w:szCs w:val="24"/>
        </w:rPr>
        <w:t>s</w:t>
      </w:r>
      <w:r w:rsidRPr="00824CAD" w:rsidR="00347171">
        <w:rPr>
          <w:szCs w:val="24"/>
        </w:rPr>
        <w:t>,</w:t>
      </w:r>
      <w:r w:rsidRPr="00824CAD" w:rsidR="00364104">
        <w:rPr>
          <w:szCs w:val="24"/>
        </w:rPr>
        <w:t xml:space="preserve"> </w:t>
      </w:r>
      <w:r w:rsidRPr="00155E57" w:rsidR="000215BE">
        <w:rPr>
          <w:szCs w:val="24"/>
        </w:rPr>
        <w:t xml:space="preserve">FFEs </w:t>
      </w:r>
      <w:bookmarkStart w:id="0" w:name="_Hlk520894030"/>
      <w:r w:rsidRPr="00155E57" w:rsidR="000215BE">
        <w:rPr>
          <w:szCs w:val="24"/>
        </w:rPr>
        <w:t>where States perform plan management</w:t>
      </w:r>
      <w:bookmarkEnd w:id="0"/>
      <w:r w:rsidRPr="00276B4E" w:rsidR="00BD177A">
        <w:rPr>
          <w:szCs w:val="24"/>
        </w:rPr>
        <w:t>,</w:t>
      </w:r>
      <w:r w:rsidRPr="00276B4E" w:rsidR="00364104">
        <w:rPr>
          <w:szCs w:val="24"/>
        </w:rPr>
        <w:t xml:space="preserve"> and </w:t>
      </w:r>
      <w:r w:rsidRPr="00083CF6">
        <w:rPr>
          <w:szCs w:val="24"/>
        </w:rPr>
        <w:t>SB</w:t>
      </w:r>
      <w:r w:rsidRPr="00083CF6" w:rsidR="00072085">
        <w:rPr>
          <w:szCs w:val="24"/>
        </w:rPr>
        <w:t>E</w:t>
      </w:r>
      <w:r w:rsidRPr="00083CF6">
        <w:rPr>
          <w:szCs w:val="24"/>
        </w:rPr>
        <w:t>s. The</w:t>
      </w:r>
      <w:r w:rsidR="007739C7">
        <w:rPr>
          <w:szCs w:val="24"/>
        </w:rPr>
        <w:t xml:space="preserve"> QIS</w:t>
      </w:r>
      <w:r w:rsidRPr="00083CF6">
        <w:rPr>
          <w:szCs w:val="24"/>
        </w:rPr>
        <w:t xml:space="preserve"> </w:t>
      </w:r>
      <w:r w:rsidRPr="00083CF6" w:rsidR="00C23200">
        <w:rPr>
          <w:szCs w:val="24"/>
        </w:rPr>
        <w:t xml:space="preserve">requirements and standards </w:t>
      </w:r>
      <w:r w:rsidRPr="00083CF6">
        <w:rPr>
          <w:szCs w:val="24"/>
        </w:rPr>
        <w:t xml:space="preserve">that </w:t>
      </w:r>
      <w:r w:rsidR="0034445C">
        <w:rPr>
          <w:szCs w:val="24"/>
        </w:rPr>
        <w:t>are</w:t>
      </w:r>
      <w:r w:rsidRPr="00083CF6">
        <w:rPr>
          <w:szCs w:val="24"/>
        </w:rPr>
        <w:t xml:space="preserve"> used for the FF</w:t>
      </w:r>
      <w:r w:rsidRPr="003A3AD8" w:rsidR="00072085">
        <w:rPr>
          <w:szCs w:val="24"/>
        </w:rPr>
        <w:t>E</w:t>
      </w:r>
      <w:r w:rsidRPr="003A3AD8" w:rsidR="000D5E58">
        <w:rPr>
          <w:szCs w:val="24"/>
        </w:rPr>
        <w:t>s</w:t>
      </w:r>
      <w:r w:rsidRPr="003A3AD8">
        <w:rPr>
          <w:szCs w:val="24"/>
        </w:rPr>
        <w:t xml:space="preserve"> provid</w:t>
      </w:r>
      <w:r w:rsidRPr="003A3AD8" w:rsidR="00BE4C51">
        <w:rPr>
          <w:szCs w:val="24"/>
        </w:rPr>
        <w:t>e</w:t>
      </w:r>
      <w:r w:rsidRPr="003A3AD8">
        <w:rPr>
          <w:szCs w:val="24"/>
        </w:rPr>
        <w:t xml:space="preserve"> the starting point for SB</w:t>
      </w:r>
      <w:r w:rsidRPr="003A3AD8" w:rsidR="00072085">
        <w:rPr>
          <w:szCs w:val="24"/>
        </w:rPr>
        <w:t>E</w:t>
      </w:r>
      <w:r w:rsidRPr="003A3AD8">
        <w:rPr>
          <w:szCs w:val="24"/>
        </w:rPr>
        <w:t>s to build upon</w:t>
      </w:r>
      <w:r w:rsidRPr="003A3AD8" w:rsidR="000D5E58">
        <w:rPr>
          <w:szCs w:val="24"/>
        </w:rPr>
        <w:t>. SB</w:t>
      </w:r>
      <w:r w:rsidRPr="003A3AD8" w:rsidR="00072085">
        <w:rPr>
          <w:szCs w:val="24"/>
        </w:rPr>
        <w:t>E</w:t>
      </w:r>
      <w:r w:rsidRPr="003A3AD8" w:rsidR="000D5E58">
        <w:rPr>
          <w:szCs w:val="24"/>
        </w:rPr>
        <w:t>s</w:t>
      </w:r>
      <w:r w:rsidRPr="003A3AD8" w:rsidR="00E4607F">
        <w:rPr>
          <w:szCs w:val="24"/>
        </w:rPr>
        <w:t xml:space="preserve"> </w:t>
      </w:r>
      <w:r w:rsidRPr="003A3AD8" w:rsidR="000D5E58">
        <w:rPr>
          <w:szCs w:val="24"/>
        </w:rPr>
        <w:t xml:space="preserve">have the </w:t>
      </w:r>
      <w:r w:rsidRPr="003A3AD8" w:rsidR="006F2B30">
        <w:rPr>
          <w:szCs w:val="24"/>
        </w:rPr>
        <w:t>flexibility to establish the timeline, format, validation</w:t>
      </w:r>
      <w:r w:rsidRPr="003A3AD8" w:rsidR="00BE4C51">
        <w:rPr>
          <w:szCs w:val="24"/>
        </w:rPr>
        <w:t>,</w:t>
      </w:r>
      <w:r w:rsidRPr="003A3AD8" w:rsidR="006F2B30">
        <w:rPr>
          <w:szCs w:val="24"/>
        </w:rPr>
        <w:t xml:space="preserve"> and other requirements </w:t>
      </w:r>
      <w:r w:rsidRPr="003A3AD8" w:rsidR="00BE4C51">
        <w:rPr>
          <w:szCs w:val="24"/>
        </w:rPr>
        <w:t xml:space="preserve">for </w:t>
      </w:r>
      <w:r w:rsidRPr="003A3AD8" w:rsidR="006F2B30">
        <w:rPr>
          <w:szCs w:val="24"/>
        </w:rPr>
        <w:t xml:space="preserve">the annual </w:t>
      </w:r>
      <w:r w:rsidRPr="003A3AD8" w:rsidR="00BE4C51">
        <w:rPr>
          <w:szCs w:val="24"/>
        </w:rPr>
        <w:t xml:space="preserve">QIS </w:t>
      </w:r>
      <w:r w:rsidRPr="003A3AD8" w:rsidR="00373630">
        <w:rPr>
          <w:szCs w:val="24"/>
        </w:rPr>
        <w:t>information</w:t>
      </w:r>
      <w:r w:rsidRPr="003A3AD8" w:rsidR="00BE4C51">
        <w:rPr>
          <w:szCs w:val="24"/>
        </w:rPr>
        <w:t xml:space="preserve"> </w:t>
      </w:r>
      <w:r w:rsidRPr="003A3AD8" w:rsidR="006F2B30">
        <w:rPr>
          <w:szCs w:val="24"/>
        </w:rPr>
        <w:t>submission by issuers</w:t>
      </w:r>
      <w:r w:rsidR="009F29A2">
        <w:rPr>
          <w:szCs w:val="24"/>
        </w:rPr>
        <w:t>,</w:t>
      </w:r>
      <w:r w:rsidRPr="003A3AD8" w:rsidR="006F2B30">
        <w:rPr>
          <w:szCs w:val="24"/>
        </w:rPr>
        <w:t xml:space="preserve"> that participate in their respective </w:t>
      </w:r>
      <w:r w:rsidRPr="003A3AD8" w:rsidR="00072085">
        <w:rPr>
          <w:szCs w:val="24"/>
        </w:rPr>
        <w:t>Exchanges</w:t>
      </w:r>
      <w:r w:rsidRPr="003A3AD8" w:rsidR="006F2B30">
        <w:rPr>
          <w:szCs w:val="24"/>
        </w:rPr>
        <w:t>.</w:t>
      </w:r>
    </w:p>
    <w:p w:rsidR="008F1EB4" w:rsidP="001A70EF" w14:paraId="4E0A3E68" w14:textId="78D2F07D">
      <w:pPr>
        <w:pStyle w:val="BodyText"/>
      </w:pPr>
      <w:r w:rsidRPr="6D389368">
        <w:t>In accordance with Section 1311(g)</w:t>
      </w:r>
      <w:r w:rsidRPr="6D389368" w:rsidR="00080D37">
        <w:t xml:space="preserve"> of the </w:t>
      </w:r>
      <w:r w:rsidRPr="6D389368" w:rsidR="00916E6A">
        <w:t>PPACA</w:t>
      </w:r>
      <w:r w:rsidRPr="6D389368">
        <w:t xml:space="preserve">, CMS </w:t>
      </w:r>
      <w:r w:rsidRPr="6D389368" w:rsidR="000215BE">
        <w:t xml:space="preserve">established </w:t>
      </w:r>
      <w:r w:rsidRPr="6D389368">
        <w:t>the Q</w:t>
      </w:r>
      <w:r w:rsidRPr="6D389368" w:rsidR="00F221AC">
        <w:t>IS</w:t>
      </w:r>
      <w:r w:rsidRPr="6D389368" w:rsidR="00E05F10">
        <w:t xml:space="preserve"> requirements</w:t>
      </w:r>
      <w:r w:rsidRPr="6D389368" w:rsidR="00C95EA8">
        <w:t xml:space="preserve"> in the HHS Notice of Benefit and Payment Parameters for 2016</w:t>
      </w:r>
      <w:r w:rsidR="007739C7">
        <w:rPr>
          <w:szCs w:val="24"/>
        </w:rPr>
        <w:t>.</w:t>
      </w:r>
      <w:r>
        <w:rPr>
          <w:rStyle w:val="FootnoteReference"/>
        </w:rPr>
        <w:footnoteReference w:id="7"/>
      </w:r>
      <w:r w:rsidRPr="00A001A1" w:rsidR="00F221AC">
        <w:rPr>
          <w:szCs w:val="24"/>
        </w:rPr>
        <w:t xml:space="preserve"> </w:t>
      </w:r>
      <w:r w:rsidRPr="6D389368" w:rsidR="00DC0A8B">
        <w:t>CMS updated the QIS requirements to</w:t>
      </w:r>
      <w:r w:rsidRPr="6D389368" w:rsidR="004F3E23">
        <w:t xml:space="preserve"> include</w:t>
      </w:r>
      <w:r w:rsidR="00DC0A8B">
        <w:rPr>
          <w:szCs w:val="24"/>
        </w:rPr>
        <w:t xml:space="preserve"> </w:t>
      </w:r>
      <w:r w:rsidRPr="6D389368" w:rsidR="004F3E23">
        <w:t>a new guideline under which QHP issuers would be required to address health and health care disparities as a specific topic area within their QIS, in addition to at least one other topic area in the HHS Notice of Benefit and Payment Parameters for 2023.</w:t>
      </w:r>
      <w:r>
        <w:rPr>
          <w:rStyle w:val="FootnoteReference"/>
        </w:rPr>
        <w:footnoteReference w:id="8"/>
      </w:r>
      <w:r w:rsidR="004F3E23">
        <w:rPr>
          <w:szCs w:val="24"/>
        </w:rPr>
        <w:t xml:space="preserve"> </w:t>
      </w:r>
      <w:r w:rsidRPr="6D389368" w:rsidR="00A04A40">
        <w:t xml:space="preserve">CMS </w:t>
      </w:r>
      <w:r w:rsidRPr="6D389368" w:rsidR="003B1D2D">
        <w:t>requests</w:t>
      </w:r>
      <w:r w:rsidRPr="00A001A1" w:rsidR="00DF5C4C">
        <w:rPr>
          <w:szCs w:val="24"/>
        </w:rPr>
        <w:t xml:space="preserve"> </w:t>
      </w:r>
      <w:r w:rsidRPr="6D389368" w:rsidR="00BD177A">
        <w:t xml:space="preserve">OMB </w:t>
      </w:r>
      <w:r w:rsidRPr="6D389368" w:rsidR="00DF5C4C">
        <w:t xml:space="preserve">clearance for </w:t>
      </w:r>
      <w:r w:rsidRPr="6D389368" w:rsidR="00C95EA8">
        <w:t xml:space="preserve">the renewal of </w:t>
      </w:r>
      <w:r w:rsidRPr="6D389368" w:rsidR="00DF5C4C">
        <w:t xml:space="preserve">this Information Collection Request (ICR) so that </w:t>
      </w:r>
      <w:r w:rsidRPr="6D389368" w:rsidR="006468DC">
        <w:t xml:space="preserve">CMS </w:t>
      </w:r>
      <w:r w:rsidRPr="6D389368" w:rsidR="00DF5C4C">
        <w:t xml:space="preserve">may </w:t>
      </w:r>
      <w:r w:rsidRPr="6D389368" w:rsidR="00C95EA8">
        <w:t xml:space="preserve">continue to </w:t>
      </w:r>
      <w:r w:rsidRPr="6D389368" w:rsidR="00DF5C4C">
        <w:t xml:space="preserve">collect </w:t>
      </w:r>
      <w:r w:rsidRPr="6D389368" w:rsidR="00556C9E">
        <w:t xml:space="preserve">the </w:t>
      </w:r>
      <w:r w:rsidRPr="6D389368" w:rsidR="007C396B">
        <w:t>information</w:t>
      </w:r>
      <w:r w:rsidRPr="00F445FE" w:rsidR="009E5F52">
        <w:rPr>
          <w:szCs w:val="24"/>
        </w:rPr>
        <w:t xml:space="preserve"> </w:t>
      </w:r>
      <w:r w:rsidRPr="6D389368" w:rsidR="007C423F">
        <w:t>needed</w:t>
      </w:r>
      <w:r w:rsidRPr="008B03FA" w:rsidR="00211DB3">
        <w:rPr>
          <w:szCs w:val="24"/>
        </w:rPr>
        <w:t xml:space="preserve"> </w:t>
      </w:r>
      <w:r w:rsidRPr="6D389368" w:rsidR="00DF5C4C">
        <w:t xml:space="preserve">to </w:t>
      </w:r>
      <w:r w:rsidRPr="6D389368" w:rsidR="000215BE">
        <w:t xml:space="preserve">continue </w:t>
      </w:r>
      <w:r w:rsidRPr="6D389368" w:rsidR="00DF5C4C">
        <w:t>implement</w:t>
      </w:r>
      <w:r w:rsidRPr="6D389368" w:rsidR="000215BE">
        <w:t>ing</w:t>
      </w:r>
      <w:r w:rsidRPr="6D389368" w:rsidR="00DF5C4C">
        <w:t xml:space="preserve"> the </w:t>
      </w:r>
      <w:r w:rsidRPr="6D389368" w:rsidR="00D74DF6">
        <w:t xml:space="preserve">QIS </w:t>
      </w:r>
      <w:r w:rsidRPr="6D389368" w:rsidR="002C1534">
        <w:t xml:space="preserve">requirements and standards established </w:t>
      </w:r>
      <w:r w:rsidRPr="6D389368" w:rsidR="00F46ED4">
        <w:t>in</w:t>
      </w:r>
      <w:r w:rsidRPr="6D389368" w:rsidR="00D74DF6">
        <w:t xml:space="preserve"> the</w:t>
      </w:r>
      <w:r w:rsidRPr="001C47E5" w:rsidR="00625138">
        <w:rPr>
          <w:szCs w:val="24"/>
        </w:rPr>
        <w:t xml:space="preserve"> </w:t>
      </w:r>
      <w:r w:rsidRPr="6D389368" w:rsidR="00F46ED4">
        <w:t>HHS Notice of Benefit and Payment Parameters for 2016</w:t>
      </w:r>
      <w:r w:rsidRPr="6D389368" w:rsidR="00625138">
        <w:t>; Final Rule</w:t>
      </w:r>
      <w:r w:rsidRPr="6D389368" w:rsidR="008E0F02">
        <w:t xml:space="preserve"> and</w:t>
      </w:r>
      <w:r w:rsidR="00267999">
        <w:rPr>
          <w:szCs w:val="24"/>
        </w:rPr>
        <w:t xml:space="preserve"> </w:t>
      </w:r>
      <w:r w:rsidRPr="6D389368" w:rsidR="00267999">
        <w:t>HHS Notice of Benefit and Payment Parameters for 2023; Final Rule</w:t>
      </w:r>
      <w:r w:rsidRPr="004B4B3A" w:rsidR="00F46ED4">
        <w:rPr>
          <w:szCs w:val="24"/>
        </w:rPr>
        <w:t>.</w:t>
      </w:r>
    </w:p>
    <w:p w:rsidR="00CE1A03" w:rsidRPr="003A3AD8" w:rsidP="001A70EF" w14:paraId="7A08EFD9" w14:textId="23A0B572">
      <w:pPr>
        <w:pStyle w:val="Heading3"/>
      </w:pPr>
      <w:r w:rsidRPr="00276B4E">
        <w:rPr>
          <w:spacing w:val="-6"/>
          <w:u w:color="000000"/>
        </w:rPr>
        <w:t>I</w:t>
      </w:r>
      <w:r w:rsidRPr="00276B4E">
        <w:rPr>
          <w:u w:color="000000"/>
        </w:rPr>
        <w:t>n</w:t>
      </w:r>
      <w:r w:rsidRPr="00083CF6">
        <w:rPr>
          <w:spacing w:val="-1"/>
          <w:u w:color="000000"/>
        </w:rPr>
        <w:t>f</w:t>
      </w:r>
      <w:r w:rsidRPr="00083CF6">
        <w:rPr>
          <w:u w:color="000000"/>
        </w:rPr>
        <w:t>o</w:t>
      </w:r>
      <w:r w:rsidRPr="00083CF6">
        <w:rPr>
          <w:spacing w:val="-1"/>
          <w:u w:color="000000"/>
        </w:rPr>
        <w:t>r</w:t>
      </w:r>
      <w:r w:rsidRPr="00083CF6">
        <w:rPr>
          <w:u w:color="000000"/>
        </w:rPr>
        <w:t>m</w:t>
      </w:r>
      <w:r w:rsidRPr="00083CF6">
        <w:rPr>
          <w:spacing w:val="-1"/>
          <w:u w:color="000000"/>
        </w:rPr>
        <w:t>a</w:t>
      </w:r>
      <w:r w:rsidRPr="003A3AD8">
        <w:rPr>
          <w:u w:color="000000"/>
        </w:rPr>
        <w:t>tion Us</w:t>
      </w:r>
      <w:r w:rsidRPr="003A3AD8">
        <w:rPr>
          <w:spacing w:val="-1"/>
          <w:u w:color="000000"/>
        </w:rPr>
        <w:t>er</w:t>
      </w:r>
      <w:r w:rsidRPr="003A3AD8">
        <w:rPr>
          <w:u w:color="000000"/>
        </w:rPr>
        <w:t>s</w:t>
      </w:r>
    </w:p>
    <w:p w:rsidR="00CE1A03" w:rsidRPr="00A001A1" w:rsidP="003A3AD8" w14:paraId="43E65064" w14:textId="7F66A457">
      <w:pPr>
        <w:pStyle w:val="Default"/>
      </w:pPr>
      <w:r w:rsidRPr="00FA4F33">
        <w:t xml:space="preserve">Since calendar year 2016 (for the 2017 Plan Year), </w:t>
      </w:r>
      <w:r w:rsidRPr="00FA4F33" w:rsidR="00072085">
        <w:t xml:space="preserve">CMS has been collecting </w:t>
      </w:r>
      <w:r w:rsidRPr="00FA4F33" w:rsidR="00456760">
        <w:t xml:space="preserve">QIS </w:t>
      </w:r>
      <w:r w:rsidRPr="00FA4F33" w:rsidR="00373630">
        <w:t>information</w:t>
      </w:r>
      <w:r w:rsidRPr="00276B4E" w:rsidR="00456760">
        <w:t xml:space="preserve"> from issuers on an annual basis</w:t>
      </w:r>
      <w:r w:rsidRPr="003A3AD8" w:rsidR="002C1534">
        <w:t xml:space="preserve"> </w:t>
      </w:r>
      <w:r w:rsidRPr="003A3AD8" w:rsidR="00072085">
        <w:t xml:space="preserve">to evaluate the compliance and adequacy of issuers’ QIS implementation efforts, as required by Section 1311(c) of the </w:t>
      </w:r>
      <w:r w:rsidRPr="003A3AD8" w:rsidR="0072362D">
        <w:t>PPACA</w:t>
      </w:r>
      <w:r w:rsidR="00131306">
        <w:t xml:space="preserve"> entitled</w:t>
      </w:r>
      <w:r w:rsidRPr="003A3AD8">
        <w:t xml:space="preserve"> “Rewarding Quality Through Market-Based Incentives.”</w:t>
      </w:r>
      <w:r w:rsidRPr="00A001A1">
        <w:t xml:space="preserve"> </w:t>
      </w:r>
      <w:r w:rsidRPr="00A001A1" w:rsidR="00DB576A">
        <w:t>CMS will use the issuers’ validated information to evaluate</w:t>
      </w:r>
      <w:r w:rsidRPr="00A001A1" w:rsidR="00DB576A">
        <w:t xml:space="preserve"> </w:t>
      </w:r>
      <w:r w:rsidRPr="00A001A1" w:rsidR="0077442B">
        <w:t xml:space="preserve">issuers’ </w:t>
      </w:r>
      <w:r w:rsidRPr="00A001A1" w:rsidR="002C1534">
        <w:t>QIS</w:t>
      </w:r>
      <w:r w:rsidR="00E95401">
        <w:t xml:space="preserve"> submission</w:t>
      </w:r>
      <w:r w:rsidRPr="00131306" w:rsidR="00131306">
        <w:t xml:space="preserve">s </w:t>
      </w:r>
      <w:r w:rsidRPr="00A001A1" w:rsidR="009E360C">
        <w:t xml:space="preserve">for compliance </w:t>
      </w:r>
      <w:r w:rsidRPr="00A001A1" w:rsidR="00D7299D">
        <w:t xml:space="preserve">as a condition of </w:t>
      </w:r>
      <w:r w:rsidRPr="00A001A1" w:rsidR="00072085">
        <w:t xml:space="preserve">QHP </w:t>
      </w:r>
      <w:r w:rsidRPr="00A001A1" w:rsidR="00500DB4">
        <w:t>c</w:t>
      </w:r>
      <w:r w:rsidRPr="00A001A1" w:rsidR="00D7299D">
        <w:t>ertification</w:t>
      </w:r>
      <w:r w:rsidRPr="00A001A1" w:rsidR="00456760">
        <w:t>.</w:t>
      </w:r>
      <w:r w:rsidRPr="00A001A1" w:rsidR="00A001A1">
        <w:t xml:space="preserve"> </w:t>
      </w:r>
      <w:r w:rsidR="00A001A1">
        <w:t xml:space="preserve">Though the </w:t>
      </w:r>
      <w:r w:rsidRPr="00CF55C4" w:rsidR="00A001A1">
        <w:t xml:space="preserve">QIS requirements apply to all issuers offering QHPs </w:t>
      </w:r>
      <w:r w:rsidR="00A001A1">
        <w:t xml:space="preserve">through an Exchange (both </w:t>
      </w:r>
      <w:r w:rsidRPr="00CF55C4" w:rsidR="00A001A1">
        <w:t xml:space="preserve">Individual </w:t>
      </w:r>
      <w:r w:rsidR="00A001A1">
        <w:t>Exchanges and SHOP Exchanges),</w:t>
      </w:r>
      <w:r w:rsidRPr="00CF55C4" w:rsidR="00A001A1">
        <w:t xml:space="preserve"> CMS will</w:t>
      </w:r>
      <w:r w:rsidR="00A001A1">
        <w:t xml:space="preserve"> only</w:t>
      </w:r>
      <w:r w:rsidRPr="00CF55C4" w:rsidR="00A001A1">
        <w:t xml:space="preserve"> evaluate the QIS </w:t>
      </w:r>
      <w:r w:rsidR="00A001A1">
        <w:t>forms</w:t>
      </w:r>
      <w:r w:rsidRPr="00CF55C4" w:rsidR="00A001A1">
        <w:t xml:space="preserve"> for issu</w:t>
      </w:r>
      <w:r w:rsidR="00A001A1">
        <w:t>ers applying to offer QHPs in FFEs, including FFEs where States perform plan management. SBE</w:t>
      </w:r>
      <w:r w:rsidRPr="00CF55C4" w:rsidR="00A001A1">
        <w:t xml:space="preserve">s will evaluate the QIS submissions of the issuers applying </w:t>
      </w:r>
      <w:r w:rsidR="00A001A1">
        <w:t>to offer QHPs in their State’s Exchange. SBEs</w:t>
      </w:r>
      <w:r w:rsidR="004373C6">
        <w:t>,</w:t>
      </w:r>
      <w:r w:rsidR="00A001A1">
        <w:t xml:space="preserve"> including SB</w:t>
      </w:r>
      <w:r w:rsidR="00AB48B9">
        <w:t>Es on the Federal Platform (SBE-FPs</w:t>
      </w:r>
      <w:r w:rsidRPr="00CF55C4" w:rsidR="00A001A1">
        <w:t>)</w:t>
      </w:r>
      <w:r w:rsidR="004373C6">
        <w:t>,</w:t>
      </w:r>
      <w:r w:rsidRPr="00CF55C4" w:rsidR="00A001A1">
        <w:t xml:space="preserve"> have the flexibility to establish the timeline, reporting form, validation of data, and other requirements related to annual submission of QIS data by the issuers participating in their respective </w:t>
      </w:r>
      <w:r w:rsidR="00A001A1">
        <w:t>Exchanges</w:t>
      </w:r>
      <w:r w:rsidRPr="00CF55C4" w:rsidR="00A001A1">
        <w:t xml:space="preserve">. </w:t>
      </w:r>
    </w:p>
    <w:p w:rsidR="0045782F" w:rsidRPr="00A001A1" w:rsidP="001A70EF" w14:paraId="41BE2ABB" w14:textId="3100EC29">
      <w:pPr>
        <w:pStyle w:val="BodyText"/>
        <w:rPr>
          <w:szCs w:val="24"/>
        </w:rPr>
      </w:pPr>
      <w:r w:rsidRPr="003A3AD8">
        <w:rPr>
          <w:szCs w:val="24"/>
        </w:rPr>
        <w:t xml:space="preserve">The goal of the </w:t>
      </w:r>
      <w:r w:rsidR="00A001A1">
        <w:rPr>
          <w:szCs w:val="24"/>
        </w:rPr>
        <w:t>QIS</w:t>
      </w:r>
      <w:r w:rsidRPr="003A3AD8">
        <w:rPr>
          <w:szCs w:val="24"/>
        </w:rPr>
        <w:t xml:space="preserve"> form is to collect QIS information from issuers. This information wi</w:t>
      </w:r>
      <w:r w:rsidRPr="00A001A1" w:rsidR="00A001A1">
        <w:rPr>
          <w:szCs w:val="24"/>
        </w:rPr>
        <w:t>ll demonstrate compliance with S</w:t>
      </w:r>
      <w:r w:rsidRPr="003A3AD8">
        <w:rPr>
          <w:szCs w:val="24"/>
        </w:rPr>
        <w:t xml:space="preserve">ection 1311(c)(1)(E) of the </w:t>
      </w:r>
      <w:r w:rsidR="00A001A1">
        <w:rPr>
          <w:szCs w:val="24"/>
        </w:rPr>
        <w:t>PPACA</w:t>
      </w:r>
      <w:r w:rsidRPr="003A3AD8">
        <w:rPr>
          <w:szCs w:val="24"/>
        </w:rPr>
        <w:t>. It will also facilitate understanding of the issuer’s payment structure framework that provides increased reimbursement or other market-based incentives for the implementation of activities rela</w:t>
      </w:r>
      <w:r w:rsidRPr="00A001A1" w:rsidR="00A001A1">
        <w:rPr>
          <w:szCs w:val="24"/>
        </w:rPr>
        <w:t>ted to the topics specified in S</w:t>
      </w:r>
      <w:r w:rsidRPr="003A3AD8">
        <w:rPr>
          <w:szCs w:val="24"/>
        </w:rPr>
        <w:t xml:space="preserve">ection 1311(g) of the </w:t>
      </w:r>
      <w:r w:rsidR="00A001A1">
        <w:rPr>
          <w:szCs w:val="24"/>
        </w:rPr>
        <w:t>PPACA</w:t>
      </w:r>
      <w:r w:rsidRPr="003A3AD8">
        <w:rPr>
          <w:szCs w:val="24"/>
        </w:rPr>
        <w:t>.</w:t>
      </w:r>
      <w:r w:rsidR="00A001A1">
        <w:rPr>
          <w:szCs w:val="24"/>
        </w:rPr>
        <w:t xml:space="preserve"> </w:t>
      </w:r>
    </w:p>
    <w:p w:rsidR="00CE1A03" w:rsidP="001A70EF" w14:paraId="75A6F034" w14:textId="645C023F">
      <w:pPr>
        <w:pStyle w:val="Heading3"/>
      </w:pPr>
      <w:r w:rsidRPr="00AB72E8">
        <w:rPr>
          <w:u w:color="000000"/>
        </w:rPr>
        <w:t>Use</w:t>
      </w:r>
      <w:r w:rsidRPr="00AB72E8">
        <w:rPr>
          <w:spacing w:val="-2"/>
          <w:u w:color="000000"/>
        </w:rPr>
        <w:t xml:space="preserve"> </w:t>
      </w:r>
      <w:r w:rsidRPr="00AB72E8">
        <w:rPr>
          <w:u w:color="000000"/>
        </w:rPr>
        <w:t>of</w:t>
      </w:r>
      <w:r w:rsidRPr="00AB72E8">
        <w:rPr>
          <w:spacing w:val="4"/>
          <w:u w:color="000000"/>
        </w:rPr>
        <w:t xml:space="preserve"> </w:t>
      </w:r>
      <w:r w:rsidRPr="00AB72E8">
        <w:rPr>
          <w:u w:color="000000"/>
        </w:rPr>
        <w:t>I</w:t>
      </w:r>
      <w:r w:rsidRPr="00AB72E8">
        <w:rPr>
          <w:spacing w:val="-5"/>
          <w:u w:color="000000"/>
        </w:rPr>
        <w:t>m</w:t>
      </w:r>
      <w:r w:rsidRPr="00AB72E8">
        <w:rPr>
          <w:spacing w:val="1"/>
          <w:u w:color="000000"/>
        </w:rPr>
        <w:t>p</w:t>
      </w:r>
      <w:r w:rsidRPr="00AB72E8">
        <w:rPr>
          <w:spacing w:val="-1"/>
          <w:u w:color="000000"/>
        </w:rPr>
        <w:t>r</w:t>
      </w:r>
      <w:r w:rsidRPr="00AB72E8">
        <w:rPr>
          <w:u w:color="000000"/>
        </w:rPr>
        <w:t>ov</w:t>
      </w:r>
      <w:r w:rsidRPr="00AB72E8">
        <w:rPr>
          <w:spacing w:val="-1"/>
          <w:u w:color="000000"/>
        </w:rPr>
        <w:t>e</w:t>
      </w:r>
      <w:r w:rsidRPr="00AB72E8">
        <w:rPr>
          <w:u w:color="000000"/>
        </w:rPr>
        <w:t>d</w:t>
      </w:r>
      <w:r w:rsidRPr="00AB72E8">
        <w:rPr>
          <w:spacing w:val="-4"/>
          <w:u w:color="000000"/>
        </w:rPr>
        <w:t xml:space="preserve"> </w:t>
      </w:r>
      <w:r w:rsidRPr="00AB72E8">
        <w:rPr>
          <w:u w:color="000000"/>
        </w:rPr>
        <w:t>I</w:t>
      </w:r>
      <w:r w:rsidRPr="00AB72E8">
        <w:rPr>
          <w:spacing w:val="1"/>
          <w:u w:color="000000"/>
        </w:rPr>
        <w:t>n</w:t>
      </w:r>
      <w:r w:rsidRPr="00AB72E8">
        <w:rPr>
          <w:spacing w:val="2"/>
          <w:u w:color="000000"/>
        </w:rPr>
        <w:t>f</w:t>
      </w:r>
      <w:r w:rsidRPr="00AB72E8">
        <w:rPr>
          <w:u w:color="000000"/>
        </w:rPr>
        <w:t>o</w:t>
      </w:r>
      <w:r w:rsidRPr="00AB72E8">
        <w:rPr>
          <w:spacing w:val="-1"/>
          <w:u w:color="000000"/>
        </w:rPr>
        <w:t>r</w:t>
      </w:r>
      <w:r w:rsidRPr="00AB72E8">
        <w:rPr>
          <w:spacing w:val="-5"/>
          <w:u w:color="000000"/>
        </w:rPr>
        <w:t>m</w:t>
      </w:r>
      <w:r w:rsidRPr="00AB72E8">
        <w:rPr>
          <w:spacing w:val="2"/>
          <w:u w:color="000000"/>
        </w:rPr>
        <w:t>a</w:t>
      </w:r>
      <w:r w:rsidRPr="00AB72E8">
        <w:rPr>
          <w:u w:color="000000"/>
        </w:rPr>
        <w:t>tion</w:t>
      </w:r>
      <w:r w:rsidRPr="00AB72E8">
        <w:rPr>
          <w:spacing w:val="-2"/>
          <w:u w:color="000000"/>
        </w:rPr>
        <w:t xml:space="preserve"> </w:t>
      </w:r>
      <w:r w:rsidRPr="00AB72E8">
        <w:rPr>
          <w:spacing w:val="-1"/>
          <w:u w:color="000000"/>
        </w:rPr>
        <w:t>Tec</w:t>
      </w:r>
      <w:r w:rsidRPr="00AB72E8">
        <w:rPr>
          <w:spacing w:val="1"/>
          <w:u w:color="000000"/>
        </w:rPr>
        <w:t>hn</w:t>
      </w:r>
      <w:r w:rsidRPr="00AB72E8">
        <w:rPr>
          <w:u w:color="000000"/>
        </w:rPr>
        <w:t>ology</w:t>
      </w:r>
      <w:r w:rsidRPr="00AB72E8">
        <w:rPr>
          <w:spacing w:val="-6"/>
          <w:u w:color="000000"/>
        </w:rPr>
        <w:t xml:space="preserve"> </w:t>
      </w:r>
      <w:r w:rsidRPr="00AB72E8">
        <w:rPr>
          <w:spacing w:val="2"/>
          <w:u w:color="000000"/>
        </w:rPr>
        <w:t>a</w:t>
      </w:r>
      <w:r w:rsidRPr="00AB72E8">
        <w:rPr>
          <w:spacing w:val="1"/>
          <w:u w:color="000000"/>
        </w:rPr>
        <w:t>nd</w:t>
      </w:r>
      <w:r w:rsidRPr="00AB72E8">
        <w:rPr>
          <w:spacing w:val="-2"/>
          <w:u w:color="000000"/>
        </w:rPr>
        <w:t xml:space="preserve"> </w:t>
      </w:r>
      <w:r w:rsidRPr="00AB72E8">
        <w:rPr>
          <w:spacing w:val="1"/>
          <w:u w:color="000000"/>
        </w:rPr>
        <w:t>Bu</w:t>
      </w:r>
      <w:r w:rsidRPr="00AB72E8">
        <w:rPr>
          <w:spacing w:val="-1"/>
          <w:u w:color="000000"/>
        </w:rPr>
        <w:t>r</w:t>
      </w:r>
      <w:r w:rsidRPr="00AB72E8">
        <w:rPr>
          <w:spacing w:val="1"/>
          <w:u w:color="000000"/>
        </w:rPr>
        <w:t>d</w:t>
      </w:r>
      <w:r w:rsidRPr="00AB72E8">
        <w:rPr>
          <w:spacing w:val="-1"/>
          <w:u w:color="000000"/>
        </w:rPr>
        <w:t>e</w:t>
      </w:r>
      <w:r w:rsidRPr="00AB72E8">
        <w:rPr>
          <w:u w:color="000000"/>
        </w:rPr>
        <w:t>n</w:t>
      </w:r>
      <w:r w:rsidRPr="00AB72E8">
        <w:rPr>
          <w:spacing w:val="-1"/>
          <w:u w:color="000000"/>
        </w:rPr>
        <w:t xml:space="preserve"> </w:t>
      </w:r>
      <w:r w:rsidRPr="00AB72E8">
        <w:rPr>
          <w:u w:color="000000"/>
        </w:rPr>
        <w:t>R</w:t>
      </w:r>
      <w:r w:rsidRPr="00AB72E8">
        <w:rPr>
          <w:spacing w:val="-2"/>
          <w:u w:color="000000"/>
        </w:rPr>
        <w:t>e</w:t>
      </w:r>
      <w:r w:rsidRPr="00AB72E8">
        <w:rPr>
          <w:spacing w:val="1"/>
          <w:u w:color="000000"/>
        </w:rPr>
        <w:t>du</w:t>
      </w:r>
      <w:r w:rsidRPr="00AB72E8">
        <w:rPr>
          <w:spacing w:val="-1"/>
          <w:u w:color="000000"/>
        </w:rPr>
        <w:t>ct</w:t>
      </w:r>
      <w:r w:rsidRPr="00AB72E8">
        <w:rPr>
          <w:u w:color="000000"/>
        </w:rPr>
        <w:t>ion</w:t>
      </w:r>
    </w:p>
    <w:p w:rsidR="009E360C" w:rsidRPr="009E360C" w:rsidP="001A70EF" w14:paraId="2059FFF7" w14:textId="16D9F0A6">
      <w:pPr>
        <w:pStyle w:val="BodyText"/>
      </w:pPr>
      <w:r w:rsidRPr="009E360C">
        <w:t>A</w:t>
      </w:r>
      <w:r w:rsidRPr="009E360C">
        <w:rPr>
          <w:spacing w:val="1"/>
        </w:rPr>
        <w:t>l</w:t>
      </w:r>
      <w:r w:rsidRPr="009E360C">
        <w:t>l</w:t>
      </w:r>
      <w:r w:rsidRPr="009E360C">
        <w:rPr>
          <w:spacing w:val="-1"/>
        </w:rPr>
        <w:t xml:space="preserve"> </w:t>
      </w:r>
      <w:r w:rsidRPr="009E360C">
        <w:rPr>
          <w:spacing w:val="1"/>
        </w:rPr>
        <w:t>i</w:t>
      </w:r>
      <w:r w:rsidRPr="009E360C">
        <w:t>nfor</w:t>
      </w:r>
      <w:r w:rsidRPr="009E360C">
        <w:rPr>
          <w:spacing w:val="1"/>
        </w:rPr>
        <w:t>m</w:t>
      </w:r>
      <w:r w:rsidRPr="009E360C">
        <w:rPr>
          <w:spacing w:val="-1"/>
        </w:rPr>
        <w:t>a</w:t>
      </w:r>
      <w:r w:rsidRPr="009E360C">
        <w:rPr>
          <w:spacing w:val="1"/>
        </w:rPr>
        <w:t>ti</w:t>
      </w:r>
      <w:r w:rsidRPr="009E360C">
        <w:t>on</w:t>
      </w:r>
      <w:r w:rsidRPr="009E360C">
        <w:rPr>
          <w:spacing w:val="-5"/>
        </w:rPr>
        <w:t xml:space="preserve"> </w:t>
      </w:r>
      <w:r w:rsidRPr="009E360C">
        <w:rPr>
          <w:spacing w:val="-2"/>
        </w:rPr>
        <w:t>co</w:t>
      </w:r>
      <w:r w:rsidRPr="009E360C">
        <w:rPr>
          <w:spacing w:val="1"/>
        </w:rPr>
        <w:t>l</w:t>
      </w:r>
      <w:r w:rsidRPr="009E360C">
        <w:t>l</w:t>
      </w:r>
      <w:r w:rsidRPr="009E360C">
        <w:rPr>
          <w:spacing w:val="-1"/>
        </w:rPr>
        <w:t>ec</w:t>
      </w:r>
      <w:r w:rsidRPr="009E360C">
        <w:rPr>
          <w:spacing w:val="1"/>
        </w:rPr>
        <w:t>t</w:t>
      </w:r>
      <w:r w:rsidRPr="009E360C">
        <w:rPr>
          <w:spacing w:val="-1"/>
        </w:rPr>
        <w:t>e</w:t>
      </w:r>
      <w:r w:rsidRPr="009E360C">
        <w:t>d</w:t>
      </w:r>
      <w:r w:rsidRPr="009E360C">
        <w:rPr>
          <w:spacing w:val="-6"/>
        </w:rPr>
        <w:t xml:space="preserve"> from</w:t>
      </w:r>
      <w:r w:rsidR="00A825C4">
        <w:rPr>
          <w:spacing w:val="-6"/>
        </w:rPr>
        <w:t xml:space="preserve"> an</w:t>
      </w:r>
      <w:r w:rsidRPr="009E360C">
        <w:rPr>
          <w:spacing w:val="-6"/>
        </w:rPr>
        <w:t xml:space="preserve"> </w:t>
      </w:r>
      <w:r w:rsidR="00A825C4">
        <w:rPr>
          <w:spacing w:val="-6"/>
        </w:rPr>
        <w:t>issuer</w:t>
      </w:r>
      <w:r w:rsidR="009F29A2">
        <w:rPr>
          <w:spacing w:val="-6"/>
        </w:rPr>
        <w:t>’s</w:t>
      </w:r>
      <w:r w:rsidRPr="009E360C">
        <w:rPr>
          <w:spacing w:val="-6"/>
        </w:rPr>
        <w:t xml:space="preserve"> </w:t>
      </w:r>
      <w:r w:rsidR="00A825C4">
        <w:rPr>
          <w:spacing w:val="1"/>
        </w:rPr>
        <w:t xml:space="preserve">QIS </w:t>
      </w:r>
      <w:r w:rsidRPr="009E360C">
        <w:t>w</w:t>
      </w:r>
      <w:r w:rsidRPr="009E360C">
        <w:rPr>
          <w:spacing w:val="1"/>
        </w:rPr>
        <w:t>il</w:t>
      </w:r>
      <w:r w:rsidRPr="009E360C">
        <w:t>l</w:t>
      </w:r>
      <w:r w:rsidRPr="009E360C">
        <w:rPr>
          <w:spacing w:val="-2"/>
        </w:rPr>
        <w:t xml:space="preserve"> </w:t>
      </w:r>
      <w:r w:rsidRPr="009E360C">
        <w:t>be</w:t>
      </w:r>
      <w:r w:rsidRPr="009E360C">
        <w:rPr>
          <w:spacing w:val="-3"/>
        </w:rPr>
        <w:t xml:space="preserve"> </w:t>
      </w:r>
      <w:r w:rsidRPr="009E360C">
        <w:t>sub</w:t>
      </w:r>
      <w:r w:rsidRPr="009E360C">
        <w:rPr>
          <w:spacing w:val="1"/>
        </w:rPr>
        <w:t>mitt</w:t>
      </w:r>
      <w:r w:rsidRPr="009E360C">
        <w:rPr>
          <w:spacing w:val="-1"/>
        </w:rPr>
        <w:t>e</w:t>
      </w:r>
      <w:r w:rsidRPr="009E360C">
        <w:t xml:space="preserve">d </w:t>
      </w:r>
      <w:r w:rsidRPr="009E360C">
        <w:rPr>
          <w:spacing w:val="-1"/>
        </w:rPr>
        <w:t>e</w:t>
      </w:r>
      <w:r w:rsidRPr="009E360C">
        <w:t>l</w:t>
      </w:r>
      <w:r w:rsidRPr="009E360C">
        <w:rPr>
          <w:spacing w:val="-1"/>
        </w:rPr>
        <w:t>ec</w:t>
      </w:r>
      <w:r w:rsidRPr="009E360C">
        <w:rPr>
          <w:spacing w:val="1"/>
        </w:rPr>
        <w:t>t</w:t>
      </w:r>
      <w:r w:rsidRPr="009E360C">
        <w:t>ron</w:t>
      </w:r>
      <w:r w:rsidRPr="009E360C">
        <w:rPr>
          <w:spacing w:val="1"/>
        </w:rPr>
        <w:t>i</w:t>
      </w:r>
      <w:r w:rsidRPr="009E360C">
        <w:rPr>
          <w:spacing w:val="-1"/>
        </w:rPr>
        <w:t>ca</w:t>
      </w:r>
      <w:r w:rsidRPr="009E360C">
        <w:rPr>
          <w:spacing w:val="1"/>
        </w:rPr>
        <w:t>l</w:t>
      </w:r>
      <w:r w:rsidRPr="009E360C">
        <w:rPr>
          <w:spacing w:val="5"/>
        </w:rPr>
        <w:t>l</w:t>
      </w:r>
      <w:r w:rsidRPr="009E360C">
        <w:t>y</w:t>
      </w:r>
      <w:r w:rsidRPr="009E360C">
        <w:rPr>
          <w:spacing w:val="-20"/>
        </w:rPr>
        <w:t>.</w:t>
      </w:r>
      <w:r w:rsidR="006F5828">
        <w:rPr>
          <w:spacing w:val="-20"/>
        </w:rPr>
        <w:t xml:space="preserve"> </w:t>
      </w:r>
      <w:r w:rsidR="004B2936">
        <w:t>CM</w:t>
      </w:r>
      <w:r w:rsidRPr="009E360C">
        <w:t>S w</w:t>
      </w:r>
      <w:r w:rsidRPr="009E360C">
        <w:rPr>
          <w:spacing w:val="1"/>
        </w:rPr>
        <w:t>il</w:t>
      </w:r>
      <w:r w:rsidRPr="009E360C">
        <w:t>l</w:t>
      </w:r>
      <w:r w:rsidRPr="009E360C">
        <w:rPr>
          <w:spacing w:val="-2"/>
        </w:rPr>
        <w:t xml:space="preserve"> </w:t>
      </w:r>
      <w:r w:rsidRPr="009E360C">
        <w:rPr>
          <w:spacing w:val="-1"/>
        </w:rPr>
        <w:t>a</w:t>
      </w:r>
      <w:r w:rsidRPr="009E360C">
        <w:rPr>
          <w:spacing w:val="2"/>
        </w:rPr>
        <w:t>n</w:t>
      </w:r>
      <w:r w:rsidRPr="009E360C">
        <w:rPr>
          <w:spacing w:val="-1"/>
        </w:rPr>
        <w:t>a</w:t>
      </w:r>
      <w:r w:rsidRPr="009E360C">
        <w:rPr>
          <w:spacing w:val="5"/>
        </w:rPr>
        <w:t>l</w:t>
      </w:r>
      <w:r w:rsidRPr="009E360C">
        <w:rPr>
          <w:spacing w:val="-12"/>
        </w:rPr>
        <w:t>y</w:t>
      </w:r>
      <w:r w:rsidRPr="009E360C">
        <w:rPr>
          <w:spacing w:val="1"/>
        </w:rPr>
        <w:t>z</w:t>
      </w:r>
      <w:r w:rsidRPr="009E360C">
        <w:t>e</w:t>
      </w:r>
      <w:r w:rsidRPr="009E360C">
        <w:rPr>
          <w:spacing w:val="-7"/>
        </w:rPr>
        <w:t xml:space="preserve"> </w:t>
      </w:r>
      <w:r w:rsidRPr="009E360C">
        <w:rPr>
          <w:spacing w:val="1"/>
        </w:rPr>
        <w:t>t</w:t>
      </w:r>
      <w:r w:rsidRPr="009E360C">
        <w:rPr>
          <w:spacing w:val="2"/>
        </w:rPr>
        <w:t>h</w:t>
      </w:r>
      <w:r w:rsidRPr="009E360C">
        <w:t>e</w:t>
      </w:r>
      <w:r w:rsidRPr="009E360C">
        <w:rPr>
          <w:spacing w:val="-3"/>
        </w:rPr>
        <w:t xml:space="preserve"> </w:t>
      </w:r>
      <w:r w:rsidR="00373630">
        <w:rPr>
          <w:spacing w:val="2"/>
        </w:rPr>
        <w:t>information</w:t>
      </w:r>
      <w:r w:rsidRPr="009E360C">
        <w:rPr>
          <w:spacing w:val="-4"/>
        </w:rPr>
        <w:t xml:space="preserve"> </w:t>
      </w:r>
      <w:r w:rsidRPr="009E360C">
        <w:rPr>
          <w:spacing w:val="-1"/>
        </w:rPr>
        <w:t>e</w:t>
      </w:r>
      <w:r w:rsidRPr="009E360C">
        <w:t>l</w:t>
      </w:r>
      <w:r w:rsidRPr="009E360C">
        <w:rPr>
          <w:spacing w:val="-1"/>
        </w:rPr>
        <w:t>ec</w:t>
      </w:r>
      <w:r w:rsidRPr="009E360C">
        <w:rPr>
          <w:spacing w:val="1"/>
        </w:rPr>
        <w:t>t</w:t>
      </w:r>
      <w:r w:rsidRPr="009E360C">
        <w:t>ron</w:t>
      </w:r>
      <w:r w:rsidRPr="009E360C">
        <w:rPr>
          <w:spacing w:val="1"/>
        </w:rPr>
        <w:t>i</w:t>
      </w:r>
      <w:r w:rsidRPr="009E360C">
        <w:rPr>
          <w:spacing w:val="-1"/>
        </w:rPr>
        <w:t>ca</w:t>
      </w:r>
      <w:r w:rsidRPr="009E360C">
        <w:rPr>
          <w:spacing w:val="1"/>
        </w:rPr>
        <w:t>l</w:t>
      </w:r>
      <w:r w:rsidRPr="009E360C">
        <w:rPr>
          <w:spacing w:val="5"/>
        </w:rPr>
        <w:t>l</w:t>
      </w:r>
      <w:r w:rsidRPr="009E360C">
        <w:t>y</w:t>
      </w:r>
      <w:r w:rsidRPr="009E360C">
        <w:rPr>
          <w:spacing w:val="-18"/>
        </w:rPr>
        <w:t xml:space="preserve"> </w:t>
      </w:r>
      <w:r w:rsidRPr="009E360C">
        <w:rPr>
          <w:spacing w:val="-1"/>
        </w:rPr>
        <w:t>a</w:t>
      </w:r>
      <w:r w:rsidRPr="009E360C">
        <w:t>nd</w:t>
      </w:r>
      <w:r w:rsidRPr="009E360C">
        <w:rPr>
          <w:spacing w:val="1"/>
        </w:rPr>
        <w:t xml:space="preserve"> </w:t>
      </w:r>
      <w:r w:rsidR="0077442B">
        <w:rPr>
          <w:spacing w:val="1"/>
        </w:rPr>
        <w:t xml:space="preserve">will </w:t>
      </w:r>
      <w:r w:rsidRPr="009E360C">
        <w:rPr>
          <w:spacing w:val="-1"/>
        </w:rPr>
        <w:t>c</w:t>
      </w:r>
      <w:r w:rsidRPr="009E360C">
        <w:t>o</w:t>
      </w:r>
      <w:r w:rsidRPr="009E360C">
        <w:rPr>
          <w:spacing w:val="1"/>
        </w:rPr>
        <w:t>m</w:t>
      </w:r>
      <w:r w:rsidRPr="009E360C">
        <w:rPr>
          <w:spacing w:val="3"/>
        </w:rPr>
        <w:t>m</w:t>
      </w:r>
      <w:r w:rsidRPr="009E360C">
        <w:t>un</w:t>
      </w:r>
      <w:r w:rsidRPr="009E360C">
        <w:rPr>
          <w:spacing w:val="-1"/>
        </w:rPr>
        <w:t>ica</w:t>
      </w:r>
      <w:r w:rsidRPr="009E360C">
        <w:t>te</w:t>
      </w:r>
      <w:r w:rsidRPr="009E360C">
        <w:rPr>
          <w:spacing w:val="-14"/>
        </w:rPr>
        <w:t xml:space="preserve"> </w:t>
      </w:r>
      <w:r w:rsidRPr="009E360C">
        <w:t>w</w:t>
      </w:r>
      <w:r w:rsidRPr="009E360C">
        <w:rPr>
          <w:spacing w:val="1"/>
        </w:rPr>
        <w:t>it</w:t>
      </w:r>
      <w:r w:rsidRPr="009E360C">
        <w:t>h</w:t>
      </w:r>
      <w:r w:rsidRPr="009E360C">
        <w:rPr>
          <w:spacing w:val="-1"/>
        </w:rPr>
        <w:t xml:space="preserve"> </w:t>
      </w:r>
      <w:r w:rsidR="004373C6">
        <w:rPr>
          <w:spacing w:val="-1"/>
        </w:rPr>
        <w:t xml:space="preserve">each </w:t>
      </w:r>
      <w:r w:rsidRPr="009E360C">
        <w:rPr>
          <w:spacing w:val="1"/>
        </w:rPr>
        <w:t>i</w:t>
      </w:r>
      <w:r w:rsidRPr="009E360C">
        <w:t>ssu</w:t>
      </w:r>
      <w:r w:rsidRPr="009E360C">
        <w:rPr>
          <w:spacing w:val="-1"/>
        </w:rPr>
        <w:t>e</w:t>
      </w:r>
      <w:r w:rsidRPr="009E360C">
        <w:rPr>
          <w:spacing w:val="-3"/>
        </w:rPr>
        <w:t>r</w:t>
      </w:r>
      <w:r w:rsidR="00DF680A">
        <w:t>, if necessary, by email and telephone.</w:t>
      </w:r>
    </w:p>
    <w:p w:rsidR="00CE1A03" w:rsidP="001A70EF" w14:paraId="37BD70FC" w14:textId="77777777">
      <w:pPr>
        <w:pStyle w:val="Heading3"/>
      </w:pPr>
      <w:r w:rsidRPr="00EE39D5">
        <w:t>Dupli</w:t>
      </w:r>
      <w:r w:rsidRPr="00EE39D5">
        <w:rPr>
          <w:spacing w:val="-1"/>
        </w:rPr>
        <w:t>ca</w:t>
      </w:r>
      <w:r w:rsidRPr="00EE39D5">
        <w:t>tion of</w:t>
      </w:r>
      <w:r w:rsidRPr="00EE39D5">
        <w:rPr>
          <w:spacing w:val="-1"/>
        </w:rPr>
        <w:t xml:space="preserve"> </w:t>
      </w:r>
      <w:r w:rsidRPr="00EE39D5">
        <w:t>E</w:t>
      </w:r>
      <w:r w:rsidRPr="00EE39D5">
        <w:rPr>
          <w:spacing w:val="-1"/>
        </w:rPr>
        <w:t>ff</w:t>
      </w:r>
      <w:r w:rsidRPr="00EE39D5">
        <w:t>o</w:t>
      </w:r>
      <w:r w:rsidRPr="00EE39D5">
        <w:rPr>
          <w:spacing w:val="-1"/>
        </w:rPr>
        <w:t>r</w:t>
      </w:r>
      <w:r w:rsidRPr="00EE39D5">
        <w:t>ts</w:t>
      </w:r>
    </w:p>
    <w:p w:rsidR="00CE1A03" w:rsidP="001A70EF" w14:paraId="79A44D9C" w14:textId="77777777">
      <w:pPr>
        <w:pStyle w:val="BodyText"/>
      </w:pPr>
      <w:r>
        <w:t>This in</w:t>
      </w:r>
      <w:r>
        <w:rPr>
          <w:spacing w:val="-1"/>
        </w:rPr>
        <w:t>f</w:t>
      </w:r>
      <w:r>
        <w:t>o</w:t>
      </w:r>
      <w:r>
        <w:rPr>
          <w:spacing w:val="-1"/>
        </w:rPr>
        <w:t>r</w:t>
      </w:r>
      <w:r>
        <w:t>m</w:t>
      </w:r>
      <w:r>
        <w:rPr>
          <w:spacing w:val="-1"/>
        </w:rPr>
        <w:t>a</w:t>
      </w:r>
      <w:r>
        <w:t xml:space="preserve">tion </w:t>
      </w:r>
      <w:r>
        <w:rPr>
          <w:spacing w:val="-1"/>
        </w:rPr>
        <w:t>c</w:t>
      </w:r>
      <w:r>
        <w:t>oll</w:t>
      </w:r>
      <w:r>
        <w:rPr>
          <w:spacing w:val="-1"/>
        </w:rPr>
        <w:t>ec</w:t>
      </w:r>
      <w:r>
        <w:t>tion do</w:t>
      </w:r>
      <w:r>
        <w:rPr>
          <w:spacing w:val="-1"/>
        </w:rPr>
        <w:t>e</w:t>
      </w:r>
      <w:r>
        <w:t>s not dupli</w:t>
      </w:r>
      <w:r>
        <w:rPr>
          <w:spacing w:val="-1"/>
        </w:rPr>
        <w:t>ca</w:t>
      </w:r>
      <w:r>
        <w:t>te</w:t>
      </w:r>
      <w:r>
        <w:rPr>
          <w:spacing w:val="-1"/>
        </w:rPr>
        <w:t xml:space="preserve"> a</w:t>
      </w:r>
      <w:r>
        <w:t>ny</w:t>
      </w:r>
      <w:r>
        <w:rPr>
          <w:spacing w:val="-7"/>
        </w:rPr>
        <w:t xml:space="preserve"> </w:t>
      </w:r>
      <w:r>
        <w:t>oth</w:t>
      </w:r>
      <w:r>
        <w:rPr>
          <w:spacing w:val="-1"/>
        </w:rPr>
        <w:t>e</w:t>
      </w:r>
      <w:r>
        <w:t>r</w:t>
      </w:r>
      <w:r>
        <w:rPr>
          <w:spacing w:val="-1"/>
        </w:rPr>
        <w:t xml:space="preserve"> </w:t>
      </w:r>
      <w:r w:rsidR="000349E9">
        <w:rPr>
          <w:spacing w:val="-1"/>
        </w:rPr>
        <w:t>f</w:t>
      </w:r>
      <w:r>
        <w:rPr>
          <w:spacing w:val="-1"/>
        </w:rPr>
        <w:t>e</w:t>
      </w:r>
      <w:r>
        <w:t>d</w:t>
      </w:r>
      <w:r>
        <w:rPr>
          <w:spacing w:val="-1"/>
        </w:rPr>
        <w:t>era</w:t>
      </w:r>
      <w:r>
        <w:t xml:space="preserve">l </w:t>
      </w:r>
      <w:r>
        <w:rPr>
          <w:spacing w:val="-1"/>
        </w:rPr>
        <w:t>eff</w:t>
      </w:r>
      <w:r>
        <w:t>o</w:t>
      </w:r>
      <w:r>
        <w:rPr>
          <w:spacing w:val="-1"/>
        </w:rPr>
        <w:t>r</w:t>
      </w:r>
      <w:r>
        <w:t>t.</w:t>
      </w:r>
    </w:p>
    <w:p w:rsidR="00CE1A03" w:rsidP="001A70EF" w14:paraId="2F424040" w14:textId="77777777">
      <w:pPr>
        <w:pStyle w:val="Heading3"/>
      </w:pPr>
      <w:r w:rsidRPr="00EE39D5">
        <w:t>I</w:t>
      </w:r>
      <w:r w:rsidRPr="00EE39D5">
        <w:rPr>
          <w:spacing w:val="-5"/>
        </w:rPr>
        <w:t>m</w:t>
      </w:r>
      <w:r w:rsidRPr="00EE39D5">
        <w:rPr>
          <w:spacing w:val="1"/>
        </w:rPr>
        <w:t>p</w:t>
      </w:r>
      <w:r w:rsidRPr="00EE39D5">
        <w:rPr>
          <w:spacing w:val="2"/>
        </w:rPr>
        <w:t>a</w:t>
      </w:r>
      <w:r w:rsidRPr="00EE39D5">
        <w:rPr>
          <w:spacing w:val="-1"/>
        </w:rPr>
        <w:t>c</w:t>
      </w:r>
      <w:r w:rsidRPr="00EE39D5">
        <w:t>t</w:t>
      </w:r>
      <w:r w:rsidRPr="00EE39D5">
        <w:rPr>
          <w:spacing w:val="-1"/>
        </w:rPr>
        <w:t xml:space="preserve"> </w:t>
      </w:r>
      <w:r w:rsidRPr="00EE39D5">
        <w:t>on</w:t>
      </w:r>
      <w:r w:rsidRPr="00EE39D5">
        <w:rPr>
          <w:spacing w:val="1"/>
        </w:rPr>
        <w:t xml:space="preserve"> </w:t>
      </w:r>
      <w:r w:rsidRPr="00EE39D5">
        <w:rPr>
          <w:spacing w:val="3"/>
        </w:rPr>
        <w:t>S</w:t>
      </w:r>
      <w:r w:rsidRPr="00EE39D5">
        <w:rPr>
          <w:spacing w:val="-6"/>
        </w:rPr>
        <w:t>m</w:t>
      </w:r>
      <w:r w:rsidRPr="00EE39D5">
        <w:t>all</w:t>
      </w:r>
      <w:r w:rsidRPr="00EE39D5">
        <w:rPr>
          <w:spacing w:val="-2"/>
        </w:rPr>
        <w:t xml:space="preserve"> </w:t>
      </w:r>
      <w:r w:rsidRPr="00EE39D5">
        <w:rPr>
          <w:spacing w:val="1"/>
        </w:rPr>
        <w:t>B</w:t>
      </w:r>
      <w:r w:rsidRPr="00EE39D5">
        <w:rPr>
          <w:spacing w:val="3"/>
        </w:rPr>
        <w:t>u</w:t>
      </w:r>
      <w:r w:rsidRPr="00EE39D5">
        <w:t>si</w:t>
      </w:r>
      <w:r w:rsidRPr="00EE39D5">
        <w:rPr>
          <w:spacing w:val="1"/>
        </w:rPr>
        <w:t>n</w:t>
      </w:r>
      <w:r w:rsidRPr="00EE39D5">
        <w:rPr>
          <w:spacing w:val="-1"/>
        </w:rPr>
        <w:t>e</w:t>
      </w:r>
      <w:r w:rsidRPr="00EE39D5">
        <w:t>ss</w:t>
      </w:r>
      <w:r w:rsidRPr="00EE39D5">
        <w:rPr>
          <w:spacing w:val="-1"/>
        </w:rPr>
        <w:t>e</w:t>
      </w:r>
      <w:r w:rsidRPr="00EE39D5">
        <w:t>s</w:t>
      </w:r>
      <w:r w:rsidRPr="00EE39D5">
        <w:rPr>
          <w:spacing w:val="-3"/>
        </w:rPr>
        <w:t xml:space="preserve"> </w:t>
      </w:r>
      <w:r w:rsidRPr="00EE39D5">
        <w:t>or</w:t>
      </w:r>
      <w:r w:rsidRPr="00EE39D5">
        <w:rPr>
          <w:spacing w:val="-3"/>
        </w:rPr>
        <w:t xml:space="preserve"> </w:t>
      </w:r>
      <w:r w:rsidRPr="00EE39D5">
        <w:t>Ot</w:t>
      </w:r>
      <w:r w:rsidRPr="00EE39D5">
        <w:rPr>
          <w:spacing w:val="1"/>
        </w:rPr>
        <w:t>h</w:t>
      </w:r>
      <w:r w:rsidRPr="00EE39D5">
        <w:rPr>
          <w:spacing w:val="-1"/>
        </w:rPr>
        <w:t>e</w:t>
      </w:r>
      <w:r w:rsidRPr="00EE39D5">
        <w:t>r</w:t>
      </w:r>
      <w:r w:rsidRPr="00EE39D5">
        <w:rPr>
          <w:spacing w:val="-5"/>
        </w:rPr>
        <w:t xml:space="preserve"> </w:t>
      </w:r>
      <w:r w:rsidRPr="00EE39D5">
        <w:rPr>
          <w:spacing w:val="3"/>
        </w:rPr>
        <w:t>S</w:t>
      </w:r>
      <w:r w:rsidRPr="00EE39D5">
        <w:rPr>
          <w:spacing w:val="-7"/>
        </w:rPr>
        <w:t>m</w:t>
      </w:r>
      <w:r w:rsidRPr="00EE39D5">
        <w:t>all</w:t>
      </w:r>
      <w:r w:rsidRPr="00EE39D5">
        <w:rPr>
          <w:spacing w:val="-2"/>
        </w:rPr>
        <w:t xml:space="preserve"> </w:t>
      </w:r>
      <w:r w:rsidRPr="00EE39D5">
        <w:rPr>
          <w:spacing w:val="1"/>
        </w:rPr>
        <w:t>En</w:t>
      </w:r>
      <w:r w:rsidRPr="00EE39D5">
        <w:t>titi</w:t>
      </w:r>
      <w:r w:rsidRPr="00EE39D5">
        <w:rPr>
          <w:spacing w:val="-1"/>
        </w:rPr>
        <w:t>e</w:t>
      </w:r>
      <w:r w:rsidRPr="00EE39D5">
        <w:t>s</w:t>
      </w:r>
    </w:p>
    <w:p w:rsidR="00CE1A03" w:rsidP="001A70EF" w14:paraId="1BA7A45B" w14:textId="77777777">
      <w:pPr>
        <w:pStyle w:val="BodyText"/>
      </w:pPr>
      <w:r>
        <w:t>This in</w:t>
      </w:r>
      <w:r>
        <w:rPr>
          <w:spacing w:val="-1"/>
        </w:rPr>
        <w:t>f</w:t>
      </w:r>
      <w:r>
        <w:t>o</w:t>
      </w:r>
      <w:r>
        <w:rPr>
          <w:spacing w:val="-1"/>
        </w:rPr>
        <w:t>r</w:t>
      </w:r>
      <w:r>
        <w:t>m</w:t>
      </w:r>
      <w:r>
        <w:rPr>
          <w:spacing w:val="-1"/>
        </w:rPr>
        <w:t>a</w:t>
      </w:r>
      <w:r>
        <w:t xml:space="preserve">tion </w:t>
      </w:r>
      <w:r>
        <w:rPr>
          <w:spacing w:val="-1"/>
        </w:rPr>
        <w:t>c</w:t>
      </w:r>
      <w:r>
        <w:t>oll</w:t>
      </w:r>
      <w:r>
        <w:rPr>
          <w:spacing w:val="-1"/>
        </w:rPr>
        <w:t>ec</w:t>
      </w:r>
      <w:r>
        <w:t>tion will not h</w:t>
      </w:r>
      <w:r>
        <w:rPr>
          <w:spacing w:val="-1"/>
        </w:rPr>
        <w:t>a</w:t>
      </w:r>
      <w:r>
        <w:t>ve</w:t>
      </w:r>
      <w:r>
        <w:rPr>
          <w:spacing w:val="-1"/>
        </w:rPr>
        <w:t xml:space="preserve"> </w:t>
      </w:r>
      <w:r>
        <w:t>a</w:t>
      </w:r>
      <w:r>
        <w:rPr>
          <w:spacing w:val="-1"/>
        </w:rPr>
        <w:t xml:space="preserve"> </w:t>
      </w:r>
      <w:r>
        <w:t>si</w:t>
      </w:r>
      <w:r>
        <w:rPr>
          <w:spacing w:val="-2"/>
        </w:rPr>
        <w:t>g</w:t>
      </w:r>
      <w:r>
        <w:t>ni</w:t>
      </w:r>
      <w:r>
        <w:rPr>
          <w:spacing w:val="-1"/>
        </w:rPr>
        <w:t>f</w:t>
      </w:r>
      <w:r>
        <w:t>i</w:t>
      </w:r>
      <w:r>
        <w:rPr>
          <w:spacing w:val="-1"/>
        </w:rPr>
        <w:t>ca</w:t>
      </w:r>
      <w:r>
        <w:t>nt imp</w:t>
      </w:r>
      <w:r>
        <w:rPr>
          <w:spacing w:val="-1"/>
        </w:rPr>
        <w:t>ac</w:t>
      </w:r>
      <w:r>
        <w:t>t on sm</w:t>
      </w:r>
      <w:r>
        <w:rPr>
          <w:spacing w:val="-1"/>
        </w:rPr>
        <w:t>a</w:t>
      </w:r>
      <w:r>
        <w:t>ll busin</w:t>
      </w:r>
      <w:r>
        <w:rPr>
          <w:spacing w:val="-1"/>
        </w:rPr>
        <w:t>e</w:t>
      </w:r>
      <w:r>
        <w:t>ss</w:t>
      </w:r>
      <w:r>
        <w:rPr>
          <w:spacing w:val="-1"/>
        </w:rPr>
        <w:t>e</w:t>
      </w:r>
      <w:r>
        <w:t>s.</w:t>
      </w:r>
    </w:p>
    <w:p w:rsidR="00CE1A03" w:rsidP="001A70EF" w14:paraId="0958E704" w14:textId="77777777">
      <w:pPr>
        <w:pStyle w:val="Heading3"/>
      </w:pPr>
      <w:r w:rsidRPr="00AB72E8">
        <w:rPr>
          <w:u w:color="000000"/>
        </w:rPr>
        <w:t>Co</w:t>
      </w:r>
      <w:r w:rsidRPr="00AB72E8">
        <w:rPr>
          <w:spacing w:val="1"/>
          <w:u w:color="000000"/>
        </w:rPr>
        <w:t>n</w:t>
      </w:r>
      <w:r w:rsidRPr="00AB72E8">
        <w:rPr>
          <w:u w:color="000000"/>
        </w:rPr>
        <w:t>s</w:t>
      </w:r>
      <w:r w:rsidRPr="00AB72E8">
        <w:rPr>
          <w:spacing w:val="-1"/>
          <w:u w:color="000000"/>
        </w:rPr>
        <w:t>e</w:t>
      </w:r>
      <w:r w:rsidRPr="00AB72E8">
        <w:rPr>
          <w:spacing w:val="1"/>
          <w:u w:color="000000"/>
        </w:rPr>
        <w:t>qu</w:t>
      </w:r>
      <w:r w:rsidRPr="00AB72E8">
        <w:rPr>
          <w:spacing w:val="-1"/>
          <w:u w:color="000000"/>
        </w:rPr>
        <w:t>e</w:t>
      </w:r>
      <w:r w:rsidRPr="00AB72E8">
        <w:rPr>
          <w:spacing w:val="1"/>
          <w:u w:color="000000"/>
        </w:rPr>
        <w:t>n</w:t>
      </w:r>
      <w:r w:rsidRPr="00AB72E8">
        <w:rPr>
          <w:spacing w:val="-1"/>
          <w:u w:color="000000"/>
        </w:rPr>
        <w:t>ces</w:t>
      </w:r>
      <w:r w:rsidRPr="00AB72E8">
        <w:rPr>
          <w:spacing w:val="-3"/>
          <w:u w:color="000000"/>
        </w:rPr>
        <w:t xml:space="preserve"> </w:t>
      </w:r>
      <w:r w:rsidRPr="00AB72E8">
        <w:rPr>
          <w:u w:color="000000"/>
        </w:rPr>
        <w:t>of</w:t>
      </w:r>
      <w:r w:rsidRPr="00AB72E8">
        <w:rPr>
          <w:spacing w:val="4"/>
          <w:u w:color="000000"/>
        </w:rPr>
        <w:t xml:space="preserve"> </w:t>
      </w:r>
      <w:r w:rsidRPr="00AB72E8">
        <w:rPr>
          <w:u w:color="000000"/>
        </w:rPr>
        <w:t>C</w:t>
      </w:r>
      <w:r w:rsidRPr="00AB72E8">
        <w:rPr>
          <w:spacing w:val="-2"/>
          <w:u w:color="000000"/>
        </w:rPr>
        <w:t>o</w:t>
      </w:r>
      <w:r w:rsidRPr="00AB72E8">
        <w:rPr>
          <w:u w:color="000000"/>
        </w:rPr>
        <w:t>ll</w:t>
      </w:r>
      <w:r w:rsidRPr="00AB72E8">
        <w:rPr>
          <w:spacing w:val="-1"/>
          <w:u w:color="000000"/>
        </w:rPr>
        <w:t>ect</w:t>
      </w:r>
      <w:r w:rsidRPr="00AB72E8">
        <w:rPr>
          <w:u w:color="000000"/>
        </w:rPr>
        <w:t>i</w:t>
      </w:r>
      <w:r w:rsidRPr="00AB72E8">
        <w:rPr>
          <w:spacing w:val="1"/>
          <w:u w:color="000000"/>
        </w:rPr>
        <w:t>n</w:t>
      </w:r>
      <w:r w:rsidRPr="00AB72E8">
        <w:rPr>
          <w:u w:color="000000"/>
        </w:rPr>
        <w:t>g</w:t>
      </w:r>
      <w:r w:rsidRPr="00AB72E8">
        <w:rPr>
          <w:spacing w:val="-5"/>
          <w:u w:color="000000"/>
        </w:rPr>
        <w:t xml:space="preserve"> </w:t>
      </w:r>
      <w:r w:rsidRPr="00AB72E8">
        <w:rPr>
          <w:u w:color="000000"/>
        </w:rPr>
        <w:t>t</w:t>
      </w:r>
      <w:r w:rsidRPr="00AB72E8">
        <w:rPr>
          <w:spacing w:val="1"/>
          <w:u w:color="000000"/>
        </w:rPr>
        <w:t>h</w:t>
      </w:r>
      <w:r w:rsidRPr="00AB72E8">
        <w:rPr>
          <w:u w:color="000000"/>
        </w:rPr>
        <w:t>e</w:t>
      </w:r>
      <w:r w:rsidRPr="00AB72E8">
        <w:rPr>
          <w:spacing w:val="-2"/>
          <w:u w:color="000000"/>
        </w:rPr>
        <w:t xml:space="preserve"> </w:t>
      </w:r>
      <w:r w:rsidRPr="00AB72E8">
        <w:rPr>
          <w:u w:color="000000"/>
        </w:rPr>
        <w:t>I</w:t>
      </w:r>
      <w:r w:rsidRPr="00AB72E8">
        <w:rPr>
          <w:spacing w:val="-1"/>
          <w:u w:color="000000"/>
        </w:rPr>
        <w:t>n</w:t>
      </w:r>
      <w:r w:rsidRPr="00AB72E8">
        <w:rPr>
          <w:spacing w:val="4"/>
          <w:u w:color="000000"/>
        </w:rPr>
        <w:t>f</w:t>
      </w:r>
      <w:r w:rsidRPr="00AB72E8">
        <w:rPr>
          <w:u w:color="000000"/>
        </w:rPr>
        <w:t>o</w:t>
      </w:r>
      <w:r w:rsidRPr="00AB72E8">
        <w:rPr>
          <w:spacing w:val="-1"/>
          <w:u w:color="000000"/>
        </w:rPr>
        <w:t>r</w:t>
      </w:r>
      <w:r w:rsidRPr="00AB72E8">
        <w:rPr>
          <w:spacing w:val="-5"/>
          <w:u w:color="000000"/>
        </w:rPr>
        <w:t>m</w:t>
      </w:r>
      <w:r w:rsidRPr="00AB72E8">
        <w:rPr>
          <w:u w:color="000000"/>
        </w:rPr>
        <w:t>ation</w:t>
      </w:r>
      <w:r w:rsidRPr="00AB72E8">
        <w:rPr>
          <w:spacing w:val="-2"/>
          <w:u w:color="000000"/>
        </w:rPr>
        <w:t xml:space="preserve"> </w:t>
      </w:r>
      <w:r w:rsidRPr="00AB72E8">
        <w:rPr>
          <w:spacing w:val="1"/>
          <w:u w:color="000000"/>
        </w:rPr>
        <w:t>L</w:t>
      </w:r>
      <w:r w:rsidRPr="00AB72E8">
        <w:rPr>
          <w:spacing w:val="-2"/>
          <w:u w:color="000000"/>
        </w:rPr>
        <w:t>e</w:t>
      </w:r>
      <w:r w:rsidRPr="00AB72E8">
        <w:rPr>
          <w:u w:color="000000"/>
        </w:rPr>
        <w:t>ss</w:t>
      </w:r>
      <w:r w:rsidRPr="00AB72E8">
        <w:rPr>
          <w:spacing w:val="-3"/>
          <w:u w:color="000000"/>
        </w:rPr>
        <w:t xml:space="preserve"> </w:t>
      </w:r>
      <w:r w:rsidRPr="00AB72E8">
        <w:rPr>
          <w:spacing w:val="-2"/>
          <w:u w:color="000000"/>
        </w:rPr>
        <w:t>F</w:t>
      </w:r>
      <w:r w:rsidRPr="00AB72E8">
        <w:rPr>
          <w:spacing w:val="-1"/>
          <w:u w:color="000000"/>
        </w:rPr>
        <w:t>re</w:t>
      </w:r>
      <w:r w:rsidRPr="00AB72E8">
        <w:rPr>
          <w:spacing w:val="1"/>
          <w:u w:color="000000"/>
        </w:rPr>
        <w:t>qu</w:t>
      </w:r>
      <w:r w:rsidRPr="00AB72E8">
        <w:rPr>
          <w:spacing w:val="-1"/>
          <w:u w:color="000000"/>
        </w:rPr>
        <w:t>e</w:t>
      </w:r>
      <w:r w:rsidRPr="00AB72E8">
        <w:rPr>
          <w:spacing w:val="1"/>
          <w:u w:color="000000"/>
        </w:rPr>
        <w:t>n</w:t>
      </w:r>
      <w:r w:rsidRPr="00AB72E8">
        <w:rPr>
          <w:spacing w:val="-1"/>
          <w:u w:color="000000"/>
        </w:rPr>
        <w:t>t</w:t>
      </w:r>
      <w:r w:rsidRPr="00AB72E8">
        <w:rPr>
          <w:u w:color="000000"/>
        </w:rPr>
        <w:t>ly</w:t>
      </w:r>
    </w:p>
    <w:p w:rsidR="00CE1A03" w:rsidP="001A70EF" w14:paraId="32A34185" w14:textId="6BD1EE5B">
      <w:pPr>
        <w:pStyle w:val="BodyText"/>
      </w:pPr>
      <w:r>
        <w:t>CM</w:t>
      </w:r>
      <w:r w:rsidR="009E360C">
        <w:t xml:space="preserve">S </w:t>
      </w:r>
      <w:r w:rsidR="00DE15ED">
        <w:t>must</w:t>
      </w:r>
      <w:r w:rsidRPr="00AE66F5" w:rsidR="009E360C">
        <w:t xml:space="preserve"> </w:t>
      </w:r>
      <w:r w:rsidR="009E360C">
        <w:t>co</w:t>
      </w:r>
      <w:r w:rsidR="009E360C">
        <w:rPr>
          <w:spacing w:val="1"/>
        </w:rPr>
        <w:t>l</w:t>
      </w:r>
      <w:r w:rsidR="009E360C">
        <w:t>lect</w:t>
      </w:r>
      <w:r w:rsidRPr="00AE66F5" w:rsidR="009E360C">
        <w:t xml:space="preserve"> </w:t>
      </w:r>
      <w:r w:rsidR="009E360C">
        <w:rPr>
          <w:spacing w:val="-2"/>
        </w:rPr>
        <w:t>QIS</w:t>
      </w:r>
      <w:r w:rsidRPr="00AE66F5" w:rsidR="009E360C">
        <w:t xml:space="preserve"> </w:t>
      </w:r>
      <w:r w:rsidR="002364C3">
        <w:rPr>
          <w:spacing w:val="1"/>
        </w:rPr>
        <w:t>information</w:t>
      </w:r>
      <w:r w:rsidRPr="00AE66F5" w:rsidR="009E360C">
        <w:t xml:space="preserve"> </w:t>
      </w:r>
      <w:r w:rsidR="009E360C">
        <w:t>on a</w:t>
      </w:r>
      <w:r w:rsidR="009E360C">
        <w:rPr>
          <w:spacing w:val="-2"/>
        </w:rPr>
        <w:t xml:space="preserve">n annual </w:t>
      </w:r>
      <w:r w:rsidR="009E360C">
        <w:t>bas</w:t>
      </w:r>
      <w:r w:rsidR="009E360C">
        <w:rPr>
          <w:spacing w:val="4"/>
        </w:rPr>
        <w:t>i</w:t>
      </w:r>
      <w:r w:rsidR="009E360C">
        <w:t>s</w:t>
      </w:r>
      <w:r w:rsidRPr="00A40F7C" w:rsidR="00DE15ED">
        <w:t xml:space="preserve"> t</w:t>
      </w:r>
      <w:r w:rsidR="00DE15ED">
        <w:t>o</w:t>
      </w:r>
      <w:r w:rsidRPr="00AE66F5" w:rsidR="009E360C">
        <w:t xml:space="preserve"> </w:t>
      </w:r>
      <w:r w:rsidR="00137FE3">
        <w:t>evaluate a</w:t>
      </w:r>
      <w:r w:rsidR="005C6670">
        <w:t>n</w:t>
      </w:r>
      <w:r w:rsidR="00137FE3">
        <w:t xml:space="preserve"> issuer’s compliance with the conditions for </w:t>
      </w:r>
      <w:r w:rsidR="00DE15ED">
        <w:t xml:space="preserve">QHP </w:t>
      </w:r>
      <w:r w:rsidR="00772F2C">
        <w:t>c</w:t>
      </w:r>
      <w:r w:rsidR="00137FE3">
        <w:t>ertific</w:t>
      </w:r>
      <w:r w:rsidR="00DE15ED">
        <w:t xml:space="preserve">ation and annual recertification through the </w:t>
      </w:r>
      <w:r w:rsidR="00072085">
        <w:t xml:space="preserve">Exchanges </w:t>
      </w:r>
      <w:r w:rsidR="00DE15ED">
        <w:t>according to the</w:t>
      </w:r>
      <w:r w:rsidRPr="00111B17" w:rsidR="002A5E0B">
        <w:t xml:space="preserve"> </w:t>
      </w:r>
      <w:r w:rsidR="00077B13">
        <w:t>PPACA</w:t>
      </w:r>
      <w:r w:rsidRPr="00111B17" w:rsidR="00625138">
        <w:t>.</w:t>
      </w:r>
      <w:r w:rsidR="00077B13">
        <w:t xml:space="preserve"> </w:t>
      </w:r>
      <w:r w:rsidR="00D36457">
        <w:t xml:space="preserve">Less frequent information collection would result in non-compliance with federal </w:t>
      </w:r>
      <w:r w:rsidR="00820223">
        <w:t>regulations</w:t>
      </w:r>
      <w:r w:rsidR="00D36457">
        <w:t xml:space="preserve">. </w:t>
      </w:r>
    </w:p>
    <w:p w:rsidR="00CE1A03" w:rsidP="001A70EF" w14:paraId="3C156694" w14:textId="77777777">
      <w:pPr>
        <w:pStyle w:val="Heading3"/>
        <w:rPr>
          <w:u w:color="000000"/>
        </w:rPr>
      </w:pPr>
      <w:r w:rsidRPr="00F9470C">
        <w:rPr>
          <w:spacing w:val="1"/>
          <w:u w:color="000000"/>
        </w:rPr>
        <w:t>S</w:t>
      </w:r>
      <w:r w:rsidRPr="00F9470C">
        <w:rPr>
          <w:u w:color="000000"/>
        </w:rPr>
        <w:t>pecial</w:t>
      </w:r>
      <w:r w:rsidRPr="00F9470C">
        <w:rPr>
          <w:spacing w:val="1"/>
          <w:u w:color="000000"/>
        </w:rPr>
        <w:t xml:space="preserve"> C</w:t>
      </w:r>
      <w:r w:rsidRPr="00F9470C">
        <w:rPr>
          <w:u w:color="000000"/>
        </w:rPr>
        <w:t>ircumstances</w:t>
      </w:r>
    </w:p>
    <w:p w:rsidR="00EE39D5" w:rsidP="001A70EF" w14:paraId="1C0D1EC0" w14:textId="6FEA1D50">
      <w:pPr>
        <w:pStyle w:val="BodyText"/>
        <w:rPr>
          <w:spacing w:val="-6"/>
        </w:rPr>
      </w:pPr>
      <w:r>
        <w:t>There are no special circumstances associated with this information collection.</w:t>
      </w:r>
    </w:p>
    <w:p w:rsidR="00CE1A03" w:rsidRPr="00137FE3" w:rsidP="001A70EF" w14:paraId="3E615D34" w14:textId="77777777">
      <w:pPr>
        <w:pStyle w:val="Heading3"/>
      </w:pPr>
      <w:r w:rsidRPr="00AB72E8">
        <w:rPr>
          <w:spacing w:val="-5"/>
          <w:u w:color="000000"/>
        </w:rPr>
        <w:t>F</w:t>
      </w:r>
      <w:r w:rsidRPr="00AB72E8">
        <w:rPr>
          <w:spacing w:val="-1"/>
          <w:u w:color="000000"/>
        </w:rPr>
        <w:t>e</w:t>
      </w:r>
      <w:r w:rsidRPr="00AB72E8">
        <w:rPr>
          <w:u w:color="000000"/>
        </w:rPr>
        <w:t>d</w:t>
      </w:r>
      <w:r w:rsidRPr="00AB72E8">
        <w:rPr>
          <w:spacing w:val="-1"/>
          <w:u w:color="000000"/>
        </w:rPr>
        <w:t>er</w:t>
      </w:r>
      <w:r w:rsidRPr="00AB72E8">
        <w:rPr>
          <w:u w:color="000000"/>
        </w:rPr>
        <w:t>al</w:t>
      </w:r>
      <w:r w:rsidRPr="00AB72E8">
        <w:rPr>
          <w:spacing w:val="-4"/>
          <w:u w:color="000000"/>
        </w:rPr>
        <w:t xml:space="preserve"> </w:t>
      </w:r>
      <w:r w:rsidRPr="00AB72E8">
        <w:rPr>
          <w:u w:color="000000"/>
        </w:rPr>
        <w:t>R</w:t>
      </w:r>
      <w:r w:rsidRPr="00AB72E8">
        <w:rPr>
          <w:spacing w:val="-1"/>
          <w:u w:color="000000"/>
        </w:rPr>
        <w:t>e</w:t>
      </w:r>
      <w:r w:rsidRPr="00AB72E8">
        <w:rPr>
          <w:u w:color="000000"/>
        </w:rPr>
        <w:t>gi</w:t>
      </w:r>
      <w:r w:rsidRPr="00AB72E8">
        <w:rPr>
          <w:spacing w:val="3"/>
          <w:u w:color="000000"/>
        </w:rPr>
        <w:t>s</w:t>
      </w:r>
      <w:r w:rsidRPr="00AB72E8">
        <w:rPr>
          <w:u w:color="000000"/>
        </w:rPr>
        <w:t>t</w:t>
      </w:r>
      <w:r w:rsidRPr="00AB72E8">
        <w:rPr>
          <w:spacing w:val="-1"/>
          <w:u w:color="000000"/>
        </w:rPr>
        <w:t>e</w:t>
      </w:r>
      <w:r w:rsidRPr="00AB72E8">
        <w:rPr>
          <w:u w:color="000000"/>
        </w:rPr>
        <w:t>r</w:t>
      </w:r>
      <w:r w:rsidRPr="00AB72E8">
        <w:rPr>
          <w:spacing w:val="-4"/>
          <w:u w:color="000000"/>
        </w:rPr>
        <w:t xml:space="preserve"> </w:t>
      </w:r>
      <w:r w:rsidRPr="00AB72E8">
        <w:rPr>
          <w:u w:color="000000"/>
        </w:rPr>
        <w:t>Noti</w:t>
      </w:r>
      <w:r w:rsidRPr="00AB72E8">
        <w:rPr>
          <w:spacing w:val="-1"/>
          <w:u w:color="000000"/>
        </w:rPr>
        <w:t>ce</w:t>
      </w:r>
      <w:r w:rsidRPr="00AB72E8">
        <w:rPr>
          <w:u w:color="000000"/>
        </w:rPr>
        <w:t>/O</w:t>
      </w:r>
      <w:r w:rsidRPr="00AB72E8">
        <w:rPr>
          <w:spacing w:val="1"/>
          <w:u w:color="000000"/>
        </w:rPr>
        <w:t>u</w:t>
      </w:r>
      <w:r w:rsidRPr="00AB72E8">
        <w:rPr>
          <w:spacing w:val="-1"/>
          <w:u w:color="000000"/>
        </w:rPr>
        <w:t>t</w:t>
      </w:r>
      <w:r w:rsidRPr="00AB72E8">
        <w:rPr>
          <w:u w:color="000000"/>
        </w:rPr>
        <w:t>si</w:t>
      </w:r>
      <w:r w:rsidRPr="00AB72E8">
        <w:rPr>
          <w:spacing w:val="1"/>
          <w:u w:color="000000"/>
        </w:rPr>
        <w:t>d</w:t>
      </w:r>
      <w:r w:rsidRPr="00AB72E8">
        <w:rPr>
          <w:u w:color="000000"/>
        </w:rPr>
        <w:t>e</w:t>
      </w:r>
      <w:r w:rsidRPr="00AB72E8">
        <w:rPr>
          <w:spacing w:val="-10"/>
          <w:u w:color="000000"/>
        </w:rPr>
        <w:t xml:space="preserve"> </w:t>
      </w:r>
      <w:r w:rsidRPr="00AB72E8">
        <w:rPr>
          <w:u w:color="000000"/>
        </w:rPr>
        <w:t>Co</w:t>
      </w:r>
      <w:r w:rsidRPr="00AB72E8">
        <w:rPr>
          <w:spacing w:val="1"/>
          <w:u w:color="000000"/>
        </w:rPr>
        <w:t>n</w:t>
      </w:r>
      <w:r w:rsidRPr="00AB72E8">
        <w:rPr>
          <w:u w:color="000000"/>
        </w:rPr>
        <w:t>s</w:t>
      </w:r>
      <w:r w:rsidRPr="00AB72E8">
        <w:rPr>
          <w:spacing w:val="1"/>
          <w:u w:color="000000"/>
        </w:rPr>
        <w:t>u</w:t>
      </w:r>
      <w:r w:rsidRPr="00AB72E8">
        <w:rPr>
          <w:u w:color="000000"/>
        </w:rPr>
        <w:t>ltation</w:t>
      </w:r>
      <w:r w:rsidRPr="00137FE3">
        <w:t xml:space="preserve"> </w:t>
      </w:r>
    </w:p>
    <w:p w:rsidR="00060924" w:rsidP="177BD681" w14:paraId="5DD581B4" w14:textId="6E238F76">
      <w:pPr>
        <w:pStyle w:val="BodyText"/>
      </w:pPr>
      <w:r>
        <w:t>Upon approval of the</w:t>
      </w:r>
      <w:r w:rsidR="0094733F">
        <w:t xml:space="preserve"> Information Collection Request (ICR) under OMB Control Number</w:t>
      </w:r>
      <w:r w:rsidR="005E6EC9">
        <w:t xml:space="preserve"> 0938</w:t>
      </w:r>
      <w:r w:rsidR="007E241B">
        <w:noBreakHyphen/>
      </w:r>
      <w:r w:rsidR="005E6EC9">
        <w:t>1286</w:t>
      </w:r>
      <w:r>
        <w:t xml:space="preserve"> in </w:t>
      </w:r>
      <w:r w:rsidR="00E65FF5">
        <w:t>2021</w:t>
      </w:r>
      <w:r w:rsidR="0002254F">
        <w:t xml:space="preserve">, </w:t>
      </w:r>
      <w:r w:rsidR="00651C47">
        <w:t xml:space="preserve">CMS </w:t>
      </w:r>
      <w:r w:rsidR="00C82CB3">
        <w:t xml:space="preserve">refined </w:t>
      </w:r>
      <w:r w:rsidR="00651C47">
        <w:t>t</w:t>
      </w:r>
      <w:r w:rsidR="00A10D49">
        <w:t>he</w:t>
      </w:r>
      <w:r w:rsidR="00A40F7C">
        <w:t xml:space="preserve"> </w:t>
      </w:r>
      <w:r w:rsidR="009E6A34">
        <w:t>QIS form</w:t>
      </w:r>
      <w:r w:rsidR="00C82CB3">
        <w:t xml:space="preserve">, separating it into </w:t>
      </w:r>
      <w:r w:rsidR="003817BC">
        <w:t xml:space="preserve">three </w:t>
      </w:r>
      <w:r w:rsidR="2D1FF6CF">
        <w:t xml:space="preserve">documents </w:t>
      </w:r>
      <w:r w:rsidR="003817BC">
        <w:t xml:space="preserve">including the </w:t>
      </w:r>
      <w:r w:rsidR="008E1913">
        <w:t>Implementation Plan</w:t>
      </w:r>
      <w:r w:rsidR="0002254F">
        <w:t xml:space="preserve">, </w:t>
      </w:r>
      <w:r w:rsidR="008E1913">
        <w:t>Progress Report</w:t>
      </w:r>
      <w:r w:rsidR="0002254F">
        <w:t>, and Modification Summary Supplement</w:t>
      </w:r>
      <w:r w:rsidR="008E1913">
        <w:t xml:space="preserve"> forms</w:t>
      </w:r>
      <w:r w:rsidR="008D6B54">
        <w:t>.</w:t>
      </w:r>
      <w:r w:rsidR="0035300B">
        <w:t xml:space="preserve"> </w:t>
      </w:r>
      <w:r w:rsidR="008D6B54">
        <w:t xml:space="preserve">This </w:t>
      </w:r>
      <w:r w:rsidR="008D6B54">
        <w:t xml:space="preserve">refinement </w:t>
      </w:r>
      <w:r w:rsidR="0035300B">
        <w:t>streamline</w:t>
      </w:r>
      <w:r w:rsidR="00CE7478">
        <w:t>d</w:t>
      </w:r>
      <w:r w:rsidR="0035300B">
        <w:t xml:space="preserve"> information collection and reduce</w:t>
      </w:r>
      <w:r w:rsidR="39B48B20">
        <w:t>d</w:t>
      </w:r>
      <w:r w:rsidR="0035300B">
        <w:t xml:space="preserve"> burden on issuers</w:t>
      </w:r>
      <w:r w:rsidR="00C82CB3">
        <w:t>,</w:t>
      </w:r>
      <w:r w:rsidR="009E6A34">
        <w:t xml:space="preserve"> </w:t>
      </w:r>
      <w:r w:rsidR="001F674D">
        <w:t xml:space="preserve">based on </w:t>
      </w:r>
      <w:r w:rsidR="00EC3723">
        <w:t xml:space="preserve">feedback </w:t>
      </w:r>
      <w:r w:rsidR="00964AD4">
        <w:t xml:space="preserve">received </w:t>
      </w:r>
      <w:r w:rsidR="00EC3723">
        <w:t xml:space="preserve">from </w:t>
      </w:r>
      <w:r w:rsidR="00C82CB3">
        <w:t>issuer</w:t>
      </w:r>
      <w:r w:rsidR="00EC3723">
        <w:t>s</w:t>
      </w:r>
      <w:r w:rsidR="004F6B33">
        <w:t xml:space="preserve">, Exchanges, and other </w:t>
      </w:r>
      <w:r w:rsidR="00964AD4">
        <w:t xml:space="preserve">interested </w:t>
      </w:r>
      <w:r w:rsidR="005E069E">
        <w:t>persons.</w:t>
      </w:r>
      <w:r w:rsidR="002E02BA">
        <w:t xml:space="preserve"> </w:t>
      </w:r>
      <w:r w:rsidR="006D7B45">
        <w:t xml:space="preserve">To identify additional </w:t>
      </w:r>
      <w:r w:rsidR="00AC035C">
        <w:t>areas of refinement for the QIS form</w:t>
      </w:r>
      <w:r w:rsidR="09119978">
        <w:t>s</w:t>
      </w:r>
      <w:r w:rsidR="00AC035C">
        <w:t xml:space="preserve"> addressed in this ICR, </w:t>
      </w:r>
      <w:r w:rsidR="003C563E">
        <w:t>CMS used t</w:t>
      </w:r>
      <w:r w:rsidR="004F6B33">
        <w:t>he following sources: direct feedback from issuers and analysis of issuers’ experiences completing and submitting the QIS form</w:t>
      </w:r>
      <w:r w:rsidR="68640C10">
        <w:t>s</w:t>
      </w:r>
      <w:r w:rsidR="004F6B33">
        <w:t xml:space="preserve"> for evaluation, feedback received during QIS webinars</w:t>
      </w:r>
      <w:r w:rsidR="00AB48B9">
        <w:t>,</w:t>
      </w:r>
      <w:r w:rsidR="004F6B33">
        <w:t xml:space="preserve"> and inquiries received </w:t>
      </w:r>
      <w:r w:rsidR="00964AD4">
        <w:t xml:space="preserve">via CMS’ Marketplace Service Desk (MSD) Help Desk and Marketplace Quality Initiatives (MQI) email </w:t>
      </w:r>
      <w:r w:rsidR="005E069E">
        <w:t>inbox.</w:t>
      </w:r>
      <w:r w:rsidR="004F6B33">
        <w:t xml:space="preserve"> CMS also considered lessons learned throughout the QIS evaluation process for each plan year</w:t>
      </w:r>
      <w:r w:rsidR="00434459">
        <w:t xml:space="preserve"> </w:t>
      </w:r>
      <w:r w:rsidR="004F6B33">
        <w:t xml:space="preserve">to inform </w:t>
      </w:r>
      <w:r w:rsidR="003C563E">
        <w:t xml:space="preserve">its </w:t>
      </w:r>
      <w:r w:rsidR="004F6B33">
        <w:t xml:space="preserve">refinements. </w:t>
      </w:r>
    </w:p>
    <w:p w:rsidR="001F674D" w:rsidP="177BD681" w14:paraId="697C490F" w14:textId="7A3060D4">
      <w:pPr>
        <w:pStyle w:val="BodyText"/>
      </w:pPr>
      <w:r>
        <w:t xml:space="preserve">The </w:t>
      </w:r>
      <w:r w:rsidR="00BD7ABA">
        <w:t xml:space="preserve">refinements are </w:t>
      </w:r>
      <w:r>
        <w:t xml:space="preserve">intended to improve an issuer’s ability to meet the QIS requirements </w:t>
      </w:r>
      <w:r w:rsidR="002E02BA">
        <w:t>in the</w:t>
      </w:r>
      <w:r w:rsidR="00A10D49">
        <w:t xml:space="preserve"> plan y</w:t>
      </w:r>
      <w:r>
        <w:t>ear</w:t>
      </w:r>
      <w:r w:rsidR="002D1457">
        <w:t>,</w:t>
      </w:r>
      <w:r>
        <w:t xml:space="preserve"> by </w:t>
      </w:r>
      <w:r w:rsidR="00257358">
        <w:t>increasing the user interpretability of the</w:t>
      </w:r>
      <w:r>
        <w:t xml:space="preserve"> QIS </w:t>
      </w:r>
      <w:r w:rsidR="005E069E">
        <w:t>forms.</w:t>
      </w:r>
    </w:p>
    <w:p w:rsidR="001F674D" w:rsidP="177BD681" w14:paraId="600BC147" w14:textId="2C7C9E8C">
      <w:pPr>
        <w:pStyle w:val="BodyText"/>
      </w:pPr>
      <w:r>
        <w:t>CMS has received questions and recommendations during its annual QIS webinars for issuers</w:t>
      </w:r>
      <w:r w:rsidR="00A627E1">
        <w:t>, state representatives</w:t>
      </w:r>
      <w:r>
        <w:t xml:space="preserve"> and Account Managers</w:t>
      </w:r>
      <w:r>
        <w:t xml:space="preserve"> regarding QIS requirements, the QIS form</w:t>
      </w:r>
      <w:r w:rsidR="00BD7ABA">
        <w:t>s</w:t>
      </w:r>
      <w:r>
        <w:t>, the QIS evaluation methodology, and the QIS submission process and timeline</w:t>
      </w:r>
      <w:r w:rsidR="002E02BA">
        <w:t xml:space="preserve">. </w:t>
      </w:r>
      <w:r w:rsidR="00A10D49">
        <w:t xml:space="preserve">CMS supported </w:t>
      </w:r>
      <w:r w:rsidR="00527BFE">
        <w:t xml:space="preserve">a </w:t>
      </w:r>
      <w:r w:rsidR="00A10D49">
        <w:t>weekly</w:t>
      </w:r>
      <w:r>
        <w:t xml:space="preserve"> QHP </w:t>
      </w:r>
      <w:r w:rsidR="00060924">
        <w:t>w</w:t>
      </w:r>
      <w:r>
        <w:t xml:space="preserve">ebinar </w:t>
      </w:r>
      <w:r w:rsidR="00060924">
        <w:t>s</w:t>
      </w:r>
      <w:r>
        <w:t xml:space="preserve">eries, </w:t>
      </w:r>
      <w:r w:rsidR="00527BFE">
        <w:t xml:space="preserve">during which it </w:t>
      </w:r>
      <w:r>
        <w:t>periodically field</w:t>
      </w:r>
      <w:r w:rsidR="00527BFE">
        <w:t>ed</w:t>
      </w:r>
      <w:r>
        <w:t xml:space="preserve"> QIS-related questions. </w:t>
      </w:r>
      <w:r w:rsidR="00A10D49">
        <w:t xml:space="preserve">CMS </w:t>
      </w:r>
      <w:r>
        <w:t xml:space="preserve">considered these inputs when identifying recommended revisions </w:t>
      </w:r>
      <w:r w:rsidR="002E02BA">
        <w:t xml:space="preserve">to </w:t>
      </w:r>
      <w:r>
        <w:t>the QIS form</w:t>
      </w:r>
      <w:r w:rsidR="0EE2ACF8">
        <w:t>s</w:t>
      </w:r>
      <w:r>
        <w:t>.</w:t>
      </w:r>
    </w:p>
    <w:p w:rsidR="00060924" w:rsidP="177BD681" w14:paraId="09D38527" w14:textId="4729276E">
      <w:pPr>
        <w:pStyle w:val="BodyText"/>
      </w:pPr>
      <w:r>
        <w:t xml:space="preserve">Additionally, </w:t>
      </w:r>
      <w:r w:rsidR="00A10D49">
        <w:t xml:space="preserve">CMS </w:t>
      </w:r>
      <w:r w:rsidRPr="008C29E3" w:rsidR="001F674D">
        <w:t xml:space="preserve">provides technical assistance in the form of direct responses to inquiries received via </w:t>
      </w:r>
      <w:r w:rsidR="00964AD4">
        <w:t xml:space="preserve">the </w:t>
      </w:r>
      <w:r w:rsidR="002E02BA">
        <w:t xml:space="preserve">MSD </w:t>
      </w:r>
      <w:r w:rsidRPr="008C29E3" w:rsidR="001F674D">
        <w:t>Help Desk</w:t>
      </w:r>
      <w:r w:rsidR="001F674D">
        <w:t xml:space="preserve">, as well as </w:t>
      </w:r>
      <w:r w:rsidRPr="008C29E3" w:rsidR="001F674D">
        <w:t xml:space="preserve">through targeted outreach activities and materials (e.g., </w:t>
      </w:r>
      <w:r w:rsidR="00B75E41">
        <w:t>frequently asked questions [FAQs]</w:t>
      </w:r>
      <w:r w:rsidRPr="008C29E3" w:rsidR="001F674D">
        <w:t>)</w:t>
      </w:r>
      <w:r w:rsidR="005F21FE">
        <w:t xml:space="preserve">. </w:t>
      </w:r>
      <w:r w:rsidR="00A10D49">
        <w:t xml:space="preserve">CMS </w:t>
      </w:r>
      <w:r w:rsidR="00844BCD">
        <w:t xml:space="preserve">also uses these interactions with issuers to identify potential </w:t>
      </w:r>
      <w:r w:rsidR="001F674D">
        <w:t>areas for improvement and inform CMS’ revisions</w:t>
      </w:r>
      <w:r w:rsidR="002E02BA">
        <w:t xml:space="preserve"> to</w:t>
      </w:r>
      <w:r w:rsidR="001F674D">
        <w:t xml:space="preserve"> the QIS form</w:t>
      </w:r>
      <w:r w:rsidR="00BD7ABA">
        <w:t>s</w:t>
      </w:r>
      <w:r w:rsidR="001F674D">
        <w:t>.</w:t>
      </w:r>
    </w:p>
    <w:p w:rsidR="0035300B" w:rsidP="3A23BB6B" w14:paraId="6ABB1D9D" w14:textId="3E5BDD41">
      <w:pPr>
        <w:pStyle w:val="BodyText"/>
        <w:spacing w:before="0"/>
      </w:pPr>
      <w:r>
        <w:t xml:space="preserve">We updated this information collection request to account for the associated burden of the refinements to the QIS </w:t>
      </w:r>
      <w:r w:rsidR="110E4288">
        <w:t>forms</w:t>
      </w:r>
      <w:r w:rsidR="002D1457">
        <w:t>.  This includes</w:t>
      </w:r>
      <w:r w:rsidR="001517F5">
        <w:t xml:space="preserve"> </w:t>
      </w:r>
      <w:r>
        <w:t xml:space="preserve">changes to the requirement that issuers select health and health care disparities as a topic area beginning in Plan Year 2024 as finalized in the </w:t>
      </w:r>
      <w:r w:rsidR="7EB4A0D8">
        <w:t xml:space="preserve">HHS Notice of Benefit and Payment Parameters for </w:t>
      </w:r>
      <w:r w:rsidR="7EB4A0D8">
        <w:t>2023;</w:t>
      </w:r>
      <w:r w:rsidR="7EB4A0D8">
        <w:t xml:space="preserve"> Final Rule</w:t>
      </w:r>
      <w:r>
        <w:t>.</w:t>
      </w:r>
    </w:p>
    <w:p w:rsidR="00F6216B" w:rsidP="177BD681" w14:paraId="5DB725DA" w14:textId="44E42046">
      <w:pPr>
        <w:pStyle w:val="BodyText"/>
      </w:pPr>
      <w:r>
        <w:t xml:space="preserve">CMS </w:t>
      </w:r>
      <w:r w:rsidR="00110132">
        <w:t xml:space="preserve">will continue to </w:t>
      </w:r>
      <w:r>
        <w:t>provide substantial outreach and technical assistance to inform issuers of</w:t>
      </w:r>
      <w:r w:rsidR="0035300B">
        <w:t xml:space="preserve"> changes</w:t>
      </w:r>
      <w:r w:rsidR="00110132">
        <w:t xml:space="preserve"> to information collection requirements</w:t>
      </w:r>
      <w:r>
        <w:t>,</w:t>
      </w:r>
      <w:r w:rsidR="00060924">
        <w:t xml:space="preserve"> (e.g., </w:t>
      </w:r>
      <w:r>
        <w:t xml:space="preserve">the </w:t>
      </w:r>
      <w:r w:rsidR="00045BA8">
        <w:t xml:space="preserve">QIS </w:t>
      </w:r>
      <w:r>
        <w:t xml:space="preserve">Technical Guidance and User Guide, webinars, </w:t>
      </w:r>
      <w:r w:rsidR="001517F5">
        <w:t xml:space="preserve">and </w:t>
      </w:r>
      <w:r>
        <w:t>responses to Help Desk tickets</w:t>
      </w:r>
      <w:r w:rsidR="00060924">
        <w:t>)</w:t>
      </w:r>
      <w:r>
        <w:t>.</w:t>
      </w:r>
    </w:p>
    <w:p w:rsidR="00AD2C7A" w:rsidRPr="00C95E97" w:rsidP="00AD2C7A" w14:paraId="7EA49B4E" w14:textId="77777777">
      <w:pPr>
        <w:pStyle w:val="BodyText"/>
        <w:spacing w:line="259" w:lineRule="auto"/>
        <w:rPr>
          <w:rStyle w:val="normaltextrun"/>
          <w:shd w:val="clear" w:color="auto" w:fill="FFFFFF"/>
        </w:rPr>
      </w:pPr>
      <w:r w:rsidRPr="00C95E97">
        <w:rPr>
          <w:rStyle w:val="normaltextrun"/>
          <w:shd w:val="clear" w:color="auto" w:fill="FFFFFF"/>
        </w:rPr>
        <w:t xml:space="preserve">The QIS forms were available during a 60-day public comment period (from September 28 through November 28, 2023) associated with the PRA. CMS did not receive comments during the 60-day public comment period. </w:t>
      </w:r>
    </w:p>
    <w:p w:rsidR="00C72265" w:rsidP="00AD2C7A" w14:paraId="4943782B" w14:textId="7EAA32C0">
      <w:pPr>
        <w:pStyle w:val="BodyText"/>
      </w:pPr>
      <w:r w:rsidRPr="00C95E97">
        <w:rPr>
          <w:rStyle w:val="normaltextrun"/>
        </w:rPr>
        <w:t xml:space="preserve">Since publishing the QIS forms for the 60-day public comment period, CMS completed its evaluation of QIS submissions for the Plan Year 2024 QHP Application Period. Based on common errors in QIS submissions, CMS has incorporated the following changes into the QIS forms to facilitate issuer completion of the QIS forms and to reduce the frequency of issuer deficiencies: </w:t>
      </w:r>
      <w:r>
        <w:t xml:space="preserve">clarifying response prompts and adding supplemental guidance into the QIS forms;  including a response prompt to indicate the QIS population target for issuers implementing a strategy to address the reduce health and health care disparities topic area; refining </w:t>
      </w:r>
      <w:r w:rsidR="004C3C67">
        <w:t xml:space="preserve">QIS form </w:t>
      </w:r>
      <w:r>
        <w:t>format to improve congruence across the QIS forms (e.g., requesting issuers provide the consensus-based entity (CBE) for quality measures, when applicable).</w:t>
      </w:r>
    </w:p>
    <w:p w:rsidR="00CE1A03" w:rsidRPr="00203DF3" w:rsidP="001A70EF" w14:paraId="2C29306F" w14:textId="276E9BC7">
      <w:pPr>
        <w:pStyle w:val="Heading3"/>
      </w:pPr>
      <w:r w:rsidRPr="00203DF3">
        <w:t>Payment/Gift to Respondents</w:t>
      </w:r>
    </w:p>
    <w:p w:rsidR="00CE1A03" w:rsidRPr="002C2E07" w:rsidP="001A70EF" w14:paraId="4333E4D2" w14:textId="71611966">
      <w:pPr>
        <w:pStyle w:val="BodyText"/>
        <w:rPr>
          <w:rFonts w:asciiTheme="majorHAnsi" w:hAnsiTheme="majorHAnsi"/>
        </w:rPr>
      </w:pPr>
      <w:r w:rsidRPr="002C2E07">
        <w:rPr>
          <w:rFonts w:asciiTheme="majorHAnsi" w:hAnsiTheme="majorHAnsi"/>
        </w:rPr>
        <w:t>Respondents will not receive payments or gifts for completion of this data collection.</w:t>
      </w:r>
    </w:p>
    <w:p w:rsidR="00CE1A03" w:rsidRPr="00203DF3" w:rsidP="001A70EF" w14:paraId="38DE259B" w14:textId="77777777">
      <w:pPr>
        <w:pStyle w:val="Heading3"/>
      </w:pPr>
      <w:r w:rsidRPr="00203DF3">
        <w:t>Confidentiality</w:t>
      </w:r>
    </w:p>
    <w:p w:rsidR="00CE097A" w:rsidRPr="002C2E07" w:rsidP="001A70EF" w14:paraId="3D557291" w14:textId="69BE61AE">
      <w:pPr>
        <w:pStyle w:val="BodyText"/>
        <w:rPr>
          <w:rFonts w:asciiTheme="majorHAnsi" w:hAnsiTheme="majorHAnsi"/>
        </w:rPr>
      </w:pPr>
      <w:r w:rsidRPr="002C2E07">
        <w:rPr>
          <w:rFonts w:asciiTheme="majorHAnsi" w:hAnsiTheme="majorHAnsi"/>
        </w:rPr>
        <w:t>No personal information will be</w:t>
      </w:r>
      <w:r w:rsidRPr="0034445C">
        <w:rPr>
          <w:spacing w:val="-3"/>
        </w:rPr>
        <w:t xml:space="preserve"> </w:t>
      </w:r>
      <w:r w:rsidRPr="0034445C">
        <w:rPr>
          <w:spacing w:val="-1"/>
        </w:rPr>
        <w:t>c</w:t>
      </w:r>
      <w:r w:rsidRPr="0034445C">
        <w:t>o</w:t>
      </w:r>
      <w:r w:rsidRPr="0034445C">
        <w:rPr>
          <w:spacing w:val="1"/>
        </w:rPr>
        <w:t>l</w:t>
      </w:r>
      <w:r w:rsidRPr="0034445C">
        <w:t>l</w:t>
      </w:r>
      <w:r w:rsidRPr="0034445C">
        <w:rPr>
          <w:spacing w:val="-1"/>
        </w:rPr>
        <w:t>ec</w:t>
      </w:r>
      <w:r w:rsidRPr="0034445C">
        <w:rPr>
          <w:spacing w:val="1"/>
        </w:rPr>
        <w:t>t</w:t>
      </w:r>
      <w:r w:rsidRPr="0034445C">
        <w:rPr>
          <w:spacing w:val="-1"/>
        </w:rPr>
        <w:t>e</w:t>
      </w:r>
      <w:r w:rsidRPr="0034445C">
        <w:t>d.</w:t>
      </w:r>
      <w:r w:rsidRPr="0034445C">
        <w:rPr>
          <w:spacing w:val="53"/>
        </w:rPr>
        <w:t xml:space="preserve"> </w:t>
      </w:r>
      <w:r w:rsidRPr="002C2E07">
        <w:rPr>
          <w:rFonts w:asciiTheme="majorHAnsi" w:hAnsiTheme="majorHAnsi"/>
        </w:rPr>
        <w:t>A</w:t>
      </w:r>
      <w:r w:rsidRPr="0034445C">
        <w:rPr>
          <w:spacing w:val="1"/>
        </w:rPr>
        <w:t>l</w:t>
      </w:r>
      <w:r w:rsidRPr="0034445C">
        <w:t>l</w:t>
      </w:r>
      <w:r w:rsidRPr="0034445C">
        <w:rPr>
          <w:spacing w:val="-3"/>
        </w:rPr>
        <w:t xml:space="preserve"> </w:t>
      </w:r>
      <w:r w:rsidRPr="0034445C">
        <w:rPr>
          <w:spacing w:val="1"/>
        </w:rPr>
        <w:t>i</w:t>
      </w:r>
      <w:r w:rsidRPr="0034445C">
        <w:t>nfo</w:t>
      </w:r>
      <w:r w:rsidRPr="0034445C">
        <w:rPr>
          <w:spacing w:val="-3"/>
        </w:rPr>
        <w:t>r</w:t>
      </w:r>
      <w:r w:rsidRPr="0034445C">
        <w:rPr>
          <w:spacing w:val="1"/>
        </w:rPr>
        <w:t>m</w:t>
      </w:r>
      <w:r w:rsidRPr="0034445C">
        <w:rPr>
          <w:spacing w:val="-1"/>
        </w:rPr>
        <w:t>a</w:t>
      </w:r>
      <w:r w:rsidRPr="0034445C">
        <w:rPr>
          <w:spacing w:val="1"/>
        </w:rPr>
        <w:t>ti</w:t>
      </w:r>
      <w:r w:rsidRPr="0034445C">
        <w:t>on</w:t>
      </w:r>
      <w:r w:rsidRPr="0034445C">
        <w:rPr>
          <w:spacing w:val="-5"/>
        </w:rPr>
        <w:t xml:space="preserve"> </w:t>
      </w:r>
      <w:r w:rsidRPr="0034445C">
        <w:t>w</w:t>
      </w:r>
      <w:r w:rsidRPr="0034445C">
        <w:rPr>
          <w:spacing w:val="1"/>
        </w:rPr>
        <w:t>il</w:t>
      </w:r>
      <w:r w:rsidRPr="0034445C">
        <w:t>l</w:t>
      </w:r>
      <w:r w:rsidRPr="0034445C">
        <w:rPr>
          <w:spacing w:val="-2"/>
        </w:rPr>
        <w:t xml:space="preserve"> </w:t>
      </w:r>
      <w:r w:rsidRPr="0034445C">
        <w:t>be</w:t>
      </w:r>
      <w:r w:rsidRPr="0034445C">
        <w:rPr>
          <w:spacing w:val="-3"/>
        </w:rPr>
        <w:t xml:space="preserve"> </w:t>
      </w:r>
      <w:r w:rsidRPr="0034445C">
        <w:t>k</w:t>
      </w:r>
      <w:r w:rsidRPr="0034445C">
        <w:rPr>
          <w:spacing w:val="-1"/>
        </w:rPr>
        <w:t>e</w:t>
      </w:r>
      <w:r w:rsidRPr="0034445C">
        <w:t>pt</w:t>
      </w:r>
      <w:r w:rsidRPr="0034445C">
        <w:rPr>
          <w:spacing w:val="-4"/>
        </w:rPr>
        <w:t xml:space="preserve"> </w:t>
      </w:r>
      <w:r w:rsidRPr="0034445C">
        <w:t>p</w:t>
      </w:r>
      <w:r w:rsidRPr="0034445C">
        <w:rPr>
          <w:spacing w:val="-3"/>
        </w:rPr>
        <w:t>r</w:t>
      </w:r>
      <w:r w:rsidRPr="0034445C">
        <w:t>iv</w:t>
      </w:r>
      <w:r w:rsidRPr="0034445C">
        <w:rPr>
          <w:spacing w:val="-3"/>
        </w:rPr>
        <w:t>a</w:t>
      </w:r>
      <w:r w:rsidRPr="0034445C">
        <w:t>te</w:t>
      </w:r>
      <w:r w:rsidR="00E44853">
        <w:t>,</w:t>
      </w:r>
      <w:r w:rsidRPr="002C2E07">
        <w:rPr>
          <w:rFonts w:asciiTheme="majorHAnsi" w:hAnsiTheme="majorHAnsi"/>
        </w:rPr>
        <w:t xml:space="preserve"> to the extent allowed by applicable laws/regulations.</w:t>
      </w:r>
      <w:r w:rsidRPr="002C2E07">
        <w:rPr>
          <w:rFonts w:asciiTheme="majorHAnsi" w:hAnsiTheme="majorHAnsi"/>
        </w:rPr>
        <w:t xml:space="preserve"> </w:t>
      </w:r>
    </w:p>
    <w:p w:rsidR="00CE1A03" w:rsidRPr="00203DF3" w:rsidP="001A70EF" w14:paraId="1218F48D" w14:textId="77777777">
      <w:pPr>
        <w:pStyle w:val="Heading3"/>
      </w:pPr>
      <w:r w:rsidRPr="00203DF3">
        <w:t>Sensitive Questions</w:t>
      </w:r>
    </w:p>
    <w:p w:rsidR="00CE1A03" w:rsidRPr="002C2E07" w:rsidP="001A70EF" w14:paraId="626A90D3" w14:textId="77777777">
      <w:pPr>
        <w:pStyle w:val="BodyText"/>
        <w:rPr>
          <w:rFonts w:asciiTheme="majorHAnsi" w:hAnsiTheme="majorHAnsi"/>
        </w:rPr>
      </w:pPr>
      <w:r w:rsidRPr="002C2E07">
        <w:rPr>
          <w:rFonts w:asciiTheme="majorHAnsi" w:hAnsiTheme="majorHAnsi"/>
        </w:rPr>
        <w:t>No sensitive information will be collected.</w:t>
      </w:r>
    </w:p>
    <w:p w:rsidR="008F1EB4" w:rsidRPr="00AB72E8" w:rsidP="001A70EF" w14:paraId="2D42D30F" w14:textId="77777777">
      <w:pPr>
        <w:pStyle w:val="Heading3"/>
      </w:pPr>
      <w:r w:rsidRPr="00AB72E8">
        <w:t>Burden Estimates (Hours &amp; Wages)</w:t>
      </w:r>
    </w:p>
    <w:p w:rsidR="00E3734B" w:rsidRPr="00BC10CF" w:rsidP="001A70EF" w14:paraId="77A7A935" w14:textId="6EAC8B38">
      <w:pPr>
        <w:pStyle w:val="BodyText"/>
      </w:pPr>
      <w:r w:rsidRPr="00BC10CF">
        <w:t>T</w:t>
      </w:r>
      <w:r w:rsidRPr="00BC10CF" w:rsidR="009509FA">
        <w:t xml:space="preserve">he burden estimate </w:t>
      </w:r>
      <w:r w:rsidR="00723103">
        <w:t xml:space="preserve">shows </w:t>
      </w:r>
      <w:r w:rsidRPr="00BC10CF" w:rsidR="00D73D79">
        <w:t>the</w:t>
      </w:r>
      <w:r w:rsidRPr="00BC10CF" w:rsidR="009509FA">
        <w:t xml:space="preserve"> </w:t>
      </w:r>
      <w:r w:rsidRPr="00BC10CF" w:rsidR="007C423F">
        <w:t xml:space="preserve">estimated </w:t>
      </w:r>
      <w:r w:rsidRPr="00BC10CF" w:rsidR="00E23786">
        <w:t xml:space="preserve">labor </w:t>
      </w:r>
      <w:r w:rsidRPr="00BC10CF" w:rsidR="007C423F">
        <w:t>hour</w:t>
      </w:r>
      <w:r w:rsidRPr="00BC10CF" w:rsidR="00E23786">
        <w:t>s</w:t>
      </w:r>
      <w:r w:rsidRPr="00BC10CF" w:rsidR="007C423F">
        <w:t xml:space="preserve"> and </w:t>
      </w:r>
      <w:r w:rsidRPr="00BC10CF" w:rsidR="009509FA">
        <w:t>costs associated with</w:t>
      </w:r>
      <w:r w:rsidRPr="00BC10CF" w:rsidR="00211DB3">
        <w:t xml:space="preserve"> respondents (i.e.,</w:t>
      </w:r>
      <w:r w:rsidRPr="00BC10CF" w:rsidR="00CA3FB8">
        <w:t xml:space="preserve"> issuer</w:t>
      </w:r>
      <w:r w:rsidRPr="00BC10CF" w:rsidR="00E23786">
        <w:t>s</w:t>
      </w:r>
      <w:r w:rsidRPr="00BC10CF" w:rsidR="00211DB3">
        <w:t>)</w:t>
      </w:r>
      <w:r w:rsidRPr="00BC10CF" w:rsidR="00CA3FB8">
        <w:t xml:space="preserve"> </w:t>
      </w:r>
      <w:r w:rsidRPr="00BC10CF" w:rsidR="008D4F85">
        <w:t xml:space="preserve">collecting and </w:t>
      </w:r>
      <w:r w:rsidRPr="00BC10CF" w:rsidR="00CA3FB8">
        <w:t xml:space="preserve">reporting </w:t>
      </w:r>
      <w:r w:rsidR="007C396B">
        <w:t>information</w:t>
      </w:r>
      <w:r w:rsidRPr="00BC10CF" w:rsidR="009E5F52">
        <w:t xml:space="preserve"> </w:t>
      </w:r>
      <w:r w:rsidRPr="00BC10CF" w:rsidR="00CA3FB8">
        <w:t xml:space="preserve">to </w:t>
      </w:r>
      <w:r w:rsidR="009D347F">
        <w:t>a</w:t>
      </w:r>
      <w:r w:rsidR="005644CD">
        <w:t>n</w:t>
      </w:r>
      <w:r w:rsidR="00BB09D0">
        <w:t xml:space="preserve"> </w:t>
      </w:r>
      <w:r w:rsidR="005644CD">
        <w:t>Exchange</w:t>
      </w:r>
      <w:r w:rsidRPr="00BC10CF" w:rsidR="005644CD">
        <w:t xml:space="preserve"> </w:t>
      </w:r>
      <w:r w:rsidRPr="00BC10CF" w:rsidR="00D73D79">
        <w:t xml:space="preserve">in accordance with the </w:t>
      </w:r>
      <w:r w:rsidR="00937E83">
        <w:t xml:space="preserve">proposed </w:t>
      </w:r>
      <w:r w:rsidRPr="00BC10CF" w:rsidR="00D15205">
        <w:t xml:space="preserve">QIS </w:t>
      </w:r>
      <w:r w:rsidR="00794DE6">
        <w:t>form</w:t>
      </w:r>
      <w:r w:rsidR="00865D31">
        <w:t>s</w:t>
      </w:r>
      <w:r w:rsidR="004A20E2">
        <w:t xml:space="preserve">, </w:t>
      </w:r>
      <w:r w:rsidRPr="00BC10CF" w:rsidR="00211DB3">
        <w:t xml:space="preserve">but </w:t>
      </w:r>
      <w:r w:rsidRPr="00BC10CF" w:rsidR="00E23786">
        <w:t xml:space="preserve">not the burden of implementing a </w:t>
      </w:r>
      <w:r w:rsidR="00DC49C3">
        <w:t>QIS</w:t>
      </w:r>
      <w:r w:rsidR="006D309A">
        <w:t>.</w:t>
      </w:r>
      <w:r w:rsidR="0015009C">
        <w:t xml:space="preserve"> </w:t>
      </w:r>
      <w:r w:rsidRPr="00490018" w:rsidR="00490018">
        <w:t>The adjustments made to the QIS form after the 60-day public comment period have no significant impact on the burden estimate. </w:t>
      </w:r>
    </w:p>
    <w:p w:rsidR="000313B0" w:rsidRPr="00695197" w:rsidP="00695197" w14:paraId="76135062" w14:textId="6903AD7A">
      <w:pPr>
        <w:pStyle w:val="Heading4"/>
      </w:pPr>
      <w:r w:rsidRPr="00695197">
        <w:t xml:space="preserve">Burden Estimate for </w:t>
      </w:r>
      <w:r w:rsidR="00F82B07">
        <w:t>250</w:t>
      </w:r>
      <w:r w:rsidRPr="00695197">
        <w:t xml:space="preserve"> </w:t>
      </w:r>
      <w:r w:rsidR="004B188C">
        <w:t>I</w:t>
      </w:r>
      <w:r w:rsidRPr="00695197">
        <w:t xml:space="preserve">ssuers </w:t>
      </w:r>
    </w:p>
    <w:p w:rsidR="00C8249D" w:rsidP="004B188C" w14:paraId="261DD2A7" w14:textId="78A062FD">
      <w:pPr>
        <w:pStyle w:val="BodyText"/>
      </w:pPr>
      <w:r>
        <w:t xml:space="preserve">The estimate assumes </w:t>
      </w:r>
      <w:r w:rsidR="00F82B07">
        <w:t>250</w:t>
      </w:r>
      <w:r>
        <w:t xml:space="preserve"> issuers</w:t>
      </w:r>
      <w:r w:rsidR="004B188C">
        <w:t xml:space="preserve"> (all </w:t>
      </w:r>
      <w:r w:rsidR="00D46A69">
        <w:t xml:space="preserve">eligible </w:t>
      </w:r>
      <w:r w:rsidR="004B188C">
        <w:t xml:space="preserve">issuers in all </w:t>
      </w:r>
      <w:r w:rsidR="00E33AAE">
        <w:t>Exchanges</w:t>
      </w:r>
      <w:r w:rsidR="004B188C">
        <w:t>, excluding Stand-</w:t>
      </w:r>
      <w:r>
        <w:t>a</w:t>
      </w:r>
      <w:r w:rsidR="004B188C">
        <w:t xml:space="preserve">lone Dental Plans [SADPs]), </w:t>
      </w:r>
      <w:r>
        <w:t>and covers the annual costs for a</w:t>
      </w:r>
      <w:r w:rsidR="005C6670">
        <w:t>n</w:t>
      </w:r>
      <w:r>
        <w:t xml:space="preserve"> issuer over a three-year period (20</w:t>
      </w:r>
      <w:r w:rsidR="00B17B84">
        <w:t>2</w:t>
      </w:r>
      <w:r w:rsidR="00865D31">
        <w:t>4</w:t>
      </w:r>
      <w:r w:rsidR="00203DF3">
        <w:t xml:space="preserve"> through </w:t>
      </w:r>
      <w:r w:rsidR="00F82B07">
        <w:t>202</w:t>
      </w:r>
      <w:r w:rsidR="0052506B">
        <w:t>7</w:t>
      </w:r>
      <w:r>
        <w:t xml:space="preserve">). </w:t>
      </w:r>
      <w:r w:rsidR="009E6A34">
        <w:t>This estimate is based on historical data of the required number of issuers that submitted a QIS in the 20</w:t>
      </w:r>
      <w:r w:rsidR="00B17B84">
        <w:t>20</w:t>
      </w:r>
      <w:r w:rsidR="009E6A34">
        <w:t xml:space="preserve"> Plan Year, </w:t>
      </w:r>
      <w:r w:rsidR="00AB48B9">
        <w:t xml:space="preserve">CCIIO’s </w:t>
      </w:r>
      <w:r w:rsidR="00F82B07">
        <w:t>estimated number of issuers participating in the Exchange for the 20</w:t>
      </w:r>
      <w:r w:rsidR="00B17B84">
        <w:t>21</w:t>
      </w:r>
      <w:r w:rsidR="00F82B07">
        <w:t xml:space="preserve"> Plan Year, </w:t>
      </w:r>
      <w:r w:rsidR="009E6A34">
        <w:t xml:space="preserve">and accounts for additional issuers entering eligibility over the next three years. </w:t>
      </w:r>
    </w:p>
    <w:p w:rsidR="003D55C6" w:rsidP="004B188C" w14:paraId="3AF2CFDD" w14:textId="2BA0474B">
      <w:pPr>
        <w:pStyle w:val="BodyText"/>
      </w:pPr>
      <w:r>
        <w:t xml:space="preserve">CMS’ estimate </w:t>
      </w:r>
      <w:r w:rsidR="000313B0">
        <w:t xml:space="preserve">assumes participation of </w:t>
      </w:r>
      <w:r w:rsidR="00E102BD">
        <w:t xml:space="preserve">all </w:t>
      </w:r>
      <w:r w:rsidR="009E6A34">
        <w:t xml:space="preserve">eligible </w:t>
      </w:r>
      <w:r w:rsidR="000313B0">
        <w:t xml:space="preserve">issuers in all </w:t>
      </w:r>
      <w:r w:rsidR="00E33AAE">
        <w:t xml:space="preserve">Exchange </w:t>
      </w:r>
      <w:r w:rsidR="000313B0">
        <w:t>types and QHP coverage types</w:t>
      </w:r>
      <w:r w:rsidR="005E52D0">
        <w:t xml:space="preserve">. </w:t>
      </w:r>
      <w:r w:rsidR="00203DF3">
        <w:t>(</w:t>
      </w:r>
      <w:r w:rsidR="005E52D0">
        <w:t>SADPs</w:t>
      </w:r>
      <w:r w:rsidR="00BB09D0">
        <w:t xml:space="preserve"> </w:t>
      </w:r>
      <w:r w:rsidR="005E52D0">
        <w:t xml:space="preserve">are not subject to the QIS </w:t>
      </w:r>
      <w:r w:rsidR="00535008">
        <w:t xml:space="preserve">requirements </w:t>
      </w:r>
      <w:r w:rsidR="005E52D0">
        <w:t>and are</w:t>
      </w:r>
      <w:r w:rsidR="00203DF3">
        <w:t>,</w:t>
      </w:r>
      <w:r w:rsidR="005E52D0">
        <w:t xml:space="preserve"> therefore</w:t>
      </w:r>
      <w:r w:rsidR="00203DF3">
        <w:t>,</w:t>
      </w:r>
      <w:r w:rsidR="005E52D0">
        <w:t xml:space="preserve"> excluded from the estimate.</w:t>
      </w:r>
      <w:r w:rsidR="00203DF3">
        <w:t>)</w:t>
      </w:r>
      <w:r w:rsidR="000313B0">
        <w:t xml:space="preserve"> </w:t>
      </w:r>
      <w:r w:rsidRPr="001964E3" w:rsidR="001964E3">
        <w:t xml:space="preserve">The estimate relies on the assumption that all </w:t>
      </w:r>
      <w:r>
        <w:t>250</w:t>
      </w:r>
      <w:r w:rsidRPr="001964E3" w:rsidR="001964E3">
        <w:t xml:space="preserve"> issuers will complete and submit</w:t>
      </w:r>
      <w:r w:rsidR="001964E3">
        <w:t xml:space="preserve"> </w:t>
      </w:r>
      <w:r w:rsidR="00E72817">
        <w:t>the necessary portions</w:t>
      </w:r>
      <w:r w:rsidR="001964E3">
        <w:t xml:space="preserve"> of</w:t>
      </w:r>
      <w:r w:rsidRPr="001964E3" w:rsidR="001964E3">
        <w:t xml:space="preserve"> the </w:t>
      </w:r>
      <w:r w:rsidR="004D5DE4">
        <w:t xml:space="preserve">relevant </w:t>
      </w:r>
      <w:r w:rsidRPr="001964E3" w:rsidR="001964E3">
        <w:t>QIS</w:t>
      </w:r>
      <w:r w:rsidR="001964E3">
        <w:t xml:space="preserve"> form</w:t>
      </w:r>
      <w:r w:rsidR="0052506B">
        <w:t>s</w:t>
      </w:r>
      <w:r w:rsidR="00E72817">
        <w:t xml:space="preserve"> </w:t>
      </w:r>
      <w:r w:rsidRPr="001964E3" w:rsidR="001964E3">
        <w:t>during each of those years</w:t>
      </w:r>
      <w:r w:rsidR="00E72817">
        <w:t>.</w:t>
      </w:r>
      <w:r w:rsidRPr="00BC10CF" w:rsidR="000313B0">
        <w:t xml:space="preserve"> </w:t>
      </w:r>
    </w:p>
    <w:p w:rsidR="003D55C6" w:rsidP="004B188C" w14:paraId="487F8E25" w14:textId="40CAC11F">
      <w:pPr>
        <w:pStyle w:val="BodyText"/>
      </w:pPr>
      <w:r>
        <w:t xml:space="preserve">Issuers operating </w:t>
      </w:r>
      <w:r w:rsidR="00F623D6">
        <w:t>o</w:t>
      </w:r>
      <w:r>
        <w:t xml:space="preserve">n </w:t>
      </w:r>
      <w:r w:rsidR="00F623D6">
        <w:t>an</w:t>
      </w:r>
      <w:r>
        <w:t xml:space="preserve"> </w:t>
      </w:r>
      <w:r w:rsidR="00FD3C6E">
        <w:t>E</w:t>
      </w:r>
      <w:r>
        <w:t>xchange who meet</w:t>
      </w:r>
      <w:r w:rsidR="00FD3C6E">
        <w:t xml:space="preserve"> the</w:t>
      </w:r>
      <w:r>
        <w:t xml:space="preserve"> QIS </w:t>
      </w:r>
      <w:r w:rsidR="005E069E">
        <w:t>participation criteria</w:t>
      </w:r>
      <w:r>
        <w:t xml:space="preserve"> and have an existing QIS on file, </w:t>
      </w:r>
      <w:r w:rsidR="004D5DE4">
        <w:t xml:space="preserve">will not have to recomplete and resubmit </w:t>
      </w:r>
      <w:r>
        <w:t>an Implementation Plan form</w:t>
      </w:r>
      <w:r w:rsidR="004D5DE4">
        <w:t xml:space="preserve"> </w:t>
      </w:r>
      <w:r>
        <w:t>during the three-year period</w:t>
      </w:r>
      <w:r w:rsidR="004D5DE4">
        <w:t xml:space="preserve"> unless the issuer is implementing a new QIS. </w:t>
      </w:r>
    </w:p>
    <w:p w:rsidR="003D55C6" w:rsidP="004B188C" w14:paraId="34ACD73F" w14:textId="165E293C">
      <w:pPr>
        <w:pStyle w:val="BodyText"/>
      </w:pPr>
      <w:r>
        <w:t>Only</w:t>
      </w:r>
      <w:r w:rsidR="004D5DE4">
        <w:t xml:space="preserve"> issuers implementing a new QIS will complete and submit the Implementation Plan Form. All other issuers will submit a Progress Report and Modification Summary (if modifying the QIS for the upcoming year). </w:t>
      </w:r>
      <w:r>
        <w:t>CMS estimate</w:t>
      </w:r>
      <w:r w:rsidR="003447F1">
        <w:t>s</w:t>
      </w:r>
      <w:r>
        <w:t xml:space="preserve"> that approximately 20% of all eligible issuers will </w:t>
      </w:r>
      <w:r w:rsidR="00A20401">
        <w:t>complete an</w:t>
      </w:r>
      <w:r w:rsidR="003447F1">
        <w:t xml:space="preserve"> Implementation </w:t>
      </w:r>
      <w:r w:rsidR="00A20401">
        <w:t>Plan form</w:t>
      </w:r>
      <w:r w:rsidR="003447F1">
        <w:t xml:space="preserve"> </w:t>
      </w:r>
      <w:r>
        <w:t>during the three-year period</w:t>
      </w:r>
      <w:r w:rsidR="00AF0991">
        <w:t xml:space="preserve"> (i.e., an Implementation Year)</w:t>
      </w:r>
      <w:r w:rsidR="003447F1">
        <w:t xml:space="preserve">, while </w:t>
      </w:r>
      <w:r w:rsidR="00A7376B">
        <w:t>80% of</w:t>
      </w:r>
      <w:r w:rsidR="003447F1">
        <w:t xml:space="preserve"> issuers </w:t>
      </w:r>
      <w:r w:rsidR="00EF5B3D">
        <w:t xml:space="preserve">submit only Progress </w:t>
      </w:r>
      <w:r w:rsidR="005E069E">
        <w:t>Report forms</w:t>
      </w:r>
      <w:r w:rsidR="00AF0991">
        <w:t xml:space="preserve"> (i.e., Reporting Year)</w:t>
      </w:r>
      <w:r w:rsidR="003447F1">
        <w:t xml:space="preserve">. </w:t>
      </w:r>
    </w:p>
    <w:p w:rsidR="000313B0" w:rsidP="004B188C" w14:paraId="5DFFC2CD" w14:textId="715D5C75">
      <w:pPr>
        <w:pStyle w:val="BodyText"/>
      </w:pPr>
      <w:r>
        <w:t xml:space="preserve">The level of effort required to complete </w:t>
      </w:r>
      <w:r w:rsidR="5A27835F">
        <w:t>QIS forms by year-type</w:t>
      </w:r>
      <w:r>
        <w:t xml:space="preserve"> is broken out in </w:t>
      </w:r>
      <w:r w:rsidR="001A70EF">
        <w:rPr>
          <w:color w:val="2B579A"/>
          <w:shd w:val="clear" w:color="auto" w:fill="E6E6E6"/>
        </w:rPr>
        <w:fldChar w:fldCharType="begin"/>
      </w:r>
      <w:r w:rsidR="001A70EF">
        <w:instrText xml:space="preserve"> REF _Ref420507178 \h </w:instrText>
      </w:r>
      <w:r w:rsidR="001A70EF">
        <w:rPr>
          <w:color w:val="2B579A"/>
          <w:shd w:val="clear" w:color="auto" w:fill="E6E6E6"/>
        </w:rPr>
        <w:fldChar w:fldCharType="separate"/>
      </w:r>
      <w:r w:rsidR="00D12235">
        <w:t xml:space="preserve">Exhibit </w:t>
      </w:r>
      <w:r w:rsidR="00D12235">
        <w:rPr>
          <w:noProof/>
        </w:rPr>
        <w:t>1</w:t>
      </w:r>
      <w:r w:rsidR="001A70EF">
        <w:rPr>
          <w:color w:val="2B579A"/>
          <w:shd w:val="clear" w:color="auto" w:fill="E6E6E6"/>
        </w:rPr>
        <w:fldChar w:fldCharType="end"/>
      </w:r>
      <w:r>
        <w:t xml:space="preserve"> </w:t>
      </w:r>
      <w:r>
        <w:t xml:space="preserve">to </w:t>
      </w:r>
      <w:r>
        <w:t>show</w:t>
      </w:r>
      <w:r>
        <w:t xml:space="preserve"> </w:t>
      </w:r>
      <w:r w:rsidRPr="00BC10CF">
        <w:t xml:space="preserve">the annual estimated hour burden and cost burden for </w:t>
      </w:r>
      <w:r>
        <w:t>issuers</w:t>
      </w:r>
      <w:r w:rsidRPr="00BC10CF">
        <w:t xml:space="preserve">. Further information on the burden estimate is </w:t>
      </w:r>
      <w:r>
        <w:t>provided after</w:t>
      </w:r>
      <w:r w:rsidR="00C8249D">
        <w:t xml:space="preserve"> </w:t>
      </w:r>
      <w:r w:rsidR="00C8249D">
        <w:rPr>
          <w:color w:val="2B579A"/>
          <w:shd w:val="clear" w:color="auto" w:fill="E6E6E6"/>
        </w:rPr>
        <w:fldChar w:fldCharType="begin"/>
      </w:r>
      <w:r w:rsidR="00C8249D">
        <w:instrText xml:space="preserve"> REF _Ref420507178 \h </w:instrText>
      </w:r>
      <w:r w:rsidR="00C8249D">
        <w:rPr>
          <w:color w:val="2B579A"/>
          <w:shd w:val="clear" w:color="auto" w:fill="E6E6E6"/>
        </w:rPr>
        <w:fldChar w:fldCharType="separate"/>
      </w:r>
      <w:r w:rsidR="00275C1E">
        <w:t xml:space="preserve">Exhibit </w:t>
      </w:r>
      <w:r w:rsidR="00275C1E">
        <w:rPr>
          <w:noProof/>
        </w:rPr>
        <w:t>1</w:t>
      </w:r>
      <w:r w:rsidR="00C8249D">
        <w:rPr>
          <w:color w:val="2B579A"/>
          <w:shd w:val="clear" w:color="auto" w:fill="E6E6E6"/>
        </w:rPr>
        <w:fldChar w:fldCharType="end"/>
      </w:r>
      <w:r>
        <w:t>.</w:t>
      </w:r>
    </w:p>
    <w:p w:rsidR="004C21C2" w:rsidP="004B188C" w14:paraId="4AD44578" w14:textId="77777777">
      <w:pPr>
        <w:pStyle w:val="BodyText"/>
      </w:pPr>
    </w:p>
    <w:p w:rsidR="004C21C2" w:rsidP="004B188C" w14:paraId="7DDFE718" w14:textId="77777777">
      <w:pPr>
        <w:pStyle w:val="BodyText"/>
      </w:pPr>
    </w:p>
    <w:p w:rsidR="004C21C2" w:rsidRPr="00BC10CF" w:rsidP="004B188C" w14:paraId="3F3E9432" w14:textId="77777777">
      <w:pPr>
        <w:pStyle w:val="BodyText"/>
      </w:pPr>
    </w:p>
    <w:p w:rsidR="00274A40" w:rsidP="004C21C2" w14:paraId="646628C7" w14:textId="00164985">
      <w:pPr>
        <w:pStyle w:val="Caption"/>
      </w:pPr>
      <w:bookmarkStart w:id="1" w:name="_Ref420507178"/>
      <w:r>
        <w:t xml:space="preserve">Exhibit </w:t>
      </w:r>
      <w:r w:rsidRPr="3A23BB6B">
        <w:rPr>
          <w:color w:val="2B579A"/>
        </w:rPr>
        <w:fldChar w:fldCharType="begin"/>
      </w:r>
      <w:r>
        <w:instrText>SEQ Exhibit \* ARABIC</w:instrText>
      </w:r>
      <w:r w:rsidRPr="3A23BB6B">
        <w:rPr>
          <w:color w:val="2B579A"/>
        </w:rPr>
        <w:fldChar w:fldCharType="separate"/>
      </w:r>
      <w:r w:rsidR="00275C1E">
        <w:rPr>
          <w:noProof/>
        </w:rPr>
        <w:t>1</w:t>
      </w:r>
      <w:r w:rsidRPr="3A23BB6B">
        <w:rPr>
          <w:color w:val="2B579A"/>
        </w:rPr>
        <w:fldChar w:fldCharType="end"/>
      </w:r>
      <w:bookmarkEnd w:id="1"/>
      <w:r>
        <w:t>. QIS Annual Estimated Hour Burden for One Issuer</w:t>
      </w:r>
    </w:p>
    <w:tbl>
      <w:tblPr>
        <w:tblStyle w:val="Table1"/>
        <w:tblW w:w="0" w:type="auto"/>
        <w:tblLook w:val="04A0"/>
      </w:tblPr>
      <w:tblGrid>
        <w:gridCol w:w="800"/>
        <w:gridCol w:w="5660"/>
        <w:gridCol w:w="2880"/>
      </w:tblGrid>
      <w:tr w14:paraId="77840B11" w14:textId="77777777" w:rsidTr="00FD5560">
        <w:tblPrEx>
          <w:tblW w:w="0" w:type="auto"/>
          <w:tblLook w:val="04A0"/>
        </w:tblPrEx>
        <w:tc>
          <w:tcPr>
            <w:tcW w:w="800" w:type="dxa"/>
          </w:tcPr>
          <w:p w:rsidR="00896E62" w:rsidRPr="00FD5560" w:rsidP="00FD5560" w14:paraId="50422E56" w14:textId="7E2E2B1E">
            <w:pPr>
              <w:keepNext/>
              <w:widowControl/>
              <w:autoSpaceDE/>
              <w:autoSpaceDN/>
              <w:adjustRightInd/>
              <w:spacing w:before="20" w:after="20"/>
              <w:rPr>
                <w:rFonts w:ascii="Arial Narrow" w:hAnsi="Arial Narrow"/>
                <w:b/>
                <w:bCs/>
                <w:szCs w:val="20"/>
              </w:rPr>
            </w:pPr>
            <w:r w:rsidRPr="00FD5560">
              <w:rPr>
                <w:rFonts w:ascii="Arial Narrow" w:hAnsi="Arial Narrow"/>
                <w:b/>
                <w:bCs/>
                <w:szCs w:val="20"/>
              </w:rPr>
              <w:t>Step #</w:t>
            </w:r>
          </w:p>
        </w:tc>
        <w:tc>
          <w:tcPr>
            <w:tcW w:w="5660" w:type="dxa"/>
          </w:tcPr>
          <w:p w:rsidR="00896E62" w:rsidRPr="00FD5560" w:rsidP="00FD5560" w14:paraId="15F87E40" w14:textId="72902228">
            <w:pPr>
              <w:keepNext/>
              <w:widowControl/>
              <w:autoSpaceDE/>
              <w:autoSpaceDN/>
              <w:adjustRightInd/>
              <w:spacing w:before="20" w:after="20"/>
              <w:rPr>
                <w:rFonts w:ascii="Arial Narrow" w:hAnsi="Arial Narrow"/>
                <w:b/>
                <w:bCs/>
                <w:szCs w:val="20"/>
              </w:rPr>
            </w:pPr>
            <w:r w:rsidRPr="00FD5560">
              <w:rPr>
                <w:rFonts w:ascii="Arial Narrow" w:hAnsi="Arial Narrow"/>
                <w:b/>
                <w:bCs/>
                <w:szCs w:val="20"/>
              </w:rPr>
              <w:t>Step Name</w:t>
            </w:r>
          </w:p>
        </w:tc>
        <w:tc>
          <w:tcPr>
            <w:tcW w:w="2880" w:type="dxa"/>
          </w:tcPr>
          <w:p w:rsidR="00896E62" w:rsidRPr="00FD5560" w:rsidP="00FD5560" w14:paraId="79100B07" w14:textId="4CE2217F">
            <w:pPr>
              <w:keepNext/>
              <w:widowControl/>
              <w:autoSpaceDE/>
              <w:autoSpaceDN/>
              <w:adjustRightInd/>
              <w:spacing w:before="20" w:after="20"/>
              <w:rPr>
                <w:rFonts w:ascii="Arial Narrow" w:hAnsi="Arial Narrow"/>
                <w:b/>
                <w:bCs/>
                <w:szCs w:val="20"/>
              </w:rPr>
            </w:pPr>
            <w:r w:rsidRPr="00FD5560">
              <w:rPr>
                <w:rFonts w:ascii="Arial Narrow" w:hAnsi="Arial Narrow"/>
                <w:b/>
                <w:bCs/>
                <w:szCs w:val="20"/>
              </w:rPr>
              <w:t>Hour Burden</w:t>
            </w:r>
          </w:p>
        </w:tc>
      </w:tr>
      <w:tr w14:paraId="4C73369B" w14:textId="77777777" w:rsidTr="00FD5560">
        <w:tblPrEx>
          <w:tblW w:w="0" w:type="auto"/>
          <w:tblLook w:val="04A0"/>
        </w:tblPrEx>
        <w:tc>
          <w:tcPr>
            <w:tcW w:w="9340" w:type="dxa"/>
            <w:gridSpan w:val="3"/>
          </w:tcPr>
          <w:p w:rsidR="00FD5560" w:rsidRPr="00FD5560" w:rsidP="00FD5560" w14:paraId="363C9029" w14:textId="61F9B39F">
            <w:pPr>
              <w:jc w:val="center"/>
              <w:rPr>
                <w:rFonts w:ascii="Arial Narrow" w:hAnsi="Arial Narrow"/>
                <w:b/>
                <w:bCs/>
              </w:rPr>
            </w:pPr>
            <w:r w:rsidRPr="00FD5560">
              <w:rPr>
                <w:rFonts w:ascii="Arial Narrow" w:hAnsi="Arial Narrow"/>
                <w:b/>
                <w:bCs/>
              </w:rPr>
              <w:t>Implementation Year</w:t>
            </w:r>
          </w:p>
        </w:tc>
      </w:tr>
      <w:tr w14:paraId="6E59353C" w14:textId="77777777" w:rsidTr="00FD5560">
        <w:tblPrEx>
          <w:tblW w:w="0" w:type="auto"/>
          <w:tblLook w:val="04A0"/>
        </w:tblPrEx>
        <w:tc>
          <w:tcPr>
            <w:tcW w:w="800" w:type="dxa"/>
          </w:tcPr>
          <w:p w:rsidR="00896E62" w:rsidRPr="00FD5560" w:rsidP="00FD5560" w14:paraId="7B02BD9C" w14:textId="129AD6FC">
            <w:pPr>
              <w:jc w:val="center"/>
              <w:rPr>
                <w:rFonts w:ascii="Arial Narrow" w:hAnsi="Arial Narrow"/>
                <w:b/>
                <w:bCs/>
              </w:rPr>
            </w:pPr>
            <w:r w:rsidRPr="00FD5560">
              <w:rPr>
                <w:rFonts w:ascii="Arial Narrow" w:hAnsi="Arial Narrow"/>
                <w:b/>
                <w:bCs/>
              </w:rPr>
              <w:t>1</w:t>
            </w:r>
          </w:p>
        </w:tc>
        <w:tc>
          <w:tcPr>
            <w:tcW w:w="5660" w:type="dxa"/>
            <w:shd w:val="clear" w:color="auto" w:fill="auto"/>
          </w:tcPr>
          <w:p w:rsidR="00896E62" w:rsidRPr="00FD5560" w:rsidP="00896E62" w14:paraId="3330F9B1" w14:textId="6D62786F">
            <w:pPr>
              <w:rPr>
                <w:rFonts w:ascii="Arial Narrow" w:hAnsi="Arial Narrow"/>
              </w:rPr>
            </w:pPr>
            <w:r w:rsidRPr="00FD5560">
              <w:rPr>
                <w:rFonts w:ascii="Arial Narrow" w:hAnsi="Arial Narrow"/>
                <w:color w:val="000000"/>
                <w:szCs w:val="20"/>
              </w:rPr>
              <w:t>Gather Information</w:t>
            </w:r>
          </w:p>
        </w:tc>
        <w:tc>
          <w:tcPr>
            <w:tcW w:w="2880" w:type="dxa"/>
            <w:shd w:val="clear" w:color="auto" w:fill="auto"/>
            <w:vAlign w:val="center"/>
          </w:tcPr>
          <w:p w:rsidR="00896E62" w:rsidRPr="00FD5560" w:rsidP="00FD5560" w14:paraId="78E7C40E" w14:textId="21033EC5">
            <w:pPr>
              <w:jc w:val="center"/>
              <w:rPr>
                <w:rFonts w:ascii="Arial Narrow" w:hAnsi="Arial Narrow"/>
              </w:rPr>
            </w:pPr>
            <w:r w:rsidRPr="00FD5560">
              <w:rPr>
                <w:rFonts w:ascii="Arial Narrow" w:hAnsi="Arial Narrow"/>
              </w:rPr>
              <w:t>38</w:t>
            </w:r>
          </w:p>
        </w:tc>
      </w:tr>
      <w:tr w14:paraId="08C90AD6" w14:textId="77777777" w:rsidTr="00FD5560">
        <w:tblPrEx>
          <w:tblW w:w="0" w:type="auto"/>
          <w:tblLook w:val="04A0"/>
        </w:tblPrEx>
        <w:tc>
          <w:tcPr>
            <w:tcW w:w="800" w:type="dxa"/>
          </w:tcPr>
          <w:p w:rsidR="00896E62" w:rsidRPr="00FD5560" w:rsidP="00FD5560" w14:paraId="6F5C2B37" w14:textId="593632EC">
            <w:pPr>
              <w:jc w:val="center"/>
              <w:rPr>
                <w:rFonts w:ascii="Arial Narrow" w:hAnsi="Arial Narrow"/>
                <w:b/>
                <w:bCs/>
              </w:rPr>
            </w:pPr>
            <w:r w:rsidRPr="00FD5560">
              <w:rPr>
                <w:rFonts w:ascii="Arial Narrow" w:hAnsi="Arial Narrow"/>
                <w:b/>
                <w:bCs/>
              </w:rPr>
              <w:t>2</w:t>
            </w:r>
          </w:p>
        </w:tc>
        <w:tc>
          <w:tcPr>
            <w:tcW w:w="5660" w:type="dxa"/>
            <w:shd w:val="clear" w:color="auto" w:fill="auto"/>
          </w:tcPr>
          <w:p w:rsidR="00896E62" w:rsidRPr="00FD5560" w:rsidP="00896E62" w14:paraId="3DF2D6E4" w14:textId="6555B4FC">
            <w:pPr>
              <w:rPr>
                <w:rFonts w:ascii="Arial Narrow" w:hAnsi="Arial Narrow"/>
              </w:rPr>
            </w:pPr>
            <w:r w:rsidRPr="00FD5560">
              <w:rPr>
                <w:rFonts w:ascii="Arial Narrow" w:hAnsi="Arial Narrow"/>
                <w:szCs w:val="20"/>
              </w:rPr>
              <w:t>Develop Response and Submit Form</w:t>
            </w:r>
          </w:p>
        </w:tc>
        <w:tc>
          <w:tcPr>
            <w:tcW w:w="2880" w:type="dxa"/>
            <w:shd w:val="clear" w:color="auto" w:fill="auto"/>
            <w:vAlign w:val="center"/>
          </w:tcPr>
          <w:p w:rsidR="00896E62" w:rsidRPr="00FD5560" w:rsidP="00FD5560" w14:paraId="282AB0B0" w14:textId="148BBD8C">
            <w:pPr>
              <w:jc w:val="center"/>
              <w:rPr>
                <w:rFonts w:ascii="Arial Narrow" w:hAnsi="Arial Narrow"/>
              </w:rPr>
            </w:pPr>
            <w:r w:rsidRPr="00FD5560">
              <w:rPr>
                <w:rFonts w:ascii="Arial Narrow" w:hAnsi="Arial Narrow"/>
              </w:rPr>
              <w:t>6</w:t>
            </w:r>
          </w:p>
        </w:tc>
      </w:tr>
      <w:tr w14:paraId="0638A1B7" w14:textId="77777777" w:rsidTr="00FD5560">
        <w:tblPrEx>
          <w:tblW w:w="0" w:type="auto"/>
          <w:tblLook w:val="04A0"/>
        </w:tblPrEx>
        <w:tc>
          <w:tcPr>
            <w:tcW w:w="800" w:type="dxa"/>
          </w:tcPr>
          <w:p w:rsidR="00896E62" w:rsidRPr="00FD5560" w:rsidP="00FD5560" w14:paraId="0D3A6375" w14:textId="77777777">
            <w:pPr>
              <w:jc w:val="center"/>
              <w:rPr>
                <w:rFonts w:ascii="Arial Narrow" w:hAnsi="Arial Narrow"/>
              </w:rPr>
            </w:pPr>
          </w:p>
        </w:tc>
        <w:tc>
          <w:tcPr>
            <w:tcW w:w="5660" w:type="dxa"/>
            <w:shd w:val="clear" w:color="auto" w:fill="auto"/>
          </w:tcPr>
          <w:p w:rsidR="00896E62" w:rsidRPr="00FD5560" w:rsidP="00896E62" w14:paraId="140649C3" w14:textId="4F92EEEF">
            <w:pPr>
              <w:rPr>
                <w:rFonts w:ascii="Arial Narrow" w:hAnsi="Arial Narrow"/>
              </w:rPr>
            </w:pPr>
            <w:r w:rsidRPr="00FD5560">
              <w:rPr>
                <w:rFonts w:ascii="Arial Narrow" w:hAnsi="Arial Narrow"/>
                <w:b/>
                <w:bCs/>
                <w:color w:val="000000"/>
                <w:szCs w:val="20"/>
              </w:rPr>
              <w:t>Total</w:t>
            </w:r>
          </w:p>
        </w:tc>
        <w:tc>
          <w:tcPr>
            <w:tcW w:w="2880" w:type="dxa"/>
            <w:shd w:val="clear" w:color="auto" w:fill="auto"/>
            <w:vAlign w:val="center"/>
          </w:tcPr>
          <w:p w:rsidR="00896E62" w:rsidRPr="00FD5560" w:rsidP="00FD5560" w14:paraId="5048718A" w14:textId="464D65B2">
            <w:pPr>
              <w:jc w:val="center"/>
              <w:rPr>
                <w:rFonts w:ascii="Arial Narrow" w:hAnsi="Arial Narrow"/>
              </w:rPr>
            </w:pPr>
            <w:r w:rsidRPr="00FD5560">
              <w:rPr>
                <w:rFonts w:ascii="Arial Narrow" w:hAnsi="Arial Narrow"/>
              </w:rPr>
              <w:t>44</w:t>
            </w:r>
          </w:p>
        </w:tc>
      </w:tr>
      <w:tr w14:paraId="4F4307C4" w14:textId="77777777" w:rsidTr="00FD5560">
        <w:tblPrEx>
          <w:tblW w:w="0" w:type="auto"/>
          <w:tblLook w:val="04A0"/>
        </w:tblPrEx>
        <w:tc>
          <w:tcPr>
            <w:tcW w:w="9340" w:type="dxa"/>
            <w:gridSpan w:val="3"/>
            <w:vAlign w:val="center"/>
          </w:tcPr>
          <w:p w:rsidR="00FD5560" w:rsidRPr="00FD5560" w:rsidP="00FD5560" w14:paraId="1BA620BF" w14:textId="55EBCA88">
            <w:pPr>
              <w:jc w:val="center"/>
              <w:rPr>
                <w:rFonts w:ascii="Arial Narrow" w:hAnsi="Arial Narrow"/>
                <w:b/>
                <w:bCs/>
              </w:rPr>
            </w:pPr>
            <w:r w:rsidRPr="00FD5560">
              <w:rPr>
                <w:rFonts w:ascii="Arial Narrow" w:hAnsi="Arial Narrow"/>
                <w:b/>
                <w:bCs/>
              </w:rPr>
              <w:t>Reporting Year</w:t>
            </w:r>
          </w:p>
        </w:tc>
      </w:tr>
      <w:tr w14:paraId="011E3814" w14:textId="77777777" w:rsidTr="00FD5560">
        <w:tblPrEx>
          <w:tblW w:w="0" w:type="auto"/>
          <w:tblLook w:val="04A0"/>
        </w:tblPrEx>
        <w:tc>
          <w:tcPr>
            <w:tcW w:w="800" w:type="dxa"/>
          </w:tcPr>
          <w:p w:rsidR="00896E62" w:rsidRPr="00FD5560" w:rsidP="00FD5560" w14:paraId="598DD5E0" w14:textId="33B3F4D6">
            <w:pPr>
              <w:jc w:val="center"/>
              <w:rPr>
                <w:rFonts w:ascii="Arial Narrow" w:hAnsi="Arial Narrow"/>
                <w:b/>
                <w:bCs/>
              </w:rPr>
            </w:pPr>
            <w:r w:rsidRPr="00FD5560">
              <w:rPr>
                <w:rFonts w:ascii="Arial Narrow" w:hAnsi="Arial Narrow"/>
                <w:b/>
                <w:bCs/>
              </w:rPr>
              <w:t>1</w:t>
            </w:r>
          </w:p>
        </w:tc>
        <w:tc>
          <w:tcPr>
            <w:tcW w:w="5660" w:type="dxa"/>
            <w:shd w:val="clear" w:color="auto" w:fill="auto"/>
          </w:tcPr>
          <w:p w:rsidR="00896E62" w:rsidRPr="00FD5560" w:rsidP="00896E62" w14:paraId="3152CCE4" w14:textId="1B8F16CE">
            <w:pPr>
              <w:rPr>
                <w:rFonts w:ascii="Arial Narrow" w:hAnsi="Arial Narrow"/>
              </w:rPr>
            </w:pPr>
            <w:r w:rsidRPr="00FD5560">
              <w:rPr>
                <w:rFonts w:ascii="Arial Narrow" w:hAnsi="Arial Narrow"/>
                <w:bCs/>
                <w:color w:val="000000"/>
                <w:szCs w:val="20"/>
              </w:rPr>
              <w:t>Gather Information</w:t>
            </w:r>
          </w:p>
        </w:tc>
        <w:tc>
          <w:tcPr>
            <w:tcW w:w="2880" w:type="dxa"/>
            <w:shd w:val="clear" w:color="auto" w:fill="auto"/>
            <w:vAlign w:val="center"/>
          </w:tcPr>
          <w:p w:rsidR="00896E62" w:rsidRPr="00FD5560" w:rsidP="00FD5560" w14:paraId="508B0A7D" w14:textId="0A97E04D">
            <w:pPr>
              <w:jc w:val="center"/>
              <w:rPr>
                <w:rFonts w:ascii="Arial Narrow" w:hAnsi="Arial Narrow"/>
              </w:rPr>
            </w:pPr>
            <w:r w:rsidRPr="00FD5560">
              <w:rPr>
                <w:rFonts w:ascii="Arial Narrow" w:hAnsi="Arial Narrow"/>
              </w:rPr>
              <w:t>13</w:t>
            </w:r>
          </w:p>
        </w:tc>
      </w:tr>
      <w:tr w14:paraId="69C0E80A" w14:textId="77777777" w:rsidTr="00FD5560">
        <w:tblPrEx>
          <w:tblW w:w="0" w:type="auto"/>
          <w:tblLook w:val="04A0"/>
        </w:tblPrEx>
        <w:tc>
          <w:tcPr>
            <w:tcW w:w="800" w:type="dxa"/>
          </w:tcPr>
          <w:p w:rsidR="00896E62" w:rsidRPr="00FD5560" w:rsidP="00FD5560" w14:paraId="6D43951F" w14:textId="2892C849">
            <w:pPr>
              <w:jc w:val="center"/>
              <w:rPr>
                <w:rFonts w:ascii="Arial Narrow" w:hAnsi="Arial Narrow"/>
                <w:b/>
                <w:bCs/>
              </w:rPr>
            </w:pPr>
            <w:r w:rsidRPr="00FD5560">
              <w:rPr>
                <w:rFonts w:ascii="Arial Narrow" w:hAnsi="Arial Narrow"/>
                <w:b/>
                <w:bCs/>
              </w:rPr>
              <w:t>2</w:t>
            </w:r>
          </w:p>
        </w:tc>
        <w:tc>
          <w:tcPr>
            <w:tcW w:w="5660" w:type="dxa"/>
            <w:shd w:val="clear" w:color="auto" w:fill="auto"/>
          </w:tcPr>
          <w:p w:rsidR="00896E62" w:rsidRPr="00FD5560" w:rsidP="00896E62" w14:paraId="54BCB2AF" w14:textId="17BFD454">
            <w:pPr>
              <w:rPr>
                <w:rFonts w:ascii="Arial Narrow" w:hAnsi="Arial Narrow"/>
              </w:rPr>
            </w:pPr>
            <w:r w:rsidRPr="00FD5560">
              <w:rPr>
                <w:rFonts w:ascii="Arial Narrow" w:hAnsi="Arial Narrow"/>
                <w:bCs/>
                <w:color w:val="000000"/>
                <w:szCs w:val="20"/>
              </w:rPr>
              <w:t>Develop Response and Submit Form</w:t>
            </w:r>
          </w:p>
        </w:tc>
        <w:tc>
          <w:tcPr>
            <w:tcW w:w="2880" w:type="dxa"/>
            <w:shd w:val="clear" w:color="auto" w:fill="auto"/>
            <w:vAlign w:val="center"/>
          </w:tcPr>
          <w:p w:rsidR="00896E62" w:rsidRPr="00FD5560" w:rsidP="00FD5560" w14:paraId="661FB71E" w14:textId="7F84AC0E">
            <w:pPr>
              <w:jc w:val="center"/>
              <w:rPr>
                <w:rFonts w:ascii="Arial Narrow" w:hAnsi="Arial Narrow"/>
              </w:rPr>
            </w:pPr>
            <w:r w:rsidRPr="00FD5560">
              <w:rPr>
                <w:rFonts w:ascii="Arial Narrow" w:hAnsi="Arial Narrow"/>
              </w:rPr>
              <w:t>5</w:t>
            </w:r>
          </w:p>
        </w:tc>
      </w:tr>
      <w:tr w14:paraId="50DD0E3C" w14:textId="77777777" w:rsidTr="00FD5560">
        <w:tblPrEx>
          <w:tblW w:w="0" w:type="auto"/>
          <w:tblLook w:val="04A0"/>
        </w:tblPrEx>
        <w:tc>
          <w:tcPr>
            <w:tcW w:w="800" w:type="dxa"/>
          </w:tcPr>
          <w:p w:rsidR="007114C4" w:rsidRPr="00FD5560" w:rsidP="00896E62" w14:paraId="5F429EE5" w14:textId="77777777">
            <w:pPr>
              <w:rPr>
                <w:rFonts w:ascii="Arial Narrow" w:hAnsi="Arial Narrow"/>
              </w:rPr>
            </w:pPr>
          </w:p>
        </w:tc>
        <w:tc>
          <w:tcPr>
            <w:tcW w:w="5660" w:type="dxa"/>
            <w:shd w:val="clear" w:color="auto" w:fill="auto"/>
          </w:tcPr>
          <w:p w:rsidR="007114C4" w:rsidRPr="00FD5560" w:rsidP="00896E62" w14:paraId="19D6B081" w14:textId="3EB7DE1E">
            <w:pPr>
              <w:rPr>
                <w:rFonts w:ascii="Arial Narrow" w:hAnsi="Arial Narrow"/>
              </w:rPr>
            </w:pPr>
            <w:r w:rsidRPr="00FD5560">
              <w:rPr>
                <w:rFonts w:ascii="Arial Narrow" w:hAnsi="Arial Narrow"/>
                <w:b/>
                <w:bCs/>
                <w:color w:val="000000"/>
                <w:szCs w:val="20"/>
              </w:rPr>
              <w:t>Total</w:t>
            </w:r>
          </w:p>
        </w:tc>
        <w:tc>
          <w:tcPr>
            <w:tcW w:w="2880" w:type="dxa"/>
            <w:shd w:val="clear" w:color="auto" w:fill="auto"/>
            <w:vAlign w:val="center"/>
          </w:tcPr>
          <w:p w:rsidR="007114C4" w:rsidRPr="00FD5560" w:rsidP="00FD5560" w14:paraId="5C3DFB43" w14:textId="14A1BBED">
            <w:pPr>
              <w:jc w:val="center"/>
              <w:rPr>
                <w:rFonts w:ascii="Arial Narrow" w:hAnsi="Arial Narrow"/>
              </w:rPr>
            </w:pPr>
            <w:r w:rsidRPr="00FD5560">
              <w:rPr>
                <w:rFonts w:ascii="Arial Narrow" w:hAnsi="Arial Narrow"/>
              </w:rPr>
              <w:t>18</w:t>
            </w:r>
          </w:p>
        </w:tc>
      </w:tr>
      <w:tr w14:paraId="73A209A5" w14:textId="77777777" w:rsidTr="00FD5560">
        <w:tblPrEx>
          <w:tblW w:w="0" w:type="auto"/>
          <w:tblLook w:val="04A0"/>
        </w:tblPrEx>
        <w:tc>
          <w:tcPr>
            <w:tcW w:w="6460" w:type="dxa"/>
            <w:gridSpan w:val="2"/>
            <w:shd w:val="clear" w:color="auto" w:fill="auto"/>
          </w:tcPr>
          <w:p w:rsidR="00FD5560" w:rsidRPr="00FD5560" w:rsidP="00FD5560" w14:paraId="13DF6F4E" w14:textId="21D49597">
            <w:pPr>
              <w:jc w:val="center"/>
              <w:rPr>
                <w:rFonts w:ascii="Arial Narrow" w:hAnsi="Arial Narrow"/>
              </w:rPr>
            </w:pPr>
            <w:r w:rsidRPr="00FD5560">
              <w:rPr>
                <w:rFonts w:ascii="Arial Narrow" w:hAnsi="Arial Narrow" w:cs="Calibri"/>
                <w:b/>
                <w:bCs/>
                <w:color w:val="000000"/>
                <w:szCs w:val="20"/>
              </w:rPr>
              <w:t>Total over 3 years (Existing Issuer)</w:t>
            </w:r>
          </w:p>
        </w:tc>
        <w:tc>
          <w:tcPr>
            <w:tcW w:w="2880" w:type="dxa"/>
            <w:shd w:val="clear" w:color="auto" w:fill="auto"/>
            <w:vAlign w:val="center"/>
          </w:tcPr>
          <w:p w:rsidR="00FD5560" w:rsidRPr="00FD5560" w:rsidP="00FD5560" w14:paraId="7DBDC100" w14:textId="391D9C7B">
            <w:pPr>
              <w:jc w:val="center"/>
              <w:rPr>
                <w:rFonts w:ascii="Arial Narrow" w:hAnsi="Arial Narrow"/>
              </w:rPr>
            </w:pPr>
            <w:r w:rsidRPr="00FD5560">
              <w:rPr>
                <w:rFonts w:ascii="Arial Narrow" w:hAnsi="Arial Narrow"/>
              </w:rPr>
              <w:t>54</w:t>
            </w:r>
          </w:p>
        </w:tc>
      </w:tr>
      <w:tr w14:paraId="02D414F6" w14:textId="77777777" w:rsidTr="00FD5560">
        <w:tblPrEx>
          <w:tblW w:w="0" w:type="auto"/>
          <w:tblLook w:val="04A0"/>
        </w:tblPrEx>
        <w:tc>
          <w:tcPr>
            <w:tcW w:w="6460" w:type="dxa"/>
            <w:gridSpan w:val="2"/>
            <w:shd w:val="clear" w:color="auto" w:fill="auto"/>
          </w:tcPr>
          <w:p w:rsidR="00FD5560" w:rsidRPr="00FD5560" w:rsidP="00FD5560" w14:paraId="4586F681" w14:textId="4302A392">
            <w:pPr>
              <w:jc w:val="center"/>
              <w:rPr>
                <w:rFonts w:ascii="Arial Narrow" w:hAnsi="Arial Narrow"/>
              </w:rPr>
            </w:pPr>
            <w:r w:rsidRPr="00FD5560">
              <w:rPr>
                <w:rFonts w:ascii="Arial Narrow" w:hAnsi="Arial Narrow" w:cs="Calibri"/>
                <w:b/>
                <w:bCs/>
                <w:color w:val="000000"/>
                <w:szCs w:val="20"/>
              </w:rPr>
              <w:t>Total over 3 years (New Issuer)</w:t>
            </w:r>
          </w:p>
        </w:tc>
        <w:tc>
          <w:tcPr>
            <w:tcW w:w="2880" w:type="dxa"/>
            <w:shd w:val="clear" w:color="auto" w:fill="auto"/>
            <w:vAlign w:val="center"/>
          </w:tcPr>
          <w:p w:rsidR="00FD5560" w:rsidRPr="00FD5560" w:rsidP="00FD5560" w14:paraId="65AB9731" w14:textId="313DBA00">
            <w:pPr>
              <w:jc w:val="center"/>
              <w:rPr>
                <w:rFonts w:ascii="Arial Narrow" w:hAnsi="Arial Narrow"/>
              </w:rPr>
            </w:pPr>
            <w:r w:rsidRPr="00FD5560">
              <w:rPr>
                <w:rFonts w:ascii="Arial Narrow" w:hAnsi="Arial Narrow"/>
              </w:rPr>
              <w:t>80</w:t>
            </w:r>
          </w:p>
        </w:tc>
      </w:tr>
      <w:tr w14:paraId="19EA139C" w14:textId="77777777" w:rsidTr="00FD5560">
        <w:tblPrEx>
          <w:tblW w:w="0" w:type="auto"/>
          <w:tblLook w:val="04A0"/>
        </w:tblPrEx>
        <w:tc>
          <w:tcPr>
            <w:tcW w:w="6460" w:type="dxa"/>
            <w:gridSpan w:val="2"/>
            <w:shd w:val="clear" w:color="auto" w:fill="auto"/>
          </w:tcPr>
          <w:p w:rsidR="00FD5560" w:rsidRPr="00FD5560" w:rsidP="00FD5560" w14:paraId="133417E2" w14:textId="41123A9D">
            <w:pPr>
              <w:jc w:val="center"/>
              <w:rPr>
                <w:rFonts w:ascii="Arial Narrow" w:hAnsi="Arial Narrow"/>
              </w:rPr>
            </w:pPr>
            <w:r w:rsidRPr="00FD5560">
              <w:rPr>
                <w:rFonts w:ascii="Arial Narrow" w:hAnsi="Arial Narrow" w:cs="Calibri"/>
                <w:b/>
                <w:bCs/>
                <w:color w:val="000000"/>
                <w:szCs w:val="20"/>
              </w:rPr>
              <w:t>Averaged over 3 years</w:t>
            </w:r>
            <w:r>
              <w:rPr>
                <w:rStyle w:val="FootnoteReference"/>
                <w:rFonts w:ascii="Arial Narrow" w:hAnsi="Arial Narrow" w:cs="Calibri"/>
                <w:b/>
                <w:bCs/>
                <w:color w:val="000000"/>
                <w:szCs w:val="20"/>
              </w:rPr>
              <w:footnoteReference w:id="9"/>
            </w:r>
          </w:p>
        </w:tc>
        <w:tc>
          <w:tcPr>
            <w:tcW w:w="2880" w:type="dxa"/>
            <w:shd w:val="clear" w:color="auto" w:fill="auto"/>
            <w:vAlign w:val="center"/>
          </w:tcPr>
          <w:p w:rsidR="00FD5560" w:rsidRPr="00FD5560" w:rsidP="00FD5560" w14:paraId="508503A8" w14:textId="58C2C9AE">
            <w:pPr>
              <w:jc w:val="center"/>
              <w:rPr>
                <w:rFonts w:ascii="Arial Narrow" w:hAnsi="Arial Narrow"/>
              </w:rPr>
            </w:pPr>
            <w:r w:rsidRPr="00FD5560">
              <w:rPr>
                <w:rFonts w:ascii="Arial Narrow" w:hAnsi="Arial Narrow"/>
              </w:rPr>
              <w:t>20</w:t>
            </w:r>
          </w:p>
        </w:tc>
      </w:tr>
    </w:tbl>
    <w:p w:rsidR="00896E62" w:rsidRPr="00896E62" w:rsidP="00896E62" w14:paraId="4DA1649F" w14:textId="77777777"/>
    <w:p w:rsidR="00274A40" w:rsidP="00274A40" w14:paraId="6B7DD87B" w14:textId="77777777">
      <w:pPr>
        <w:pStyle w:val="Caption"/>
      </w:pPr>
    </w:p>
    <w:p w:rsidR="00274A40" w:rsidRPr="001A70EF" w:rsidP="00274A40" w14:paraId="4EA1F70B" w14:textId="47D2F7C9">
      <w:pPr>
        <w:pStyle w:val="Caption"/>
      </w:pPr>
      <w:r>
        <w:t xml:space="preserve">Exhibit </w:t>
      </w:r>
      <w:r w:rsidRPr="34BCEC76">
        <w:rPr>
          <w:color w:val="2B579A"/>
        </w:rPr>
        <w:fldChar w:fldCharType="begin"/>
      </w:r>
      <w:r>
        <w:instrText>SEQ Exhibit \* ARABIC</w:instrText>
      </w:r>
      <w:r w:rsidRPr="34BCEC76">
        <w:rPr>
          <w:color w:val="2B579A"/>
        </w:rPr>
        <w:fldChar w:fldCharType="separate"/>
      </w:r>
      <w:r w:rsidRPr="34BCEC76" w:rsidR="00206845">
        <w:rPr>
          <w:noProof/>
        </w:rPr>
        <w:t>2</w:t>
      </w:r>
      <w:r w:rsidRPr="34BCEC76">
        <w:rPr>
          <w:color w:val="2B579A"/>
        </w:rPr>
        <w:fldChar w:fldCharType="end"/>
      </w:r>
      <w:r>
        <w:t>. QIS Annual Estimated Hour Burden and Cost Burden for Issuer</w:t>
      </w:r>
      <w:r w:rsidR="098BD11A">
        <w:t>s</w:t>
      </w:r>
    </w:p>
    <w:tbl>
      <w:tblPr>
        <w:tblW w:w="10890"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tblPr>
      <w:tblGrid>
        <w:gridCol w:w="720"/>
        <w:gridCol w:w="2075"/>
        <w:gridCol w:w="1620"/>
        <w:gridCol w:w="1255"/>
        <w:gridCol w:w="1350"/>
        <w:gridCol w:w="1260"/>
        <w:gridCol w:w="1080"/>
        <w:gridCol w:w="1530"/>
      </w:tblGrid>
      <w:tr w14:paraId="34F90F27" w14:textId="6160F872" w:rsidTr="34BCEC76">
        <w:tblPrEx>
          <w:tblW w:w="10890"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tblPrEx>
        <w:trPr>
          <w:cantSplit/>
          <w:tblHeader/>
          <w:jc w:val="center"/>
        </w:trPr>
        <w:tc>
          <w:tcPr>
            <w:tcW w:w="720" w:type="dxa"/>
            <w:shd w:val="clear" w:color="auto" w:fill="1F497D"/>
            <w:vAlign w:val="bottom"/>
            <w:hideMark/>
          </w:tcPr>
          <w:p w:rsidR="005E2CB0" w:rsidRPr="00312178" w14:paraId="368F4148" w14:textId="77777777">
            <w:pPr>
              <w:keepNext/>
              <w:widowControl/>
              <w:autoSpaceDE/>
              <w:autoSpaceDN/>
              <w:adjustRightInd/>
              <w:spacing w:before="20" w:after="20"/>
              <w:jc w:val="center"/>
              <w:rPr>
                <w:rFonts w:ascii="Arial Narrow" w:hAnsi="Arial Narrow"/>
                <w:b/>
                <w:bCs/>
                <w:color w:val="FFFFFF"/>
                <w:szCs w:val="20"/>
              </w:rPr>
            </w:pPr>
            <w:r w:rsidRPr="00312178">
              <w:rPr>
                <w:rFonts w:ascii="Arial Narrow" w:hAnsi="Arial Narrow"/>
                <w:b/>
                <w:bCs/>
                <w:color w:val="FFFFFF"/>
                <w:szCs w:val="20"/>
              </w:rPr>
              <w:t>Step #</w:t>
            </w:r>
          </w:p>
        </w:tc>
        <w:tc>
          <w:tcPr>
            <w:tcW w:w="2075" w:type="dxa"/>
            <w:shd w:val="clear" w:color="auto" w:fill="1F497D"/>
            <w:vAlign w:val="bottom"/>
            <w:hideMark/>
          </w:tcPr>
          <w:p w:rsidR="005E2CB0" w:rsidRPr="00312178" w14:paraId="30C82A4B" w14:textId="1858C452">
            <w:pPr>
              <w:keepNext/>
              <w:widowControl/>
              <w:autoSpaceDE/>
              <w:autoSpaceDN/>
              <w:adjustRightInd/>
              <w:spacing w:before="20" w:after="20"/>
              <w:jc w:val="center"/>
              <w:rPr>
                <w:rFonts w:ascii="Arial Narrow" w:hAnsi="Arial Narrow"/>
                <w:b/>
                <w:bCs/>
                <w:color w:val="FFFFFF"/>
                <w:szCs w:val="20"/>
              </w:rPr>
            </w:pPr>
            <w:r w:rsidRPr="00312178">
              <w:rPr>
                <w:rFonts w:ascii="Arial Narrow" w:hAnsi="Arial Narrow"/>
                <w:b/>
                <w:bCs/>
                <w:color w:val="FFFFFF"/>
                <w:szCs w:val="20"/>
              </w:rPr>
              <w:t>Step Name</w:t>
            </w:r>
            <w:r>
              <w:rPr>
                <w:rFonts w:ascii="Arial Narrow" w:hAnsi="Arial Narrow"/>
                <w:b/>
                <w:bCs/>
                <w:color w:val="FFFFFF"/>
                <w:szCs w:val="20"/>
              </w:rPr>
              <w:t>/Labor Categories Involved in Step</w:t>
            </w:r>
          </w:p>
        </w:tc>
        <w:tc>
          <w:tcPr>
            <w:tcW w:w="1620" w:type="dxa"/>
            <w:shd w:val="clear" w:color="auto" w:fill="1F497D"/>
            <w:vAlign w:val="bottom"/>
            <w:hideMark/>
          </w:tcPr>
          <w:p w:rsidR="005E2CB0" w:rsidRPr="00312178" w14:paraId="0A0B4F7F" w14:textId="2DAA6EF2">
            <w:pPr>
              <w:keepNext/>
              <w:widowControl/>
              <w:autoSpaceDE/>
              <w:autoSpaceDN/>
              <w:adjustRightInd/>
              <w:spacing w:before="20" w:after="20"/>
              <w:jc w:val="center"/>
              <w:rPr>
                <w:rFonts w:ascii="Arial Narrow" w:hAnsi="Arial Narrow"/>
                <w:b/>
                <w:bCs/>
                <w:color w:val="FFFFFF"/>
                <w:szCs w:val="20"/>
              </w:rPr>
            </w:pPr>
            <w:r w:rsidRPr="00312178">
              <w:rPr>
                <w:rFonts w:ascii="Arial Narrow" w:hAnsi="Arial Narrow"/>
                <w:b/>
                <w:bCs/>
                <w:color w:val="FFFFFF"/>
                <w:szCs w:val="20"/>
              </w:rPr>
              <w:t xml:space="preserve"> Hourly Labor Costs</w:t>
            </w:r>
            <w:r>
              <w:rPr>
                <w:rStyle w:val="FootnoteReference"/>
                <w:rFonts w:ascii="Arial Narrow" w:hAnsi="Arial Narrow"/>
                <w:b/>
                <w:bCs/>
                <w:color w:val="FFFFFF"/>
                <w:szCs w:val="20"/>
              </w:rPr>
              <w:footnoteReference w:id="10"/>
            </w:r>
            <w:r>
              <w:rPr>
                <w:rFonts w:ascii="Arial Narrow" w:hAnsi="Arial Narrow"/>
                <w:b/>
                <w:bCs/>
                <w:color w:val="FFFFFF"/>
                <w:szCs w:val="20"/>
              </w:rPr>
              <w:br/>
            </w:r>
            <w:r w:rsidRPr="00312178">
              <w:rPr>
                <w:rFonts w:ascii="Arial Narrow" w:hAnsi="Arial Narrow"/>
                <w:b/>
                <w:bCs/>
                <w:color w:val="FFFFFF"/>
                <w:szCs w:val="20"/>
              </w:rPr>
              <w:t>(</w:t>
            </w:r>
            <w:r>
              <w:rPr>
                <w:rFonts w:ascii="Arial Narrow" w:hAnsi="Arial Narrow"/>
                <w:b/>
                <w:bCs/>
                <w:color w:val="FFFFFF"/>
                <w:szCs w:val="20"/>
              </w:rPr>
              <w:t xml:space="preserve">Median </w:t>
            </w:r>
            <w:r w:rsidRPr="00312178">
              <w:rPr>
                <w:rFonts w:ascii="Arial Narrow" w:hAnsi="Arial Narrow"/>
                <w:b/>
                <w:bCs/>
                <w:color w:val="FFFFFF"/>
                <w:szCs w:val="20"/>
              </w:rPr>
              <w:t xml:space="preserve">Hourly Rate + </w:t>
            </w:r>
            <w:r>
              <w:rPr>
                <w:rFonts w:ascii="Arial Narrow" w:hAnsi="Arial Narrow"/>
                <w:b/>
                <w:bCs/>
                <w:color w:val="FFFFFF"/>
                <w:szCs w:val="20"/>
              </w:rPr>
              <w:t>100</w:t>
            </w:r>
            <w:r w:rsidRPr="00312178">
              <w:rPr>
                <w:rFonts w:ascii="Arial Narrow" w:hAnsi="Arial Narrow"/>
                <w:b/>
                <w:bCs/>
                <w:color w:val="FFFFFF"/>
                <w:szCs w:val="20"/>
              </w:rPr>
              <w:t>% Fringe Benefits)</w:t>
            </w:r>
          </w:p>
        </w:tc>
        <w:tc>
          <w:tcPr>
            <w:tcW w:w="1255" w:type="dxa"/>
            <w:shd w:val="clear" w:color="auto" w:fill="1F497D"/>
            <w:vAlign w:val="bottom"/>
            <w:hideMark/>
          </w:tcPr>
          <w:p w:rsidR="005E2CB0" w:rsidRPr="00312178" w14:paraId="6EF58337" w14:textId="39A7750D">
            <w:pPr>
              <w:keepNext/>
              <w:widowControl/>
              <w:autoSpaceDE/>
              <w:autoSpaceDN/>
              <w:adjustRightInd/>
              <w:spacing w:before="20" w:after="20"/>
              <w:jc w:val="center"/>
              <w:rPr>
                <w:rFonts w:ascii="Arial Narrow" w:hAnsi="Arial Narrow"/>
                <w:b/>
                <w:bCs/>
                <w:color w:val="FFFFFF"/>
                <w:szCs w:val="20"/>
              </w:rPr>
            </w:pPr>
            <w:r w:rsidRPr="00312178">
              <w:rPr>
                <w:rFonts w:ascii="Arial Narrow" w:hAnsi="Arial Narrow"/>
                <w:b/>
                <w:bCs/>
                <w:color w:val="FFFFFF"/>
                <w:szCs w:val="20"/>
              </w:rPr>
              <w:t>Hour Burden</w:t>
            </w:r>
            <w:r>
              <w:rPr>
                <w:rFonts w:ascii="Arial Narrow" w:hAnsi="Arial Narrow"/>
                <w:b/>
                <w:bCs/>
                <w:color w:val="FFFFFF"/>
                <w:szCs w:val="20"/>
              </w:rPr>
              <w:t xml:space="preserve"> per response</w:t>
            </w:r>
          </w:p>
        </w:tc>
        <w:tc>
          <w:tcPr>
            <w:tcW w:w="1350" w:type="dxa"/>
            <w:shd w:val="clear" w:color="auto" w:fill="1F497D"/>
            <w:vAlign w:val="bottom"/>
            <w:hideMark/>
          </w:tcPr>
          <w:p w:rsidR="005E2CB0" w:rsidRPr="00312178" w14:paraId="5BB7CB24" w14:textId="077DB476">
            <w:pPr>
              <w:keepNext/>
              <w:widowControl/>
              <w:autoSpaceDE/>
              <w:autoSpaceDN/>
              <w:adjustRightInd/>
              <w:spacing w:before="20" w:after="20"/>
              <w:jc w:val="center"/>
              <w:rPr>
                <w:rFonts w:ascii="Arial Narrow" w:hAnsi="Arial Narrow"/>
                <w:b/>
                <w:bCs/>
                <w:color w:val="FFFFFF"/>
                <w:szCs w:val="20"/>
              </w:rPr>
            </w:pPr>
            <w:r w:rsidRPr="00312178">
              <w:rPr>
                <w:rFonts w:ascii="Arial Narrow" w:hAnsi="Arial Narrow"/>
                <w:b/>
                <w:bCs/>
                <w:color w:val="FFFFFF"/>
                <w:szCs w:val="20"/>
              </w:rPr>
              <w:t>Cost Burden</w:t>
            </w:r>
            <w:r>
              <w:rPr>
                <w:rFonts w:ascii="Arial Narrow" w:hAnsi="Arial Narrow"/>
                <w:b/>
                <w:bCs/>
                <w:color w:val="FFFFFF"/>
                <w:szCs w:val="20"/>
              </w:rPr>
              <w:t xml:space="preserve"> per response</w:t>
            </w:r>
          </w:p>
        </w:tc>
        <w:tc>
          <w:tcPr>
            <w:tcW w:w="1260" w:type="dxa"/>
            <w:shd w:val="clear" w:color="auto" w:fill="1F497D"/>
            <w:vAlign w:val="bottom"/>
          </w:tcPr>
          <w:p w:rsidR="005E2CB0" w:rsidRPr="00312178" w:rsidP="005E0CC2" w14:paraId="40736C5E" w14:textId="57B5BD1C">
            <w:pPr>
              <w:keepNext/>
              <w:widowControl/>
              <w:autoSpaceDE/>
              <w:autoSpaceDN/>
              <w:adjustRightInd/>
              <w:spacing w:before="20" w:after="20"/>
              <w:jc w:val="center"/>
              <w:rPr>
                <w:rFonts w:ascii="Arial Narrow" w:hAnsi="Arial Narrow"/>
                <w:b/>
                <w:bCs/>
                <w:color w:val="FFFFFF"/>
                <w:szCs w:val="20"/>
              </w:rPr>
            </w:pPr>
            <w:r>
              <w:rPr>
                <w:rFonts w:ascii="Arial Narrow" w:hAnsi="Arial Narrow"/>
                <w:b/>
                <w:bCs/>
                <w:color w:val="FFFFFF"/>
                <w:szCs w:val="20"/>
              </w:rPr>
              <w:t>Number of Respondents</w:t>
            </w:r>
          </w:p>
        </w:tc>
        <w:tc>
          <w:tcPr>
            <w:tcW w:w="1080" w:type="dxa"/>
            <w:shd w:val="clear" w:color="auto" w:fill="1F497D"/>
            <w:vAlign w:val="bottom"/>
          </w:tcPr>
          <w:p w:rsidR="005E2CB0" w:rsidP="005E2CB0" w14:paraId="0D6D3FE8" w14:textId="491A1AFA">
            <w:pPr>
              <w:keepNext/>
              <w:widowControl/>
              <w:autoSpaceDE/>
              <w:autoSpaceDN/>
              <w:adjustRightInd/>
              <w:spacing w:before="20" w:after="20"/>
              <w:jc w:val="center"/>
              <w:rPr>
                <w:rFonts w:ascii="Arial Narrow" w:hAnsi="Arial Narrow"/>
                <w:b/>
                <w:bCs/>
                <w:color w:val="FFFFFF"/>
                <w:szCs w:val="20"/>
              </w:rPr>
            </w:pPr>
            <w:r>
              <w:rPr>
                <w:rFonts w:ascii="Arial Narrow" w:hAnsi="Arial Narrow"/>
                <w:b/>
                <w:bCs/>
                <w:color w:val="FFFFFF"/>
                <w:szCs w:val="20"/>
              </w:rPr>
              <w:t>Total Hour Burden</w:t>
            </w:r>
          </w:p>
        </w:tc>
        <w:tc>
          <w:tcPr>
            <w:tcW w:w="1530" w:type="dxa"/>
            <w:shd w:val="clear" w:color="auto" w:fill="1F497D"/>
            <w:vAlign w:val="bottom"/>
          </w:tcPr>
          <w:p w:rsidR="005E2CB0" w:rsidRPr="00312178" w:rsidP="005E0CC2" w14:paraId="6028261F" w14:textId="4638D5C2">
            <w:pPr>
              <w:keepNext/>
              <w:widowControl/>
              <w:autoSpaceDE/>
              <w:autoSpaceDN/>
              <w:adjustRightInd/>
              <w:spacing w:before="20" w:after="20"/>
              <w:jc w:val="center"/>
              <w:rPr>
                <w:rFonts w:ascii="Arial Narrow" w:hAnsi="Arial Narrow"/>
                <w:b/>
                <w:bCs/>
                <w:color w:val="FFFFFF"/>
                <w:szCs w:val="20"/>
              </w:rPr>
            </w:pPr>
            <w:r>
              <w:rPr>
                <w:rFonts w:ascii="Arial Narrow" w:hAnsi="Arial Narrow"/>
                <w:b/>
                <w:bCs/>
                <w:color w:val="FFFFFF"/>
                <w:szCs w:val="20"/>
              </w:rPr>
              <w:t>Total Cost Burden</w:t>
            </w:r>
          </w:p>
        </w:tc>
      </w:tr>
      <w:tr w14:paraId="740A32B7" w14:textId="52043B7C" w:rsidTr="34BCEC76">
        <w:tblPrEx>
          <w:tblW w:w="10890" w:type="dxa"/>
          <w:jc w:val="center"/>
          <w:tblLayout w:type="fixed"/>
          <w:tblLook w:val="04A0"/>
        </w:tblPrEx>
        <w:trPr>
          <w:cantSplit/>
          <w:jc w:val="center"/>
        </w:trPr>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hideMark/>
          </w:tcPr>
          <w:p w:rsidR="005E2CB0" w:rsidRPr="00F35386" w14:paraId="28AAD7D4" w14:textId="77777777">
            <w:pPr>
              <w:keepNext/>
              <w:widowControl/>
              <w:autoSpaceDE/>
              <w:autoSpaceDN/>
              <w:adjustRightInd/>
              <w:spacing w:before="20" w:after="20"/>
              <w:jc w:val="center"/>
              <w:rPr>
                <w:rFonts w:ascii="Arial Narrow" w:hAnsi="Arial Narrow"/>
                <w:b/>
                <w:color w:val="000000"/>
                <w:szCs w:val="20"/>
              </w:rPr>
            </w:pPr>
            <w:r w:rsidRPr="00F35386">
              <w:rPr>
                <w:rFonts w:ascii="Arial Narrow" w:hAnsi="Arial Narrow"/>
                <w:b/>
                <w:color w:val="000000"/>
                <w:szCs w:val="20"/>
              </w:rPr>
              <w:t>1</w:t>
            </w:r>
          </w:p>
        </w:tc>
        <w:tc>
          <w:tcPr>
            <w:tcW w:w="2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hideMark/>
          </w:tcPr>
          <w:p w:rsidR="005E2CB0" w:rsidRPr="00312178" w14:paraId="3D26A76C" w14:textId="77777777">
            <w:pPr>
              <w:keepNext/>
              <w:widowControl/>
              <w:autoSpaceDE/>
              <w:autoSpaceDN/>
              <w:adjustRightInd/>
              <w:spacing w:before="20" w:after="20"/>
              <w:rPr>
                <w:rFonts w:ascii="Arial Narrow" w:hAnsi="Arial Narrow"/>
                <w:color w:val="000000"/>
                <w:szCs w:val="20"/>
              </w:rPr>
            </w:pPr>
            <w:r w:rsidRPr="00312178">
              <w:rPr>
                <w:rFonts w:ascii="Arial Narrow" w:hAnsi="Arial Narrow"/>
                <w:color w:val="000000"/>
                <w:szCs w:val="20"/>
              </w:rPr>
              <w:t>Gather Information</w:t>
            </w:r>
          </w:p>
        </w:tc>
        <w:tc>
          <w:tcPr>
            <w:tcW w:w="16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noWrap/>
            <w:vAlign w:val="center"/>
            <w:hideMark/>
          </w:tcPr>
          <w:p w:rsidR="005E2CB0" w:rsidRPr="00E84A02" w14:paraId="0EF1B80C" w14:textId="6728A1FE">
            <w:pPr>
              <w:keepNext/>
              <w:widowControl/>
              <w:autoSpaceDE/>
              <w:autoSpaceDN/>
              <w:adjustRightInd/>
              <w:spacing w:before="20" w:after="20"/>
              <w:jc w:val="center"/>
              <w:rPr>
                <w:rFonts w:ascii="Arial Narrow" w:hAnsi="Arial Narrow"/>
                <w:color w:val="000000"/>
              </w:rPr>
            </w:pPr>
          </w:p>
        </w:tc>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noWrap/>
            <w:vAlign w:val="center"/>
            <w:hideMark/>
          </w:tcPr>
          <w:p w:rsidR="005E2CB0" w:rsidRPr="00312178" w14:paraId="6A2E67B8" w14:textId="7C80C43E">
            <w:pPr>
              <w:keepNext/>
              <w:widowControl/>
              <w:autoSpaceDE/>
              <w:autoSpaceDN/>
              <w:adjustRightInd/>
              <w:spacing w:before="20" w:after="20"/>
              <w:jc w:val="center"/>
              <w:rPr>
                <w:rFonts w:ascii="Arial Narrow" w:hAnsi="Arial Narrow"/>
                <w:bCs/>
                <w:szCs w:val="20"/>
              </w:rPr>
            </w:pPr>
            <w:r>
              <w:rPr>
                <w:rFonts w:ascii="Arial Narrow" w:hAnsi="Arial Narrow" w:cs="Calibri"/>
                <w:bCs/>
                <w:color w:val="000000"/>
                <w:szCs w:val="20"/>
              </w:rPr>
              <w:t>38</w:t>
            </w: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noWrap/>
            <w:vAlign w:val="center"/>
          </w:tcPr>
          <w:p w:rsidR="005E2CB0" w:rsidRPr="00E84A02" w14:paraId="114DE300" w14:textId="72F57342">
            <w:pPr>
              <w:keepNext/>
              <w:widowControl/>
              <w:autoSpaceDE/>
              <w:autoSpaceDN/>
              <w:adjustRightInd/>
              <w:spacing w:before="20" w:after="20"/>
              <w:jc w:val="center"/>
              <w:rPr>
                <w:rFonts w:ascii="Arial Narrow" w:hAnsi="Arial Narrow"/>
              </w:rPr>
            </w:pPr>
            <w:r w:rsidRPr="3A23BB6B">
              <w:rPr>
                <w:rFonts w:ascii="Arial Narrow" w:hAnsi="Arial Narrow" w:cs="Calibri"/>
                <w:color w:val="000000" w:themeColor="text1"/>
              </w:rPr>
              <w:t>$</w:t>
            </w:r>
            <w:r>
              <w:rPr>
                <w:rFonts w:ascii="Arial Narrow" w:hAnsi="Arial Narrow" w:cs="Calibri"/>
                <w:color w:val="000000" w:themeColor="text1"/>
              </w:rPr>
              <w:t>3456.39</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cPr>
          <w:p w:rsidR="005E2CB0" w:rsidRPr="3A23BB6B" w14:paraId="11156732" w14:textId="19F8C8FC">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50</w:t>
            </w: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cPr>
          <w:p w:rsidR="005E2CB0" w14:paraId="58D56DC6" w14:textId="7EBF0782">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1900</w:t>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cPr>
          <w:p w:rsidR="005E2CB0" w:rsidRPr="3A23BB6B" w14:paraId="076ADDAA" w14:textId="5F4C1B64">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$172</w:t>
            </w:r>
            <w:r w:rsidR="00123057">
              <w:rPr>
                <w:rFonts w:ascii="Arial Narrow" w:hAnsi="Arial Narrow" w:cs="Calibri"/>
                <w:color w:val="000000" w:themeColor="text1"/>
              </w:rPr>
              <w:t>,8</w:t>
            </w:r>
            <w:r>
              <w:rPr>
                <w:rFonts w:ascii="Arial Narrow" w:hAnsi="Arial Narrow" w:cs="Calibri"/>
                <w:color w:val="000000" w:themeColor="text1"/>
              </w:rPr>
              <w:t>19.40</w:t>
            </w:r>
          </w:p>
        </w:tc>
      </w:tr>
      <w:tr w14:paraId="31B90D46" w14:textId="74D0F86C" w:rsidTr="34BCEC76">
        <w:tblPrEx>
          <w:tblW w:w="10890" w:type="dxa"/>
          <w:jc w:val="center"/>
          <w:tblLayout w:type="fixed"/>
          <w:tblLook w:val="04A0"/>
        </w:tblPrEx>
        <w:trPr>
          <w:cantSplit/>
          <w:jc w:val="center"/>
        </w:trPr>
        <w:tc>
          <w:tcPr>
            <w:tcW w:w="720" w:type="dxa"/>
            <w:shd w:val="clear" w:color="auto" w:fill="DBE5F1"/>
            <w:vAlign w:val="center"/>
          </w:tcPr>
          <w:p w:rsidR="005E2CB0" w:rsidRPr="00F35386" w14:paraId="084CD76B" w14:textId="77777777">
            <w:pPr>
              <w:keepNext/>
              <w:widowControl/>
              <w:autoSpaceDE/>
              <w:autoSpaceDN/>
              <w:adjustRightInd/>
              <w:spacing w:before="20" w:after="20"/>
              <w:jc w:val="center"/>
              <w:rPr>
                <w:rFonts w:ascii="Arial Narrow" w:hAnsi="Arial Narrow"/>
                <w:b/>
                <w:color w:val="000000"/>
                <w:szCs w:val="20"/>
              </w:rPr>
            </w:pPr>
          </w:p>
        </w:tc>
        <w:tc>
          <w:tcPr>
            <w:tcW w:w="2075" w:type="dxa"/>
            <w:shd w:val="clear" w:color="auto" w:fill="auto"/>
            <w:vAlign w:val="center"/>
          </w:tcPr>
          <w:p w:rsidR="005E2CB0" w:rsidRPr="00312178" w:rsidP="00564A8F" w14:paraId="06F0CBF6" w14:textId="201CA62F">
            <w:pPr>
              <w:keepNext/>
              <w:widowControl/>
              <w:autoSpaceDE/>
              <w:autoSpaceDN/>
              <w:adjustRightInd/>
              <w:spacing w:before="20" w:after="20"/>
              <w:rPr>
                <w:rFonts w:ascii="Arial Narrow" w:hAnsi="Arial Narrow"/>
                <w:color w:val="000000"/>
                <w:szCs w:val="20"/>
              </w:rPr>
            </w:pPr>
            <w:r w:rsidRPr="00D3361D">
              <w:rPr>
                <w:rFonts w:ascii="Arial Narrow" w:hAnsi="Arial Narrow"/>
                <w:color w:val="000000"/>
                <w:szCs w:val="20"/>
              </w:rPr>
              <w:t>General and Operations Manager</w:t>
            </w:r>
          </w:p>
        </w:tc>
        <w:tc>
          <w:tcPr>
            <w:tcW w:w="1620" w:type="dxa"/>
            <w:shd w:val="clear" w:color="auto" w:fill="auto"/>
            <w:noWrap/>
            <w:vAlign w:val="center"/>
          </w:tcPr>
          <w:p w:rsidR="005E2CB0" w:rsidRPr="3A23BB6B" w14:paraId="5ECD56A9" w14:textId="4D984FDD">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w:t>
            </w:r>
            <w:r w:rsidRPr="0081732F">
              <w:rPr>
                <w:rFonts w:ascii="Arial Narrow" w:hAnsi="Arial Narrow" w:cs="Calibri"/>
                <w:color w:val="000000" w:themeColor="text1"/>
              </w:rPr>
              <w:t>164.6</w:t>
            </w:r>
            <w:r>
              <w:rPr>
                <w:rFonts w:ascii="Arial Narrow" w:hAnsi="Arial Narrow" w:cs="Calibri"/>
                <w:color w:val="000000" w:themeColor="text1"/>
              </w:rPr>
              <w:t>0</w:t>
            </w:r>
          </w:p>
        </w:tc>
        <w:tc>
          <w:tcPr>
            <w:tcW w:w="1255" w:type="dxa"/>
            <w:shd w:val="clear" w:color="auto" w:fill="auto"/>
            <w:noWrap/>
            <w:vAlign w:val="center"/>
          </w:tcPr>
          <w:p w:rsidR="005E2CB0" w14:paraId="06827760" w14:textId="4D53AB2E">
            <w:pPr>
              <w:keepNext/>
              <w:widowControl/>
              <w:autoSpaceDE/>
              <w:autoSpaceDN/>
              <w:adjustRightInd/>
              <w:spacing w:before="20" w:after="20"/>
              <w:jc w:val="center"/>
              <w:rPr>
                <w:rFonts w:ascii="Arial Narrow" w:hAnsi="Arial Narrow" w:cs="Calibri"/>
                <w:bCs/>
                <w:color w:val="000000"/>
                <w:szCs w:val="20"/>
              </w:rPr>
            </w:pPr>
            <w:r>
              <w:rPr>
                <w:rFonts w:ascii="Arial Narrow" w:hAnsi="Arial Narrow" w:cs="Calibri"/>
                <w:bCs/>
                <w:color w:val="000000"/>
                <w:szCs w:val="20"/>
              </w:rPr>
              <w:t>.8</w:t>
            </w:r>
          </w:p>
        </w:tc>
        <w:tc>
          <w:tcPr>
            <w:tcW w:w="1350" w:type="dxa"/>
            <w:shd w:val="clear" w:color="auto" w:fill="auto"/>
            <w:noWrap/>
            <w:vAlign w:val="center"/>
          </w:tcPr>
          <w:p w:rsidR="005E2CB0" w:rsidRPr="3A23BB6B" w14:paraId="562A5984" w14:textId="1DDAD576">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$131.68</w:t>
            </w:r>
          </w:p>
        </w:tc>
        <w:tc>
          <w:tcPr>
            <w:tcW w:w="1260" w:type="dxa"/>
          </w:tcPr>
          <w:p w:rsidR="005E2CB0" w14:paraId="053F5057" w14:textId="1E65F661">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50</w:t>
            </w:r>
          </w:p>
        </w:tc>
        <w:tc>
          <w:tcPr>
            <w:tcW w:w="1080" w:type="dxa"/>
          </w:tcPr>
          <w:p w:rsidR="005E2CB0" w14:paraId="40390EA1" w14:textId="7719FC16">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40</w:t>
            </w:r>
          </w:p>
        </w:tc>
        <w:tc>
          <w:tcPr>
            <w:tcW w:w="1530" w:type="dxa"/>
          </w:tcPr>
          <w:p w:rsidR="005E2CB0" w14:paraId="0FD743EB" w14:textId="544D9AD0">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$6,584.00</w:t>
            </w:r>
          </w:p>
        </w:tc>
      </w:tr>
      <w:tr w14:paraId="2D3233C1" w14:textId="5B7E6742" w:rsidTr="34BCEC76">
        <w:tblPrEx>
          <w:tblW w:w="10890" w:type="dxa"/>
          <w:jc w:val="center"/>
          <w:tblLayout w:type="fixed"/>
          <w:tblLook w:val="04A0"/>
        </w:tblPrEx>
        <w:trPr>
          <w:cantSplit/>
          <w:jc w:val="center"/>
        </w:trPr>
        <w:tc>
          <w:tcPr>
            <w:tcW w:w="720" w:type="dxa"/>
            <w:shd w:val="clear" w:color="auto" w:fill="DBE5F1"/>
            <w:vAlign w:val="center"/>
          </w:tcPr>
          <w:p w:rsidR="005E2CB0" w:rsidRPr="00F35386" w14:paraId="39BB28AD" w14:textId="77777777">
            <w:pPr>
              <w:keepNext/>
              <w:widowControl/>
              <w:autoSpaceDE/>
              <w:autoSpaceDN/>
              <w:adjustRightInd/>
              <w:spacing w:before="20" w:after="20"/>
              <w:jc w:val="center"/>
              <w:rPr>
                <w:rFonts w:ascii="Arial Narrow" w:hAnsi="Arial Narrow"/>
                <w:b/>
                <w:color w:val="000000"/>
                <w:szCs w:val="20"/>
              </w:rPr>
            </w:pPr>
          </w:p>
        </w:tc>
        <w:tc>
          <w:tcPr>
            <w:tcW w:w="2075" w:type="dxa"/>
            <w:shd w:val="clear" w:color="auto" w:fill="auto"/>
            <w:vAlign w:val="center"/>
          </w:tcPr>
          <w:p w:rsidR="005E2CB0" w:rsidRPr="00312178" w:rsidP="00564A8F" w14:paraId="5C144EC3" w14:textId="72D222C5">
            <w:pPr>
              <w:keepNext/>
              <w:widowControl/>
              <w:autoSpaceDE/>
              <w:autoSpaceDN/>
              <w:adjustRightInd/>
              <w:spacing w:before="20" w:after="20"/>
              <w:rPr>
                <w:rFonts w:ascii="Arial Narrow" w:hAnsi="Arial Narrow"/>
                <w:color w:val="000000"/>
                <w:szCs w:val="20"/>
              </w:rPr>
            </w:pPr>
            <w:r w:rsidRPr="00D3361D">
              <w:rPr>
                <w:rFonts w:ascii="Arial Narrow" w:hAnsi="Arial Narrow"/>
                <w:color w:val="000000"/>
                <w:szCs w:val="20"/>
              </w:rPr>
              <w:t>Medical and Health Services Managers</w:t>
            </w:r>
          </w:p>
        </w:tc>
        <w:tc>
          <w:tcPr>
            <w:tcW w:w="1620" w:type="dxa"/>
            <w:shd w:val="clear" w:color="auto" w:fill="auto"/>
            <w:noWrap/>
            <w:vAlign w:val="center"/>
          </w:tcPr>
          <w:p w:rsidR="005E2CB0" w:rsidRPr="3A23BB6B" w14:paraId="121E677C" w14:textId="673CAC2C">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w:t>
            </w:r>
            <w:r w:rsidRPr="009B1D89">
              <w:rPr>
                <w:rFonts w:ascii="Arial Narrow" w:hAnsi="Arial Narrow" w:cs="Calibri"/>
                <w:color w:val="000000" w:themeColor="text1"/>
              </w:rPr>
              <w:t>141.54</w:t>
            </w:r>
          </w:p>
        </w:tc>
        <w:tc>
          <w:tcPr>
            <w:tcW w:w="1255" w:type="dxa"/>
            <w:shd w:val="clear" w:color="auto" w:fill="auto"/>
            <w:noWrap/>
            <w:vAlign w:val="center"/>
          </w:tcPr>
          <w:p w:rsidR="005E2CB0" w14:paraId="3374AEF4" w14:textId="6F3BC9DC">
            <w:pPr>
              <w:keepNext/>
              <w:widowControl/>
              <w:autoSpaceDE/>
              <w:autoSpaceDN/>
              <w:adjustRightInd/>
              <w:spacing w:before="20" w:after="20"/>
              <w:jc w:val="center"/>
              <w:rPr>
                <w:rFonts w:ascii="Arial Narrow" w:hAnsi="Arial Narrow" w:cs="Calibri"/>
                <w:bCs/>
                <w:color w:val="000000"/>
                <w:szCs w:val="20"/>
              </w:rPr>
            </w:pPr>
            <w:r>
              <w:rPr>
                <w:rFonts w:ascii="Arial Narrow" w:hAnsi="Arial Narrow" w:cs="Calibri"/>
                <w:bCs/>
                <w:color w:val="000000"/>
                <w:szCs w:val="20"/>
              </w:rPr>
              <w:t>3.4</w:t>
            </w:r>
          </w:p>
        </w:tc>
        <w:tc>
          <w:tcPr>
            <w:tcW w:w="1350" w:type="dxa"/>
            <w:shd w:val="clear" w:color="auto" w:fill="auto"/>
            <w:noWrap/>
            <w:vAlign w:val="center"/>
          </w:tcPr>
          <w:p w:rsidR="005E2CB0" w:rsidRPr="3A23BB6B" w14:paraId="1E68953E" w14:textId="63BBED63">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$481.24</w:t>
            </w:r>
          </w:p>
        </w:tc>
        <w:tc>
          <w:tcPr>
            <w:tcW w:w="1260" w:type="dxa"/>
          </w:tcPr>
          <w:p w:rsidR="005E2CB0" w14:paraId="2CCF7798" w14:textId="15003865">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50</w:t>
            </w:r>
          </w:p>
        </w:tc>
        <w:tc>
          <w:tcPr>
            <w:tcW w:w="1080" w:type="dxa"/>
          </w:tcPr>
          <w:p w:rsidR="005E2CB0" w14:paraId="49858753" w14:textId="0EDADD89">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170</w:t>
            </w:r>
          </w:p>
        </w:tc>
        <w:tc>
          <w:tcPr>
            <w:tcW w:w="1530" w:type="dxa"/>
          </w:tcPr>
          <w:p w:rsidR="005E2CB0" w14:paraId="1B4C26DF" w14:textId="54E0A778">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$24,061.80</w:t>
            </w:r>
          </w:p>
        </w:tc>
      </w:tr>
      <w:tr w14:paraId="3F433142" w14:textId="79102A68" w:rsidTr="34BCEC76">
        <w:tblPrEx>
          <w:tblW w:w="10890" w:type="dxa"/>
          <w:jc w:val="center"/>
          <w:tblLayout w:type="fixed"/>
          <w:tblLook w:val="04A0"/>
        </w:tblPrEx>
        <w:trPr>
          <w:cantSplit/>
          <w:jc w:val="center"/>
        </w:trPr>
        <w:tc>
          <w:tcPr>
            <w:tcW w:w="720" w:type="dxa"/>
            <w:shd w:val="clear" w:color="auto" w:fill="DBE5F1"/>
            <w:vAlign w:val="center"/>
          </w:tcPr>
          <w:p w:rsidR="005E2CB0" w:rsidRPr="00F35386" w14:paraId="5E0ED3F5" w14:textId="77777777">
            <w:pPr>
              <w:keepNext/>
              <w:widowControl/>
              <w:autoSpaceDE/>
              <w:autoSpaceDN/>
              <w:adjustRightInd/>
              <w:spacing w:before="20" w:after="20"/>
              <w:jc w:val="center"/>
              <w:rPr>
                <w:rFonts w:ascii="Arial Narrow" w:hAnsi="Arial Narrow"/>
                <w:b/>
                <w:color w:val="000000"/>
                <w:szCs w:val="20"/>
              </w:rPr>
            </w:pPr>
          </w:p>
        </w:tc>
        <w:tc>
          <w:tcPr>
            <w:tcW w:w="2075" w:type="dxa"/>
            <w:shd w:val="clear" w:color="auto" w:fill="auto"/>
            <w:vAlign w:val="center"/>
          </w:tcPr>
          <w:p w:rsidR="005E2CB0" w:rsidRPr="00312178" w:rsidP="00564A8F" w14:paraId="79E64F98" w14:textId="72F5DFDB">
            <w:pPr>
              <w:keepNext/>
              <w:widowControl/>
              <w:autoSpaceDE/>
              <w:autoSpaceDN/>
              <w:adjustRightInd/>
              <w:spacing w:before="20" w:after="20"/>
              <w:rPr>
                <w:rFonts w:ascii="Arial Narrow" w:hAnsi="Arial Narrow"/>
                <w:color w:val="000000"/>
                <w:szCs w:val="20"/>
              </w:rPr>
            </w:pPr>
            <w:r w:rsidRPr="008632BC">
              <w:rPr>
                <w:rFonts w:ascii="Arial Narrow" w:hAnsi="Arial Narrow"/>
                <w:color w:val="000000"/>
                <w:szCs w:val="20"/>
              </w:rPr>
              <w:t>Medical Records and Health Information Analyst</w:t>
            </w:r>
          </w:p>
        </w:tc>
        <w:tc>
          <w:tcPr>
            <w:tcW w:w="1620" w:type="dxa"/>
            <w:shd w:val="clear" w:color="auto" w:fill="auto"/>
            <w:noWrap/>
            <w:vAlign w:val="center"/>
          </w:tcPr>
          <w:p w:rsidR="005E2CB0" w:rsidRPr="3A23BB6B" w14:paraId="7229FCE1" w14:textId="4D7DC6AA">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w:t>
            </w:r>
            <w:r w:rsidRPr="009B1D89">
              <w:rPr>
                <w:rFonts w:ascii="Arial Narrow" w:hAnsi="Arial Narrow" w:cs="Calibri"/>
                <w:color w:val="000000" w:themeColor="text1"/>
              </w:rPr>
              <w:t>84.16</w:t>
            </w:r>
          </w:p>
        </w:tc>
        <w:tc>
          <w:tcPr>
            <w:tcW w:w="1255" w:type="dxa"/>
            <w:shd w:val="clear" w:color="auto" w:fill="auto"/>
            <w:noWrap/>
            <w:vAlign w:val="center"/>
          </w:tcPr>
          <w:p w:rsidR="005E2CB0" w14:paraId="4FD742F7" w14:textId="3B8EE188">
            <w:pPr>
              <w:keepNext/>
              <w:widowControl/>
              <w:autoSpaceDE/>
              <w:autoSpaceDN/>
              <w:adjustRightInd/>
              <w:spacing w:before="20" w:after="20"/>
              <w:jc w:val="center"/>
              <w:rPr>
                <w:rFonts w:ascii="Arial Narrow" w:hAnsi="Arial Narrow" w:cs="Calibri"/>
                <w:bCs/>
                <w:color w:val="000000"/>
                <w:szCs w:val="20"/>
              </w:rPr>
            </w:pPr>
            <w:r>
              <w:rPr>
                <w:rFonts w:ascii="Arial Narrow" w:hAnsi="Arial Narrow" w:cs="Calibri"/>
                <w:bCs/>
                <w:color w:val="000000"/>
                <w:szCs w:val="20"/>
              </w:rPr>
              <w:t>7.8</w:t>
            </w:r>
          </w:p>
        </w:tc>
        <w:tc>
          <w:tcPr>
            <w:tcW w:w="1350" w:type="dxa"/>
            <w:shd w:val="clear" w:color="auto" w:fill="auto"/>
            <w:noWrap/>
            <w:vAlign w:val="center"/>
          </w:tcPr>
          <w:p w:rsidR="005E2CB0" w:rsidRPr="3A23BB6B" w14:paraId="1030E80F" w14:textId="736EEDD4">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$481.24</w:t>
            </w:r>
          </w:p>
        </w:tc>
        <w:tc>
          <w:tcPr>
            <w:tcW w:w="1260" w:type="dxa"/>
          </w:tcPr>
          <w:p w:rsidR="005E2CB0" w14:paraId="46802C5A" w14:textId="652E198B">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50</w:t>
            </w:r>
          </w:p>
        </w:tc>
        <w:tc>
          <w:tcPr>
            <w:tcW w:w="1080" w:type="dxa"/>
          </w:tcPr>
          <w:p w:rsidR="005E2CB0" w14:paraId="6C2C3844" w14:textId="48E3049A">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390</w:t>
            </w:r>
          </w:p>
        </w:tc>
        <w:tc>
          <w:tcPr>
            <w:tcW w:w="1530" w:type="dxa"/>
          </w:tcPr>
          <w:p w:rsidR="005E2CB0" w14:paraId="7C37D8BB" w14:textId="5109486C">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$32,822.40</w:t>
            </w:r>
          </w:p>
        </w:tc>
      </w:tr>
      <w:tr w14:paraId="4C81F278" w14:textId="47F9BF50" w:rsidTr="34BCEC76">
        <w:tblPrEx>
          <w:tblW w:w="10890" w:type="dxa"/>
          <w:jc w:val="center"/>
          <w:tblLayout w:type="fixed"/>
          <w:tblLook w:val="04A0"/>
        </w:tblPrEx>
        <w:trPr>
          <w:cantSplit/>
          <w:jc w:val="center"/>
        </w:trPr>
        <w:tc>
          <w:tcPr>
            <w:tcW w:w="720" w:type="dxa"/>
            <w:shd w:val="clear" w:color="auto" w:fill="DBE5F1"/>
            <w:vAlign w:val="center"/>
          </w:tcPr>
          <w:p w:rsidR="005E2CB0" w:rsidRPr="00F35386" w14:paraId="623D02C4" w14:textId="77777777">
            <w:pPr>
              <w:keepNext/>
              <w:widowControl/>
              <w:autoSpaceDE/>
              <w:autoSpaceDN/>
              <w:adjustRightInd/>
              <w:spacing w:before="20" w:after="20"/>
              <w:jc w:val="center"/>
              <w:rPr>
                <w:rFonts w:ascii="Arial Narrow" w:hAnsi="Arial Narrow"/>
                <w:b/>
                <w:color w:val="000000"/>
                <w:szCs w:val="20"/>
              </w:rPr>
            </w:pPr>
          </w:p>
        </w:tc>
        <w:tc>
          <w:tcPr>
            <w:tcW w:w="2075" w:type="dxa"/>
            <w:shd w:val="clear" w:color="auto" w:fill="auto"/>
            <w:vAlign w:val="center"/>
          </w:tcPr>
          <w:p w:rsidR="005E2CB0" w:rsidRPr="00312178" w:rsidP="00564A8F" w14:paraId="599FFFA1" w14:textId="5058AD37">
            <w:pPr>
              <w:keepNext/>
              <w:widowControl/>
              <w:autoSpaceDE/>
              <w:autoSpaceDN/>
              <w:adjustRightInd/>
              <w:spacing w:before="20" w:after="20"/>
              <w:rPr>
                <w:rFonts w:ascii="Arial Narrow" w:hAnsi="Arial Narrow"/>
                <w:color w:val="000000"/>
                <w:szCs w:val="20"/>
              </w:rPr>
            </w:pPr>
            <w:r w:rsidRPr="008632BC">
              <w:rPr>
                <w:rFonts w:ascii="Arial Narrow" w:hAnsi="Arial Narrow"/>
                <w:color w:val="000000"/>
                <w:szCs w:val="20"/>
              </w:rPr>
              <w:t>Business Operations Specialist, Other</w:t>
            </w:r>
          </w:p>
        </w:tc>
        <w:tc>
          <w:tcPr>
            <w:tcW w:w="1620" w:type="dxa"/>
            <w:shd w:val="clear" w:color="auto" w:fill="auto"/>
            <w:noWrap/>
            <w:vAlign w:val="center"/>
          </w:tcPr>
          <w:p w:rsidR="005E2CB0" w:rsidRPr="3A23BB6B" w14:paraId="3543FD25" w14:textId="01A6CC8A">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$80.24</w:t>
            </w:r>
          </w:p>
        </w:tc>
        <w:tc>
          <w:tcPr>
            <w:tcW w:w="1255" w:type="dxa"/>
            <w:shd w:val="clear" w:color="auto" w:fill="auto"/>
            <w:noWrap/>
            <w:vAlign w:val="center"/>
          </w:tcPr>
          <w:p w:rsidR="005E2CB0" w14:paraId="0C5334E2" w14:textId="77017A9C">
            <w:pPr>
              <w:keepNext/>
              <w:widowControl/>
              <w:autoSpaceDE/>
              <w:autoSpaceDN/>
              <w:adjustRightInd/>
              <w:spacing w:before="20" w:after="20"/>
              <w:jc w:val="center"/>
              <w:rPr>
                <w:rFonts w:ascii="Arial Narrow" w:hAnsi="Arial Narrow" w:cs="Calibri"/>
                <w:bCs/>
                <w:color w:val="000000"/>
                <w:szCs w:val="20"/>
              </w:rPr>
            </w:pPr>
            <w:r>
              <w:rPr>
                <w:rFonts w:ascii="Arial Narrow" w:hAnsi="Arial Narrow" w:cs="Calibri"/>
                <w:bCs/>
                <w:color w:val="000000"/>
                <w:szCs w:val="20"/>
              </w:rPr>
              <w:t>25.2</w:t>
            </w:r>
          </w:p>
        </w:tc>
        <w:tc>
          <w:tcPr>
            <w:tcW w:w="1350" w:type="dxa"/>
            <w:shd w:val="clear" w:color="auto" w:fill="auto"/>
            <w:noWrap/>
            <w:vAlign w:val="center"/>
          </w:tcPr>
          <w:p w:rsidR="005E2CB0" w:rsidRPr="3A23BB6B" w14:paraId="6F207DAB" w14:textId="0EC9A085">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$2,022.05</w:t>
            </w:r>
          </w:p>
        </w:tc>
        <w:tc>
          <w:tcPr>
            <w:tcW w:w="1260" w:type="dxa"/>
          </w:tcPr>
          <w:p w:rsidR="005E2CB0" w14:paraId="4DB78F51" w14:textId="2A384B9D">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50</w:t>
            </w:r>
          </w:p>
        </w:tc>
        <w:tc>
          <w:tcPr>
            <w:tcW w:w="1080" w:type="dxa"/>
          </w:tcPr>
          <w:p w:rsidR="005E2CB0" w14:paraId="04E77B4A" w14:textId="086C153A">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1</w:t>
            </w:r>
            <w:r w:rsidR="00B649BC">
              <w:rPr>
                <w:rFonts w:ascii="Arial Narrow" w:hAnsi="Arial Narrow" w:cs="Calibri"/>
                <w:color w:val="000000" w:themeColor="text1"/>
              </w:rPr>
              <w:t>260</w:t>
            </w:r>
          </w:p>
        </w:tc>
        <w:tc>
          <w:tcPr>
            <w:tcW w:w="1530" w:type="dxa"/>
          </w:tcPr>
          <w:p w:rsidR="005E2CB0" w14:paraId="532D2B37" w14:textId="0CADDC42">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$101,102.40</w:t>
            </w:r>
          </w:p>
        </w:tc>
      </w:tr>
      <w:tr w14:paraId="1654C8D0" w14:textId="77777777" w:rsidTr="00564A8F">
        <w:tblPrEx>
          <w:tblW w:w="10890" w:type="dxa"/>
          <w:jc w:val="center"/>
          <w:tblLayout w:type="fixed"/>
          <w:tblLook w:val="04A0"/>
        </w:tblPrEx>
        <w:trPr>
          <w:cantSplit/>
          <w:jc w:val="center"/>
        </w:trPr>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tcPr>
          <w:p w:rsidR="005E2CB0" w:rsidRPr="00F35386" w14:paraId="6EA9D979" w14:textId="77777777">
            <w:pPr>
              <w:keepNext/>
              <w:widowControl/>
              <w:autoSpaceDE/>
              <w:autoSpaceDN/>
              <w:adjustRightInd/>
              <w:spacing w:before="20" w:after="20"/>
              <w:jc w:val="center"/>
              <w:rPr>
                <w:rFonts w:ascii="Arial Narrow" w:hAnsi="Arial Narrow"/>
                <w:b/>
                <w:color w:val="000000"/>
                <w:szCs w:val="20"/>
              </w:rPr>
            </w:pPr>
          </w:p>
        </w:tc>
        <w:tc>
          <w:tcPr>
            <w:tcW w:w="2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5E2CB0" w:rsidRPr="008632BC" w:rsidP="00564A8F" w14:paraId="0508DF30" w14:textId="50F81A5E">
            <w:pPr>
              <w:keepNext/>
              <w:widowControl/>
              <w:autoSpaceDE/>
              <w:autoSpaceDN/>
              <w:adjustRightInd/>
              <w:spacing w:before="20" w:after="20"/>
              <w:rPr>
                <w:rFonts w:ascii="Arial Narrow" w:hAnsi="Arial Narrow"/>
                <w:color w:val="000000"/>
                <w:szCs w:val="20"/>
              </w:rPr>
            </w:pPr>
            <w:r>
              <w:rPr>
                <w:rFonts w:ascii="Arial Narrow" w:hAnsi="Arial Narrow"/>
                <w:color w:val="000000"/>
                <w:szCs w:val="20"/>
              </w:rPr>
              <w:t>Medical Director</w:t>
            </w:r>
          </w:p>
        </w:tc>
        <w:tc>
          <w:tcPr>
            <w:tcW w:w="16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rsidR="005E2CB0" w14:paraId="44ED63EC" w14:textId="34B57993">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$206.22</w:t>
            </w:r>
          </w:p>
        </w:tc>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rsidR="005E2CB0" w14:paraId="621F4068" w14:textId="53818DD7">
            <w:pPr>
              <w:keepNext/>
              <w:widowControl/>
              <w:autoSpaceDE/>
              <w:autoSpaceDN/>
              <w:adjustRightInd/>
              <w:spacing w:before="20" w:after="20"/>
              <w:jc w:val="center"/>
              <w:rPr>
                <w:rFonts w:ascii="Arial Narrow" w:hAnsi="Arial Narrow" w:cs="Calibri"/>
                <w:bCs/>
                <w:color w:val="000000"/>
                <w:szCs w:val="20"/>
              </w:rPr>
            </w:pPr>
            <w:r>
              <w:rPr>
                <w:rFonts w:ascii="Arial Narrow" w:hAnsi="Arial Narrow" w:cs="Calibri"/>
                <w:bCs/>
                <w:color w:val="000000"/>
                <w:szCs w:val="20"/>
              </w:rPr>
              <w:t>.8</w:t>
            </w: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rsidR="005E2CB0" w14:paraId="63F6B04B" w14:textId="7EFC5F3C">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$164.98</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2CB0" w14:paraId="75AEEC3C" w14:textId="1B559729">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50</w:t>
            </w: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2CB0" w14:paraId="7D3E9940" w14:textId="4AF677A6">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40</w:t>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E2CB0" w14:paraId="7FC7A0F6" w14:textId="2E8346C4">
            <w:pPr>
              <w:keepNext/>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$8,248.80</w:t>
            </w:r>
          </w:p>
        </w:tc>
      </w:tr>
      <w:tr w14:paraId="6FA0DF26" w14:textId="1C09912C" w:rsidTr="34BCEC76">
        <w:tblPrEx>
          <w:tblW w:w="10890" w:type="dxa"/>
          <w:jc w:val="center"/>
          <w:tblLayout w:type="fixed"/>
          <w:tblLook w:val="04A0"/>
        </w:tblPrEx>
        <w:trPr>
          <w:cantSplit/>
          <w:jc w:val="center"/>
        </w:trPr>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hideMark/>
          </w:tcPr>
          <w:p w:rsidR="005E2CB0" w:rsidRPr="00F35386" w14:paraId="46488DC4" w14:textId="77777777">
            <w:pPr>
              <w:widowControl/>
              <w:autoSpaceDE/>
              <w:autoSpaceDN/>
              <w:adjustRightInd/>
              <w:spacing w:before="20" w:after="20"/>
              <w:jc w:val="center"/>
              <w:rPr>
                <w:rFonts w:ascii="Arial Narrow" w:hAnsi="Arial Narrow"/>
                <w:b/>
                <w:color w:val="000000"/>
                <w:szCs w:val="20"/>
              </w:rPr>
            </w:pPr>
            <w:r w:rsidRPr="00F35386">
              <w:rPr>
                <w:rFonts w:ascii="Arial Narrow" w:hAnsi="Arial Narrow"/>
                <w:b/>
                <w:color w:val="000000"/>
                <w:szCs w:val="20"/>
              </w:rPr>
              <w:t>2</w:t>
            </w:r>
          </w:p>
        </w:tc>
        <w:tc>
          <w:tcPr>
            <w:tcW w:w="2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hideMark/>
          </w:tcPr>
          <w:p w:rsidR="005E2CB0" w:rsidRPr="00312178" w14:paraId="687378A2" w14:textId="77777777">
            <w:pPr>
              <w:widowControl/>
              <w:autoSpaceDE/>
              <w:autoSpaceDN/>
              <w:adjustRightInd/>
              <w:spacing w:before="20" w:after="20"/>
              <w:rPr>
                <w:rFonts w:ascii="Arial Narrow" w:hAnsi="Arial Narrow"/>
                <w:color w:val="000000"/>
                <w:szCs w:val="20"/>
              </w:rPr>
            </w:pPr>
            <w:r w:rsidRPr="00312178">
              <w:rPr>
                <w:rFonts w:ascii="Arial Narrow" w:hAnsi="Arial Narrow"/>
                <w:szCs w:val="20"/>
              </w:rPr>
              <w:t xml:space="preserve">Develop Response and Submit </w:t>
            </w:r>
            <w:r>
              <w:rPr>
                <w:rFonts w:ascii="Arial Narrow" w:hAnsi="Arial Narrow"/>
                <w:szCs w:val="20"/>
              </w:rPr>
              <w:t>Form</w:t>
            </w:r>
          </w:p>
        </w:tc>
        <w:tc>
          <w:tcPr>
            <w:tcW w:w="16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noWrap/>
            <w:vAlign w:val="center"/>
            <w:hideMark/>
          </w:tcPr>
          <w:p w:rsidR="005E2CB0" w:rsidRPr="00E84A02" w14:paraId="30E7D64A" w14:textId="1CDB8DB4">
            <w:pPr>
              <w:widowControl/>
              <w:autoSpaceDE/>
              <w:autoSpaceDN/>
              <w:adjustRightInd/>
              <w:spacing w:before="20" w:after="20"/>
              <w:jc w:val="center"/>
              <w:rPr>
                <w:rFonts w:ascii="Arial Narrow" w:hAnsi="Arial Narrow"/>
                <w:color w:val="000000"/>
              </w:rPr>
            </w:pPr>
          </w:p>
        </w:tc>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noWrap/>
            <w:vAlign w:val="center"/>
            <w:hideMark/>
          </w:tcPr>
          <w:p w:rsidR="005E2CB0" w:rsidRPr="00312178" w14:paraId="49149CE4" w14:textId="681FD845">
            <w:pPr>
              <w:widowControl/>
              <w:autoSpaceDE/>
              <w:autoSpaceDN/>
              <w:adjustRightInd/>
              <w:spacing w:before="20" w:after="20"/>
              <w:jc w:val="center"/>
              <w:rPr>
                <w:rFonts w:ascii="Arial Narrow" w:hAnsi="Arial Narrow"/>
                <w:bCs/>
                <w:szCs w:val="20"/>
              </w:rPr>
            </w:pPr>
            <w:r>
              <w:rPr>
                <w:rFonts w:ascii="Arial Narrow" w:hAnsi="Arial Narrow" w:cs="Calibri"/>
                <w:bCs/>
                <w:color w:val="000000"/>
                <w:szCs w:val="20"/>
              </w:rPr>
              <w:t>6</w:t>
            </w:r>
            <w:r w:rsidR="008205EB">
              <w:rPr>
                <w:rFonts w:ascii="Arial Narrow" w:hAnsi="Arial Narrow" w:cs="Calibri"/>
                <w:bCs/>
                <w:color w:val="000000"/>
                <w:szCs w:val="20"/>
              </w:rPr>
              <w:t>.2</w:t>
            </w: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noWrap/>
            <w:vAlign w:val="center"/>
          </w:tcPr>
          <w:p w:rsidR="005E2CB0" w:rsidRPr="00E84A02" w14:paraId="36D39FA9" w14:textId="28B8B39F">
            <w:pPr>
              <w:widowControl/>
              <w:autoSpaceDE/>
              <w:autoSpaceDN/>
              <w:adjustRightInd/>
              <w:spacing w:before="20" w:after="20"/>
              <w:jc w:val="center"/>
              <w:rPr>
                <w:rFonts w:ascii="Arial Narrow" w:hAnsi="Arial Narrow"/>
              </w:rPr>
            </w:pPr>
            <w:r w:rsidRPr="3A23BB6B">
              <w:rPr>
                <w:rFonts w:ascii="Arial Narrow" w:hAnsi="Arial Narrow" w:cs="Calibri"/>
                <w:color w:val="000000" w:themeColor="text1"/>
              </w:rPr>
              <w:t>$</w:t>
            </w:r>
            <w:r w:rsidR="001B4209">
              <w:rPr>
                <w:rFonts w:ascii="Arial Narrow" w:hAnsi="Arial Narrow" w:cs="Calibri"/>
                <w:color w:val="000000" w:themeColor="text1"/>
              </w:rPr>
              <w:t>675.26</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cPr>
          <w:p w:rsidR="005E2CB0" w:rsidRPr="3A23BB6B" w14:paraId="2C3550F5" w14:textId="5F016568">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50</w:t>
            </w: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cPr>
          <w:p w:rsidR="005E2CB0" w:rsidRPr="3A23BB6B" w14:paraId="1D822392" w14:textId="62963CE9">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310</w:t>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cPr>
          <w:p w:rsidR="005E2CB0" w:rsidRPr="3A23BB6B" w14:paraId="3612FA42" w14:textId="2B2AB21B">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$33</w:t>
            </w:r>
            <w:r w:rsidR="00123057">
              <w:rPr>
                <w:rFonts w:ascii="Arial Narrow" w:hAnsi="Arial Narrow" w:cs="Calibri"/>
                <w:color w:val="000000" w:themeColor="text1"/>
              </w:rPr>
              <w:t>,762.80</w:t>
            </w:r>
          </w:p>
        </w:tc>
      </w:tr>
      <w:tr w14:paraId="4EB7D723" w14:textId="5711CAC5" w:rsidTr="34BCEC76">
        <w:tblPrEx>
          <w:tblW w:w="10890" w:type="dxa"/>
          <w:jc w:val="center"/>
          <w:tblLayout w:type="fixed"/>
          <w:tblLook w:val="04A0"/>
        </w:tblPrEx>
        <w:trPr>
          <w:cantSplit/>
          <w:jc w:val="center"/>
        </w:trPr>
        <w:tc>
          <w:tcPr>
            <w:tcW w:w="720" w:type="dxa"/>
            <w:shd w:val="clear" w:color="auto" w:fill="DBE5F1"/>
            <w:vAlign w:val="center"/>
          </w:tcPr>
          <w:p w:rsidR="00417E3D" w:rsidRPr="00F35386" w:rsidP="00417E3D" w14:paraId="1DFA5A2E" w14:textId="77777777">
            <w:pPr>
              <w:widowControl/>
              <w:autoSpaceDE/>
              <w:autoSpaceDN/>
              <w:adjustRightInd/>
              <w:spacing w:before="20" w:after="20"/>
              <w:jc w:val="center"/>
              <w:rPr>
                <w:rFonts w:ascii="Arial Narrow" w:hAnsi="Arial Narrow"/>
                <w:b/>
                <w:color w:val="000000"/>
                <w:szCs w:val="20"/>
              </w:rPr>
            </w:pPr>
          </w:p>
        </w:tc>
        <w:tc>
          <w:tcPr>
            <w:tcW w:w="2075" w:type="dxa"/>
            <w:shd w:val="clear" w:color="auto" w:fill="auto"/>
            <w:vAlign w:val="center"/>
          </w:tcPr>
          <w:p w:rsidR="00417E3D" w:rsidRPr="00312178" w:rsidP="00564A8F" w14:paraId="286256A0" w14:textId="38A07FA1">
            <w:pPr>
              <w:widowControl/>
              <w:autoSpaceDE/>
              <w:autoSpaceDN/>
              <w:adjustRightInd/>
              <w:spacing w:before="20" w:after="20"/>
              <w:rPr>
                <w:rFonts w:ascii="Arial Narrow" w:hAnsi="Arial Narrow"/>
                <w:szCs w:val="20"/>
              </w:rPr>
            </w:pPr>
            <w:r w:rsidRPr="00DF1A4E">
              <w:rPr>
                <w:rFonts w:ascii="Arial Narrow" w:hAnsi="Arial Narrow"/>
                <w:szCs w:val="20"/>
              </w:rPr>
              <w:t>General and Operations Manager</w:t>
            </w:r>
          </w:p>
        </w:tc>
        <w:tc>
          <w:tcPr>
            <w:tcW w:w="1620" w:type="dxa"/>
            <w:shd w:val="clear" w:color="auto" w:fill="auto"/>
            <w:noWrap/>
            <w:vAlign w:val="center"/>
          </w:tcPr>
          <w:p w:rsidR="00417E3D" w:rsidRPr="3A23BB6B" w:rsidP="00417E3D" w14:paraId="5FA20FA4" w14:textId="6FDAF61F">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w:t>
            </w:r>
            <w:r w:rsidRPr="0081732F">
              <w:rPr>
                <w:rFonts w:ascii="Arial Narrow" w:hAnsi="Arial Narrow" w:cs="Calibri"/>
                <w:color w:val="000000" w:themeColor="text1"/>
              </w:rPr>
              <w:t>164.6</w:t>
            </w:r>
            <w:r>
              <w:rPr>
                <w:rFonts w:ascii="Arial Narrow" w:hAnsi="Arial Narrow" w:cs="Calibri"/>
                <w:color w:val="000000" w:themeColor="text1"/>
              </w:rPr>
              <w:t>0</w:t>
            </w:r>
          </w:p>
        </w:tc>
        <w:tc>
          <w:tcPr>
            <w:tcW w:w="1255" w:type="dxa"/>
            <w:shd w:val="clear" w:color="auto" w:fill="auto"/>
            <w:noWrap/>
            <w:vAlign w:val="center"/>
          </w:tcPr>
          <w:p w:rsidR="00417E3D" w:rsidP="00417E3D" w14:paraId="673EE669" w14:textId="50CFAB75">
            <w:pPr>
              <w:widowControl/>
              <w:autoSpaceDE/>
              <w:autoSpaceDN/>
              <w:adjustRightInd/>
              <w:spacing w:before="20" w:after="20"/>
              <w:jc w:val="center"/>
              <w:rPr>
                <w:rFonts w:ascii="Arial Narrow" w:hAnsi="Arial Narrow" w:cs="Calibri"/>
                <w:bCs/>
                <w:color w:val="000000"/>
                <w:szCs w:val="20"/>
              </w:rPr>
            </w:pPr>
            <w:r>
              <w:rPr>
                <w:rFonts w:ascii="Arial Narrow" w:hAnsi="Arial Narrow" w:cs="Calibri"/>
                <w:bCs/>
                <w:color w:val="000000"/>
                <w:szCs w:val="20"/>
              </w:rPr>
              <w:t>.3</w:t>
            </w:r>
          </w:p>
        </w:tc>
        <w:tc>
          <w:tcPr>
            <w:tcW w:w="1350" w:type="dxa"/>
            <w:shd w:val="clear" w:color="auto" w:fill="auto"/>
            <w:noWrap/>
          </w:tcPr>
          <w:p w:rsidR="00417E3D" w:rsidRPr="00D82274" w:rsidP="00417E3D" w14:paraId="731A3032" w14:textId="49F19965">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 xml:space="preserve">$49.38 </w:t>
            </w:r>
          </w:p>
        </w:tc>
        <w:tc>
          <w:tcPr>
            <w:tcW w:w="1260" w:type="dxa"/>
          </w:tcPr>
          <w:p w:rsidR="00417E3D" w:rsidRPr="00417E3D" w:rsidP="00417E3D" w14:paraId="3BC28926" w14:textId="672EB91A">
            <w:pPr>
              <w:widowControl/>
              <w:autoSpaceDE/>
              <w:autoSpaceDN/>
              <w:adjustRightInd/>
              <w:spacing w:before="20" w:after="20"/>
              <w:jc w:val="center"/>
              <w:rPr>
                <w:rFonts w:ascii="Arial Narrow" w:hAnsi="Arial Narrow" w:cs="Calibri"/>
                <w:color w:val="000000" w:themeColor="text1"/>
              </w:rPr>
            </w:pPr>
            <w:r w:rsidRPr="00417E3D">
              <w:rPr>
                <w:rFonts w:ascii="Arial Narrow" w:hAnsi="Arial Narrow" w:cs="Calibri"/>
                <w:color w:val="000000" w:themeColor="text1"/>
              </w:rPr>
              <w:t>50</w:t>
            </w:r>
          </w:p>
        </w:tc>
        <w:tc>
          <w:tcPr>
            <w:tcW w:w="1080" w:type="dxa"/>
          </w:tcPr>
          <w:p w:rsidR="00417E3D" w:rsidRPr="00417E3D" w:rsidP="00417E3D" w14:paraId="5F1E9E2C" w14:textId="7C58D067">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15</w:t>
            </w:r>
          </w:p>
        </w:tc>
        <w:tc>
          <w:tcPr>
            <w:tcW w:w="1530" w:type="dxa"/>
          </w:tcPr>
          <w:p w:rsidR="00417E3D" w:rsidRPr="00417E3D" w:rsidP="00417E3D" w14:paraId="609CD1E3" w14:textId="5D05F3DD">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 xml:space="preserve">$2,469.00 </w:t>
            </w:r>
          </w:p>
        </w:tc>
      </w:tr>
      <w:tr w14:paraId="57722560" w14:textId="4EA32F50" w:rsidTr="34BCEC76">
        <w:tblPrEx>
          <w:tblW w:w="10890" w:type="dxa"/>
          <w:jc w:val="center"/>
          <w:tblLayout w:type="fixed"/>
          <w:tblLook w:val="04A0"/>
        </w:tblPrEx>
        <w:trPr>
          <w:cantSplit/>
          <w:jc w:val="center"/>
        </w:trPr>
        <w:tc>
          <w:tcPr>
            <w:tcW w:w="720" w:type="dxa"/>
            <w:shd w:val="clear" w:color="auto" w:fill="DBE5F1"/>
            <w:vAlign w:val="center"/>
          </w:tcPr>
          <w:p w:rsidR="00417E3D" w:rsidRPr="00F35386" w:rsidP="00417E3D" w14:paraId="3E7808FA" w14:textId="77777777">
            <w:pPr>
              <w:widowControl/>
              <w:autoSpaceDE/>
              <w:autoSpaceDN/>
              <w:adjustRightInd/>
              <w:spacing w:before="20" w:after="20"/>
              <w:jc w:val="center"/>
              <w:rPr>
                <w:rFonts w:ascii="Arial Narrow" w:hAnsi="Arial Narrow"/>
                <w:b/>
                <w:color w:val="000000"/>
                <w:szCs w:val="20"/>
              </w:rPr>
            </w:pPr>
          </w:p>
        </w:tc>
        <w:tc>
          <w:tcPr>
            <w:tcW w:w="2075" w:type="dxa"/>
            <w:shd w:val="clear" w:color="auto" w:fill="auto"/>
            <w:vAlign w:val="center"/>
          </w:tcPr>
          <w:p w:rsidR="00417E3D" w:rsidRPr="00312178" w:rsidP="00564A8F" w14:paraId="1DFD3B22" w14:textId="79E62605">
            <w:pPr>
              <w:widowControl/>
              <w:autoSpaceDE/>
              <w:autoSpaceDN/>
              <w:adjustRightInd/>
              <w:spacing w:before="20" w:after="20"/>
              <w:rPr>
                <w:rFonts w:ascii="Arial Narrow" w:hAnsi="Arial Narrow"/>
                <w:szCs w:val="20"/>
              </w:rPr>
            </w:pPr>
            <w:r w:rsidRPr="007721D5">
              <w:rPr>
                <w:rFonts w:ascii="Arial Narrow" w:hAnsi="Arial Narrow"/>
                <w:szCs w:val="20"/>
              </w:rPr>
              <w:t>Medical and Health Services Managers</w:t>
            </w:r>
          </w:p>
        </w:tc>
        <w:tc>
          <w:tcPr>
            <w:tcW w:w="1620" w:type="dxa"/>
            <w:shd w:val="clear" w:color="auto" w:fill="auto"/>
            <w:noWrap/>
            <w:vAlign w:val="center"/>
          </w:tcPr>
          <w:p w:rsidR="00417E3D" w:rsidRPr="3A23BB6B" w:rsidP="00417E3D" w14:paraId="1EA574F6" w14:textId="3E21099C">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w:t>
            </w:r>
            <w:r w:rsidRPr="009B1D89">
              <w:rPr>
                <w:rFonts w:ascii="Arial Narrow" w:hAnsi="Arial Narrow" w:cs="Calibri"/>
                <w:color w:val="000000" w:themeColor="text1"/>
              </w:rPr>
              <w:t>141.54</w:t>
            </w:r>
          </w:p>
        </w:tc>
        <w:tc>
          <w:tcPr>
            <w:tcW w:w="1255" w:type="dxa"/>
            <w:shd w:val="clear" w:color="auto" w:fill="auto"/>
            <w:noWrap/>
            <w:vAlign w:val="center"/>
          </w:tcPr>
          <w:p w:rsidR="00417E3D" w:rsidP="00417E3D" w14:paraId="4C84B597" w14:textId="54969520">
            <w:pPr>
              <w:widowControl/>
              <w:autoSpaceDE/>
              <w:autoSpaceDN/>
              <w:adjustRightInd/>
              <w:spacing w:before="20" w:after="20"/>
              <w:jc w:val="center"/>
              <w:rPr>
                <w:rFonts w:ascii="Arial Narrow" w:hAnsi="Arial Narrow" w:cs="Calibri"/>
                <w:bCs/>
                <w:color w:val="000000"/>
                <w:szCs w:val="20"/>
              </w:rPr>
            </w:pPr>
            <w:r>
              <w:rPr>
                <w:rFonts w:ascii="Arial Narrow" w:hAnsi="Arial Narrow" w:cs="Calibri"/>
                <w:bCs/>
                <w:color w:val="000000"/>
                <w:szCs w:val="20"/>
              </w:rPr>
              <w:t>.4</w:t>
            </w:r>
          </w:p>
        </w:tc>
        <w:tc>
          <w:tcPr>
            <w:tcW w:w="1350" w:type="dxa"/>
            <w:shd w:val="clear" w:color="auto" w:fill="auto"/>
            <w:noWrap/>
          </w:tcPr>
          <w:p w:rsidR="00417E3D" w:rsidRPr="00D82274" w:rsidP="00417E3D" w14:paraId="1A3752DA" w14:textId="2FE3D9DF">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 xml:space="preserve">$56.62 </w:t>
            </w:r>
          </w:p>
        </w:tc>
        <w:tc>
          <w:tcPr>
            <w:tcW w:w="1260" w:type="dxa"/>
          </w:tcPr>
          <w:p w:rsidR="00417E3D" w:rsidRPr="00417E3D" w:rsidP="00417E3D" w14:paraId="7A8C19A9" w14:textId="6103A528">
            <w:pPr>
              <w:widowControl/>
              <w:autoSpaceDE/>
              <w:autoSpaceDN/>
              <w:adjustRightInd/>
              <w:spacing w:before="20" w:after="20"/>
              <w:jc w:val="center"/>
              <w:rPr>
                <w:rFonts w:ascii="Arial Narrow" w:hAnsi="Arial Narrow" w:cs="Calibri"/>
                <w:color w:val="000000" w:themeColor="text1"/>
              </w:rPr>
            </w:pPr>
            <w:r w:rsidRPr="00417E3D">
              <w:rPr>
                <w:rFonts w:ascii="Arial Narrow" w:hAnsi="Arial Narrow" w:cs="Calibri"/>
                <w:color w:val="000000" w:themeColor="text1"/>
              </w:rPr>
              <w:t>50</w:t>
            </w:r>
          </w:p>
        </w:tc>
        <w:tc>
          <w:tcPr>
            <w:tcW w:w="1080" w:type="dxa"/>
          </w:tcPr>
          <w:p w:rsidR="00417E3D" w:rsidRPr="00417E3D" w:rsidP="00417E3D" w14:paraId="1A4DAB39" w14:textId="76400AB5">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20</w:t>
            </w:r>
          </w:p>
        </w:tc>
        <w:tc>
          <w:tcPr>
            <w:tcW w:w="1530" w:type="dxa"/>
          </w:tcPr>
          <w:p w:rsidR="00417E3D" w:rsidRPr="00417E3D" w:rsidP="00417E3D" w14:paraId="655B01A7" w14:textId="486947AA">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 xml:space="preserve">$2,830.80 </w:t>
            </w:r>
          </w:p>
        </w:tc>
      </w:tr>
      <w:tr w14:paraId="0B471238" w14:textId="0A94958B" w:rsidTr="34BCEC76">
        <w:tblPrEx>
          <w:tblW w:w="10890" w:type="dxa"/>
          <w:jc w:val="center"/>
          <w:tblLayout w:type="fixed"/>
          <w:tblLook w:val="04A0"/>
        </w:tblPrEx>
        <w:trPr>
          <w:cantSplit/>
          <w:jc w:val="center"/>
        </w:trPr>
        <w:tc>
          <w:tcPr>
            <w:tcW w:w="720" w:type="dxa"/>
            <w:shd w:val="clear" w:color="auto" w:fill="DBE5F1"/>
            <w:vAlign w:val="center"/>
          </w:tcPr>
          <w:p w:rsidR="00417E3D" w:rsidRPr="00F35386" w:rsidP="00417E3D" w14:paraId="3C28DEE6" w14:textId="77777777">
            <w:pPr>
              <w:widowControl/>
              <w:autoSpaceDE/>
              <w:autoSpaceDN/>
              <w:adjustRightInd/>
              <w:spacing w:before="20" w:after="20"/>
              <w:jc w:val="center"/>
              <w:rPr>
                <w:rFonts w:ascii="Arial Narrow" w:hAnsi="Arial Narrow"/>
                <w:b/>
                <w:color w:val="000000"/>
                <w:szCs w:val="20"/>
              </w:rPr>
            </w:pPr>
          </w:p>
        </w:tc>
        <w:tc>
          <w:tcPr>
            <w:tcW w:w="2075" w:type="dxa"/>
            <w:shd w:val="clear" w:color="auto" w:fill="auto"/>
            <w:vAlign w:val="center"/>
          </w:tcPr>
          <w:p w:rsidR="00417E3D" w:rsidRPr="00312178" w:rsidP="00564A8F" w14:paraId="06FBF97F" w14:textId="337A88AB">
            <w:pPr>
              <w:widowControl/>
              <w:autoSpaceDE/>
              <w:autoSpaceDN/>
              <w:adjustRightInd/>
              <w:spacing w:before="20" w:after="20"/>
              <w:rPr>
                <w:rFonts w:ascii="Arial Narrow" w:hAnsi="Arial Narrow"/>
                <w:szCs w:val="20"/>
              </w:rPr>
            </w:pPr>
            <w:r w:rsidRPr="007721D5">
              <w:rPr>
                <w:rFonts w:ascii="Arial Narrow" w:hAnsi="Arial Narrow"/>
                <w:szCs w:val="20"/>
              </w:rPr>
              <w:t>Medical Records and Health Information Analyst</w:t>
            </w:r>
          </w:p>
        </w:tc>
        <w:tc>
          <w:tcPr>
            <w:tcW w:w="1620" w:type="dxa"/>
            <w:shd w:val="clear" w:color="auto" w:fill="auto"/>
            <w:noWrap/>
            <w:vAlign w:val="center"/>
          </w:tcPr>
          <w:p w:rsidR="00417E3D" w:rsidRPr="3A23BB6B" w:rsidP="00417E3D" w14:paraId="7615BD53" w14:textId="147A7360">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w:t>
            </w:r>
            <w:r w:rsidRPr="009B1D89">
              <w:rPr>
                <w:rFonts w:ascii="Arial Narrow" w:hAnsi="Arial Narrow" w:cs="Calibri"/>
                <w:color w:val="000000" w:themeColor="text1"/>
              </w:rPr>
              <w:t>84.16</w:t>
            </w:r>
          </w:p>
        </w:tc>
        <w:tc>
          <w:tcPr>
            <w:tcW w:w="1255" w:type="dxa"/>
            <w:shd w:val="clear" w:color="auto" w:fill="auto"/>
            <w:noWrap/>
            <w:vAlign w:val="center"/>
          </w:tcPr>
          <w:p w:rsidR="00417E3D" w:rsidP="00417E3D" w14:paraId="3B0D0786" w14:textId="532A1368">
            <w:pPr>
              <w:widowControl/>
              <w:autoSpaceDE/>
              <w:autoSpaceDN/>
              <w:adjustRightInd/>
              <w:spacing w:before="20" w:after="20"/>
              <w:jc w:val="center"/>
              <w:rPr>
                <w:rFonts w:ascii="Arial Narrow" w:hAnsi="Arial Narrow" w:cs="Calibri"/>
                <w:bCs/>
                <w:color w:val="000000"/>
                <w:szCs w:val="20"/>
              </w:rPr>
            </w:pPr>
            <w:r>
              <w:rPr>
                <w:rFonts w:ascii="Arial Narrow" w:hAnsi="Arial Narrow" w:cs="Calibri"/>
                <w:bCs/>
                <w:color w:val="000000"/>
                <w:szCs w:val="20"/>
              </w:rPr>
              <w:t>.5</w:t>
            </w:r>
          </w:p>
        </w:tc>
        <w:tc>
          <w:tcPr>
            <w:tcW w:w="1350" w:type="dxa"/>
            <w:shd w:val="clear" w:color="auto" w:fill="auto"/>
            <w:noWrap/>
          </w:tcPr>
          <w:p w:rsidR="00417E3D" w:rsidRPr="00D82274" w:rsidP="00417E3D" w14:paraId="7DE66895" w14:textId="10375CFE">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 xml:space="preserve">$42.08 </w:t>
            </w:r>
          </w:p>
        </w:tc>
        <w:tc>
          <w:tcPr>
            <w:tcW w:w="1260" w:type="dxa"/>
          </w:tcPr>
          <w:p w:rsidR="00417E3D" w:rsidRPr="00417E3D" w:rsidP="00417E3D" w14:paraId="3BB04243" w14:textId="73480F82">
            <w:pPr>
              <w:widowControl/>
              <w:autoSpaceDE/>
              <w:autoSpaceDN/>
              <w:adjustRightInd/>
              <w:spacing w:before="20" w:after="20"/>
              <w:jc w:val="center"/>
              <w:rPr>
                <w:rFonts w:ascii="Arial Narrow" w:hAnsi="Arial Narrow" w:cs="Calibri"/>
                <w:color w:val="000000" w:themeColor="text1"/>
              </w:rPr>
            </w:pPr>
            <w:r w:rsidRPr="00417E3D">
              <w:rPr>
                <w:rFonts w:ascii="Arial Narrow" w:hAnsi="Arial Narrow" w:cs="Calibri"/>
                <w:color w:val="000000" w:themeColor="text1"/>
              </w:rPr>
              <w:t>50</w:t>
            </w:r>
          </w:p>
        </w:tc>
        <w:tc>
          <w:tcPr>
            <w:tcW w:w="1080" w:type="dxa"/>
          </w:tcPr>
          <w:p w:rsidR="00417E3D" w:rsidRPr="00417E3D" w:rsidP="00417E3D" w14:paraId="027A25A0" w14:textId="11E7B55F">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25</w:t>
            </w:r>
          </w:p>
        </w:tc>
        <w:tc>
          <w:tcPr>
            <w:tcW w:w="1530" w:type="dxa"/>
          </w:tcPr>
          <w:p w:rsidR="00417E3D" w:rsidRPr="00417E3D" w:rsidP="00417E3D" w14:paraId="0139A501" w14:textId="09EF318F">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 xml:space="preserve">$2,104.00 </w:t>
            </w:r>
          </w:p>
        </w:tc>
      </w:tr>
      <w:tr w14:paraId="6C1CC196" w14:textId="2ABE8138" w:rsidTr="34BCEC76">
        <w:tblPrEx>
          <w:tblW w:w="10890" w:type="dxa"/>
          <w:jc w:val="center"/>
          <w:tblLayout w:type="fixed"/>
          <w:tblLook w:val="04A0"/>
        </w:tblPrEx>
        <w:trPr>
          <w:cantSplit/>
          <w:jc w:val="center"/>
        </w:trPr>
        <w:tc>
          <w:tcPr>
            <w:tcW w:w="720" w:type="dxa"/>
            <w:shd w:val="clear" w:color="auto" w:fill="DBE5F1"/>
            <w:vAlign w:val="center"/>
          </w:tcPr>
          <w:p w:rsidR="00417E3D" w:rsidRPr="00F35386" w:rsidP="00417E3D" w14:paraId="49914273" w14:textId="77777777">
            <w:pPr>
              <w:widowControl/>
              <w:autoSpaceDE/>
              <w:autoSpaceDN/>
              <w:adjustRightInd/>
              <w:spacing w:before="20" w:after="20"/>
              <w:jc w:val="center"/>
              <w:rPr>
                <w:rFonts w:ascii="Arial Narrow" w:hAnsi="Arial Narrow"/>
                <w:b/>
                <w:color w:val="000000"/>
                <w:szCs w:val="20"/>
              </w:rPr>
            </w:pPr>
          </w:p>
        </w:tc>
        <w:tc>
          <w:tcPr>
            <w:tcW w:w="2075" w:type="dxa"/>
            <w:shd w:val="clear" w:color="auto" w:fill="auto"/>
            <w:vAlign w:val="center"/>
          </w:tcPr>
          <w:p w:rsidR="00417E3D" w:rsidRPr="00312178" w:rsidP="00564A8F" w14:paraId="64AF171B" w14:textId="112C314C">
            <w:pPr>
              <w:widowControl/>
              <w:autoSpaceDE/>
              <w:autoSpaceDN/>
              <w:adjustRightInd/>
              <w:spacing w:before="20" w:after="20"/>
              <w:rPr>
                <w:rFonts w:ascii="Arial Narrow" w:hAnsi="Arial Narrow"/>
                <w:szCs w:val="20"/>
              </w:rPr>
            </w:pPr>
            <w:r w:rsidRPr="007721D5">
              <w:rPr>
                <w:rFonts w:ascii="Arial Narrow" w:hAnsi="Arial Narrow"/>
                <w:szCs w:val="20"/>
              </w:rPr>
              <w:t>Business Operations Specialist, Other</w:t>
            </w:r>
          </w:p>
        </w:tc>
        <w:tc>
          <w:tcPr>
            <w:tcW w:w="1620" w:type="dxa"/>
            <w:shd w:val="clear" w:color="auto" w:fill="auto"/>
            <w:noWrap/>
            <w:vAlign w:val="center"/>
          </w:tcPr>
          <w:p w:rsidR="00417E3D" w:rsidRPr="3A23BB6B" w:rsidP="00417E3D" w14:paraId="2C166524" w14:textId="38A8EB37">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w:t>
            </w:r>
            <w:r w:rsidRPr="00554104">
              <w:rPr>
                <w:rFonts w:ascii="Arial Narrow" w:hAnsi="Arial Narrow" w:cs="Calibri"/>
                <w:color w:val="000000" w:themeColor="text1"/>
              </w:rPr>
              <w:t>80.24</w:t>
            </w:r>
          </w:p>
        </w:tc>
        <w:tc>
          <w:tcPr>
            <w:tcW w:w="1255" w:type="dxa"/>
            <w:shd w:val="clear" w:color="auto" w:fill="auto"/>
            <w:noWrap/>
            <w:vAlign w:val="center"/>
          </w:tcPr>
          <w:p w:rsidR="00417E3D" w:rsidP="00417E3D" w14:paraId="7232D2FE" w14:textId="36F73871">
            <w:pPr>
              <w:widowControl/>
              <w:autoSpaceDE/>
              <w:autoSpaceDN/>
              <w:adjustRightInd/>
              <w:spacing w:before="20" w:after="20"/>
              <w:jc w:val="center"/>
              <w:rPr>
                <w:rFonts w:ascii="Arial Narrow" w:hAnsi="Arial Narrow" w:cs="Calibri"/>
                <w:bCs/>
                <w:color w:val="000000"/>
                <w:szCs w:val="20"/>
              </w:rPr>
            </w:pPr>
            <w:r>
              <w:rPr>
                <w:rFonts w:ascii="Arial Narrow" w:hAnsi="Arial Narrow" w:cs="Calibri"/>
                <w:bCs/>
                <w:color w:val="000000"/>
                <w:szCs w:val="20"/>
              </w:rPr>
              <w:t>4</w:t>
            </w:r>
          </w:p>
        </w:tc>
        <w:tc>
          <w:tcPr>
            <w:tcW w:w="1350" w:type="dxa"/>
            <w:shd w:val="clear" w:color="auto" w:fill="auto"/>
            <w:noWrap/>
          </w:tcPr>
          <w:p w:rsidR="00417E3D" w:rsidRPr="00D82274" w:rsidP="00417E3D" w14:paraId="22D54DF7" w14:textId="5451C5F1">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 xml:space="preserve">$320.96 </w:t>
            </w:r>
          </w:p>
        </w:tc>
        <w:tc>
          <w:tcPr>
            <w:tcW w:w="1260" w:type="dxa"/>
          </w:tcPr>
          <w:p w:rsidR="00417E3D" w:rsidRPr="00417E3D" w:rsidP="00417E3D" w14:paraId="75455CA2" w14:textId="54A2FD0D">
            <w:pPr>
              <w:widowControl/>
              <w:autoSpaceDE/>
              <w:autoSpaceDN/>
              <w:adjustRightInd/>
              <w:spacing w:before="20" w:after="20"/>
              <w:jc w:val="center"/>
              <w:rPr>
                <w:rFonts w:ascii="Arial Narrow" w:hAnsi="Arial Narrow" w:cs="Calibri"/>
                <w:color w:val="000000" w:themeColor="text1"/>
              </w:rPr>
            </w:pPr>
            <w:r w:rsidRPr="00417E3D">
              <w:rPr>
                <w:rFonts w:ascii="Arial Narrow" w:hAnsi="Arial Narrow" w:cs="Calibri"/>
                <w:color w:val="000000" w:themeColor="text1"/>
              </w:rPr>
              <w:t>50</w:t>
            </w:r>
          </w:p>
        </w:tc>
        <w:tc>
          <w:tcPr>
            <w:tcW w:w="1080" w:type="dxa"/>
          </w:tcPr>
          <w:p w:rsidR="00417E3D" w:rsidRPr="00417E3D" w:rsidP="00417E3D" w14:paraId="53C4C084" w14:textId="0125BB7B">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200</w:t>
            </w:r>
          </w:p>
        </w:tc>
        <w:tc>
          <w:tcPr>
            <w:tcW w:w="1530" w:type="dxa"/>
          </w:tcPr>
          <w:p w:rsidR="00417E3D" w:rsidRPr="00417E3D" w:rsidP="00417E3D" w14:paraId="697016AF" w14:textId="384CE489">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 xml:space="preserve">$16,048.00 </w:t>
            </w:r>
          </w:p>
        </w:tc>
      </w:tr>
      <w:tr w14:paraId="437C8918" w14:textId="77777777" w:rsidTr="34BCEC76">
        <w:tblPrEx>
          <w:tblW w:w="10890" w:type="dxa"/>
          <w:jc w:val="center"/>
          <w:tblLayout w:type="fixed"/>
          <w:tblLook w:val="04A0"/>
        </w:tblPrEx>
        <w:trPr>
          <w:cantSplit/>
          <w:jc w:val="center"/>
        </w:trPr>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tcPr>
          <w:p w:rsidR="00380A6F" w:rsidRPr="00F35386" w:rsidP="00AE3CFA" w14:paraId="6949E21E" w14:textId="77777777">
            <w:pPr>
              <w:widowControl/>
              <w:autoSpaceDE/>
              <w:autoSpaceDN/>
              <w:adjustRightInd/>
              <w:spacing w:before="20" w:after="20"/>
              <w:jc w:val="center"/>
              <w:rPr>
                <w:rFonts w:ascii="Arial Narrow" w:hAnsi="Arial Narrow"/>
                <w:b/>
                <w:color w:val="000000"/>
                <w:szCs w:val="20"/>
              </w:rPr>
            </w:pPr>
          </w:p>
        </w:tc>
        <w:tc>
          <w:tcPr>
            <w:tcW w:w="2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80A6F" w:rsidRPr="007721D5" w:rsidP="005E2CB0" w14:paraId="5274895D" w14:textId="54C79221">
            <w:pPr>
              <w:widowControl/>
              <w:autoSpaceDE/>
              <w:autoSpaceDN/>
              <w:adjustRightInd/>
              <w:spacing w:before="20" w:after="20"/>
              <w:rPr>
                <w:rFonts w:ascii="Arial Narrow" w:hAnsi="Arial Narrow"/>
                <w:szCs w:val="20"/>
              </w:rPr>
            </w:pPr>
            <w:r>
              <w:rPr>
                <w:rFonts w:ascii="Arial Narrow" w:hAnsi="Arial Narrow"/>
                <w:szCs w:val="20"/>
              </w:rPr>
              <w:t>Medical Director</w:t>
            </w:r>
          </w:p>
        </w:tc>
        <w:tc>
          <w:tcPr>
            <w:tcW w:w="16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rsidR="00380A6F" w:rsidP="00AE3CFA" w14:paraId="5BC6A746" w14:textId="34B45F09">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$206.22</w:t>
            </w:r>
          </w:p>
        </w:tc>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rsidR="00380A6F" w:rsidP="00AE3CFA" w14:paraId="6F0C173F" w14:textId="7FABA668">
            <w:pPr>
              <w:widowControl/>
              <w:autoSpaceDE/>
              <w:autoSpaceDN/>
              <w:adjustRightInd/>
              <w:spacing w:before="20" w:after="20"/>
              <w:jc w:val="center"/>
              <w:rPr>
                <w:rFonts w:ascii="Arial Narrow" w:hAnsi="Arial Narrow" w:cs="Calibri"/>
                <w:bCs/>
                <w:color w:val="000000"/>
                <w:szCs w:val="20"/>
              </w:rPr>
            </w:pPr>
            <w:r>
              <w:rPr>
                <w:rFonts w:ascii="Arial Narrow" w:hAnsi="Arial Narrow" w:cs="Calibri"/>
                <w:bCs/>
                <w:color w:val="000000"/>
                <w:szCs w:val="20"/>
              </w:rPr>
              <w:t>1</w:t>
            </w: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rsidR="00380A6F" w:rsidP="00AE3CFA" w14:paraId="3DE4BE87" w14:textId="54472D4C">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$206.22</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80A6F" w:rsidRPr="00417E3D" w:rsidP="00AE3CFA" w14:paraId="0B6E1797" w14:textId="3B2CE631">
            <w:pPr>
              <w:widowControl/>
              <w:autoSpaceDE/>
              <w:autoSpaceDN/>
              <w:adjustRightInd/>
              <w:spacing w:before="20" w:after="20"/>
              <w:jc w:val="center"/>
              <w:rPr>
                <w:rFonts w:ascii="Arial Narrow" w:hAnsi="Arial Narrow" w:cs="Calibri"/>
                <w:color w:val="000000" w:themeColor="text1"/>
              </w:rPr>
            </w:pPr>
            <w:r w:rsidRPr="00417E3D">
              <w:rPr>
                <w:rFonts w:ascii="Arial Narrow" w:hAnsi="Arial Narrow" w:cs="Calibri"/>
                <w:color w:val="000000" w:themeColor="text1"/>
              </w:rPr>
              <w:t>50</w:t>
            </w: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80A6F" w:rsidRPr="00417E3D" w:rsidP="00AE3CFA" w14:paraId="198BA777" w14:textId="57D38108">
            <w:pPr>
              <w:widowControl/>
              <w:autoSpaceDE/>
              <w:autoSpaceDN/>
              <w:adjustRightInd/>
              <w:spacing w:before="20" w:after="20"/>
              <w:jc w:val="center"/>
              <w:rPr>
                <w:rFonts w:ascii="Arial Narrow" w:hAnsi="Arial Narrow" w:cs="Calibri"/>
                <w:color w:val="000000" w:themeColor="text1"/>
              </w:rPr>
            </w:pPr>
            <w:r w:rsidRPr="00417E3D">
              <w:rPr>
                <w:rFonts w:ascii="Arial Narrow" w:hAnsi="Arial Narrow" w:cs="Calibri"/>
                <w:color w:val="000000" w:themeColor="text1"/>
              </w:rPr>
              <w:t>50</w:t>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80A6F" w:rsidP="00AE3CFA" w14:paraId="1DA44F22" w14:textId="771DF886">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$10,311.00</w:t>
            </w:r>
          </w:p>
        </w:tc>
      </w:tr>
      <w:tr w14:paraId="403A9D69" w14:textId="5074AF5A" w:rsidTr="34BCEC76">
        <w:tblPrEx>
          <w:tblW w:w="10890" w:type="dxa"/>
          <w:jc w:val="center"/>
          <w:tblLayout w:type="fixed"/>
          <w:tblLook w:val="04A0"/>
        </w:tblPrEx>
        <w:trPr>
          <w:cantSplit/>
          <w:jc w:val="center"/>
        </w:trPr>
        <w:tc>
          <w:tcPr>
            <w:tcW w:w="720" w:type="dxa"/>
            <w:shd w:val="clear" w:color="auto" w:fill="DBE5F1"/>
            <w:vAlign w:val="center"/>
            <w:hideMark/>
          </w:tcPr>
          <w:p w:rsidR="005E2CB0" w:rsidRPr="00F35386" w:rsidP="00AE3CFA" w14:paraId="099D9CF5" w14:textId="77777777">
            <w:pPr>
              <w:widowControl/>
              <w:autoSpaceDE/>
              <w:autoSpaceDN/>
              <w:adjustRightInd/>
              <w:spacing w:before="20" w:after="20"/>
              <w:jc w:val="center"/>
              <w:rPr>
                <w:rFonts w:ascii="Arial Narrow" w:hAnsi="Arial Narrow"/>
                <w:b/>
                <w:color w:val="000000"/>
                <w:szCs w:val="20"/>
              </w:rPr>
            </w:pPr>
          </w:p>
        </w:tc>
        <w:tc>
          <w:tcPr>
            <w:tcW w:w="2075" w:type="dxa"/>
            <w:shd w:val="clear" w:color="auto" w:fill="FFFFFF" w:themeFill="background1"/>
            <w:vAlign w:val="center"/>
            <w:hideMark/>
          </w:tcPr>
          <w:p w:rsidR="005E2CB0" w:rsidRPr="00312178" w:rsidP="00AE3CFA" w14:paraId="7E9B290F" w14:textId="46A217DF">
            <w:pPr>
              <w:widowControl/>
              <w:autoSpaceDE/>
              <w:autoSpaceDN/>
              <w:adjustRightInd/>
              <w:spacing w:before="20" w:after="20"/>
              <w:rPr>
                <w:rFonts w:ascii="Arial Narrow" w:hAnsi="Arial Narrow"/>
                <w:b/>
                <w:bCs/>
                <w:color w:val="000000"/>
                <w:szCs w:val="20"/>
              </w:rPr>
            </w:pPr>
            <w:r>
              <w:rPr>
                <w:rFonts w:ascii="Arial Narrow" w:hAnsi="Arial Narrow"/>
                <w:b/>
                <w:bCs/>
                <w:color w:val="000000"/>
                <w:szCs w:val="20"/>
              </w:rPr>
              <w:t xml:space="preserve">Implementation Year </w:t>
            </w:r>
            <w:r w:rsidRPr="00312178">
              <w:rPr>
                <w:rFonts w:ascii="Arial Narrow" w:hAnsi="Arial Narrow"/>
                <w:b/>
                <w:bCs/>
                <w:color w:val="000000"/>
                <w:szCs w:val="20"/>
              </w:rPr>
              <w:t>Total</w:t>
            </w:r>
          </w:p>
        </w:tc>
        <w:tc>
          <w:tcPr>
            <w:tcW w:w="1620" w:type="dxa"/>
            <w:shd w:val="clear" w:color="auto" w:fill="auto"/>
            <w:noWrap/>
            <w:vAlign w:val="center"/>
            <w:hideMark/>
          </w:tcPr>
          <w:p w:rsidR="005E2CB0" w:rsidRPr="00E84A02" w:rsidP="00AE3CFA" w14:paraId="21831E49" w14:textId="3CAD3FA5">
            <w:pPr>
              <w:widowControl/>
              <w:autoSpaceDE/>
              <w:autoSpaceDN/>
              <w:adjustRightInd/>
              <w:spacing w:before="20" w:after="20"/>
              <w:jc w:val="center"/>
              <w:rPr>
                <w:rFonts w:ascii="Arial Narrow" w:hAnsi="Arial Narrow"/>
                <w:b/>
                <w:color w:val="000000"/>
                <w:szCs w:val="20"/>
              </w:rPr>
            </w:pPr>
            <w:r w:rsidRPr="0039105A">
              <w:rPr>
                <w:rFonts w:ascii="Arial Narrow" w:hAnsi="Arial Narrow" w:cs="Calibri"/>
                <w:b/>
                <w:bCs/>
                <w:color w:val="FFFFFF" w:themeColor="background1"/>
                <w:szCs w:val="20"/>
              </w:rPr>
              <w:t>-</w:t>
            </w:r>
          </w:p>
        </w:tc>
        <w:tc>
          <w:tcPr>
            <w:tcW w:w="1255" w:type="dxa"/>
            <w:shd w:val="clear" w:color="auto" w:fill="FFFFFF" w:themeFill="background1"/>
            <w:noWrap/>
            <w:vAlign w:val="center"/>
            <w:hideMark/>
          </w:tcPr>
          <w:p w:rsidR="005E2CB0" w:rsidRPr="00E84A02" w:rsidP="00AE3CFA" w14:paraId="3E2D977C" w14:textId="602381DF">
            <w:pPr>
              <w:widowControl/>
              <w:autoSpaceDE/>
              <w:autoSpaceDN/>
              <w:adjustRightInd/>
              <w:spacing w:before="20" w:after="20"/>
              <w:jc w:val="center"/>
              <w:rPr>
                <w:rFonts w:ascii="Arial Narrow" w:hAnsi="Arial Narrow"/>
                <w:b/>
                <w:bCs/>
                <w:color w:val="000000"/>
                <w:szCs w:val="20"/>
              </w:rPr>
            </w:pPr>
            <w:r>
              <w:rPr>
                <w:rFonts w:ascii="Arial Narrow" w:hAnsi="Arial Narrow" w:cs="Calibri"/>
                <w:b/>
                <w:bCs/>
                <w:color w:val="000000"/>
                <w:szCs w:val="20"/>
              </w:rPr>
              <w:t>44</w:t>
            </w:r>
          </w:p>
        </w:tc>
        <w:tc>
          <w:tcPr>
            <w:tcW w:w="1350" w:type="dxa"/>
            <w:shd w:val="clear" w:color="auto" w:fill="FFFFFF" w:themeFill="background1"/>
            <w:noWrap/>
            <w:vAlign w:val="center"/>
          </w:tcPr>
          <w:p w:rsidR="005E2CB0" w:rsidRPr="00E84A02" w:rsidP="00AE3CFA" w14:paraId="76193607" w14:textId="4A1A7AE7">
            <w:pPr>
              <w:widowControl/>
              <w:autoSpaceDE/>
              <w:autoSpaceDN/>
              <w:adjustRightInd/>
              <w:spacing w:before="20" w:after="20"/>
              <w:jc w:val="center"/>
              <w:rPr>
                <w:rFonts w:ascii="Arial Narrow" w:hAnsi="Arial Narrow"/>
                <w:b/>
                <w:bCs/>
                <w:color w:val="000000"/>
              </w:rPr>
            </w:pPr>
            <w:r>
              <w:rPr>
                <w:rFonts w:ascii="Arial Narrow" w:hAnsi="Arial Narrow" w:cs="Calibri"/>
                <w:b/>
                <w:bCs/>
                <w:color w:val="000000" w:themeColor="text1"/>
              </w:rPr>
              <w:t>$4,131.64</w:t>
            </w:r>
          </w:p>
        </w:tc>
        <w:tc>
          <w:tcPr>
            <w:tcW w:w="1260" w:type="dxa"/>
            <w:shd w:val="clear" w:color="auto" w:fill="FFFFFF" w:themeFill="background1"/>
          </w:tcPr>
          <w:p w:rsidR="005E2CB0" w:rsidRPr="3A23BB6B" w:rsidP="00AE3CFA" w14:paraId="4F3750E4" w14:textId="673C632B">
            <w:pPr>
              <w:widowControl/>
              <w:autoSpaceDE/>
              <w:autoSpaceDN/>
              <w:adjustRightInd/>
              <w:spacing w:before="20" w:after="20"/>
              <w:jc w:val="center"/>
              <w:rPr>
                <w:rFonts w:ascii="Arial Narrow" w:hAnsi="Arial Narrow" w:cs="Calibri"/>
                <w:b/>
                <w:bCs/>
                <w:color w:val="000000" w:themeColor="text1"/>
              </w:rPr>
            </w:pPr>
            <w:r>
              <w:rPr>
                <w:rFonts w:ascii="Arial Narrow" w:hAnsi="Arial Narrow" w:cs="Calibri"/>
                <w:b/>
                <w:bCs/>
                <w:color w:val="000000" w:themeColor="text1"/>
              </w:rPr>
              <w:t>50</w:t>
            </w:r>
          </w:p>
        </w:tc>
        <w:tc>
          <w:tcPr>
            <w:tcW w:w="1080" w:type="dxa"/>
            <w:shd w:val="clear" w:color="auto" w:fill="FFFFFF" w:themeFill="background1"/>
          </w:tcPr>
          <w:p w:rsidR="005E2CB0" w:rsidRPr="3A23BB6B" w:rsidP="00AE3CFA" w14:paraId="20EA3149" w14:textId="74F1B871">
            <w:pPr>
              <w:widowControl/>
              <w:autoSpaceDE/>
              <w:autoSpaceDN/>
              <w:adjustRightInd/>
              <w:spacing w:before="20" w:after="20"/>
              <w:jc w:val="center"/>
              <w:rPr>
                <w:rFonts w:ascii="Arial Narrow" w:hAnsi="Arial Narrow" w:cs="Calibri"/>
                <w:b/>
                <w:bCs/>
                <w:color w:val="000000" w:themeColor="text1"/>
              </w:rPr>
            </w:pPr>
            <w:r>
              <w:rPr>
                <w:rFonts w:ascii="Arial Narrow" w:hAnsi="Arial Narrow" w:cs="Calibri"/>
                <w:b/>
                <w:bCs/>
                <w:color w:val="000000" w:themeColor="text1"/>
              </w:rPr>
              <w:t>2210</w:t>
            </w:r>
          </w:p>
        </w:tc>
        <w:tc>
          <w:tcPr>
            <w:tcW w:w="1530" w:type="dxa"/>
            <w:shd w:val="clear" w:color="auto" w:fill="FFFFFF" w:themeFill="background1"/>
          </w:tcPr>
          <w:p w:rsidR="005E2CB0" w:rsidRPr="3A23BB6B" w:rsidP="00AE3CFA" w14:paraId="2777EEEE" w14:textId="5C61B5A4">
            <w:pPr>
              <w:widowControl/>
              <w:autoSpaceDE/>
              <w:autoSpaceDN/>
              <w:adjustRightInd/>
              <w:spacing w:before="20" w:after="20"/>
              <w:jc w:val="center"/>
              <w:rPr>
                <w:rFonts w:ascii="Arial Narrow" w:hAnsi="Arial Narrow" w:cs="Calibri"/>
                <w:b/>
                <w:bCs/>
                <w:color w:val="000000" w:themeColor="text1"/>
              </w:rPr>
            </w:pPr>
            <w:r>
              <w:rPr>
                <w:rFonts w:ascii="Arial Narrow" w:hAnsi="Arial Narrow" w:cs="Calibri"/>
                <w:b/>
                <w:bCs/>
                <w:color w:val="000000" w:themeColor="text1"/>
              </w:rPr>
              <w:t>$206,582.20</w:t>
            </w:r>
          </w:p>
        </w:tc>
      </w:tr>
      <w:tr w14:paraId="2AE03375" w14:textId="1F5961E1" w:rsidTr="34BCEC76">
        <w:tblPrEx>
          <w:tblW w:w="10890" w:type="dxa"/>
          <w:jc w:val="center"/>
          <w:tblLayout w:type="fixed"/>
          <w:tblLook w:val="04A0"/>
        </w:tblPrEx>
        <w:trPr>
          <w:cantSplit/>
          <w:jc w:val="center"/>
        </w:trPr>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tcPr>
          <w:p w:rsidR="005E2CB0" w:rsidRPr="00F35386" w:rsidP="00AE3CFA" w14:paraId="3F5B6F21" w14:textId="77777777">
            <w:pPr>
              <w:widowControl/>
              <w:autoSpaceDE/>
              <w:autoSpaceDN/>
              <w:adjustRightInd/>
              <w:spacing w:before="20" w:after="20"/>
              <w:jc w:val="center"/>
              <w:rPr>
                <w:rFonts w:ascii="Arial Narrow" w:hAnsi="Arial Narrow"/>
                <w:b/>
                <w:color w:val="000000"/>
                <w:szCs w:val="20"/>
              </w:rPr>
            </w:pPr>
            <w:r>
              <w:rPr>
                <w:rFonts w:ascii="Arial Narrow" w:hAnsi="Arial Narrow"/>
                <w:b/>
                <w:color w:val="000000"/>
                <w:szCs w:val="20"/>
              </w:rPr>
              <w:t>1</w:t>
            </w:r>
          </w:p>
        </w:tc>
        <w:tc>
          <w:tcPr>
            <w:tcW w:w="2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tcPr>
          <w:p w:rsidR="005E2CB0" w:rsidRPr="001B1653" w:rsidP="00AE3CFA" w14:paraId="31C31E27" w14:textId="77777777">
            <w:pPr>
              <w:widowControl/>
              <w:autoSpaceDE/>
              <w:autoSpaceDN/>
              <w:adjustRightInd/>
              <w:spacing w:before="20" w:after="20"/>
              <w:rPr>
                <w:rFonts w:ascii="Arial Narrow" w:hAnsi="Arial Narrow"/>
                <w:bCs/>
                <w:color w:val="000000"/>
                <w:szCs w:val="20"/>
              </w:rPr>
            </w:pPr>
            <w:r w:rsidRPr="001B1653">
              <w:rPr>
                <w:rFonts w:ascii="Arial Narrow" w:hAnsi="Arial Narrow"/>
                <w:bCs/>
                <w:color w:val="000000"/>
                <w:szCs w:val="20"/>
              </w:rPr>
              <w:t>Gather Information</w:t>
            </w:r>
          </w:p>
        </w:tc>
        <w:tc>
          <w:tcPr>
            <w:tcW w:w="16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noWrap/>
            <w:vAlign w:val="center"/>
          </w:tcPr>
          <w:p w:rsidR="005E2CB0" w:rsidRPr="001B1653" w:rsidP="00AE3CFA" w14:paraId="25689DDA" w14:textId="2DD7F29B">
            <w:pPr>
              <w:widowControl/>
              <w:autoSpaceDE/>
              <w:autoSpaceDN/>
              <w:adjustRightInd/>
              <w:spacing w:before="20" w:after="20"/>
              <w:jc w:val="center"/>
              <w:rPr>
                <w:rFonts w:ascii="Arial Narrow" w:hAnsi="Arial Narrow"/>
                <w:color w:val="000000"/>
              </w:rPr>
            </w:pPr>
          </w:p>
        </w:tc>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noWrap/>
            <w:vAlign w:val="center"/>
          </w:tcPr>
          <w:p w:rsidR="005E2CB0" w:rsidRPr="001B1653" w:rsidP="00AE3CFA" w14:paraId="397C8C50" w14:textId="74E9C3E9">
            <w:pPr>
              <w:widowControl/>
              <w:autoSpaceDE/>
              <w:autoSpaceDN/>
              <w:adjustRightInd/>
              <w:spacing w:before="20" w:after="20"/>
              <w:jc w:val="center"/>
              <w:rPr>
                <w:rFonts w:ascii="Arial Narrow" w:hAnsi="Arial Narrow"/>
                <w:bCs/>
                <w:color w:val="000000"/>
                <w:szCs w:val="20"/>
              </w:rPr>
            </w:pPr>
            <w:r>
              <w:rPr>
                <w:rFonts w:ascii="Arial Narrow" w:hAnsi="Arial Narrow" w:cs="Calibri"/>
                <w:color w:val="000000"/>
                <w:szCs w:val="20"/>
              </w:rPr>
              <w:t>13</w:t>
            </w:r>
            <w:r w:rsidR="008205EB">
              <w:rPr>
                <w:rFonts w:ascii="Arial Narrow" w:hAnsi="Arial Narrow" w:cs="Calibri"/>
                <w:color w:val="000000"/>
                <w:szCs w:val="20"/>
              </w:rPr>
              <w:t>.4</w:t>
            </w: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noWrap/>
            <w:vAlign w:val="center"/>
          </w:tcPr>
          <w:p w:rsidR="005E2CB0" w:rsidRPr="001B1653" w:rsidP="00AE3CFA" w14:paraId="7A1FA3EA" w14:textId="470DB33C">
            <w:pPr>
              <w:widowControl/>
              <w:autoSpaceDE/>
              <w:autoSpaceDN/>
              <w:adjustRightInd/>
              <w:spacing w:before="20" w:after="20"/>
              <w:jc w:val="center"/>
              <w:rPr>
                <w:rFonts w:ascii="Arial Narrow" w:hAnsi="Arial Narrow"/>
                <w:color w:val="000000"/>
              </w:rPr>
            </w:pPr>
            <w:r w:rsidRPr="3A23BB6B">
              <w:rPr>
                <w:rFonts w:ascii="Arial Narrow" w:hAnsi="Arial Narrow" w:cs="Calibri"/>
                <w:color w:val="000000" w:themeColor="text1"/>
              </w:rPr>
              <w:t>$</w:t>
            </w:r>
            <w:r w:rsidR="00914375">
              <w:rPr>
                <w:rFonts w:ascii="Arial Narrow" w:hAnsi="Arial Narrow" w:cs="Calibri"/>
                <w:color w:val="000000" w:themeColor="text1"/>
              </w:rPr>
              <w:t>1,116.59</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cPr>
          <w:p w:rsidR="005E2CB0" w:rsidRPr="3A23BB6B" w:rsidP="00AE3CFA" w14:paraId="4B5A2861" w14:textId="23B3ED9E">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w:t>
            </w:r>
            <w:r w:rsidR="00095622">
              <w:rPr>
                <w:rFonts w:ascii="Arial Narrow" w:hAnsi="Arial Narrow" w:cs="Calibri"/>
                <w:color w:val="000000" w:themeColor="text1"/>
              </w:rPr>
              <w:t>5</w:t>
            </w:r>
            <w:r>
              <w:rPr>
                <w:rFonts w:ascii="Arial Narrow" w:hAnsi="Arial Narrow" w:cs="Calibri"/>
                <w:color w:val="000000" w:themeColor="text1"/>
              </w:rPr>
              <w:t>0</w:t>
            </w: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cPr>
          <w:p w:rsidR="005E2CB0" w:rsidRPr="3A23BB6B" w:rsidP="00AE3CFA" w14:paraId="3AB37811" w14:textId="2E900B42">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2680</w:t>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cPr>
          <w:p w:rsidR="005E2CB0" w:rsidRPr="3A23BB6B" w:rsidP="00AE3CFA" w14:paraId="430CA91D" w14:textId="73A1ECB8">
            <w:pPr>
              <w:widowControl/>
              <w:autoSpaceDE/>
              <w:autoSpaceDN/>
              <w:adjustRightInd/>
              <w:spacing w:before="20" w:after="20"/>
              <w:jc w:val="center"/>
              <w:rPr>
                <w:rFonts w:ascii="Arial Narrow" w:hAnsi="Arial Narrow" w:cs="Calibri"/>
                <w:color w:val="000000" w:themeColor="text1"/>
              </w:rPr>
            </w:pPr>
            <w:r w:rsidRPr="4414F1F3">
              <w:rPr>
                <w:rFonts w:ascii="Arial Narrow" w:hAnsi="Arial Narrow" w:cs="Calibri"/>
                <w:color w:val="000000" w:themeColor="text1"/>
              </w:rPr>
              <w:t>$</w:t>
            </w:r>
            <w:r w:rsidRPr="4414F1F3" w:rsidR="3FD26269">
              <w:rPr>
                <w:rFonts w:ascii="Arial Narrow" w:hAnsi="Arial Narrow" w:cs="Calibri"/>
                <w:color w:val="000000" w:themeColor="text1"/>
              </w:rPr>
              <w:t>2</w:t>
            </w:r>
            <w:r w:rsidRPr="4414F1F3" w:rsidR="0139418E">
              <w:rPr>
                <w:rFonts w:ascii="Arial Narrow" w:hAnsi="Arial Narrow" w:cs="Calibri"/>
                <w:color w:val="000000" w:themeColor="text1"/>
              </w:rPr>
              <w:t>79,148.00</w:t>
            </w:r>
          </w:p>
        </w:tc>
      </w:tr>
      <w:tr w14:paraId="605D68B9" w14:textId="77777777" w:rsidTr="34BCEC76">
        <w:tblPrEx>
          <w:tblW w:w="10890" w:type="dxa"/>
          <w:jc w:val="center"/>
          <w:tblLayout w:type="fixed"/>
          <w:tblLook w:val="04A0"/>
        </w:tblPrEx>
        <w:trPr>
          <w:cantSplit/>
          <w:jc w:val="center"/>
        </w:trPr>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tcPr>
          <w:p w:rsidR="000A4343" w:rsidP="000A4343" w14:paraId="6BE6555D" w14:textId="77777777">
            <w:pPr>
              <w:widowControl/>
              <w:autoSpaceDE/>
              <w:autoSpaceDN/>
              <w:adjustRightInd/>
              <w:spacing w:before="20" w:after="20"/>
              <w:jc w:val="center"/>
              <w:rPr>
                <w:rFonts w:ascii="Arial Narrow" w:hAnsi="Arial Narrow"/>
                <w:b/>
                <w:color w:val="000000"/>
                <w:szCs w:val="20"/>
              </w:rPr>
            </w:pPr>
          </w:p>
        </w:tc>
        <w:tc>
          <w:tcPr>
            <w:tcW w:w="2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0A4343" w:rsidRPr="007721D5" w:rsidP="000A4343" w14:paraId="7E65CB5D" w14:textId="1757EB06">
            <w:pPr>
              <w:widowControl/>
              <w:autoSpaceDE/>
              <w:autoSpaceDN/>
              <w:adjustRightInd/>
              <w:spacing w:before="20" w:after="20"/>
              <w:rPr>
                <w:rFonts w:ascii="Arial Narrow" w:hAnsi="Arial Narrow"/>
                <w:szCs w:val="20"/>
              </w:rPr>
            </w:pPr>
            <w:r w:rsidRPr="00DF1A4E">
              <w:rPr>
                <w:rFonts w:ascii="Arial Narrow" w:hAnsi="Arial Narrow"/>
                <w:szCs w:val="20"/>
              </w:rPr>
              <w:t>General and Operations Manager</w:t>
            </w:r>
          </w:p>
        </w:tc>
        <w:tc>
          <w:tcPr>
            <w:tcW w:w="16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rsidR="000A4343" w:rsidP="000A4343" w14:paraId="2237B549" w14:textId="22DFF523">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w:t>
            </w:r>
            <w:r w:rsidRPr="0081732F">
              <w:rPr>
                <w:rFonts w:ascii="Arial Narrow" w:hAnsi="Arial Narrow" w:cs="Calibri"/>
                <w:color w:val="000000" w:themeColor="text1"/>
              </w:rPr>
              <w:t>164.6</w:t>
            </w:r>
            <w:r>
              <w:rPr>
                <w:rFonts w:ascii="Arial Narrow" w:hAnsi="Arial Narrow" w:cs="Calibri"/>
                <w:color w:val="000000" w:themeColor="text1"/>
              </w:rPr>
              <w:t>0</w:t>
            </w:r>
          </w:p>
        </w:tc>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vAlign w:val="center"/>
          </w:tcPr>
          <w:p w:rsidR="000A4343" w:rsidP="000A4343" w14:paraId="4E3266CB" w14:textId="58597390">
            <w:pPr>
              <w:widowControl/>
              <w:autoSpaceDE/>
              <w:autoSpaceDN/>
              <w:adjustRightInd/>
              <w:spacing w:before="20" w:after="20"/>
              <w:jc w:val="center"/>
              <w:rPr>
                <w:rFonts w:ascii="Arial Narrow" w:hAnsi="Arial Narrow" w:cs="Calibri"/>
                <w:color w:val="000000"/>
                <w:szCs w:val="20"/>
              </w:rPr>
            </w:pPr>
            <w:r>
              <w:rPr>
                <w:rFonts w:ascii="Arial Narrow" w:hAnsi="Arial Narrow" w:cs="Calibri"/>
                <w:color w:val="000000"/>
                <w:szCs w:val="20"/>
              </w:rPr>
              <w:t>0</w:t>
            </w: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tcPr>
          <w:p w:rsidR="000A4343" w:rsidRPr="00AB48FD" w:rsidP="000A4343" w14:paraId="7E9E5934" w14:textId="76F7597E">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 xml:space="preserve">$0.00 </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0A4343" w:rsidP="000A4343" w14:paraId="1BD10978" w14:textId="7DF5B3E0">
            <w:pPr>
              <w:widowControl/>
              <w:autoSpaceDE/>
              <w:autoSpaceDN/>
              <w:adjustRightInd/>
              <w:spacing w:before="20" w:after="20"/>
              <w:jc w:val="center"/>
              <w:rPr>
                <w:rFonts w:ascii="Arial Narrow" w:hAnsi="Arial Narrow" w:cs="Calibri"/>
                <w:color w:val="000000" w:themeColor="text1"/>
              </w:rPr>
            </w:pPr>
            <w:r w:rsidRPr="34BCEC76">
              <w:rPr>
                <w:rFonts w:ascii="Arial Narrow" w:hAnsi="Arial Narrow" w:cs="Calibri"/>
                <w:color w:val="000000" w:themeColor="text1"/>
              </w:rPr>
              <w:t>2</w:t>
            </w:r>
            <w:r w:rsidRPr="34BCEC76" w:rsidR="2DEFFEE2">
              <w:rPr>
                <w:rFonts w:ascii="Arial Narrow" w:hAnsi="Arial Narrow" w:cs="Calibri"/>
                <w:color w:val="000000" w:themeColor="text1"/>
              </w:rPr>
              <w:t>5</w:t>
            </w:r>
            <w:r w:rsidRPr="34BCEC76">
              <w:rPr>
                <w:rFonts w:ascii="Arial Narrow" w:hAnsi="Arial Narrow" w:cs="Calibri"/>
                <w:color w:val="000000" w:themeColor="text1"/>
              </w:rPr>
              <w:t>0</w:t>
            </w: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0A4343" w:rsidP="000A4343" w14:paraId="3D64F186" w14:textId="2B84DD02">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0</w:t>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0A4343" w:rsidRPr="000A4343" w:rsidP="000A4343" w14:paraId="64926C9B" w14:textId="76ECC52F">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 xml:space="preserve">$0.00 </w:t>
            </w:r>
          </w:p>
        </w:tc>
      </w:tr>
      <w:tr w14:paraId="5D7A7FF1" w14:textId="311F0E12" w:rsidTr="34BCEC76">
        <w:tblPrEx>
          <w:tblW w:w="10890" w:type="dxa"/>
          <w:jc w:val="center"/>
          <w:tblLayout w:type="fixed"/>
          <w:tblLook w:val="04A0"/>
        </w:tblPrEx>
        <w:trPr>
          <w:cantSplit/>
          <w:jc w:val="center"/>
        </w:trPr>
        <w:tc>
          <w:tcPr>
            <w:tcW w:w="720" w:type="dxa"/>
            <w:shd w:val="clear" w:color="auto" w:fill="DBE5F1"/>
            <w:vAlign w:val="center"/>
          </w:tcPr>
          <w:p w:rsidR="000A4343" w:rsidP="000A4343" w14:paraId="6ABF8AC2" w14:textId="77777777">
            <w:pPr>
              <w:widowControl/>
              <w:autoSpaceDE/>
              <w:autoSpaceDN/>
              <w:adjustRightInd/>
              <w:spacing w:before="20" w:after="20"/>
              <w:jc w:val="center"/>
              <w:rPr>
                <w:rFonts w:ascii="Arial Narrow" w:hAnsi="Arial Narrow"/>
                <w:b/>
                <w:color w:val="000000"/>
                <w:szCs w:val="20"/>
              </w:rPr>
            </w:pPr>
          </w:p>
        </w:tc>
        <w:tc>
          <w:tcPr>
            <w:tcW w:w="2075" w:type="dxa"/>
            <w:shd w:val="clear" w:color="auto" w:fill="auto"/>
            <w:vAlign w:val="center"/>
          </w:tcPr>
          <w:p w:rsidR="000A4343" w:rsidRPr="001B1653" w:rsidP="00564A8F" w14:paraId="513B1F2C" w14:textId="63D9F658">
            <w:pPr>
              <w:widowControl/>
              <w:autoSpaceDE/>
              <w:autoSpaceDN/>
              <w:adjustRightInd/>
              <w:spacing w:before="20" w:after="20"/>
              <w:rPr>
                <w:rFonts w:ascii="Arial Narrow" w:hAnsi="Arial Narrow"/>
                <w:bCs/>
                <w:color w:val="000000"/>
                <w:szCs w:val="20"/>
              </w:rPr>
            </w:pPr>
            <w:r w:rsidRPr="007721D5">
              <w:rPr>
                <w:rFonts w:ascii="Arial Narrow" w:hAnsi="Arial Narrow"/>
                <w:szCs w:val="20"/>
              </w:rPr>
              <w:t>Medical and Health Services Managers</w:t>
            </w:r>
          </w:p>
        </w:tc>
        <w:tc>
          <w:tcPr>
            <w:tcW w:w="1620" w:type="dxa"/>
            <w:shd w:val="clear" w:color="auto" w:fill="auto"/>
            <w:noWrap/>
            <w:vAlign w:val="center"/>
          </w:tcPr>
          <w:p w:rsidR="000A4343" w:rsidRPr="3A23BB6B" w:rsidP="000A4343" w14:paraId="6616A8DE" w14:textId="4652382A">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w:t>
            </w:r>
            <w:r w:rsidRPr="009B1D89">
              <w:rPr>
                <w:rFonts w:ascii="Arial Narrow" w:hAnsi="Arial Narrow" w:cs="Calibri"/>
                <w:color w:val="000000" w:themeColor="text1"/>
              </w:rPr>
              <w:t>141.54</w:t>
            </w:r>
          </w:p>
        </w:tc>
        <w:tc>
          <w:tcPr>
            <w:tcW w:w="1255" w:type="dxa"/>
            <w:shd w:val="clear" w:color="auto" w:fill="FFFFFF" w:themeFill="background1"/>
            <w:noWrap/>
            <w:vAlign w:val="center"/>
          </w:tcPr>
          <w:p w:rsidR="000A4343" w:rsidP="000A4343" w14:paraId="0E5948CF" w14:textId="26034C93">
            <w:pPr>
              <w:widowControl/>
              <w:autoSpaceDE/>
              <w:autoSpaceDN/>
              <w:adjustRightInd/>
              <w:spacing w:before="20" w:after="20"/>
              <w:jc w:val="center"/>
              <w:rPr>
                <w:rFonts w:ascii="Arial Narrow" w:hAnsi="Arial Narrow" w:cs="Calibri"/>
                <w:color w:val="000000"/>
                <w:szCs w:val="20"/>
              </w:rPr>
            </w:pPr>
            <w:r>
              <w:rPr>
                <w:rFonts w:ascii="Arial Narrow" w:hAnsi="Arial Narrow" w:cs="Calibri"/>
                <w:color w:val="000000"/>
                <w:szCs w:val="20"/>
              </w:rPr>
              <w:t>.2</w:t>
            </w:r>
          </w:p>
        </w:tc>
        <w:tc>
          <w:tcPr>
            <w:tcW w:w="1350" w:type="dxa"/>
            <w:shd w:val="clear" w:color="auto" w:fill="FFFFFF" w:themeFill="background1"/>
            <w:noWrap/>
          </w:tcPr>
          <w:p w:rsidR="000A4343" w:rsidRPr="00AB48FD" w:rsidP="000A4343" w14:paraId="124ADFDB" w14:textId="679D7572">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 xml:space="preserve">$28.31 </w:t>
            </w:r>
          </w:p>
        </w:tc>
        <w:tc>
          <w:tcPr>
            <w:tcW w:w="1260" w:type="dxa"/>
            <w:shd w:val="clear" w:color="auto" w:fill="FFFFFF" w:themeFill="background1"/>
          </w:tcPr>
          <w:p w:rsidR="000A4343" w:rsidP="000A4343" w14:paraId="16D9E704" w14:textId="7B38F5FA">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w:t>
            </w:r>
            <w:r w:rsidR="00095622">
              <w:rPr>
                <w:rFonts w:ascii="Arial Narrow" w:hAnsi="Arial Narrow" w:cs="Calibri"/>
                <w:color w:val="000000" w:themeColor="text1"/>
              </w:rPr>
              <w:t>5</w:t>
            </w:r>
            <w:r>
              <w:rPr>
                <w:rFonts w:ascii="Arial Narrow" w:hAnsi="Arial Narrow" w:cs="Calibri"/>
                <w:color w:val="000000" w:themeColor="text1"/>
              </w:rPr>
              <w:t>0</w:t>
            </w:r>
          </w:p>
        </w:tc>
        <w:tc>
          <w:tcPr>
            <w:tcW w:w="1080" w:type="dxa"/>
            <w:shd w:val="clear" w:color="auto" w:fill="FFFFFF" w:themeFill="background1"/>
          </w:tcPr>
          <w:p w:rsidR="000A4343" w:rsidP="000A4343" w14:paraId="300E1378" w14:textId="78FDB825">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40</w:t>
            </w:r>
          </w:p>
        </w:tc>
        <w:tc>
          <w:tcPr>
            <w:tcW w:w="1530" w:type="dxa"/>
            <w:shd w:val="clear" w:color="auto" w:fill="FFFFFF" w:themeFill="background1"/>
          </w:tcPr>
          <w:p w:rsidR="000A4343" w:rsidRPr="000A4343" w:rsidP="000A4343" w14:paraId="0F6B9C89" w14:textId="1EAF92A6">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w:t>
            </w:r>
            <w:r w:rsidRPr="4414F1F3" w:rsidR="5747E861">
              <w:rPr>
                <w:rFonts w:ascii="Arial Narrow" w:hAnsi="Arial Narrow"/>
              </w:rPr>
              <w:t>7,077.00</w:t>
            </w:r>
          </w:p>
        </w:tc>
      </w:tr>
      <w:tr w14:paraId="2BCF98B9" w14:textId="1AD5BFAE" w:rsidTr="34BCEC76">
        <w:tblPrEx>
          <w:tblW w:w="10890" w:type="dxa"/>
          <w:jc w:val="center"/>
          <w:tblLayout w:type="fixed"/>
          <w:tblLook w:val="04A0"/>
        </w:tblPrEx>
        <w:trPr>
          <w:cantSplit/>
          <w:jc w:val="center"/>
        </w:trPr>
        <w:tc>
          <w:tcPr>
            <w:tcW w:w="720" w:type="dxa"/>
            <w:shd w:val="clear" w:color="auto" w:fill="DBE5F1"/>
            <w:vAlign w:val="center"/>
          </w:tcPr>
          <w:p w:rsidR="000A4343" w:rsidP="000A4343" w14:paraId="1FDB2974" w14:textId="77777777">
            <w:pPr>
              <w:widowControl/>
              <w:autoSpaceDE/>
              <w:autoSpaceDN/>
              <w:adjustRightInd/>
              <w:spacing w:before="20" w:after="20"/>
              <w:jc w:val="center"/>
              <w:rPr>
                <w:rFonts w:ascii="Arial Narrow" w:hAnsi="Arial Narrow"/>
                <w:b/>
                <w:color w:val="000000"/>
                <w:szCs w:val="20"/>
              </w:rPr>
            </w:pPr>
          </w:p>
        </w:tc>
        <w:tc>
          <w:tcPr>
            <w:tcW w:w="2075" w:type="dxa"/>
            <w:shd w:val="clear" w:color="auto" w:fill="auto"/>
            <w:vAlign w:val="center"/>
          </w:tcPr>
          <w:p w:rsidR="000A4343" w:rsidRPr="001B1653" w:rsidP="00564A8F" w14:paraId="35D1F7EB" w14:textId="3BCC69E8">
            <w:pPr>
              <w:widowControl/>
              <w:autoSpaceDE/>
              <w:autoSpaceDN/>
              <w:adjustRightInd/>
              <w:spacing w:before="20" w:after="20"/>
              <w:rPr>
                <w:rFonts w:ascii="Arial Narrow" w:hAnsi="Arial Narrow"/>
                <w:bCs/>
                <w:color w:val="000000"/>
                <w:szCs w:val="20"/>
              </w:rPr>
            </w:pPr>
            <w:r w:rsidRPr="007721D5">
              <w:rPr>
                <w:rFonts w:ascii="Arial Narrow" w:hAnsi="Arial Narrow"/>
                <w:szCs w:val="20"/>
              </w:rPr>
              <w:t>Medical Records and Health Information Analyst</w:t>
            </w:r>
          </w:p>
        </w:tc>
        <w:tc>
          <w:tcPr>
            <w:tcW w:w="1620" w:type="dxa"/>
            <w:shd w:val="clear" w:color="auto" w:fill="auto"/>
            <w:noWrap/>
            <w:vAlign w:val="center"/>
          </w:tcPr>
          <w:p w:rsidR="000A4343" w:rsidRPr="3A23BB6B" w:rsidP="000A4343" w14:paraId="2DB414DE" w14:textId="5B417C92">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w:t>
            </w:r>
            <w:r w:rsidRPr="009B1D89">
              <w:rPr>
                <w:rFonts w:ascii="Arial Narrow" w:hAnsi="Arial Narrow" w:cs="Calibri"/>
                <w:color w:val="000000" w:themeColor="text1"/>
              </w:rPr>
              <w:t>84.16</w:t>
            </w:r>
          </w:p>
        </w:tc>
        <w:tc>
          <w:tcPr>
            <w:tcW w:w="1255" w:type="dxa"/>
            <w:shd w:val="clear" w:color="auto" w:fill="FFFFFF" w:themeFill="background1"/>
            <w:noWrap/>
            <w:vAlign w:val="center"/>
          </w:tcPr>
          <w:p w:rsidR="000A4343" w:rsidP="000A4343" w14:paraId="70914962" w14:textId="5099A3ED">
            <w:pPr>
              <w:widowControl/>
              <w:autoSpaceDE/>
              <w:autoSpaceDN/>
              <w:adjustRightInd/>
              <w:spacing w:before="20" w:after="20"/>
              <w:jc w:val="center"/>
              <w:rPr>
                <w:rFonts w:ascii="Arial Narrow" w:hAnsi="Arial Narrow" w:cs="Calibri"/>
                <w:color w:val="000000"/>
                <w:szCs w:val="20"/>
              </w:rPr>
            </w:pPr>
            <w:r>
              <w:rPr>
                <w:rFonts w:ascii="Arial Narrow" w:hAnsi="Arial Narrow" w:cs="Calibri"/>
                <w:color w:val="000000"/>
                <w:szCs w:val="20"/>
              </w:rPr>
              <w:t>1</w:t>
            </w:r>
          </w:p>
        </w:tc>
        <w:tc>
          <w:tcPr>
            <w:tcW w:w="1350" w:type="dxa"/>
            <w:shd w:val="clear" w:color="auto" w:fill="FFFFFF" w:themeFill="background1"/>
            <w:noWrap/>
          </w:tcPr>
          <w:p w:rsidR="000A4343" w:rsidRPr="00AB48FD" w:rsidP="000A4343" w14:paraId="10B93269" w14:textId="313288B9">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 xml:space="preserve">$84.16 </w:t>
            </w:r>
          </w:p>
        </w:tc>
        <w:tc>
          <w:tcPr>
            <w:tcW w:w="1260" w:type="dxa"/>
            <w:shd w:val="clear" w:color="auto" w:fill="FFFFFF" w:themeFill="background1"/>
          </w:tcPr>
          <w:p w:rsidR="000A4343" w:rsidP="000A4343" w14:paraId="54119035" w14:textId="7D58365C">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w:t>
            </w:r>
            <w:r w:rsidR="00095622">
              <w:rPr>
                <w:rFonts w:ascii="Arial Narrow" w:hAnsi="Arial Narrow" w:cs="Calibri"/>
                <w:color w:val="000000" w:themeColor="text1"/>
              </w:rPr>
              <w:t>5</w:t>
            </w:r>
            <w:r>
              <w:rPr>
                <w:rFonts w:ascii="Arial Narrow" w:hAnsi="Arial Narrow" w:cs="Calibri"/>
                <w:color w:val="000000" w:themeColor="text1"/>
              </w:rPr>
              <w:t>0</w:t>
            </w:r>
          </w:p>
        </w:tc>
        <w:tc>
          <w:tcPr>
            <w:tcW w:w="1080" w:type="dxa"/>
            <w:shd w:val="clear" w:color="auto" w:fill="FFFFFF" w:themeFill="background1"/>
          </w:tcPr>
          <w:p w:rsidR="000A4343" w:rsidP="000A4343" w14:paraId="382128FA" w14:textId="3599993F">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200</w:t>
            </w:r>
          </w:p>
        </w:tc>
        <w:tc>
          <w:tcPr>
            <w:tcW w:w="1530" w:type="dxa"/>
            <w:shd w:val="clear" w:color="auto" w:fill="FFFFFF" w:themeFill="background1"/>
          </w:tcPr>
          <w:p w:rsidR="000A4343" w:rsidRPr="000A4343" w:rsidP="000A4343" w14:paraId="1527481C" w14:textId="7AB401F0">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w:t>
            </w:r>
            <w:r w:rsidRPr="4414F1F3" w:rsidR="322276C0">
              <w:rPr>
                <w:rFonts w:ascii="Arial Narrow" w:hAnsi="Arial Narrow"/>
              </w:rPr>
              <w:t>21,040.00</w:t>
            </w:r>
          </w:p>
        </w:tc>
      </w:tr>
      <w:tr w14:paraId="3F90C7BA" w14:textId="2F99BE5D" w:rsidTr="34BCEC76">
        <w:tblPrEx>
          <w:tblW w:w="10890" w:type="dxa"/>
          <w:jc w:val="center"/>
          <w:tblLayout w:type="fixed"/>
          <w:tblLook w:val="04A0"/>
        </w:tblPrEx>
        <w:trPr>
          <w:cantSplit/>
          <w:jc w:val="center"/>
        </w:trPr>
        <w:tc>
          <w:tcPr>
            <w:tcW w:w="720" w:type="dxa"/>
            <w:shd w:val="clear" w:color="auto" w:fill="DBE5F1"/>
            <w:vAlign w:val="center"/>
          </w:tcPr>
          <w:p w:rsidR="000A4343" w:rsidP="000A4343" w14:paraId="0B88339C" w14:textId="77777777">
            <w:pPr>
              <w:widowControl/>
              <w:autoSpaceDE/>
              <w:autoSpaceDN/>
              <w:adjustRightInd/>
              <w:spacing w:before="20" w:after="20"/>
              <w:jc w:val="center"/>
              <w:rPr>
                <w:rFonts w:ascii="Arial Narrow" w:hAnsi="Arial Narrow"/>
                <w:b/>
                <w:color w:val="000000"/>
                <w:szCs w:val="20"/>
              </w:rPr>
            </w:pPr>
          </w:p>
        </w:tc>
        <w:tc>
          <w:tcPr>
            <w:tcW w:w="2075" w:type="dxa"/>
            <w:shd w:val="clear" w:color="auto" w:fill="auto"/>
            <w:vAlign w:val="center"/>
          </w:tcPr>
          <w:p w:rsidR="000A4343" w:rsidRPr="001B1653" w:rsidP="00564A8F" w14:paraId="0330A50B" w14:textId="2C07BE40">
            <w:pPr>
              <w:widowControl/>
              <w:autoSpaceDE/>
              <w:autoSpaceDN/>
              <w:adjustRightInd/>
              <w:spacing w:before="20" w:after="20"/>
              <w:rPr>
                <w:rFonts w:ascii="Arial Narrow" w:hAnsi="Arial Narrow"/>
                <w:bCs/>
                <w:color w:val="000000"/>
                <w:szCs w:val="20"/>
              </w:rPr>
            </w:pPr>
            <w:r w:rsidRPr="007721D5">
              <w:rPr>
                <w:rFonts w:ascii="Arial Narrow" w:hAnsi="Arial Narrow"/>
                <w:szCs w:val="20"/>
              </w:rPr>
              <w:t>Business Operations Specialist, Other</w:t>
            </w:r>
          </w:p>
        </w:tc>
        <w:tc>
          <w:tcPr>
            <w:tcW w:w="1620" w:type="dxa"/>
            <w:shd w:val="clear" w:color="auto" w:fill="auto"/>
            <w:noWrap/>
            <w:vAlign w:val="center"/>
          </w:tcPr>
          <w:p w:rsidR="000A4343" w:rsidRPr="3A23BB6B" w:rsidP="000A4343" w14:paraId="7C384167" w14:textId="7A54DAA8">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w:t>
            </w:r>
            <w:r w:rsidRPr="00554104">
              <w:rPr>
                <w:rFonts w:ascii="Arial Narrow" w:hAnsi="Arial Narrow" w:cs="Calibri"/>
                <w:color w:val="000000" w:themeColor="text1"/>
              </w:rPr>
              <w:t>80.24</w:t>
            </w:r>
          </w:p>
        </w:tc>
        <w:tc>
          <w:tcPr>
            <w:tcW w:w="1255" w:type="dxa"/>
            <w:shd w:val="clear" w:color="auto" w:fill="FFFFFF" w:themeFill="background1"/>
            <w:noWrap/>
            <w:vAlign w:val="center"/>
          </w:tcPr>
          <w:p w:rsidR="000A4343" w:rsidP="000A4343" w14:paraId="15320548" w14:textId="66BB4122">
            <w:pPr>
              <w:widowControl/>
              <w:autoSpaceDE/>
              <w:autoSpaceDN/>
              <w:adjustRightInd/>
              <w:spacing w:before="20" w:after="20"/>
              <w:jc w:val="center"/>
              <w:rPr>
                <w:rFonts w:ascii="Arial Narrow" w:hAnsi="Arial Narrow" w:cs="Calibri"/>
                <w:color w:val="000000"/>
                <w:szCs w:val="20"/>
              </w:rPr>
            </w:pPr>
            <w:r>
              <w:rPr>
                <w:rFonts w:ascii="Arial Narrow" w:hAnsi="Arial Narrow" w:cs="Calibri"/>
                <w:color w:val="000000"/>
                <w:szCs w:val="20"/>
              </w:rPr>
              <w:t>12</w:t>
            </w:r>
          </w:p>
        </w:tc>
        <w:tc>
          <w:tcPr>
            <w:tcW w:w="1350" w:type="dxa"/>
            <w:shd w:val="clear" w:color="auto" w:fill="FFFFFF" w:themeFill="background1"/>
            <w:noWrap/>
          </w:tcPr>
          <w:p w:rsidR="000A4343" w:rsidRPr="00AB48FD" w:rsidP="000A4343" w14:paraId="3B01651C" w14:textId="38BE9363">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 xml:space="preserve">$962.88 </w:t>
            </w:r>
          </w:p>
        </w:tc>
        <w:tc>
          <w:tcPr>
            <w:tcW w:w="1260" w:type="dxa"/>
            <w:shd w:val="clear" w:color="auto" w:fill="FFFFFF" w:themeFill="background1"/>
          </w:tcPr>
          <w:p w:rsidR="000A4343" w:rsidP="000A4343" w14:paraId="64CC143B" w14:textId="5AD0A4E4">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w:t>
            </w:r>
            <w:r w:rsidR="00095622">
              <w:rPr>
                <w:rFonts w:ascii="Arial Narrow" w:hAnsi="Arial Narrow" w:cs="Calibri"/>
                <w:color w:val="000000" w:themeColor="text1"/>
              </w:rPr>
              <w:t>5</w:t>
            </w:r>
            <w:r>
              <w:rPr>
                <w:rFonts w:ascii="Arial Narrow" w:hAnsi="Arial Narrow" w:cs="Calibri"/>
                <w:color w:val="000000" w:themeColor="text1"/>
              </w:rPr>
              <w:t>0</w:t>
            </w:r>
          </w:p>
        </w:tc>
        <w:tc>
          <w:tcPr>
            <w:tcW w:w="1080" w:type="dxa"/>
            <w:shd w:val="clear" w:color="auto" w:fill="FFFFFF" w:themeFill="background1"/>
          </w:tcPr>
          <w:p w:rsidR="000A4343" w:rsidP="000A4343" w14:paraId="06BE43FE" w14:textId="6E5C91EF">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2400</w:t>
            </w:r>
          </w:p>
        </w:tc>
        <w:tc>
          <w:tcPr>
            <w:tcW w:w="1530" w:type="dxa"/>
            <w:shd w:val="clear" w:color="auto" w:fill="FFFFFF" w:themeFill="background1"/>
          </w:tcPr>
          <w:p w:rsidR="000A4343" w:rsidRPr="000A4343" w:rsidP="000A4343" w14:paraId="3828B733" w14:textId="0229153C">
            <w:pPr>
              <w:widowControl/>
              <w:autoSpaceDE/>
              <w:autoSpaceDN/>
              <w:adjustRightInd/>
              <w:spacing w:before="20" w:after="20"/>
              <w:jc w:val="center"/>
              <w:rPr>
                <w:rFonts w:ascii="Arial Narrow" w:hAnsi="Arial Narrow" w:cs="Calibri"/>
                <w:color w:val="000000" w:themeColor="text1"/>
              </w:rPr>
            </w:pPr>
            <w:r w:rsidRPr="4414F1F3">
              <w:rPr>
                <w:rFonts w:ascii="Arial Narrow" w:hAnsi="Arial Narrow"/>
              </w:rPr>
              <w:t>$240,720.00</w:t>
            </w:r>
          </w:p>
        </w:tc>
      </w:tr>
      <w:tr w14:paraId="0DD05F20" w14:textId="77777777" w:rsidTr="34BCEC76">
        <w:tblPrEx>
          <w:tblW w:w="10890" w:type="dxa"/>
          <w:jc w:val="center"/>
          <w:tblLayout w:type="fixed"/>
          <w:tblLook w:val="04A0"/>
        </w:tblPrEx>
        <w:trPr>
          <w:cantSplit/>
          <w:jc w:val="center"/>
        </w:trPr>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tcPr>
          <w:p w:rsidR="00FE374B" w:rsidP="00FE374B" w14:paraId="4E5537E5" w14:textId="77777777">
            <w:pPr>
              <w:widowControl/>
              <w:autoSpaceDE/>
              <w:autoSpaceDN/>
              <w:adjustRightInd/>
              <w:spacing w:before="20" w:after="20"/>
              <w:jc w:val="center"/>
              <w:rPr>
                <w:rFonts w:ascii="Arial Narrow" w:hAnsi="Arial Narrow"/>
                <w:b/>
                <w:color w:val="000000"/>
                <w:szCs w:val="20"/>
              </w:rPr>
            </w:pPr>
          </w:p>
        </w:tc>
        <w:tc>
          <w:tcPr>
            <w:tcW w:w="2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FE374B" w:rsidRPr="007721D5" w:rsidP="00FE374B" w14:paraId="364E18B2" w14:textId="0CC164C9">
            <w:pPr>
              <w:widowControl/>
              <w:autoSpaceDE/>
              <w:autoSpaceDN/>
              <w:adjustRightInd/>
              <w:spacing w:before="20" w:after="20"/>
              <w:rPr>
                <w:rFonts w:ascii="Arial Narrow" w:hAnsi="Arial Narrow"/>
                <w:szCs w:val="20"/>
              </w:rPr>
            </w:pPr>
            <w:r>
              <w:rPr>
                <w:rFonts w:ascii="Arial Narrow" w:hAnsi="Arial Narrow"/>
                <w:szCs w:val="20"/>
              </w:rPr>
              <w:t>Medical Director</w:t>
            </w:r>
          </w:p>
        </w:tc>
        <w:tc>
          <w:tcPr>
            <w:tcW w:w="16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rsidR="00FE374B" w:rsidP="00FE374B" w14:paraId="6D162998" w14:textId="45AC743A">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$206.22</w:t>
            </w:r>
          </w:p>
        </w:tc>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vAlign w:val="center"/>
          </w:tcPr>
          <w:p w:rsidR="00FE374B" w:rsidP="00FE374B" w14:paraId="0646B09F" w14:textId="4BF3628A">
            <w:pPr>
              <w:widowControl/>
              <w:autoSpaceDE/>
              <w:autoSpaceDN/>
              <w:adjustRightInd/>
              <w:spacing w:before="20" w:after="20"/>
              <w:jc w:val="center"/>
              <w:rPr>
                <w:rFonts w:ascii="Arial Narrow" w:hAnsi="Arial Narrow" w:cs="Calibri"/>
                <w:color w:val="000000"/>
                <w:szCs w:val="20"/>
              </w:rPr>
            </w:pPr>
            <w:r>
              <w:rPr>
                <w:rFonts w:ascii="Arial Narrow" w:hAnsi="Arial Narrow" w:cs="Calibri"/>
                <w:color w:val="000000"/>
                <w:szCs w:val="20"/>
              </w:rPr>
              <w:t>.2</w:t>
            </w: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vAlign w:val="center"/>
          </w:tcPr>
          <w:p w:rsidR="00FE374B" w:rsidP="00FE374B" w14:paraId="60F275BD" w14:textId="36CFFE7C">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$41.24</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FE374B" w:rsidP="00FE374B" w14:paraId="509BB36B" w14:textId="2E11481B">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w:t>
            </w:r>
            <w:r w:rsidR="00095622">
              <w:rPr>
                <w:rFonts w:ascii="Arial Narrow" w:hAnsi="Arial Narrow" w:cs="Calibri"/>
                <w:color w:val="000000" w:themeColor="text1"/>
              </w:rPr>
              <w:t>5</w:t>
            </w:r>
            <w:r>
              <w:rPr>
                <w:rFonts w:ascii="Arial Narrow" w:hAnsi="Arial Narrow" w:cs="Calibri"/>
                <w:color w:val="000000" w:themeColor="text1"/>
              </w:rPr>
              <w:t>0</w:t>
            </w: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FE374B" w:rsidP="00FE374B" w14:paraId="003EEEF6" w14:textId="39A39321">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40</w:t>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FE374B" w:rsidRPr="000A4343" w:rsidP="00FE374B" w14:paraId="0961F3BD" w14:textId="7D205138">
            <w:pPr>
              <w:widowControl/>
              <w:autoSpaceDE/>
              <w:autoSpaceDN/>
              <w:adjustRightInd/>
              <w:spacing w:before="20" w:after="20"/>
              <w:jc w:val="center"/>
              <w:rPr>
                <w:rFonts w:ascii="Arial Narrow" w:hAnsi="Arial Narrow" w:cs="Calibri"/>
                <w:color w:val="000000" w:themeColor="text1"/>
              </w:rPr>
            </w:pPr>
            <w:r w:rsidRPr="4414F1F3">
              <w:rPr>
                <w:rFonts w:ascii="Arial Narrow" w:hAnsi="Arial Narrow" w:cs="Calibri"/>
                <w:color w:val="000000" w:themeColor="text1"/>
              </w:rPr>
              <w:t>$</w:t>
            </w:r>
            <w:r w:rsidRPr="4414F1F3" w:rsidR="5412A7C8">
              <w:rPr>
                <w:rFonts w:ascii="Arial Narrow" w:hAnsi="Arial Narrow" w:cs="Calibri"/>
                <w:color w:val="000000" w:themeColor="text1"/>
              </w:rPr>
              <w:t>10,311.00</w:t>
            </w:r>
          </w:p>
        </w:tc>
      </w:tr>
      <w:tr w14:paraId="0C653108" w14:textId="3EE027A0" w:rsidTr="34BCEC76">
        <w:tblPrEx>
          <w:tblW w:w="10890" w:type="dxa"/>
          <w:jc w:val="center"/>
          <w:tblLayout w:type="fixed"/>
          <w:tblLook w:val="04A0"/>
        </w:tblPrEx>
        <w:trPr>
          <w:cantSplit/>
          <w:jc w:val="center"/>
        </w:trPr>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tcPr>
          <w:p w:rsidR="00FE374B" w:rsidRPr="00F35386" w:rsidP="00FE374B" w14:paraId="7622D542" w14:textId="77777777">
            <w:pPr>
              <w:widowControl/>
              <w:autoSpaceDE/>
              <w:autoSpaceDN/>
              <w:adjustRightInd/>
              <w:spacing w:before="20" w:after="20"/>
              <w:jc w:val="center"/>
              <w:rPr>
                <w:rFonts w:ascii="Arial Narrow" w:hAnsi="Arial Narrow"/>
                <w:b/>
                <w:color w:val="000000"/>
                <w:szCs w:val="20"/>
              </w:rPr>
            </w:pPr>
            <w:r>
              <w:rPr>
                <w:rFonts w:ascii="Arial Narrow" w:hAnsi="Arial Narrow"/>
                <w:b/>
                <w:color w:val="000000"/>
                <w:szCs w:val="20"/>
              </w:rPr>
              <w:t>2</w:t>
            </w:r>
          </w:p>
        </w:tc>
        <w:tc>
          <w:tcPr>
            <w:tcW w:w="2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tcPr>
          <w:p w:rsidR="00FE374B" w:rsidRPr="00D042E4" w:rsidP="00FE374B" w14:paraId="315C494D" w14:textId="77777777">
            <w:pPr>
              <w:widowControl/>
              <w:autoSpaceDE/>
              <w:autoSpaceDN/>
              <w:adjustRightInd/>
              <w:spacing w:before="20" w:after="20"/>
              <w:rPr>
                <w:rFonts w:ascii="Arial Narrow" w:hAnsi="Arial Narrow"/>
                <w:bCs/>
                <w:color w:val="000000"/>
                <w:szCs w:val="20"/>
              </w:rPr>
            </w:pPr>
            <w:r w:rsidRPr="00D042E4">
              <w:rPr>
                <w:rFonts w:ascii="Arial Narrow" w:hAnsi="Arial Narrow"/>
                <w:bCs/>
                <w:color w:val="000000"/>
                <w:szCs w:val="20"/>
              </w:rPr>
              <w:t>Develop Response and Submit Form</w:t>
            </w:r>
          </w:p>
        </w:tc>
        <w:tc>
          <w:tcPr>
            <w:tcW w:w="16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noWrap/>
            <w:vAlign w:val="center"/>
          </w:tcPr>
          <w:p w:rsidR="00FE374B" w:rsidRPr="00D042E4" w:rsidP="00FE374B" w14:paraId="3C74E06C" w14:textId="5082F156">
            <w:pPr>
              <w:widowControl/>
              <w:autoSpaceDE/>
              <w:autoSpaceDN/>
              <w:adjustRightInd/>
              <w:spacing w:before="20" w:after="20"/>
              <w:jc w:val="center"/>
              <w:rPr>
                <w:rFonts w:ascii="Arial Narrow" w:hAnsi="Arial Narrow"/>
                <w:color w:val="000000"/>
              </w:rPr>
            </w:pPr>
          </w:p>
        </w:tc>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noWrap/>
            <w:vAlign w:val="center"/>
          </w:tcPr>
          <w:p w:rsidR="00FE374B" w:rsidRPr="00D042E4" w:rsidP="00FE374B" w14:paraId="6AD253B7" w14:textId="5BD8DAEA">
            <w:pPr>
              <w:widowControl/>
              <w:autoSpaceDE/>
              <w:autoSpaceDN/>
              <w:adjustRightInd/>
              <w:spacing w:before="20" w:after="20"/>
              <w:jc w:val="center"/>
              <w:rPr>
                <w:rFonts w:ascii="Arial Narrow" w:hAnsi="Arial Narrow"/>
                <w:bCs/>
                <w:color w:val="000000"/>
                <w:szCs w:val="20"/>
              </w:rPr>
            </w:pPr>
            <w:r>
              <w:rPr>
                <w:rFonts w:ascii="Arial Narrow" w:hAnsi="Arial Narrow" w:cs="Calibri"/>
                <w:color w:val="000000"/>
                <w:szCs w:val="20"/>
              </w:rPr>
              <w:t>4.7</w:t>
            </w: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noWrap/>
            <w:vAlign w:val="center"/>
          </w:tcPr>
          <w:p w:rsidR="00FE374B" w:rsidRPr="00D042E4" w:rsidP="00FE374B" w14:paraId="21E2946F" w14:textId="29532072">
            <w:pPr>
              <w:widowControl/>
              <w:autoSpaceDE/>
              <w:autoSpaceDN/>
              <w:adjustRightInd/>
              <w:spacing w:before="20" w:after="20"/>
              <w:jc w:val="center"/>
              <w:rPr>
                <w:rFonts w:ascii="Arial Narrow" w:hAnsi="Arial Narrow"/>
                <w:color w:val="000000"/>
              </w:rPr>
            </w:pPr>
            <w:r w:rsidRPr="00D042E4">
              <w:rPr>
                <w:rFonts w:ascii="Arial Narrow" w:hAnsi="Arial Narrow" w:cs="Calibri"/>
                <w:color w:val="000000" w:themeColor="text1"/>
              </w:rPr>
              <w:t>$</w:t>
            </w:r>
            <w:r w:rsidR="00641764">
              <w:rPr>
                <w:rFonts w:ascii="Arial Narrow" w:hAnsi="Arial Narrow" w:cs="Calibri"/>
                <w:color w:val="000000" w:themeColor="text1"/>
              </w:rPr>
              <w:t>553.44</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cPr>
          <w:p w:rsidR="00FE374B" w:rsidRPr="00D042E4" w:rsidP="00FE374B" w14:paraId="266CDDBB" w14:textId="6C79AF4A">
            <w:pPr>
              <w:widowControl/>
              <w:autoSpaceDE/>
              <w:autoSpaceDN/>
              <w:adjustRightInd/>
              <w:spacing w:before="20" w:after="20"/>
              <w:jc w:val="center"/>
              <w:rPr>
                <w:rFonts w:ascii="Arial Narrow" w:hAnsi="Arial Narrow" w:cs="Calibri"/>
                <w:color w:val="000000" w:themeColor="text1"/>
              </w:rPr>
            </w:pPr>
            <w:r w:rsidRPr="00D042E4">
              <w:rPr>
                <w:rFonts w:ascii="Arial Narrow" w:hAnsi="Arial Narrow" w:cs="Calibri"/>
                <w:color w:val="000000" w:themeColor="text1"/>
              </w:rPr>
              <w:t>2</w:t>
            </w:r>
            <w:r w:rsidR="00095622">
              <w:rPr>
                <w:rFonts w:ascii="Arial Narrow" w:hAnsi="Arial Narrow" w:cs="Calibri"/>
                <w:color w:val="000000" w:themeColor="text1"/>
              </w:rPr>
              <w:t>5</w:t>
            </w:r>
            <w:r w:rsidRPr="00D042E4">
              <w:rPr>
                <w:rFonts w:ascii="Arial Narrow" w:hAnsi="Arial Narrow" w:cs="Calibri"/>
                <w:color w:val="000000" w:themeColor="text1"/>
              </w:rPr>
              <w:t>0</w:t>
            </w: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cPr>
          <w:p w:rsidR="00FE374B" w:rsidRPr="00D042E4" w:rsidP="00FE374B" w14:paraId="1A89D667" w14:textId="23EEF0C1">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940</w:t>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cPr>
          <w:p w:rsidR="00FE374B" w:rsidRPr="00D042E4" w:rsidP="00FE374B" w14:paraId="385CEE08" w14:textId="75107C4B">
            <w:pPr>
              <w:widowControl/>
              <w:autoSpaceDE/>
              <w:autoSpaceDN/>
              <w:adjustRightInd/>
              <w:spacing w:before="20" w:after="20"/>
              <w:jc w:val="center"/>
              <w:rPr>
                <w:rFonts w:ascii="Arial Narrow" w:hAnsi="Arial Narrow" w:cs="Calibri"/>
                <w:color w:val="000000" w:themeColor="text1"/>
              </w:rPr>
            </w:pPr>
            <w:r w:rsidRPr="4414F1F3">
              <w:rPr>
                <w:rFonts w:ascii="Arial Narrow" w:hAnsi="Arial Narrow" w:cs="Calibri"/>
                <w:color w:val="000000" w:themeColor="text1"/>
              </w:rPr>
              <w:t>$1</w:t>
            </w:r>
            <w:r w:rsidRPr="4414F1F3" w:rsidR="65D50541">
              <w:rPr>
                <w:rFonts w:ascii="Arial Narrow" w:hAnsi="Arial Narrow" w:cs="Calibri"/>
                <w:color w:val="000000" w:themeColor="text1"/>
              </w:rPr>
              <w:t>38,359.00</w:t>
            </w:r>
          </w:p>
        </w:tc>
      </w:tr>
      <w:tr w14:paraId="404F0FBD" w14:textId="77777777" w:rsidTr="34BCEC76">
        <w:tblPrEx>
          <w:tblW w:w="10890" w:type="dxa"/>
          <w:jc w:val="center"/>
          <w:tblLayout w:type="fixed"/>
          <w:tblLook w:val="04A0"/>
        </w:tblPrEx>
        <w:trPr>
          <w:cantSplit/>
          <w:jc w:val="center"/>
        </w:trPr>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tcPr>
          <w:p w:rsidR="00957312" w:rsidP="00957312" w14:paraId="500BA1CB" w14:textId="77777777">
            <w:pPr>
              <w:widowControl/>
              <w:autoSpaceDE/>
              <w:autoSpaceDN/>
              <w:adjustRightInd/>
              <w:spacing w:before="20" w:after="20"/>
              <w:jc w:val="center"/>
              <w:rPr>
                <w:rFonts w:ascii="Arial Narrow" w:hAnsi="Arial Narrow"/>
                <w:b/>
                <w:color w:val="000000"/>
                <w:szCs w:val="20"/>
              </w:rPr>
            </w:pPr>
          </w:p>
        </w:tc>
        <w:tc>
          <w:tcPr>
            <w:tcW w:w="2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57312" w:rsidRPr="007721D5" w:rsidP="00957312" w14:paraId="694ADBD5" w14:textId="18E4FB68">
            <w:pPr>
              <w:widowControl/>
              <w:autoSpaceDE/>
              <w:autoSpaceDN/>
              <w:adjustRightInd/>
              <w:spacing w:before="20" w:after="20"/>
              <w:rPr>
                <w:rFonts w:ascii="Arial Narrow" w:hAnsi="Arial Narrow"/>
                <w:szCs w:val="20"/>
              </w:rPr>
            </w:pPr>
            <w:r w:rsidRPr="00DF1A4E">
              <w:rPr>
                <w:rFonts w:ascii="Arial Narrow" w:hAnsi="Arial Narrow"/>
                <w:szCs w:val="20"/>
              </w:rPr>
              <w:t>General and Operations Manager</w:t>
            </w:r>
          </w:p>
        </w:tc>
        <w:tc>
          <w:tcPr>
            <w:tcW w:w="16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rsidR="00957312" w:rsidP="00957312" w14:paraId="77E07A94" w14:textId="238D86A5">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w:t>
            </w:r>
            <w:r w:rsidRPr="0081732F">
              <w:rPr>
                <w:rFonts w:ascii="Arial Narrow" w:hAnsi="Arial Narrow" w:cs="Calibri"/>
                <w:color w:val="000000" w:themeColor="text1"/>
              </w:rPr>
              <w:t>164.6</w:t>
            </w:r>
            <w:r>
              <w:rPr>
                <w:rFonts w:ascii="Arial Narrow" w:hAnsi="Arial Narrow" w:cs="Calibri"/>
                <w:color w:val="000000" w:themeColor="text1"/>
              </w:rPr>
              <w:t>0</w:t>
            </w:r>
          </w:p>
        </w:tc>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vAlign w:val="center"/>
          </w:tcPr>
          <w:p w:rsidR="00957312" w:rsidP="00957312" w14:paraId="79CB77CC" w14:textId="268DBD7A">
            <w:pPr>
              <w:widowControl/>
              <w:autoSpaceDE/>
              <w:autoSpaceDN/>
              <w:adjustRightInd/>
              <w:spacing w:before="20" w:after="20"/>
              <w:jc w:val="center"/>
              <w:rPr>
                <w:rFonts w:ascii="Arial Narrow" w:hAnsi="Arial Narrow" w:cs="Calibri"/>
                <w:color w:val="000000"/>
                <w:szCs w:val="20"/>
              </w:rPr>
            </w:pPr>
            <w:r>
              <w:rPr>
                <w:rFonts w:ascii="Arial Narrow" w:hAnsi="Arial Narrow" w:cs="Calibri"/>
                <w:color w:val="000000"/>
                <w:szCs w:val="20"/>
              </w:rPr>
              <w:t>.3</w:t>
            </w: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tcPr>
          <w:p w:rsidR="00957312" w:rsidRPr="00232E91" w:rsidP="00957312" w14:paraId="0DBFCD04" w14:textId="6FC9DDAC">
            <w:pPr>
              <w:widowControl/>
              <w:autoSpaceDE/>
              <w:autoSpaceDN/>
              <w:adjustRightInd/>
              <w:spacing w:before="20" w:after="20"/>
              <w:jc w:val="center"/>
              <w:rPr>
                <w:rFonts w:ascii="Arial Narrow" w:hAnsi="Arial Narrow" w:cs="Calibri"/>
                <w:color w:val="000000" w:themeColor="text1"/>
                <w:szCs w:val="20"/>
              </w:rPr>
            </w:pPr>
            <w:r w:rsidRPr="00564A8F">
              <w:rPr>
                <w:rFonts w:ascii="Arial Narrow" w:hAnsi="Arial Narrow"/>
              </w:rPr>
              <w:t xml:space="preserve">$49.38 </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957312" w:rsidP="00957312" w14:paraId="1228C854" w14:textId="40CDE41A">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w:t>
            </w:r>
            <w:r w:rsidR="00095622">
              <w:rPr>
                <w:rFonts w:ascii="Arial Narrow" w:hAnsi="Arial Narrow" w:cs="Calibri"/>
                <w:color w:val="000000" w:themeColor="text1"/>
              </w:rPr>
              <w:t>5</w:t>
            </w:r>
            <w:r>
              <w:rPr>
                <w:rFonts w:ascii="Arial Narrow" w:hAnsi="Arial Narrow" w:cs="Calibri"/>
                <w:color w:val="000000" w:themeColor="text1"/>
              </w:rPr>
              <w:t>0</w:t>
            </w: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957312" w:rsidP="00957312" w14:paraId="419A08FF" w14:textId="5727E984">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75</w:t>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957312" w:rsidRPr="00957312" w:rsidP="00957312" w14:paraId="4D57E73E" w14:textId="147D4302">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w:t>
            </w:r>
            <w:r w:rsidRPr="4414F1F3" w:rsidR="3866379E">
              <w:rPr>
                <w:rFonts w:ascii="Arial Narrow" w:hAnsi="Arial Narrow"/>
              </w:rPr>
              <w:t>12,345.00</w:t>
            </w:r>
          </w:p>
        </w:tc>
      </w:tr>
      <w:tr w14:paraId="3F0AE1B6" w14:textId="79814886" w:rsidTr="00564A8F">
        <w:tblPrEx>
          <w:tblW w:w="10890" w:type="dxa"/>
          <w:jc w:val="center"/>
          <w:tblLayout w:type="fixed"/>
          <w:tblLook w:val="04A0"/>
        </w:tblPrEx>
        <w:trPr>
          <w:cantSplit/>
          <w:jc w:val="center"/>
        </w:trPr>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tcPr>
          <w:p w:rsidR="00957312" w:rsidP="00957312" w14:paraId="4423BD5F" w14:textId="77777777">
            <w:pPr>
              <w:widowControl/>
              <w:autoSpaceDE/>
              <w:autoSpaceDN/>
              <w:adjustRightInd/>
              <w:spacing w:before="20" w:after="20"/>
              <w:jc w:val="center"/>
              <w:rPr>
                <w:rFonts w:ascii="Arial Narrow" w:hAnsi="Arial Narrow"/>
                <w:b/>
                <w:color w:val="000000"/>
                <w:szCs w:val="20"/>
              </w:rPr>
            </w:pPr>
          </w:p>
        </w:tc>
        <w:tc>
          <w:tcPr>
            <w:tcW w:w="2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57312" w:rsidRPr="001B1653" w:rsidP="00564A8F" w14:paraId="2A24C3D9" w14:textId="4DD25E44">
            <w:pPr>
              <w:widowControl/>
              <w:autoSpaceDE/>
              <w:autoSpaceDN/>
              <w:adjustRightInd/>
              <w:spacing w:before="20" w:after="20"/>
              <w:rPr>
                <w:rFonts w:ascii="Arial Narrow" w:hAnsi="Arial Narrow"/>
                <w:bCs/>
                <w:color w:val="000000"/>
                <w:szCs w:val="20"/>
              </w:rPr>
            </w:pPr>
            <w:r w:rsidRPr="007721D5">
              <w:rPr>
                <w:rFonts w:ascii="Arial Narrow" w:hAnsi="Arial Narrow"/>
                <w:szCs w:val="20"/>
              </w:rPr>
              <w:t>Medical and Health Services Managers</w:t>
            </w:r>
          </w:p>
        </w:tc>
        <w:tc>
          <w:tcPr>
            <w:tcW w:w="16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rsidR="00957312" w:rsidRPr="3A23BB6B" w:rsidP="00957312" w14:paraId="6C9B0DFA" w14:textId="34A9F9B6">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w:t>
            </w:r>
            <w:r w:rsidRPr="009B1D89">
              <w:rPr>
                <w:rFonts w:ascii="Arial Narrow" w:hAnsi="Arial Narrow" w:cs="Calibri"/>
                <w:color w:val="000000" w:themeColor="text1"/>
              </w:rPr>
              <w:t>141.54</w:t>
            </w:r>
          </w:p>
        </w:tc>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vAlign w:val="center"/>
          </w:tcPr>
          <w:p w:rsidR="00957312" w:rsidP="00957312" w14:paraId="13741487" w14:textId="24805DA6">
            <w:pPr>
              <w:widowControl/>
              <w:autoSpaceDE/>
              <w:autoSpaceDN/>
              <w:adjustRightInd/>
              <w:spacing w:before="20" w:after="20"/>
              <w:jc w:val="center"/>
              <w:rPr>
                <w:rFonts w:ascii="Arial Narrow" w:hAnsi="Arial Narrow" w:cs="Calibri"/>
                <w:color w:val="000000"/>
                <w:szCs w:val="20"/>
              </w:rPr>
            </w:pPr>
            <w:r>
              <w:rPr>
                <w:rFonts w:ascii="Arial Narrow" w:hAnsi="Arial Narrow" w:cs="Calibri"/>
                <w:color w:val="000000"/>
                <w:szCs w:val="20"/>
              </w:rPr>
              <w:t>.8</w:t>
            </w: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tcPr>
          <w:p w:rsidR="00957312" w:rsidRPr="00232E91" w:rsidP="00957312" w14:paraId="67443750" w14:textId="6B956C70">
            <w:pPr>
              <w:widowControl/>
              <w:autoSpaceDE/>
              <w:autoSpaceDN/>
              <w:adjustRightInd/>
              <w:spacing w:before="20" w:after="20"/>
              <w:jc w:val="center"/>
              <w:rPr>
                <w:rFonts w:ascii="Arial Narrow" w:hAnsi="Arial Narrow" w:cs="Calibri"/>
                <w:color w:val="000000" w:themeColor="text1"/>
                <w:szCs w:val="20"/>
              </w:rPr>
            </w:pPr>
            <w:r w:rsidRPr="00564A8F">
              <w:rPr>
                <w:rFonts w:ascii="Arial Narrow" w:hAnsi="Arial Narrow"/>
              </w:rPr>
              <w:t xml:space="preserve">$113.23 </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957312" w:rsidP="00957312" w14:paraId="5E1D32B7" w14:textId="6B250D5D">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w:t>
            </w:r>
            <w:r w:rsidR="00095622">
              <w:rPr>
                <w:rFonts w:ascii="Arial Narrow" w:hAnsi="Arial Narrow" w:cs="Calibri"/>
                <w:color w:val="000000" w:themeColor="text1"/>
              </w:rPr>
              <w:t>5</w:t>
            </w:r>
            <w:r>
              <w:rPr>
                <w:rFonts w:ascii="Arial Narrow" w:hAnsi="Arial Narrow" w:cs="Calibri"/>
                <w:color w:val="000000" w:themeColor="text1"/>
              </w:rPr>
              <w:t>0</w:t>
            </w: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957312" w:rsidP="00957312" w14:paraId="514149F8" w14:textId="544DE277">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200</w:t>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957312" w:rsidRPr="00957312" w:rsidP="00957312" w14:paraId="6FC83610" w14:textId="5E6DFB4C">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$2</w:t>
            </w:r>
            <w:r w:rsidRPr="4414F1F3" w:rsidR="32463932">
              <w:rPr>
                <w:rFonts w:ascii="Arial Narrow" w:hAnsi="Arial Narrow"/>
              </w:rPr>
              <w:t>8,308.00</w:t>
            </w:r>
          </w:p>
        </w:tc>
      </w:tr>
      <w:tr w14:paraId="4F51AAC3" w14:textId="0ECF5983" w:rsidTr="00564A8F">
        <w:tblPrEx>
          <w:tblW w:w="10890" w:type="dxa"/>
          <w:jc w:val="center"/>
          <w:tblLayout w:type="fixed"/>
          <w:tblLook w:val="04A0"/>
        </w:tblPrEx>
        <w:trPr>
          <w:cantSplit/>
          <w:jc w:val="center"/>
        </w:trPr>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tcPr>
          <w:p w:rsidR="00957312" w:rsidP="00957312" w14:paraId="2D053522" w14:textId="77777777">
            <w:pPr>
              <w:widowControl/>
              <w:autoSpaceDE/>
              <w:autoSpaceDN/>
              <w:adjustRightInd/>
              <w:spacing w:before="20" w:after="20"/>
              <w:jc w:val="center"/>
              <w:rPr>
                <w:rFonts w:ascii="Arial Narrow" w:hAnsi="Arial Narrow"/>
                <w:b/>
                <w:color w:val="000000"/>
                <w:szCs w:val="20"/>
              </w:rPr>
            </w:pPr>
          </w:p>
        </w:tc>
        <w:tc>
          <w:tcPr>
            <w:tcW w:w="2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57312" w:rsidRPr="001B1653" w:rsidP="00564A8F" w14:paraId="3BD4160B" w14:textId="1A772AC6">
            <w:pPr>
              <w:widowControl/>
              <w:autoSpaceDE/>
              <w:autoSpaceDN/>
              <w:adjustRightInd/>
              <w:spacing w:before="20" w:after="20"/>
              <w:rPr>
                <w:rFonts w:ascii="Arial Narrow" w:hAnsi="Arial Narrow"/>
                <w:bCs/>
                <w:color w:val="000000"/>
                <w:szCs w:val="20"/>
              </w:rPr>
            </w:pPr>
            <w:r w:rsidRPr="007721D5">
              <w:rPr>
                <w:rFonts w:ascii="Arial Narrow" w:hAnsi="Arial Narrow"/>
                <w:szCs w:val="20"/>
              </w:rPr>
              <w:t>Medical Records and Health Information Analyst</w:t>
            </w:r>
          </w:p>
        </w:tc>
        <w:tc>
          <w:tcPr>
            <w:tcW w:w="16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rsidR="00957312" w:rsidRPr="3A23BB6B" w:rsidP="00957312" w14:paraId="0ECC03E2" w14:textId="77DD93C1">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w:t>
            </w:r>
            <w:r w:rsidRPr="009B1D89">
              <w:rPr>
                <w:rFonts w:ascii="Arial Narrow" w:hAnsi="Arial Narrow" w:cs="Calibri"/>
                <w:color w:val="000000" w:themeColor="text1"/>
              </w:rPr>
              <w:t>84.16</w:t>
            </w:r>
          </w:p>
        </w:tc>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vAlign w:val="center"/>
          </w:tcPr>
          <w:p w:rsidR="00957312" w:rsidP="00957312" w14:paraId="43BDA4AE" w14:textId="3C4E8121">
            <w:pPr>
              <w:widowControl/>
              <w:autoSpaceDE/>
              <w:autoSpaceDN/>
              <w:adjustRightInd/>
              <w:spacing w:before="20" w:after="20"/>
              <w:jc w:val="center"/>
              <w:rPr>
                <w:rFonts w:ascii="Arial Narrow" w:hAnsi="Arial Narrow" w:cs="Calibri"/>
                <w:color w:val="000000"/>
                <w:szCs w:val="20"/>
              </w:rPr>
            </w:pPr>
            <w:r>
              <w:rPr>
                <w:rFonts w:ascii="Arial Narrow" w:hAnsi="Arial Narrow" w:cs="Calibri"/>
                <w:color w:val="000000"/>
                <w:szCs w:val="20"/>
              </w:rPr>
              <w:t>.3</w:t>
            </w: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tcPr>
          <w:p w:rsidR="00957312" w:rsidRPr="00232E91" w:rsidP="00957312" w14:paraId="5D638E29" w14:textId="2ABCA5C2">
            <w:pPr>
              <w:widowControl/>
              <w:autoSpaceDE/>
              <w:autoSpaceDN/>
              <w:adjustRightInd/>
              <w:spacing w:before="20" w:after="20"/>
              <w:jc w:val="center"/>
              <w:rPr>
                <w:rFonts w:ascii="Arial Narrow" w:hAnsi="Arial Narrow" w:cs="Calibri"/>
                <w:color w:val="000000" w:themeColor="text1"/>
                <w:szCs w:val="20"/>
              </w:rPr>
            </w:pPr>
            <w:r w:rsidRPr="00564A8F">
              <w:rPr>
                <w:rFonts w:ascii="Arial Narrow" w:hAnsi="Arial Narrow"/>
              </w:rPr>
              <w:t xml:space="preserve">$25.25 </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957312" w:rsidP="00957312" w14:paraId="0BAF5DAB" w14:textId="5616C2CF">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w:t>
            </w:r>
            <w:r w:rsidR="00095622">
              <w:rPr>
                <w:rFonts w:ascii="Arial Narrow" w:hAnsi="Arial Narrow" w:cs="Calibri"/>
                <w:color w:val="000000" w:themeColor="text1"/>
              </w:rPr>
              <w:t>5</w:t>
            </w:r>
            <w:r>
              <w:rPr>
                <w:rFonts w:ascii="Arial Narrow" w:hAnsi="Arial Narrow" w:cs="Calibri"/>
                <w:color w:val="000000" w:themeColor="text1"/>
              </w:rPr>
              <w:t>0</w:t>
            </w: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957312" w:rsidP="00957312" w14:paraId="29D37144" w14:textId="575CB6F8">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75</w:t>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957312" w:rsidRPr="00957312" w:rsidP="00957312" w14:paraId="43A9AC63" w14:textId="222FC3FE">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w:t>
            </w:r>
            <w:r w:rsidRPr="4414F1F3" w:rsidR="26787C67">
              <w:rPr>
                <w:rFonts w:ascii="Arial Narrow" w:hAnsi="Arial Narrow"/>
              </w:rPr>
              <w:t>6,312.00</w:t>
            </w:r>
          </w:p>
        </w:tc>
      </w:tr>
      <w:tr w14:paraId="6DECD66F" w14:textId="139B8C39" w:rsidTr="00564A8F">
        <w:tblPrEx>
          <w:tblW w:w="10890" w:type="dxa"/>
          <w:jc w:val="center"/>
          <w:tblLayout w:type="fixed"/>
          <w:tblLook w:val="04A0"/>
        </w:tblPrEx>
        <w:trPr>
          <w:cantSplit/>
          <w:jc w:val="center"/>
        </w:trPr>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tcPr>
          <w:p w:rsidR="00957312" w:rsidP="00957312" w14:paraId="55C2C509" w14:textId="77777777">
            <w:pPr>
              <w:widowControl/>
              <w:autoSpaceDE/>
              <w:autoSpaceDN/>
              <w:adjustRightInd/>
              <w:spacing w:before="20" w:after="20"/>
              <w:jc w:val="center"/>
              <w:rPr>
                <w:rFonts w:ascii="Arial Narrow" w:hAnsi="Arial Narrow"/>
                <w:b/>
                <w:color w:val="000000"/>
                <w:szCs w:val="20"/>
              </w:rPr>
            </w:pPr>
          </w:p>
        </w:tc>
        <w:tc>
          <w:tcPr>
            <w:tcW w:w="2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57312" w:rsidRPr="001B1653" w:rsidP="00564A8F" w14:paraId="2C0DC8C1" w14:textId="68B0C020">
            <w:pPr>
              <w:widowControl/>
              <w:autoSpaceDE/>
              <w:autoSpaceDN/>
              <w:adjustRightInd/>
              <w:spacing w:before="20" w:after="20"/>
              <w:rPr>
                <w:rFonts w:ascii="Arial Narrow" w:hAnsi="Arial Narrow"/>
                <w:bCs/>
                <w:color w:val="000000"/>
                <w:szCs w:val="20"/>
              </w:rPr>
            </w:pPr>
            <w:r w:rsidRPr="007721D5">
              <w:rPr>
                <w:rFonts w:ascii="Arial Narrow" w:hAnsi="Arial Narrow"/>
                <w:szCs w:val="20"/>
              </w:rPr>
              <w:t>Business Operations Specialist, Other</w:t>
            </w:r>
          </w:p>
        </w:tc>
        <w:tc>
          <w:tcPr>
            <w:tcW w:w="16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rsidR="00957312" w:rsidRPr="3A23BB6B" w:rsidP="00957312" w14:paraId="27DB6FD4" w14:textId="0A7A4EC0">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w:t>
            </w:r>
            <w:r w:rsidRPr="00554104">
              <w:rPr>
                <w:rFonts w:ascii="Arial Narrow" w:hAnsi="Arial Narrow" w:cs="Calibri"/>
                <w:color w:val="000000" w:themeColor="text1"/>
              </w:rPr>
              <w:t>80.24</w:t>
            </w:r>
          </w:p>
        </w:tc>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vAlign w:val="center"/>
          </w:tcPr>
          <w:p w:rsidR="00957312" w:rsidP="00957312" w14:paraId="285DD815" w14:textId="1D7EA9D0">
            <w:pPr>
              <w:widowControl/>
              <w:autoSpaceDE/>
              <w:autoSpaceDN/>
              <w:adjustRightInd/>
              <w:spacing w:before="20" w:after="20"/>
              <w:jc w:val="center"/>
              <w:rPr>
                <w:rFonts w:ascii="Arial Narrow" w:hAnsi="Arial Narrow" w:cs="Calibri"/>
                <w:color w:val="000000"/>
                <w:szCs w:val="20"/>
              </w:rPr>
            </w:pPr>
            <w:r>
              <w:rPr>
                <w:rFonts w:ascii="Arial Narrow" w:hAnsi="Arial Narrow" w:cs="Calibri"/>
                <w:color w:val="000000"/>
                <w:szCs w:val="20"/>
              </w:rPr>
              <w:t>2.5</w:t>
            </w: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tcPr>
          <w:p w:rsidR="00957312" w:rsidRPr="00232E91" w:rsidP="00957312" w14:paraId="33375CB8" w14:textId="1F454F6E">
            <w:pPr>
              <w:widowControl/>
              <w:autoSpaceDE/>
              <w:autoSpaceDN/>
              <w:adjustRightInd/>
              <w:spacing w:before="20" w:after="20"/>
              <w:jc w:val="center"/>
              <w:rPr>
                <w:rFonts w:ascii="Arial Narrow" w:hAnsi="Arial Narrow" w:cs="Calibri"/>
                <w:color w:val="000000" w:themeColor="text1"/>
                <w:szCs w:val="20"/>
              </w:rPr>
            </w:pPr>
            <w:r w:rsidRPr="00564A8F">
              <w:rPr>
                <w:rFonts w:ascii="Arial Narrow" w:hAnsi="Arial Narrow"/>
              </w:rPr>
              <w:t xml:space="preserve">$200.60 </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957312" w:rsidP="00957312" w14:paraId="152022C2" w14:textId="04AFFEE6">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w:t>
            </w:r>
            <w:r w:rsidR="00095622">
              <w:rPr>
                <w:rFonts w:ascii="Arial Narrow" w:hAnsi="Arial Narrow" w:cs="Calibri"/>
                <w:color w:val="000000" w:themeColor="text1"/>
              </w:rPr>
              <w:t>5</w:t>
            </w:r>
            <w:r>
              <w:rPr>
                <w:rFonts w:ascii="Arial Narrow" w:hAnsi="Arial Narrow" w:cs="Calibri"/>
                <w:color w:val="000000" w:themeColor="text1"/>
              </w:rPr>
              <w:t>0</w:t>
            </w: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957312" w:rsidP="00957312" w14:paraId="20E02DB4" w14:textId="23406BA1">
            <w:pPr>
              <w:widowControl/>
              <w:autoSpaceDE/>
              <w:autoSpaceDN/>
              <w:adjustRightInd/>
              <w:spacing w:before="20" w:after="20"/>
              <w:jc w:val="center"/>
              <w:rPr>
                <w:rFonts w:ascii="Arial Narrow" w:hAnsi="Arial Narrow" w:cs="Calibri"/>
                <w:color w:val="000000" w:themeColor="text1"/>
              </w:rPr>
            </w:pPr>
            <w:r w:rsidRPr="6031C467">
              <w:rPr>
                <w:rFonts w:ascii="Arial Narrow" w:hAnsi="Arial Narrow" w:cs="Calibri"/>
                <w:color w:val="000000" w:themeColor="text1"/>
              </w:rPr>
              <w:t>625</w:t>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957312" w:rsidRPr="00957312" w:rsidP="00957312" w14:paraId="515F1204" w14:textId="75B73A1A">
            <w:pPr>
              <w:widowControl/>
              <w:autoSpaceDE/>
              <w:autoSpaceDN/>
              <w:adjustRightInd/>
              <w:spacing w:before="20" w:after="20"/>
              <w:jc w:val="center"/>
              <w:rPr>
                <w:rFonts w:ascii="Arial Narrow" w:hAnsi="Arial Narrow" w:cs="Calibri"/>
                <w:color w:val="000000" w:themeColor="text1"/>
              </w:rPr>
            </w:pPr>
            <w:r w:rsidRPr="00564A8F">
              <w:rPr>
                <w:rFonts w:ascii="Arial Narrow" w:hAnsi="Arial Narrow"/>
              </w:rPr>
              <w:t>$</w:t>
            </w:r>
            <w:r w:rsidRPr="4414F1F3" w:rsidR="41FA7AFF">
              <w:rPr>
                <w:rFonts w:ascii="Arial Narrow" w:hAnsi="Arial Narrow"/>
              </w:rPr>
              <w:t>5</w:t>
            </w:r>
            <w:r w:rsidRPr="00564A8F">
              <w:rPr>
                <w:rFonts w:ascii="Arial Narrow" w:hAnsi="Arial Narrow"/>
              </w:rPr>
              <w:t>0,1</w:t>
            </w:r>
            <w:r w:rsidRPr="4414F1F3" w:rsidR="58AD9A15">
              <w:rPr>
                <w:rFonts w:ascii="Arial Narrow" w:hAnsi="Arial Narrow"/>
              </w:rPr>
              <w:t>5</w:t>
            </w:r>
            <w:r w:rsidRPr="00564A8F">
              <w:rPr>
                <w:rFonts w:ascii="Arial Narrow" w:hAnsi="Arial Narrow"/>
              </w:rPr>
              <w:t xml:space="preserve">0.00 </w:t>
            </w:r>
          </w:p>
        </w:tc>
      </w:tr>
      <w:tr w14:paraId="66008991" w14:textId="77777777" w:rsidTr="34BCEC76">
        <w:tblPrEx>
          <w:tblW w:w="10890" w:type="dxa"/>
          <w:jc w:val="center"/>
          <w:tblLayout w:type="fixed"/>
          <w:tblLook w:val="04A0"/>
        </w:tblPrEx>
        <w:trPr>
          <w:cantSplit/>
          <w:jc w:val="center"/>
        </w:trPr>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tcPr>
          <w:p w:rsidR="00D042E4" w:rsidP="00FE374B" w14:paraId="2D0AC87F" w14:textId="77777777">
            <w:pPr>
              <w:widowControl/>
              <w:autoSpaceDE/>
              <w:autoSpaceDN/>
              <w:adjustRightInd/>
              <w:spacing w:before="20" w:after="20"/>
              <w:jc w:val="center"/>
              <w:rPr>
                <w:rFonts w:ascii="Arial Narrow" w:hAnsi="Arial Narrow"/>
                <w:b/>
                <w:color w:val="000000"/>
                <w:szCs w:val="20"/>
              </w:rPr>
            </w:pPr>
          </w:p>
        </w:tc>
        <w:tc>
          <w:tcPr>
            <w:tcW w:w="2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042E4" w:rsidRPr="007721D5" w:rsidP="00FE374B" w14:paraId="11BA71B4" w14:textId="36A6315E">
            <w:pPr>
              <w:widowControl/>
              <w:autoSpaceDE/>
              <w:autoSpaceDN/>
              <w:adjustRightInd/>
              <w:spacing w:before="20" w:after="20"/>
              <w:rPr>
                <w:rFonts w:ascii="Arial Narrow" w:hAnsi="Arial Narrow"/>
                <w:szCs w:val="20"/>
              </w:rPr>
            </w:pPr>
            <w:r>
              <w:rPr>
                <w:rFonts w:ascii="Arial Narrow" w:hAnsi="Arial Narrow"/>
                <w:szCs w:val="20"/>
              </w:rPr>
              <w:t>Medical Director</w:t>
            </w:r>
          </w:p>
        </w:tc>
        <w:tc>
          <w:tcPr>
            <w:tcW w:w="16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rsidR="00D042E4" w:rsidP="00FE374B" w14:paraId="38A8B765" w14:textId="4F01ACEE">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$206.22</w:t>
            </w:r>
          </w:p>
        </w:tc>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vAlign w:val="center"/>
          </w:tcPr>
          <w:p w:rsidR="00D042E4" w:rsidP="00FE374B" w14:paraId="3B906F97" w14:textId="73FBB603">
            <w:pPr>
              <w:widowControl/>
              <w:autoSpaceDE/>
              <w:autoSpaceDN/>
              <w:adjustRightInd/>
              <w:spacing w:before="20" w:after="20"/>
              <w:jc w:val="center"/>
              <w:rPr>
                <w:rFonts w:ascii="Arial Narrow" w:hAnsi="Arial Narrow" w:cs="Calibri"/>
                <w:color w:val="000000"/>
                <w:szCs w:val="20"/>
              </w:rPr>
            </w:pPr>
            <w:r>
              <w:rPr>
                <w:rFonts w:ascii="Arial Narrow" w:hAnsi="Arial Narrow" w:cs="Calibri"/>
                <w:color w:val="000000"/>
                <w:szCs w:val="20"/>
              </w:rPr>
              <w:t>.8</w:t>
            </w: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vAlign w:val="center"/>
          </w:tcPr>
          <w:p w:rsidR="00D042E4" w:rsidP="00FE374B" w14:paraId="2F15BBCA" w14:textId="14DB07F4">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$164.98</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D042E4" w:rsidP="00FE374B" w14:paraId="6FD1F63E" w14:textId="2439B915">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2</w:t>
            </w:r>
            <w:r w:rsidR="00095622">
              <w:rPr>
                <w:rFonts w:ascii="Arial Narrow" w:hAnsi="Arial Narrow" w:cs="Calibri"/>
                <w:color w:val="000000" w:themeColor="text1"/>
              </w:rPr>
              <w:t>5</w:t>
            </w:r>
            <w:r>
              <w:rPr>
                <w:rFonts w:ascii="Arial Narrow" w:hAnsi="Arial Narrow" w:cs="Calibri"/>
                <w:color w:val="000000" w:themeColor="text1"/>
              </w:rPr>
              <w:t>0</w:t>
            </w: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D042E4" w:rsidP="00FE374B" w14:paraId="64E09BC3" w14:textId="5EF1E06A">
            <w:pPr>
              <w:widowControl/>
              <w:autoSpaceDE/>
              <w:autoSpaceDN/>
              <w:adjustRightInd/>
              <w:spacing w:before="20" w:after="20"/>
              <w:jc w:val="center"/>
              <w:rPr>
                <w:rFonts w:ascii="Arial Narrow" w:hAnsi="Arial Narrow" w:cs="Calibri"/>
                <w:color w:val="000000" w:themeColor="text1"/>
              </w:rPr>
            </w:pPr>
            <w:r>
              <w:rPr>
                <w:rFonts w:ascii="Arial Narrow" w:hAnsi="Arial Narrow" w:cs="Calibri"/>
                <w:color w:val="000000" w:themeColor="text1"/>
              </w:rPr>
              <w:t>160</w:t>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D042E4" w:rsidP="00FE374B" w14:paraId="17C46FC5" w14:textId="113CFE9E">
            <w:pPr>
              <w:widowControl/>
              <w:autoSpaceDE/>
              <w:autoSpaceDN/>
              <w:adjustRightInd/>
              <w:spacing w:before="20" w:after="20"/>
              <w:jc w:val="center"/>
              <w:rPr>
                <w:rFonts w:ascii="Arial Narrow" w:hAnsi="Arial Narrow" w:cs="Calibri"/>
                <w:color w:val="000000" w:themeColor="text1"/>
              </w:rPr>
            </w:pPr>
            <w:r w:rsidRPr="4414F1F3">
              <w:rPr>
                <w:rFonts w:ascii="Arial Narrow" w:hAnsi="Arial Narrow" w:cs="Calibri"/>
                <w:color w:val="000000" w:themeColor="text1"/>
              </w:rPr>
              <w:t>$</w:t>
            </w:r>
            <w:r w:rsidRPr="4414F1F3" w:rsidR="3DBBABF6">
              <w:rPr>
                <w:rFonts w:ascii="Arial Narrow" w:hAnsi="Arial Narrow" w:cs="Calibri"/>
                <w:color w:val="000000" w:themeColor="text1"/>
              </w:rPr>
              <w:t>41,244.00</w:t>
            </w:r>
          </w:p>
        </w:tc>
      </w:tr>
      <w:tr w14:paraId="31DA80CD" w14:textId="1ABC506B" w:rsidTr="00564A8F">
        <w:tblPrEx>
          <w:tblW w:w="10890" w:type="dxa"/>
          <w:jc w:val="center"/>
          <w:tblLayout w:type="fixed"/>
          <w:tblLook w:val="04A0"/>
        </w:tblPrEx>
        <w:trPr>
          <w:cantSplit/>
          <w:jc w:val="center"/>
        </w:trPr>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vAlign w:val="center"/>
          </w:tcPr>
          <w:p w:rsidR="00FE374B" w:rsidRPr="00F35386" w:rsidP="00FE374B" w14:paraId="2116B70E" w14:textId="77777777">
            <w:pPr>
              <w:widowControl/>
              <w:autoSpaceDE/>
              <w:autoSpaceDN/>
              <w:adjustRightInd/>
              <w:spacing w:before="20" w:after="20"/>
              <w:jc w:val="center"/>
              <w:rPr>
                <w:rFonts w:ascii="Arial Narrow" w:hAnsi="Arial Narrow"/>
                <w:b/>
                <w:color w:val="000000"/>
                <w:szCs w:val="20"/>
              </w:rPr>
            </w:pPr>
          </w:p>
        </w:tc>
        <w:tc>
          <w:tcPr>
            <w:tcW w:w="2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FE374B" w:rsidRPr="00312178" w:rsidP="00FE374B" w14:paraId="7F7961EF" w14:textId="4F4C0D9E">
            <w:pPr>
              <w:widowControl/>
              <w:autoSpaceDE/>
              <w:autoSpaceDN/>
              <w:adjustRightInd/>
              <w:spacing w:before="20" w:after="20"/>
              <w:rPr>
                <w:rFonts w:ascii="Arial Narrow" w:hAnsi="Arial Narrow"/>
                <w:b/>
                <w:bCs/>
                <w:color w:val="000000"/>
                <w:szCs w:val="20"/>
              </w:rPr>
            </w:pPr>
            <w:r>
              <w:rPr>
                <w:rFonts w:ascii="Arial Narrow" w:hAnsi="Arial Narrow"/>
                <w:b/>
                <w:bCs/>
                <w:color w:val="000000"/>
                <w:szCs w:val="20"/>
              </w:rPr>
              <w:t>Reporting Year Total</w:t>
            </w:r>
          </w:p>
        </w:tc>
        <w:tc>
          <w:tcPr>
            <w:tcW w:w="16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rsidR="00FE374B" w:rsidRPr="00E84A02" w:rsidP="00FE374B" w14:paraId="6EAF0376" w14:textId="554B720C">
            <w:pPr>
              <w:widowControl/>
              <w:autoSpaceDE/>
              <w:autoSpaceDN/>
              <w:adjustRightInd/>
              <w:spacing w:before="20" w:after="20"/>
              <w:jc w:val="center"/>
              <w:rPr>
                <w:rFonts w:ascii="Arial Narrow" w:hAnsi="Arial Narrow"/>
                <w:b/>
                <w:color w:val="000000"/>
                <w:szCs w:val="20"/>
              </w:rPr>
            </w:pPr>
            <w:r w:rsidRPr="0039105A">
              <w:rPr>
                <w:rFonts w:ascii="Arial Narrow" w:hAnsi="Arial Narrow" w:cs="Calibri"/>
                <w:b/>
                <w:bCs/>
                <w:color w:val="FFFFFF" w:themeColor="background1"/>
                <w:szCs w:val="20"/>
              </w:rPr>
              <w:t>-</w:t>
            </w:r>
          </w:p>
        </w:tc>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vAlign w:val="center"/>
          </w:tcPr>
          <w:p w:rsidR="00FE374B" w:rsidRPr="00E84A02" w:rsidP="00FE374B" w14:paraId="4B24A699" w14:textId="6C00C0F2">
            <w:pPr>
              <w:widowControl/>
              <w:autoSpaceDE/>
              <w:autoSpaceDN/>
              <w:adjustRightInd/>
              <w:spacing w:before="20" w:after="20"/>
              <w:jc w:val="center"/>
              <w:rPr>
                <w:rFonts w:ascii="Arial Narrow" w:hAnsi="Arial Narrow"/>
                <w:b/>
                <w:bCs/>
                <w:color w:val="000000"/>
                <w:szCs w:val="20"/>
              </w:rPr>
            </w:pPr>
            <w:r>
              <w:rPr>
                <w:rFonts w:ascii="Arial Narrow" w:hAnsi="Arial Narrow" w:cs="Calibri"/>
                <w:b/>
                <w:bCs/>
                <w:szCs w:val="20"/>
              </w:rPr>
              <w:t>18</w:t>
            </w: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noWrap/>
            <w:vAlign w:val="center"/>
          </w:tcPr>
          <w:p w:rsidR="00FE374B" w:rsidRPr="00E84A02" w:rsidP="00FE374B" w14:paraId="5818289A" w14:textId="73F7040A">
            <w:pPr>
              <w:widowControl/>
              <w:autoSpaceDE/>
              <w:autoSpaceDN/>
              <w:adjustRightInd/>
              <w:spacing w:before="20" w:after="20"/>
              <w:jc w:val="center"/>
              <w:rPr>
                <w:rFonts w:ascii="Arial Narrow" w:hAnsi="Arial Narrow"/>
                <w:b/>
                <w:bCs/>
                <w:color w:val="000000"/>
              </w:rPr>
            </w:pPr>
            <w:r w:rsidRPr="3A23BB6B">
              <w:rPr>
                <w:rFonts w:ascii="Arial Narrow" w:hAnsi="Arial Narrow" w:cs="Calibri"/>
                <w:b/>
                <w:bCs/>
                <w:color w:val="000000" w:themeColor="text1"/>
              </w:rPr>
              <w:t>$</w:t>
            </w:r>
            <w:r w:rsidR="008526B7">
              <w:rPr>
                <w:rFonts w:ascii="Arial Narrow" w:hAnsi="Arial Narrow" w:cs="Calibri"/>
                <w:b/>
                <w:bCs/>
                <w:color w:val="000000" w:themeColor="text1"/>
              </w:rPr>
              <w:t>1670.03</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FE374B" w:rsidRPr="3A23BB6B" w:rsidP="00FE374B" w14:paraId="5185B007" w14:textId="3D8751A9">
            <w:pPr>
              <w:widowControl/>
              <w:autoSpaceDE/>
              <w:autoSpaceDN/>
              <w:adjustRightInd/>
              <w:spacing w:before="20" w:after="20"/>
              <w:jc w:val="center"/>
              <w:rPr>
                <w:rFonts w:ascii="Arial Narrow" w:hAnsi="Arial Narrow" w:cs="Calibri"/>
                <w:b/>
                <w:bCs/>
                <w:color w:val="000000" w:themeColor="text1"/>
              </w:rPr>
            </w:pPr>
            <w:r>
              <w:rPr>
                <w:rFonts w:ascii="Arial Narrow" w:hAnsi="Arial Narrow" w:cs="Calibri"/>
                <w:b/>
                <w:bCs/>
                <w:color w:val="000000" w:themeColor="text1"/>
              </w:rPr>
              <w:t>2</w:t>
            </w:r>
            <w:r w:rsidR="00095622">
              <w:rPr>
                <w:rFonts w:ascii="Arial Narrow" w:hAnsi="Arial Narrow" w:cs="Calibri"/>
                <w:b/>
                <w:bCs/>
                <w:color w:val="000000" w:themeColor="text1"/>
              </w:rPr>
              <w:t>5</w:t>
            </w:r>
            <w:r>
              <w:rPr>
                <w:rFonts w:ascii="Arial Narrow" w:hAnsi="Arial Narrow" w:cs="Calibri"/>
                <w:b/>
                <w:bCs/>
                <w:color w:val="000000" w:themeColor="text1"/>
              </w:rPr>
              <w:t>0</w:t>
            </w: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FE374B" w:rsidRPr="3A23BB6B" w:rsidP="00FE374B" w14:paraId="01E6696B" w14:textId="765F41E3">
            <w:pPr>
              <w:widowControl/>
              <w:autoSpaceDE/>
              <w:autoSpaceDN/>
              <w:adjustRightInd/>
              <w:spacing w:before="20" w:after="20"/>
              <w:jc w:val="center"/>
              <w:rPr>
                <w:rFonts w:ascii="Arial Narrow" w:hAnsi="Arial Narrow" w:cs="Calibri"/>
                <w:b/>
                <w:bCs/>
                <w:color w:val="000000" w:themeColor="text1"/>
              </w:rPr>
            </w:pPr>
            <w:r>
              <w:rPr>
                <w:rFonts w:ascii="Arial Narrow" w:hAnsi="Arial Narrow" w:cs="Calibri"/>
                <w:b/>
                <w:bCs/>
                <w:color w:val="000000" w:themeColor="text1"/>
              </w:rPr>
              <w:t>3620</w:t>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FE374B" w:rsidRPr="3A23BB6B" w:rsidP="00FE374B" w14:paraId="4565E4EC" w14:textId="36C63FFC">
            <w:pPr>
              <w:widowControl/>
              <w:autoSpaceDE/>
              <w:autoSpaceDN/>
              <w:adjustRightInd/>
              <w:spacing w:before="20" w:after="20"/>
              <w:jc w:val="center"/>
              <w:rPr>
                <w:rFonts w:ascii="Arial Narrow" w:hAnsi="Arial Narrow" w:cs="Calibri"/>
                <w:b/>
                <w:bCs/>
                <w:color w:val="000000" w:themeColor="text1"/>
              </w:rPr>
            </w:pPr>
            <w:r w:rsidRPr="4414F1F3">
              <w:rPr>
                <w:rFonts w:ascii="Arial Narrow" w:hAnsi="Arial Narrow" w:cs="Calibri"/>
                <w:b/>
                <w:bCs/>
                <w:color w:val="000000" w:themeColor="text1"/>
              </w:rPr>
              <w:t>$</w:t>
            </w:r>
            <w:r w:rsidRPr="4414F1F3" w:rsidR="2EE6E60F">
              <w:rPr>
                <w:rFonts w:ascii="Arial Narrow" w:hAnsi="Arial Narrow" w:cs="Calibri"/>
                <w:b/>
                <w:bCs/>
                <w:color w:val="000000" w:themeColor="text1"/>
              </w:rPr>
              <w:t>417,507.00</w:t>
            </w:r>
          </w:p>
        </w:tc>
      </w:tr>
    </w:tbl>
    <w:p w:rsidR="00274A40" w:rsidP="00695197" w14:paraId="67915CCC" w14:textId="77777777">
      <w:pPr>
        <w:pStyle w:val="BodyText"/>
      </w:pPr>
    </w:p>
    <w:p w:rsidR="000313B0" w:rsidP="00695197" w14:paraId="51CB2368" w14:textId="6E918807">
      <w:pPr>
        <w:pStyle w:val="BodyText"/>
      </w:pPr>
      <w:r>
        <w:t xml:space="preserve">For </w:t>
      </w:r>
      <w:r w:rsidR="00A7469A">
        <w:t xml:space="preserve">a new </w:t>
      </w:r>
      <w:r>
        <w:t xml:space="preserve">issuer, the burden to collect and report information for </w:t>
      </w:r>
      <w:r w:rsidR="006D309A">
        <w:t xml:space="preserve">its </w:t>
      </w:r>
      <w:r>
        <w:t xml:space="preserve">QIS for three years is estimated to take approximately </w:t>
      </w:r>
      <w:r w:rsidR="001B1653">
        <w:t xml:space="preserve">80 </w:t>
      </w:r>
      <w:r>
        <w:t>hours and cost approximately $</w:t>
      </w:r>
      <w:r w:rsidR="005045B6">
        <w:t>7,47</w:t>
      </w:r>
      <w:r w:rsidR="7591625F">
        <w:t>2</w:t>
      </w:r>
      <w:r w:rsidR="0090271A">
        <w:t>.</w:t>
      </w:r>
      <w:r>
        <w:t xml:space="preserve"> </w:t>
      </w:r>
      <w:r w:rsidR="00CC7513">
        <w:t>This assumes</w:t>
      </w:r>
      <w:r w:rsidR="00A7469A">
        <w:t xml:space="preserve"> those</w:t>
      </w:r>
      <w:r w:rsidR="00CC7513">
        <w:t xml:space="preserve"> issuers submit one Implementation Plan form and two Progress Report forms during the three</w:t>
      </w:r>
      <w:r w:rsidR="001B1653">
        <w:t>-</w:t>
      </w:r>
      <w:r w:rsidR="00CC7513">
        <w:t>year period.</w:t>
      </w:r>
    </w:p>
    <w:p w:rsidR="000313B0" w:rsidRPr="00E42A3C" w:rsidP="6031C467" w14:paraId="7CCF61D8" w14:textId="39D2A5FA">
      <w:pPr>
        <w:pStyle w:val="BodyText"/>
        <w:rPr>
          <w:highlight w:val="yellow"/>
        </w:rPr>
      </w:pPr>
      <w:r>
        <w:t>For an existing issuer, the burden to collect and report information for its QIS for three years is estimated to take approximately 5</w:t>
      </w:r>
      <w:r w:rsidR="53329313">
        <w:t>4</w:t>
      </w:r>
      <w:r>
        <w:t xml:space="preserve"> hours and cost approximately $</w:t>
      </w:r>
      <w:r w:rsidR="1D173A99">
        <w:t>5</w:t>
      </w:r>
      <w:r w:rsidR="178ADE59">
        <w:t>,</w:t>
      </w:r>
      <w:r w:rsidR="1D173A99">
        <w:t>010</w:t>
      </w:r>
      <w:r w:rsidR="20392DE4">
        <w:t>.</w:t>
      </w:r>
      <w:r>
        <w:t xml:space="preserve"> This assumes those issuers submit three Progress Report forms during the three-year period</w:t>
      </w:r>
      <w:r w:rsidR="21D1421F">
        <w:t xml:space="preserve">, and Modification Summary Supplement forms, if </w:t>
      </w:r>
      <w:r w:rsidR="04EBCCED">
        <w:t>necessary. For</w:t>
      </w:r>
      <w:r w:rsidR="31C12005">
        <w:t xml:space="preserve"> </w:t>
      </w:r>
      <w:r w:rsidR="3E480435">
        <w:t xml:space="preserve">the projected </w:t>
      </w:r>
      <w:r w:rsidR="1B4ECB74">
        <w:t>50</w:t>
      </w:r>
      <w:r w:rsidR="3E480435">
        <w:t xml:space="preserve"> new</w:t>
      </w:r>
      <w:r w:rsidR="31C12005">
        <w:t xml:space="preserve"> issuers </w:t>
      </w:r>
      <w:r w:rsidR="3E480435">
        <w:t>(</w:t>
      </w:r>
      <w:r w:rsidR="52BB1081">
        <w:t>i.e.,</w:t>
      </w:r>
      <w:r w:rsidR="3E480435">
        <w:t xml:space="preserve"> 20% of all eligible issuers)</w:t>
      </w:r>
      <w:r w:rsidR="31C12005">
        <w:t xml:space="preserve">, the burden to collect and report information for </w:t>
      </w:r>
      <w:r w:rsidR="64D567D4">
        <w:t xml:space="preserve">their quality improvement strategies </w:t>
      </w:r>
      <w:r w:rsidR="31C12005">
        <w:t xml:space="preserve">for one </w:t>
      </w:r>
      <w:r w:rsidR="77BDDC2D">
        <w:t xml:space="preserve">implementation </w:t>
      </w:r>
      <w:r w:rsidR="31C12005">
        <w:t xml:space="preserve">year is estimated to take approximately </w:t>
      </w:r>
      <w:r w:rsidR="3E480435">
        <w:t>2</w:t>
      </w:r>
      <w:r w:rsidR="3D780379">
        <w:t>,</w:t>
      </w:r>
      <w:r w:rsidR="3E480435">
        <w:t>2</w:t>
      </w:r>
      <w:r w:rsidR="4356DED5">
        <w:t>1</w:t>
      </w:r>
      <w:r w:rsidR="3D780379">
        <w:t>0</w:t>
      </w:r>
      <w:r w:rsidR="31C12005">
        <w:t xml:space="preserve"> hours and cost approximately $</w:t>
      </w:r>
      <w:r w:rsidR="6D152DF0">
        <w:t>206,582</w:t>
      </w:r>
      <w:r w:rsidR="20392DE4">
        <w:t>.</w:t>
      </w:r>
      <w:r w:rsidR="1ECD1D2B">
        <w:t xml:space="preserve"> T</w:t>
      </w:r>
      <w:r w:rsidR="31C12005">
        <w:t xml:space="preserve">he burden to collect and report information for </w:t>
      </w:r>
      <w:r w:rsidR="1ECD1D2B">
        <w:t>all</w:t>
      </w:r>
      <w:r w:rsidR="63850C3A">
        <w:t xml:space="preserve"> 250</w:t>
      </w:r>
      <w:r w:rsidR="1ECD1D2B">
        <w:t xml:space="preserve"> issuers’</w:t>
      </w:r>
      <w:r w:rsidR="64D567D4">
        <w:t xml:space="preserve"> quality improvement strategies </w:t>
      </w:r>
      <w:r w:rsidR="31C12005">
        <w:t xml:space="preserve">for </w:t>
      </w:r>
      <w:r w:rsidR="323AB0C8">
        <w:t xml:space="preserve">one progress report </w:t>
      </w:r>
      <w:r w:rsidR="31C12005">
        <w:t xml:space="preserve">year </w:t>
      </w:r>
      <w:r w:rsidR="323AB0C8">
        <w:t>is estimated to take approximately 4,500 hours and cost approximately $</w:t>
      </w:r>
      <w:r w:rsidR="2CAF8434">
        <w:t>417,507</w:t>
      </w:r>
      <w:r w:rsidR="20392DE4">
        <w:t>.</w:t>
      </w:r>
      <w:r w:rsidR="323AB0C8">
        <w:t xml:space="preserve"> </w:t>
      </w:r>
      <w:r w:rsidRPr="00564A8F" w:rsidR="63850C3A">
        <w:t>Total burden for all 250 issuers to collect and report information for their quality improvement strategies for three years is estimated to take approximately 14,8</w:t>
      </w:r>
      <w:r w:rsidRPr="00564A8F" w:rsidR="1A7E18A2">
        <w:t>8</w:t>
      </w:r>
      <w:r w:rsidRPr="00564A8F" w:rsidR="63850C3A">
        <w:t>0 hours and cost approximately $</w:t>
      </w:r>
      <w:r w:rsidRPr="00564A8F" w:rsidR="0A684BB6">
        <w:t>1,375,602</w:t>
      </w:r>
      <w:r w:rsidRPr="00564A8F" w:rsidR="06D24618">
        <w:t xml:space="preserve"> </w:t>
      </w:r>
      <w:r w:rsidRPr="00564A8F" w:rsidR="230F2374">
        <w:t>(</w:t>
      </w:r>
      <w:r w:rsidRPr="00564A8F" w:rsidR="509A0C1C">
        <w:t>assuming</w:t>
      </w:r>
      <w:r w:rsidRPr="00564A8F" w:rsidR="323AB0C8">
        <w:t xml:space="preserve"> one implementation </w:t>
      </w:r>
      <w:r w:rsidRPr="00564A8F" w:rsidR="323AB0C8">
        <w:t>year and two years</w:t>
      </w:r>
      <w:r w:rsidRPr="00564A8F" w:rsidR="598D2C1B">
        <w:t xml:space="preserve"> of reporting progress</w:t>
      </w:r>
      <w:r w:rsidRPr="00564A8F" w:rsidR="06D24618">
        <w:t xml:space="preserve"> for new issuers</w:t>
      </w:r>
      <w:r w:rsidRPr="00564A8F" w:rsidR="230F2374">
        <w:t>,</w:t>
      </w:r>
      <w:r w:rsidRPr="00564A8F" w:rsidR="06D24618">
        <w:t xml:space="preserve"> and </w:t>
      </w:r>
      <w:r w:rsidRPr="00564A8F" w:rsidR="52BB1081">
        <w:t xml:space="preserve">three years of reporting progress for existing </w:t>
      </w:r>
      <w:r w:rsidRPr="00564A8F" w:rsidR="04EBCCED">
        <w:t>issuers</w:t>
      </w:r>
      <w:r w:rsidRPr="00564A8F" w:rsidR="230F2374">
        <w:t>)</w:t>
      </w:r>
      <w:r w:rsidRPr="00564A8F" w:rsidR="2D61A7B4">
        <w:t>.</w:t>
      </w:r>
    </w:p>
    <w:p w:rsidR="00E3734B" w:rsidRPr="00E3734B" w:rsidP="00695197" w14:paraId="3AE983FF" w14:textId="77777777">
      <w:pPr>
        <w:pStyle w:val="Heading4"/>
      </w:pPr>
      <w:r w:rsidRPr="00E3734B">
        <w:t xml:space="preserve">Additional Burden Estimate </w:t>
      </w:r>
      <w:r>
        <w:t>Information</w:t>
      </w:r>
      <w:r w:rsidRPr="00E3734B">
        <w:t xml:space="preserve"> </w:t>
      </w:r>
    </w:p>
    <w:p w:rsidR="003D55C6" w:rsidRPr="00B96E43" w:rsidP="00A4542C" w14:paraId="39C00DA3" w14:textId="27A517E0">
      <w:pPr>
        <w:pStyle w:val="BodyText"/>
      </w:pPr>
      <w:r>
        <w:t xml:space="preserve">The burden estimate is based on estimates provided by a selected subset of </w:t>
      </w:r>
      <w:r w:rsidR="00535008">
        <w:t xml:space="preserve">fewer than 10 </w:t>
      </w:r>
      <w:r>
        <w:t xml:space="preserve">issuers. The sample was composed of issuers that have </w:t>
      </w:r>
      <w:r w:rsidR="00535008">
        <w:t xml:space="preserve">QIS </w:t>
      </w:r>
      <w:r>
        <w:t xml:space="preserve">reporting experience. Each issuer </w:t>
      </w:r>
      <w:r w:rsidR="00057EE6">
        <w:t xml:space="preserve">interviewed </w:t>
      </w:r>
      <w:r w:rsidR="00BE4F4B">
        <w:t xml:space="preserve">provided </w:t>
      </w:r>
      <w:r>
        <w:t>labor hours</w:t>
      </w:r>
      <w:r w:rsidR="00BE4F4B">
        <w:t xml:space="preserve"> and the required labor category </w:t>
      </w:r>
      <w:r>
        <w:t xml:space="preserve">for each position involved in the QIS information collection and reporting process. </w:t>
      </w:r>
      <w:r w:rsidR="00BE4F4B">
        <w:t>Median base salary data was gathered from the Bureau of Labor Statistics</w:t>
      </w:r>
      <w:r>
        <w:rPr>
          <w:rStyle w:val="FootnoteReference"/>
        </w:rPr>
        <w:footnoteReference w:id="11"/>
      </w:r>
      <w:r w:rsidR="00BE4F4B">
        <w:t xml:space="preserve"> for each defined labor category. </w:t>
      </w:r>
      <w:r>
        <w:t xml:space="preserve">A fringe benefit rate of </w:t>
      </w:r>
      <w:r w:rsidR="000D54A4">
        <w:t>100</w:t>
      </w:r>
      <w:r w:rsidR="00C63093">
        <w:t xml:space="preserve"> percent</w:t>
      </w:r>
      <w:r>
        <w:t xml:space="preserve"> was applied to the</w:t>
      </w:r>
      <w:r w:rsidR="00BE4F4B">
        <w:t xml:space="preserve"> median</w:t>
      </w:r>
      <w:r>
        <w:t xml:space="preserve"> hourly wage rates.</w:t>
      </w:r>
      <w:r w:rsidR="002A6319">
        <w:t xml:space="preserve"> </w:t>
      </w:r>
    </w:p>
    <w:p w:rsidR="003D55C6" w:rsidP="00D87A98" w14:paraId="5228660B" w14:textId="75BCF757">
      <w:pPr>
        <w:pStyle w:val="BodyText"/>
      </w:pPr>
      <w:r>
        <w:t xml:space="preserve">CMS has </w:t>
      </w:r>
      <w:r w:rsidR="00EF145D">
        <w:t xml:space="preserve">successfully </w:t>
      </w:r>
      <w:r>
        <w:t>reduce</w:t>
      </w:r>
      <w:r w:rsidR="00EF145D">
        <w:t>d</w:t>
      </w:r>
      <w:r>
        <w:t xml:space="preserve"> </w:t>
      </w:r>
      <w:r w:rsidRPr="177BD681" w:rsidR="00E62915">
        <w:t>the overall burden on issuers</w:t>
      </w:r>
      <w:r w:rsidR="00A4542C">
        <w:t xml:space="preserve"> by separating the QIS form into separate Implementation Plan </w:t>
      </w:r>
      <w:r w:rsidR="006B7B8D">
        <w:t xml:space="preserve">and Progress Report forms, only requiring issuers to submit the relevant form based on the issuer’s QIS submission type </w:t>
      </w:r>
      <w:r w:rsidR="002B0E1B">
        <w:t xml:space="preserve">for </w:t>
      </w:r>
      <w:r w:rsidR="006B7B8D">
        <w:t>that year</w:t>
      </w:r>
      <w:r w:rsidRPr="177BD681" w:rsidR="00E62915">
        <w:t>.</w:t>
      </w:r>
      <w:r w:rsidR="00104532">
        <w:t xml:space="preserve"> </w:t>
      </w:r>
    </w:p>
    <w:p w:rsidR="3A23BB6B" w:rsidP="3A23BB6B" w14:paraId="23DFA04C" w14:textId="03BDF161">
      <w:pPr>
        <w:pStyle w:val="BodyText"/>
      </w:pPr>
      <w:r>
        <w:t xml:space="preserve">CMS </w:t>
      </w:r>
      <w:r w:rsidR="006B7B8D">
        <w:t>continues to</w:t>
      </w:r>
      <w:r>
        <w:t xml:space="preserve"> estimate </w:t>
      </w:r>
      <w:r w:rsidR="006B7B8D">
        <w:t>the number of</w:t>
      </w:r>
      <w:r w:rsidR="005F7B17">
        <w:t xml:space="preserve"> </w:t>
      </w:r>
      <w:r>
        <w:t xml:space="preserve">QHP </w:t>
      </w:r>
      <w:r w:rsidR="00CE1F7C">
        <w:t>i</w:t>
      </w:r>
      <w:r>
        <w:t>ssuers</w:t>
      </w:r>
      <w:r w:rsidR="00C63093">
        <w:t xml:space="preserve"> submitting quality improvement strategies</w:t>
      </w:r>
      <w:r>
        <w:t xml:space="preserve"> for</w:t>
      </w:r>
      <w:r w:rsidRPr="3A23BB6B">
        <w:rPr>
          <w:rStyle w:val="BodyTextChar"/>
        </w:rPr>
        <w:t xml:space="preserve"> 20</w:t>
      </w:r>
      <w:r w:rsidRPr="3A23BB6B" w:rsidR="006B7B8D">
        <w:rPr>
          <w:rStyle w:val="BodyTextChar"/>
        </w:rPr>
        <w:t>2</w:t>
      </w:r>
      <w:r w:rsidRPr="3A23BB6B" w:rsidR="003C3D2C">
        <w:rPr>
          <w:rStyle w:val="BodyTextChar"/>
        </w:rPr>
        <w:t>4</w:t>
      </w:r>
      <w:r w:rsidRPr="3A23BB6B" w:rsidR="00C63093">
        <w:rPr>
          <w:rStyle w:val="BodyTextChar"/>
        </w:rPr>
        <w:t xml:space="preserve"> through </w:t>
      </w:r>
      <w:r w:rsidRPr="3A23BB6B">
        <w:rPr>
          <w:rStyle w:val="BodyTextChar"/>
        </w:rPr>
        <w:t>202</w:t>
      </w:r>
      <w:r w:rsidRPr="3A23BB6B" w:rsidR="003C3D2C">
        <w:rPr>
          <w:rStyle w:val="BodyTextChar"/>
        </w:rPr>
        <w:t>7</w:t>
      </w:r>
      <w:r w:rsidRPr="3A23BB6B">
        <w:rPr>
          <w:rStyle w:val="BodyTextChar"/>
        </w:rPr>
        <w:t xml:space="preserve"> </w:t>
      </w:r>
      <w:r w:rsidRPr="3A23BB6B" w:rsidR="006B7B8D">
        <w:rPr>
          <w:rStyle w:val="BodyTextChar"/>
        </w:rPr>
        <w:t xml:space="preserve">to be </w:t>
      </w:r>
      <w:r w:rsidRPr="3A23BB6B" w:rsidR="00612053">
        <w:rPr>
          <w:rStyle w:val="BodyTextChar"/>
        </w:rPr>
        <w:t>250</w:t>
      </w:r>
      <w:r w:rsidRPr="3A23BB6B" w:rsidR="00F777B4">
        <w:rPr>
          <w:rStyle w:val="BodyTextChar"/>
        </w:rPr>
        <w:t xml:space="preserve"> </w:t>
      </w:r>
      <w:r w:rsidRPr="3A23BB6B" w:rsidR="00C63093">
        <w:rPr>
          <w:rStyle w:val="BodyTextChar"/>
        </w:rPr>
        <w:t>issuers</w:t>
      </w:r>
      <w:r w:rsidRPr="3A23BB6B" w:rsidR="006B7B8D">
        <w:rPr>
          <w:rStyle w:val="BodyTextChar"/>
        </w:rPr>
        <w:t xml:space="preserve">. Maintaining the number of issuers but decreasing the </w:t>
      </w:r>
      <w:r w:rsidRPr="3A23BB6B" w:rsidR="007A5FC0">
        <w:rPr>
          <w:rStyle w:val="BodyTextChar"/>
        </w:rPr>
        <w:t xml:space="preserve">volume of Implementation Form </w:t>
      </w:r>
      <w:r w:rsidRPr="3A23BB6B" w:rsidR="006B7B8D">
        <w:rPr>
          <w:rStyle w:val="BodyTextChar"/>
        </w:rPr>
        <w:t>QIS submission</w:t>
      </w:r>
      <w:r w:rsidRPr="3A23BB6B" w:rsidR="00EA2EF5">
        <w:rPr>
          <w:rStyle w:val="BodyTextChar"/>
        </w:rPr>
        <w:t>s</w:t>
      </w:r>
      <w:r w:rsidRPr="3A23BB6B" w:rsidR="003D55C6">
        <w:rPr>
          <w:rStyle w:val="BodyTextChar"/>
        </w:rPr>
        <w:t>,</w:t>
      </w:r>
      <w:r w:rsidRPr="3A23BB6B" w:rsidR="006B7B8D">
        <w:rPr>
          <w:rStyle w:val="BodyTextChar"/>
        </w:rPr>
        <w:t xml:space="preserve"> results in an overall decrease in burden. </w:t>
      </w:r>
    </w:p>
    <w:p w:rsidR="005E069E" w:rsidRPr="00BC10CF" w:rsidP="00695197" w14:paraId="40307C78" w14:textId="1F23DFDD">
      <w:pPr>
        <w:pStyle w:val="BodyText"/>
      </w:pPr>
      <w:r w:rsidRPr="00BC10CF">
        <w:t>Th</w:t>
      </w:r>
      <w:r w:rsidR="00E3734B">
        <w:t>e</w:t>
      </w:r>
      <w:r w:rsidRPr="00BC10CF">
        <w:t xml:space="preserve"> burden </w:t>
      </w:r>
      <w:r w:rsidRPr="00BC10CF">
        <w:t>estimate</w:t>
      </w:r>
      <w:r w:rsidRPr="00BC10CF">
        <w:t xml:space="preserve"> accounts </w:t>
      </w:r>
      <w:r>
        <w:t xml:space="preserve">only </w:t>
      </w:r>
      <w:r w:rsidRPr="00BC10CF">
        <w:t xml:space="preserve">for the burden of </w:t>
      </w:r>
      <w:r>
        <w:t>information</w:t>
      </w:r>
      <w:r w:rsidRPr="00BC10CF">
        <w:t xml:space="preserve"> collection and reporting activities </w:t>
      </w:r>
      <w:r>
        <w:t>during the</w:t>
      </w:r>
      <w:r w:rsidRPr="00BC10CF">
        <w:t xml:space="preserve"> </w:t>
      </w:r>
      <w:r w:rsidR="006374B4">
        <w:t>QHP Application Period</w:t>
      </w:r>
      <w:r w:rsidRPr="00BC10CF">
        <w:t xml:space="preserve">. </w:t>
      </w:r>
    </w:p>
    <w:p w:rsidR="00554716" w:rsidP="00695197" w14:paraId="6BA25BDF" w14:textId="54B13066">
      <w:pPr>
        <w:pStyle w:val="BodyText"/>
      </w:pPr>
      <w:r>
        <w:t>During</w:t>
      </w:r>
      <w:r w:rsidR="000313B0">
        <w:t xml:space="preserve"> the </w:t>
      </w:r>
      <w:r>
        <w:t>QHP Application Period</w:t>
      </w:r>
      <w:r w:rsidR="000313B0">
        <w:t>, issuer</w:t>
      </w:r>
      <w:r w:rsidR="00CE1F7C">
        <w:t>s</w:t>
      </w:r>
      <w:r w:rsidR="000313B0">
        <w:t xml:space="preserve"> submit information regarding </w:t>
      </w:r>
      <w:r w:rsidR="00CE1F7C">
        <w:t xml:space="preserve">their </w:t>
      </w:r>
      <w:r w:rsidR="00097F69">
        <w:t xml:space="preserve">QIS </w:t>
      </w:r>
      <w:r w:rsidR="000313B0">
        <w:t>to the</w:t>
      </w:r>
      <w:r w:rsidR="00BB09D0">
        <w:t xml:space="preserve"> </w:t>
      </w:r>
      <w:r w:rsidR="006D5A50">
        <w:t>Exchanges</w:t>
      </w:r>
      <w:r w:rsidR="000313B0">
        <w:t xml:space="preserve"> via </w:t>
      </w:r>
      <w:r w:rsidR="00945534">
        <w:t>the</w:t>
      </w:r>
      <w:r w:rsidR="00172F92">
        <w:t xml:space="preserve"> </w:t>
      </w:r>
      <w:r w:rsidR="009E6A34">
        <w:t xml:space="preserve">QIS </w:t>
      </w:r>
      <w:r w:rsidR="00172F92">
        <w:t>form</w:t>
      </w:r>
      <w:r w:rsidR="00A037A2">
        <w:t>s</w:t>
      </w:r>
      <w:r w:rsidR="000313B0">
        <w:t xml:space="preserve">. In the first year of </w:t>
      </w:r>
      <w:r w:rsidR="00CE1F7C">
        <w:t xml:space="preserve">an issuer’s QIS </w:t>
      </w:r>
      <w:r w:rsidR="000313B0">
        <w:t xml:space="preserve">participation, </w:t>
      </w:r>
      <w:r w:rsidR="00CE1F7C">
        <w:t>it</w:t>
      </w:r>
      <w:r w:rsidR="000313B0">
        <w:t xml:space="preserve"> </w:t>
      </w:r>
      <w:r w:rsidR="00CE1F7C">
        <w:t xml:space="preserve">is required to </w:t>
      </w:r>
      <w:r w:rsidR="000313B0">
        <w:t xml:space="preserve">submit a </w:t>
      </w:r>
      <w:r w:rsidR="0067466C">
        <w:t xml:space="preserve">QIS Implementation </w:t>
      </w:r>
      <w:r w:rsidR="005E069E">
        <w:t>Plan that</w:t>
      </w:r>
      <w:r w:rsidR="000313B0">
        <w:t xml:space="preserve"> describes </w:t>
      </w:r>
      <w:r w:rsidR="00CE1F7C">
        <w:t xml:space="preserve">the issuer’s </w:t>
      </w:r>
      <w:r w:rsidR="000313B0">
        <w:t xml:space="preserve">quality improvement strategy or strategies for all </w:t>
      </w:r>
      <w:r w:rsidR="00DC6E45">
        <w:t>its</w:t>
      </w:r>
      <w:r w:rsidR="000313B0">
        <w:t xml:space="preserve"> QHPs offered through the</w:t>
      </w:r>
      <w:r w:rsidR="00377D7F">
        <w:t xml:space="preserve"> FF</w:t>
      </w:r>
      <w:r w:rsidR="006D5A50">
        <w:t>E</w:t>
      </w:r>
      <w:r w:rsidR="00981EF2">
        <w:t>, including QHPs offered in</w:t>
      </w:r>
      <w:r w:rsidR="009E6A34">
        <w:t xml:space="preserve"> FFEs where</w:t>
      </w:r>
      <w:r w:rsidR="00981EF2">
        <w:t xml:space="preserve"> </w:t>
      </w:r>
      <w:r w:rsidR="006D5A50">
        <w:t>S</w:t>
      </w:r>
      <w:r w:rsidR="00AF0567">
        <w:t>tates perform plan management.</w:t>
      </w:r>
      <w:r w:rsidR="000313B0">
        <w:t xml:space="preserve"> The following year, and each year thereafter (until a</w:t>
      </w:r>
      <w:r w:rsidR="005C6670">
        <w:t>n</w:t>
      </w:r>
      <w:r w:rsidR="000313B0">
        <w:t xml:space="preserve"> issuer submits a </w:t>
      </w:r>
      <w:r w:rsidR="0067466C">
        <w:t>QIS Implementation Plan</w:t>
      </w:r>
      <w:r w:rsidR="000313B0">
        <w:t xml:space="preserve"> for a new strategy), the issuer </w:t>
      </w:r>
      <w:r w:rsidR="00CE1F7C">
        <w:t xml:space="preserve">is required to </w:t>
      </w:r>
      <w:r w:rsidR="000313B0">
        <w:t xml:space="preserve">submit a </w:t>
      </w:r>
      <w:r w:rsidR="0067466C">
        <w:t>QIS Progress Report</w:t>
      </w:r>
      <w:r w:rsidR="00E72817">
        <w:t xml:space="preserve"> </w:t>
      </w:r>
      <w:r w:rsidR="005E069E">
        <w:t>form,</w:t>
      </w:r>
      <w:r w:rsidR="000313B0">
        <w:t xml:space="preserve"> which describes implementation progress related to its </w:t>
      </w:r>
      <w:r w:rsidR="000F731F">
        <w:t>QIS</w:t>
      </w:r>
      <w:r w:rsidR="000313B0">
        <w:t>.</w:t>
      </w:r>
      <w:r w:rsidR="006D3CFC">
        <w:t xml:space="preserve"> </w:t>
      </w:r>
    </w:p>
    <w:p w:rsidR="000313B0" w:rsidRPr="00620C87" w:rsidP="00695197" w14:paraId="4E6215E6" w14:textId="57B721FC">
      <w:pPr>
        <w:pStyle w:val="BodyText"/>
      </w:pPr>
      <w:r>
        <w:rPr>
          <w:color w:val="2B579A"/>
          <w:shd w:val="clear" w:color="auto" w:fill="E6E6E6"/>
        </w:rPr>
        <w:fldChar w:fldCharType="begin"/>
      </w:r>
      <w:r>
        <w:instrText xml:space="preserve"> REF _Ref420507297 \h </w:instrText>
      </w:r>
      <w:r>
        <w:rPr>
          <w:color w:val="2B579A"/>
          <w:shd w:val="clear" w:color="auto" w:fill="E6E6E6"/>
        </w:rPr>
        <w:fldChar w:fldCharType="separate"/>
      </w:r>
      <w:r w:rsidR="00275C1E">
        <w:t xml:space="preserve">Exhibit </w:t>
      </w:r>
      <w:r w:rsidR="00275C1E">
        <w:rPr>
          <w:noProof/>
        </w:rPr>
        <w:t>2</w:t>
      </w:r>
      <w:r>
        <w:rPr>
          <w:color w:val="2B579A"/>
          <w:shd w:val="clear" w:color="auto" w:fill="E6E6E6"/>
        </w:rPr>
        <w:fldChar w:fldCharType="end"/>
      </w:r>
      <w:r w:rsidRPr="00BC10CF">
        <w:t xml:space="preserve"> shows the </w:t>
      </w:r>
      <w:r>
        <w:t>information</w:t>
      </w:r>
      <w:r w:rsidRPr="00BC10CF">
        <w:t xml:space="preserve"> collection and reporting steps for the QIS </w:t>
      </w:r>
      <w:r w:rsidR="00945534">
        <w:t xml:space="preserve">during the </w:t>
      </w:r>
      <w:r w:rsidR="007D7073">
        <w:t xml:space="preserve">QHP </w:t>
      </w:r>
      <w:r w:rsidR="0067466C">
        <w:t>A</w:t>
      </w:r>
      <w:r w:rsidR="007D7073">
        <w:t xml:space="preserve">pplication </w:t>
      </w:r>
      <w:r w:rsidR="00B84673">
        <w:t>Period</w:t>
      </w:r>
      <w:r w:rsidRPr="00BC10CF">
        <w:t>, which serves as the basis for the burden estimate.</w:t>
      </w:r>
    </w:p>
    <w:p w:rsidR="00375843" w:rsidP="00F35386" w14:paraId="23EEFD2F" w14:textId="604D77EE">
      <w:pPr>
        <w:pStyle w:val="Caption"/>
      </w:pPr>
      <w:bookmarkStart w:id="2" w:name="_Ref420507297"/>
      <w:r>
        <w:t>Exhibit</w:t>
      </w:r>
      <w:r w:rsidR="005E069E">
        <w:t xml:space="preserve"> </w:t>
      </w:r>
      <w:r w:rsidRPr="738FC257">
        <w:rPr>
          <w:color w:val="2B579A"/>
        </w:rPr>
        <w:fldChar w:fldCharType="begin"/>
      </w:r>
      <w:r>
        <w:instrText>SEQ Exhibit \* ARABIC</w:instrText>
      </w:r>
      <w:r w:rsidRPr="738FC257">
        <w:rPr>
          <w:color w:val="2B579A"/>
        </w:rPr>
        <w:fldChar w:fldCharType="separate"/>
      </w:r>
      <w:r w:rsidR="00471341">
        <w:rPr>
          <w:noProof/>
        </w:rPr>
        <w:t>3</w:t>
      </w:r>
      <w:r w:rsidRPr="738FC257">
        <w:rPr>
          <w:color w:val="2B579A"/>
        </w:rPr>
        <w:fldChar w:fldCharType="end"/>
      </w:r>
      <w:bookmarkEnd w:id="2"/>
      <w:r w:rsidR="00DE6481">
        <w:t xml:space="preserve">. </w:t>
      </w:r>
      <w:r w:rsidR="002B0A53">
        <w:t>QIS</w:t>
      </w:r>
      <w:r w:rsidR="00606BA3">
        <w:t xml:space="preserve"> Information Collection and Reporting Steps</w:t>
      </w:r>
      <w:r w:rsidR="001072B2">
        <w:t xml:space="preserve"> </w:t>
      </w:r>
    </w:p>
    <w:tbl>
      <w:tblPr>
        <w:tblW w:w="5000" w:type="pct"/>
        <w:jc w:val="center"/>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4A0"/>
      </w:tblPr>
      <w:tblGrid>
        <w:gridCol w:w="805"/>
        <w:gridCol w:w="2070"/>
        <w:gridCol w:w="3870"/>
        <w:gridCol w:w="2605"/>
      </w:tblGrid>
      <w:tr w14:paraId="3AC02B09" w14:textId="77777777" w:rsidTr="00275C1E">
        <w:tblPrEx>
          <w:tblW w:w="5000" w:type="pct"/>
          <w:jc w:val="center"/>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4A0"/>
        </w:tblPrEx>
        <w:trPr>
          <w:cantSplit/>
          <w:tblHeader/>
          <w:jc w:val="center"/>
        </w:trPr>
        <w:tc>
          <w:tcPr>
            <w:tcW w:w="805" w:type="dxa"/>
            <w:shd w:val="clear" w:color="auto" w:fill="1F497D"/>
          </w:tcPr>
          <w:p w:rsidR="009A03E3" w:rsidRPr="00FF6E6C" w:rsidP="00F35386" w14:paraId="2273CBBE" w14:textId="77777777">
            <w:pPr>
              <w:keepNext/>
              <w:spacing w:before="20" w:after="20"/>
              <w:rPr>
                <w:rFonts w:ascii="Arial Narrow" w:hAnsi="Arial Narrow"/>
                <w:b/>
                <w:color w:val="FFFFFF"/>
                <w:szCs w:val="20"/>
              </w:rPr>
            </w:pPr>
            <w:bookmarkStart w:id="3" w:name="_Hlk29904133"/>
            <w:r w:rsidRPr="00FF6E6C">
              <w:rPr>
                <w:rFonts w:ascii="Arial Narrow" w:hAnsi="Arial Narrow"/>
                <w:b/>
                <w:color w:val="FFFFFF"/>
                <w:szCs w:val="20"/>
              </w:rPr>
              <w:t>Step #</w:t>
            </w:r>
          </w:p>
        </w:tc>
        <w:tc>
          <w:tcPr>
            <w:tcW w:w="2070" w:type="dxa"/>
            <w:shd w:val="clear" w:color="auto" w:fill="1F497D"/>
          </w:tcPr>
          <w:p w:rsidR="009A03E3" w:rsidRPr="00FF6E6C" w:rsidP="00F35386" w14:paraId="4F5BFF6E" w14:textId="77777777">
            <w:pPr>
              <w:keepNext/>
              <w:spacing w:before="20" w:after="20"/>
              <w:rPr>
                <w:rFonts w:ascii="Arial Narrow" w:hAnsi="Arial Narrow"/>
                <w:b/>
                <w:color w:val="FFFFFF"/>
                <w:szCs w:val="20"/>
              </w:rPr>
            </w:pPr>
            <w:r w:rsidRPr="00FF6E6C">
              <w:rPr>
                <w:rFonts w:ascii="Arial Narrow" w:hAnsi="Arial Narrow"/>
                <w:b/>
                <w:color w:val="FFFFFF"/>
                <w:szCs w:val="20"/>
              </w:rPr>
              <w:t>Step Name</w:t>
            </w:r>
          </w:p>
        </w:tc>
        <w:tc>
          <w:tcPr>
            <w:tcW w:w="3870" w:type="dxa"/>
            <w:shd w:val="clear" w:color="auto" w:fill="1F497D"/>
          </w:tcPr>
          <w:p w:rsidR="009A03E3" w:rsidRPr="00FF6E6C" w:rsidP="00F35386" w14:paraId="1762FCC6" w14:textId="77777777">
            <w:pPr>
              <w:keepNext/>
              <w:spacing w:before="20" w:after="20"/>
              <w:rPr>
                <w:rFonts w:ascii="Arial Narrow" w:hAnsi="Arial Narrow"/>
                <w:b/>
                <w:color w:val="FFFFFF"/>
                <w:szCs w:val="20"/>
              </w:rPr>
            </w:pPr>
            <w:r>
              <w:rPr>
                <w:rFonts w:ascii="Arial Narrow" w:hAnsi="Arial Narrow"/>
                <w:b/>
                <w:color w:val="FFFFFF"/>
                <w:szCs w:val="20"/>
              </w:rPr>
              <w:t>Implementation Plan</w:t>
            </w:r>
            <w:r w:rsidRPr="00FF6E6C" w:rsidR="009F00C0">
              <w:rPr>
                <w:rFonts w:ascii="Arial Narrow" w:hAnsi="Arial Narrow"/>
                <w:b/>
                <w:color w:val="FFFFFF"/>
                <w:szCs w:val="20"/>
              </w:rPr>
              <w:t xml:space="preserve"> </w:t>
            </w:r>
            <w:r w:rsidRPr="00FF6E6C" w:rsidR="00BC10CF">
              <w:rPr>
                <w:rFonts w:ascii="Arial Narrow" w:hAnsi="Arial Narrow"/>
                <w:b/>
                <w:color w:val="FFFFFF"/>
                <w:szCs w:val="20"/>
              </w:rPr>
              <w:t xml:space="preserve">Step </w:t>
            </w:r>
            <w:r w:rsidRPr="00FF6E6C">
              <w:rPr>
                <w:rFonts w:ascii="Arial Narrow" w:hAnsi="Arial Narrow"/>
                <w:b/>
                <w:color w:val="FFFFFF"/>
                <w:szCs w:val="20"/>
              </w:rPr>
              <w:t>Description</w:t>
            </w:r>
          </w:p>
        </w:tc>
        <w:tc>
          <w:tcPr>
            <w:tcW w:w="2605" w:type="dxa"/>
            <w:shd w:val="clear" w:color="auto" w:fill="1F497D"/>
          </w:tcPr>
          <w:p w:rsidR="009A03E3" w:rsidRPr="00FF6E6C" w:rsidP="00F35386" w14:paraId="4B87FB4A" w14:textId="77777777">
            <w:pPr>
              <w:keepNext/>
              <w:spacing w:before="20" w:after="20"/>
              <w:rPr>
                <w:rFonts w:ascii="Arial Narrow" w:hAnsi="Arial Narrow"/>
                <w:b/>
                <w:color w:val="FFFFFF"/>
                <w:szCs w:val="20"/>
              </w:rPr>
            </w:pPr>
            <w:r>
              <w:rPr>
                <w:rFonts w:ascii="Arial Narrow" w:hAnsi="Arial Narrow"/>
                <w:b/>
                <w:color w:val="FFFFFF"/>
                <w:szCs w:val="20"/>
              </w:rPr>
              <w:t>Progress Report</w:t>
            </w:r>
            <w:r w:rsidRPr="00FF6E6C" w:rsidR="00C973DE">
              <w:rPr>
                <w:rFonts w:ascii="Arial Narrow" w:hAnsi="Arial Narrow"/>
                <w:b/>
                <w:color w:val="FFFFFF"/>
                <w:szCs w:val="20"/>
              </w:rPr>
              <w:t xml:space="preserve"> </w:t>
            </w:r>
            <w:r w:rsidRPr="00FF6E6C" w:rsidR="00BC10CF">
              <w:rPr>
                <w:rFonts w:ascii="Arial Narrow" w:hAnsi="Arial Narrow"/>
                <w:b/>
                <w:color w:val="FFFFFF"/>
                <w:szCs w:val="20"/>
              </w:rPr>
              <w:t xml:space="preserve">Step </w:t>
            </w:r>
            <w:r w:rsidRPr="00FF6E6C">
              <w:rPr>
                <w:rFonts w:ascii="Arial Narrow" w:hAnsi="Arial Narrow"/>
                <w:b/>
                <w:color w:val="FFFFFF"/>
                <w:szCs w:val="20"/>
              </w:rPr>
              <w:t>Description</w:t>
            </w:r>
          </w:p>
        </w:tc>
      </w:tr>
      <w:tr w14:paraId="393EBDD7" w14:textId="77777777" w:rsidTr="00275C1E">
        <w:tblPrEx>
          <w:tblW w:w="5000" w:type="pct"/>
          <w:jc w:val="center"/>
          <w:tblLayout w:type="fixed"/>
          <w:tblLook w:val="04A0"/>
        </w:tblPrEx>
        <w:trPr>
          <w:cantSplit/>
          <w:jc w:val="center"/>
        </w:trPr>
        <w:tc>
          <w:tcPr>
            <w:tcW w:w="805" w:type="dxa"/>
            <w:shd w:val="clear" w:color="auto" w:fill="DBE5F1"/>
          </w:tcPr>
          <w:p w:rsidR="009A03E3" w:rsidRPr="00F35386" w:rsidP="00F35386" w14:paraId="793FDA59" w14:textId="77777777">
            <w:pPr>
              <w:spacing w:before="20" w:after="20"/>
              <w:jc w:val="center"/>
              <w:rPr>
                <w:rFonts w:ascii="Arial Narrow" w:hAnsi="Arial Narrow"/>
                <w:b/>
                <w:szCs w:val="20"/>
              </w:rPr>
            </w:pPr>
            <w:r w:rsidRPr="00F35386">
              <w:rPr>
                <w:rFonts w:ascii="Arial Narrow" w:hAnsi="Arial Narrow"/>
                <w:b/>
                <w:szCs w:val="20"/>
              </w:rPr>
              <w:t>1</w:t>
            </w:r>
          </w:p>
        </w:tc>
        <w:tc>
          <w:tcPr>
            <w:tcW w:w="2070" w:type="dxa"/>
            <w:shd w:val="clear" w:color="auto" w:fill="auto"/>
          </w:tcPr>
          <w:p w:rsidR="009A03E3" w:rsidRPr="00FF6E6C" w:rsidP="00F35386" w14:paraId="21A87F9F" w14:textId="77777777">
            <w:pPr>
              <w:spacing w:before="20" w:after="20"/>
              <w:rPr>
                <w:rFonts w:ascii="Arial Narrow" w:hAnsi="Arial Narrow"/>
                <w:szCs w:val="20"/>
              </w:rPr>
            </w:pPr>
            <w:r w:rsidRPr="00FF6E6C">
              <w:rPr>
                <w:rFonts w:ascii="Arial Narrow" w:hAnsi="Arial Narrow"/>
                <w:szCs w:val="20"/>
              </w:rPr>
              <w:t>Gather Information</w:t>
            </w:r>
          </w:p>
        </w:tc>
        <w:tc>
          <w:tcPr>
            <w:tcW w:w="3870" w:type="dxa"/>
            <w:shd w:val="clear" w:color="auto" w:fill="auto"/>
          </w:tcPr>
          <w:p w:rsidR="00FC25FF" w:rsidRPr="00FF6E6C" w:rsidP="00F35386" w14:paraId="5834B0D4" w14:textId="77777777">
            <w:pPr>
              <w:spacing w:before="20" w:after="80"/>
              <w:rPr>
                <w:rFonts w:ascii="Arial Narrow" w:hAnsi="Arial Narrow"/>
                <w:szCs w:val="20"/>
              </w:rPr>
            </w:pPr>
            <w:r w:rsidRPr="00FF6E6C">
              <w:rPr>
                <w:rFonts w:ascii="Arial Narrow" w:hAnsi="Arial Narrow"/>
                <w:szCs w:val="20"/>
              </w:rPr>
              <w:t xml:space="preserve">To develop the response for the </w:t>
            </w:r>
            <w:r w:rsidR="0067466C">
              <w:rPr>
                <w:rFonts w:ascii="Arial Narrow" w:hAnsi="Arial Narrow"/>
                <w:szCs w:val="20"/>
              </w:rPr>
              <w:t>Implementation Plan</w:t>
            </w:r>
            <w:r w:rsidRPr="00FF6E6C">
              <w:rPr>
                <w:rFonts w:ascii="Arial Narrow" w:hAnsi="Arial Narrow"/>
                <w:szCs w:val="20"/>
              </w:rPr>
              <w:t>, t</w:t>
            </w:r>
            <w:r w:rsidRPr="00FF6E6C">
              <w:rPr>
                <w:rFonts w:ascii="Arial Narrow" w:hAnsi="Arial Narrow"/>
                <w:szCs w:val="20"/>
              </w:rPr>
              <w:t xml:space="preserve">he issuer gathers information from within its organization pertaining to the </w:t>
            </w:r>
            <w:r w:rsidR="009E53D2">
              <w:rPr>
                <w:rFonts w:ascii="Arial Narrow" w:hAnsi="Arial Narrow"/>
                <w:szCs w:val="20"/>
              </w:rPr>
              <w:t xml:space="preserve">following </w:t>
            </w:r>
            <w:r w:rsidR="006533EB">
              <w:rPr>
                <w:rFonts w:ascii="Arial Narrow" w:hAnsi="Arial Narrow"/>
                <w:szCs w:val="20"/>
              </w:rPr>
              <w:t>elements</w:t>
            </w:r>
            <w:r w:rsidR="009E53D2">
              <w:rPr>
                <w:rFonts w:ascii="Arial Narrow" w:hAnsi="Arial Narrow"/>
                <w:szCs w:val="20"/>
              </w:rPr>
              <w:t>:</w:t>
            </w:r>
          </w:p>
          <w:p w:rsidR="00505BED" w:rsidRPr="00AE66F5" w:rsidP="00F35386" w14:paraId="7870AC73" w14:textId="616742D2">
            <w:pPr>
              <w:spacing w:before="20" w:after="20"/>
              <w:rPr>
                <w:rFonts w:ascii="Arial Narrow" w:hAnsi="Arial Narrow"/>
              </w:rPr>
            </w:pPr>
            <w:r w:rsidRPr="001833E2">
              <w:rPr>
                <w:rFonts w:ascii="Arial Narrow" w:hAnsi="Arial Narrow"/>
              </w:rPr>
              <w:t xml:space="preserve">The issuer proposes a </w:t>
            </w:r>
            <w:r w:rsidRPr="001833E2" w:rsidR="000F731F">
              <w:rPr>
                <w:rFonts w:ascii="Arial Narrow" w:hAnsi="Arial Narrow"/>
              </w:rPr>
              <w:t xml:space="preserve">QIS </w:t>
            </w:r>
            <w:r w:rsidRPr="001833E2">
              <w:rPr>
                <w:rFonts w:ascii="Arial Narrow" w:hAnsi="Arial Narrow"/>
              </w:rPr>
              <w:t>that meets all legislative requirements</w:t>
            </w:r>
            <w:r w:rsidRPr="009C396B" w:rsidR="00776D9C">
              <w:rPr>
                <w:rFonts w:ascii="Arial Narrow" w:hAnsi="Arial Narrow"/>
              </w:rPr>
              <w:t>;</w:t>
            </w:r>
            <w:r w:rsidRPr="009C396B">
              <w:rPr>
                <w:rFonts w:ascii="Arial Narrow" w:hAnsi="Arial Narrow"/>
              </w:rPr>
              <w:t xml:space="preserve"> </w:t>
            </w:r>
            <w:r w:rsidRPr="001855D3" w:rsidR="002A1094">
              <w:rPr>
                <w:rFonts w:ascii="Arial Narrow" w:hAnsi="Arial Narrow"/>
              </w:rPr>
              <w:t xml:space="preserve">identifies </w:t>
            </w:r>
            <w:r w:rsidRPr="001855D3" w:rsidR="009E53D2">
              <w:rPr>
                <w:rFonts w:ascii="Arial Narrow" w:hAnsi="Arial Narrow"/>
              </w:rPr>
              <w:t xml:space="preserve">the current payment models used across </w:t>
            </w:r>
            <w:r w:rsidRPr="001833E2" w:rsidR="00E4607F">
              <w:rPr>
                <w:rFonts w:ascii="Arial Narrow" w:hAnsi="Arial Narrow"/>
              </w:rPr>
              <w:t xml:space="preserve">Exchange </w:t>
            </w:r>
            <w:r w:rsidRPr="001833E2" w:rsidR="00337365">
              <w:rPr>
                <w:rFonts w:ascii="Arial Narrow" w:hAnsi="Arial Narrow"/>
              </w:rPr>
              <w:t>product lines</w:t>
            </w:r>
            <w:r w:rsidRPr="001833E2" w:rsidR="009E53D2">
              <w:rPr>
                <w:rFonts w:ascii="Arial Narrow" w:hAnsi="Arial Narrow"/>
              </w:rPr>
              <w:t xml:space="preserve">; identifies the data sources used to identify enrollee population needs; </w:t>
            </w:r>
            <w:r w:rsidRPr="009C396B">
              <w:rPr>
                <w:rFonts w:ascii="Arial Narrow" w:hAnsi="Arial Narrow"/>
              </w:rPr>
              <w:t xml:space="preserve">provides a rationale for how the strategy will address the needs of the </w:t>
            </w:r>
            <w:r w:rsidRPr="001855D3" w:rsidR="005020DB">
              <w:rPr>
                <w:rFonts w:ascii="Arial Narrow" w:hAnsi="Arial Narrow"/>
              </w:rPr>
              <w:t>enrollee</w:t>
            </w:r>
            <w:r w:rsidR="00CC13D6">
              <w:rPr>
                <w:rFonts w:ascii="Arial Narrow" w:hAnsi="Arial Narrow"/>
              </w:rPr>
              <w:t xml:space="preserve"> </w:t>
            </w:r>
            <w:r w:rsidRPr="001855D3">
              <w:rPr>
                <w:rFonts w:ascii="Arial Narrow" w:hAnsi="Arial Narrow"/>
              </w:rPr>
              <w:t>population</w:t>
            </w:r>
            <w:r w:rsidRPr="001855D3" w:rsidR="00776D9C">
              <w:rPr>
                <w:rFonts w:ascii="Arial Narrow" w:hAnsi="Arial Narrow"/>
              </w:rPr>
              <w:t>;</w:t>
            </w:r>
            <w:r w:rsidRPr="001855D3">
              <w:rPr>
                <w:rFonts w:ascii="Arial Narrow" w:hAnsi="Arial Narrow"/>
              </w:rPr>
              <w:t xml:space="preserve"> prop</w:t>
            </w:r>
            <w:r w:rsidRPr="0058101C">
              <w:rPr>
                <w:rFonts w:ascii="Arial Narrow" w:hAnsi="Arial Narrow"/>
              </w:rPr>
              <w:t xml:space="preserve">oses </w:t>
            </w:r>
            <w:r w:rsidRPr="0058101C" w:rsidR="002A1094">
              <w:rPr>
                <w:rFonts w:ascii="Arial Narrow" w:hAnsi="Arial Narrow"/>
              </w:rPr>
              <w:t xml:space="preserve">goals, </w:t>
            </w:r>
            <w:r w:rsidRPr="0058101C">
              <w:rPr>
                <w:rFonts w:ascii="Arial Narrow" w:hAnsi="Arial Narrow"/>
              </w:rPr>
              <w:t>performance measures</w:t>
            </w:r>
            <w:r w:rsidRPr="0058101C" w:rsidR="00B84673">
              <w:rPr>
                <w:rFonts w:ascii="Arial Narrow" w:hAnsi="Arial Narrow"/>
              </w:rPr>
              <w:t>,</w:t>
            </w:r>
            <w:r w:rsidRPr="00A97774">
              <w:rPr>
                <w:rFonts w:ascii="Arial Narrow" w:hAnsi="Arial Narrow"/>
              </w:rPr>
              <w:t xml:space="preserve"> and related targets</w:t>
            </w:r>
            <w:r w:rsidRPr="00AE66F5" w:rsidR="00776D9C">
              <w:rPr>
                <w:rFonts w:ascii="Arial Narrow" w:hAnsi="Arial Narrow"/>
              </w:rPr>
              <w:t>;</w:t>
            </w:r>
            <w:r w:rsidRPr="00AE66F5">
              <w:rPr>
                <w:rFonts w:ascii="Arial Narrow" w:hAnsi="Arial Narrow"/>
              </w:rPr>
              <w:t xml:space="preserve"> describes plans to implement activities designed to meet the performance targets</w:t>
            </w:r>
            <w:r w:rsidRPr="00AE66F5" w:rsidR="00776D9C">
              <w:rPr>
                <w:rFonts w:ascii="Arial Narrow" w:hAnsi="Arial Narrow"/>
              </w:rPr>
              <w:t>;</w:t>
            </w:r>
            <w:r w:rsidRPr="00AE66F5">
              <w:rPr>
                <w:rFonts w:ascii="Arial Narrow" w:hAnsi="Arial Narrow"/>
              </w:rPr>
              <w:t xml:space="preserve"> defines an implementation timeline</w:t>
            </w:r>
            <w:r w:rsidRPr="00AE66F5" w:rsidR="00776D9C">
              <w:rPr>
                <w:rFonts w:ascii="Arial Narrow" w:hAnsi="Arial Narrow"/>
              </w:rPr>
              <w:t>;</w:t>
            </w:r>
            <w:r w:rsidRPr="00AE66F5">
              <w:rPr>
                <w:rFonts w:ascii="Arial Narrow" w:hAnsi="Arial Narrow"/>
              </w:rPr>
              <w:t xml:space="preserve"> identifies known or anticipated barriers</w:t>
            </w:r>
            <w:r w:rsidRPr="00AE66F5" w:rsidR="00776D9C">
              <w:rPr>
                <w:rFonts w:ascii="Arial Narrow" w:hAnsi="Arial Narrow"/>
              </w:rPr>
              <w:t>;</w:t>
            </w:r>
            <w:r w:rsidRPr="00AE66F5">
              <w:rPr>
                <w:rFonts w:ascii="Arial Narrow" w:hAnsi="Arial Narrow"/>
              </w:rPr>
              <w:t xml:space="preserve"> and provides mitigation/action plans to support successful implementation of its </w:t>
            </w:r>
            <w:r w:rsidRPr="00AE66F5" w:rsidR="00535008">
              <w:rPr>
                <w:rFonts w:ascii="Arial Narrow" w:hAnsi="Arial Narrow"/>
              </w:rPr>
              <w:t xml:space="preserve">QIS </w:t>
            </w:r>
            <w:r w:rsidRPr="00AE66F5">
              <w:rPr>
                <w:rFonts w:ascii="Arial Narrow" w:hAnsi="Arial Narrow"/>
              </w:rPr>
              <w:t>activities.</w:t>
            </w:r>
          </w:p>
        </w:tc>
        <w:tc>
          <w:tcPr>
            <w:tcW w:w="2605" w:type="dxa"/>
          </w:tcPr>
          <w:p w:rsidR="003D13D3" w:rsidRPr="00FF6E6C" w:rsidP="00F35386" w14:paraId="1594A626" w14:textId="77777777">
            <w:pPr>
              <w:spacing w:before="20" w:after="80"/>
              <w:rPr>
                <w:rFonts w:ascii="Arial Narrow" w:hAnsi="Arial Narrow"/>
                <w:szCs w:val="20"/>
              </w:rPr>
            </w:pPr>
            <w:r w:rsidRPr="00FF6E6C">
              <w:rPr>
                <w:rFonts w:ascii="Arial Narrow" w:hAnsi="Arial Narrow"/>
                <w:szCs w:val="20"/>
              </w:rPr>
              <w:t xml:space="preserve">To develop the response for the </w:t>
            </w:r>
            <w:r w:rsidR="0067466C">
              <w:rPr>
                <w:rFonts w:ascii="Arial Narrow" w:hAnsi="Arial Narrow"/>
                <w:szCs w:val="20"/>
              </w:rPr>
              <w:t>Progress Report</w:t>
            </w:r>
            <w:r w:rsidRPr="00FF6E6C">
              <w:rPr>
                <w:rFonts w:ascii="Arial Narrow" w:hAnsi="Arial Narrow"/>
                <w:szCs w:val="20"/>
              </w:rPr>
              <w:t>, t</w:t>
            </w:r>
            <w:r w:rsidRPr="00FF6E6C">
              <w:rPr>
                <w:rFonts w:ascii="Arial Narrow" w:hAnsi="Arial Narrow"/>
                <w:szCs w:val="20"/>
              </w:rPr>
              <w:t>he issuer gathers information</w:t>
            </w:r>
            <w:r w:rsidR="002227BF">
              <w:rPr>
                <w:rFonts w:ascii="Arial Narrow" w:hAnsi="Arial Narrow"/>
                <w:szCs w:val="20"/>
              </w:rPr>
              <w:t xml:space="preserve"> </w:t>
            </w:r>
            <w:r w:rsidRPr="00FF6E6C">
              <w:rPr>
                <w:rFonts w:ascii="Arial Narrow" w:hAnsi="Arial Narrow"/>
                <w:szCs w:val="20"/>
              </w:rPr>
              <w:t>from within its organization pertaining to t</w:t>
            </w:r>
            <w:r w:rsidRPr="00FF6E6C">
              <w:rPr>
                <w:rFonts w:ascii="Arial Narrow" w:hAnsi="Arial Narrow"/>
                <w:szCs w:val="20"/>
              </w:rPr>
              <w:t xml:space="preserve">he </w:t>
            </w:r>
            <w:r w:rsidR="00C26A5C">
              <w:rPr>
                <w:rFonts w:ascii="Arial Narrow" w:hAnsi="Arial Narrow"/>
                <w:szCs w:val="20"/>
              </w:rPr>
              <w:t xml:space="preserve">following </w:t>
            </w:r>
            <w:r w:rsidR="006533EB">
              <w:rPr>
                <w:rFonts w:ascii="Arial Narrow" w:hAnsi="Arial Narrow"/>
                <w:szCs w:val="20"/>
              </w:rPr>
              <w:t>elements</w:t>
            </w:r>
            <w:r w:rsidR="00C26A5C">
              <w:rPr>
                <w:rFonts w:ascii="Arial Narrow" w:hAnsi="Arial Narrow"/>
                <w:szCs w:val="20"/>
              </w:rPr>
              <w:t>:</w:t>
            </w:r>
          </w:p>
          <w:p w:rsidR="009F00C0" w:rsidRPr="00FF6E6C" w:rsidP="00F35386" w14:paraId="02B6C8B7" w14:textId="77777777">
            <w:pPr>
              <w:spacing w:before="20" w:after="20"/>
              <w:rPr>
                <w:rFonts w:ascii="Arial Narrow" w:hAnsi="Arial Narrow"/>
                <w:szCs w:val="20"/>
              </w:rPr>
            </w:pPr>
            <w:r w:rsidRPr="00FF6E6C">
              <w:rPr>
                <w:rFonts w:ascii="Arial Narrow" w:hAnsi="Arial Narrow"/>
                <w:szCs w:val="20"/>
              </w:rPr>
              <w:t>The issuer describes</w:t>
            </w:r>
            <w:r w:rsidRPr="00FF6E6C" w:rsidR="00891593">
              <w:rPr>
                <w:rFonts w:ascii="Arial Narrow" w:hAnsi="Arial Narrow"/>
                <w:szCs w:val="20"/>
              </w:rPr>
              <w:t xml:space="preserve"> activities conducted to </w:t>
            </w:r>
            <w:r w:rsidRPr="00FF6E6C">
              <w:rPr>
                <w:rFonts w:ascii="Arial Narrow" w:hAnsi="Arial Narrow"/>
                <w:szCs w:val="20"/>
              </w:rPr>
              <w:t xml:space="preserve">implement its </w:t>
            </w:r>
            <w:r w:rsidR="00535008">
              <w:rPr>
                <w:rFonts w:ascii="Arial Narrow" w:hAnsi="Arial Narrow"/>
                <w:szCs w:val="20"/>
              </w:rPr>
              <w:t>QIS</w:t>
            </w:r>
            <w:r w:rsidRPr="00FF6E6C" w:rsidR="00F82C7D">
              <w:rPr>
                <w:rFonts w:ascii="Arial Narrow" w:hAnsi="Arial Narrow"/>
                <w:szCs w:val="20"/>
              </w:rPr>
              <w:t xml:space="preserve"> with a focus on </w:t>
            </w:r>
            <w:r w:rsidRPr="00FF6E6C" w:rsidR="00513051">
              <w:rPr>
                <w:rFonts w:ascii="Arial Narrow" w:hAnsi="Arial Narrow"/>
                <w:szCs w:val="20"/>
              </w:rPr>
              <w:t xml:space="preserve">its </w:t>
            </w:r>
            <w:r w:rsidRPr="00FF6E6C" w:rsidR="00F82C7D">
              <w:rPr>
                <w:rFonts w:ascii="Arial Narrow" w:hAnsi="Arial Narrow"/>
                <w:szCs w:val="20"/>
              </w:rPr>
              <w:t>progress toward meeting stated goals and performance targets</w:t>
            </w:r>
            <w:r w:rsidR="002A1094">
              <w:rPr>
                <w:rFonts w:ascii="Arial Narrow" w:hAnsi="Arial Narrow"/>
                <w:szCs w:val="20"/>
              </w:rPr>
              <w:t>; updated data on performance measures and targets; and descriptive information on why targets were or were not met</w:t>
            </w:r>
            <w:r w:rsidRPr="00FF6E6C" w:rsidR="00F82C7D">
              <w:rPr>
                <w:rFonts w:ascii="Arial Narrow" w:hAnsi="Arial Narrow"/>
                <w:szCs w:val="20"/>
              </w:rPr>
              <w:t>.</w:t>
            </w:r>
          </w:p>
        </w:tc>
      </w:tr>
      <w:tr w14:paraId="5B6FE4B3" w14:textId="77777777" w:rsidTr="00275C1E">
        <w:tblPrEx>
          <w:tblW w:w="5000" w:type="pct"/>
          <w:jc w:val="center"/>
          <w:tblLayout w:type="fixed"/>
          <w:tblLook w:val="04A0"/>
        </w:tblPrEx>
        <w:trPr>
          <w:cantSplit/>
          <w:jc w:val="center"/>
        </w:trPr>
        <w:tc>
          <w:tcPr>
            <w:tcW w:w="805" w:type="dxa"/>
            <w:shd w:val="clear" w:color="auto" w:fill="DBE5F1"/>
          </w:tcPr>
          <w:p w:rsidR="009A03E3" w:rsidRPr="00F35386" w:rsidP="00F35386" w14:paraId="3705C523" w14:textId="77777777">
            <w:pPr>
              <w:spacing w:before="20" w:after="20"/>
              <w:jc w:val="center"/>
              <w:rPr>
                <w:rFonts w:ascii="Arial Narrow" w:hAnsi="Arial Narrow"/>
                <w:b/>
                <w:szCs w:val="20"/>
              </w:rPr>
            </w:pPr>
            <w:r w:rsidRPr="00F35386">
              <w:rPr>
                <w:rFonts w:ascii="Arial Narrow" w:hAnsi="Arial Narrow"/>
                <w:b/>
                <w:szCs w:val="20"/>
              </w:rPr>
              <w:t>2</w:t>
            </w:r>
          </w:p>
        </w:tc>
        <w:tc>
          <w:tcPr>
            <w:tcW w:w="2070" w:type="dxa"/>
            <w:shd w:val="clear" w:color="auto" w:fill="auto"/>
          </w:tcPr>
          <w:p w:rsidR="009A03E3" w:rsidRPr="00FF6E6C" w:rsidP="391078FC" w14:paraId="7368ACFF" w14:textId="4207EB7A">
            <w:pPr>
              <w:spacing w:before="20" w:after="20"/>
              <w:rPr>
                <w:rFonts w:ascii="Arial Narrow" w:hAnsi="Arial Narrow"/>
              </w:rPr>
            </w:pPr>
            <w:r w:rsidRPr="391078FC">
              <w:rPr>
                <w:rFonts w:ascii="Arial Narrow" w:hAnsi="Arial Narrow"/>
              </w:rPr>
              <w:t>Develop Response</w:t>
            </w:r>
            <w:r w:rsidRPr="391078FC" w:rsidR="50169134">
              <w:rPr>
                <w:rFonts w:ascii="Arial Narrow" w:hAnsi="Arial Narrow"/>
              </w:rPr>
              <w:t>s</w:t>
            </w:r>
            <w:r w:rsidRPr="391078FC">
              <w:rPr>
                <w:rFonts w:ascii="Arial Narrow" w:hAnsi="Arial Narrow"/>
              </w:rPr>
              <w:t xml:space="preserve"> and </w:t>
            </w:r>
            <w:r w:rsidRPr="391078FC" w:rsidR="778A5665">
              <w:rPr>
                <w:rFonts w:ascii="Arial Narrow" w:hAnsi="Arial Narrow"/>
              </w:rPr>
              <w:t xml:space="preserve">Submit </w:t>
            </w:r>
            <w:r w:rsidRPr="391078FC" w:rsidR="631C21FF">
              <w:rPr>
                <w:rFonts w:ascii="Arial Narrow" w:hAnsi="Arial Narrow"/>
              </w:rPr>
              <w:t xml:space="preserve">Implementation </w:t>
            </w:r>
            <w:r w:rsidRPr="391078FC" w:rsidR="0067466C">
              <w:rPr>
                <w:rFonts w:ascii="Arial Narrow" w:hAnsi="Arial Narrow"/>
              </w:rPr>
              <w:t>Plan/</w:t>
            </w:r>
            <w:r w:rsidRPr="391078FC" w:rsidR="631C21FF">
              <w:rPr>
                <w:rFonts w:ascii="Arial Narrow" w:hAnsi="Arial Narrow"/>
              </w:rPr>
              <w:t xml:space="preserve">Progress </w:t>
            </w:r>
            <w:r w:rsidRPr="391078FC" w:rsidR="0067466C">
              <w:rPr>
                <w:rFonts w:ascii="Arial Narrow" w:hAnsi="Arial Narrow"/>
              </w:rPr>
              <w:t>Report</w:t>
            </w:r>
            <w:r w:rsidRPr="391078FC" w:rsidR="4CCAF2A6">
              <w:rPr>
                <w:rFonts w:ascii="Arial Narrow" w:hAnsi="Arial Narrow"/>
              </w:rPr>
              <w:t>/</w:t>
            </w:r>
            <w:r w:rsidR="00275C1E">
              <w:rPr>
                <w:rFonts w:ascii="Arial Narrow" w:hAnsi="Arial Narrow"/>
              </w:rPr>
              <w:t xml:space="preserve"> </w:t>
            </w:r>
            <w:r w:rsidRPr="391078FC" w:rsidR="4CCAF2A6">
              <w:rPr>
                <w:rFonts w:ascii="Arial Narrow" w:hAnsi="Arial Narrow"/>
              </w:rPr>
              <w:t xml:space="preserve">Modification Summary Supplement </w:t>
            </w:r>
          </w:p>
        </w:tc>
        <w:tc>
          <w:tcPr>
            <w:tcW w:w="3870" w:type="dxa"/>
            <w:shd w:val="clear" w:color="auto" w:fill="auto"/>
          </w:tcPr>
          <w:p w:rsidR="009A03E3" w:rsidRPr="00AE66F5" w:rsidP="00F35386" w14:paraId="11C1B850" w14:textId="32505DE9">
            <w:pPr>
              <w:spacing w:before="20" w:after="20"/>
              <w:rPr>
                <w:rFonts w:ascii="Arial Narrow" w:hAnsi="Arial Narrow"/>
              </w:rPr>
            </w:pPr>
            <w:r w:rsidRPr="001833E2">
              <w:rPr>
                <w:rFonts w:ascii="Arial Narrow" w:hAnsi="Arial Narrow"/>
              </w:rPr>
              <w:t xml:space="preserve">The issuer </w:t>
            </w:r>
            <w:r w:rsidRPr="001833E2" w:rsidR="009A053E">
              <w:rPr>
                <w:rFonts w:ascii="Arial Narrow" w:hAnsi="Arial Narrow"/>
              </w:rPr>
              <w:t>synthesiz</w:t>
            </w:r>
            <w:r w:rsidRPr="001833E2" w:rsidR="00937E83">
              <w:rPr>
                <w:rFonts w:ascii="Arial Narrow" w:hAnsi="Arial Narrow"/>
              </w:rPr>
              <w:t>es the information collected,</w:t>
            </w:r>
            <w:r w:rsidRPr="001833E2" w:rsidR="009A053E">
              <w:rPr>
                <w:rFonts w:ascii="Arial Narrow" w:hAnsi="Arial Narrow"/>
              </w:rPr>
              <w:t xml:space="preserve"> </w:t>
            </w:r>
            <w:r w:rsidRPr="009C396B">
              <w:rPr>
                <w:rFonts w:ascii="Arial Narrow" w:hAnsi="Arial Narrow"/>
              </w:rPr>
              <w:t>e</w:t>
            </w:r>
            <w:r w:rsidRPr="009C396B">
              <w:rPr>
                <w:rFonts w:ascii="Arial Narrow" w:hAnsi="Arial Narrow"/>
              </w:rPr>
              <w:t>lectronically complete</w:t>
            </w:r>
            <w:r w:rsidRPr="001855D3" w:rsidR="003D13D3">
              <w:rPr>
                <w:rFonts w:ascii="Arial Narrow" w:hAnsi="Arial Narrow"/>
              </w:rPr>
              <w:t>s</w:t>
            </w:r>
            <w:r w:rsidRPr="001855D3">
              <w:rPr>
                <w:rFonts w:ascii="Arial Narrow" w:hAnsi="Arial Narrow"/>
              </w:rPr>
              <w:t xml:space="preserve"> responses </w:t>
            </w:r>
            <w:r w:rsidRPr="001855D3" w:rsidR="00937E83">
              <w:rPr>
                <w:rFonts w:ascii="Arial Narrow" w:hAnsi="Arial Narrow"/>
              </w:rPr>
              <w:t>in</w:t>
            </w:r>
            <w:r w:rsidRPr="001855D3" w:rsidR="00805065">
              <w:rPr>
                <w:rFonts w:ascii="Arial Narrow" w:hAnsi="Arial Narrow"/>
              </w:rPr>
              <w:t xml:space="preserve"> the </w:t>
            </w:r>
            <w:r w:rsidRPr="001855D3" w:rsidR="00016DB4">
              <w:rPr>
                <w:rFonts w:ascii="Arial Narrow" w:hAnsi="Arial Narrow"/>
              </w:rPr>
              <w:t>form</w:t>
            </w:r>
            <w:r w:rsidRPr="00104532" w:rsidR="00937E83">
              <w:rPr>
                <w:rFonts w:ascii="Arial Narrow" w:hAnsi="Arial Narrow"/>
              </w:rPr>
              <w:t>,</w:t>
            </w:r>
            <w:r w:rsidRPr="00104532" w:rsidR="00E16F7F">
              <w:rPr>
                <w:rFonts w:ascii="Arial Narrow" w:hAnsi="Arial Narrow"/>
              </w:rPr>
              <w:t xml:space="preserve"> </w:t>
            </w:r>
            <w:r w:rsidRPr="0058101C">
              <w:rPr>
                <w:rFonts w:ascii="Arial Narrow" w:hAnsi="Arial Narrow"/>
              </w:rPr>
              <w:t>and submit</w:t>
            </w:r>
            <w:r w:rsidRPr="0058101C" w:rsidR="003D13D3">
              <w:rPr>
                <w:rFonts w:ascii="Arial Narrow" w:hAnsi="Arial Narrow"/>
              </w:rPr>
              <w:t>s</w:t>
            </w:r>
            <w:r w:rsidRPr="0058101C">
              <w:rPr>
                <w:rFonts w:ascii="Arial Narrow" w:hAnsi="Arial Narrow"/>
              </w:rPr>
              <w:t xml:space="preserve"> </w:t>
            </w:r>
            <w:r w:rsidRPr="0058101C" w:rsidR="00805065">
              <w:rPr>
                <w:rFonts w:ascii="Arial Narrow" w:hAnsi="Arial Narrow"/>
              </w:rPr>
              <w:t>the</w:t>
            </w:r>
            <w:r w:rsidRPr="00A97774" w:rsidR="00E16F7F">
              <w:rPr>
                <w:rFonts w:ascii="Arial Narrow" w:hAnsi="Arial Narrow"/>
              </w:rPr>
              <w:t xml:space="preserve"> </w:t>
            </w:r>
            <w:r w:rsidRPr="00A97774" w:rsidR="0067466C">
              <w:rPr>
                <w:rFonts w:ascii="Arial Narrow" w:hAnsi="Arial Narrow"/>
              </w:rPr>
              <w:t>Implementation Plan</w:t>
            </w:r>
            <w:r w:rsidRPr="00A97774">
              <w:rPr>
                <w:rFonts w:ascii="Arial Narrow" w:hAnsi="Arial Narrow"/>
              </w:rPr>
              <w:t xml:space="preserve"> to</w:t>
            </w:r>
            <w:r w:rsidRPr="00AE66F5" w:rsidR="00891593">
              <w:rPr>
                <w:rFonts w:ascii="Arial Narrow" w:hAnsi="Arial Narrow"/>
              </w:rPr>
              <w:t xml:space="preserve"> the</w:t>
            </w:r>
            <w:r w:rsidR="00197784">
              <w:rPr>
                <w:rFonts w:ascii="Arial Narrow" w:hAnsi="Arial Narrow"/>
              </w:rPr>
              <w:t xml:space="preserve"> </w:t>
            </w:r>
            <w:r w:rsidRPr="001833E2" w:rsidR="00E4607F">
              <w:rPr>
                <w:rFonts w:ascii="Arial Narrow" w:hAnsi="Arial Narrow"/>
              </w:rPr>
              <w:t>Exchange</w:t>
            </w:r>
            <w:r w:rsidRPr="001833E2">
              <w:rPr>
                <w:rFonts w:ascii="Arial Narrow" w:hAnsi="Arial Narrow"/>
              </w:rPr>
              <w:t>.</w:t>
            </w:r>
            <w:r w:rsidRPr="001833E2" w:rsidR="00805065">
              <w:rPr>
                <w:rFonts w:ascii="Arial Narrow" w:hAnsi="Arial Narrow"/>
              </w:rPr>
              <w:t xml:space="preserve"> The </w:t>
            </w:r>
            <w:r w:rsidRPr="001833E2" w:rsidR="0067466C">
              <w:rPr>
                <w:rFonts w:ascii="Arial Narrow" w:hAnsi="Arial Narrow"/>
              </w:rPr>
              <w:t>Implementation Plan</w:t>
            </w:r>
            <w:r w:rsidRPr="009C396B" w:rsidR="00805065">
              <w:rPr>
                <w:rFonts w:ascii="Arial Narrow" w:hAnsi="Arial Narrow"/>
              </w:rPr>
              <w:t xml:space="preserve"> includes character limits for each response field. </w:t>
            </w:r>
          </w:p>
        </w:tc>
        <w:tc>
          <w:tcPr>
            <w:tcW w:w="2605" w:type="dxa"/>
          </w:tcPr>
          <w:p w:rsidR="009A03E3" w:rsidRPr="00FF6E6C" w:rsidP="00F35386" w14:paraId="4FC88A56" w14:textId="77777777">
            <w:pPr>
              <w:spacing w:before="20" w:after="20"/>
              <w:rPr>
                <w:rFonts w:ascii="Arial Narrow" w:hAnsi="Arial Narrow"/>
                <w:szCs w:val="20"/>
              </w:rPr>
            </w:pPr>
            <w:r w:rsidRPr="00FF6E6C">
              <w:rPr>
                <w:rFonts w:ascii="Arial Narrow" w:hAnsi="Arial Narrow"/>
                <w:szCs w:val="20"/>
              </w:rPr>
              <w:t xml:space="preserve">Same as </w:t>
            </w:r>
            <w:r w:rsidR="00352295">
              <w:rPr>
                <w:rFonts w:ascii="Arial Narrow" w:hAnsi="Arial Narrow"/>
                <w:szCs w:val="20"/>
              </w:rPr>
              <w:t xml:space="preserve">the </w:t>
            </w:r>
            <w:r w:rsidR="0067466C">
              <w:rPr>
                <w:rFonts w:ascii="Arial Narrow" w:hAnsi="Arial Narrow"/>
                <w:szCs w:val="20"/>
              </w:rPr>
              <w:t>Implementation Plan</w:t>
            </w:r>
            <w:r w:rsidR="00352295">
              <w:rPr>
                <w:rFonts w:ascii="Arial Narrow" w:hAnsi="Arial Narrow"/>
                <w:szCs w:val="20"/>
              </w:rPr>
              <w:t>.</w:t>
            </w:r>
          </w:p>
        </w:tc>
      </w:tr>
    </w:tbl>
    <w:bookmarkEnd w:id="3"/>
    <w:p w:rsidR="00680ED3" w:rsidRPr="00331601" w:rsidP="00695197" w14:paraId="6EA59099" w14:textId="4A71F0E1">
      <w:pPr>
        <w:pStyle w:val="BodyText"/>
      </w:pPr>
      <w:r>
        <w:t xml:space="preserve">Since the </w:t>
      </w:r>
      <w:r w:rsidR="006533EB">
        <w:t>elements</w:t>
      </w:r>
      <w:r>
        <w:t xml:space="preserve"> for the </w:t>
      </w:r>
      <w:r w:rsidR="0067466C">
        <w:t>Implementation Plan</w:t>
      </w:r>
      <w:r>
        <w:t xml:space="preserve"> and the </w:t>
      </w:r>
      <w:r w:rsidR="0067466C">
        <w:t>Progress Report</w:t>
      </w:r>
      <w:r>
        <w:t xml:space="preserve"> </w:t>
      </w:r>
      <w:r w:rsidR="003F01C7">
        <w:t xml:space="preserve">forms </w:t>
      </w:r>
      <w:r>
        <w:t xml:space="preserve">are different, CMS assumes the issuer’s level of effort will be different </w:t>
      </w:r>
      <w:r w:rsidR="00EC6524">
        <w:t>each year</w:t>
      </w:r>
      <w:r>
        <w:t xml:space="preserve">. Therefore, CMS averaged the burden estimate needed to complete </w:t>
      </w:r>
      <w:r w:rsidR="00172F92">
        <w:t>the</w:t>
      </w:r>
      <w:r w:rsidR="00EC6524">
        <w:t xml:space="preserve"> different sections</w:t>
      </w:r>
      <w:r w:rsidR="00172F92">
        <w:t xml:space="preserve"> </w:t>
      </w:r>
      <w:r>
        <w:t>to produce an annualized estimate for each issuer. The average was weighted based on the current assumption that each</w:t>
      </w:r>
      <w:r w:rsidR="3E39872C">
        <w:t xml:space="preserve"> new</w:t>
      </w:r>
      <w:r>
        <w:t xml:space="preserve"> issuer will submit one </w:t>
      </w:r>
      <w:r w:rsidR="0067466C">
        <w:t>QIS Implementation Plan</w:t>
      </w:r>
      <w:r>
        <w:t xml:space="preserve"> and two </w:t>
      </w:r>
      <w:r w:rsidR="0067466C">
        <w:t>QIS Progress Reports</w:t>
      </w:r>
      <w:r>
        <w:t xml:space="preserve"> during the three-year period</w:t>
      </w:r>
      <w:r w:rsidR="6F51B185">
        <w:t>, and each existing issuer will submit three QIS Progress Reports</w:t>
      </w:r>
      <w:r>
        <w:t>.</w:t>
      </w:r>
    </w:p>
    <w:p w:rsidR="00624347" w:rsidRPr="0076071C" w14:paraId="60A93B29" w14:textId="01D72DDF">
      <w:pPr>
        <w:pStyle w:val="BodyText"/>
      </w:pPr>
      <w:r>
        <w:t>The estimate</w:t>
      </w:r>
      <w:r w:rsidR="009A053E">
        <w:t xml:space="preserve"> </w:t>
      </w:r>
      <w:r>
        <w:t xml:space="preserve">assumes </w:t>
      </w:r>
      <w:r w:rsidR="2A43BD15">
        <w:t>that</w:t>
      </w:r>
      <w:r w:rsidR="003D13D3">
        <w:t xml:space="preserve"> each year, </w:t>
      </w:r>
      <w:r w:rsidR="00D02E73">
        <w:t xml:space="preserve">each </w:t>
      </w:r>
      <w:r w:rsidR="0080466F">
        <w:t xml:space="preserve">issuer </w:t>
      </w:r>
      <w:r w:rsidR="00EC6524">
        <w:t xml:space="preserve">will submit </w:t>
      </w:r>
      <w:r w:rsidR="14569B6E">
        <w:t>a sing</w:t>
      </w:r>
      <w:r w:rsidR="1B6DB6E2">
        <w:t>l</w:t>
      </w:r>
      <w:r w:rsidR="14569B6E">
        <w:t xml:space="preserve">e </w:t>
      </w:r>
      <w:r w:rsidR="00EC6524">
        <w:t xml:space="preserve">QIS to cover </w:t>
      </w:r>
      <w:r w:rsidR="00EC6524">
        <w:t>all of</w:t>
      </w:r>
      <w:r w:rsidR="00EC6524">
        <w:t xml:space="preserve"> its respective QHPs operating through a</w:t>
      </w:r>
      <w:r w:rsidR="00E4607F">
        <w:t>n Exchange</w:t>
      </w:r>
      <w:r w:rsidR="00EC6524">
        <w:t xml:space="preserve">. </w:t>
      </w:r>
      <w:r w:rsidR="00070A6C">
        <w:t>CMS will conduct</w:t>
      </w:r>
      <w:r w:rsidR="00F70DDF">
        <w:t xml:space="preserve"> </w:t>
      </w:r>
      <w:r w:rsidR="00A3526C">
        <w:t xml:space="preserve">up to </w:t>
      </w:r>
      <w:r w:rsidR="00E4607F">
        <w:t xml:space="preserve">two </w:t>
      </w:r>
      <w:r w:rsidR="00F70DDF">
        <w:t xml:space="preserve">rounds of QIS review concurrent with </w:t>
      </w:r>
      <w:r w:rsidR="003963CC">
        <w:t xml:space="preserve">the </w:t>
      </w:r>
      <w:r w:rsidR="00E4607F">
        <w:t xml:space="preserve">two </w:t>
      </w:r>
      <w:r w:rsidR="003963CC">
        <w:t>rounds of QHP Application review</w:t>
      </w:r>
      <w:r w:rsidR="00070A6C">
        <w:t xml:space="preserve">: </w:t>
      </w:r>
      <w:r w:rsidR="003963CC">
        <w:t>First Review</w:t>
      </w:r>
      <w:r w:rsidR="00E4607F">
        <w:t xml:space="preserve"> and</w:t>
      </w:r>
      <w:r w:rsidR="003963CC">
        <w:t xml:space="preserve"> Second Review. </w:t>
      </w:r>
      <w:r w:rsidR="00EC6524">
        <w:t>A</w:t>
      </w:r>
      <w:r w:rsidR="005C6670">
        <w:t>n</w:t>
      </w:r>
      <w:r w:rsidR="00AD65E5">
        <w:t xml:space="preserve"> issuer</w:t>
      </w:r>
      <w:r w:rsidR="00D37387">
        <w:t xml:space="preserve"> whose initial </w:t>
      </w:r>
      <w:r w:rsidR="003963CC">
        <w:t xml:space="preserve">QIS </w:t>
      </w:r>
      <w:r w:rsidR="00D37387">
        <w:t xml:space="preserve">submission </w:t>
      </w:r>
      <w:r w:rsidR="00A3526C">
        <w:t xml:space="preserve">meets the requirements will not </w:t>
      </w:r>
      <w:r w:rsidR="0030099C">
        <w:t>undergo</w:t>
      </w:r>
      <w:r w:rsidR="00E4607F">
        <w:t xml:space="preserve"> a</w:t>
      </w:r>
      <w:r w:rsidR="00A3526C">
        <w:t xml:space="preserve"> second review. An issuer whose initial QIS submission </w:t>
      </w:r>
      <w:r w:rsidR="00FE3EC6">
        <w:t xml:space="preserve">does </w:t>
      </w:r>
      <w:r w:rsidR="00D02E73">
        <w:t>not</w:t>
      </w:r>
      <w:r w:rsidR="00F43067">
        <w:t xml:space="preserve"> </w:t>
      </w:r>
      <w:r w:rsidR="004B6234">
        <w:t xml:space="preserve">sufficiently </w:t>
      </w:r>
      <w:r w:rsidR="00D37387">
        <w:t xml:space="preserve">meet the </w:t>
      </w:r>
      <w:r w:rsidR="00EC6524">
        <w:t xml:space="preserve">requirements </w:t>
      </w:r>
      <w:r w:rsidR="00F70DDF">
        <w:t xml:space="preserve">during the </w:t>
      </w:r>
      <w:r w:rsidR="00E4607F">
        <w:t xml:space="preserve">first </w:t>
      </w:r>
      <w:r w:rsidR="00F70DDF">
        <w:t xml:space="preserve">review </w:t>
      </w:r>
      <w:r w:rsidR="00EC6524">
        <w:t xml:space="preserve">will need to </w:t>
      </w:r>
      <w:r w:rsidR="00551558">
        <w:t xml:space="preserve">resolve any issues, make clarifications, and re-submit a revised </w:t>
      </w:r>
      <w:r w:rsidR="00123821">
        <w:t>form</w:t>
      </w:r>
      <w:r w:rsidR="00EC6524">
        <w:t xml:space="preserve"> during the </w:t>
      </w:r>
      <w:r w:rsidR="00E4607F">
        <w:t xml:space="preserve">second </w:t>
      </w:r>
      <w:r w:rsidR="00070A6C">
        <w:t xml:space="preserve">QIS </w:t>
      </w:r>
      <w:r w:rsidR="00EC6524">
        <w:t>submission window</w:t>
      </w:r>
      <w:r w:rsidR="00551558">
        <w:t xml:space="preserve">. </w:t>
      </w:r>
    </w:p>
    <w:p w:rsidR="009D1171" w:rsidRPr="0076071C" w14:paraId="574F7E37" w14:textId="00CFD33E">
      <w:pPr>
        <w:pStyle w:val="BodyText"/>
      </w:pPr>
      <w:r w:rsidRPr="0076071C">
        <w:t xml:space="preserve">The </w:t>
      </w:r>
      <w:r w:rsidRPr="0076071C" w:rsidR="00E137C7">
        <w:t>burden incurred by issuers to</w:t>
      </w:r>
      <w:r w:rsidRPr="0076071C" w:rsidR="00551558">
        <w:t xml:space="preserve"> </w:t>
      </w:r>
      <w:r w:rsidRPr="0076071C" w:rsidR="00386801">
        <w:t xml:space="preserve">revise and </w:t>
      </w:r>
      <w:r w:rsidRPr="0076071C" w:rsidR="00551558">
        <w:t xml:space="preserve">re-submit </w:t>
      </w:r>
      <w:r w:rsidRPr="0076071C" w:rsidR="00386801">
        <w:t>the Implementation Plan and Progress Report form</w:t>
      </w:r>
      <w:r w:rsidRPr="0076071C" w:rsidR="00551558">
        <w:t xml:space="preserve"> </w:t>
      </w:r>
      <w:r w:rsidRPr="0076071C" w:rsidR="002B61EA">
        <w:t>is</w:t>
      </w:r>
      <w:r w:rsidRPr="0076071C">
        <w:t xml:space="preserve"> not included in this burden estimate. </w:t>
      </w:r>
      <w:r w:rsidRPr="0076071C" w:rsidR="00E261F3">
        <w:t xml:space="preserve">The </w:t>
      </w:r>
      <w:r w:rsidRPr="0076071C" w:rsidR="002E65E3">
        <w:t>OMB regulation implementing PRA (5</w:t>
      </w:r>
      <w:r w:rsidR="0076071C">
        <w:t> </w:t>
      </w:r>
      <w:r w:rsidRPr="0076071C" w:rsidR="002E65E3">
        <w:t>C</w:t>
      </w:r>
      <w:r w:rsidRPr="0076071C" w:rsidR="007844A0">
        <w:t>.</w:t>
      </w:r>
      <w:r w:rsidRPr="0076071C" w:rsidR="002E65E3">
        <w:t>F</w:t>
      </w:r>
      <w:r w:rsidRPr="0076071C" w:rsidR="007844A0">
        <w:t>.</w:t>
      </w:r>
      <w:r w:rsidRPr="0076071C" w:rsidR="002E65E3">
        <w:t>R</w:t>
      </w:r>
      <w:r w:rsidRPr="0076071C" w:rsidR="007844A0">
        <w:t>.</w:t>
      </w:r>
      <w:r w:rsidRPr="0076071C" w:rsidR="002E65E3">
        <w:t xml:space="preserve"> </w:t>
      </w:r>
      <w:r w:rsidRPr="0076071C" w:rsidR="007844A0">
        <w:t xml:space="preserve">§ </w:t>
      </w:r>
      <w:r w:rsidRPr="0076071C" w:rsidR="002E65E3">
        <w:t>1320.3(h)) defines</w:t>
      </w:r>
      <w:r w:rsidRPr="0076071C" w:rsidR="00E261F3">
        <w:t xml:space="preserve"> categories of information collection</w:t>
      </w:r>
      <w:r w:rsidRPr="0076071C" w:rsidR="002E65E3">
        <w:t xml:space="preserve"> </w:t>
      </w:r>
      <w:r w:rsidRPr="0076071C" w:rsidR="002E47B1">
        <w:t xml:space="preserve">that </w:t>
      </w:r>
      <w:r w:rsidRPr="0076071C" w:rsidR="002E65E3">
        <w:t>generally are not deemed to constitute information</w:t>
      </w:r>
      <w:r w:rsidRPr="0076071C" w:rsidR="00E261F3">
        <w:t xml:space="preserve"> requiring OMB clearance</w:t>
      </w:r>
      <w:r w:rsidRPr="0076071C" w:rsidR="002E65E3">
        <w:t xml:space="preserve">. </w:t>
      </w:r>
      <w:r w:rsidRPr="0076071C" w:rsidR="002B61EA">
        <w:t xml:space="preserve">The </w:t>
      </w:r>
      <w:r w:rsidRPr="0076071C">
        <w:t>OMB definition of</w:t>
      </w:r>
      <w:r w:rsidRPr="0076071C" w:rsidR="002B61EA">
        <w:t xml:space="preserve"> </w:t>
      </w:r>
      <w:r w:rsidRPr="0076071C" w:rsidR="00E261F3">
        <w:t>information</w:t>
      </w:r>
      <w:r w:rsidRPr="0076071C" w:rsidR="002B61EA">
        <w:t xml:space="preserve"> </w:t>
      </w:r>
      <w:r w:rsidRPr="0076071C" w:rsidR="000B755E">
        <w:t xml:space="preserve">that does </w:t>
      </w:r>
      <w:r w:rsidRPr="0076071C" w:rsidR="002B61EA">
        <w:t xml:space="preserve">not </w:t>
      </w:r>
      <w:r w:rsidRPr="0076071C" w:rsidR="000B755E">
        <w:t xml:space="preserve">require </w:t>
      </w:r>
      <w:r w:rsidRPr="0076071C" w:rsidR="002B61EA">
        <w:t xml:space="preserve">clearance includes </w:t>
      </w:r>
      <w:r w:rsidRPr="0076071C" w:rsidR="002624B6">
        <w:t>“</w:t>
      </w:r>
      <w:r w:rsidRPr="00F35386">
        <w:t>i</w:t>
      </w:r>
      <w:r w:rsidRPr="00F35386" w:rsidR="002624B6">
        <w:t>nformation solicited through non-standardized follow-up questions designed to clarify responses to approved collections of information</w:t>
      </w:r>
      <w:r w:rsidRPr="00F35386" w:rsidR="00506642">
        <w:t>.</w:t>
      </w:r>
      <w:r w:rsidRPr="00F35386" w:rsidR="001839D4">
        <w:t>”</w:t>
      </w:r>
      <w:r w:rsidRPr="0076071C">
        <w:t xml:space="preserve"> Th</w:t>
      </w:r>
      <w:r w:rsidRPr="0076071C" w:rsidR="00551558">
        <w:t>erefore</w:t>
      </w:r>
      <w:r w:rsidRPr="0076071C" w:rsidR="002B61EA">
        <w:t xml:space="preserve">, </w:t>
      </w:r>
      <w:r w:rsidRPr="0076071C" w:rsidR="00551558">
        <w:t xml:space="preserve">the </w:t>
      </w:r>
      <w:r w:rsidRPr="0076071C" w:rsidR="00E137C7">
        <w:t>information</w:t>
      </w:r>
      <w:r w:rsidR="00584A3A">
        <w:t xml:space="preserve"> CMS</w:t>
      </w:r>
      <w:r w:rsidRPr="0076071C" w:rsidR="00E137C7">
        <w:t xml:space="preserve"> require</w:t>
      </w:r>
      <w:r w:rsidR="00584A3A">
        <w:t>s</w:t>
      </w:r>
      <w:r w:rsidRPr="0076071C" w:rsidR="00E137C7">
        <w:t xml:space="preserve"> from</w:t>
      </w:r>
      <w:r w:rsidRPr="0076071C" w:rsidR="002B61EA">
        <w:t xml:space="preserve"> issuers</w:t>
      </w:r>
      <w:r w:rsidRPr="0076071C" w:rsidR="00E137C7">
        <w:t xml:space="preserve"> </w:t>
      </w:r>
      <w:r w:rsidR="00584A3A">
        <w:t>to</w:t>
      </w:r>
      <w:r w:rsidRPr="0076071C" w:rsidR="002B61EA">
        <w:t xml:space="preserve"> </w:t>
      </w:r>
      <w:r w:rsidRPr="0076071C" w:rsidR="00386801">
        <w:t>revis</w:t>
      </w:r>
      <w:r w:rsidR="00584A3A">
        <w:t>e</w:t>
      </w:r>
      <w:r w:rsidRPr="0076071C" w:rsidR="00386801">
        <w:t xml:space="preserve"> and </w:t>
      </w:r>
      <w:r w:rsidRPr="0076071C" w:rsidR="002B61EA">
        <w:t>re-submit a</w:t>
      </w:r>
      <w:r w:rsidRPr="0076071C" w:rsidR="00386801">
        <w:t xml:space="preserve"> form </w:t>
      </w:r>
      <w:r w:rsidRPr="0076071C" w:rsidR="00E137C7">
        <w:t xml:space="preserve">is considered </w:t>
      </w:r>
      <w:r w:rsidRPr="0076071C" w:rsidR="00676589">
        <w:t>to be</w:t>
      </w:r>
      <w:r w:rsidRPr="0076071C" w:rsidR="00676589">
        <w:t xml:space="preserve"> </w:t>
      </w:r>
      <w:r w:rsidRPr="0076071C" w:rsidR="00E137C7">
        <w:t xml:space="preserve">information that </w:t>
      </w:r>
      <w:r w:rsidRPr="0076071C" w:rsidR="000B755E">
        <w:t xml:space="preserve">does not </w:t>
      </w:r>
      <w:r w:rsidRPr="0076071C" w:rsidR="00E137C7">
        <w:t>require</w:t>
      </w:r>
      <w:r w:rsidRPr="0076071C">
        <w:t xml:space="preserve"> OMB clearance.</w:t>
      </w:r>
      <w:r w:rsidRPr="0076071C" w:rsidR="002624B6">
        <w:t xml:space="preserve"> </w:t>
      </w:r>
    </w:p>
    <w:p w:rsidR="00F55C47" w14:paraId="1FA9FA85" w14:textId="5F4D23FA">
      <w:pPr>
        <w:pStyle w:val="BodyText"/>
      </w:pPr>
      <w:r w:rsidRPr="0076071C">
        <w:t xml:space="preserve">This estimate </w:t>
      </w:r>
      <w:r w:rsidRPr="0076071C" w:rsidR="00506642">
        <w:t xml:space="preserve">also </w:t>
      </w:r>
      <w:r w:rsidRPr="0076071C">
        <w:t xml:space="preserve">does not account for the burden incurred by </w:t>
      </w:r>
      <w:r w:rsidRPr="0076071C" w:rsidR="00B8120A">
        <w:t>SB</w:t>
      </w:r>
      <w:r w:rsidRPr="0076071C" w:rsidR="00E4607F">
        <w:t>E</w:t>
      </w:r>
      <w:r w:rsidRPr="0076071C" w:rsidR="00B8120A">
        <w:t>s</w:t>
      </w:r>
      <w:r w:rsidRPr="0076071C" w:rsidR="00E137C7">
        <w:t xml:space="preserve"> </w:t>
      </w:r>
      <w:r w:rsidRPr="0076071C" w:rsidR="000E3BB6">
        <w:t xml:space="preserve">associated with </w:t>
      </w:r>
      <w:r w:rsidRPr="0076071C" w:rsidR="00E137C7">
        <w:t>collecting</w:t>
      </w:r>
      <w:r w:rsidRPr="0076071C" w:rsidR="007D0A05">
        <w:t xml:space="preserve"> and evaluating</w:t>
      </w:r>
      <w:r w:rsidRPr="0076071C">
        <w:t xml:space="preserve"> the </w:t>
      </w:r>
      <w:r w:rsidRPr="0076071C" w:rsidR="007C396B">
        <w:t>information</w:t>
      </w:r>
      <w:r w:rsidRPr="0076071C">
        <w:t xml:space="preserve"> reported</w:t>
      </w:r>
      <w:r w:rsidRPr="00F55C47">
        <w:t xml:space="preserve"> by issuers</w:t>
      </w:r>
      <w:r w:rsidR="003A45A3">
        <w:t>,</w:t>
      </w:r>
      <w:r w:rsidRPr="00F55C47">
        <w:t xml:space="preserve"> </w:t>
      </w:r>
      <w:r w:rsidR="000F731F">
        <w:t>to fulfi</w:t>
      </w:r>
      <w:r w:rsidR="00386801">
        <w:t>l</w:t>
      </w:r>
      <w:r w:rsidR="000F731F">
        <w:t xml:space="preserve">l </w:t>
      </w:r>
      <w:r w:rsidRPr="00F55C47">
        <w:t>the QIS</w:t>
      </w:r>
      <w:r w:rsidR="000F731F">
        <w:t xml:space="preserve"> requirements</w:t>
      </w:r>
      <w:r w:rsidRPr="00F55C47">
        <w:t xml:space="preserve">. </w:t>
      </w:r>
      <w:r w:rsidRPr="00E0137E" w:rsidR="00E0137E">
        <w:t>CMS does not collect QIS data from SBE issuers nor does the state submit this information to CMS.</w:t>
      </w:r>
    </w:p>
    <w:p w:rsidR="008F1EB4" w:rsidRPr="00AB72E8" w:rsidP="005B73D0" w14:paraId="56FC816E" w14:textId="77777777">
      <w:pPr>
        <w:pStyle w:val="Heading3"/>
      </w:pPr>
      <w:r w:rsidRPr="00AB72E8">
        <w:t>Capital Costs</w:t>
      </w:r>
    </w:p>
    <w:p w:rsidR="00271D05" w:rsidRPr="00BC10CF" w:rsidP="00695197" w14:paraId="2FFE2CE2" w14:textId="77777777">
      <w:pPr>
        <w:pStyle w:val="BodyText"/>
      </w:pPr>
      <w:r w:rsidRPr="00BC10CF">
        <w:t>N</w:t>
      </w:r>
      <w:r w:rsidRPr="00BC10CF" w:rsidR="006E4C64">
        <w:t xml:space="preserve">o additional capital costs </w:t>
      </w:r>
      <w:r w:rsidRPr="00BC10CF">
        <w:t xml:space="preserve">are </w:t>
      </w:r>
      <w:r w:rsidRPr="00BC10CF" w:rsidR="006E4C64">
        <w:t>expected.</w:t>
      </w:r>
      <w:r w:rsidRPr="00BC10CF" w:rsidR="00211DB3">
        <w:t xml:space="preserve"> </w:t>
      </w:r>
      <w:r w:rsidRPr="00BC10CF" w:rsidR="005E7773">
        <w:t>Neither t</w:t>
      </w:r>
      <w:r w:rsidRPr="00BC10CF" w:rsidR="006E4C64">
        <w:t xml:space="preserve">he acquisition of new systems </w:t>
      </w:r>
      <w:r w:rsidRPr="00BC10CF" w:rsidR="005E7773">
        <w:t>n</w:t>
      </w:r>
      <w:r w:rsidRPr="00BC10CF" w:rsidR="00C241D5">
        <w:t xml:space="preserve">or the </w:t>
      </w:r>
      <w:r w:rsidRPr="00BC10CF" w:rsidR="006E4C64">
        <w:t xml:space="preserve">development of new technology </w:t>
      </w:r>
      <w:r w:rsidRPr="00BC10CF" w:rsidR="00DA654F">
        <w:t>is</w:t>
      </w:r>
      <w:r w:rsidRPr="00BC10CF" w:rsidR="005E7773">
        <w:t xml:space="preserve"> required </w:t>
      </w:r>
      <w:r w:rsidRPr="00BC10CF" w:rsidR="006E4C64">
        <w:t>to complete these reports.</w:t>
      </w:r>
      <w:r w:rsidRPr="00BC10CF" w:rsidR="00211DB3">
        <w:t xml:space="preserve"> </w:t>
      </w:r>
    </w:p>
    <w:p w:rsidR="0035100A" w:rsidRPr="00AB72E8" w:rsidP="001A70EF" w14:paraId="450C9E5C" w14:textId="77777777">
      <w:pPr>
        <w:pStyle w:val="Heading3"/>
      </w:pPr>
      <w:r w:rsidRPr="00AB72E8">
        <w:t>Cost to Federal Government</w:t>
      </w:r>
    </w:p>
    <w:p w:rsidR="00F6475B" w:rsidP="00695197" w14:paraId="10241B79" w14:textId="370762E2">
      <w:pPr>
        <w:pStyle w:val="BodyText"/>
      </w:pPr>
      <w:r>
        <w:t xml:space="preserve">CMS </w:t>
      </w:r>
      <w:r w:rsidR="0035100A">
        <w:t>estimate</w:t>
      </w:r>
      <w:r>
        <w:t>s</w:t>
      </w:r>
      <w:r w:rsidR="0035100A">
        <w:t xml:space="preserve"> that the operations, maintenance</w:t>
      </w:r>
      <w:r w:rsidR="00DA654F">
        <w:t>,</w:t>
      </w:r>
      <w:r w:rsidR="0035100A">
        <w:t xml:space="preserve"> and </w:t>
      </w:r>
      <w:r w:rsidR="007C396B">
        <w:t>information</w:t>
      </w:r>
      <w:r w:rsidR="0035100A">
        <w:t xml:space="preserve"> collection </w:t>
      </w:r>
      <w:r w:rsidR="00487BC6">
        <w:t>costs to the federal government a</w:t>
      </w:r>
      <w:r w:rsidR="0035100A">
        <w:t xml:space="preserve">ssociated with this </w:t>
      </w:r>
      <w:r w:rsidR="00A8346A">
        <w:t>information</w:t>
      </w:r>
      <w:r w:rsidR="009E5F52">
        <w:t xml:space="preserve"> </w:t>
      </w:r>
      <w:r w:rsidR="0035100A">
        <w:t>collection include contract costs for the QIS collection.</w:t>
      </w:r>
      <w:r w:rsidR="009E5F52">
        <w:t xml:space="preserve"> </w:t>
      </w:r>
      <w:r w:rsidR="0035100A">
        <w:t xml:space="preserve">CMS issued a </w:t>
      </w:r>
      <w:r w:rsidR="00676589">
        <w:t>r</w:t>
      </w:r>
      <w:r w:rsidR="0035100A">
        <w:t xml:space="preserve">equest for </w:t>
      </w:r>
      <w:r w:rsidR="00676589">
        <w:t>p</w:t>
      </w:r>
      <w:r w:rsidR="0035100A">
        <w:t>roposal (RFP) to a contractor to manage all incoming</w:t>
      </w:r>
      <w:r w:rsidR="009E5F52">
        <w:t xml:space="preserve"> </w:t>
      </w:r>
      <w:r w:rsidR="00A8346A">
        <w:t>information</w:t>
      </w:r>
      <w:r w:rsidR="0035100A">
        <w:t xml:space="preserve">. </w:t>
      </w:r>
      <w:r w:rsidR="007C396B">
        <w:t>T</w:t>
      </w:r>
      <w:r w:rsidR="0035100A">
        <w:t xml:space="preserve">he estimated annual cost to the </w:t>
      </w:r>
      <w:r w:rsidR="00FA4429">
        <w:t>f</w:t>
      </w:r>
      <w:r w:rsidR="0035100A">
        <w:t>e</w:t>
      </w:r>
      <w:r w:rsidR="009D1171">
        <w:t xml:space="preserve">deral </w:t>
      </w:r>
      <w:r w:rsidR="00FA4429">
        <w:t>g</w:t>
      </w:r>
      <w:r w:rsidR="0035100A">
        <w:t xml:space="preserve">overnment </w:t>
      </w:r>
      <w:r w:rsidR="00FA4429">
        <w:t xml:space="preserve">for </w:t>
      </w:r>
      <w:r w:rsidR="00CE743F">
        <w:t xml:space="preserve">QIS </w:t>
      </w:r>
      <w:r w:rsidR="00A8346A">
        <w:t xml:space="preserve">information </w:t>
      </w:r>
      <w:r w:rsidR="0035100A">
        <w:t xml:space="preserve">collection is </w:t>
      </w:r>
      <w:r w:rsidRPr="005E069E" w:rsidR="0075736C">
        <w:rPr>
          <w:b/>
          <w:bCs/>
        </w:rPr>
        <w:t>$</w:t>
      </w:r>
      <w:r w:rsidRPr="005E069E" w:rsidR="1063F9B5">
        <w:rPr>
          <w:b/>
          <w:bCs/>
        </w:rPr>
        <w:t>514,488</w:t>
      </w:r>
      <w:r w:rsidR="0075736C">
        <w:t xml:space="preserve">. This </w:t>
      </w:r>
      <w:r w:rsidR="00F55C47">
        <w:t xml:space="preserve">cost </w:t>
      </w:r>
      <w:r w:rsidR="00FA4429">
        <w:t xml:space="preserve">estimate </w:t>
      </w:r>
      <w:r w:rsidR="0035100A">
        <w:t xml:space="preserve">reflects </w:t>
      </w:r>
      <w:r w:rsidR="00FA4429">
        <w:t xml:space="preserve">the </w:t>
      </w:r>
      <w:r w:rsidR="0035100A">
        <w:t xml:space="preserve">costs </w:t>
      </w:r>
      <w:r w:rsidR="00FA4429">
        <w:t xml:space="preserve">associated with </w:t>
      </w:r>
      <w:r w:rsidR="0035100A">
        <w:t>col</w:t>
      </w:r>
      <w:r w:rsidR="009E5F52">
        <w:t>lect</w:t>
      </w:r>
      <w:r w:rsidR="00FA4429">
        <w:t>ing</w:t>
      </w:r>
      <w:r w:rsidR="009E5F52">
        <w:t xml:space="preserve"> </w:t>
      </w:r>
      <w:r w:rsidR="00A8346A">
        <w:t xml:space="preserve">information </w:t>
      </w:r>
      <w:r w:rsidR="00FA4429">
        <w:t xml:space="preserve">from </w:t>
      </w:r>
      <w:r w:rsidR="00330EDD">
        <w:t xml:space="preserve">issuers offering QHPs </w:t>
      </w:r>
      <w:r w:rsidR="00CE743F">
        <w:t xml:space="preserve">only </w:t>
      </w:r>
      <w:r w:rsidR="00330EDD">
        <w:t>in</w:t>
      </w:r>
      <w:r w:rsidR="000D3003">
        <w:t xml:space="preserve"> </w:t>
      </w:r>
      <w:r w:rsidR="00AA7FD6">
        <w:t>State</w:t>
      </w:r>
      <w:r w:rsidR="000E3BB6">
        <w:t xml:space="preserve">s </w:t>
      </w:r>
      <w:r w:rsidR="00330EDD">
        <w:t xml:space="preserve">operating </w:t>
      </w:r>
      <w:r w:rsidR="00FA4429">
        <w:t xml:space="preserve">as </w:t>
      </w:r>
      <w:r w:rsidR="00C26A5C">
        <w:t>FF</w:t>
      </w:r>
      <w:r w:rsidR="00E4607F">
        <w:t>E</w:t>
      </w:r>
      <w:r w:rsidR="00570911">
        <w:t>s</w:t>
      </w:r>
      <w:r w:rsidR="00475F43">
        <w:t>,</w:t>
      </w:r>
      <w:r w:rsidR="00981EF2">
        <w:t xml:space="preserve"> includ</w:t>
      </w:r>
      <w:r w:rsidR="00475F43">
        <w:t>ing FFEs where</w:t>
      </w:r>
      <w:r w:rsidR="00554716">
        <w:t xml:space="preserve"> S</w:t>
      </w:r>
      <w:r w:rsidR="00364104">
        <w:t>tate</w:t>
      </w:r>
      <w:r w:rsidR="00981EF2">
        <w:t>s</w:t>
      </w:r>
      <w:r w:rsidR="00364104">
        <w:t xml:space="preserve"> </w:t>
      </w:r>
      <w:r w:rsidR="00377D7F">
        <w:t>perform</w:t>
      </w:r>
      <w:r w:rsidR="00364104">
        <w:t xml:space="preserve"> plan management</w:t>
      </w:r>
      <w:r w:rsidR="0035100A">
        <w:t xml:space="preserve">. </w:t>
      </w:r>
    </w:p>
    <w:p w:rsidR="00F6475B" w:rsidRPr="00AB72E8" w:rsidP="001A70EF" w14:paraId="543EA196" w14:textId="77777777">
      <w:pPr>
        <w:pStyle w:val="Heading3"/>
      </w:pPr>
      <w:r>
        <w:t>Explanation for Program Changes or Adjustments</w:t>
      </w:r>
    </w:p>
    <w:p w:rsidR="00F6475B" w:rsidRPr="00AB72E8" w:rsidP="0076040F" w14:paraId="35C6E32F" w14:textId="09135ED1">
      <w:pPr>
        <w:pStyle w:val="BodyText"/>
      </w:pPr>
      <w:r w:rsidRPr="005E069E">
        <w:t xml:space="preserve">The total </w:t>
      </w:r>
      <w:r w:rsidRPr="005E069E" w:rsidR="7CA71D3F">
        <w:t xml:space="preserve">issuer hour and cost burden over the three-year period covered by the </w:t>
      </w:r>
      <w:r w:rsidRPr="005E069E" w:rsidR="34B318FD">
        <w:t xml:space="preserve">Information Collection Request (ICR) under OMB Control Number 0938-1286 proposed for 2024 is expected to decrease </w:t>
      </w:r>
      <w:r w:rsidRPr="005E069E" w:rsidR="34B318FD">
        <w:t>as a result of</w:t>
      </w:r>
      <w:r w:rsidRPr="005E069E" w:rsidR="34B318FD">
        <w:t xml:space="preserve"> reduced Implementation Years</w:t>
      </w:r>
      <w:r w:rsidRPr="005E069E" w:rsidR="6A6C7C25">
        <w:t>. All e</w:t>
      </w:r>
      <w:r w:rsidRPr="005E069E" w:rsidR="795D734E">
        <w:t xml:space="preserve">ligible issuers currently have a quality improvement strategy on </w:t>
      </w:r>
      <w:r w:rsidRPr="005E069E" w:rsidR="0F3932FE">
        <w:t>file;</w:t>
      </w:r>
      <w:r w:rsidRPr="005E069E" w:rsidR="2BB95DDA">
        <w:t xml:space="preserve"> hence, Implementation Years would primarily apply to new issuers </w:t>
      </w:r>
      <w:r w:rsidRPr="005E069E" w:rsidR="0BAF5AC2">
        <w:t>or issuer</w:t>
      </w:r>
      <w:r w:rsidRPr="005E069E" w:rsidR="562E71EF">
        <w:t>s</w:t>
      </w:r>
      <w:r w:rsidRPr="005E069E" w:rsidR="0BAF5AC2">
        <w:t xml:space="preserve"> </w:t>
      </w:r>
      <w:r w:rsidRPr="005E069E" w:rsidR="2BB95DDA">
        <w:t xml:space="preserve">who </w:t>
      </w:r>
      <w:r w:rsidRPr="005E069E" w:rsidR="3A7F0462">
        <w:t>have become</w:t>
      </w:r>
      <w:r w:rsidRPr="005E069E" w:rsidR="2BB95DDA">
        <w:t xml:space="preserve"> reporting eligible.</w:t>
      </w:r>
      <w:r w:rsidRPr="005E069E" w:rsidR="48F23FC1">
        <w:t xml:space="preserve"> Implementation Years may also apply to issuers who </w:t>
      </w:r>
      <w:r w:rsidRPr="005E069E" w:rsidR="21D7B335">
        <w:t>opt</w:t>
      </w:r>
      <w:r w:rsidRPr="005E069E" w:rsidR="48F23FC1">
        <w:t xml:space="preserve"> to implement a new QIS in addition to their existing strategy or to replace a discontinued strategy. </w:t>
      </w:r>
      <w:r w:rsidRPr="005E069E" w:rsidR="53C07C71">
        <w:t xml:space="preserve">The burden for these issuers </w:t>
      </w:r>
      <w:r w:rsidRPr="005E069E" w:rsidR="239E8BE1">
        <w:t>is absorbed into the estimates for Progress Reporting</w:t>
      </w:r>
      <w:r w:rsidRPr="005E069E" w:rsidR="3B5E29A0">
        <w:t>.</w:t>
      </w:r>
    </w:p>
    <w:p w:rsidR="00F6475B" w:rsidRPr="00BE4BD8" w:rsidP="0076040F" w14:paraId="2A064211" w14:textId="77777777">
      <w:pPr>
        <w:pStyle w:val="BodyText"/>
      </w:pPr>
      <w:r w:rsidRPr="00580E73">
        <w:t xml:space="preserve">At this time, CMS does not expect that the </w:t>
      </w:r>
      <w:r w:rsidR="00373630">
        <w:t>information</w:t>
      </w:r>
      <w:r w:rsidRPr="00580E73">
        <w:t xml:space="preserve"> collected in the annual reports will be published or shared with other agencies.</w:t>
      </w:r>
    </w:p>
    <w:p w:rsidR="00CE097A" w:rsidP="00695197" w14:paraId="4D21554D" w14:textId="77777777">
      <w:pPr>
        <w:pStyle w:val="Heading3"/>
      </w:pPr>
      <w:r w:rsidRPr="00AB72E8">
        <w:t>Expiration Date</w:t>
      </w:r>
    </w:p>
    <w:p w:rsidR="00704BA4" w:rsidP="00695197" w14:paraId="18CD41FB" w14:textId="07602568">
      <w:pPr>
        <w:pStyle w:val="BodyText"/>
      </w:pPr>
      <w:r>
        <w:t>The expiration date and OMB control number will appear on the first page of each instrument (top right corner).</w:t>
      </w:r>
    </w:p>
    <w:p w:rsidR="00540F47" w:rsidP="00540F47" w14:paraId="6918BA31" w14:textId="7DD3D6A5">
      <w:pPr>
        <w:pStyle w:val="Heading3"/>
      </w:pPr>
      <w:r w:rsidRPr="00540F47">
        <w:t>Publication/Tabulation Dates</w:t>
      </w:r>
    </w:p>
    <w:p w:rsidR="008C6431" w:rsidP="00564A8F" w14:paraId="7EC9D97A" w14:textId="6136312C">
      <w:pPr>
        <w:pStyle w:val="BodyText"/>
      </w:pPr>
      <w:r>
        <w:t>This collection of information is not intended for publication</w:t>
      </w:r>
      <w:r w:rsidR="7576C623">
        <w:t xml:space="preserve"> </w:t>
      </w:r>
      <w:r w:rsidR="7576C623">
        <w:t>In</w:t>
      </w:r>
      <w:r w:rsidR="7576C623">
        <w:t xml:space="preserve"> the future,</w:t>
      </w:r>
      <w:r w:rsidR="00564A8F">
        <w:t xml:space="preserve"> </w:t>
      </w:r>
      <w:r>
        <w:t xml:space="preserve">CMS </w:t>
      </w:r>
      <w:r w:rsidR="1B39EC15">
        <w:t>may</w:t>
      </w:r>
      <w:r>
        <w:t xml:space="preserve"> </w:t>
      </w:r>
      <w:r w:rsidR="22CB00CC">
        <w:t xml:space="preserve">propose an approach to publishing deidentified data through the rulemaking process. </w:t>
      </w:r>
    </w:p>
    <w:p w:rsidR="00540F47" w:rsidRPr="00540F47" w:rsidP="00D666EA" w14:paraId="1A3F462F" w14:textId="4C8DFECA">
      <w:pPr>
        <w:pStyle w:val="BodyText"/>
      </w:pPr>
      <w:r>
        <w:t xml:space="preserve">CMS intends to seek public comment on the approach for publishing QIS data via the HHS Notice of Benefit and Payment Parameters. If finalized, data from the QIS ICR will be published and accessible to the public here: </w:t>
      </w:r>
      <w:hyperlink r:id="rId10" w:history="1">
        <w:r w:rsidRPr="00564A8F" w:rsidR="007B4034">
          <w:t>https://www.cms.gov/medicare/quality/health-insurance-marketplace-initiatives</w:t>
        </w:r>
      </w:hyperlink>
      <w:r w:rsidR="007B4034">
        <w:t xml:space="preserve">. </w:t>
      </w:r>
    </w:p>
    <w:sectPr w:rsidSect="00787ECD">
      <w:footerReference w:type="default" r:id="rId11"/>
      <w:footerReference w:type="first" r:id="rId12"/>
      <w:endnotePr>
        <w:numFmt w:val="decimal"/>
      </w:endnotePr>
      <w:pgSz w:w="12240" w:h="15840" w:code="1"/>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embedRegular r:id="rId1" w:subsetted="1" w:fontKey="{9F4EFA94-C9D9-4A7F-B9DE-17F08E85F7B6}"/>
    <w:embedBold r:id="rId2" w:subsetted="1" w:fontKey="{AF06A67C-125F-46E1-ABD0-7970302DA14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3" w:subsetted="1" w:fontKey="{FCD38044-2BDF-4520-88A4-B992A12F7CB1}"/>
    <w:embedBold r:id="rId4" w:subsetted="1" w:fontKey="{EF881B37-B802-4037-9F6D-83E08755854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CB3" w:rsidRPr="00275C1E" w:rsidP="002C2E07" w14:paraId="71563D27" w14:textId="72B075AF">
    <w:pPr>
      <w:pStyle w:val="Footer"/>
      <w:tabs>
        <w:tab w:val="clear" w:pos="4680"/>
        <w:tab w:val="clear" w:pos="9360"/>
      </w:tabs>
      <w:jc w:val="center"/>
      <w:rPr>
        <w:sz w:val="24"/>
      </w:rPr>
    </w:pPr>
    <w:r w:rsidRPr="00275C1E">
      <w:rPr>
        <w:caps/>
        <w:sz w:val="24"/>
      </w:rPr>
      <w:fldChar w:fldCharType="begin"/>
    </w:r>
    <w:r w:rsidRPr="00275C1E">
      <w:rPr>
        <w:caps/>
        <w:sz w:val="24"/>
      </w:rPr>
      <w:instrText xml:space="preserve"> PAGE   \* MERGEFORMAT </w:instrText>
    </w:r>
    <w:r w:rsidRPr="00275C1E">
      <w:rPr>
        <w:caps/>
        <w:sz w:val="24"/>
      </w:rPr>
      <w:fldChar w:fldCharType="separate"/>
    </w:r>
    <w:r w:rsidRPr="00275C1E" w:rsidR="00F57981">
      <w:rPr>
        <w:caps/>
        <w:noProof/>
        <w:sz w:val="24"/>
      </w:rPr>
      <w:t>1</w:t>
    </w:r>
    <w:r w:rsidRPr="00275C1E">
      <w:rPr>
        <w:caps/>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CB3" w:rsidRPr="00787ECD" w:rsidP="00787ECD" w14:paraId="0820C2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01A0" w14:paraId="7F7340B7" w14:textId="77777777">
      <w:r>
        <w:separator/>
      </w:r>
    </w:p>
  </w:footnote>
  <w:footnote w:type="continuationSeparator" w:id="1">
    <w:p w:rsidR="00E801A0" w14:paraId="603844BE" w14:textId="77777777">
      <w:r>
        <w:continuationSeparator/>
      </w:r>
    </w:p>
  </w:footnote>
  <w:footnote w:type="continuationNotice" w:id="2">
    <w:p w:rsidR="00E801A0" w14:paraId="6DDDBC88" w14:textId="77777777"/>
  </w:footnote>
  <w:footnote w:id="3">
    <w:p w:rsidR="00486573" w:rsidP="00704BA4" w14:paraId="587EE777" w14:textId="6DCAC73D">
      <w:r w:rsidRPr="47052012">
        <w:rPr>
          <w:rStyle w:val="FootnoteReference"/>
          <w:szCs w:val="20"/>
        </w:rPr>
        <w:footnoteRef/>
      </w:r>
      <w:r w:rsidRPr="00DD6888">
        <w:rPr>
          <w:szCs w:val="20"/>
        </w:rPr>
        <w:t xml:space="preserve"> Beginning with the 2024 Plan Year, issuers are required to address at least two topic areas in their quality improvement strategies on file with “Reduce health and health care disparities” as one of the topic areas</w:t>
      </w:r>
      <w:r w:rsidR="00275C1E">
        <w:rPr>
          <w:szCs w:val="20"/>
        </w:rPr>
        <w:t>,</w:t>
      </w:r>
      <w:r w:rsidRPr="00DD6888">
        <w:rPr>
          <w:szCs w:val="20"/>
        </w:rPr>
        <w:t xml:space="preserve"> as cited in</w:t>
      </w:r>
      <w:r w:rsidR="00275C1E">
        <w:rPr>
          <w:szCs w:val="20"/>
        </w:rPr>
        <w:t> </w:t>
      </w:r>
      <w:r w:rsidRPr="00DD6888">
        <w:rPr>
          <w:szCs w:val="20"/>
        </w:rPr>
        <w:t xml:space="preserve">the Patient Protection and Affordable Care </w:t>
      </w:r>
      <w:r w:rsidRPr="00DD6888">
        <w:rPr>
          <w:szCs w:val="20"/>
        </w:rPr>
        <w:t>Act;</w:t>
      </w:r>
      <w:r w:rsidRPr="00DD6888">
        <w:rPr>
          <w:szCs w:val="20"/>
        </w:rPr>
        <w:t xml:space="preserve"> HHS Notice of Benefit and Payment Parameters for 2023 (87</w:t>
      </w:r>
      <w:r w:rsidR="00275C1E">
        <w:rPr>
          <w:szCs w:val="20"/>
        </w:rPr>
        <w:t> </w:t>
      </w:r>
      <w:r w:rsidRPr="00DD6888">
        <w:rPr>
          <w:szCs w:val="20"/>
        </w:rPr>
        <w:t>FR</w:t>
      </w:r>
      <w:r w:rsidR="00275C1E">
        <w:rPr>
          <w:szCs w:val="20"/>
        </w:rPr>
        <w:t> </w:t>
      </w:r>
      <w:r w:rsidRPr="00DD6888">
        <w:rPr>
          <w:szCs w:val="20"/>
        </w:rPr>
        <w:t>27208).</w:t>
      </w:r>
    </w:p>
  </w:footnote>
  <w:footnote w:id="4">
    <w:p w:rsidR="00C82CB3" w:rsidP="001E1A58" w14:paraId="2F01B390" w14:textId="1D5737D8">
      <w:pPr>
        <w:pStyle w:val="FootnoteText"/>
      </w:pPr>
      <w:r w:rsidRPr="00783634">
        <w:rPr>
          <w:rStyle w:val="FootnoteReference"/>
        </w:rPr>
        <w:footnoteRef/>
      </w:r>
      <w:r>
        <w:t xml:space="preserve"> </w:t>
      </w:r>
      <w:r w:rsidRPr="009A03E3">
        <w:t>A</w:t>
      </w:r>
      <w:r>
        <w:t>n</w:t>
      </w:r>
      <w:r w:rsidRPr="009A03E3">
        <w:t xml:space="preserve"> SB</w:t>
      </w:r>
      <w:r>
        <w:t>E</w:t>
      </w:r>
      <w:r w:rsidRPr="009A03E3">
        <w:t xml:space="preserve"> is </w:t>
      </w:r>
      <w:r>
        <w:rPr>
          <w:color w:val="000000"/>
          <w:bdr w:val="none" w:sz="0" w:space="0" w:color="auto" w:frame="1"/>
        </w:rPr>
        <w:t xml:space="preserve">an Exchange </w:t>
      </w:r>
      <w:r w:rsidRPr="007407F9">
        <w:rPr>
          <w:color w:val="000000"/>
          <w:bdr w:val="none" w:sz="0" w:space="0" w:color="auto" w:frame="1"/>
        </w:rPr>
        <w:t xml:space="preserve">model in which a </w:t>
      </w:r>
      <w:r>
        <w:rPr>
          <w:color w:val="000000"/>
          <w:bdr w:val="none" w:sz="0" w:space="0" w:color="auto" w:frame="1"/>
        </w:rPr>
        <w:t>S</w:t>
      </w:r>
      <w:r w:rsidRPr="007407F9">
        <w:rPr>
          <w:color w:val="000000"/>
          <w:bdr w:val="none" w:sz="0" w:space="0" w:color="auto" w:frame="1"/>
        </w:rPr>
        <w:t xml:space="preserve">tate establishes and operates its own Health Insurance </w:t>
      </w:r>
      <w:r>
        <w:rPr>
          <w:color w:val="000000"/>
          <w:bdr w:val="none" w:sz="0" w:space="0" w:color="auto" w:frame="1"/>
        </w:rPr>
        <w:t>Exchange</w:t>
      </w:r>
      <w:r w:rsidRPr="007407F9">
        <w:rPr>
          <w:color w:val="000000"/>
          <w:bdr w:val="none" w:sz="0" w:space="0" w:color="auto" w:frame="1"/>
        </w:rPr>
        <w:t>, for</w:t>
      </w:r>
      <w:r w:rsidR="00275C1E">
        <w:rPr>
          <w:color w:val="000000"/>
          <w:bdr w:val="none" w:sz="0" w:space="0" w:color="auto" w:frame="1"/>
        </w:rPr>
        <w:t> </w:t>
      </w:r>
      <w:r w:rsidRPr="007407F9">
        <w:rPr>
          <w:color w:val="000000"/>
          <w:bdr w:val="none" w:sz="0" w:space="0" w:color="auto" w:frame="1"/>
        </w:rPr>
        <w:t xml:space="preserve">both the individual and small group markets, pending approval by </w:t>
      </w:r>
      <w:r>
        <w:rPr>
          <w:color w:val="000000"/>
          <w:bdr w:val="none" w:sz="0" w:space="0" w:color="auto" w:frame="1"/>
        </w:rPr>
        <w:t>CM</w:t>
      </w:r>
      <w:r w:rsidRPr="007407F9">
        <w:rPr>
          <w:color w:val="000000"/>
          <w:bdr w:val="none" w:sz="0" w:space="0" w:color="auto" w:frame="1"/>
        </w:rPr>
        <w:t>S.</w:t>
      </w:r>
    </w:p>
  </w:footnote>
  <w:footnote w:id="5">
    <w:p w:rsidR="00C82CB3" w:rsidRPr="009A03E3" w:rsidP="001E1A58" w14:paraId="6F52712E" w14:textId="78607C6E">
      <w:pPr>
        <w:rPr>
          <w:szCs w:val="20"/>
        </w:rPr>
      </w:pPr>
      <w:r w:rsidRPr="00783634">
        <w:rPr>
          <w:rStyle w:val="FootnoteReference"/>
        </w:rPr>
        <w:footnoteRef/>
      </w:r>
      <w:r w:rsidRPr="009A03E3">
        <w:rPr>
          <w:szCs w:val="20"/>
        </w:rPr>
        <w:t xml:space="preserve"> FF</w:t>
      </w:r>
      <w:r>
        <w:rPr>
          <w:szCs w:val="20"/>
        </w:rPr>
        <w:t>Es</w:t>
      </w:r>
      <w:r w:rsidRPr="009A03E3">
        <w:rPr>
          <w:szCs w:val="20"/>
        </w:rPr>
        <w:t xml:space="preserve"> </w:t>
      </w:r>
      <w:r>
        <w:rPr>
          <w:color w:val="000000"/>
          <w:szCs w:val="20"/>
          <w:bdr w:val="none" w:sz="0" w:space="0" w:color="auto" w:frame="1"/>
        </w:rPr>
        <w:t>are</w:t>
      </w:r>
      <w:r w:rsidRPr="007407F9">
        <w:rPr>
          <w:color w:val="000000"/>
          <w:szCs w:val="20"/>
          <w:bdr w:val="none" w:sz="0" w:space="0" w:color="auto" w:frame="1"/>
        </w:rPr>
        <w:t xml:space="preserve"> </w:t>
      </w:r>
      <w:r>
        <w:rPr>
          <w:color w:val="000000"/>
          <w:szCs w:val="20"/>
          <w:bdr w:val="none" w:sz="0" w:space="0" w:color="auto" w:frame="1"/>
        </w:rPr>
        <w:t>Exchanges</w:t>
      </w:r>
      <w:r w:rsidRPr="007407F9">
        <w:rPr>
          <w:color w:val="000000"/>
          <w:szCs w:val="20"/>
          <w:bdr w:val="none" w:sz="0" w:space="0" w:color="auto" w:frame="1"/>
        </w:rPr>
        <w:t xml:space="preserve"> established and operated by </w:t>
      </w:r>
      <w:r>
        <w:rPr>
          <w:color w:val="000000"/>
          <w:szCs w:val="20"/>
          <w:bdr w:val="none" w:sz="0" w:space="0" w:color="auto" w:frame="1"/>
        </w:rPr>
        <w:t>CMS</w:t>
      </w:r>
      <w:r w:rsidRPr="007407F9">
        <w:rPr>
          <w:color w:val="000000"/>
          <w:szCs w:val="20"/>
          <w:bdr w:val="none" w:sz="0" w:space="0" w:color="auto" w:frame="1"/>
        </w:rPr>
        <w:t xml:space="preserve"> for individual and small group market coverage.</w:t>
      </w:r>
    </w:p>
  </w:footnote>
  <w:footnote w:id="6">
    <w:p w:rsidR="00C82CB3" w:rsidRPr="00042027" w:rsidP="00BB09D0" w14:paraId="764EA38C" w14:textId="434F5084">
      <w:pPr>
        <w:pStyle w:val="FootnoteText"/>
        <w:keepNext/>
        <w:keepLines/>
      </w:pPr>
      <w:r w:rsidRPr="001769B4">
        <w:rPr>
          <w:rStyle w:val="FootnoteReference"/>
        </w:rPr>
        <w:footnoteRef/>
      </w:r>
      <w:r w:rsidRPr="009D1171">
        <w:rPr>
          <w:vertAlign w:val="superscript"/>
        </w:rPr>
        <w:t xml:space="preserve"> </w:t>
      </w:r>
      <w:r w:rsidRPr="007407F9">
        <w:rPr>
          <w:szCs w:val="18"/>
        </w:rPr>
        <w:t xml:space="preserve">A QHP issuer is </w:t>
      </w:r>
      <w:r w:rsidRPr="007407F9">
        <w:rPr>
          <w:szCs w:val="18"/>
          <w:lang w:val="en"/>
        </w:rPr>
        <w:t>a health insurance issuer that offers a QHP in accordance with a certification from a</w:t>
      </w:r>
      <w:r>
        <w:rPr>
          <w:szCs w:val="18"/>
          <w:lang w:val="en"/>
        </w:rPr>
        <w:t>n Exchange</w:t>
      </w:r>
      <w:r w:rsidRPr="007407F9">
        <w:rPr>
          <w:szCs w:val="18"/>
        </w:rPr>
        <w:t xml:space="preserve">. </w:t>
      </w:r>
      <w:r>
        <w:rPr>
          <w:szCs w:val="18"/>
        </w:rPr>
        <w:t xml:space="preserve">All issuers subject to QIS requirements are QHP issuers, and are referred to as “issuers” in this and other QIS </w:t>
      </w:r>
      <w:r w:rsidRPr="00F35386">
        <w:rPr>
          <w:szCs w:val="18"/>
        </w:rPr>
        <w:t>materials as noted in the</w:t>
      </w:r>
      <w:r>
        <w:rPr>
          <w:szCs w:val="18"/>
        </w:rPr>
        <w:t xml:space="preserve"> </w:t>
      </w:r>
      <w:r w:rsidRPr="00905246">
        <w:rPr>
          <w:szCs w:val="18"/>
        </w:rPr>
        <w:t xml:space="preserve">Final Rule on </w:t>
      </w:r>
      <w:r>
        <w:rPr>
          <w:szCs w:val="18"/>
        </w:rPr>
        <w:t>Marketplace</w:t>
      </w:r>
      <w:r w:rsidRPr="00905246">
        <w:rPr>
          <w:szCs w:val="18"/>
        </w:rPr>
        <w:t xml:space="preserve"> and Insurance Market Standards for 2015 and Beyond</w:t>
      </w:r>
      <w:r>
        <w:rPr>
          <w:szCs w:val="18"/>
        </w:rPr>
        <w:t xml:space="preserve">, available at: </w:t>
      </w:r>
      <w:hyperlink r:id="rId1" w:tooltip="Federal Register, May 27, 2014" w:history="1">
        <w:r w:rsidRPr="00695197">
          <w:rPr>
            <w:rStyle w:val="Hyperlink"/>
            <w:szCs w:val="18"/>
          </w:rPr>
          <w:t>http://www.gpo.gov/fdsys/pkg/FR-2014-05-27/pdf/2014-11657.pdf</w:t>
        </w:r>
      </w:hyperlink>
    </w:p>
  </w:footnote>
  <w:footnote w:id="7">
    <w:p w:rsidR="00C82CB3" w14:paraId="139F1831" w14:textId="79BB0897">
      <w:pPr>
        <w:pStyle w:val="FootnoteText"/>
      </w:pPr>
      <w:r>
        <w:rPr>
          <w:rStyle w:val="FootnoteReference"/>
        </w:rPr>
        <w:footnoteRef/>
      </w:r>
      <w:r>
        <w:t xml:space="preserve"> This final rule was published in February 2015 and is available here: </w:t>
      </w:r>
      <w:hyperlink r:id="rId2" w:history="1">
        <w:r w:rsidRPr="006149EA" w:rsidR="0039105A">
          <w:rPr>
            <w:rStyle w:val="Hyperlink"/>
          </w:rPr>
          <w:t>https://www.federalregister.gov/documents/2015/02/27/2015-03751/patient-protection-and-affordable-care-act-hhs-notice-of-benefit-and-payment-parameters-for-2016</w:t>
        </w:r>
      </w:hyperlink>
      <w:r w:rsidR="0039105A">
        <w:t>.</w:t>
      </w:r>
    </w:p>
  </w:footnote>
  <w:footnote w:id="8">
    <w:p w:rsidR="008E0F02" w14:paraId="568E95DC" w14:textId="60B122F1">
      <w:pPr>
        <w:pStyle w:val="FootnoteText"/>
      </w:pPr>
      <w:r>
        <w:rPr>
          <w:rStyle w:val="FootnoteReference"/>
        </w:rPr>
        <w:footnoteRef/>
      </w:r>
      <w:r>
        <w:t xml:space="preserve"> This final rule was published in </w:t>
      </w:r>
      <w:r>
        <w:t xml:space="preserve">May 2022 and is available here: </w:t>
      </w:r>
      <w:hyperlink r:id="rId3" w:history="1">
        <w:r w:rsidRPr="006D460F" w:rsidR="00FF2DE3">
          <w:rPr>
            <w:rStyle w:val="Hyperlink"/>
          </w:rPr>
          <w:t>https://www.federalregister.gov/documents/2022/05/06/2022-09438/patient-protection-and-affordable-care-act-hhs-notice-of-benefit-and-payment-parameters-for-2023</w:t>
        </w:r>
      </w:hyperlink>
    </w:p>
  </w:footnote>
  <w:footnote w:id="9">
    <w:p w:rsidR="00FD5560" w:rsidP="00896E62" w14:paraId="1C8D6EAA" w14:textId="77777777">
      <w:pPr>
        <w:pStyle w:val="FootnoteText"/>
      </w:pPr>
      <w:r>
        <w:rPr>
          <w:rStyle w:val="FootnoteReference"/>
        </w:rPr>
        <w:footnoteRef/>
      </w:r>
      <w:r>
        <w:t xml:space="preserve"> Assuming 20% of eligible issuers are new and reporting in their implementation year.</w:t>
      </w:r>
    </w:p>
  </w:footnote>
  <w:footnote w:id="10">
    <w:p w:rsidR="005E2CB0" w:rsidP="00274A40" w14:paraId="7F92B56D" w14:textId="77777777">
      <w:pPr>
        <w:pStyle w:val="FootnoteText"/>
      </w:pPr>
      <w:r>
        <w:rPr>
          <w:rStyle w:val="FootnoteReference"/>
        </w:rPr>
        <w:footnoteRef/>
      </w:r>
      <w:r>
        <w:t xml:space="preserve"> </w:t>
      </w:r>
      <w:hyperlink r:id="rId4" w:history="1">
        <w:r w:rsidRPr="006149EA">
          <w:rPr>
            <w:rStyle w:val="Hyperlink"/>
          </w:rPr>
          <w:t>http://www.bls.gov/oes/current/oes_stru.htm</w:t>
        </w:r>
      </w:hyperlink>
      <w:r>
        <w:t xml:space="preserve"> </w:t>
      </w:r>
    </w:p>
  </w:footnote>
  <w:footnote w:id="11">
    <w:p w:rsidR="00BE4F4B" w14:paraId="0A44018F" w14:textId="20AFC944">
      <w:pPr>
        <w:pStyle w:val="FootnoteText"/>
      </w:pPr>
      <w:r>
        <w:rPr>
          <w:rStyle w:val="FootnoteReference"/>
        </w:rPr>
        <w:footnoteRef/>
      </w:r>
      <w:r>
        <w:t xml:space="preserve"> </w:t>
      </w:r>
      <w:hyperlink r:id="rId4" w:history="1">
        <w:r w:rsidRPr="006149EA" w:rsidR="00275C1E">
          <w:rPr>
            <w:rStyle w:val="Hyperlink"/>
          </w:rPr>
          <w:t>http://www.bls.gov/oes/current/oes_stru.htm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8C8AF14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6E0325"/>
    <w:multiLevelType w:val="hybridMultilevel"/>
    <w:tmpl w:val="8A66DAE2"/>
    <w:lvl w:ilvl="0">
      <w:start w:val="1"/>
      <w:numFmt w:val="decimal"/>
      <w:lvlText w:val="(%1)"/>
      <w:lvlJc w:val="left"/>
      <w:pPr>
        <w:ind w:left="720" w:hanging="360"/>
      </w:pPr>
      <w:rPr>
        <w:rFonts w:eastAsia="Times New Roman"/>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0576AC"/>
    <w:multiLevelType w:val="hybridMultilevel"/>
    <w:tmpl w:val="F95CE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12DBD"/>
    <w:multiLevelType w:val="hybridMultilevel"/>
    <w:tmpl w:val="AACCE596"/>
    <w:lvl w:ilvl="0">
      <w:start w:val="1"/>
      <w:numFmt w:val="bullet"/>
      <w:pStyle w:val="Callou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D73A1F"/>
    <w:multiLevelType w:val="hybridMultilevel"/>
    <w:tmpl w:val="B6F2F368"/>
    <w:lvl w:ilvl="0">
      <w:start w:val="1"/>
      <w:numFmt w:val="bullet"/>
      <w:pStyle w:val="ListBullet"/>
      <w:lvlText w:val="·"/>
      <w:lvlJc w:val="left"/>
      <w:pPr>
        <w:ind w:left="360" w:hanging="360"/>
      </w:pPr>
      <w:rPr>
        <w:rFonts w:ascii="Symbol" w:hAnsi="Symbol" w:hint="default"/>
        <w:b w:val="0"/>
        <w:i w:val="0"/>
        <w:color w:val="auto"/>
        <w:sz w:val="18"/>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5450172"/>
    <w:multiLevelType w:val="hybridMultilevel"/>
    <w:tmpl w:val="30B87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4D7900"/>
    <w:multiLevelType w:val="hybridMultilevel"/>
    <w:tmpl w:val="5F9676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85326B"/>
    <w:multiLevelType w:val="hybridMultilevel"/>
    <w:tmpl w:val="D2A6BE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B25C03"/>
    <w:multiLevelType w:val="hybridMultilevel"/>
    <w:tmpl w:val="D0FAC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BB193B"/>
    <w:multiLevelType w:val="hybridMultilevel"/>
    <w:tmpl w:val="8592B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1550C4"/>
    <w:multiLevelType w:val="hybridMultilevel"/>
    <w:tmpl w:val="1F20740A"/>
    <w:lvl w:ilvl="0">
      <w:start w:val="1"/>
      <w:numFmt w:val="bullet"/>
      <w:pStyle w:val="table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196697E"/>
    <w:multiLevelType w:val="hybridMultilevel"/>
    <w:tmpl w:val="A9186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4FC3550"/>
    <w:multiLevelType w:val="hybridMultilevel"/>
    <w:tmpl w:val="11900E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C7E3891"/>
    <w:multiLevelType w:val="hybridMultilevel"/>
    <w:tmpl w:val="B628C36A"/>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E32834"/>
    <w:multiLevelType w:val="hybridMultilevel"/>
    <w:tmpl w:val="AD007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7C1A19"/>
    <w:multiLevelType w:val="hybridMultilevel"/>
    <w:tmpl w:val="E39678B2"/>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6">
    <w:nsid w:val="5785604A"/>
    <w:multiLevelType w:val="hybridMultilevel"/>
    <w:tmpl w:val="FBEE6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446F29"/>
    <w:multiLevelType w:val="multilevel"/>
    <w:tmpl w:val="67E422BA"/>
    <w:lvl w:ilvl="0">
      <w:start w:val="1"/>
      <w:numFmt w:val="none"/>
      <w:pStyle w:val="Heading1"/>
      <w:lvlJc w:val="left"/>
      <w:pPr>
        <w:ind w:left="0" w:firstLine="0"/>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8">
    <w:nsid w:val="64BA7FA2"/>
    <w:multiLevelType w:val="hybridMultilevel"/>
    <w:tmpl w:val="5F9676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BF3A18"/>
    <w:multiLevelType w:val="hybridMultilevel"/>
    <w:tmpl w:val="DFF2C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8D28A8"/>
    <w:multiLevelType w:val="hybridMultilevel"/>
    <w:tmpl w:val="53A664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7E141334"/>
    <w:multiLevelType w:val="hybridMultilevel"/>
    <w:tmpl w:val="F13A03DC"/>
    <w:lvl w:ilvl="0">
      <w:start w:val="1"/>
      <w:numFmt w:val="decimal"/>
      <w:lvlText w:val="(%1)"/>
      <w:lvlJc w:val="left"/>
      <w:pPr>
        <w:ind w:left="720" w:hanging="360"/>
      </w:pPr>
      <w:rPr>
        <w:rFonts w:eastAsia="Times New Roman"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7790963">
    <w:abstractNumId w:val="14"/>
  </w:num>
  <w:num w:numId="2" w16cid:durableId="1341006043">
    <w:abstractNumId w:val="18"/>
  </w:num>
  <w:num w:numId="3" w16cid:durableId="1624338687">
    <w:abstractNumId w:val="6"/>
  </w:num>
  <w:num w:numId="4" w16cid:durableId="1375622462">
    <w:abstractNumId w:val="8"/>
  </w:num>
  <w:num w:numId="5" w16cid:durableId="1394741765">
    <w:abstractNumId w:val="16"/>
  </w:num>
  <w:num w:numId="6" w16cid:durableId="656616671">
    <w:abstractNumId w:val="5"/>
  </w:num>
  <w:num w:numId="7" w16cid:durableId="1832217441">
    <w:abstractNumId w:val="12"/>
  </w:num>
  <w:num w:numId="8" w16cid:durableId="224267951">
    <w:abstractNumId w:val="12"/>
  </w:num>
  <w:num w:numId="9" w16cid:durableId="1578512539">
    <w:abstractNumId w:val="4"/>
  </w:num>
  <w:num w:numId="10" w16cid:durableId="2052653070">
    <w:abstractNumId w:val="10"/>
  </w:num>
  <w:num w:numId="11" w16cid:durableId="385370894">
    <w:abstractNumId w:val="20"/>
  </w:num>
  <w:num w:numId="12" w16cid:durableId="685138079">
    <w:abstractNumId w:val="11"/>
  </w:num>
  <w:num w:numId="13" w16cid:durableId="410003485">
    <w:abstractNumId w:val="13"/>
  </w:num>
  <w:num w:numId="14" w16cid:durableId="1594126947">
    <w:abstractNumId w:val="1"/>
  </w:num>
  <w:num w:numId="15" w16cid:durableId="197544968">
    <w:abstractNumId w:val="3"/>
  </w:num>
  <w:num w:numId="16" w16cid:durableId="1049183268">
    <w:abstractNumId w:val="21"/>
  </w:num>
  <w:num w:numId="17" w16cid:durableId="1991909649">
    <w:abstractNumId w:val="17"/>
  </w:num>
  <w:num w:numId="18" w16cid:durableId="899093642">
    <w:abstractNumId w:val="9"/>
  </w:num>
  <w:num w:numId="19" w16cid:durableId="1872183473">
    <w:abstractNumId w:val="2"/>
  </w:num>
  <w:num w:numId="20" w16cid:durableId="927730445">
    <w:abstractNumId w:val="0"/>
  </w:num>
  <w:num w:numId="21" w16cid:durableId="1859849998">
    <w:abstractNumId w:val="19"/>
  </w:num>
  <w:num w:numId="22" w16cid:durableId="516818407">
    <w:abstractNumId w:val="15"/>
  </w:num>
  <w:num w:numId="23" w16cid:durableId="361050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embedSystemFonts/>
  <w:saveSubsetFonts/>
  <w:bordersDoNotSurroundHeader/>
  <w:bordersDoNotSurroundFooter/>
  <w:proofState w:spelling="clean" w:grammar="clean"/>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06D0"/>
    <w:rsid w:val="00001946"/>
    <w:rsid w:val="0000276E"/>
    <w:rsid w:val="000027B6"/>
    <w:rsid w:val="00003330"/>
    <w:rsid w:val="0000416F"/>
    <w:rsid w:val="00004249"/>
    <w:rsid w:val="00012CCA"/>
    <w:rsid w:val="00016DB4"/>
    <w:rsid w:val="00016E8A"/>
    <w:rsid w:val="000215BE"/>
    <w:rsid w:val="0002254F"/>
    <w:rsid w:val="00022B75"/>
    <w:rsid w:val="000244C1"/>
    <w:rsid w:val="000313B0"/>
    <w:rsid w:val="00032EA2"/>
    <w:rsid w:val="000348BE"/>
    <w:rsid w:val="000349E9"/>
    <w:rsid w:val="000368F6"/>
    <w:rsid w:val="00036F1D"/>
    <w:rsid w:val="00036F35"/>
    <w:rsid w:val="000375EF"/>
    <w:rsid w:val="00041160"/>
    <w:rsid w:val="000411E4"/>
    <w:rsid w:val="00042027"/>
    <w:rsid w:val="000428D0"/>
    <w:rsid w:val="00042B38"/>
    <w:rsid w:val="00043514"/>
    <w:rsid w:val="00045484"/>
    <w:rsid w:val="00045BA8"/>
    <w:rsid w:val="00045D3A"/>
    <w:rsid w:val="0004698E"/>
    <w:rsid w:val="00050A28"/>
    <w:rsid w:val="000542DB"/>
    <w:rsid w:val="00054315"/>
    <w:rsid w:val="00055AA5"/>
    <w:rsid w:val="000560EE"/>
    <w:rsid w:val="000561E6"/>
    <w:rsid w:val="00056395"/>
    <w:rsid w:val="0005691F"/>
    <w:rsid w:val="00056AEC"/>
    <w:rsid w:val="00057EE6"/>
    <w:rsid w:val="00060089"/>
    <w:rsid w:val="00060924"/>
    <w:rsid w:val="00061F2E"/>
    <w:rsid w:val="00063174"/>
    <w:rsid w:val="000641E1"/>
    <w:rsid w:val="00065C44"/>
    <w:rsid w:val="000709E8"/>
    <w:rsid w:val="00070A6C"/>
    <w:rsid w:val="00071229"/>
    <w:rsid w:val="00072085"/>
    <w:rsid w:val="0007676C"/>
    <w:rsid w:val="00077B13"/>
    <w:rsid w:val="000800C3"/>
    <w:rsid w:val="00080D37"/>
    <w:rsid w:val="000815CC"/>
    <w:rsid w:val="0008164D"/>
    <w:rsid w:val="00081F6E"/>
    <w:rsid w:val="00082938"/>
    <w:rsid w:val="00083257"/>
    <w:rsid w:val="00083CF6"/>
    <w:rsid w:val="00083D7B"/>
    <w:rsid w:val="0008602E"/>
    <w:rsid w:val="00086426"/>
    <w:rsid w:val="00086A67"/>
    <w:rsid w:val="00091398"/>
    <w:rsid w:val="00093234"/>
    <w:rsid w:val="0009405C"/>
    <w:rsid w:val="00094658"/>
    <w:rsid w:val="00094D8E"/>
    <w:rsid w:val="00095622"/>
    <w:rsid w:val="00095EB9"/>
    <w:rsid w:val="00095EE4"/>
    <w:rsid w:val="00097126"/>
    <w:rsid w:val="00097F69"/>
    <w:rsid w:val="000A1A5B"/>
    <w:rsid w:val="000A4343"/>
    <w:rsid w:val="000A4B82"/>
    <w:rsid w:val="000A5875"/>
    <w:rsid w:val="000B11E1"/>
    <w:rsid w:val="000B1B36"/>
    <w:rsid w:val="000B207E"/>
    <w:rsid w:val="000B6CC9"/>
    <w:rsid w:val="000B6D2A"/>
    <w:rsid w:val="000B7336"/>
    <w:rsid w:val="000B755E"/>
    <w:rsid w:val="000B77F5"/>
    <w:rsid w:val="000C0C2A"/>
    <w:rsid w:val="000C1ABB"/>
    <w:rsid w:val="000C2657"/>
    <w:rsid w:val="000C2F25"/>
    <w:rsid w:val="000C53BE"/>
    <w:rsid w:val="000C677B"/>
    <w:rsid w:val="000C6E65"/>
    <w:rsid w:val="000D0B84"/>
    <w:rsid w:val="000D1DED"/>
    <w:rsid w:val="000D2790"/>
    <w:rsid w:val="000D3003"/>
    <w:rsid w:val="000D303A"/>
    <w:rsid w:val="000D54A4"/>
    <w:rsid w:val="000D5E58"/>
    <w:rsid w:val="000E1224"/>
    <w:rsid w:val="000E3BB6"/>
    <w:rsid w:val="000E491C"/>
    <w:rsid w:val="000E556C"/>
    <w:rsid w:val="000E6EC9"/>
    <w:rsid w:val="000E7562"/>
    <w:rsid w:val="000E75D6"/>
    <w:rsid w:val="000F024B"/>
    <w:rsid w:val="000F0E3F"/>
    <w:rsid w:val="000F14AD"/>
    <w:rsid w:val="000F3AF4"/>
    <w:rsid w:val="000F485A"/>
    <w:rsid w:val="000F5AEE"/>
    <w:rsid w:val="000F612C"/>
    <w:rsid w:val="000F7190"/>
    <w:rsid w:val="000F731F"/>
    <w:rsid w:val="00101E9E"/>
    <w:rsid w:val="00103AB0"/>
    <w:rsid w:val="00104532"/>
    <w:rsid w:val="00104A84"/>
    <w:rsid w:val="0010625D"/>
    <w:rsid w:val="001063BA"/>
    <w:rsid w:val="00106871"/>
    <w:rsid w:val="001072B2"/>
    <w:rsid w:val="00107F8E"/>
    <w:rsid w:val="00110132"/>
    <w:rsid w:val="00110167"/>
    <w:rsid w:val="00111B17"/>
    <w:rsid w:val="001122D6"/>
    <w:rsid w:val="001142D9"/>
    <w:rsid w:val="00114E25"/>
    <w:rsid w:val="001167A0"/>
    <w:rsid w:val="00116912"/>
    <w:rsid w:val="00116C4D"/>
    <w:rsid w:val="00117A18"/>
    <w:rsid w:val="00120BE7"/>
    <w:rsid w:val="00122D84"/>
    <w:rsid w:val="00123057"/>
    <w:rsid w:val="00123692"/>
    <w:rsid w:val="00123821"/>
    <w:rsid w:val="0012396B"/>
    <w:rsid w:val="00124210"/>
    <w:rsid w:val="00124C3E"/>
    <w:rsid w:val="001252F2"/>
    <w:rsid w:val="001270FA"/>
    <w:rsid w:val="0012755D"/>
    <w:rsid w:val="00127A66"/>
    <w:rsid w:val="00127C49"/>
    <w:rsid w:val="001311C3"/>
    <w:rsid w:val="00131306"/>
    <w:rsid w:val="0013330F"/>
    <w:rsid w:val="00133925"/>
    <w:rsid w:val="00133B1E"/>
    <w:rsid w:val="001340D9"/>
    <w:rsid w:val="001362F4"/>
    <w:rsid w:val="00136551"/>
    <w:rsid w:val="00137FE3"/>
    <w:rsid w:val="0014050E"/>
    <w:rsid w:val="0014158A"/>
    <w:rsid w:val="00141AC5"/>
    <w:rsid w:val="0014357D"/>
    <w:rsid w:val="001438BB"/>
    <w:rsid w:val="00143CB6"/>
    <w:rsid w:val="0014493E"/>
    <w:rsid w:val="0014513D"/>
    <w:rsid w:val="001461BE"/>
    <w:rsid w:val="00146FEF"/>
    <w:rsid w:val="00147AF7"/>
    <w:rsid w:val="0015009C"/>
    <w:rsid w:val="00151248"/>
    <w:rsid w:val="001517F5"/>
    <w:rsid w:val="001521C4"/>
    <w:rsid w:val="0015569C"/>
    <w:rsid w:val="00155E57"/>
    <w:rsid w:val="00155F82"/>
    <w:rsid w:val="001575F2"/>
    <w:rsid w:val="00157D81"/>
    <w:rsid w:val="001602BF"/>
    <w:rsid w:val="00160B96"/>
    <w:rsid w:val="001613CB"/>
    <w:rsid w:val="0016200D"/>
    <w:rsid w:val="001634B6"/>
    <w:rsid w:val="0016494D"/>
    <w:rsid w:val="00165BEF"/>
    <w:rsid w:val="00165DE7"/>
    <w:rsid w:val="001676A7"/>
    <w:rsid w:val="00172F92"/>
    <w:rsid w:val="00173535"/>
    <w:rsid w:val="001741F2"/>
    <w:rsid w:val="001769B4"/>
    <w:rsid w:val="001772BC"/>
    <w:rsid w:val="001777FE"/>
    <w:rsid w:val="001808A1"/>
    <w:rsid w:val="001833E2"/>
    <w:rsid w:val="001839D4"/>
    <w:rsid w:val="001855D3"/>
    <w:rsid w:val="00186CBA"/>
    <w:rsid w:val="00190DDA"/>
    <w:rsid w:val="00194190"/>
    <w:rsid w:val="001964E3"/>
    <w:rsid w:val="00197784"/>
    <w:rsid w:val="001A0E0C"/>
    <w:rsid w:val="001A167D"/>
    <w:rsid w:val="001A1B87"/>
    <w:rsid w:val="001A1BF0"/>
    <w:rsid w:val="001A2756"/>
    <w:rsid w:val="001A39F5"/>
    <w:rsid w:val="001A5A2C"/>
    <w:rsid w:val="001A6F3A"/>
    <w:rsid w:val="001A70EF"/>
    <w:rsid w:val="001A7B40"/>
    <w:rsid w:val="001A7F05"/>
    <w:rsid w:val="001B0815"/>
    <w:rsid w:val="001B1653"/>
    <w:rsid w:val="001B2EE7"/>
    <w:rsid w:val="001B3210"/>
    <w:rsid w:val="001B39D6"/>
    <w:rsid w:val="001B4209"/>
    <w:rsid w:val="001B433C"/>
    <w:rsid w:val="001B4A2A"/>
    <w:rsid w:val="001B5F01"/>
    <w:rsid w:val="001B76B4"/>
    <w:rsid w:val="001B7CCF"/>
    <w:rsid w:val="001C16F6"/>
    <w:rsid w:val="001C3648"/>
    <w:rsid w:val="001C36B6"/>
    <w:rsid w:val="001C47E5"/>
    <w:rsid w:val="001C558C"/>
    <w:rsid w:val="001C60B8"/>
    <w:rsid w:val="001C6CBE"/>
    <w:rsid w:val="001C7FDE"/>
    <w:rsid w:val="001D0949"/>
    <w:rsid w:val="001D409F"/>
    <w:rsid w:val="001D4219"/>
    <w:rsid w:val="001D65DA"/>
    <w:rsid w:val="001D7515"/>
    <w:rsid w:val="001E0438"/>
    <w:rsid w:val="001E1A58"/>
    <w:rsid w:val="001E1FC4"/>
    <w:rsid w:val="001E3AE2"/>
    <w:rsid w:val="001E423A"/>
    <w:rsid w:val="001E5F9A"/>
    <w:rsid w:val="001E6717"/>
    <w:rsid w:val="001F03DA"/>
    <w:rsid w:val="001F0D98"/>
    <w:rsid w:val="001F1032"/>
    <w:rsid w:val="001F18CE"/>
    <w:rsid w:val="001F2CE5"/>
    <w:rsid w:val="001F51C7"/>
    <w:rsid w:val="001F674D"/>
    <w:rsid w:val="001F6AFF"/>
    <w:rsid w:val="0020191F"/>
    <w:rsid w:val="002032E1"/>
    <w:rsid w:val="00203CA9"/>
    <w:rsid w:val="00203DF3"/>
    <w:rsid w:val="0020540F"/>
    <w:rsid w:val="00206845"/>
    <w:rsid w:val="0020701C"/>
    <w:rsid w:val="00210484"/>
    <w:rsid w:val="0021092C"/>
    <w:rsid w:val="00211A7B"/>
    <w:rsid w:val="00211B1F"/>
    <w:rsid w:val="00211DB3"/>
    <w:rsid w:val="00217290"/>
    <w:rsid w:val="002207D0"/>
    <w:rsid w:val="0022090E"/>
    <w:rsid w:val="00221099"/>
    <w:rsid w:val="002211B2"/>
    <w:rsid w:val="002227BF"/>
    <w:rsid w:val="002240D7"/>
    <w:rsid w:val="00225089"/>
    <w:rsid w:val="00230BF4"/>
    <w:rsid w:val="00232919"/>
    <w:rsid w:val="00232E91"/>
    <w:rsid w:val="0023394D"/>
    <w:rsid w:val="00234E25"/>
    <w:rsid w:val="002356D3"/>
    <w:rsid w:val="00235BF7"/>
    <w:rsid w:val="002364C3"/>
    <w:rsid w:val="0024313D"/>
    <w:rsid w:val="00243584"/>
    <w:rsid w:val="00243E84"/>
    <w:rsid w:val="00244674"/>
    <w:rsid w:val="0024529F"/>
    <w:rsid w:val="00247C47"/>
    <w:rsid w:val="0025062A"/>
    <w:rsid w:val="00251518"/>
    <w:rsid w:val="00251771"/>
    <w:rsid w:val="00251796"/>
    <w:rsid w:val="002518E1"/>
    <w:rsid w:val="00251B71"/>
    <w:rsid w:val="002525CE"/>
    <w:rsid w:val="00253346"/>
    <w:rsid w:val="002539A5"/>
    <w:rsid w:val="00253CB9"/>
    <w:rsid w:val="0025425F"/>
    <w:rsid w:val="00254A62"/>
    <w:rsid w:val="002553C8"/>
    <w:rsid w:val="00256912"/>
    <w:rsid w:val="00257358"/>
    <w:rsid w:val="00260523"/>
    <w:rsid w:val="00260525"/>
    <w:rsid w:val="00260887"/>
    <w:rsid w:val="0026121F"/>
    <w:rsid w:val="002624B6"/>
    <w:rsid w:val="00264E87"/>
    <w:rsid w:val="00266ECF"/>
    <w:rsid w:val="002671C5"/>
    <w:rsid w:val="00267999"/>
    <w:rsid w:val="002717D5"/>
    <w:rsid w:val="00271D05"/>
    <w:rsid w:val="00271D79"/>
    <w:rsid w:val="00274A40"/>
    <w:rsid w:val="00275C1E"/>
    <w:rsid w:val="002761B3"/>
    <w:rsid w:val="0027671F"/>
    <w:rsid w:val="00276B4E"/>
    <w:rsid w:val="00276E2D"/>
    <w:rsid w:val="00280D8A"/>
    <w:rsid w:val="002817D7"/>
    <w:rsid w:val="00283269"/>
    <w:rsid w:val="0028330A"/>
    <w:rsid w:val="0028496E"/>
    <w:rsid w:val="00286764"/>
    <w:rsid w:val="00287EE5"/>
    <w:rsid w:val="00291CA4"/>
    <w:rsid w:val="00293E0B"/>
    <w:rsid w:val="0029738E"/>
    <w:rsid w:val="00297CFE"/>
    <w:rsid w:val="002A1094"/>
    <w:rsid w:val="002A20C8"/>
    <w:rsid w:val="002A32DE"/>
    <w:rsid w:val="002A3A78"/>
    <w:rsid w:val="002A3BAB"/>
    <w:rsid w:val="002A524F"/>
    <w:rsid w:val="002A5C51"/>
    <w:rsid w:val="002A5E0B"/>
    <w:rsid w:val="002A5F21"/>
    <w:rsid w:val="002A6319"/>
    <w:rsid w:val="002A6A6A"/>
    <w:rsid w:val="002B0A53"/>
    <w:rsid w:val="002B0E1B"/>
    <w:rsid w:val="002B4D7B"/>
    <w:rsid w:val="002B562F"/>
    <w:rsid w:val="002B5985"/>
    <w:rsid w:val="002B61EA"/>
    <w:rsid w:val="002C1534"/>
    <w:rsid w:val="002C2E07"/>
    <w:rsid w:val="002C4078"/>
    <w:rsid w:val="002C495F"/>
    <w:rsid w:val="002C6E0A"/>
    <w:rsid w:val="002C7AAB"/>
    <w:rsid w:val="002D1457"/>
    <w:rsid w:val="002D17DE"/>
    <w:rsid w:val="002D1C06"/>
    <w:rsid w:val="002D1C4E"/>
    <w:rsid w:val="002D2D64"/>
    <w:rsid w:val="002D53AB"/>
    <w:rsid w:val="002D79AE"/>
    <w:rsid w:val="002E02BA"/>
    <w:rsid w:val="002E04C1"/>
    <w:rsid w:val="002E157B"/>
    <w:rsid w:val="002E2588"/>
    <w:rsid w:val="002E4753"/>
    <w:rsid w:val="002E47B1"/>
    <w:rsid w:val="002E51CC"/>
    <w:rsid w:val="002E65E3"/>
    <w:rsid w:val="002E67DE"/>
    <w:rsid w:val="002E7A33"/>
    <w:rsid w:val="002F05EC"/>
    <w:rsid w:val="002F1209"/>
    <w:rsid w:val="002F2C50"/>
    <w:rsid w:val="002F30AE"/>
    <w:rsid w:val="002F5822"/>
    <w:rsid w:val="00300718"/>
    <w:rsid w:val="0030099C"/>
    <w:rsid w:val="00300CF1"/>
    <w:rsid w:val="00302071"/>
    <w:rsid w:val="00302CF7"/>
    <w:rsid w:val="003042AD"/>
    <w:rsid w:val="00304644"/>
    <w:rsid w:val="00304BE8"/>
    <w:rsid w:val="00304FD9"/>
    <w:rsid w:val="00305225"/>
    <w:rsid w:val="003120BB"/>
    <w:rsid w:val="00312178"/>
    <w:rsid w:val="00320253"/>
    <w:rsid w:val="00321A00"/>
    <w:rsid w:val="00321EB0"/>
    <w:rsid w:val="00323C2E"/>
    <w:rsid w:val="0032689B"/>
    <w:rsid w:val="0032766A"/>
    <w:rsid w:val="003308EB"/>
    <w:rsid w:val="00330EDD"/>
    <w:rsid w:val="003312DE"/>
    <w:rsid w:val="00331601"/>
    <w:rsid w:val="00331DC5"/>
    <w:rsid w:val="00334397"/>
    <w:rsid w:val="00334C86"/>
    <w:rsid w:val="0033545F"/>
    <w:rsid w:val="00335542"/>
    <w:rsid w:val="00336766"/>
    <w:rsid w:val="00337365"/>
    <w:rsid w:val="00340409"/>
    <w:rsid w:val="00340667"/>
    <w:rsid w:val="003435E0"/>
    <w:rsid w:val="00343C5B"/>
    <w:rsid w:val="0034445C"/>
    <w:rsid w:val="003447F1"/>
    <w:rsid w:val="00346957"/>
    <w:rsid w:val="00347171"/>
    <w:rsid w:val="00347209"/>
    <w:rsid w:val="0035100A"/>
    <w:rsid w:val="00352295"/>
    <w:rsid w:val="0035300B"/>
    <w:rsid w:val="00356B6D"/>
    <w:rsid w:val="00356F6A"/>
    <w:rsid w:val="00357770"/>
    <w:rsid w:val="003577A4"/>
    <w:rsid w:val="003609D1"/>
    <w:rsid w:val="00362F60"/>
    <w:rsid w:val="00364104"/>
    <w:rsid w:val="00364577"/>
    <w:rsid w:val="00367EB1"/>
    <w:rsid w:val="00370C1B"/>
    <w:rsid w:val="00370E21"/>
    <w:rsid w:val="00371B26"/>
    <w:rsid w:val="00373630"/>
    <w:rsid w:val="00375170"/>
    <w:rsid w:val="00375843"/>
    <w:rsid w:val="00375DF5"/>
    <w:rsid w:val="00376540"/>
    <w:rsid w:val="003766D9"/>
    <w:rsid w:val="00377D7F"/>
    <w:rsid w:val="00377F49"/>
    <w:rsid w:val="00380A6F"/>
    <w:rsid w:val="00380D94"/>
    <w:rsid w:val="003817BC"/>
    <w:rsid w:val="00381CA0"/>
    <w:rsid w:val="0038404C"/>
    <w:rsid w:val="0038544C"/>
    <w:rsid w:val="00385483"/>
    <w:rsid w:val="00385A86"/>
    <w:rsid w:val="00385F23"/>
    <w:rsid w:val="00386375"/>
    <w:rsid w:val="00386801"/>
    <w:rsid w:val="0039105A"/>
    <w:rsid w:val="00394438"/>
    <w:rsid w:val="003963CC"/>
    <w:rsid w:val="00396836"/>
    <w:rsid w:val="003A155D"/>
    <w:rsid w:val="003A3AD8"/>
    <w:rsid w:val="003A45A3"/>
    <w:rsid w:val="003B00C8"/>
    <w:rsid w:val="003B0BEB"/>
    <w:rsid w:val="003B0DA5"/>
    <w:rsid w:val="003B1D2D"/>
    <w:rsid w:val="003B225C"/>
    <w:rsid w:val="003B2A51"/>
    <w:rsid w:val="003B2E3A"/>
    <w:rsid w:val="003B38B1"/>
    <w:rsid w:val="003B4E4B"/>
    <w:rsid w:val="003B6289"/>
    <w:rsid w:val="003B6B93"/>
    <w:rsid w:val="003B6E98"/>
    <w:rsid w:val="003B7150"/>
    <w:rsid w:val="003B735E"/>
    <w:rsid w:val="003C1DA0"/>
    <w:rsid w:val="003C1DF8"/>
    <w:rsid w:val="003C3560"/>
    <w:rsid w:val="003C3D2C"/>
    <w:rsid w:val="003C5524"/>
    <w:rsid w:val="003C563E"/>
    <w:rsid w:val="003C5FC4"/>
    <w:rsid w:val="003D13D3"/>
    <w:rsid w:val="003D3D39"/>
    <w:rsid w:val="003D4465"/>
    <w:rsid w:val="003D55C6"/>
    <w:rsid w:val="003D6D5C"/>
    <w:rsid w:val="003D71B6"/>
    <w:rsid w:val="003E0F1F"/>
    <w:rsid w:val="003E1649"/>
    <w:rsid w:val="003E1C53"/>
    <w:rsid w:val="003E3B2D"/>
    <w:rsid w:val="003E4113"/>
    <w:rsid w:val="003E4222"/>
    <w:rsid w:val="003E4744"/>
    <w:rsid w:val="003E5502"/>
    <w:rsid w:val="003E5653"/>
    <w:rsid w:val="003E6A76"/>
    <w:rsid w:val="003E6D51"/>
    <w:rsid w:val="003E73E8"/>
    <w:rsid w:val="003F01C7"/>
    <w:rsid w:val="003F0366"/>
    <w:rsid w:val="003F1449"/>
    <w:rsid w:val="003F426A"/>
    <w:rsid w:val="003F5BE3"/>
    <w:rsid w:val="00400D3C"/>
    <w:rsid w:val="00401D27"/>
    <w:rsid w:val="00402684"/>
    <w:rsid w:val="00403792"/>
    <w:rsid w:val="00405037"/>
    <w:rsid w:val="0040707B"/>
    <w:rsid w:val="00407934"/>
    <w:rsid w:val="00413E5E"/>
    <w:rsid w:val="00414C2B"/>
    <w:rsid w:val="0041512F"/>
    <w:rsid w:val="00415368"/>
    <w:rsid w:val="00416FF6"/>
    <w:rsid w:val="00417E3D"/>
    <w:rsid w:val="00420535"/>
    <w:rsid w:val="0042398B"/>
    <w:rsid w:val="00423E27"/>
    <w:rsid w:val="00426023"/>
    <w:rsid w:val="00426A8D"/>
    <w:rsid w:val="004270D1"/>
    <w:rsid w:val="00427E96"/>
    <w:rsid w:val="004316FD"/>
    <w:rsid w:val="00434459"/>
    <w:rsid w:val="004367C0"/>
    <w:rsid w:val="00436B7D"/>
    <w:rsid w:val="004373C6"/>
    <w:rsid w:val="004411BB"/>
    <w:rsid w:val="00442B79"/>
    <w:rsid w:val="00443186"/>
    <w:rsid w:val="0044435B"/>
    <w:rsid w:val="00444511"/>
    <w:rsid w:val="00444C56"/>
    <w:rsid w:val="00450740"/>
    <w:rsid w:val="004518E2"/>
    <w:rsid w:val="0045339B"/>
    <w:rsid w:val="00455372"/>
    <w:rsid w:val="00456760"/>
    <w:rsid w:val="004569E6"/>
    <w:rsid w:val="0045782F"/>
    <w:rsid w:val="0046016A"/>
    <w:rsid w:val="00460D86"/>
    <w:rsid w:val="004610A9"/>
    <w:rsid w:val="00461E09"/>
    <w:rsid w:val="0046459A"/>
    <w:rsid w:val="00464ADA"/>
    <w:rsid w:val="004664F7"/>
    <w:rsid w:val="00466962"/>
    <w:rsid w:val="00470F73"/>
    <w:rsid w:val="00471341"/>
    <w:rsid w:val="00471DB0"/>
    <w:rsid w:val="00475F43"/>
    <w:rsid w:val="00476799"/>
    <w:rsid w:val="00476C57"/>
    <w:rsid w:val="0048077C"/>
    <w:rsid w:val="00482CF1"/>
    <w:rsid w:val="00483153"/>
    <w:rsid w:val="0048386E"/>
    <w:rsid w:val="004843D0"/>
    <w:rsid w:val="00486014"/>
    <w:rsid w:val="004862D3"/>
    <w:rsid w:val="00486573"/>
    <w:rsid w:val="00487BC6"/>
    <w:rsid w:val="00490018"/>
    <w:rsid w:val="00490102"/>
    <w:rsid w:val="004903A4"/>
    <w:rsid w:val="0049130E"/>
    <w:rsid w:val="00491B2B"/>
    <w:rsid w:val="0049617B"/>
    <w:rsid w:val="00496294"/>
    <w:rsid w:val="00496475"/>
    <w:rsid w:val="00497D76"/>
    <w:rsid w:val="004A1C2A"/>
    <w:rsid w:val="004A20E2"/>
    <w:rsid w:val="004A3C90"/>
    <w:rsid w:val="004A3D87"/>
    <w:rsid w:val="004A4B45"/>
    <w:rsid w:val="004A4B9F"/>
    <w:rsid w:val="004A4BFC"/>
    <w:rsid w:val="004A7B7E"/>
    <w:rsid w:val="004A7F37"/>
    <w:rsid w:val="004B0503"/>
    <w:rsid w:val="004B188C"/>
    <w:rsid w:val="004B19FE"/>
    <w:rsid w:val="004B2936"/>
    <w:rsid w:val="004B2A87"/>
    <w:rsid w:val="004B4B3A"/>
    <w:rsid w:val="004B5B29"/>
    <w:rsid w:val="004B6234"/>
    <w:rsid w:val="004C21C2"/>
    <w:rsid w:val="004C3511"/>
    <w:rsid w:val="004C3C67"/>
    <w:rsid w:val="004C4012"/>
    <w:rsid w:val="004C55B7"/>
    <w:rsid w:val="004C7365"/>
    <w:rsid w:val="004D334B"/>
    <w:rsid w:val="004D41B9"/>
    <w:rsid w:val="004D46DD"/>
    <w:rsid w:val="004D5B66"/>
    <w:rsid w:val="004D5DE4"/>
    <w:rsid w:val="004D7264"/>
    <w:rsid w:val="004E1C28"/>
    <w:rsid w:val="004E4D21"/>
    <w:rsid w:val="004E678B"/>
    <w:rsid w:val="004E67A3"/>
    <w:rsid w:val="004E6B8A"/>
    <w:rsid w:val="004E7701"/>
    <w:rsid w:val="004E78CF"/>
    <w:rsid w:val="004F0DB7"/>
    <w:rsid w:val="004F1C2D"/>
    <w:rsid w:val="004F33BA"/>
    <w:rsid w:val="004F3E23"/>
    <w:rsid w:val="004F4A85"/>
    <w:rsid w:val="004F5BC2"/>
    <w:rsid w:val="004F5DB2"/>
    <w:rsid w:val="004F63B8"/>
    <w:rsid w:val="004F6B33"/>
    <w:rsid w:val="004F6BC4"/>
    <w:rsid w:val="004F746B"/>
    <w:rsid w:val="004F7763"/>
    <w:rsid w:val="004F7C31"/>
    <w:rsid w:val="00500DB4"/>
    <w:rsid w:val="00501944"/>
    <w:rsid w:val="005020DB"/>
    <w:rsid w:val="00503C62"/>
    <w:rsid w:val="00504287"/>
    <w:rsid w:val="005045B6"/>
    <w:rsid w:val="00505BED"/>
    <w:rsid w:val="00506642"/>
    <w:rsid w:val="005078CA"/>
    <w:rsid w:val="005126D7"/>
    <w:rsid w:val="00513051"/>
    <w:rsid w:val="00513B1D"/>
    <w:rsid w:val="0051433C"/>
    <w:rsid w:val="00517D8E"/>
    <w:rsid w:val="00520CFF"/>
    <w:rsid w:val="00522799"/>
    <w:rsid w:val="0052506B"/>
    <w:rsid w:val="00525453"/>
    <w:rsid w:val="005254A0"/>
    <w:rsid w:val="00525B7C"/>
    <w:rsid w:val="0052612E"/>
    <w:rsid w:val="005271BE"/>
    <w:rsid w:val="00527301"/>
    <w:rsid w:val="00527BFE"/>
    <w:rsid w:val="00530E0F"/>
    <w:rsid w:val="0053214A"/>
    <w:rsid w:val="005322DE"/>
    <w:rsid w:val="00534809"/>
    <w:rsid w:val="00535008"/>
    <w:rsid w:val="0053507D"/>
    <w:rsid w:val="0053562D"/>
    <w:rsid w:val="00536872"/>
    <w:rsid w:val="005372B3"/>
    <w:rsid w:val="005402F4"/>
    <w:rsid w:val="00540F47"/>
    <w:rsid w:val="00541E8E"/>
    <w:rsid w:val="0054291A"/>
    <w:rsid w:val="00544DE9"/>
    <w:rsid w:val="00551558"/>
    <w:rsid w:val="00552981"/>
    <w:rsid w:val="00554104"/>
    <w:rsid w:val="00554716"/>
    <w:rsid w:val="00555CE8"/>
    <w:rsid w:val="00556C9E"/>
    <w:rsid w:val="0056135F"/>
    <w:rsid w:val="005620BE"/>
    <w:rsid w:val="005625CF"/>
    <w:rsid w:val="00562952"/>
    <w:rsid w:val="00562CF7"/>
    <w:rsid w:val="005637C8"/>
    <w:rsid w:val="005644CD"/>
    <w:rsid w:val="00564A8F"/>
    <w:rsid w:val="005650C3"/>
    <w:rsid w:val="005655F4"/>
    <w:rsid w:val="00566229"/>
    <w:rsid w:val="00567528"/>
    <w:rsid w:val="00570911"/>
    <w:rsid w:val="005759BB"/>
    <w:rsid w:val="00576525"/>
    <w:rsid w:val="0057689A"/>
    <w:rsid w:val="00577EC7"/>
    <w:rsid w:val="00577F13"/>
    <w:rsid w:val="00580079"/>
    <w:rsid w:val="00580E73"/>
    <w:rsid w:val="0058101C"/>
    <w:rsid w:val="00582DAE"/>
    <w:rsid w:val="00584981"/>
    <w:rsid w:val="00584A3A"/>
    <w:rsid w:val="005855A9"/>
    <w:rsid w:val="0058679E"/>
    <w:rsid w:val="00587A81"/>
    <w:rsid w:val="005901E4"/>
    <w:rsid w:val="005931DB"/>
    <w:rsid w:val="0059488A"/>
    <w:rsid w:val="00594B01"/>
    <w:rsid w:val="00595859"/>
    <w:rsid w:val="00595E01"/>
    <w:rsid w:val="00596805"/>
    <w:rsid w:val="005A00EF"/>
    <w:rsid w:val="005A053D"/>
    <w:rsid w:val="005A6201"/>
    <w:rsid w:val="005A6F9C"/>
    <w:rsid w:val="005A774F"/>
    <w:rsid w:val="005B2C92"/>
    <w:rsid w:val="005B331A"/>
    <w:rsid w:val="005B3AB7"/>
    <w:rsid w:val="005B3AEE"/>
    <w:rsid w:val="005B73D0"/>
    <w:rsid w:val="005C2570"/>
    <w:rsid w:val="005C2C4A"/>
    <w:rsid w:val="005C6670"/>
    <w:rsid w:val="005D2292"/>
    <w:rsid w:val="005D2B19"/>
    <w:rsid w:val="005D30AB"/>
    <w:rsid w:val="005D4608"/>
    <w:rsid w:val="005D51E8"/>
    <w:rsid w:val="005D5854"/>
    <w:rsid w:val="005D5D69"/>
    <w:rsid w:val="005D5DE7"/>
    <w:rsid w:val="005D63F7"/>
    <w:rsid w:val="005E069E"/>
    <w:rsid w:val="005E0CC2"/>
    <w:rsid w:val="005E2CB0"/>
    <w:rsid w:val="005E3168"/>
    <w:rsid w:val="005E52D0"/>
    <w:rsid w:val="005E59A1"/>
    <w:rsid w:val="005E64FD"/>
    <w:rsid w:val="005E6C2A"/>
    <w:rsid w:val="005E6EC9"/>
    <w:rsid w:val="005E7773"/>
    <w:rsid w:val="005F0B31"/>
    <w:rsid w:val="005F0FD2"/>
    <w:rsid w:val="005F186D"/>
    <w:rsid w:val="005F21FE"/>
    <w:rsid w:val="005F4151"/>
    <w:rsid w:val="005F4687"/>
    <w:rsid w:val="005F5442"/>
    <w:rsid w:val="005F7B17"/>
    <w:rsid w:val="00602E4F"/>
    <w:rsid w:val="00603C79"/>
    <w:rsid w:val="0060437C"/>
    <w:rsid w:val="00604AD3"/>
    <w:rsid w:val="00606A00"/>
    <w:rsid w:val="00606BA3"/>
    <w:rsid w:val="00607E77"/>
    <w:rsid w:val="00612053"/>
    <w:rsid w:val="00612273"/>
    <w:rsid w:val="00613CD1"/>
    <w:rsid w:val="006149EA"/>
    <w:rsid w:val="00614ECE"/>
    <w:rsid w:val="00615211"/>
    <w:rsid w:val="006162DE"/>
    <w:rsid w:val="00620C87"/>
    <w:rsid w:val="00622ACE"/>
    <w:rsid w:val="00623498"/>
    <w:rsid w:val="006242E5"/>
    <w:rsid w:val="00624347"/>
    <w:rsid w:val="00625138"/>
    <w:rsid w:val="0063133F"/>
    <w:rsid w:val="00632379"/>
    <w:rsid w:val="00632981"/>
    <w:rsid w:val="00633217"/>
    <w:rsid w:val="006342E5"/>
    <w:rsid w:val="006348AF"/>
    <w:rsid w:val="006356C0"/>
    <w:rsid w:val="00636D19"/>
    <w:rsid w:val="006374B4"/>
    <w:rsid w:val="00637564"/>
    <w:rsid w:val="0063768C"/>
    <w:rsid w:val="0063790A"/>
    <w:rsid w:val="00641764"/>
    <w:rsid w:val="00641C9F"/>
    <w:rsid w:val="006435F7"/>
    <w:rsid w:val="00643B70"/>
    <w:rsid w:val="00644759"/>
    <w:rsid w:val="006468DC"/>
    <w:rsid w:val="00646C0C"/>
    <w:rsid w:val="0064761A"/>
    <w:rsid w:val="006477E6"/>
    <w:rsid w:val="00647B83"/>
    <w:rsid w:val="00650BB8"/>
    <w:rsid w:val="006515D2"/>
    <w:rsid w:val="00651C47"/>
    <w:rsid w:val="006533EB"/>
    <w:rsid w:val="00653A87"/>
    <w:rsid w:val="0065417E"/>
    <w:rsid w:val="006552DF"/>
    <w:rsid w:val="00656835"/>
    <w:rsid w:val="00661F2C"/>
    <w:rsid w:val="00666F05"/>
    <w:rsid w:val="00670E45"/>
    <w:rsid w:val="0067203E"/>
    <w:rsid w:val="00672326"/>
    <w:rsid w:val="00673AF5"/>
    <w:rsid w:val="0067466C"/>
    <w:rsid w:val="00676589"/>
    <w:rsid w:val="00680481"/>
    <w:rsid w:val="00680ED3"/>
    <w:rsid w:val="00684638"/>
    <w:rsid w:val="006865AA"/>
    <w:rsid w:val="006874E7"/>
    <w:rsid w:val="0069249F"/>
    <w:rsid w:val="006925BA"/>
    <w:rsid w:val="00692E69"/>
    <w:rsid w:val="00695197"/>
    <w:rsid w:val="006A16E1"/>
    <w:rsid w:val="006A198D"/>
    <w:rsid w:val="006A3412"/>
    <w:rsid w:val="006A3B81"/>
    <w:rsid w:val="006A3F11"/>
    <w:rsid w:val="006B0BE7"/>
    <w:rsid w:val="006B11FB"/>
    <w:rsid w:val="006B7B8D"/>
    <w:rsid w:val="006C05A2"/>
    <w:rsid w:val="006C27DF"/>
    <w:rsid w:val="006C420D"/>
    <w:rsid w:val="006C47C0"/>
    <w:rsid w:val="006C7839"/>
    <w:rsid w:val="006D092C"/>
    <w:rsid w:val="006D23DC"/>
    <w:rsid w:val="006D309A"/>
    <w:rsid w:val="006D368B"/>
    <w:rsid w:val="006D3CFC"/>
    <w:rsid w:val="006D460F"/>
    <w:rsid w:val="006D47E6"/>
    <w:rsid w:val="006D5A50"/>
    <w:rsid w:val="006D71C4"/>
    <w:rsid w:val="006D7B45"/>
    <w:rsid w:val="006E05E1"/>
    <w:rsid w:val="006E10E7"/>
    <w:rsid w:val="006E217B"/>
    <w:rsid w:val="006E26F1"/>
    <w:rsid w:val="006E304E"/>
    <w:rsid w:val="006E478C"/>
    <w:rsid w:val="006E4C64"/>
    <w:rsid w:val="006F1017"/>
    <w:rsid w:val="006F12A4"/>
    <w:rsid w:val="006F2B30"/>
    <w:rsid w:val="006F3B7A"/>
    <w:rsid w:val="006F449E"/>
    <w:rsid w:val="006F4F12"/>
    <w:rsid w:val="006F51DC"/>
    <w:rsid w:val="006F5828"/>
    <w:rsid w:val="006F6396"/>
    <w:rsid w:val="006F6CFE"/>
    <w:rsid w:val="006F7759"/>
    <w:rsid w:val="007016F2"/>
    <w:rsid w:val="00704BA4"/>
    <w:rsid w:val="0071128B"/>
    <w:rsid w:val="007114C4"/>
    <w:rsid w:val="00711E2A"/>
    <w:rsid w:val="00712536"/>
    <w:rsid w:val="00712C95"/>
    <w:rsid w:val="00713934"/>
    <w:rsid w:val="00713B99"/>
    <w:rsid w:val="0071565E"/>
    <w:rsid w:val="00715AE7"/>
    <w:rsid w:val="0071661D"/>
    <w:rsid w:val="00716826"/>
    <w:rsid w:val="00716D72"/>
    <w:rsid w:val="0071735C"/>
    <w:rsid w:val="00717B7B"/>
    <w:rsid w:val="00722B16"/>
    <w:rsid w:val="00722C97"/>
    <w:rsid w:val="00723103"/>
    <w:rsid w:val="0072362D"/>
    <w:rsid w:val="007238FE"/>
    <w:rsid w:val="007251C9"/>
    <w:rsid w:val="00726F89"/>
    <w:rsid w:val="0072727C"/>
    <w:rsid w:val="007274FD"/>
    <w:rsid w:val="00731215"/>
    <w:rsid w:val="00733414"/>
    <w:rsid w:val="00736FF7"/>
    <w:rsid w:val="00737D69"/>
    <w:rsid w:val="0074070D"/>
    <w:rsid w:val="0074079D"/>
    <w:rsid w:val="007407F9"/>
    <w:rsid w:val="00743BC6"/>
    <w:rsid w:val="00746E50"/>
    <w:rsid w:val="00747BFC"/>
    <w:rsid w:val="0075021A"/>
    <w:rsid w:val="007519CB"/>
    <w:rsid w:val="0075323A"/>
    <w:rsid w:val="0075579F"/>
    <w:rsid w:val="0075736C"/>
    <w:rsid w:val="00757534"/>
    <w:rsid w:val="0076040F"/>
    <w:rsid w:val="0076071C"/>
    <w:rsid w:val="007625DB"/>
    <w:rsid w:val="00763DDA"/>
    <w:rsid w:val="007702AB"/>
    <w:rsid w:val="00771450"/>
    <w:rsid w:val="007715FE"/>
    <w:rsid w:val="007721D5"/>
    <w:rsid w:val="00772F2C"/>
    <w:rsid w:val="007739C7"/>
    <w:rsid w:val="0077442B"/>
    <w:rsid w:val="00776D9C"/>
    <w:rsid w:val="00777043"/>
    <w:rsid w:val="00777C16"/>
    <w:rsid w:val="00780262"/>
    <w:rsid w:val="00782A01"/>
    <w:rsid w:val="00782B6C"/>
    <w:rsid w:val="00783634"/>
    <w:rsid w:val="007840CF"/>
    <w:rsid w:val="007844A0"/>
    <w:rsid w:val="007849BD"/>
    <w:rsid w:val="00786FBC"/>
    <w:rsid w:val="0078762D"/>
    <w:rsid w:val="00787ECD"/>
    <w:rsid w:val="00790055"/>
    <w:rsid w:val="00794DE6"/>
    <w:rsid w:val="007954C6"/>
    <w:rsid w:val="007A1117"/>
    <w:rsid w:val="007A3056"/>
    <w:rsid w:val="007A5FC0"/>
    <w:rsid w:val="007A7284"/>
    <w:rsid w:val="007B1025"/>
    <w:rsid w:val="007B15D8"/>
    <w:rsid w:val="007B26E6"/>
    <w:rsid w:val="007B3F51"/>
    <w:rsid w:val="007B4034"/>
    <w:rsid w:val="007B468F"/>
    <w:rsid w:val="007C006C"/>
    <w:rsid w:val="007C2769"/>
    <w:rsid w:val="007C396B"/>
    <w:rsid w:val="007C423F"/>
    <w:rsid w:val="007C515A"/>
    <w:rsid w:val="007C5BCC"/>
    <w:rsid w:val="007C7CAF"/>
    <w:rsid w:val="007D053D"/>
    <w:rsid w:val="007D0A05"/>
    <w:rsid w:val="007D313E"/>
    <w:rsid w:val="007D4964"/>
    <w:rsid w:val="007D6672"/>
    <w:rsid w:val="007D7073"/>
    <w:rsid w:val="007D76AF"/>
    <w:rsid w:val="007E11EF"/>
    <w:rsid w:val="007E1C8A"/>
    <w:rsid w:val="007E241B"/>
    <w:rsid w:val="007E2B14"/>
    <w:rsid w:val="007E5383"/>
    <w:rsid w:val="007F04B7"/>
    <w:rsid w:val="007F0632"/>
    <w:rsid w:val="007F3BDF"/>
    <w:rsid w:val="007F3F88"/>
    <w:rsid w:val="007F57CF"/>
    <w:rsid w:val="007F6167"/>
    <w:rsid w:val="007F68CE"/>
    <w:rsid w:val="008030B0"/>
    <w:rsid w:val="0080466F"/>
    <w:rsid w:val="00805065"/>
    <w:rsid w:val="00805697"/>
    <w:rsid w:val="0080633B"/>
    <w:rsid w:val="00807E50"/>
    <w:rsid w:val="008106DB"/>
    <w:rsid w:val="00812AB2"/>
    <w:rsid w:val="00812C73"/>
    <w:rsid w:val="0081649E"/>
    <w:rsid w:val="008170EE"/>
    <w:rsid w:val="0081732F"/>
    <w:rsid w:val="00820223"/>
    <w:rsid w:val="008205EB"/>
    <w:rsid w:val="00822AC6"/>
    <w:rsid w:val="00824CAD"/>
    <w:rsid w:val="00825353"/>
    <w:rsid w:val="00825F80"/>
    <w:rsid w:val="00830591"/>
    <w:rsid w:val="008307BD"/>
    <w:rsid w:val="00830E27"/>
    <w:rsid w:val="0083487B"/>
    <w:rsid w:val="00835445"/>
    <w:rsid w:val="00835AE5"/>
    <w:rsid w:val="00835B2F"/>
    <w:rsid w:val="00844BCD"/>
    <w:rsid w:val="008454AB"/>
    <w:rsid w:val="00846B4E"/>
    <w:rsid w:val="00850F21"/>
    <w:rsid w:val="008510F4"/>
    <w:rsid w:val="008526B7"/>
    <w:rsid w:val="00855328"/>
    <w:rsid w:val="0085533D"/>
    <w:rsid w:val="00856CFF"/>
    <w:rsid w:val="008575A9"/>
    <w:rsid w:val="0085789A"/>
    <w:rsid w:val="0086010A"/>
    <w:rsid w:val="00861987"/>
    <w:rsid w:val="00862B36"/>
    <w:rsid w:val="008632BC"/>
    <w:rsid w:val="00863BD9"/>
    <w:rsid w:val="0086520B"/>
    <w:rsid w:val="0086537A"/>
    <w:rsid w:val="00865D31"/>
    <w:rsid w:val="00867CF2"/>
    <w:rsid w:val="00870D59"/>
    <w:rsid w:val="00873250"/>
    <w:rsid w:val="008759E1"/>
    <w:rsid w:val="00877CF7"/>
    <w:rsid w:val="00877FA4"/>
    <w:rsid w:val="00883776"/>
    <w:rsid w:val="00884286"/>
    <w:rsid w:val="00884395"/>
    <w:rsid w:val="00884516"/>
    <w:rsid w:val="00884C5A"/>
    <w:rsid w:val="00890B50"/>
    <w:rsid w:val="00891593"/>
    <w:rsid w:val="00892EEC"/>
    <w:rsid w:val="00893597"/>
    <w:rsid w:val="00895670"/>
    <w:rsid w:val="0089652B"/>
    <w:rsid w:val="00896E62"/>
    <w:rsid w:val="0089701B"/>
    <w:rsid w:val="008A0F16"/>
    <w:rsid w:val="008A3549"/>
    <w:rsid w:val="008A35A2"/>
    <w:rsid w:val="008A5DD2"/>
    <w:rsid w:val="008A7EB8"/>
    <w:rsid w:val="008B03FA"/>
    <w:rsid w:val="008B08B7"/>
    <w:rsid w:val="008B17AB"/>
    <w:rsid w:val="008B2720"/>
    <w:rsid w:val="008B2859"/>
    <w:rsid w:val="008B5B9C"/>
    <w:rsid w:val="008B7FE7"/>
    <w:rsid w:val="008C0039"/>
    <w:rsid w:val="008C15A4"/>
    <w:rsid w:val="008C1BA7"/>
    <w:rsid w:val="008C2002"/>
    <w:rsid w:val="008C29E3"/>
    <w:rsid w:val="008C32C6"/>
    <w:rsid w:val="008C3F37"/>
    <w:rsid w:val="008C5FFA"/>
    <w:rsid w:val="008C621F"/>
    <w:rsid w:val="008C6328"/>
    <w:rsid w:val="008C6431"/>
    <w:rsid w:val="008C77A7"/>
    <w:rsid w:val="008C7BE5"/>
    <w:rsid w:val="008D0754"/>
    <w:rsid w:val="008D20C5"/>
    <w:rsid w:val="008D3D49"/>
    <w:rsid w:val="008D4F85"/>
    <w:rsid w:val="008D6B54"/>
    <w:rsid w:val="008E0F02"/>
    <w:rsid w:val="008E15B4"/>
    <w:rsid w:val="008E1913"/>
    <w:rsid w:val="008E4528"/>
    <w:rsid w:val="008E494B"/>
    <w:rsid w:val="008E6518"/>
    <w:rsid w:val="008E65F5"/>
    <w:rsid w:val="008F052F"/>
    <w:rsid w:val="008F1EB4"/>
    <w:rsid w:val="008F21EF"/>
    <w:rsid w:val="008F4EDC"/>
    <w:rsid w:val="009004C0"/>
    <w:rsid w:val="00901198"/>
    <w:rsid w:val="0090271A"/>
    <w:rsid w:val="00903F2E"/>
    <w:rsid w:val="009041D5"/>
    <w:rsid w:val="009041FE"/>
    <w:rsid w:val="00905246"/>
    <w:rsid w:val="00907A48"/>
    <w:rsid w:val="009100F2"/>
    <w:rsid w:val="00910AE3"/>
    <w:rsid w:val="009123E2"/>
    <w:rsid w:val="00912DA7"/>
    <w:rsid w:val="00912E98"/>
    <w:rsid w:val="00913BA8"/>
    <w:rsid w:val="00913EB3"/>
    <w:rsid w:val="00914375"/>
    <w:rsid w:val="0091440F"/>
    <w:rsid w:val="00914794"/>
    <w:rsid w:val="00914C2C"/>
    <w:rsid w:val="00915D93"/>
    <w:rsid w:val="00915DA9"/>
    <w:rsid w:val="00916735"/>
    <w:rsid w:val="00916C62"/>
    <w:rsid w:val="00916E6A"/>
    <w:rsid w:val="009175DF"/>
    <w:rsid w:val="00917CED"/>
    <w:rsid w:val="0092113A"/>
    <w:rsid w:val="00923385"/>
    <w:rsid w:val="00923ED8"/>
    <w:rsid w:val="00926D5E"/>
    <w:rsid w:val="0092744C"/>
    <w:rsid w:val="00927563"/>
    <w:rsid w:val="009302D0"/>
    <w:rsid w:val="00932831"/>
    <w:rsid w:val="00933583"/>
    <w:rsid w:val="0093463D"/>
    <w:rsid w:val="00937E83"/>
    <w:rsid w:val="00940167"/>
    <w:rsid w:val="00942912"/>
    <w:rsid w:val="00942EE3"/>
    <w:rsid w:val="00943235"/>
    <w:rsid w:val="00944500"/>
    <w:rsid w:val="00944D12"/>
    <w:rsid w:val="00945534"/>
    <w:rsid w:val="00945962"/>
    <w:rsid w:val="009468A5"/>
    <w:rsid w:val="0094733F"/>
    <w:rsid w:val="009474DC"/>
    <w:rsid w:val="009509FA"/>
    <w:rsid w:val="0095134A"/>
    <w:rsid w:val="00952F1D"/>
    <w:rsid w:val="009558B2"/>
    <w:rsid w:val="00956C79"/>
    <w:rsid w:val="00957312"/>
    <w:rsid w:val="009600B9"/>
    <w:rsid w:val="009609D1"/>
    <w:rsid w:val="00961563"/>
    <w:rsid w:val="00964A68"/>
    <w:rsid w:val="00964AD4"/>
    <w:rsid w:val="00965746"/>
    <w:rsid w:val="00965B11"/>
    <w:rsid w:val="00966A61"/>
    <w:rsid w:val="00967CB9"/>
    <w:rsid w:val="00967E2D"/>
    <w:rsid w:val="00970F0C"/>
    <w:rsid w:val="00971520"/>
    <w:rsid w:val="009757F9"/>
    <w:rsid w:val="00975F43"/>
    <w:rsid w:val="009773A6"/>
    <w:rsid w:val="00977AF6"/>
    <w:rsid w:val="00981248"/>
    <w:rsid w:val="00981EF2"/>
    <w:rsid w:val="0098218D"/>
    <w:rsid w:val="009840DB"/>
    <w:rsid w:val="0098444A"/>
    <w:rsid w:val="00985613"/>
    <w:rsid w:val="00985847"/>
    <w:rsid w:val="009871C7"/>
    <w:rsid w:val="0099099D"/>
    <w:rsid w:val="00994542"/>
    <w:rsid w:val="00997374"/>
    <w:rsid w:val="009A03E3"/>
    <w:rsid w:val="009A053E"/>
    <w:rsid w:val="009A0FBE"/>
    <w:rsid w:val="009A135E"/>
    <w:rsid w:val="009A1D0A"/>
    <w:rsid w:val="009A22B8"/>
    <w:rsid w:val="009A4346"/>
    <w:rsid w:val="009A606A"/>
    <w:rsid w:val="009B0234"/>
    <w:rsid w:val="009B1D89"/>
    <w:rsid w:val="009B56C4"/>
    <w:rsid w:val="009B5FEB"/>
    <w:rsid w:val="009B6552"/>
    <w:rsid w:val="009B67F9"/>
    <w:rsid w:val="009B6A43"/>
    <w:rsid w:val="009B6AA5"/>
    <w:rsid w:val="009B77EA"/>
    <w:rsid w:val="009B7F72"/>
    <w:rsid w:val="009C0649"/>
    <w:rsid w:val="009C396B"/>
    <w:rsid w:val="009C3FE1"/>
    <w:rsid w:val="009C509E"/>
    <w:rsid w:val="009D1171"/>
    <w:rsid w:val="009D347F"/>
    <w:rsid w:val="009D4A28"/>
    <w:rsid w:val="009D5D3C"/>
    <w:rsid w:val="009D6A1D"/>
    <w:rsid w:val="009E05B2"/>
    <w:rsid w:val="009E11C7"/>
    <w:rsid w:val="009E1AD5"/>
    <w:rsid w:val="009E360C"/>
    <w:rsid w:val="009E38AB"/>
    <w:rsid w:val="009E53D2"/>
    <w:rsid w:val="009E55AA"/>
    <w:rsid w:val="009E5B85"/>
    <w:rsid w:val="009E5DD6"/>
    <w:rsid w:val="009E5F52"/>
    <w:rsid w:val="009E674E"/>
    <w:rsid w:val="009E6A34"/>
    <w:rsid w:val="009E6E3C"/>
    <w:rsid w:val="009F00C0"/>
    <w:rsid w:val="009F0CD9"/>
    <w:rsid w:val="009F1E40"/>
    <w:rsid w:val="009F29A2"/>
    <w:rsid w:val="009F6780"/>
    <w:rsid w:val="00A001A1"/>
    <w:rsid w:val="00A001CE"/>
    <w:rsid w:val="00A00931"/>
    <w:rsid w:val="00A01F4D"/>
    <w:rsid w:val="00A037A2"/>
    <w:rsid w:val="00A04A40"/>
    <w:rsid w:val="00A077A1"/>
    <w:rsid w:val="00A10D49"/>
    <w:rsid w:val="00A113A4"/>
    <w:rsid w:val="00A11B79"/>
    <w:rsid w:val="00A12477"/>
    <w:rsid w:val="00A12D58"/>
    <w:rsid w:val="00A1314C"/>
    <w:rsid w:val="00A140CC"/>
    <w:rsid w:val="00A143A2"/>
    <w:rsid w:val="00A15061"/>
    <w:rsid w:val="00A1592A"/>
    <w:rsid w:val="00A15F51"/>
    <w:rsid w:val="00A1608A"/>
    <w:rsid w:val="00A16F03"/>
    <w:rsid w:val="00A17865"/>
    <w:rsid w:val="00A20401"/>
    <w:rsid w:val="00A22BE3"/>
    <w:rsid w:val="00A230AC"/>
    <w:rsid w:val="00A231C6"/>
    <w:rsid w:val="00A2352E"/>
    <w:rsid w:val="00A23B49"/>
    <w:rsid w:val="00A23BFA"/>
    <w:rsid w:val="00A24C55"/>
    <w:rsid w:val="00A260CA"/>
    <w:rsid w:val="00A274AB"/>
    <w:rsid w:val="00A30D87"/>
    <w:rsid w:val="00A32BE5"/>
    <w:rsid w:val="00A334DA"/>
    <w:rsid w:val="00A3351D"/>
    <w:rsid w:val="00A3397E"/>
    <w:rsid w:val="00A33AF1"/>
    <w:rsid w:val="00A3526C"/>
    <w:rsid w:val="00A35C43"/>
    <w:rsid w:val="00A40F7C"/>
    <w:rsid w:val="00A43295"/>
    <w:rsid w:val="00A45369"/>
    <w:rsid w:val="00A4542C"/>
    <w:rsid w:val="00A4571A"/>
    <w:rsid w:val="00A46938"/>
    <w:rsid w:val="00A47BD3"/>
    <w:rsid w:val="00A47E50"/>
    <w:rsid w:val="00A50ED2"/>
    <w:rsid w:val="00A51A49"/>
    <w:rsid w:val="00A536D8"/>
    <w:rsid w:val="00A539C4"/>
    <w:rsid w:val="00A53ADC"/>
    <w:rsid w:val="00A57E72"/>
    <w:rsid w:val="00A6034B"/>
    <w:rsid w:val="00A627E1"/>
    <w:rsid w:val="00A65348"/>
    <w:rsid w:val="00A729E3"/>
    <w:rsid w:val="00A7306E"/>
    <w:rsid w:val="00A7376B"/>
    <w:rsid w:val="00A7469A"/>
    <w:rsid w:val="00A75BDD"/>
    <w:rsid w:val="00A75D62"/>
    <w:rsid w:val="00A806B4"/>
    <w:rsid w:val="00A80738"/>
    <w:rsid w:val="00A825C4"/>
    <w:rsid w:val="00A8314E"/>
    <w:rsid w:val="00A8346A"/>
    <w:rsid w:val="00A86303"/>
    <w:rsid w:val="00A90A68"/>
    <w:rsid w:val="00A90B3C"/>
    <w:rsid w:val="00A915A3"/>
    <w:rsid w:val="00A9183E"/>
    <w:rsid w:val="00A938CB"/>
    <w:rsid w:val="00A97140"/>
    <w:rsid w:val="00A97774"/>
    <w:rsid w:val="00AA0570"/>
    <w:rsid w:val="00AA2A56"/>
    <w:rsid w:val="00AA342A"/>
    <w:rsid w:val="00AA4556"/>
    <w:rsid w:val="00AA5BF6"/>
    <w:rsid w:val="00AA624C"/>
    <w:rsid w:val="00AA7FD6"/>
    <w:rsid w:val="00AB07C5"/>
    <w:rsid w:val="00AB3461"/>
    <w:rsid w:val="00AB48B9"/>
    <w:rsid w:val="00AB48FD"/>
    <w:rsid w:val="00AB72E8"/>
    <w:rsid w:val="00AB7FF5"/>
    <w:rsid w:val="00AC035C"/>
    <w:rsid w:val="00AC0DCC"/>
    <w:rsid w:val="00AC12F6"/>
    <w:rsid w:val="00AC1A5E"/>
    <w:rsid w:val="00AC36A7"/>
    <w:rsid w:val="00AC5C81"/>
    <w:rsid w:val="00AC647B"/>
    <w:rsid w:val="00AC72AA"/>
    <w:rsid w:val="00AC772D"/>
    <w:rsid w:val="00ACD44A"/>
    <w:rsid w:val="00AD1EA4"/>
    <w:rsid w:val="00AD269C"/>
    <w:rsid w:val="00AD2C7A"/>
    <w:rsid w:val="00AD49AE"/>
    <w:rsid w:val="00AD65E5"/>
    <w:rsid w:val="00AD75E4"/>
    <w:rsid w:val="00AE08D0"/>
    <w:rsid w:val="00AE1FA3"/>
    <w:rsid w:val="00AE256B"/>
    <w:rsid w:val="00AE3CFA"/>
    <w:rsid w:val="00AE4427"/>
    <w:rsid w:val="00AE4770"/>
    <w:rsid w:val="00AE4F84"/>
    <w:rsid w:val="00AE58CD"/>
    <w:rsid w:val="00AE66F5"/>
    <w:rsid w:val="00AE7597"/>
    <w:rsid w:val="00AF0567"/>
    <w:rsid w:val="00AF062A"/>
    <w:rsid w:val="00AF0991"/>
    <w:rsid w:val="00AF4CB5"/>
    <w:rsid w:val="00AF6EAF"/>
    <w:rsid w:val="00AF7655"/>
    <w:rsid w:val="00AF7AAC"/>
    <w:rsid w:val="00AF7B73"/>
    <w:rsid w:val="00B00AF1"/>
    <w:rsid w:val="00B0107D"/>
    <w:rsid w:val="00B010EA"/>
    <w:rsid w:val="00B01BB3"/>
    <w:rsid w:val="00B028D4"/>
    <w:rsid w:val="00B02A69"/>
    <w:rsid w:val="00B02FBA"/>
    <w:rsid w:val="00B03842"/>
    <w:rsid w:val="00B046AC"/>
    <w:rsid w:val="00B15B1D"/>
    <w:rsid w:val="00B170D2"/>
    <w:rsid w:val="00B17B84"/>
    <w:rsid w:val="00B1B0A1"/>
    <w:rsid w:val="00B228F4"/>
    <w:rsid w:val="00B25EA6"/>
    <w:rsid w:val="00B26785"/>
    <w:rsid w:val="00B2706E"/>
    <w:rsid w:val="00B27A56"/>
    <w:rsid w:val="00B30B87"/>
    <w:rsid w:val="00B330B7"/>
    <w:rsid w:val="00B3506D"/>
    <w:rsid w:val="00B358FF"/>
    <w:rsid w:val="00B36B0E"/>
    <w:rsid w:val="00B370BF"/>
    <w:rsid w:val="00B37D0C"/>
    <w:rsid w:val="00B41268"/>
    <w:rsid w:val="00B41AB4"/>
    <w:rsid w:val="00B44B0D"/>
    <w:rsid w:val="00B45244"/>
    <w:rsid w:val="00B46BF7"/>
    <w:rsid w:val="00B46CD1"/>
    <w:rsid w:val="00B46E51"/>
    <w:rsid w:val="00B47C70"/>
    <w:rsid w:val="00B500B6"/>
    <w:rsid w:val="00B53072"/>
    <w:rsid w:val="00B53290"/>
    <w:rsid w:val="00B53D56"/>
    <w:rsid w:val="00B56516"/>
    <w:rsid w:val="00B56766"/>
    <w:rsid w:val="00B57B05"/>
    <w:rsid w:val="00B612AD"/>
    <w:rsid w:val="00B615BD"/>
    <w:rsid w:val="00B61FE5"/>
    <w:rsid w:val="00B62F5D"/>
    <w:rsid w:val="00B643BD"/>
    <w:rsid w:val="00B649BC"/>
    <w:rsid w:val="00B65D9D"/>
    <w:rsid w:val="00B66C09"/>
    <w:rsid w:val="00B753FD"/>
    <w:rsid w:val="00B75E41"/>
    <w:rsid w:val="00B8120A"/>
    <w:rsid w:val="00B826E6"/>
    <w:rsid w:val="00B84673"/>
    <w:rsid w:val="00B84FEE"/>
    <w:rsid w:val="00B850EF"/>
    <w:rsid w:val="00B8514A"/>
    <w:rsid w:val="00B862DE"/>
    <w:rsid w:val="00B86BC9"/>
    <w:rsid w:val="00B87B59"/>
    <w:rsid w:val="00B87C00"/>
    <w:rsid w:val="00B90E31"/>
    <w:rsid w:val="00B935B6"/>
    <w:rsid w:val="00B939AF"/>
    <w:rsid w:val="00B9443C"/>
    <w:rsid w:val="00B946BC"/>
    <w:rsid w:val="00B96CF6"/>
    <w:rsid w:val="00B96E43"/>
    <w:rsid w:val="00B97F90"/>
    <w:rsid w:val="00BA29CE"/>
    <w:rsid w:val="00BA2C46"/>
    <w:rsid w:val="00BA3FE8"/>
    <w:rsid w:val="00BB00D9"/>
    <w:rsid w:val="00BB09D0"/>
    <w:rsid w:val="00BB3539"/>
    <w:rsid w:val="00BB41C8"/>
    <w:rsid w:val="00BC07A7"/>
    <w:rsid w:val="00BC10CF"/>
    <w:rsid w:val="00BC4E69"/>
    <w:rsid w:val="00BC5124"/>
    <w:rsid w:val="00BC6FD1"/>
    <w:rsid w:val="00BD0877"/>
    <w:rsid w:val="00BD0F1D"/>
    <w:rsid w:val="00BD177A"/>
    <w:rsid w:val="00BD17C9"/>
    <w:rsid w:val="00BD1F00"/>
    <w:rsid w:val="00BD21A1"/>
    <w:rsid w:val="00BD2990"/>
    <w:rsid w:val="00BD2FA7"/>
    <w:rsid w:val="00BD31E9"/>
    <w:rsid w:val="00BD3359"/>
    <w:rsid w:val="00BD49BC"/>
    <w:rsid w:val="00BD4DB0"/>
    <w:rsid w:val="00BD506D"/>
    <w:rsid w:val="00BD5CF6"/>
    <w:rsid w:val="00BD75FB"/>
    <w:rsid w:val="00BD7663"/>
    <w:rsid w:val="00BD7ABA"/>
    <w:rsid w:val="00BD7CA3"/>
    <w:rsid w:val="00BE03D8"/>
    <w:rsid w:val="00BE2B77"/>
    <w:rsid w:val="00BE3745"/>
    <w:rsid w:val="00BE38A7"/>
    <w:rsid w:val="00BE4BD8"/>
    <w:rsid w:val="00BE4C51"/>
    <w:rsid w:val="00BE4F4B"/>
    <w:rsid w:val="00BE6351"/>
    <w:rsid w:val="00BE690E"/>
    <w:rsid w:val="00BF214D"/>
    <w:rsid w:val="00BF310F"/>
    <w:rsid w:val="00BF494B"/>
    <w:rsid w:val="00BF7BEC"/>
    <w:rsid w:val="00C009F1"/>
    <w:rsid w:val="00C01FE7"/>
    <w:rsid w:val="00C03504"/>
    <w:rsid w:val="00C11D3B"/>
    <w:rsid w:val="00C121CD"/>
    <w:rsid w:val="00C12345"/>
    <w:rsid w:val="00C22A0F"/>
    <w:rsid w:val="00C22F9F"/>
    <w:rsid w:val="00C23200"/>
    <w:rsid w:val="00C241D5"/>
    <w:rsid w:val="00C2560D"/>
    <w:rsid w:val="00C267FD"/>
    <w:rsid w:val="00C26A5C"/>
    <w:rsid w:val="00C27815"/>
    <w:rsid w:val="00C27FE4"/>
    <w:rsid w:val="00C31F28"/>
    <w:rsid w:val="00C32789"/>
    <w:rsid w:val="00C33E9B"/>
    <w:rsid w:val="00C35D5F"/>
    <w:rsid w:val="00C36112"/>
    <w:rsid w:val="00C36A38"/>
    <w:rsid w:val="00C4068F"/>
    <w:rsid w:val="00C40DAA"/>
    <w:rsid w:val="00C42A07"/>
    <w:rsid w:val="00C43C5A"/>
    <w:rsid w:val="00C53ACE"/>
    <w:rsid w:val="00C541F2"/>
    <w:rsid w:val="00C54F71"/>
    <w:rsid w:val="00C558AF"/>
    <w:rsid w:val="00C57687"/>
    <w:rsid w:val="00C624F7"/>
    <w:rsid w:val="00C63093"/>
    <w:rsid w:val="00C6339A"/>
    <w:rsid w:val="00C63CA2"/>
    <w:rsid w:val="00C64321"/>
    <w:rsid w:val="00C6513C"/>
    <w:rsid w:val="00C679A5"/>
    <w:rsid w:val="00C70739"/>
    <w:rsid w:val="00C72265"/>
    <w:rsid w:val="00C72C68"/>
    <w:rsid w:val="00C732B5"/>
    <w:rsid w:val="00C743F9"/>
    <w:rsid w:val="00C755D6"/>
    <w:rsid w:val="00C7583F"/>
    <w:rsid w:val="00C7596A"/>
    <w:rsid w:val="00C772EF"/>
    <w:rsid w:val="00C775FC"/>
    <w:rsid w:val="00C808D4"/>
    <w:rsid w:val="00C81A76"/>
    <w:rsid w:val="00C8249D"/>
    <w:rsid w:val="00C82CB3"/>
    <w:rsid w:val="00C840AC"/>
    <w:rsid w:val="00C84C7F"/>
    <w:rsid w:val="00C86696"/>
    <w:rsid w:val="00C8694B"/>
    <w:rsid w:val="00C87364"/>
    <w:rsid w:val="00C90A22"/>
    <w:rsid w:val="00C92057"/>
    <w:rsid w:val="00C95E97"/>
    <w:rsid w:val="00C95EA8"/>
    <w:rsid w:val="00C96F34"/>
    <w:rsid w:val="00C973DE"/>
    <w:rsid w:val="00C97FF6"/>
    <w:rsid w:val="00CA12A4"/>
    <w:rsid w:val="00CA3FB8"/>
    <w:rsid w:val="00CA427A"/>
    <w:rsid w:val="00CA4B56"/>
    <w:rsid w:val="00CA4BA4"/>
    <w:rsid w:val="00CA5760"/>
    <w:rsid w:val="00CB482E"/>
    <w:rsid w:val="00CB4946"/>
    <w:rsid w:val="00CB4C75"/>
    <w:rsid w:val="00CB4E4B"/>
    <w:rsid w:val="00CB674F"/>
    <w:rsid w:val="00CC13D6"/>
    <w:rsid w:val="00CC17E2"/>
    <w:rsid w:val="00CC2142"/>
    <w:rsid w:val="00CC21DA"/>
    <w:rsid w:val="00CC242E"/>
    <w:rsid w:val="00CC2525"/>
    <w:rsid w:val="00CC45C8"/>
    <w:rsid w:val="00CC5E2A"/>
    <w:rsid w:val="00CC6148"/>
    <w:rsid w:val="00CC7513"/>
    <w:rsid w:val="00CC79F5"/>
    <w:rsid w:val="00CD0C2A"/>
    <w:rsid w:val="00CD1B69"/>
    <w:rsid w:val="00CD1CBB"/>
    <w:rsid w:val="00CD32DE"/>
    <w:rsid w:val="00CD3375"/>
    <w:rsid w:val="00CE050B"/>
    <w:rsid w:val="00CE097A"/>
    <w:rsid w:val="00CE1A03"/>
    <w:rsid w:val="00CE1F7C"/>
    <w:rsid w:val="00CE68AB"/>
    <w:rsid w:val="00CE743F"/>
    <w:rsid w:val="00CE7478"/>
    <w:rsid w:val="00CF054F"/>
    <w:rsid w:val="00CF129C"/>
    <w:rsid w:val="00CF1B57"/>
    <w:rsid w:val="00CF55C4"/>
    <w:rsid w:val="00CF5FA4"/>
    <w:rsid w:val="00D0138B"/>
    <w:rsid w:val="00D0224C"/>
    <w:rsid w:val="00D028E9"/>
    <w:rsid w:val="00D02E73"/>
    <w:rsid w:val="00D03F86"/>
    <w:rsid w:val="00D042E4"/>
    <w:rsid w:val="00D04483"/>
    <w:rsid w:val="00D05ED0"/>
    <w:rsid w:val="00D06693"/>
    <w:rsid w:val="00D0717C"/>
    <w:rsid w:val="00D07AB0"/>
    <w:rsid w:val="00D10D75"/>
    <w:rsid w:val="00D12235"/>
    <w:rsid w:val="00D128BB"/>
    <w:rsid w:val="00D12CC9"/>
    <w:rsid w:val="00D150B3"/>
    <w:rsid w:val="00D15205"/>
    <w:rsid w:val="00D1737E"/>
    <w:rsid w:val="00D17C7C"/>
    <w:rsid w:val="00D17D38"/>
    <w:rsid w:val="00D21F0C"/>
    <w:rsid w:val="00D2211C"/>
    <w:rsid w:val="00D25DC3"/>
    <w:rsid w:val="00D27C68"/>
    <w:rsid w:val="00D3008D"/>
    <w:rsid w:val="00D3361D"/>
    <w:rsid w:val="00D36382"/>
    <w:rsid w:val="00D36457"/>
    <w:rsid w:val="00D36D1B"/>
    <w:rsid w:val="00D37387"/>
    <w:rsid w:val="00D40252"/>
    <w:rsid w:val="00D41C65"/>
    <w:rsid w:val="00D433D1"/>
    <w:rsid w:val="00D4416E"/>
    <w:rsid w:val="00D44EC1"/>
    <w:rsid w:val="00D45D7A"/>
    <w:rsid w:val="00D4604F"/>
    <w:rsid w:val="00D46A69"/>
    <w:rsid w:val="00D51FB6"/>
    <w:rsid w:val="00D53241"/>
    <w:rsid w:val="00D5672C"/>
    <w:rsid w:val="00D600F7"/>
    <w:rsid w:val="00D6065C"/>
    <w:rsid w:val="00D63A41"/>
    <w:rsid w:val="00D653E3"/>
    <w:rsid w:val="00D666EA"/>
    <w:rsid w:val="00D6AC84"/>
    <w:rsid w:val="00D71357"/>
    <w:rsid w:val="00D72567"/>
    <w:rsid w:val="00D72985"/>
    <w:rsid w:val="00D7299D"/>
    <w:rsid w:val="00D73D79"/>
    <w:rsid w:val="00D74DF6"/>
    <w:rsid w:val="00D75ED2"/>
    <w:rsid w:val="00D7617A"/>
    <w:rsid w:val="00D808FD"/>
    <w:rsid w:val="00D80F11"/>
    <w:rsid w:val="00D82274"/>
    <w:rsid w:val="00D84E33"/>
    <w:rsid w:val="00D86DAF"/>
    <w:rsid w:val="00D87A98"/>
    <w:rsid w:val="00D90DFA"/>
    <w:rsid w:val="00D93275"/>
    <w:rsid w:val="00D93EE3"/>
    <w:rsid w:val="00D9510B"/>
    <w:rsid w:val="00D96214"/>
    <w:rsid w:val="00DA07DD"/>
    <w:rsid w:val="00DA10E8"/>
    <w:rsid w:val="00DA12D4"/>
    <w:rsid w:val="00DA24A3"/>
    <w:rsid w:val="00DA2524"/>
    <w:rsid w:val="00DA2DB8"/>
    <w:rsid w:val="00DA387F"/>
    <w:rsid w:val="00DA3E7D"/>
    <w:rsid w:val="00DA4234"/>
    <w:rsid w:val="00DA654F"/>
    <w:rsid w:val="00DA7C78"/>
    <w:rsid w:val="00DA7E53"/>
    <w:rsid w:val="00DB0897"/>
    <w:rsid w:val="00DB107E"/>
    <w:rsid w:val="00DB1B31"/>
    <w:rsid w:val="00DB2070"/>
    <w:rsid w:val="00DB576A"/>
    <w:rsid w:val="00DB6151"/>
    <w:rsid w:val="00DB7657"/>
    <w:rsid w:val="00DB7D6E"/>
    <w:rsid w:val="00DC002C"/>
    <w:rsid w:val="00DC0A8B"/>
    <w:rsid w:val="00DC0DDB"/>
    <w:rsid w:val="00DC3444"/>
    <w:rsid w:val="00DC35E0"/>
    <w:rsid w:val="00DC49C3"/>
    <w:rsid w:val="00DC5B52"/>
    <w:rsid w:val="00DC6B1B"/>
    <w:rsid w:val="00DC6E45"/>
    <w:rsid w:val="00DD03E0"/>
    <w:rsid w:val="00DD1300"/>
    <w:rsid w:val="00DD425D"/>
    <w:rsid w:val="00DD4F10"/>
    <w:rsid w:val="00DD6888"/>
    <w:rsid w:val="00DE0024"/>
    <w:rsid w:val="00DE0F2C"/>
    <w:rsid w:val="00DE15ED"/>
    <w:rsid w:val="00DE1A33"/>
    <w:rsid w:val="00DE6481"/>
    <w:rsid w:val="00DE678E"/>
    <w:rsid w:val="00DF04CA"/>
    <w:rsid w:val="00DF1A4E"/>
    <w:rsid w:val="00DF32E3"/>
    <w:rsid w:val="00DF41A6"/>
    <w:rsid w:val="00DF5C4C"/>
    <w:rsid w:val="00DF6738"/>
    <w:rsid w:val="00DF680A"/>
    <w:rsid w:val="00DF7CA7"/>
    <w:rsid w:val="00E0137E"/>
    <w:rsid w:val="00E02A1B"/>
    <w:rsid w:val="00E044F3"/>
    <w:rsid w:val="00E04C08"/>
    <w:rsid w:val="00E05F10"/>
    <w:rsid w:val="00E06C67"/>
    <w:rsid w:val="00E075FE"/>
    <w:rsid w:val="00E1018A"/>
    <w:rsid w:val="00E102BD"/>
    <w:rsid w:val="00E10597"/>
    <w:rsid w:val="00E10C5C"/>
    <w:rsid w:val="00E11B3C"/>
    <w:rsid w:val="00E124C2"/>
    <w:rsid w:val="00E12E22"/>
    <w:rsid w:val="00E137C7"/>
    <w:rsid w:val="00E13CEC"/>
    <w:rsid w:val="00E164AB"/>
    <w:rsid w:val="00E16F7F"/>
    <w:rsid w:val="00E205B3"/>
    <w:rsid w:val="00E225C4"/>
    <w:rsid w:val="00E23786"/>
    <w:rsid w:val="00E23C8C"/>
    <w:rsid w:val="00E261F3"/>
    <w:rsid w:val="00E268D2"/>
    <w:rsid w:val="00E2771F"/>
    <w:rsid w:val="00E33423"/>
    <w:rsid w:val="00E33AAE"/>
    <w:rsid w:val="00E35444"/>
    <w:rsid w:val="00E36A65"/>
    <w:rsid w:val="00E3734B"/>
    <w:rsid w:val="00E374CB"/>
    <w:rsid w:val="00E404E7"/>
    <w:rsid w:val="00E406F8"/>
    <w:rsid w:val="00E40AF0"/>
    <w:rsid w:val="00E4131C"/>
    <w:rsid w:val="00E41AD5"/>
    <w:rsid w:val="00E41DE6"/>
    <w:rsid w:val="00E4297A"/>
    <w:rsid w:val="00E42A3C"/>
    <w:rsid w:val="00E446FB"/>
    <w:rsid w:val="00E44853"/>
    <w:rsid w:val="00E45148"/>
    <w:rsid w:val="00E4578D"/>
    <w:rsid w:val="00E45B70"/>
    <w:rsid w:val="00E45CCB"/>
    <w:rsid w:val="00E4607F"/>
    <w:rsid w:val="00E46E23"/>
    <w:rsid w:val="00E47356"/>
    <w:rsid w:val="00E47FCE"/>
    <w:rsid w:val="00E50836"/>
    <w:rsid w:val="00E52B58"/>
    <w:rsid w:val="00E533EC"/>
    <w:rsid w:val="00E55D27"/>
    <w:rsid w:val="00E572B9"/>
    <w:rsid w:val="00E60159"/>
    <w:rsid w:val="00E60FE9"/>
    <w:rsid w:val="00E62078"/>
    <w:rsid w:val="00E62915"/>
    <w:rsid w:val="00E641F3"/>
    <w:rsid w:val="00E6578C"/>
    <w:rsid w:val="00E65FF5"/>
    <w:rsid w:val="00E6618B"/>
    <w:rsid w:val="00E727CD"/>
    <w:rsid w:val="00E72817"/>
    <w:rsid w:val="00E7386C"/>
    <w:rsid w:val="00E801A0"/>
    <w:rsid w:val="00E83EB4"/>
    <w:rsid w:val="00E84A02"/>
    <w:rsid w:val="00E8556E"/>
    <w:rsid w:val="00E92111"/>
    <w:rsid w:val="00E95401"/>
    <w:rsid w:val="00E95758"/>
    <w:rsid w:val="00E97275"/>
    <w:rsid w:val="00EA1588"/>
    <w:rsid w:val="00EA2EF5"/>
    <w:rsid w:val="00EA4285"/>
    <w:rsid w:val="00EA49B3"/>
    <w:rsid w:val="00EA4B20"/>
    <w:rsid w:val="00EA4DA8"/>
    <w:rsid w:val="00EA531A"/>
    <w:rsid w:val="00EA591C"/>
    <w:rsid w:val="00EA7E25"/>
    <w:rsid w:val="00EAA076"/>
    <w:rsid w:val="00EB0256"/>
    <w:rsid w:val="00EB033D"/>
    <w:rsid w:val="00EB22E1"/>
    <w:rsid w:val="00EB2E16"/>
    <w:rsid w:val="00EB2EAD"/>
    <w:rsid w:val="00EB383B"/>
    <w:rsid w:val="00EB3A24"/>
    <w:rsid w:val="00EB3C91"/>
    <w:rsid w:val="00EB6F1E"/>
    <w:rsid w:val="00EB768A"/>
    <w:rsid w:val="00EB7B13"/>
    <w:rsid w:val="00EB7D9F"/>
    <w:rsid w:val="00EC09BE"/>
    <w:rsid w:val="00EC1BBA"/>
    <w:rsid w:val="00EC3723"/>
    <w:rsid w:val="00EC5BB1"/>
    <w:rsid w:val="00EC5FD3"/>
    <w:rsid w:val="00EC6524"/>
    <w:rsid w:val="00EC7135"/>
    <w:rsid w:val="00ED1852"/>
    <w:rsid w:val="00ED20F3"/>
    <w:rsid w:val="00ED237E"/>
    <w:rsid w:val="00ED304B"/>
    <w:rsid w:val="00ED6198"/>
    <w:rsid w:val="00EE17FF"/>
    <w:rsid w:val="00EE2588"/>
    <w:rsid w:val="00EE2EBF"/>
    <w:rsid w:val="00EE31A8"/>
    <w:rsid w:val="00EE39D5"/>
    <w:rsid w:val="00EE3DED"/>
    <w:rsid w:val="00EE577A"/>
    <w:rsid w:val="00EE5AA8"/>
    <w:rsid w:val="00EE64B2"/>
    <w:rsid w:val="00EE6A6E"/>
    <w:rsid w:val="00EF145D"/>
    <w:rsid w:val="00EF1D5D"/>
    <w:rsid w:val="00EF28AB"/>
    <w:rsid w:val="00EF432B"/>
    <w:rsid w:val="00EF5B3D"/>
    <w:rsid w:val="00EF6858"/>
    <w:rsid w:val="00EF6BB6"/>
    <w:rsid w:val="00EF7704"/>
    <w:rsid w:val="00F0017A"/>
    <w:rsid w:val="00F01154"/>
    <w:rsid w:val="00F03D54"/>
    <w:rsid w:val="00F07247"/>
    <w:rsid w:val="00F10280"/>
    <w:rsid w:val="00F125E2"/>
    <w:rsid w:val="00F130D4"/>
    <w:rsid w:val="00F13F29"/>
    <w:rsid w:val="00F15427"/>
    <w:rsid w:val="00F1762D"/>
    <w:rsid w:val="00F2037C"/>
    <w:rsid w:val="00F221AC"/>
    <w:rsid w:val="00F22486"/>
    <w:rsid w:val="00F24F55"/>
    <w:rsid w:val="00F2517A"/>
    <w:rsid w:val="00F309E2"/>
    <w:rsid w:val="00F31424"/>
    <w:rsid w:val="00F31B6D"/>
    <w:rsid w:val="00F3477B"/>
    <w:rsid w:val="00F34C80"/>
    <w:rsid w:val="00F34E32"/>
    <w:rsid w:val="00F35386"/>
    <w:rsid w:val="00F35ABF"/>
    <w:rsid w:val="00F36C3A"/>
    <w:rsid w:val="00F37DB4"/>
    <w:rsid w:val="00F41B4B"/>
    <w:rsid w:val="00F41DF5"/>
    <w:rsid w:val="00F4225C"/>
    <w:rsid w:val="00F43067"/>
    <w:rsid w:val="00F445FE"/>
    <w:rsid w:val="00F4462E"/>
    <w:rsid w:val="00F44A2A"/>
    <w:rsid w:val="00F45974"/>
    <w:rsid w:val="00F46A5D"/>
    <w:rsid w:val="00F46BCA"/>
    <w:rsid w:val="00F46D28"/>
    <w:rsid w:val="00F46ED4"/>
    <w:rsid w:val="00F476D6"/>
    <w:rsid w:val="00F47D4D"/>
    <w:rsid w:val="00F51DD1"/>
    <w:rsid w:val="00F52E0B"/>
    <w:rsid w:val="00F5357B"/>
    <w:rsid w:val="00F55C47"/>
    <w:rsid w:val="00F56989"/>
    <w:rsid w:val="00F56A8F"/>
    <w:rsid w:val="00F57981"/>
    <w:rsid w:val="00F57A6E"/>
    <w:rsid w:val="00F60DC9"/>
    <w:rsid w:val="00F61502"/>
    <w:rsid w:val="00F61627"/>
    <w:rsid w:val="00F6216B"/>
    <w:rsid w:val="00F623D6"/>
    <w:rsid w:val="00F6286A"/>
    <w:rsid w:val="00F62F07"/>
    <w:rsid w:val="00F636B7"/>
    <w:rsid w:val="00F6475B"/>
    <w:rsid w:val="00F64B97"/>
    <w:rsid w:val="00F674A2"/>
    <w:rsid w:val="00F675BA"/>
    <w:rsid w:val="00F6769C"/>
    <w:rsid w:val="00F703CC"/>
    <w:rsid w:val="00F706BE"/>
    <w:rsid w:val="00F70DDF"/>
    <w:rsid w:val="00F715DD"/>
    <w:rsid w:val="00F74361"/>
    <w:rsid w:val="00F74D68"/>
    <w:rsid w:val="00F777B4"/>
    <w:rsid w:val="00F80136"/>
    <w:rsid w:val="00F82B07"/>
    <w:rsid w:val="00F82C7D"/>
    <w:rsid w:val="00F82C86"/>
    <w:rsid w:val="00F82FDA"/>
    <w:rsid w:val="00F848EF"/>
    <w:rsid w:val="00F86A95"/>
    <w:rsid w:val="00F86A9F"/>
    <w:rsid w:val="00F86DA9"/>
    <w:rsid w:val="00F86E15"/>
    <w:rsid w:val="00F8748F"/>
    <w:rsid w:val="00F8789A"/>
    <w:rsid w:val="00F900A6"/>
    <w:rsid w:val="00F90139"/>
    <w:rsid w:val="00F901F8"/>
    <w:rsid w:val="00F90FD0"/>
    <w:rsid w:val="00F9131E"/>
    <w:rsid w:val="00F91AF8"/>
    <w:rsid w:val="00F92E29"/>
    <w:rsid w:val="00F93DA7"/>
    <w:rsid w:val="00F93FC4"/>
    <w:rsid w:val="00F945F0"/>
    <w:rsid w:val="00F9470C"/>
    <w:rsid w:val="00F95048"/>
    <w:rsid w:val="00F96D96"/>
    <w:rsid w:val="00F97C41"/>
    <w:rsid w:val="00FA0BD0"/>
    <w:rsid w:val="00FA30CB"/>
    <w:rsid w:val="00FA4023"/>
    <w:rsid w:val="00FA41E8"/>
    <w:rsid w:val="00FA4429"/>
    <w:rsid w:val="00FA4F33"/>
    <w:rsid w:val="00FA521B"/>
    <w:rsid w:val="00FA78C6"/>
    <w:rsid w:val="00FA7B49"/>
    <w:rsid w:val="00FA7C1F"/>
    <w:rsid w:val="00FB02C6"/>
    <w:rsid w:val="00FB1F5C"/>
    <w:rsid w:val="00FB1F65"/>
    <w:rsid w:val="00FB2330"/>
    <w:rsid w:val="00FB27E3"/>
    <w:rsid w:val="00FB30AE"/>
    <w:rsid w:val="00FB60B2"/>
    <w:rsid w:val="00FB678D"/>
    <w:rsid w:val="00FB791C"/>
    <w:rsid w:val="00FB7FC1"/>
    <w:rsid w:val="00FC25FF"/>
    <w:rsid w:val="00FC3138"/>
    <w:rsid w:val="00FC408A"/>
    <w:rsid w:val="00FC4464"/>
    <w:rsid w:val="00FC4588"/>
    <w:rsid w:val="00FC4D13"/>
    <w:rsid w:val="00FC6006"/>
    <w:rsid w:val="00FC6CE8"/>
    <w:rsid w:val="00FD09D9"/>
    <w:rsid w:val="00FD1135"/>
    <w:rsid w:val="00FD3C6E"/>
    <w:rsid w:val="00FD4022"/>
    <w:rsid w:val="00FD4EFF"/>
    <w:rsid w:val="00FD5560"/>
    <w:rsid w:val="00FE03DD"/>
    <w:rsid w:val="00FE09F6"/>
    <w:rsid w:val="00FE1A66"/>
    <w:rsid w:val="00FE1F6E"/>
    <w:rsid w:val="00FE2686"/>
    <w:rsid w:val="00FE304D"/>
    <w:rsid w:val="00FE374B"/>
    <w:rsid w:val="00FE3EC6"/>
    <w:rsid w:val="00FE5BF0"/>
    <w:rsid w:val="00FE5EB0"/>
    <w:rsid w:val="00FF178D"/>
    <w:rsid w:val="00FF2DE3"/>
    <w:rsid w:val="00FF541F"/>
    <w:rsid w:val="00FF551E"/>
    <w:rsid w:val="00FF60A6"/>
    <w:rsid w:val="00FF69AB"/>
    <w:rsid w:val="00FF6A88"/>
    <w:rsid w:val="00FF6AE9"/>
    <w:rsid w:val="00FF6E6C"/>
    <w:rsid w:val="0132A0C1"/>
    <w:rsid w:val="0133DEA9"/>
    <w:rsid w:val="0139418E"/>
    <w:rsid w:val="01CE50A2"/>
    <w:rsid w:val="0275301B"/>
    <w:rsid w:val="027F85E7"/>
    <w:rsid w:val="02D710BF"/>
    <w:rsid w:val="02D8357E"/>
    <w:rsid w:val="03497C55"/>
    <w:rsid w:val="0411007C"/>
    <w:rsid w:val="04A6A00A"/>
    <w:rsid w:val="04B8D0AE"/>
    <w:rsid w:val="04BE483A"/>
    <w:rsid w:val="04EBCCED"/>
    <w:rsid w:val="05045B5F"/>
    <w:rsid w:val="051F19C1"/>
    <w:rsid w:val="055E0476"/>
    <w:rsid w:val="0608C7CC"/>
    <w:rsid w:val="06D24618"/>
    <w:rsid w:val="06D29C12"/>
    <w:rsid w:val="06D32177"/>
    <w:rsid w:val="075E775B"/>
    <w:rsid w:val="07D41BC7"/>
    <w:rsid w:val="08437239"/>
    <w:rsid w:val="08577387"/>
    <w:rsid w:val="090F1414"/>
    <w:rsid w:val="09119978"/>
    <w:rsid w:val="098BD11A"/>
    <w:rsid w:val="0A684BB6"/>
    <w:rsid w:val="0AB61FEE"/>
    <w:rsid w:val="0B5BF531"/>
    <w:rsid w:val="0BAF5AC2"/>
    <w:rsid w:val="0C19E453"/>
    <w:rsid w:val="0C28F71A"/>
    <w:rsid w:val="0D810A14"/>
    <w:rsid w:val="0DFC339E"/>
    <w:rsid w:val="0E31FA3C"/>
    <w:rsid w:val="0E7FAEEA"/>
    <w:rsid w:val="0E89EEEA"/>
    <w:rsid w:val="0ECE8143"/>
    <w:rsid w:val="0EE2ACF8"/>
    <w:rsid w:val="0F0E94F6"/>
    <w:rsid w:val="0F3932FE"/>
    <w:rsid w:val="101D45B3"/>
    <w:rsid w:val="1025BF4B"/>
    <w:rsid w:val="1060A5AE"/>
    <w:rsid w:val="1063F9B5"/>
    <w:rsid w:val="110E4288"/>
    <w:rsid w:val="11CDE6C4"/>
    <w:rsid w:val="11E52D70"/>
    <w:rsid w:val="120DE8EC"/>
    <w:rsid w:val="128342C7"/>
    <w:rsid w:val="128F39C9"/>
    <w:rsid w:val="12F51E32"/>
    <w:rsid w:val="13274995"/>
    <w:rsid w:val="136137C7"/>
    <w:rsid w:val="136E7347"/>
    <w:rsid w:val="13AD00AB"/>
    <w:rsid w:val="14569B6E"/>
    <w:rsid w:val="14A60EC2"/>
    <w:rsid w:val="1502B410"/>
    <w:rsid w:val="16BE3513"/>
    <w:rsid w:val="170E611A"/>
    <w:rsid w:val="177BD681"/>
    <w:rsid w:val="1781E89C"/>
    <w:rsid w:val="17871E29"/>
    <w:rsid w:val="178ADE59"/>
    <w:rsid w:val="179C87A1"/>
    <w:rsid w:val="17C0F9B3"/>
    <w:rsid w:val="180D9BA4"/>
    <w:rsid w:val="182771EA"/>
    <w:rsid w:val="18D52D36"/>
    <w:rsid w:val="1903B0E4"/>
    <w:rsid w:val="19FFD274"/>
    <w:rsid w:val="1A2EDCA8"/>
    <w:rsid w:val="1A7E18A2"/>
    <w:rsid w:val="1B39EC15"/>
    <w:rsid w:val="1B4ECB74"/>
    <w:rsid w:val="1B6DB6E2"/>
    <w:rsid w:val="1C29A7BD"/>
    <w:rsid w:val="1C6DACC6"/>
    <w:rsid w:val="1D173A99"/>
    <w:rsid w:val="1E504C95"/>
    <w:rsid w:val="1ECD1D2B"/>
    <w:rsid w:val="1ED34397"/>
    <w:rsid w:val="20392DE4"/>
    <w:rsid w:val="20E6A0CF"/>
    <w:rsid w:val="2123838F"/>
    <w:rsid w:val="215BB29F"/>
    <w:rsid w:val="21CEB062"/>
    <w:rsid w:val="21D1421F"/>
    <w:rsid w:val="21D7B335"/>
    <w:rsid w:val="220820CE"/>
    <w:rsid w:val="226E5559"/>
    <w:rsid w:val="22C0EE4C"/>
    <w:rsid w:val="22CB00CC"/>
    <w:rsid w:val="22DD1E03"/>
    <w:rsid w:val="230B4FAB"/>
    <w:rsid w:val="230F2374"/>
    <w:rsid w:val="2312E213"/>
    <w:rsid w:val="231BE4A8"/>
    <w:rsid w:val="239E8BE1"/>
    <w:rsid w:val="23D43FF6"/>
    <w:rsid w:val="23E7B85A"/>
    <w:rsid w:val="24C5D7DA"/>
    <w:rsid w:val="25AA454C"/>
    <w:rsid w:val="25CF4563"/>
    <w:rsid w:val="25E3B077"/>
    <w:rsid w:val="261F871A"/>
    <w:rsid w:val="2662A500"/>
    <w:rsid w:val="26679BC2"/>
    <w:rsid w:val="26787C67"/>
    <w:rsid w:val="27BB577B"/>
    <w:rsid w:val="27BFC9A3"/>
    <w:rsid w:val="29F08E19"/>
    <w:rsid w:val="2A43BD15"/>
    <w:rsid w:val="2A74FF86"/>
    <w:rsid w:val="2AA4EB16"/>
    <w:rsid w:val="2AB4E63B"/>
    <w:rsid w:val="2AB5A50F"/>
    <w:rsid w:val="2B02E15C"/>
    <w:rsid w:val="2B151E21"/>
    <w:rsid w:val="2B2BC82E"/>
    <w:rsid w:val="2B364113"/>
    <w:rsid w:val="2B7EAABF"/>
    <w:rsid w:val="2B903FA5"/>
    <w:rsid w:val="2BB95DDA"/>
    <w:rsid w:val="2BDE86B5"/>
    <w:rsid w:val="2CAF8434"/>
    <w:rsid w:val="2CC31F87"/>
    <w:rsid w:val="2CCD002E"/>
    <w:rsid w:val="2D0F8F6E"/>
    <w:rsid w:val="2D1FF6CF"/>
    <w:rsid w:val="2D2C1006"/>
    <w:rsid w:val="2D5A23ED"/>
    <w:rsid w:val="2D61A7B4"/>
    <w:rsid w:val="2D96273D"/>
    <w:rsid w:val="2DAD7D8E"/>
    <w:rsid w:val="2DEFFEE2"/>
    <w:rsid w:val="2E310DD0"/>
    <w:rsid w:val="2E594549"/>
    <w:rsid w:val="2E844D0E"/>
    <w:rsid w:val="2EE6E60F"/>
    <w:rsid w:val="2F61F3D3"/>
    <w:rsid w:val="2F96DC24"/>
    <w:rsid w:val="2F9C46F9"/>
    <w:rsid w:val="2FCB6C26"/>
    <w:rsid w:val="2FF2A089"/>
    <w:rsid w:val="30A1DD7A"/>
    <w:rsid w:val="31C12005"/>
    <w:rsid w:val="31E3E65E"/>
    <w:rsid w:val="322276C0"/>
    <w:rsid w:val="323AB0C8"/>
    <w:rsid w:val="32463932"/>
    <w:rsid w:val="3347245E"/>
    <w:rsid w:val="334DF4BC"/>
    <w:rsid w:val="3384F3A3"/>
    <w:rsid w:val="34274402"/>
    <w:rsid w:val="347ABE67"/>
    <w:rsid w:val="34B318FD"/>
    <w:rsid w:val="34BCEC76"/>
    <w:rsid w:val="34D636A8"/>
    <w:rsid w:val="350FAD49"/>
    <w:rsid w:val="35AE1237"/>
    <w:rsid w:val="35F432BE"/>
    <w:rsid w:val="3716D6FA"/>
    <w:rsid w:val="378C3E3E"/>
    <w:rsid w:val="3866379E"/>
    <w:rsid w:val="3876B033"/>
    <w:rsid w:val="38F4B8DC"/>
    <w:rsid w:val="390CEC1B"/>
    <w:rsid w:val="390E50D9"/>
    <w:rsid w:val="391078FC"/>
    <w:rsid w:val="39B48B20"/>
    <w:rsid w:val="3A128094"/>
    <w:rsid w:val="3A194004"/>
    <w:rsid w:val="3A1DBDCA"/>
    <w:rsid w:val="3A23BB6B"/>
    <w:rsid w:val="3A4C1D99"/>
    <w:rsid w:val="3A610E99"/>
    <w:rsid w:val="3A7F0462"/>
    <w:rsid w:val="3A896FE5"/>
    <w:rsid w:val="3AE41C55"/>
    <w:rsid w:val="3B1C1E55"/>
    <w:rsid w:val="3B5E29A0"/>
    <w:rsid w:val="3C8A7292"/>
    <w:rsid w:val="3D780379"/>
    <w:rsid w:val="3D83D46D"/>
    <w:rsid w:val="3DBBABF6"/>
    <w:rsid w:val="3E11DA45"/>
    <w:rsid w:val="3E39872C"/>
    <w:rsid w:val="3E480435"/>
    <w:rsid w:val="3E9B8A4F"/>
    <w:rsid w:val="3EF5E043"/>
    <w:rsid w:val="3F7DFE9F"/>
    <w:rsid w:val="3FD26269"/>
    <w:rsid w:val="401FF472"/>
    <w:rsid w:val="402E2AA0"/>
    <w:rsid w:val="40502676"/>
    <w:rsid w:val="41AC823A"/>
    <w:rsid w:val="41EF0ECB"/>
    <w:rsid w:val="41FA7AFF"/>
    <w:rsid w:val="4269B915"/>
    <w:rsid w:val="42A48DA5"/>
    <w:rsid w:val="42BC4730"/>
    <w:rsid w:val="4348529B"/>
    <w:rsid w:val="4356DED5"/>
    <w:rsid w:val="437A3AD2"/>
    <w:rsid w:val="43AEF036"/>
    <w:rsid w:val="43C72BC5"/>
    <w:rsid w:val="440EDD8C"/>
    <w:rsid w:val="4414F1F3"/>
    <w:rsid w:val="444C3D0F"/>
    <w:rsid w:val="4511C4B1"/>
    <w:rsid w:val="4518FDB8"/>
    <w:rsid w:val="455108BD"/>
    <w:rsid w:val="459F49C3"/>
    <w:rsid w:val="460635A9"/>
    <w:rsid w:val="4623FF20"/>
    <w:rsid w:val="46450A84"/>
    <w:rsid w:val="4648F0A5"/>
    <w:rsid w:val="46D5BBC3"/>
    <w:rsid w:val="47052012"/>
    <w:rsid w:val="4787D633"/>
    <w:rsid w:val="47A6FF4D"/>
    <w:rsid w:val="47B3CD28"/>
    <w:rsid w:val="47BF3E53"/>
    <w:rsid w:val="47E2CBD7"/>
    <w:rsid w:val="48C5FC84"/>
    <w:rsid w:val="48F23FC1"/>
    <w:rsid w:val="49325C4D"/>
    <w:rsid w:val="4987F7C0"/>
    <w:rsid w:val="49A948EC"/>
    <w:rsid w:val="4A42E782"/>
    <w:rsid w:val="4A6430EE"/>
    <w:rsid w:val="4A7AFE3B"/>
    <w:rsid w:val="4AF0BE31"/>
    <w:rsid w:val="4BB5B3AE"/>
    <w:rsid w:val="4C53C03B"/>
    <w:rsid w:val="4C779D32"/>
    <w:rsid w:val="4CCAF2A6"/>
    <w:rsid w:val="4D56FA80"/>
    <w:rsid w:val="4D8A9EC8"/>
    <w:rsid w:val="4DEFAB49"/>
    <w:rsid w:val="4E0B35B2"/>
    <w:rsid w:val="4E7E75AD"/>
    <w:rsid w:val="4E9EE9EC"/>
    <w:rsid w:val="4F69F2DD"/>
    <w:rsid w:val="4F85FC74"/>
    <w:rsid w:val="4F91E4B8"/>
    <w:rsid w:val="5015B3F2"/>
    <w:rsid w:val="50169134"/>
    <w:rsid w:val="509A0C1C"/>
    <w:rsid w:val="509BEEB4"/>
    <w:rsid w:val="512A9718"/>
    <w:rsid w:val="5165C6C1"/>
    <w:rsid w:val="51701FE0"/>
    <w:rsid w:val="51839B58"/>
    <w:rsid w:val="5217E748"/>
    <w:rsid w:val="52441C39"/>
    <w:rsid w:val="528C0EE0"/>
    <w:rsid w:val="529936DE"/>
    <w:rsid w:val="52BB1081"/>
    <w:rsid w:val="530F8B2A"/>
    <w:rsid w:val="53329313"/>
    <w:rsid w:val="53C07C71"/>
    <w:rsid w:val="5412A7C8"/>
    <w:rsid w:val="54FCC2F2"/>
    <w:rsid w:val="5508B71F"/>
    <w:rsid w:val="5590C110"/>
    <w:rsid w:val="562E71EF"/>
    <w:rsid w:val="563E0415"/>
    <w:rsid w:val="56F266FA"/>
    <w:rsid w:val="57072766"/>
    <w:rsid w:val="571515A9"/>
    <w:rsid w:val="572DE5DD"/>
    <w:rsid w:val="5735DA0B"/>
    <w:rsid w:val="5747E861"/>
    <w:rsid w:val="574AABB9"/>
    <w:rsid w:val="57D01718"/>
    <w:rsid w:val="57E0AC87"/>
    <w:rsid w:val="58AD9A15"/>
    <w:rsid w:val="598D2C1B"/>
    <w:rsid w:val="5A27835F"/>
    <w:rsid w:val="5A39C9CB"/>
    <w:rsid w:val="5B0DCF5A"/>
    <w:rsid w:val="5B3C20D0"/>
    <w:rsid w:val="5B56AD3C"/>
    <w:rsid w:val="5B64E63B"/>
    <w:rsid w:val="5BF6751D"/>
    <w:rsid w:val="5C2C83B6"/>
    <w:rsid w:val="5C9D4513"/>
    <w:rsid w:val="5CEA98C7"/>
    <w:rsid w:val="5D00B69C"/>
    <w:rsid w:val="5D1766C8"/>
    <w:rsid w:val="5D2539EA"/>
    <w:rsid w:val="5D362C79"/>
    <w:rsid w:val="5DD3CC32"/>
    <w:rsid w:val="5DEC8C09"/>
    <w:rsid w:val="5E227FD2"/>
    <w:rsid w:val="5E5ECC6B"/>
    <w:rsid w:val="5EC10A4B"/>
    <w:rsid w:val="5F343F55"/>
    <w:rsid w:val="5FFA9CCC"/>
    <w:rsid w:val="6031C467"/>
    <w:rsid w:val="60E25E3D"/>
    <w:rsid w:val="61820334"/>
    <w:rsid w:val="6188A442"/>
    <w:rsid w:val="61FBBEA2"/>
    <w:rsid w:val="62B36464"/>
    <w:rsid w:val="62B45D88"/>
    <w:rsid w:val="631C21FF"/>
    <w:rsid w:val="6325ECC4"/>
    <w:rsid w:val="63850C3A"/>
    <w:rsid w:val="63E061D3"/>
    <w:rsid w:val="642BF382"/>
    <w:rsid w:val="64360C68"/>
    <w:rsid w:val="645252A6"/>
    <w:rsid w:val="6463C50C"/>
    <w:rsid w:val="64D567D4"/>
    <w:rsid w:val="65295A64"/>
    <w:rsid w:val="653263FB"/>
    <w:rsid w:val="65975698"/>
    <w:rsid w:val="65B051A2"/>
    <w:rsid w:val="65D50541"/>
    <w:rsid w:val="66497BDA"/>
    <w:rsid w:val="6722A61E"/>
    <w:rsid w:val="6752A376"/>
    <w:rsid w:val="67B039BB"/>
    <w:rsid w:val="680648D5"/>
    <w:rsid w:val="6809CBB6"/>
    <w:rsid w:val="68640C10"/>
    <w:rsid w:val="69755833"/>
    <w:rsid w:val="6A255327"/>
    <w:rsid w:val="6A6C7C25"/>
    <w:rsid w:val="6AC13E2F"/>
    <w:rsid w:val="6BACBDC4"/>
    <w:rsid w:val="6BE7DD46"/>
    <w:rsid w:val="6C7BD332"/>
    <w:rsid w:val="6CBC9039"/>
    <w:rsid w:val="6CC8D1CB"/>
    <w:rsid w:val="6CD9452C"/>
    <w:rsid w:val="6D152DF0"/>
    <w:rsid w:val="6D389368"/>
    <w:rsid w:val="6DC2E6C7"/>
    <w:rsid w:val="6E20AA2F"/>
    <w:rsid w:val="6E25E060"/>
    <w:rsid w:val="6E4DFEED"/>
    <w:rsid w:val="6EA56350"/>
    <w:rsid w:val="6EB28EDF"/>
    <w:rsid w:val="6F251081"/>
    <w:rsid w:val="6F41C1E0"/>
    <w:rsid w:val="6F51B185"/>
    <w:rsid w:val="6F668C32"/>
    <w:rsid w:val="6FF2F725"/>
    <w:rsid w:val="6FFDD83F"/>
    <w:rsid w:val="70CBFD5B"/>
    <w:rsid w:val="71043A61"/>
    <w:rsid w:val="716A800F"/>
    <w:rsid w:val="717C1B46"/>
    <w:rsid w:val="71DD0412"/>
    <w:rsid w:val="724ADEF4"/>
    <w:rsid w:val="725CB143"/>
    <w:rsid w:val="7275E07E"/>
    <w:rsid w:val="72BED02A"/>
    <w:rsid w:val="72C4E61F"/>
    <w:rsid w:val="73217010"/>
    <w:rsid w:val="738FC257"/>
    <w:rsid w:val="73B0BB8C"/>
    <w:rsid w:val="7493E5B8"/>
    <w:rsid w:val="74A80D38"/>
    <w:rsid w:val="74B72557"/>
    <w:rsid w:val="74E3E230"/>
    <w:rsid w:val="74F50330"/>
    <w:rsid w:val="74FDC667"/>
    <w:rsid w:val="752A7CF0"/>
    <w:rsid w:val="7576C623"/>
    <w:rsid w:val="7591625F"/>
    <w:rsid w:val="7592DDBB"/>
    <w:rsid w:val="7596C9B8"/>
    <w:rsid w:val="75BA2B3B"/>
    <w:rsid w:val="762803C0"/>
    <w:rsid w:val="76D45B34"/>
    <w:rsid w:val="778A5665"/>
    <w:rsid w:val="77BDDC2D"/>
    <w:rsid w:val="784803C4"/>
    <w:rsid w:val="787793E7"/>
    <w:rsid w:val="78F1CBFD"/>
    <w:rsid w:val="795D734E"/>
    <w:rsid w:val="7980B10E"/>
    <w:rsid w:val="7999D980"/>
    <w:rsid w:val="79F97892"/>
    <w:rsid w:val="7A84316C"/>
    <w:rsid w:val="7B6ABDFB"/>
    <w:rsid w:val="7C984B97"/>
    <w:rsid w:val="7C9F5453"/>
    <w:rsid w:val="7CA71D3F"/>
    <w:rsid w:val="7CD0D781"/>
    <w:rsid w:val="7CEE0830"/>
    <w:rsid w:val="7D0272F5"/>
    <w:rsid w:val="7D3AF923"/>
    <w:rsid w:val="7D530520"/>
    <w:rsid w:val="7DD94978"/>
    <w:rsid w:val="7EB4A0D8"/>
    <w:rsid w:val="7FD206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FA6A1BF"/>
  <w15:docId w15:val="{AC474097-EBB0-4410-9834-9259DD43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70EF"/>
    <w:pPr>
      <w:widowControl w:val="0"/>
      <w:autoSpaceDE w:val="0"/>
      <w:autoSpaceDN w:val="0"/>
      <w:adjustRightInd w:val="0"/>
    </w:pPr>
    <w:rPr>
      <w:szCs w:val="24"/>
    </w:rPr>
  </w:style>
  <w:style w:type="paragraph" w:styleId="Heading1">
    <w:name w:val="heading 1"/>
    <w:basedOn w:val="Normal"/>
    <w:next w:val="Normal"/>
    <w:link w:val="Heading1Char"/>
    <w:qFormat/>
    <w:rsid w:val="006468DC"/>
    <w:pPr>
      <w:keepNext/>
      <w:numPr>
        <w:numId w:val="17"/>
      </w:numPr>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A001CE"/>
    <w:pPr>
      <w:keepNext/>
      <w:widowControl/>
      <w:numPr>
        <w:ilvl w:val="1"/>
        <w:numId w:val="17"/>
      </w:numPr>
      <w:autoSpaceDE/>
      <w:autoSpaceDN/>
      <w:adjustRightInd/>
      <w:spacing w:before="280" w:after="280"/>
      <w:outlineLvl w:val="1"/>
    </w:pPr>
    <w:rPr>
      <w:b/>
      <w:bCs/>
      <w:sz w:val="24"/>
      <w:szCs w:val="20"/>
    </w:rPr>
  </w:style>
  <w:style w:type="paragraph" w:styleId="Heading3">
    <w:name w:val="heading 3"/>
    <w:basedOn w:val="Normal"/>
    <w:next w:val="Normal"/>
    <w:link w:val="Heading3Char"/>
    <w:unhideWhenUsed/>
    <w:qFormat/>
    <w:rsid w:val="001A70EF"/>
    <w:pPr>
      <w:keepNext/>
      <w:keepLines/>
      <w:widowControl/>
      <w:numPr>
        <w:ilvl w:val="2"/>
        <w:numId w:val="17"/>
      </w:numPr>
      <w:spacing w:before="160" w:after="160"/>
      <w:outlineLvl w:val="2"/>
    </w:pPr>
    <w:rPr>
      <w:rFonts w:asciiTheme="majorHAnsi" w:eastAsiaTheme="majorEastAsia" w:hAnsiTheme="majorHAnsi" w:cstheme="majorBidi"/>
      <w:b/>
      <w:sz w:val="24"/>
      <w:u w:val="single"/>
    </w:rPr>
  </w:style>
  <w:style w:type="paragraph" w:styleId="Heading4">
    <w:name w:val="heading 4"/>
    <w:basedOn w:val="Normal"/>
    <w:next w:val="Normal"/>
    <w:link w:val="Heading4Char"/>
    <w:unhideWhenUsed/>
    <w:qFormat/>
    <w:rsid w:val="00695197"/>
    <w:pPr>
      <w:keepNext/>
      <w:keepLines/>
      <w:widowControl/>
      <w:spacing w:before="180" w:after="180"/>
      <w:outlineLvl w:val="3"/>
    </w:pPr>
    <w:rPr>
      <w:rFonts w:asciiTheme="majorHAnsi" w:eastAsiaTheme="majorEastAsia" w:hAnsiTheme="majorHAnsi" w:cstheme="majorBidi"/>
      <w:b/>
      <w:iCs/>
      <w:sz w:val="24"/>
    </w:rPr>
  </w:style>
  <w:style w:type="paragraph" w:styleId="Heading5">
    <w:name w:val="heading 5"/>
    <w:basedOn w:val="Normal"/>
    <w:next w:val="Normal"/>
    <w:link w:val="Heading5Char"/>
    <w:semiHidden/>
    <w:unhideWhenUsed/>
    <w:qFormat/>
    <w:rsid w:val="001A70EF"/>
    <w:pPr>
      <w:keepNext/>
      <w:keepLines/>
      <w:numPr>
        <w:ilvl w:val="4"/>
        <w:numId w:val="1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1A70EF"/>
    <w:pPr>
      <w:keepNext/>
      <w:keepLines/>
      <w:numPr>
        <w:ilvl w:val="5"/>
        <w:numId w:val="1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1A70EF"/>
    <w:pPr>
      <w:keepNext/>
      <w:keepLines/>
      <w:numPr>
        <w:ilvl w:val="6"/>
        <w:numId w:val="1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1A70EF"/>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A70EF"/>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rsid w:val="00EB22E1"/>
    <w:rPr>
      <w:vertAlign w:val="superscript"/>
    </w:rPr>
  </w:style>
  <w:style w:type="character" w:styleId="CommentReference">
    <w:name w:val="annotation reference"/>
    <w:uiPriority w:val="99"/>
    <w:unhideWhenUsed/>
    <w:rsid w:val="00913BA8"/>
    <w:rPr>
      <w:sz w:val="16"/>
      <w:szCs w:val="16"/>
    </w:rPr>
  </w:style>
  <w:style w:type="paragraph" w:customStyle="1" w:styleId="PBodyText">
    <w:name w:val="P.Body Text"/>
    <w:basedOn w:val="Normal"/>
    <w:qFormat/>
    <w:rsid w:val="00211DB3"/>
    <w:pPr>
      <w:widowControl/>
      <w:autoSpaceDE/>
      <w:autoSpaceDN/>
      <w:adjustRightInd/>
      <w:spacing w:after="180"/>
    </w:pPr>
    <w:rPr>
      <w:rFonts w:eastAsia="Calibri"/>
      <w:sz w:val="24"/>
    </w:rPr>
  </w:style>
  <w:style w:type="table" w:styleId="TableGrid">
    <w:name w:val="Table Grid"/>
    <w:basedOn w:val="TableNormal"/>
    <w:rsid w:val="00913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4E1C28"/>
    <w:rPr>
      <w:szCs w:val="20"/>
    </w:rPr>
  </w:style>
  <w:style w:type="character" w:customStyle="1" w:styleId="CommentTextChar">
    <w:name w:val="Comment Text Char"/>
    <w:basedOn w:val="DefaultParagraphFont"/>
    <w:link w:val="CommentText"/>
    <w:uiPriority w:val="99"/>
    <w:rsid w:val="004E1C28"/>
  </w:style>
  <w:style w:type="paragraph" w:styleId="CommentSubject">
    <w:name w:val="annotation subject"/>
    <w:basedOn w:val="CommentText"/>
    <w:next w:val="CommentText"/>
    <w:link w:val="CommentSubjectChar"/>
    <w:rsid w:val="004E1C28"/>
    <w:rPr>
      <w:b/>
      <w:bCs/>
    </w:rPr>
  </w:style>
  <w:style w:type="character" w:customStyle="1" w:styleId="CommentSubjectChar">
    <w:name w:val="Comment Subject Char"/>
    <w:link w:val="CommentSubject"/>
    <w:rsid w:val="004E1C28"/>
    <w:rPr>
      <w:b/>
      <w:bCs/>
    </w:rPr>
  </w:style>
  <w:style w:type="paragraph" w:styleId="BalloonText">
    <w:name w:val="Balloon Text"/>
    <w:basedOn w:val="Normal"/>
    <w:link w:val="BalloonTextChar"/>
    <w:rsid w:val="004E1C28"/>
    <w:rPr>
      <w:rFonts w:ascii="Tahoma" w:hAnsi="Tahoma" w:cs="Tahoma"/>
      <w:sz w:val="16"/>
      <w:szCs w:val="16"/>
    </w:rPr>
  </w:style>
  <w:style w:type="character" w:customStyle="1" w:styleId="BalloonTextChar">
    <w:name w:val="Balloon Text Char"/>
    <w:link w:val="BalloonText"/>
    <w:rsid w:val="004E1C28"/>
    <w:rPr>
      <w:rFonts w:ascii="Tahoma" w:hAnsi="Tahoma" w:cs="Tahoma"/>
      <w:sz w:val="16"/>
      <w:szCs w:val="16"/>
    </w:rPr>
  </w:style>
  <w:style w:type="character" w:styleId="Hyperlink">
    <w:name w:val="Hyperlink"/>
    <w:uiPriority w:val="99"/>
    <w:unhideWhenUsed/>
    <w:rsid w:val="006A3F11"/>
    <w:rPr>
      <w:color w:val="0000FF"/>
      <w:u w:val="single"/>
    </w:rPr>
  </w:style>
  <w:style w:type="paragraph" w:styleId="FootnoteText">
    <w:name w:val="footnote text"/>
    <w:basedOn w:val="Normal"/>
    <w:link w:val="FootnoteTextChar"/>
    <w:uiPriority w:val="99"/>
    <w:unhideWhenUsed/>
    <w:qFormat/>
    <w:rsid w:val="006A3F11"/>
    <w:pPr>
      <w:widowControl/>
      <w:autoSpaceDE/>
      <w:autoSpaceDN/>
      <w:adjustRightInd/>
      <w:spacing w:after="20"/>
    </w:pPr>
    <w:rPr>
      <w:szCs w:val="20"/>
    </w:rPr>
  </w:style>
  <w:style w:type="character" w:customStyle="1" w:styleId="FootnoteTextChar">
    <w:name w:val="Footnote Text Char"/>
    <w:basedOn w:val="DefaultParagraphFont"/>
    <w:link w:val="FootnoteText"/>
    <w:uiPriority w:val="99"/>
    <w:rsid w:val="006A3F11"/>
  </w:style>
  <w:style w:type="paragraph" w:customStyle="1" w:styleId="Default">
    <w:name w:val="Default"/>
    <w:rsid w:val="00194190"/>
    <w:pPr>
      <w:autoSpaceDE w:val="0"/>
      <w:autoSpaceDN w:val="0"/>
      <w:adjustRightInd w:val="0"/>
    </w:pPr>
    <w:rPr>
      <w:color w:val="000000"/>
      <w:sz w:val="24"/>
      <w:szCs w:val="24"/>
    </w:rPr>
  </w:style>
  <w:style w:type="paragraph" w:styleId="Revision">
    <w:name w:val="Revision"/>
    <w:hidden/>
    <w:uiPriority w:val="99"/>
    <w:semiHidden/>
    <w:rsid w:val="0048077C"/>
    <w:rPr>
      <w:szCs w:val="24"/>
    </w:rPr>
  </w:style>
  <w:style w:type="paragraph" w:customStyle="1" w:styleId="Style">
    <w:name w:val="Style"/>
    <w:basedOn w:val="Normal"/>
    <w:rsid w:val="00C97FF6"/>
    <w:pPr>
      <w:ind w:left="720" w:hanging="720"/>
    </w:pPr>
  </w:style>
  <w:style w:type="paragraph" w:styleId="Caption">
    <w:name w:val="caption"/>
    <w:basedOn w:val="Normal"/>
    <w:next w:val="Normal"/>
    <w:uiPriority w:val="35"/>
    <w:unhideWhenUsed/>
    <w:qFormat/>
    <w:rsid w:val="00554716"/>
    <w:pPr>
      <w:keepNext/>
      <w:keepLines/>
      <w:widowControl/>
      <w:spacing w:after="40"/>
      <w:jc w:val="center"/>
    </w:pPr>
    <w:rPr>
      <w:b/>
      <w:bCs/>
      <w:szCs w:val="20"/>
    </w:rPr>
  </w:style>
  <w:style w:type="paragraph" w:styleId="ListBullet">
    <w:name w:val="List Bullet"/>
    <w:basedOn w:val="Normal"/>
    <w:uiPriority w:val="2"/>
    <w:unhideWhenUsed/>
    <w:qFormat/>
    <w:rsid w:val="00022B75"/>
    <w:pPr>
      <w:widowControl/>
      <w:numPr>
        <w:numId w:val="9"/>
      </w:numPr>
      <w:autoSpaceDE/>
      <w:autoSpaceDN/>
      <w:adjustRightInd/>
      <w:spacing w:after="180"/>
      <w:ind w:left="720"/>
      <w:contextualSpacing/>
    </w:pPr>
    <w:rPr>
      <w:sz w:val="24"/>
    </w:rPr>
  </w:style>
  <w:style w:type="character" w:customStyle="1" w:styleId="tablebulletChar">
    <w:name w:val="table bullet Char"/>
    <w:aliases w:val="tb Char"/>
    <w:link w:val="tablebullet"/>
    <w:uiPriority w:val="5"/>
    <w:locked/>
    <w:rsid w:val="00022B75"/>
    <w:rPr>
      <w:rFonts w:ascii="Arial" w:hAnsi="Arial" w:cs="Arial"/>
      <w:sz w:val="18"/>
    </w:rPr>
  </w:style>
  <w:style w:type="paragraph" w:customStyle="1" w:styleId="tablebullet">
    <w:name w:val="table bullet"/>
    <w:aliases w:val="tb"/>
    <w:basedOn w:val="Normal"/>
    <w:link w:val="tablebulletChar"/>
    <w:uiPriority w:val="5"/>
    <w:rsid w:val="00022B75"/>
    <w:pPr>
      <w:widowControl/>
      <w:numPr>
        <w:numId w:val="10"/>
      </w:numPr>
      <w:autoSpaceDE/>
      <w:autoSpaceDN/>
      <w:adjustRightInd/>
      <w:ind w:left="274" w:hanging="274"/>
    </w:pPr>
    <w:rPr>
      <w:rFonts w:ascii="Arial" w:hAnsi="Arial" w:cs="Arial"/>
      <w:sz w:val="18"/>
      <w:szCs w:val="20"/>
    </w:rPr>
  </w:style>
  <w:style w:type="paragraph" w:customStyle="1" w:styleId="calloutheading">
    <w:name w:val="callout heading"/>
    <w:aliases w:val="ch"/>
    <w:basedOn w:val="Normal"/>
    <w:qFormat/>
    <w:rsid w:val="00022B75"/>
    <w:pPr>
      <w:keepNext/>
      <w:widowControl/>
      <w:autoSpaceDE/>
      <w:autoSpaceDN/>
      <w:adjustRightInd/>
      <w:jc w:val="center"/>
    </w:pPr>
    <w:rPr>
      <w:rFonts w:ascii="Arial" w:hAnsi="Arial" w:cs="Arial"/>
      <w:b/>
      <w:bCs/>
      <w:sz w:val="18"/>
    </w:rPr>
  </w:style>
  <w:style w:type="character" w:customStyle="1" w:styleId="bodytext2">
    <w:name w:val="bodytext2"/>
    <w:rsid w:val="00022B75"/>
  </w:style>
  <w:style w:type="table" w:customStyle="1" w:styleId="CalloutTable">
    <w:name w:val="Callout Table"/>
    <w:basedOn w:val="TableNormal"/>
    <w:rsid w:val="00022B75"/>
    <w:tblPr>
      <w:tblInd w:w="0" w:type="dxa"/>
      <w:tblBorders>
        <w:top w:val="single" w:sz="8" w:space="0" w:color="FFCC00"/>
        <w:left w:val="single" w:sz="8" w:space="0" w:color="FFCC00"/>
        <w:bottom w:val="single" w:sz="8" w:space="0" w:color="FFCC00"/>
        <w:right w:val="single" w:sz="8" w:space="0" w:color="FFCC00"/>
        <w:insideH w:val="single" w:sz="8" w:space="0" w:color="FFCC00"/>
        <w:insideV w:val="single" w:sz="8" w:space="0" w:color="FFCC00"/>
      </w:tblBorders>
      <w:tblCellMar>
        <w:top w:w="43" w:type="dxa"/>
        <w:left w:w="115" w:type="dxa"/>
        <w:bottom w:w="43" w:type="dxa"/>
        <w:right w:w="115" w:type="dxa"/>
      </w:tblCellMar>
    </w:tblPr>
    <w:tcPr>
      <w:shd w:val="clear" w:color="auto" w:fill="FFFFCC"/>
    </w:tcPr>
    <w:tblStylePr w:type="firstRow">
      <w:tblPr/>
      <w:tcPr>
        <w:shd w:val="clear" w:color="auto" w:fill="FFCC00"/>
        <w:vAlign w:val="center"/>
      </w:tcPr>
    </w:tblStylePr>
  </w:style>
  <w:style w:type="paragraph" w:styleId="NormalWeb">
    <w:name w:val="Normal (Web)"/>
    <w:basedOn w:val="Normal"/>
    <w:uiPriority w:val="99"/>
    <w:unhideWhenUsed/>
    <w:rsid w:val="00DF5C4C"/>
    <w:pPr>
      <w:widowControl/>
      <w:autoSpaceDE/>
      <w:autoSpaceDN/>
      <w:adjustRightInd/>
      <w:spacing w:before="100" w:beforeAutospacing="1" w:after="100" w:afterAutospacing="1"/>
      <w:ind w:firstLine="480"/>
    </w:pPr>
    <w:rPr>
      <w:sz w:val="24"/>
    </w:rPr>
  </w:style>
  <w:style w:type="character" w:customStyle="1" w:styleId="Heading2Char">
    <w:name w:val="Heading 2 Char"/>
    <w:link w:val="Heading2"/>
    <w:uiPriority w:val="9"/>
    <w:rsid w:val="00A001CE"/>
    <w:rPr>
      <w:b/>
      <w:bCs/>
      <w:sz w:val="24"/>
    </w:rPr>
  </w:style>
  <w:style w:type="paragraph" w:customStyle="1" w:styleId="Disclaimer">
    <w:name w:val="Disclaimer"/>
    <w:basedOn w:val="Normal"/>
    <w:uiPriority w:val="8"/>
    <w:qFormat/>
    <w:rsid w:val="004E4D21"/>
    <w:pPr>
      <w:widowControl/>
      <w:autoSpaceDE/>
      <w:autoSpaceDN/>
      <w:adjustRightInd/>
      <w:spacing w:before="80" w:after="120"/>
      <w:jc w:val="center"/>
    </w:pPr>
    <w:rPr>
      <w:rFonts w:eastAsia="Calibri"/>
      <w:sz w:val="16"/>
      <w:szCs w:val="16"/>
    </w:rPr>
  </w:style>
  <w:style w:type="character" w:styleId="IntenseEmphasis">
    <w:name w:val="Intense Emphasis"/>
    <w:uiPriority w:val="21"/>
    <w:qFormat/>
    <w:rsid w:val="00271D05"/>
    <w:rPr>
      <w:b/>
      <w:bCs/>
      <w:i/>
      <w:iCs/>
      <w:color w:val="4F81BD"/>
    </w:rPr>
  </w:style>
  <w:style w:type="character" w:styleId="FollowedHyperlink">
    <w:name w:val="FollowedHyperlink"/>
    <w:rsid w:val="00895670"/>
    <w:rPr>
      <w:color w:val="800080"/>
      <w:u w:val="single"/>
    </w:rPr>
  </w:style>
  <w:style w:type="paragraph" w:styleId="Header">
    <w:name w:val="header"/>
    <w:basedOn w:val="Normal"/>
    <w:link w:val="HeaderChar"/>
    <w:rsid w:val="0065417E"/>
    <w:pPr>
      <w:tabs>
        <w:tab w:val="center" w:pos="4680"/>
        <w:tab w:val="right" w:pos="9360"/>
      </w:tabs>
    </w:pPr>
  </w:style>
  <w:style w:type="character" w:customStyle="1" w:styleId="HeaderChar">
    <w:name w:val="Header Char"/>
    <w:link w:val="Header"/>
    <w:rsid w:val="0065417E"/>
    <w:rPr>
      <w:szCs w:val="24"/>
    </w:rPr>
  </w:style>
  <w:style w:type="paragraph" w:styleId="Footer">
    <w:name w:val="footer"/>
    <w:basedOn w:val="Normal"/>
    <w:link w:val="FooterChar"/>
    <w:uiPriority w:val="99"/>
    <w:rsid w:val="0065417E"/>
    <w:pPr>
      <w:tabs>
        <w:tab w:val="center" w:pos="4680"/>
        <w:tab w:val="right" w:pos="9360"/>
      </w:tabs>
    </w:pPr>
  </w:style>
  <w:style w:type="character" w:customStyle="1" w:styleId="FooterChar">
    <w:name w:val="Footer Char"/>
    <w:link w:val="Footer"/>
    <w:uiPriority w:val="99"/>
    <w:rsid w:val="0065417E"/>
    <w:rPr>
      <w:szCs w:val="24"/>
    </w:rPr>
  </w:style>
  <w:style w:type="paragraph" w:customStyle="1" w:styleId="tableheading">
    <w:name w:val="table heading"/>
    <w:aliases w:val="th"/>
    <w:basedOn w:val="Normal"/>
    <w:link w:val="tableheadingChar"/>
    <w:uiPriority w:val="5"/>
    <w:rsid w:val="006468DC"/>
    <w:pPr>
      <w:keepNext/>
      <w:widowControl/>
      <w:autoSpaceDE/>
      <w:autoSpaceDN/>
      <w:adjustRightInd/>
      <w:jc w:val="center"/>
    </w:pPr>
    <w:rPr>
      <w:rFonts w:ascii="Arial" w:hAnsi="Arial" w:cs="Arial"/>
      <w:b/>
      <w:bCs/>
      <w:color w:val="FFFFFF"/>
      <w:sz w:val="18"/>
    </w:rPr>
  </w:style>
  <w:style w:type="paragraph" w:customStyle="1" w:styleId="tabletext">
    <w:name w:val="table text"/>
    <w:aliases w:val="tt"/>
    <w:basedOn w:val="Normal"/>
    <w:link w:val="tabletextChar"/>
    <w:uiPriority w:val="4"/>
    <w:rsid w:val="006468DC"/>
    <w:pPr>
      <w:widowControl/>
      <w:autoSpaceDE/>
      <w:autoSpaceDN/>
      <w:adjustRightInd/>
    </w:pPr>
    <w:rPr>
      <w:rFonts w:ascii="Arial" w:hAnsi="Arial" w:cs="Arial"/>
      <w:sz w:val="18"/>
    </w:rPr>
  </w:style>
  <w:style w:type="character" w:styleId="PageNumber">
    <w:name w:val="page number"/>
    <w:rsid w:val="006468DC"/>
  </w:style>
  <w:style w:type="table" w:customStyle="1" w:styleId="Table1">
    <w:name w:val="Table 1"/>
    <w:basedOn w:val="TableNormal"/>
    <w:rsid w:val="006468DC"/>
    <w:rPr>
      <w:rFonts w:ascii="Arial" w:hAnsi="Arial"/>
    </w:rPr>
    <w:tblPr>
      <w:tblStyleRowBandSize w:val="1"/>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CellMar>
        <w:top w:w="43" w:type="dxa"/>
        <w:left w:w="115" w:type="dxa"/>
        <w:bottom w:w="43" w:type="dxa"/>
        <w:right w:w="115" w:type="dxa"/>
      </w:tblCellMar>
    </w:tblPr>
    <w:trPr>
      <w:cantSplit/>
    </w:trPr>
    <w:tblStylePr w:type="firstRow">
      <w:pPr>
        <w:jc w:val="center"/>
      </w:pPr>
      <w:rPr>
        <w:color w:val="FFFFFF"/>
      </w:rPr>
      <w:tblPr/>
      <w:trPr>
        <w:tblHeader/>
      </w:trPr>
      <w:tcPr>
        <w:shd w:val="clear" w:color="auto" w:fill="093F8C"/>
        <w:vAlign w:val="bottom"/>
      </w:tcPr>
    </w:tblStylePr>
    <w:tblStylePr w:type="firstCol">
      <w:tblPr/>
      <w:tcPr>
        <w:shd w:val="clear" w:color="auto" w:fill="DBE5F1"/>
      </w:tcPr>
    </w:tblStylePr>
    <w:tblStylePr w:type="band2Horz">
      <w:tblPr/>
      <w:tcPr>
        <w:shd w:val="clear" w:color="auto" w:fill="DBE5F1"/>
      </w:tcPr>
    </w:tblStylePr>
  </w:style>
  <w:style w:type="paragraph" w:styleId="Title">
    <w:name w:val="Title"/>
    <w:basedOn w:val="Normal"/>
    <w:next w:val="Normal"/>
    <w:link w:val="TitleChar"/>
    <w:uiPriority w:val="7"/>
    <w:qFormat/>
    <w:rsid w:val="001A70EF"/>
    <w:pPr>
      <w:widowControl/>
      <w:autoSpaceDE/>
      <w:autoSpaceDN/>
      <w:adjustRightInd/>
      <w:spacing w:after="120"/>
      <w:jc w:val="center"/>
      <w:outlineLvl w:val="0"/>
    </w:pPr>
    <w:rPr>
      <w:b/>
      <w:bCs/>
      <w:kern w:val="28"/>
      <w:sz w:val="40"/>
      <w:szCs w:val="32"/>
    </w:rPr>
  </w:style>
  <w:style w:type="character" w:customStyle="1" w:styleId="TitleChar">
    <w:name w:val="Title Char"/>
    <w:link w:val="Title"/>
    <w:uiPriority w:val="7"/>
    <w:rsid w:val="001A70EF"/>
    <w:rPr>
      <w:b/>
      <w:bCs/>
      <w:kern w:val="28"/>
      <w:sz w:val="40"/>
      <w:szCs w:val="32"/>
    </w:rPr>
  </w:style>
  <w:style w:type="paragraph" w:customStyle="1" w:styleId="DeliverableNumber">
    <w:name w:val="Deliverable Number"/>
    <w:basedOn w:val="Title"/>
    <w:next w:val="Title"/>
    <w:uiPriority w:val="8"/>
    <w:qFormat/>
    <w:rsid w:val="006468DC"/>
    <w:pPr>
      <w:spacing w:before="480" w:after="0"/>
      <w:outlineLvl w:val="9"/>
    </w:pPr>
    <w:rPr>
      <w:noProof/>
      <w:sz w:val="24"/>
    </w:rPr>
  </w:style>
  <w:style w:type="character" w:customStyle="1" w:styleId="Heading1Char">
    <w:name w:val="Heading 1 Char"/>
    <w:link w:val="Heading1"/>
    <w:rsid w:val="006468DC"/>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6468DC"/>
    <w:pPr>
      <w:widowControl/>
      <w:autoSpaceDE/>
      <w:autoSpaceDN/>
      <w:adjustRightInd/>
      <w:spacing w:after="240"/>
      <w:jc w:val="center"/>
      <w:outlineLvl w:val="9"/>
    </w:pPr>
    <w:rPr>
      <w:rFonts w:ascii="Arial Narrow" w:hAnsi="Arial Narrow"/>
      <w:color w:val="093F8C"/>
    </w:rPr>
  </w:style>
  <w:style w:type="paragraph" w:customStyle="1" w:styleId="TaskName">
    <w:name w:val="Task Name"/>
    <w:basedOn w:val="Normal"/>
    <w:uiPriority w:val="7"/>
    <w:qFormat/>
    <w:rsid w:val="006468DC"/>
    <w:pPr>
      <w:widowControl/>
      <w:autoSpaceDE/>
      <w:autoSpaceDN/>
      <w:adjustRightInd/>
    </w:pPr>
    <w:rPr>
      <w:sz w:val="24"/>
    </w:rPr>
  </w:style>
  <w:style w:type="paragraph" w:customStyle="1" w:styleId="Coverdetail">
    <w:name w:val="Cover detail"/>
    <w:basedOn w:val="Normal"/>
    <w:qFormat/>
    <w:rsid w:val="006468DC"/>
    <w:pPr>
      <w:widowControl/>
      <w:autoSpaceDE/>
      <w:autoSpaceDN/>
      <w:adjustRightInd/>
    </w:pPr>
    <w:rPr>
      <w:color w:val="093F8C"/>
      <w:sz w:val="24"/>
    </w:rPr>
  </w:style>
  <w:style w:type="paragraph" w:styleId="Date">
    <w:name w:val="Date"/>
    <w:basedOn w:val="Normal"/>
    <w:next w:val="Normal"/>
    <w:link w:val="DateChar"/>
    <w:uiPriority w:val="8"/>
    <w:rsid w:val="006468DC"/>
    <w:pPr>
      <w:widowControl/>
      <w:autoSpaceDE/>
      <w:autoSpaceDN/>
      <w:adjustRightInd/>
      <w:spacing w:after="360"/>
    </w:pPr>
    <w:rPr>
      <w:color w:val="093F8C"/>
      <w:sz w:val="24"/>
    </w:rPr>
  </w:style>
  <w:style w:type="character" w:customStyle="1" w:styleId="DateChar">
    <w:name w:val="Date Char"/>
    <w:link w:val="Date"/>
    <w:uiPriority w:val="8"/>
    <w:rsid w:val="006468DC"/>
    <w:rPr>
      <w:color w:val="093F8C"/>
      <w:sz w:val="24"/>
      <w:szCs w:val="24"/>
    </w:rPr>
  </w:style>
  <w:style w:type="paragraph" w:styleId="NoSpacing">
    <w:name w:val="No Spacing"/>
    <w:uiPriority w:val="1"/>
    <w:qFormat/>
    <w:rsid w:val="006468DC"/>
    <w:rPr>
      <w:sz w:val="24"/>
      <w:szCs w:val="24"/>
    </w:rPr>
  </w:style>
  <w:style w:type="character" w:customStyle="1" w:styleId="tabletextChar">
    <w:name w:val="table text Char"/>
    <w:aliases w:val="t3 Char,tt Char,tt Char Char"/>
    <w:link w:val="tabletext"/>
    <w:uiPriority w:val="4"/>
    <w:locked/>
    <w:rsid w:val="006468DC"/>
    <w:rPr>
      <w:rFonts w:ascii="Arial" w:hAnsi="Arial" w:cs="Arial"/>
      <w:sz w:val="18"/>
      <w:szCs w:val="24"/>
    </w:rPr>
  </w:style>
  <w:style w:type="character" w:customStyle="1" w:styleId="tableheadingChar">
    <w:name w:val="table heading Char"/>
    <w:aliases w:val="th Char"/>
    <w:link w:val="tableheading"/>
    <w:uiPriority w:val="5"/>
    <w:locked/>
    <w:rsid w:val="006468DC"/>
    <w:rPr>
      <w:rFonts w:ascii="Arial" w:hAnsi="Arial" w:cs="Arial"/>
      <w:b/>
      <w:bCs/>
      <w:color w:val="FFFFFF"/>
      <w:sz w:val="18"/>
      <w:szCs w:val="24"/>
    </w:rPr>
  </w:style>
  <w:style w:type="character" w:styleId="Emphasis">
    <w:name w:val="Emphasis"/>
    <w:qFormat/>
    <w:rsid w:val="007A1117"/>
    <w:rPr>
      <w:i/>
      <w:iCs/>
    </w:rPr>
  </w:style>
  <w:style w:type="paragraph" w:styleId="BodyText">
    <w:name w:val="Body Text"/>
    <w:basedOn w:val="Normal"/>
    <w:link w:val="BodyTextChar"/>
    <w:qFormat/>
    <w:rsid w:val="00D72985"/>
    <w:pPr>
      <w:widowControl/>
      <w:autoSpaceDE/>
      <w:autoSpaceDN/>
      <w:adjustRightInd/>
      <w:spacing w:before="180" w:after="180"/>
    </w:pPr>
    <w:rPr>
      <w:sz w:val="24"/>
      <w:szCs w:val="20"/>
    </w:rPr>
  </w:style>
  <w:style w:type="character" w:customStyle="1" w:styleId="BodyTextChar">
    <w:name w:val="Body Text Char"/>
    <w:link w:val="BodyText"/>
    <w:rsid w:val="00D72985"/>
    <w:rPr>
      <w:sz w:val="24"/>
    </w:rPr>
  </w:style>
  <w:style w:type="table" w:customStyle="1" w:styleId="CalloutTable2">
    <w:name w:val="Callout Table2"/>
    <w:basedOn w:val="TableNormal"/>
    <w:rsid w:val="00D72985"/>
    <w:rPr>
      <w:sz w:val="24"/>
      <w:szCs w:val="24"/>
    </w:rPr>
    <w:tblPr>
      <w:jc w:val="right"/>
      <w:tblBorders>
        <w:top w:val="single" w:sz="8" w:space="0" w:color="FFCC00"/>
        <w:left w:val="single" w:sz="8" w:space="0" w:color="FFCC00"/>
        <w:bottom w:val="single" w:sz="8" w:space="0" w:color="FFCC00"/>
        <w:right w:val="single" w:sz="8" w:space="0" w:color="FFCC00"/>
        <w:insideH w:val="single" w:sz="8" w:space="0" w:color="FFCC00"/>
        <w:insideV w:val="single" w:sz="8" w:space="0" w:color="FFCC00"/>
      </w:tblBorders>
      <w:tblCellMar>
        <w:top w:w="43" w:type="dxa"/>
        <w:left w:w="115" w:type="dxa"/>
        <w:bottom w:w="43" w:type="dxa"/>
        <w:right w:w="115" w:type="dxa"/>
      </w:tblCellMar>
    </w:tblPr>
    <w:trPr>
      <w:cantSplit/>
      <w:jc w:val="right"/>
    </w:trPr>
    <w:tcPr>
      <w:shd w:val="clear" w:color="auto" w:fill="FFFFCC"/>
    </w:tcPr>
    <w:tblStylePr w:type="firstRow">
      <w:tblPr/>
      <w:trPr>
        <w:tblHeader/>
      </w:trPr>
      <w:tcPr>
        <w:shd w:val="clear" w:color="auto" w:fill="FFCC00"/>
        <w:vAlign w:val="center"/>
      </w:tcPr>
    </w:tblStylePr>
  </w:style>
  <w:style w:type="paragraph" w:customStyle="1" w:styleId="CalloutBullet">
    <w:name w:val="Callout Bullet"/>
    <w:basedOn w:val="ListParagraph"/>
    <w:qFormat/>
    <w:rsid w:val="00D72985"/>
    <w:pPr>
      <w:framePr w:hSpace="187" w:wrap="around" w:vAnchor="text" w:hAnchor="margin" w:xAlign="right" w:y="-25"/>
      <w:widowControl/>
      <w:numPr>
        <w:numId w:val="15"/>
      </w:numPr>
      <w:tabs>
        <w:tab w:val="num" w:pos="360"/>
      </w:tabs>
      <w:autoSpaceDE/>
      <w:autoSpaceDN/>
      <w:adjustRightInd/>
      <w:spacing w:before="40" w:after="40"/>
      <w:ind w:left="187" w:hanging="187"/>
    </w:pPr>
    <w:rPr>
      <w:rFonts w:ascii="Arial" w:hAnsi="Arial" w:cs="Arial"/>
      <w:szCs w:val="20"/>
    </w:rPr>
  </w:style>
  <w:style w:type="paragraph" w:styleId="ListParagraph">
    <w:name w:val="List Paragraph"/>
    <w:basedOn w:val="Normal"/>
    <w:uiPriority w:val="34"/>
    <w:qFormat/>
    <w:rsid w:val="00D72985"/>
    <w:pPr>
      <w:ind w:left="720"/>
    </w:pPr>
  </w:style>
  <w:style w:type="paragraph" w:styleId="Subtitle">
    <w:name w:val="Subtitle"/>
    <w:basedOn w:val="Normal"/>
    <w:next w:val="Normal"/>
    <w:link w:val="SubtitleChar"/>
    <w:qFormat/>
    <w:rsid w:val="00C009F1"/>
    <w:pPr>
      <w:numPr>
        <w:ilvl w:val="1"/>
      </w:numPr>
      <w:spacing w:after="160"/>
      <w:jc w:val="center"/>
    </w:pPr>
    <w:rPr>
      <w:rFonts w:asciiTheme="minorHAnsi" w:eastAsiaTheme="minorEastAsia" w:hAnsiTheme="minorHAnsi" w:cstheme="minorBidi"/>
      <w:b/>
      <w:sz w:val="28"/>
      <w:szCs w:val="22"/>
    </w:rPr>
  </w:style>
  <w:style w:type="character" w:customStyle="1" w:styleId="SubtitleChar">
    <w:name w:val="Subtitle Char"/>
    <w:basedOn w:val="DefaultParagraphFont"/>
    <w:link w:val="Subtitle"/>
    <w:rsid w:val="00C009F1"/>
    <w:rPr>
      <w:rFonts w:asciiTheme="minorHAnsi" w:eastAsiaTheme="minorEastAsia" w:hAnsiTheme="minorHAnsi" w:cstheme="minorBidi"/>
      <w:b/>
      <w:sz w:val="28"/>
      <w:szCs w:val="22"/>
    </w:rPr>
  </w:style>
  <w:style w:type="character" w:customStyle="1" w:styleId="Heading3Char">
    <w:name w:val="Heading 3 Char"/>
    <w:basedOn w:val="DefaultParagraphFont"/>
    <w:link w:val="Heading3"/>
    <w:rsid w:val="001A70EF"/>
    <w:rPr>
      <w:rFonts w:asciiTheme="majorHAnsi" w:eastAsiaTheme="majorEastAsia" w:hAnsiTheme="majorHAnsi" w:cstheme="majorBidi"/>
      <w:b/>
      <w:sz w:val="24"/>
      <w:szCs w:val="24"/>
      <w:u w:val="single"/>
    </w:rPr>
  </w:style>
  <w:style w:type="character" w:customStyle="1" w:styleId="Heading4Char">
    <w:name w:val="Heading 4 Char"/>
    <w:basedOn w:val="DefaultParagraphFont"/>
    <w:link w:val="Heading4"/>
    <w:rsid w:val="00695197"/>
    <w:rPr>
      <w:rFonts w:asciiTheme="majorHAnsi" w:eastAsiaTheme="majorEastAsia" w:hAnsiTheme="majorHAnsi" w:cstheme="majorBidi"/>
      <w:b/>
      <w:iCs/>
      <w:sz w:val="24"/>
      <w:szCs w:val="24"/>
    </w:rPr>
  </w:style>
  <w:style w:type="character" w:customStyle="1" w:styleId="Heading5Char">
    <w:name w:val="Heading 5 Char"/>
    <w:basedOn w:val="DefaultParagraphFont"/>
    <w:link w:val="Heading5"/>
    <w:semiHidden/>
    <w:rsid w:val="001A70EF"/>
    <w:rPr>
      <w:rFonts w:asciiTheme="majorHAnsi" w:eastAsiaTheme="majorEastAsia" w:hAnsiTheme="majorHAnsi" w:cstheme="majorBidi"/>
      <w:color w:val="2E74B5" w:themeColor="accent1" w:themeShade="BF"/>
      <w:szCs w:val="24"/>
    </w:rPr>
  </w:style>
  <w:style w:type="character" w:customStyle="1" w:styleId="Heading6Char">
    <w:name w:val="Heading 6 Char"/>
    <w:basedOn w:val="DefaultParagraphFont"/>
    <w:link w:val="Heading6"/>
    <w:semiHidden/>
    <w:rsid w:val="001A70EF"/>
    <w:rPr>
      <w:rFonts w:asciiTheme="majorHAnsi" w:eastAsiaTheme="majorEastAsia" w:hAnsiTheme="majorHAnsi" w:cstheme="majorBidi"/>
      <w:color w:val="1F4D78" w:themeColor="accent1" w:themeShade="7F"/>
      <w:szCs w:val="24"/>
    </w:rPr>
  </w:style>
  <w:style w:type="character" w:customStyle="1" w:styleId="Heading7Char">
    <w:name w:val="Heading 7 Char"/>
    <w:basedOn w:val="DefaultParagraphFont"/>
    <w:link w:val="Heading7"/>
    <w:semiHidden/>
    <w:rsid w:val="001A70EF"/>
    <w:rPr>
      <w:rFonts w:asciiTheme="majorHAnsi" w:eastAsiaTheme="majorEastAsia" w:hAnsiTheme="majorHAnsi" w:cstheme="majorBidi"/>
      <w:i/>
      <w:iCs/>
      <w:color w:val="1F4D78" w:themeColor="accent1" w:themeShade="7F"/>
      <w:szCs w:val="24"/>
    </w:rPr>
  </w:style>
  <w:style w:type="character" w:customStyle="1" w:styleId="Heading8Char">
    <w:name w:val="Heading 8 Char"/>
    <w:basedOn w:val="DefaultParagraphFont"/>
    <w:link w:val="Heading8"/>
    <w:semiHidden/>
    <w:rsid w:val="001A70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A70EF"/>
    <w:rPr>
      <w:rFonts w:asciiTheme="majorHAnsi" w:eastAsiaTheme="majorEastAsia" w:hAnsiTheme="majorHAnsi" w:cstheme="majorBidi"/>
      <w:i/>
      <w:iCs/>
      <w:color w:val="272727" w:themeColor="text1" w:themeTint="D8"/>
      <w:sz w:val="21"/>
      <w:szCs w:val="21"/>
    </w:rPr>
  </w:style>
  <w:style w:type="paragraph" w:styleId="ListBullet2">
    <w:name w:val="List Bullet 2"/>
    <w:basedOn w:val="Normal"/>
    <w:semiHidden/>
    <w:unhideWhenUsed/>
    <w:rsid w:val="00B30B87"/>
    <w:pPr>
      <w:numPr>
        <w:numId w:val="20"/>
      </w:numPr>
      <w:contextualSpacing/>
    </w:pPr>
  </w:style>
  <w:style w:type="character" w:customStyle="1" w:styleId="UnresolvedMention1">
    <w:name w:val="Unresolved Mention1"/>
    <w:basedOn w:val="DefaultParagraphFont"/>
    <w:uiPriority w:val="99"/>
    <w:semiHidden/>
    <w:unhideWhenUsed/>
    <w:rsid w:val="002E67DE"/>
    <w:rPr>
      <w:color w:val="808080"/>
      <w:shd w:val="clear" w:color="auto" w:fill="E6E6E6"/>
    </w:rPr>
  </w:style>
  <w:style w:type="character" w:customStyle="1" w:styleId="UnresolvedMention2">
    <w:name w:val="Unresolved Mention2"/>
    <w:basedOn w:val="DefaultParagraphFont"/>
    <w:uiPriority w:val="99"/>
    <w:semiHidden/>
    <w:unhideWhenUsed/>
    <w:rsid w:val="00293E0B"/>
    <w:rPr>
      <w:color w:val="808080"/>
      <w:shd w:val="clear" w:color="auto" w:fill="E6E6E6"/>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8E0F02"/>
    <w:rPr>
      <w:color w:val="605E5C"/>
      <w:shd w:val="clear" w:color="auto" w:fill="E1DFDD"/>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Cs w:val="20"/>
    </w:rPr>
  </w:style>
  <w:style w:type="character" w:customStyle="1" w:styleId="normaltextrun">
    <w:name w:val="normaltextrun"/>
    <w:basedOn w:val="DefaultParagraphFont"/>
    <w:rsid w:val="00EC5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quality/health-insurance-marketplace-initiatives"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_rels/footnotes.xml.rels><?xml version="1.0" encoding="utf-8" standalone="yes"?><Relationships xmlns="http://schemas.openxmlformats.org/package/2006/relationships"><Relationship Id="rId1" Type="http://schemas.openxmlformats.org/officeDocument/2006/relationships/hyperlink" Target="http://www.gpo.gov/fdsys/pkg/FR-2014-05-27/pdf/2014-11657.pdf" TargetMode="External" /><Relationship Id="rId2" Type="http://schemas.openxmlformats.org/officeDocument/2006/relationships/hyperlink" Target="https://www.federalregister.gov/documents/2015/02/27/2015-03751/patient-protection-and-affordable-care-act-hhs-notice-of-benefit-and-payment-parameters-for-2016" TargetMode="External" /><Relationship Id="rId3" Type="http://schemas.openxmlformats.org/officeDocument/2006/relationships/hyperlink" Target="https://www.federalregister.gov/documents/2022/05/06/2022-09438/patient-protection-and-affordable-care-act-hhs-notice-of-benefit-and-payment-parameters-for-2023" TargetMode="External" /><Relationship Id="rId4" Type="http://schemas.openxmlformats.org/officeDocument/2006/relationships/hyperlink" Target="http://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7edba28-17db-43c0-b81e-671e3fb712bd">
      <UserInfo>
        <DisplayName>Marsh, Christina [USA]</DisplayName>
        <AccountId>17</AccountId>
        <AccountType/>
      </UserInfo>
      <UserInfo>
        <DisplayName>Konstant, Melanie [USA]</DisplayName>
        <AccountId>56</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F786807D1A39E4D89CB21E2E96EA1B4" ma:contentTypeVersion="6" ma:contentTypeDescription="Create a new document." ma:contentTypeScope="" ma:versionID="9943e97e86de0711d6887c838af71d9b">
  <xsd:schema xmlns:xsd="http://www.w3.org/2001/XMLSchema" xmlns:xs="http://www.w3.org/2001/XMLSchema" xmlns:p="http://schemas.microsoft.com/office/2006/metadata/properties" xmlns:ns2="caf490d5-cba7-4523-b1e2-f3431e68fb89" xmlns:ns3="b7edba28-17db-43c0-b81e-671e3fb712bd" targetNamespace="http://schemas.microsoft.com/office/2006/metadata/properties" ma:root="true" ma:fieldsID="052c200549d40ec8591f236a8eb70109" ns2:_="" ns3:_="">
    <xsd:import namespace="caf490d5-cba7-4523-b1e2-f3431e68fb89"/>
    <xsd:import namespace="b7edba28-17db-43c0-b81e-671e3fb712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490d5-cba7-4523-b1e2-f3431e68f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dba28-17db-43c0-b81e-671e3fb712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06733-91AB-4BCD-84BD-3362478CCB38}">
  <ds:schemaRefs>
    <ds:schemaRef ds:uri="http://schemas.openxmlformats.org/officeDocument/2006/bibliography"/>
  </ds:schemaRefs>
</ds:datastoreItem>
</file>

<file path=customXml/itemProps2.xml><?xml version="1.0" encoding="utf-8"?>
<ds:datastoreItem xmlns:ds="http://schemas.openxmlformats.org/officeDocument/2006/customXml" ds:itemID="{F1A0D434-B727-40AD-8A51-45BF9D44D813}">
  <ds:schemaRefs>
    <ds:schemaRef ds:uri="http://schemas.microsoft.com/sharepoint/v3/contenttype/forms"/>
  </ds:schemaRefs>
</ds:datastoreItem>
</file>

<file path=customXml/itemProps3.xml><?xml version="1.0" encoding="utf-8"?>
<ds:datastoreItem xmlns:ds="http://schemas.openxmlformats.org/officeDocument/2006/customXml" ds:itemID="{D1AE6E4F-33D9-411B-B025-EE868AF5F09F}">
  <ds:schemaRefs>
    <ds:schemaRef ds:uri="http://schemas.microsoft.com/office/2006/metadata/properties"/>
    <ds:schemaRef ds:uri="http://schemas.microsoft.com/office/infopath/2007/PartnerControls"/>
    <ds:schemaRef ds:uri="b7edba28-17db-43c0-b81e-671e3fb712bd"/>
  </ds:schemaRefs>
</ds:datastoreItem>
</file>

<file path=customXml/itemProps4.xml><?xml version="1.0" encoding="utf-8"?>
<ds:datastoreItem xmlns:ds="http://schemas.openxmlformats.org/officeDocument/2006/customXml" ds:itemID="{C30DC084-4F47-4633-962F-1863543E62F5}">
  <ds:schemaRefs>
    <ds:schemaRef ds:uri="http://schemas.microsoft.com/office/2006/metadata/longProperties"/>
  </ds:schemaRefs>
</ds:datastoreItem>
</file>

<file path=customXml/itemProps5.xml><?xml version="1.0" encoding="utf-8"?>
<ds:datastoreItem xmlns:ds="http://schemas.openxmlformats.org/officeDocument/2006/customXml" ds:itemID="{D67C2F94-D718-4100-8537-79708809F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490d5-cba7-4523-b1e2-f3431e68fb89"/>
    <ds:schemaRef ds:uri="b7edba28-17db-43c0-b81e-671e3fb71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3847</Words>
  <Characters>21934</Characters>
  <Application>Microsoft Office Word</Application>
  <DocSecurity>0</DocSecurity>
  <Lines>182</Lines>
  <Paragraphs>51</Paragraphs>
  <ScaleCrop>false</ScaleCrop>
  <Company>CMS</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Standards – Quality Improvement Strategy Supporting Statement</dc:title>
  <dc:subject>Quality Improvement Strategy</dc:subject>
  <dc:creator>CMS</dc:creator>
  <cp:keywords>Quality Improvement Strategy; QIS; Supporting Statement; Information Collection; Implementation Plan; CMS-10540, OMB Control number 0938-1286</cp:keywords>
  <cp:lastModifiedBy>Hill, Jamaa (CMS/OSORA)</cp:lastModifiedBy>
  <cp:revision>2</cp:revision>
  <cp:lastPrinted>2020-01-15T21:13:00Z</cp:lastPrinted>
  <dcterms:created xsi:type="dcterms:W3CDTF">2024-08-14T21:27:00Z</dcterms:created>
  <dcterms:modified xsi:type="dcterms:W3CDTF">2024-08-14T21:27:00Z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0x0101009F786807D1A39E4D89CB21E2E96EA1B4</vt:lpwstr>
  </property>
  <property fmtid="{D5CDD505-2E9C-101B-9397-08002B2CF9AE}" pid="4" name="Order">
    <vt:r8>372000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