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71F" w:rsidRPr="004220A4" w14:paraId="00000001" w14:textId="7FBA7DD9">
      <w:pPr>
        <w:pStyle w:val="Heading1"/>
        <w:ind w:left="450"/>
        <w:jc w:val="center"/>
        <w:rPr>
          <w:b w:val="0"/>
          <w:bCs w:val="0"/>
        </w:rPr>
      </w:pPr>
      <w:r w:rsidRPr="004220A4">
        <w:rPr>
          <w:b w:val="0"/>
          <w:bCs w:val="0"/>
        </w:rPr>
        <w:t>Supporting Statement</w:t>
      </w:r>
      <w:r w:rsidRPr="004220A4" w:rsidR="004220A4">
        <w:rPr>
          <w:b w:val="0"/>
          <w:bCs w:val="0"/>
        </w:rPr>
        <w:t xml:space="preserve"> A</w:t>
      </w:r>
    </w:p>
    <w:p w:rsidR="004220A4" w14:paraId="0304AC94" w14:textId="122BE847">
      <w:pPr>
        <w:pStyle w:val="Heading1"/>
        <w:ind w:left="450"/>
        <w:jc w:val="center"/>
        <w:rPr>
          <w:b w:val="0"/>
          <w:bCs w:val="0"/>
        </w:rPr>
      </w:pPr>
      <w:r w:rsidRPr="004220A4">
        <w:rPr>
          <w:b w:val="0"/>
          <w:bCs w:val="0"/>
        </w:rPr>
        <w:t xml:space="preserve">Medicare and Medicaid Programs: Conditions for Certification for Rural Health Clinics and Conditions for Coverage for FQHCs in 42 CFR </w:t>
      </w:r>
      <w:r w:rsidR="00B632BB">
        <w:rPr>
          <w:b w:val="0"/>
          <w:bCs w:val="0"/>
        </w:rPr>
        <w:t xml:space="preserve">Part </w:t>
      </w:r>
      <w:r w:rsidRPr="004220A4">
        <w:rPr>
          <w:b w:val="0"/>
          <w:bCs w:val="0"/>
        </w:rPr>
        <w:t>491</w:t>
      </w:r>
    </w:p>
    <w:p w:rsidR="0058771F" w:rsidRPr="004220A4" w14:paraId="00000002" w14:textId="4ABD7A77">
      <w:pPr>
        <w:pStyle w:val="Heading1"/>
        <w:ind w:left="450"/>
        <w:jc w:val="center"/>
        <w:rPr>
          <w:b w:val="0"/>
          <w:bCs w:val="0"/>
        </w:rPr>
      </w:pPr>
      <w:r w:rsidRPr="004220A4">
        <w:rPr>
          <w:b w:val="0"/>
          <w:bCs w:val="0"/>
        </w:rPr>
        <w:t>(CMS-R-38; OMB</w:t>
      </w:r>
      <w:r w:rsidR="004220A4">
        <w:rPr>
          <w:b w:val="0"/>
          <w:bCs w:val="0"/>
        </w:rPr>
        <w:t xml:space="preserve"> </w:t>
      </w:r>
      <w:r w:rsidRPr="004220A4">
        <w:rPr>
          <w:b w:val="0"/>
          <w:bCs w:val="0"/>
        </w:rPr>
        <w:t>0938-0334)</w:t>
      </w:r>
    </w:p>
    <w:p w:rsidR="00641B70" w:rsidP="004220A4" w14:paraId="57AC8891" w14:textId="77777777">
      <w:pPr>
        <w:rPr>
          <w:sz w:val="24"/>
        </w:rPr>
      </w:pPr>
    </w:p>
    <w:p w:rsidR="0058771F" w:rsidRPr="00E40602" w:rsidP="004220A4" w14:paraId="00000005" w14:textId="77777777">
      <w:pPr>
        <w:tabs>
          <w:tab w:val="left" w:pos="450"/>
        </w:tabs>
        <w:jc w:val="both"/>
        <w:rPr>
          <w:b/>
          <w:bCs/>
          <w:sz w:val="24"/>
        </w:rPr>
      </w:pPr>
      <w:r w:rsidRPr="00E40602">
        <w:rPr>
          <w:b/>
          <w:bCs/>
          <w:sz w:val="24"/>
        </w:rPr>
        <w:t>Background</w:t>
      </w:r>
    </w:p>
    <w:p w:rsidR="00675322" w:rsidRPr="00E40602" w:rsidP="004220A4" w14:paraId="509F5CDB" w14:textId="17A0733A">
      <w:pPr>
        <w:tabs>
          <w:tab w:val="left" w:pos="450"/>
        </w:tabs>
        <w:rPr>
          <w:sz w:val="24"/>
        </w:rPr>
      </w:pPr>
    </w:p>
    <w:p w:rsidR="00733974" w:rsidP="00733974" w14:paraId="2536890B" w14:textId="752BC043">
      <w:pPr>
        <w:rPr>
          <w:sz w:val="24"/>
        </w:rPr>
      </w:pPr>
      <w:r w:rsidRPr="00E40602">
        <w:rPr>
          <w:sz w:val="24"/>
        </w:rPr>
        <w:t>Currently</w:t>
      </w:r>
      <w:r w:rsidRPr="00E40602" w:rsidR="00B47FDC">
        <w:rPr>
          <w:sz w:val="24"/>
        </w:rPr>
        <w:t>,</w:t>
      </w:r>
      <w:r w:rsidRPr="00E40602">
        <w:rPr>
          <w:sz w:val="24"/>
        </w:rPr>
        <w:t xml:space="preserve"> approved information collection requirements </w:t>
      </w:r>
      <w:r w:rsidRPr="00E40602" w:rsidR="000025EC">
        <w:rPr>
          <w:sz w:val="24"/>
        </w:rPr>
        <w:t xml:space="preserve">are </w:t>
      </w:r>
      <w:r w:rsidRPr="00E40602" w:rsidR="00B47FDC">
        <w:rPr>
          <w:sz w:val="24"/>
        </w:rPr>
        <w:t>P</w:t>
      </w:r>
      <w:r w:rsidRPr="00E40602" w:rsidR="000025EC">
        <w:rPr>
          <w:sz w:val="24"/>
        </w:rPr>
        <w:t>atient care policies</w:t>
      </w:r>
      <w:r w:rsidRPr="00E40602" w:rsidR="00B47FDC">
        <w:rPr>
          <w:sz w:val="24"/>
        </w:rPr>
        <w:t xml:space="preserve"> at</w:t>
      </w:r>
      <w:r w:rsidRPr="00E40602" w:rsidR="000025EC">
        <w:rPr>
          <w:sz w:val="24"/>
        </w:rPr>
        <w:t xml:space="preserve"> 42 CFR 491.9(b) and </w:t>
      </w:r>
      <w:r w:rsidRPr="00E40602" w:rsidR="00B47FDC">
        <w:rPr>
          <w:sz w:val="24"/>
        </w:rPr>
        <w:t>P</w:t>
      </w:r>
      <w:r w:rsidRPr="00E40602" w:rsidR="000025EC">
        <w:rPr>
          <w:sz w:val="24"/>
        </w:rPr>
        <w:t>rogram evaluation at 42 CFR 491.11.</w:t>
      </w:r>
      <w:r w:rsidRPr="006F43DF">
        <w:rPr>
          <w:sz w:val="24"/>
        </w:rPr>
        <w:t xml:space="preserve"> </w:t>
      </w:r>
    </w:p>
    <w:p w:rsidR="00733974" w:rsidP="00733974" w14:paraId="459ACE1B" w14:textId="77777777">
      <w:pPr>
        <w:rPr>
          <w:sz w:val="24"/>
        </w:rPr>
      </w:pPr>
    </w:p>
    <w:p w:rsidR="00733974" w:rsidP="00733974" w14:paraId="0096E60C" w14:textId="4F818E99">
      <w:pPr>
        <w:rPr>
          <w:sz w:val="24"/>
        </w:rPr>
      </w:pPr>
      <w:r>
        <w:rPr>
          <w:sz w:val="24"/>
        </w:rPr>
        <w:t xml:space="preserve">This request for revision is precipitated by CMS’s </w:t>
      </w:r>
      <w:r w:rsidRPr="004220A4">
        <w:rPr>
          <w:sz w:val="24"/>
        </w:rPr>
        <w:t>November 16, 2023</w:t>
      </w:r>
      <w:r>
        <w:rPr>
          <w:sz w:val="24"/>
        </w:rPr>
        <w:t xml:space="preserve"> (88 FR </w:t>
      </w:r>
      <w:r w:rsidRPr="004220A4">
        <w:rPr>
          <w:sz w:val="24"/>
        </w:rPr>
        <w:t>78817</w:t>
      </w:r>
      <w:r>
        <w:rPr>
          <w:sz w:val="24"/>
        </w:rPr>
        <w:t>) final rule (</w:t>
      </w:r>
      <w:r w:rsidRPr="004220A4">
        <w:rPr>
          <w:sz w:val="24"/>
        </w:rPr>
        <w:t>CMS-1784-F</w:t>
      </w:r>
      <w:r>
        <w:rPr>
          <w:sz w:val="24"/>
        </w:rPr>
        <w:t xml:space="preserve">, </w:t>
      </w:r>
      <w:r w:rsidRPr="004220A4">
        <w:rPr>
          <w:sz w:val="24"/>
        </w:rPr>
        <w:t>RIN 0938-AV07</w:t>
      </w:r>
      <w:r>
        <w:rPr>
          <w:sz w:val="24"/>
        </w:rPr>
        <w:t>)</w:t>
      </w:r>
      <w:r w:rsidR="00031691">
        <w:rPr>
          <w:sz w:val="24"/>
        </w:rPr>
        <w:t>, which revised the Rural Health Clinic (RHC) and Federally Qualified Health Centers (FQHCs) Conditions for Certification and Conditions for Coverage (CfCs), respectively</w:t>
      </w:r>
      <w:r>
        <w:rPr>
          <w:sz w:val="24"/>
        </w:rPr>
        <w:t xml:space="preserve">. As explained in section 15 of this Supporting Statement, § </w:t>
      </w:r>
      <w:r w:rsidRPr="00125BEA">
        <w:rPr>
          <w:sz w:val="24"/>
        </w:rPr>
        <w:t>491.8(a)(3) and (6) adds M</w:t>
      </w:r>
      <w:r>
        <w:rPr>
          <w:sz w:val="24"/>
        </w:rPr>
        <w:t xml:space="preserve">arriage and </w:t>
      </w:r>
      <w:r w:rsidRPr="00125BEA">
        <w:rPr>
          <w:sz w:val="24"/>
        </w:rPr>
        <w:t>F</w:t>
      </w:r>
      <w:r>
        <w:rPr>
          <w:sz w:val="24"/>
        </w:rPr>
        <w:t xml:space="preserve">amily </w:t>
      </w:r>
      <w:r w:rsidRPr="00125BEA">
        <w:rPr>
          <w:sz w:val="24"/>
        </w:rPr>
        <w:t>T</w:t>
      </w:r>
      <w:r>
        <w:rPr>
          <w:sz w:val="24"/>
        </w:rPr>
        <w:t>herapist (MFT)</w:t>
      </w:r>
      <w:r w:rsidRPr="00125BEA">
        <w:rPr>
          <w:sz w:val="24"/>
        </w:rPr>
        <w:t xml:space="preserve"> and </w:t>
      </w:r>
      <w:r>
        <w:rPr>
          <w:sz w:val="24"/>
        </w:rPr>
        <w:t>Mental Health Counselors (</w:t>
      </w:r>
      <w:r w:rsidRPr="00125BEA">
        <w:rPr>
          <w:sz w:val="24"/>
        </w:rPr>
        <w:t>MHC</w:t>
      </w:r>
      <w:r>
        <w:rPr>
          <w:sz w:val="24"/>
        </w:rPr>
        <w:t>)</w:t>
      </w:r>
      <w:r w:rsidRPr="00125BEA">
        <w:rPr>
          <w:sz w:val="24"/>
        </w:rPr>
        <w:t xml:space="preserve"> to the list of staff who may be the owner or an employee of the clinic or center or may furnish services under contract to the clinic or center as well as</w:t>
      </w:r>
      <w:r w:rsidR="00D273D2">
        <w:rPr>
          <w:sz w:val="24"/>
        </w:rPr>
        <w:t xml:space="preserve"> may be</w:t>
      </w:r>
      <w:r w:rsidRPr="00125BEA">
        <w:rPr>
          <w:sz w:val="24"/>
        </w:rPr>
        <w:t xml:space="preserve"> included as staff </w:t>
      </w:r>
      <w:r w:rsidR="005D54E2">
        <w:rPr>
          <w:sz w:val="24"/>
        </w:rPr>
        <w:t xml:space="preserve">who may be </w:t>
      </w:r>
      <w:r w:rsidRPr="00125BEA">
        <w:rPr>
          <w:sz w:val="24"/>
        </w:rPr>
        <w:t xml:space="preserve">available to furnish patient care services at all times the clinic or center operates. </w:t>
      </w:r>
      <w:r w:rsidR="000025EC">
        <w:rPr>
          <w:sz w:val="24"/>
        </w:rPr>
        <w:t xml:space="preserve">As a result of this addition, </w:t>
      </w:r>
      <w:r w:rsidRPr="00125BEA">
        <w:rPr>
          <w:sz w:val="24"/>
        </w:rPr>
        <w:t xml:space="preserve">RHC or FQHC </w:t>
      </w:r>
      <w:r w:rsidR="000025EC">
        <w:rPr>
          <w:sz w:val="24"/>
        </w:rPr>
        <w:t xml:space="preserve">are expected to modify </w:t>
      </w:r>
      <w:r w:rsidRPr="00125BEA">
        <w:rPr>
          <w:sz w:val="24"/>
        </w:rPr>
        <w:t xml:space="preserve">their </w:t>
      </w:r>
      <w:r w:rsidR="000025EC">
        <w:rPr>
          <w:sz w:val="24"/>
        </w:rPr>
        <w:t xml:space="preserve">existing </w:t>
      </w:r>
      <w:r w:rsidRPr="00125BEA">
        <w:rPr>
          <w:sz w:val="24"/>
        </w:rPr>
        <w:t>patient care polic</w:t>
      </w:r>
      <w:r w:rsidR="000025EC">
        <w:rPr>
          <w:sz w:val="24"/>
        </w:rPr>
        <w:t>ies</w:t>
      </w:r>
      <w:r w:rsidRPr="00125BEA">
        <w:rPr>
          <w:sz w:val="24"/>
        </w:rPr>
        <w:t>, as set out in § 491.9(b)(2).</w:t>
      </w:r>
    </w:p>
    <w:p w:rsidR="000025EC" w:rsidP="00733974" w14:paraId="6DF4B9E9" w14:textId="77777777">
      <w:pPr>
        <w:rPr>
          <w:sz w:val="24"/>
        </w:rPr>
      </w:pPr>
    </w:p>
    <w:p w:rsidR="000025EC" w:rsidRPr="00031691" w:rsidP="006A58F5" w14:paraId="0474A78B" w14:textId="53D58DB4">
      <w:r>
        <w:rPr>
          <w:sz w:val="24"/>
        </w:rPr>
        <w:t>Note</w:t>
      </w:r>
      <w:r w:rsidR="00031691">
        <w:rPr>
          <w:sz w:val="24"/>
        </w:rPr>
        <w:t xml:space="preserve"> CfCs</w:t>
      </w:r>
      <w:r w:rsidRPr="006A58F5">
        <w:rPr>
          <w:sz w:val="24"/>
        </w:rPr>
        <w:t xml:space="preserve"> </w:t>
      </w:r>
      <w:r w:rsidR="009B2DC0">
        <w:rPr>
          <w:sz w:val="24"/>
        </w:rPr>
        <w:t xml:space="preserve">and associated collection of information </w:t>
      </w:r>
      <w:r w:rsidRPr="000025EC">
        <w:rPr>
          <w:sz w:val="24"/>
        </w:rPr>
        <w:t>are</w:t>
      </w:r>
      <w:r w:rsidRPr="006A58F5">
        <w:rPr>
          <w:sz w:val="24"/>
        </w:rPr>
        <w:t xml:space="preserve"> written in regulation </w:t>
      </w:r>
      <w:r w:rsidRPr="000025EC">
        <w:rPr>
          <w:sz w:val="24"/>
        </w:rPr>
        <w:t>based</w:t>
      </w:r>
      <w:r w:rsidRPr="006A58F5">
        <w:rPr>
          <w:sz w:val="24"/>
        </w:rPr>
        <w:t xml:space="preserve"> </w:t>
      </w:r>
      <w:r w:rsidRPr="000025EC">
        <w:rPr>
          <w:sz w:val="24"/>
        </w:rPr>
        <w:t>on</w:t>
      </w:r>
      <w:r w:rsidRPr="006A58F5">
        <w:rPr>
          <w:sz w:val="24"/>
        </w:rPr>
        <w:t xml:space="preserve"> </w:t>
      </w:r>
      <w:r w:rsidRPr="000025EC">
        <w:rPr>
          <w:sz w:val="24"/>
        </w:rPr>
        <w:t>criteria</w:t>
      </w:r>
      <w:r w:rsidRPr="006A58F5">
        <w:rPr>
          <w:sz w:val="24"/>
        </w:rPr>
        <w:t xml:space="preserve"> </w:t>
      </w:r>
      <w:r w:rsidRPr="000025EC">
        <w:rPr>
          <w:sz w:val="24"/>
        </w:rPr>
        <w:t>described</w:t>
      </w:r>
      <w:r w:rsidRPr="006A58F5">
        <w:rPr>
          <w:sz w:val="24"/>
        </w:rPr>
        <w:t xml:space="preserve"> </w:t>
      </w:r>
      <w:r w:rsidRPr="000025EC">
        <w:rPr>
          <w:sz w:val="24"/>
        </w:rPr>
        <w:t>in</w:t>
      </w:r>
      <w:r w:rsidRPr="006A58F5">
        <w:rPr>
          <w:sz w:val="24"/>
        </w:rPr>
        <w:t xml:space="preserve"> </w:t>
      </w:r>
      <w:r w:rsidRPr="000025EC">
        <w:rPr>
          <w:sz w:val="24"/>
        </w:rPr>
        <w:t>the</w:t>
      </w:r>
      <w:r w:rsidRPr="006A58F5">
        <w:rPr>
          <w:sz w:val="24"/>
        </w:rPr>
        <w:t xml:space="preserve"> </w:t>
      </w:r>
      <w:r w:rsidRPr="000025EC">
        <w:rPr>
          <w:sz w:val="24"/>
        </w:rPr>
        <w:t>law</w:t>
      </w:r>
      <w:r w:rsidRPr="006A58F5">
        <w:rPr>
          <w:sz w:val="24"/>
        </w:rPr>
        <w:t xml:space="preserve"> </w:t>
      </w:r>
      <w:r w:rsidRPr="000025EC">
        <w:rPr>
          <w:sz w:val="24"/>
        </w:rPr>
        <w:t>and</w:t>
      </w:r>
      <w:r w:rsidRPr="006A58F5">
        <w:rPr>
          <w:sz w:val="24"/>
        </w:rPr>
        <w:t xml:space="preserve"> </w:t>
      </w:r>
      <w:r w:rsidRPr="000025EC">
        <w:rPr>
          <w:sz w:val="24"/>
        </w:rPr>
        <w:t>are</w:t>
      </w:r>
      <w:r w:rsidRPr="006A58F5">
        <w:rPr>
          <w:sz w:val="24"/>
        </w:rPr>
        <w:t xml:space="preserve"> </w:t>
      </w:r>
      <w:r w:rsidRPr="000025EC">
        <w:rPr>
          <w:sz w:val="24"/>
        </w:rPr>
        <w:t>standards</w:t>
      </w:r>
      <w:r w:rsidRPr="006A58F5">
        <w:rPr>
          <w:sz w:val="24"/>
        </w:rPr>
        <w:t xml:space="preserve"> </w:t>
      </w:r>
      <w:r w:rsidRPr="000025EC">
        <w:rPr>
          <w:sz w:val="24"/>
        </w:rPr>
        <w:t>designed</w:t>
      </w:r>
      <w:r w:rsidRPr="006A58F5">
        <w:rPr>
          <w:sz w:val="24"/>
        </w:rPr>
        <w:t xml:space="preserve"> </w:t>
      </w:r>
      <w:r w:rsidRPr="000025EC">
        <w:rPr>
          <w:sz w:val="24"/>
        </w:rPr>
        <w:t>to</w:t>
      </w:r>
      <w:r w:rsidRPr="006A58F5">
        <w:rPr>
          <w:sz w:val="24"/>
        </w:rPr>
        <w:t xml:space="preserve"> </w:t>
      </w:r>
      <w:r w:rsidRPr="000025EC">
        <w:rPr>
          <w:sz w:val="24"/>
        </w:rPr>
        <w:t>ensure</w:t>
      </w:r>
      <w:r w:rsidRPr="006A58F5">
        <w:rPr>
          <w:sz w:val="24"/>
        </w:rPr>
        <w:t xml:space="preserve"> </w:t>
      </w:r>
      <w:r w:rsidRPr="000025EC">
        <w:rPr>
          <w:sz w:val="24"/>
        </w:rPr>
        <w:t>that each</w:t>
      </w:r>
      <w:r>
        <w:rPr>
          <w:sz w:val="24"/>
        </w:rPr>
        <w:t xml:space="preserve"> of the</w:t>
      </w:r>
      <w:r w:rsidRPr="000025EC">
        <w:rPr>
          <w:sz w:val="24"/>
        </w:rPr>
        <w:t xml:space="preserve"> </w:t>
      </w:r>
      <w:r>
        <w:rPr>
          <w:sz w:val="24"/>
        </w:rPr>
        <w:t>5,537</w:t>
      </w:r>
      <w:r w:rsidRPr="008D1922">
        <w:rPr>
          <w:sz w:val="24"/>
        </w:rPr>
        <w:t xml:space="preserve"> </w:t>
      </w:r>
      <w:r w:rsidR="00031691">
        <w:rPr>
          <w:sz w:val="24"/>
        </w:rPr>
        <w:t xml:space="preserve">RHCs </w:t>
      </w:r>
      <w:r>
        <w:rPr>
          <w:sz w:val="24"/>
        </w:rPr>
        <w:t xml:space="preserve">and </w:t>
      </w:r>
      <w:r w:rsidRPr="00483BD2">
        <w:rPr>
          <w:sz w:val="24"/>
        </w:rPr>
        <w:t>11,</w:t>
      </w:r>
      <w:r>
        <w:rPr>
          <w:sz w:val="24"/>
        </w:rPr>
        <w:t>852</w:t>
      </w:r>
      <w:r w:rsidRPr="00483BD2">
        <w:rPr>
          <w:sz w:val="24"/>
        </w:rPr>
        <w:t xml:space="preserve"> </w:t>
      </w:r>
      <w:r w:rsidR="00031691">
        <w:rPr>
          <w:sz w:val="24"/>
        </w:rPr>
        <w:t>FQHCs</w:t>
      </w:r>
      <w:r w:rsidRPr="006F43DF">
        <w:rPr>
          <w:sz w:val="24"/>
        </w:rPr>
        <w:t xml:space="preserve"> </w:t>
      </w:r>
      <w:r w:rsidR="00031691">
        <w:rPr>
          <w:sz w:val="24"/>
        </w:rPr>
        <w:t>have</w:t>
      </w:r>
      <w:r w:rsidRPr="000025EC">
        <w:rPr>
          <w:sz w:val="24"/>
        </w:rPr>
        <w:t xml:space="preserve"> properly trained staff to provide the appropriate type and level</w:t>
      </w:r>
      <w:r w:rsidRPr="006A58F5">
        <w:rPr>
          <w:sz w:val="24"/>
        </w:rPr>
        <w:t xml:space="preserve"> </w:t>
      </w:r>
      <w:r w:rsidRPr="000025EC">
        <w:rPr>
          <w:sz w:val="24"/>
        </w:rPr>
        <w:t xml:space="preserve">of care for </w:t>
      </w:r>
      <w:r w:rsidR="00031691">
        <w:rPr>
          <w:sz w:val="24"/>
        </w:rPr>
        <w:t>their patient population</w:t>
      </w:r>
      <w:r w:rsidRPr="000025EC">
        <w:rPr>
          <w:sz w:val="24"/>
        </w:rPr>
        <w:t xml:space="preserve">. CMS </w:t>
      </w:r>
      <w:r w:rsidR="00031691">
        <w:rPr>
          <w:sz w:val="24"/>
        </w:rPr>
        <w:t>uses</w:t>
      </w:r>
      <w:r w:rsidRPr="000025EC">
        <w:rPr>
          <w:sz w:val="24"/>
        </w:rPr>
        <w:t xml:space="preserve"> the C</w:t>
      </w:r>
      <w:r w:rsidR="00031691">
        <w:rPr>
          <w:sz w:val="24"/>
        </w:rPr>
        <w:t>fC</w:t>
      </w:r>
      <w:r w:rsidRPr="000025EC">
        <w:rPr>
          <w:sz w:val="24"/>
        </w:rPr>
        <w:t>s to certify health care</w:t>
      </w:r>
      <w:r w:rsidRPr="006A58F5">
        <w:rPr>
          <w:sz w:val="24"/>
        </w:rPr>
        <w:t xml:space="preserve"> </w:t>
      </w:r>
      <w:r w:rsidRPr="000025EC">
        <w:rPr>
          <w:sz w:val="24"/>
        </w:rPr>
        <w:t>facilities</w:t>
      </w:r>
      <w:r w:rsidRPr="006A58F5">
        <w:rPr>
          <w:sz w:val="24"/>
        </w:rPr>
        <w:t xml:space="preserve"> </w:t>
      </w:r>
      <w:r w:rsidRPr="000025EC">
        <w:rPr>
          <w:sz w:val="24"/>
        </w:rPr>
        <w:t>wishing to participate in the Medicare and/or Medicaid</w:t>
      </w:r>
      <w:r w:rsidRPr="006A58F5">
        <w:rPr>
          <w:sz w:val="24"/>
        </w:rPr>
        <w:t xml:space="preserve"> </w:t>
      </w:r>
      <w:r w:rsidRPr="000025EC">
        <w:rPr>
          <w:sz w:val="24"/>
        </w:rPr>
        <w:t>programs.</w:t>
      </w:r>
      <w:r>
        <w:rPr>
          <w:rStyle w:val="FootnoteReference"/>
          <w:sz w:val="24"/>
          <w:vertAlign w:val="superscript"/>
        </w:rPr>
        <w:footnoteReference w:id="3"/>
      </w:r>
    </w:p>
    <w:p w:rsidR="000025EC" w:rsidP="006A58F5" w14:paraId="0A4C3D64" w14:textId="77777777">
      <w:pPr>
        <w:rPr>
          <w:sz w:val="24"/>
        </w:rPr>
      </w:pPr>
    </w:p>
    <w:p w:rsidR="000025EC" w:rsidP="000025EC" w14:paraId="29DBDA27" w14:textId="10D7C2C8">
      <w:pPr>
        <w:rPr>
          <w:sz w:val="24"/>
        </w:rPr>
      </w:pPr>
      <w:r w:rsidRPr="006A58F5">
        <w:rPr>
          <w:sz w:val="24"/>
        </w:rPr>
        <w:t xml:space="preserve">To determine compliance with the </w:t>
      </w:r>
      <w:r w:rsidR="00031691">
        <w:rPr>
          <w:sz w:val="24"/>
        </w:rPr>
        <w:t>CfCs</w:t>
      </w:r>
      <w:r w:rsidRPr="006A58F5">
        <w:rPr>
          <w:sz w:val="24"/>
        </w:rPr>
        <w:t>, the Secretary has authorized States, through contracts, to conduct surveys of health care providers. For Medicare purposes, certification is based on the State survey agency’s recording of a provider or supplier’s compliance or noncompliance with the health and safety requirements published in regulations.</w:t>
      </w:r>
      <w:r w:rsidR="009B2DC0">
        <w:rPr>
          <w:sz w:val="24"/>
        </w:rPr>
        <w:t xml:space="preserve"> </w:t>
      </w:r>
    </w:p>
    <w:p w:rsidR="009B2DC0" w:rsidP="000025EC" w14:paraId="14106BCC" w14:textId="77777777">
      <w:pPr>
        <w:rPr>
          <w:sz w:val="24"/>
        </w:rPr>
      </w:pPr>
    </w:p>
    <w:p w:rsidR="00125BEA" w:rsidRPr="00B00203" w:rsidP="00125BEA" w14:paraId="334B1DB8" w14:textId="5408FD8F">
      <w:pPr>
        <w:rPr>
          <w:sz w:val="24"/>
        </w:rPr>
      </w:pPr>
      <w:r w:rsidRPr="00B00203">
        <w:rPr>
          <w:sz w:val="24"/>
        </w:rPr>
        <w:t>The provision adds a one-time burden of 4,</w:t>
      </w:r>
      <w:r w:rsidRPr="00B00203" w:rsidR="00E76206">
        <w:rPr>
          <w:sz w:val="24"/>
        </w:rPr>
        <w:t>348</w:t>
      </w:r>
      <w:r w:rsidRPr="00B00203">
        <w:rPr>
          <w:sz w:val="24"/>
        </w:rPr>
        <w:t xml:space="preserve"> hours at a cost of $</w:t>
      </w:r>
      <w:r w:rsidRPr="00B00203" w:rsidR="00B00203">
        <w:rPr>
          <w:sz w:val="24"/>
        </w:rPr>
        <w:t>822,250</w:t>
      </w:r>
      <w:r w:rsidRPr="00B00203" w:rsidR="00E76206">
        <w:rPr>
          <w:sz w:val="24"/>
        </w:rPr>
        <w:t>.</w:t>
      </w:r>
    </w:p>
    <w:p w:rsidR="0058771F" w:rsidP="004220A4" w14:paraId="0000000E" w14:textId="77777777">
      <w:pPr>
        <w:rPr>
          <w:sz w:val="24"/>
        </w:rPr>
      </w:pPr>
    </w:p>
    <w:p w:rsidR="00511DF6" w:rsidP="00511DF6" w14:paraId="374A9BB6" w14:textId="6CC18CD7">
      <w:pPr>
        <w:rPr>
          <w:sz w:val="24"/>
        </w:rPr>
      </w:pPr>
      <w:r>
        <w:rPr>
          <w:sz w:val="24"/>
        </w:rPr>
        <w:t xml:space="preserve">While keeping our active response time estimates as is, we have also adjusted our number of responses by plus 1,634 and time by plus </w:t>
      </w:r>
      <w:r w:rsidRPr="00532340">
        <w:rPr>
          <w:sz w:val="24"/>
        </w:rPr>
        <w:t>4,520</w:t>
      </w:r>
      <w:r w:rsidRPr="00532340">
        <w:rPr>
          <w:sz w:val="24"/>
        </w:rPr>
        <w:t>‬</w:t>
      </w:r>
      <w:r>
        <w:rPr>
          <w:sz w:val="24"/>
        </w:rPr>
        <w:t xml:space="preserve"> hours. Overall, we estimate an increase of  </w:t>
      </w:r>
      <w:r w:rsidRPr="00F35E44">
        <w:rPr>
          <w:sz w:val="24"/>
        </w:rPr>
        <w:t>10,329</w:t>
      </w:r>
      <w:r>
        <w:rPr>
          <w:sz w:val="24"/>
        </w:rPr>
        <w:t xml:space="preserve"> responses and </w:t>
      </w:r>
      <w:r w:rsidRPr="00F35E44">
        <w:rPr>
          <w:sz w:val="24"/>
        </w:rPr>
        <w:t>8,868</w:t>
      </w:r>
      <w:r>
        <w:rPr>
          <w:sz w:val="24"/>
        </w:rPr>
        <w:t xml:space="preserve"> hours (see </w:t>
      </w:r>
      <w:r w:rsidR="00167C44">
        <w:rPr>
          <w:sz w:val="24"/>
        </w:rPr>
        <w:t>section 15, below</w:t>
      </w:r>
      <w:r>
        <w:rPr>
          <w:sz w:val="24"/>
        </w:rPr>
        <w:t>).</w:t>
      </w:r>
    </w:p>
    <w:p w:rsidR="00511DF6" w:rsidP="004220A4" w14:paraId="53F34929" w14:textId="77777777">
      <w:pPr>
        <w:rPr>
          <w:sz w:val="24"/>
        </w:rPr>
      </w:pPr>
    </w:p>
    <w:p w:rsidR="00B01DC9" w:rsidP="004220A4" w14:paraId="5837665D" w14:textId="65DDEFFA">
      <w:pPr>
        <w:rPr>
          <w:sz w:val="24"/>
        </w:rPr>
      </w:pPr>
      <w:r w:rsidRPr="00B01DC9">
        <w:rPr>
          <w:sz w:val="24"/>
        </w:rPr>
        <w:t xml:space="preserve">As the collection expired in March 2023, we were unable to submit the NPRM </w:t>
      </w:r>
      <w:r>
        <w:rPr>
          <w:sz w:val="24"/>
        </w:rPr>
        <w:t xml:space="preserve">and final rule </w:t>
      </w:r>
      <w:r w:rsidRPr="00B01DC9">
        <w:rPr>
          <w:sz w:val="24"/>
        </w:rPr>
        <w:t>package</w:t>
      </w:r>
      <w:r>
        <w:rPr>
          <w:sz w:val="24"/>
        </w:rPr>
        <w:t>s</w:t>
      </w:r>
      <w:r w:rsidRPr="00B01DC9">
        <w:rPr>
          <w:sz w:val="24"/>
        </w:rPr>
        <w:t xml:space="preserve"> via ROCIS. The collection was reinstated </w:t>
      </w:r>
      <w:r>
        <w:rPr>
          <w:sz w:val="24"/>
        </w:rPr>
        <w:t>o</w:t>
      </w:r>
      <w:r w:rsidRPr="00B01DC9">
        <w:rPr>
          <w:sz w:val="24"/>
        </w:rPr>
        <w:t>n July 31, 2024.</w:t>
      </w:r>
      <w:r>
        <w:rPr>
          <w:sz w:val="24"/>
        </w:rPr>
        <w:t xml:space="preserve"> </w:t>
      </w:r>
      <w:r w:rsidRPr="00B01DC9">
        <w:rPr>
          <w:sz w:val="24"/>
        </w:rPr>
        <w:t>We are making up for the delay by submitting the package in August 2024.</w:t>
      </w:r>
      <w:r w:rsidR="00EF5C80">
        <w:rPr>
          <w:sz w:val="24"/>
        </w:rPr>
        <w:t xml:space="preserve"> </w:t>
      </w:r>
    </w:p>
    <w:p w:rsidR="00EF5C80" w:rsidP="004220A4" w14:paraId="1F6A5DBC" w14:textId="77777777">
      <w:pPr>
        <w:rPr>
          <w:sz w:val="24"/>
        </w:rPr>
      </w:pPr>
    </w:p>
    <w:p w:rsidR="00EF5C80" w:rsidP="004220A4" w14:paraId="1F7FF7A3" w14:textId="204735A5">
      <w:pPr>
        <w:rPr>
          <w:sz w:val="24"/>
        </w:rPr>
      </w:pPr>
      <w:r w:rsidRPr="00DD0528">
        <w:rPr>
          <w:sz w:val="24"/>
        </w:rPr>
        <w:t>We did not receive any comments related to th</w:t>
      </w:r>
      <w:r>
        <w:rPr>
          <w:sz w:val="24"/>
        </w:rPr>
        <w:t>e NPRM’s</w:t>
      </w:r>
      <w:r w:rsidRPr="00DD0528">
        <w:rPr>
          <w:sz w:val="24"/>
        </w:rPr>
        <w:t xml:space="preserve"> collection of information requ</w:t>
      </w:r>
      <w:r>
        <w:rPr>
          <w:sz w:val="24"/>
        </w:rPr>
        <w:t xml:space="preserve">irements/burden or the 60- and 30-day reinstatement’s </w:t>
      </w:r>
      <w:r w:rsidRPr="00DD0528">
        <w:rPr>
          <w:sz w:val="24"/>
        </w:rPr>
        <w:t>collection of information</w:t>
      </w:r>
      <w:r>
        <w:rPr>
          <w:sz w:val="24"/>
        </w:rPr>
        <w:t xml:space="preserve"> request</w:t>
      </w:r>
      <w:r w:rsidRPr="00DD0528">
        <w:rPr>
          <w:sz w:val="24"/>
        </w:rPr>
        <w:t>.</w:t>
      </w:r>
    </w:p>
    <w:p w:rsidR="00A25CD7" w:rsidP="004220A4" w14:paraId="78B58771" w14:textId="77777777">
      <w:pPr>
        <w:rPr>
          <w:sz w:val="24"/>
        </w:rPr>
      </w:pPr>
    </w:p>
    <w:p w:rsidR="00A25CD7" w:rsidP="00A25CD7" w14:paraId="419E40E1" w14:textId="77777777">
      <w:pPr>
        <w:rPr>
          <w:sz w:val="24"/>
        </w:rPr>
      </w:pPr>
      <w:r w:rsidRPr="00125BEA">
        <w:rPr>
          <w:sz w:val="24"/>
        </w:rPr>
        <w:t xml:space="preserve">This collection of information request does not include any collection of information instruments. </w:t>
      </w:r>
    </w:p>
    <w:p w:rsidR="00B01DC9" w:rsidP="004220A4" w14:paraId="1A31D54D" w14:textId="77777777">
      <w:pPr>
        <w:rPr>
          <w:sz w:val="24"/>
        </w:rPr>
      </w:pPr>
    </w:p>
    <w:p w:rsidR="0058771F" w:rsidRPr="004220A4" w:rsidP="004220A4" w14:paraId="00000010" w14:textId="7F3EDEC7">
      <w:pPr>
        <w:rPr>
          <w:b/>
          <w:bCs/>
          <w:sz w:val="24"/>
        </w:rPr>
      </w:pPr>
      <w:r w:rsidRPr="004220A4">
        <w:rPr>
          <w:b/>
          <w:bCs/>
          <w:sz w:val="24"/>
        </w:rPr>
        <w:t>A</w:t>
      </w:r>
      <w:r w:rsidRPr="004220A4" w:rsidR="009740CB">
        <w:rPr>
          <w:b/>
          <w:bCs/>
          <w:sz w:val="24"/>
        </w:rPr>
        <w:t>. Justification</w:t>
      </w:r>
    </w:p>
    <w:p w:rsidR="0058771F" w:rsidP="004220A4" w14:paraId="00000011" w14:textId="77777777">
      <w:pPr>
        <w:rPr>
          <w:sz w:val="24"/>
        </w:rPr>
      </w:pPr>
    </w:p>
    <w:p w:rsidR="0058771F" w:rsidRPr="004220A4" w:rsidP="004220A4" w14:paraId="00000012" w14:textId="77777777">
      <w:pPr>
        <w:rPr>
          <w:sz w:val="24"/>
          <w:u w:val="single"/>
        </w:rPr>
      </w:pPr>
      <w:r w:rsidRPr="004220A4">
        <w:rPr>
          <w:sz w:val="24"/>
          <w:u w:val="single"/>
        </w:rPr>
        <w:t>1. Need and Legal Basis</w:t>
      </w:r>
    </w:p>
    <w:p w:rsidR="0058771F" w:rsidP="004220A4" w14:paraId="00000013" w14:textId="77777777">
      <w:pPr>
        <w:rPr>
          <w:sz w:val="24"/>
        </w:rPr>
      </w:pPr>
    </w:p>
    <w:p w:rsidR="0058771F" w:rsidP="004220A4" w14:paraId="00000014" w14:textId="47361511">
      <w:pPr>
        <w:rPr>
          <w:sz w:val="24"/>
        </w:rPr>
      </w:pPr>
      <w:r>
        <w:rPr>
          <w:sz w:val="24"/>
        </w:rPr>
        <w:t xml:space="preserve">The regulatory requirements </w:t>
      </w:r>
      <w:r w:rsidR="006C14F8">
        <w:rPr>
          <w:sz w:val="24"/>
        </w:rPr>
        <w:t>that are set out below under section 12</w:t>
      </w:r>
      <w:r w:rsidR="005D3002">
        <w:rPr>
          <w:sz w:val="24"/>
        </w:rPr>
        <w:t xml:space="preserve">, </w:t>
      </w:r>
      <w:r>
        <w:rPr>
          <w:sz w:val="24"/>
        </w:rPr>
        <w:t>implement</w:t>
      </w:r>
      <w:r w:rsidR="005D3002">
        <w:rPr>
          <w:sz w:val="24"/>
        </w:rPr>
        <w:t>s</w:t>
      </w:r>
      <w:r>
        <w:rPr>
          <w:sz w:val="24"/>
        </w:rPr>
        <w:t xml:space="preserve"> section 1861(aa) of the Social Security Act are intended to protect patient health,</w:t>
      </w:r>
      <w:r w:rsidR="00712F95">
        <w:rPr>
          <w:sz w:val="24"/>
        </w:rPr>
        <w:t xml:space="preserve"> </w:t>
      </w:r>
      <w:r>
        <w:rPr>
          <w:sz w:val="24"/>
        </w:rPr>
        <w:t xml:space="preserve">safety and assure the quality of care provided </w:t>
      </w:r>
      <w:r w:rsidR="00056B05">
        <w:rPr>
          <w:sz w:val="24"/>
        </w:rPr>
        <w:t>by</w:t>
      </w:r>
      <w:r>
        <w:rPr>
          <w:sz w:val="24"/>
        </w:rPr>
        <w:t xml:space="preserve"> Medicare and</w:t>
      </w:r>
      <w:r w:rsidR="00031691">
        <w:rPr>
          <w:sz w:val="24"/>
        </w:rPr>
        <w:t>/or</w:t>
      </w:r>
      <w:r>
        <w:rPr>
          <w:sz w:val="24"/>
        </w:rPr>
        <w:t xml:space="preserve"> Medicaid </w:t>
      </w:r>
      <w:r w:rsidR="00056B05">
        <w:rPr>
          <w:sz w:val="24"/>
        </w:rPr>
        <w:t>participating RHCs and FQHCs</w:t>
      </w:r>
      <w:r w:rsidR="0000077D">
        <w:rPr>
          <w:sz w:val="24"/>
        </w:rPr>
        <w:t xml:space="preserve">. </w:t>
      </w:r>
      <w:r w:rsidR="00436B52">
        <w:rPr>
          <w:sz w:val="24"/>
        </w:rPr>
        <w:t>S</w:t>
      </w:r>
      <w:r w:rsidR="006C14F8">
        <w:rPr>
          <w:sz w:val="24"/>
        </w:rPr>
        <w:t>ection 12’s</w:t>
      </w:r>
      <w:r>
        <w:rPr>
          <w:sz w:val="24"/>
        </w:rPr>
        <w:t xml:space="preserve"> information collection requirements are located at 42 CFR </w:t>
      </w:r>
      <w:r w:rsidR="006C14F8">
        <w:rPr>
          <w:sz w:val="24"/>
        </w:rPr>
        <w:t>p</w:t>
      </w:r>
      <w:r>
        <w:rPr>
          <w:sz w:val="24"/>
        </w:rPr>
        <w:t xml:space="preserve">art 491, </w:t>
      </w:r>
      <w:r w:rsidR="006C14F8">
        <w:rPr>
          <w:sz w:val="24"/>
        </w:rPr>
        <w:t>s</w:t>
      </w:r>
      <w:r>
        <w:rPr>
          <w:sz w:val="24"/>
        </w:rPr>
        <w:t xml:space="preserve">ubpart A. </w:t>
      </w:r>
    </w:p>
    <w:p w:rsidR="0058771F" w:rsidP="004220A4" w14:paraId="00000015" w14:textId="77777777">
      <w:pPr>
        <w:rPr>
          <w:sz w:val="24"/>
        </w:rPr>
      </w:pPr>
    </w:p>
    <w:p w:rsidR="00056B05" w:rsidP="006A58F5" w14:paraId="4C8D34EE" w14:textId="04154DFB">
      <w:pPr>
        <w:rPr>
          <w:sz w:val="24"/>
        </w:rPr>
      </w:pPr>
      <w:r>
        <w:rPr>
          <w:sz w:val="24"/>
        </w:rPr>
        <w:t xml:space="preserve">This request for revision </w:t>
      </w:r>
      <w:r>
        <w:rPr>
          <w:sz w:val="24"/>
        </w:rPr>
        <w:t xml:space="preserve">is to incorporate revisions that were made to the RHC </w:t>
      </w:r>
      <w:r w:rsidR="00031691">
        <w:rPr>
          <w:sz w:val="24"/>
        </w:rPr>
        <w:t>and FQHC CfCs,</w:t>
      </w:r>
      <w:r>
        <w:rPr>
          <w:sz w:val="24"/>
        </w:rPr>
        <w:t xml:space="preserve"> which were made to implement section 4121(b)(1) of t</w:t>
      </w:r>
      <w:r w:rsidRPr="00EE692E">
        <w:rPr>
          <w:sz w:val="24"/>
        </w:rPr>
        <w:t>he Consolidated Appropriations Act (CAA) of 2023 (Pub. L. 117-328</w:t>
      </w:r>
      <w:r>
        <w:rPr>
          <w:sz w:val="24"/>
        </w:rPr>
        <w:t>, December 29, 2022</w:t>
      </w:r>
      <w:r w:rsidRPr="00EE692E">
        <w:rPr>
          <w:sz w:val="24"/>
        </w:rPr>
        <w:t>)</w:t>
      </w:r>
      <w:r>
        <w:rPr>
          <w:sz w:val="24"/>
        </w:rPr>
        <w:t>. In this legislation, Congress established Medicare payment for the services furnished by MFTs and MHCs in RHCs and FQHCs. Therefore, if an RHC or FQHC furnishes services rendered by MFTs and MHCs, they must update their patient care policies to reflect the services offered.</w:t>
      </w:r>
    </w:p>
    <w:p w:rsidR="00E24067" w:rsidP="004220A4" w14:paraId="740232C3" w14:textId="77777777">
      <w:pPr>
        <w:rPr>
          <w:sz w:val="24"/>
        </w:rPr>
      </w:pPr>
    </w:p>
    <w:p w:rsidR="0058771F" w:rsidP="004220A4" w14:paraId="00000017" w14:textId="62F18659">
      <w:pPr>
        <w:rPr>
          <w:sz w:val="24"/>
        </w:rPr>
      </w:pPr>
      <w:r w:rsidRPr="0052799F">
        <w:rPr>
          <w:sz w:val="24"/>
        </w:rPr>
        <w:t xml:space="preserve">Health care industry organizations establish standards that health care professionals use to measure their performance and the health care provided in </w:t>
      </w:r>
      <w:r w:rsidR="00031691">
        <w:rPr>
          <w:sz w:val="24"/>
        </w:rPr>
        <w:t>RHCs and FQHCs</w:t>
      </w:r>
      <w:r w:rsidRPr="0052799F" w:rsidR="0000077D">
        <w:rPr>
          <w:sz w:val="24"/>
        </w:rPr>
        <w:t>.</w:t>
      </w:r>
      <w:r w:rsidR="00031691">
        <w:rPr>
          <w:sz w:val="24"/>
        </w:rPr>
        <w:t xml:space="preserve"> </w:t>
      </w:r>
      <w:r w:rsidRPr="006A58F5">
        <w:rPr>
          <w:sz w:val="24"/>
        </w:rPr>
        <w:t>The information requirements contained within the</w:t>
      </w:r>
      <w:r w:rsidRPr="006A58F5" w:rsidR="005B4D61">
        <w:rPr>
          <w:sz w:val="24"/>
        </w:rPr>
        <w:t xml:space="preserve"> applicable sections of </w:t>
      </w:r>
      <w:r w:rsidR="00031691">
        <w:rPr>
          <w:sz w:val="24"/>
        </w:rPr>
        <w:t>the CfC</w:t>
      </w:r>
      <w:r w:rsidR="00023BA2">
        <w:rPr>
          <w:sz w:val="24"/>
        </w:rPr>
        <w:t>s</w:t>
      </w:r>
      <w:r w:rsidR="00031691">
        <w:rPr>
          <w:sz w:val="24"/>
        </w:rPr>
        <w:t xml:space="preserve"> </w:t>
      </w:r>
      <w:r w:rsidRPr="0052799F">
        <w:rPr>
          <w:sz w:val="24"/>
        </w:rPr>
        <w:t>are comparable to such industry standards and are necessary safeguards against potential overpayments and poor health care procedures, which may occur when standards are insufficient.</w:t>
      </w:r>
    </w:p>
    <w:p w:rsidR="0058771F" w:rsidP="004220A4" w14:paraId="00000018" w14:textId="77777777">
      <w:pPr>
        <w:rPr>
          <w:sz w:val="24"/>
        </w:rPr>
      </w:pPr>
    </w:p>
    <w:p w:rsidR="0058771F" w:rsidRPr="004220A4" w:rsidP="004220A4" w14:paraId="0000001D" w14:textId="0B230BA5">
      <w:pPr>
        <w:rPr>
          <w:sz w:val="24"/>
          <w:u w:val="single"/>
        </w:rPr>
      </w:pPr>
      <w:r w:rsidRPr="005E5BC6">
        <w:rPr>
          <w:sz w:val="24"/>
          <w:u w:val="single"/>
        </w:rPr>
        <w:t>2. Information Users</w:t>
      </w:r>
    </w:p>
    <w:p w:rsidR="0058771F" w:rsidP="004220A4" w14:paraId="0000001E" w14:textId="77777777">
      <w:pPr>
        <w:rPr>
          <w:sz w:val="24"/>
        </w:rPr>
      </w:pPr>
    </w:p>
    <w:p w:rsidR="000B28BB" w:rsidP="004220A4" w14:paraId="6CE5CA0F" w14:textId="77777777">
      <w:pPr>
        <w:rPr>
          <w:sz w:val="24"/>
        </w:rPr>
      </w:pPr>
      <w:r>
        <w:rPr>
          <w:sz w:val="24"/>
          <w:u w:val="single"/>
        </w:rPr>
        <w:t xml:space="preserve">For </w:t>
      </w:r>
      <w:r w:rsidR="00790B16">
        <w:rPr>
          <w:sz w:val="24"/>
          <w:u w:val="single"/>
        </w:rPr>
        <w:t xml:space="preserve">§ </w:t>
      </w:r>
      <w:r>
        <w:rPr>
          <w:sz w:val="24"/>
          <w:u w:val="single"/>
        </w:rPr>
        <w:t>491.9(b) - Provision of services, Patient care policies,</w:t>
      </w:r>
      <w:r>
        <w:rPr>
          <w:sz w:val="24"/>
        </w:rPr>
        <w:t xml:space="preserve"> the information users are the RHCs or FQHCs themselves, patients</w:t>
      </w:r>
      <w:r w:rsidR="00E76206">
        <w:rPr>
          <w:sz w:val="24"/>
        </w:rPr>
        <w:t>,</w:t>
      </w:r>
      <w:r>
        <w:rPr>
          <w:sz w:val="24"/>
        </w:rPr>
        <w:t xml:space="preserve"> and state agencies or national accreditation organizations</w:t>
      </w:r>
      <w:r w:rsidR="0000077D">
        <w:rPr>
          <w:sz w:val="24"/>
        </w:rPr>
        <w:t xml:space="preserve">. </w:t>
      </w:r>
      <w:r>
        <w:rPr>
          <w:sz w:val="24"/>
        </w:rPr>
        <w:t xml:space="preserve">Patients may request policies or services offered directly from the RHC or FQHC. In addition, the state agency or accrediting organization may utilize these requirements as evidence of compliance </w:t>
      </w:r>
      <w:r w:rsidR="00E76206">
        <w:rPr>
          <w:sz w:val="24"/>
        </w:rPr>
        <w:t xml:space="preserve">with </w:t>
      </w:r>
      <w:r>
        <w:rPr>
          <w:sz w:val="24"/>
        </w:rPr>
        <w:t xml:space="preserve">Medicare or Medicaid certification requirements. CMS does not collect the clinic’s or center’s written policies under this section; </w:t>
      </w:r>
      <w:r w:rsidR="0000077D">
        <w:rPr>
          <w:sz w:val="24"/>
        </w:rPr>
        <w:t>instead,</w:t>
      </w:r>
      <w:r>
        <w:rPr>
          <w:sz w:val="24"/>
        </w:rPr>
        <w:t xml:space="preserve"> a clinic or center maintains the information</w:t>
      </w:r>
      <w:r w:rsidR="00AC4A68">
        <w:rPr>
          <w:sz w:val="24"/>
        </w:rPr>
        <w:t xml:space="preserve">. </w:t>
      </w:r>
    </w:p>
    <w:p w:rsidR="0016674A" w:rsidP="004220A4" w14:paraId="79F245B6" w14:textId="2EBF3CD2">
      <w:pPr>
        <w:rPr>
          <w:sz w:val="24"/>
        </w:rPr>
      </w:pPr>
    </w:p>
    <w:p w:rsidR="00310C98" w:rsidP="004220A4" w14:paraId="745C72B0" w14:textId="5E875B2D">
      <w:pPr>
        <w:rPr>
          <w:sz w:val="24"/>
        </w:rPr>
      </w:pPr>
      <w:r>
        <w:rPr>
          <w:sz w:val="24"/>
        </w:rPr>
        <w:t xml:space="preserve">The types of information collected and analyzed by the </w:t>
      </w:r>
      <w:r w:rsidR="00CB1D76">
        <w:rPr>
          <w:sz w:val="24"/>
        </w:rPr>
        <w:t>RHCs</w:t>
      </w:r>
      <w:r>
        <w:rPr>
          <w:sz w:val="24"/>
        </w:rPr>
        <w:t xml:space="preserve"> include</w:t>
      </w:r>
      <w:r w:rsidR="00F77274">
        <w:rPr>
          <w:sz w:val="24"/>
        </w:rPr>
        <w:t xml:space="preserve"> administrative data, staff data, and</w:t>
      </w:r>
      <w:r>
        <w:rPr>
          <w:sz w:val="24"/>
        </w:rPr>
        <w:t xml:space="preserve"> patient data</w:t>
      </w:r>
      <w:r w:rsidR="00F77274">
        <w:rPr>
          <w:sz w:val="24"/>
        </w:rPr>
        <w:t>.</w:t>
      </w:r>
      <w:r>
        <w:rPr>
          <w:sz w:val="24"/>
        </w:rPr>
        <w:t xml:space="preserve"> </w:t>
      </w:r>
    </w:p>
    <w:p w:rsidR="00310C98" w:rsidP="004220A4" w14:paraId="5335981F" w14:textId="77777777">
      <w:pPr>
        <w:rPr>
          <w:sz w:val="24"/>
        </w:rPr>
      </w:pPr>
    </w:p>
    <w:p w:rsidR="00310C98" w:rsidP="00310C98" w14:paraId="38A9BEB5" w14:textId="5E2A9138">
      <w:pPr>
        <w:rPr>
          <w:sz w:val="24"/>
        </w:rPr>
      </w:pPr>
      <w:r>
        <w:rPr>
          <w:sz w:val="24"/>
        </w:rPr>
        <w:t xml:space="preserve">RHCs </w:t>
      </w:r>
      <w:r w:rsidR="00277ED1">
        <w:rPr>
          <w:sz w:val="24"/>
        </w:rPr>
        <w:t xml:space="preserve">and FQHCs </w:t>
      </w:r>
      <w:r>
        <w:rPr>
          <w:sz w:val="24"/>
        </w:rPr>
        <w:t>apply to enroll in Medicare (</w:t>
      </w:r>
      <w:r w:rsidRPr="0016674A">
        <w:rPr>
          <w:sz w:val="24"/>
        </w:rPr>
        <w:t>Form CMS-855A</w:t>
      </w:r>
      <w:r>
        <w:rPr>
          <w:sz w:val="24"/>
        </w:rPr>
        <w:t>, OMB No.</w:t>
      </w:r>
      <w:r w:rsidRPr="00310C98">
        <w:rPr>
          <w:sz w:val="24"/>
        </w:rPr>
        <w:t xml:space="preserve"> 0938-0685</w:t>
      </w:r>
      <w:r>
        <w:rPr>
          <w:sz w:val="24"/>
        </w:rPr>
        <w:t>)</w:t>
      </w:r>
      <w:r w:rsidR="00541031">
        <w:rPr>
          <w:sz w:val="24"/>
        </w:rPr>
        <w:t>.</w:t>
      </w:r>
      <w:r>
        <w:rPr>
          <w:sz w:val="24"/>
        </w:rPr>
        <w:t xml:space="preserve"> </w:t>
      </w:r>
      <w:r w:rsidR="00541031">
        <w:rPr>
          <w:sz w:val="24"/>
        </w:rPr>
        <w:t>O</w:t>
      </w:r>
      <w:r>
        <w:rPr>
          <w:sz w:val="24"/>
        </w:rPr>
        <w:t>nce the Medicare Administrative Contractor (MAC) has completed its review of Form CMS-855A, the state agency or accrediting organization may conduct a</w:t>
      </w:r>
      <w:r w:rsidR="00541031">
        <w:rPr>
          <w:sz w:val="24"/>
        </w:rPr>
        <w:t>n initial</w:t>
      </w:r>
      <w:r>
        <w:rPr>
          <w:sz w:val="24"/>
        </w:rPr>
        <w:t xml:space="preserve"> survey</w:t>
      </w:r>
      <w:r w:rsidR="00541031">
        <w:rPr>
          <w:sz w:val="24"/>
        </w:rPr>
        <w:t xml:space="preserve"> for RHCs.</w:t>
      </w:r>
      <w:r>
        <w:rPr>
          <w:sz w:val="24"/>
        </w:rPr>
        <w:t xml:space="preserve"> This form collects administration data</w:t>
      </w:r>
      <w:r w:rsidR="009874A5">
        <w:rPr>
          <w:sz w:val="24"/>
        </w:rPr>
        <w:t xml:space="preserve"> such as</w:t>
      </w:r>
      <w:r>
        <w:rPr>
          <w:sz w:val="24"/>
        </w:rPr>
        <w:t xml:space="preserve"> facility state license data</w:t>
      </w:r>
      <w:r w:rsidR="009874A5">
        <w:rPr>
          <w:sz w:val="24"/>
        </w:rPr>
        <w:t xml:space="preserve"> and </w:t>
      </w:r>
      <w:r>
        <w:rPr>
          <w:sz w:val="24"/>
        </w:rPr>
        <w:t>ownership information</w:t>
      </w:r>
      <w:r w:rsidR="00CB1D76">
        <w:rPr>
          <w:sz w:val="24"/>
        </w:rPr>
        <w:t>.</w:t>
      </w:r>
      <w:r w:rsidR="00541031">
        <w:rPr>
          <w:sz w:val="24"/>
        </w:rPr>
        <w:t xml:space="preserve"> </w:t>
      </w:r>
      <w:r w:rsidRPr="00CB1D76" w:rsidR="00541031">
        <w:rPr>
          <w:sz w:val="24"/>
        </w:rPr>
        <w:t>FQHCs self</w:t>
      </w:r>
      <w:r w:rsidR="00541031">
        <w:rPr>
          <w:sz w:val="24"/>
        </w:rPr>
        <w:t>-</w:t>
      </w:r>
      <w:r w:rsidRPr="00CB1D76" w:rsidR="00541031">
        <w:rPr>
          <w:sz w:val="24"/>
        </w:rPr>
        <w:t xml:space="preserve">attest to their compliance with Medicare </w:t>
      </w:r>
      <w:r w:rsidR="00541031">
        <w:rPr>
          <w:sz w:val="24"/>
        </w:rPr>
        <w:t xml:space="preserve">CfCs </w:t>
      </w:r>
      <w:r w:rsidRPr="00CB1D76" w:rsidR="00541031">
        <w:rPr>
          <w:sz w:val="24"/>
        </w:rPr>
        <w:t>and are only surveyed by CMS in connection with complaint investigations.</w:t>
      </w:r>
      <w:r w:rsidR="00541031">
        <w:rPr>
          <w:sz w:val="24"/>
        </w:rPr>
        <w:t xml:space="preserve"> In the event of an FQHC complaint survey, surveyors would use the following patient, staff, and facility administration data to assess for a deficiency </w:t>
      </w:r>
      <w:r w:rsidR="00541031">
        <w:rPr>
          <w:sz w:val="24"/>
        </w:rPr>
        <w:t>with § 491.9(b).</w:t>
      </w:r>
    </w:p>
    <w:p w:rsidR="00310C98" w:rsidP="004220A4" w14:paraId="44E5F40C" w14:textId="77777777">
      <w:pPr>
        <w:rPr>
          <w:sz w:val="24"/>
        </w:rPr>
      </w:pPr>
    </w:p>
    <w:p w:rsidR="00277ED1" w:rsidP="004220A4" w14:paraId="7F65F9C1" w14:textId="5A72152B">
      <w:pPr>
        <w:rPr>
          <w:sz w:val="24"/>
        </w:rPr>
      </w:pPr>
      <w:r>
        <w:rPr>
          <w:sz w:val="24"/>
        </w:rPr>
        <w:t>Additionally, t</w:t>
      </w:r>
      <w:r w:rsidRPr="00F90B4F" w:rsidR="00F90B4F">
        <w:rPr>
          <w:sz w:val="24"/>
        </w:rPr>
        <w:t>he completion of the CMS-29 form</w:t>
      </w:r>
      <w:r w:rsidR="00F90B4F">
        <w:rPr>
          <w:sz w:val="24"/>
        </w:rPr>
        <w:t xml:space="preserve"> (OMB No: 0938-0074)</w:t>
      </w:r>
      <w:r w:rsidRPr="00F90B4F" w:rsidR="00F90B4F">
        <w:rPr>
          <w:sz w:val="24"/>
        </w:rPr>
        <w:t xml:space="preserve"> is required when a</w:t>
      </w:r>
      <w:r w:rsidR="00F77274">
        <w:rPr>
          <w:sz w:val="24"/>
        </w:rPr>
        <w:t>n</w:t>
      </w:r>
      <w:r w:rsidRPr="00F90B4F" w:rsidR="00F90B4F">
        <w:rPr>
          <w:sz w:val="24"/>
        </w:rPr>
        <w:t xml:space="preserve"> RHC seeks participation in the Medicare program and also when the </w:t>
      </w:r>
      <w:r w:rsidR="00F90B4F">
        <w:rPr>
          <w:sz w:val="24"/>
        </w:rPr>
        <w:t>state agency</w:t>
      </w:r>
      <w:r w:rsidRPr="00F90B4F" w:rsidR="00F90B4F">
        <w:rPr>
          <w:sz w:val="24"/>
        </w:rPr>
        <w:t xml:space="preserve"> performs a survey of the RHC</w:t>
      </w:r>
      <w:r w:rsidR="00F90B4F">
        <w:rPr>
          <w:sz w:val="24"/>
        </w:rPr>
        <w:t xml:space="preserve">. RHCs must submit </w:t>
      </w:r>
      <w:r w:rsidRPr="00241259" w:rsidR="00241259">
        <w:rPr>
          <w:sz w:val="24"/>
        </w:rPr>
        <w:t>Form CMS-29</w:t>
      </w:r>
      <w:r w:rsidR="00DD57CC">
        <w:rPr>
          <w:sz w:val="24"/>
        </w:rPr>
        <w:t xml:space="preserve"> </w:t>
      </w:r>
      <w:r w:rsidRPr="00241259" w:rsidR="00241259">
        <w:rPr>
          <w:sz w:val="24"/>
        </w:rPr>
        <w:t xml:space="preserve">Verification of Clinic Data – Rural Health Clinic Program, as part of its application for certification. Facilities </w:t>
      </w:r>
      <w:r w:rsidR="00F90B4F">
        <w:rPr>
          <w:sz w:val="24"/>
        </w:rPr>
        <w:t xml:space="preserve">must </w:t>
      </w:r>
      <w:r w:rsidRPr="00241259" w:rsidR="00241259">
        <w:rPr>
          <w:sz w:val="24"/>
        </w:rPr>
        <w:t>provide basic information related to their location and staffing on this document.</w:t>
      </w:r>
      <w:r w:rsidR="00CB1D76">
        <w:rPr>
          <w:sz w:val="24"/>
        </w:rPr>
        <w:t xml:space="preserve"> </w:t>
      </w:r>
    </w:p>
    <w:p w:rsidR="00DD57CC" w:rsidP="00DD57CC" w14:paraId="3CDB841F" w14:textId="77777777">
      <w:pPr>
        <w:rPr>
          <w:sz w:val="24"/>
        </w:rPr>
      </w:pPr>
    </w:p>
    <w:p w:rsidR="00DD57CC" w:rsidP="00DD57CC" w14:paraId="4C6862B1" w14:textId="0DC6C0BB">
      <w:pPr>
        <w:rPr>
          <w:sz w:val="24"/>
        </w:rPr>
      </w:pPr>
      <w:r w:rsidRPr="00E754DE">
        <w:rPr>
          <w:sz w:val="24"/>
        </w:rPr>
        <w:t xml:space="preserve">To determine compliance with </w:t>
      </w:r>
      <w:r w:rsidR="00C65D31">
        <w:rPr>
          <w:sz w:val="24"/>
        </w:rPr>
        <w:t>§ 491.9</w:t>
      </w:r>
      <w:r w:rsidRPr="00E754DE">
        <w:rPr>
          <w:sz w:val="24"/>
        </w:rPr>
        <w:t xml:space="preserve">, during the survey process conducted by state agencies or national accrediting organizations, surveyors may request </w:t>
      </w:r>
      <w:r>
        <w:rPr>
          <w:sz w:val="24"/>
        </w:rPr>
        <w:t>the following</w:t>
      </w:r>
      <w:r w:rsidR="00201942">
        <w:rPr>
          <w:sz w:val="24"/>
        </w:rPr>
        <w:t xml:space="preserve"> but not limited to</w:t>
      </w:r>
      <w:r>
        <w:rPr>
          <w:sz w:val="24"/>
        </w:rPr>
        <w:t xml:space="preserve"> administrative data: meeting minutes or documentation of the biennial policy review, </w:t>
      </w:r>
      <w:r w:rsidRPr="00E754DE">
        <w:rPr>
          <w:sz w:val="24"/>
        </w:rPr>
        <w:t xml:space="preserve">a copy of </w:t>
      </w:r>
      <w:r>
        <w:rPr>
          <w:sz w:val="24"/>
        </w:rPr>
        <w:t>the facilities</w:t>
      </w:r>
      <w:r w:rsidRPr="00E754DE">
        <w:rPr>
          <w:sz w:val="24"/>
        </w:rPr>
        <w:t xml:space="preserve"> description of services and medical management policies to determine if it is consistent with the services advertised</w:t>
      </w:r>
      <w:r>
        <w:rPr>
          <w:sz w:val="24"/>
        </w:rPr>
        <w:t>, review of inventory records for drugs and biologicals.</w:t>
      </w:r>
      <w:r w:rsidR="009874A5">
        <w:rPr>
          <w:sz w:val="24"/>
        </w:rPr>
        <w:t xml:space="preserve"> </w:t>
      </w:r>
      <w:r w:rsidRPr="009874A5" w:rsidR="009874A5">
        <w:rPr>
          <w:sz w:val="24"/>
        </w:rPr>
        <w:t xml:space="preserve">For </w:t>
      </w:r>
      <w:r w:rsidR="009874A5">
        <w:rPr>
          <w:sz w:val="24"/>
        </w:rPr>
        <w:t xml:space="preserve">a </w:t>
      </w:r>
      <w:r w:rsidRPr="009874A5" w:rsidR="009874A5">
        <w:rPr>
          <w:sz w:val="24"/>
        </w:rPr>
        <w:t>full list of administration data assessed see</w:t>
      </w:r>
      <w:r>
        <w:rPr>
          <w:sz w:val="24"/>
        </w:rPr>
        <w:t xml:space="preserve"> </w:t>
      </w:r>
      <w:r w:rsidR="009874A5">
        <w:rPr>
          <w:sz w:val="24"/>
        </w:rPr>
        <w:t>the State Operations Manual Appendix G – Guidance for Surveyors: Rural Health Clinics.</w:t>
      </w:r>
      <w:bookmarkStart w:id="0" w:name="_Ref174374578"/>
      <w:r>
        <w:rPr>
          <w:rStyle w:val="FootnoteReference"/>
          <w:sz w:val="24"/>
          <w:vertAlign w:val="superscript"/>
        </w:rPr>
        <w:footnoteReference w:id="4"/>
      </w:r>
      <w:bookmarkEnd w:id="0"/>
    </w:p>
    <w:p w:rsidR="003E41F8" w:rsidP="004220A4" w14:paraId="32D61D65" w14:textId="77777777">
      <w:pPr>
        <w:rPr>
          <w:sz w:val="24"/>
        </w:rPr>
      </w:pPr>
    </w:p>
    <w:p w:rsidR="003E41F8" w:rsidP="004220A4" w14:paraId="33592F41" w14:textId="74966CAC">
      <w:pPr>
        <w:rPr>
          <w:sz w:val="24"/>
        </w:rPr>
      </w:pPr>
      <w:r>
        <w:rPr>
          <w:sz w:val="24"/>
        </w:rPr>
        <w:t>Staff data includes but is not limited to</w:t>
      </w:r>
      <w:r w:rsidR="009874A5">
        <w:rPr>
          <w:sz w:val="24"/>
        </w:rPr>
        <w:t xml:space="preserve"> staff names, personnel files, and staff state licensing data. </w:t>
      </w:r>
      <w:r w:rsidRPr="009874A5" w:rsidR="009874A5">
        <w:rPr>
          <w:sz w:val="24"/>
        </w:rPr>
        <w:t xml:space="preserve">For </w:t>
      </w:r>
      <w:r w:rsidR="009874A5">
        <w:rPr>
          <w:sz w:val="24"/>
        </w:rPr>
        <w:t xml:space="preserve">a </w:t>
      </w:r>
      <w:r w:rsidRPr="009874A5" w:rsidR="009874A5">
        <w:rPr>
          <w:sz w:val="24"/>
        </w:rPr>
        <w:t xml:space="preserve">full list of </w:t>
      </w:r>
      <w:r w:rsidR="009874A5">
        <w:rPr>
          <w:sz w:val="24"/>
        </w:rPr>
        <w:t>staff</w:t>
      </w:r>
      <w:r w:rsidRPr="009874A5" w:rsidR="009874A5">
        <w:rPr>
          <w:sz w:val="24"/>
        </w:rPr>
        <w:t xml:space="preserve"> data assessed see</w:t>
      </w:r>
      <w:r w:rsidR="009874A5">
        <w:rPr>
          <w:sz w:val="24"/>
        </w:rPr>
        <w:t xml:space="preserve"> the State Operations Manual Appendix G – Guidance for Surveyors: Rural Health Clinics.</w:t>
      </w:r>
      <w:r w:rsidRPr="00F77274" w:rsidR="00CB1D76">
        <w:rPr>
          <w:sz w:val="24"/>
          <w:vertAlign w:val="superscript"/>
        </w:rPr>
        <w:fldChar w:fldCharType="begin"/>
      </w:r>
      <w:r w:rsidRPr="00F77274" w:rsidR="00CB1D76">
        <w:rPr>
          <w:sz w:val="24"/>
          <w:vertAlign w:val="superscript"/>
        </w:rPr>
        <w:instrText xml:space="preserve"> NOTEREF _Ref174374578 \h </w:instrText>
      </w:r>
      <w:r w:rsidR="00CB1D76">
        <w:rPr>
          <w:sz w:val="24"/>
          <w:vertAlign w:val="superscript"/>
        </w:rPr>
        <w:instrText xml:space="preserve"> \* MERGEFORMAT </w:instrText>
      </w:r>
      <w:r w:rsidRPr="00F77274" w:rsidR="00CB1D76">
        <w:rPr>
          <w:sz w:val="24"/>
          <w:vertAlign w:val="superscript"/>
        </w:rPr>
        <w:fldChar w:fldCharType="separate"/>
      </w:r>
      <w:r w:rsidRPr="00F77274" w:rsidR="00CB1D76">
        <w:rPr>
          <w:sz w:val="24"/>
          <w:vertAlign w:val="superscript"/>
        </w:rPr>
        <w:t>2</w:t>
      </w:r>
      <w:r w:rsidRPr="00F77274" w:rsidR="00CB1D76">
        <w:rPr>
          <w:sz w:val="24"/>
          <w:vertAlign w:val="superscript"/>
        </w:rPr>
        <w:fldChar w:fldCharType="end"/>
      </w:r>
    </w:p>
    <w:p w:rsidR="009874A5" w:rsidP="004220A4" w14:paraId="546A547C" w14:textId="77777777">
      <w:pPr>
        <w:rPr>
          <w:sz w:val="24"/>
        </w:rPr>
      </w:pPr>
    </w:p>
    <w:p w:rsidR="00DD57CC" w:rsidP="004220A4" w14:paraId="2DCB91D8" w14:textId="071026E6">
      <w:pPr>
        <w:rPr>
          <w:sz w:val="24"/>
        </w:rPr>
      </w:pPr>
      <w:r>
        <w:rPr>
          <w:sz w:val="24"/>
        </w:rPr>
        <w:t>Patient data: clinical records</w:t>
      </w:r>
      <w:r w:rsidR="009874A5">
        <w:rPr>
          <w:sz w:val="24"/>
        </w:rPr>
        <w:t xml:space="preserve"> and</w:t>
      </w:r>
      <w:r>
        <w:rPr>
          <w:sz w:val="24"/>
        </w:rPr>
        <w:t xml:space="preserve"> </w:t>
      </w:r>
      <w:r w:rsidR="00310C98">
        <w:rPr>
          <w:sz w:val="24"/>
        </w:rPr>
        <w:t xml:space="preserve">patient </w:t>
      </w:r>
      <w:r w:rsidR="009874A5">
        <w:rPr>
          <w:sz w:val="24"/>
        </w:rPr>
        <w:t>appointment data</w:t>
      </w:r>
      <w:r w:rsidR="00CB1D76">
        <w:rPr>
          <w:sz w:val="24"/>
        </w:rPr>
        <w:t>.</w:t>
      </w:r>
      <w:r w:rsidR="009874A5">
        <w:rPr>
          <w:sz w:val="24"/>
        </w:rPr>
        <w:t xml:space="preserve"> </w:t>
      </w:r>
      <w:r w:rsidRPr="009874A5" w:rsidR="009874A5">
        <w:rPr>
          <w:sz w:val="24"/>
        </w:rPr>
        <w:t xml:space="preserve">For </w:t>
      </w:r>
      <w:r w:rsidR="009874A5">
        <w:rPr>
          <w:sz w:val="24"/>
        </w:rPr>
        <w:t xml:space="preserve">a </w:t>
      </w:r>
      <w:r w:rsidRPr="009874A5" w:rsidR="009874A5">
        <w:rPr>
          <w:sz w:val="24"/>
        </w:rPr>
        <w:t xml:space="preserve">full list of </w:t>
      </w:r>
      <w:r w:rsidR="009874A5">
        <w:rPr>
          <w:sz w:val="24"/>
        </w:rPr>
        <w:t>patient</w:t>
      </w:r>
      <w:r w:rsidRPr="009874A5" w:rsidR="009874A5">
        <w:rPr>
          <w:sz w:val="24"/>
        </w:rPr>
        <w:t xml:space="preserve"> data assessed see</w:t>
      </w:r>
      <w:r w:rsidR="009874A5">
        <w:rPr>
          <w:sz w:val="24"/>
        </w:rPr>
        <w:t xml:space="preserve"> the State Operations Manual Appendix G – Guidance for Surveyors: Rural Health Clinics.</w:t>
      </w:r>
      <w:r w:rsidRPr="00F77274" w:rsidR="00CB1D76">
        <w:rPr>
          <w:sz w:val="24"/>
          <w:vertAlign w:val="superscript"/>
        </w:rPr>
        <w:fldChar w:fldCharType="begin"/>
      </w:r>
      <w:r w:rsidRPr="00F77274" w:rsidR="00CB1D76">
        <w:rPr>
          <w:sz w:val="24"/>
          <w:vertAlign w:val="superscript"/>
        </w:rPr>
        <w:instrText xml:space="preserve"> NOTEREF _Ref174374578 \h </w:instrText>
      </w:r>
      <w:r w:rsidR="00CB1D76">
        <w:rPr>
          <w:sz w:val="24"/>
          <w:vertAlign w:val="superscript"/>
        </w:rPr>
        <w:instrText xml:space="preserve"> \* MERGEFORMAT </w:instrText>
      </w:r>
      <w:r w:rsidRPr="00F77274" w:rsidR="00CB1D76">
        <w:rPr>
          <w:sz w:val="24"/>
          <w:vertAlign w:val="superscript"/>
        </w:rPr>
        <w:fldChar w:fldCharType="separate"/>
      </w:r>
      <w:r w:rsidRPr="00F77274" w:rsidR="00CB1D76">
        <w:rPr>
          <w:sz w:val="24"/>
          <w:vertAlign w:val="superscript"/>
        </w:rPr>
        <w:t>2</w:t>
      </w:r>
      <w:r w:rsidRPr="00F77274" w:rsidR="00CB1D76">
        <w:rPr>
          <w:sz w:val="24"/>
          <w:vertAlign w:val="superscript"/>
        </w:rPr>
        <w:fldChar w:fldCharType="end"/>
      </w:r>
    </w:p>
    <w:p w:rsidR="0016674A" w:rsidP="004220A4" w14:paraId="67574E67" w14:textId="77777777">
      <w:pPr>
        <w:rPr>
          <w:sz w:val="24"/>
        </w:rPr>
      </w:pPr>
    </w:p>
    <w:p w:rsidR="0058771F" w:rsidP="004220A4" w14:paraId="00000021" w14:textId="1333043E">
      <w:pPr>
        <w:rPr>
          <w:sz w:val="24"/>
        </w:rPr>
      </w:pPr>
      <w:r w:rsidRPr="00D53CA0">
        <w:rPr>
          <w:sz w:val="24"/>
          <w:u w:val="single"/>
        </w:rPr>
        <w:t xml:space="preserve">For </w:t>
      </w:r>
      <w:r w:rsidRPr="00D53CA0" w:rsidR="00790B16">
        <w:rPr>
          <w:sz w:val="24"/>
          <w:u w:val="single"/>
        </w:rPr>
        <w:t xml:space="preserve">§ </w:t>
      </w:r>
      <w:r w:rsidRPr="00D53CA0">
        <w:rPr>
          <w:sz w:val="24"/>
          <w:u w:val="single"/>
        </w:rPr>
        <w:t>491.11 - Program Evaluation</w:t>
      </w:r>
      <w:r w:rsidRPr="00D53CA0">
        <w:rPr>
          <w:sz w:val="24"/>
        </w:rPr>
        <w:t xml:space="preserve">, the information users are the RHCs or FQHCs themselves and state agencies or national accreditation organizations. </w:t>
      </w:r>
      <w:r w:rsidRPr="006A58F5">
        <w:rPr>
          <w:sz w:val="24"/>
        </w:rPr>
        <w:t>The clinic or center uses the evaluation findings to measure its performance and make corrections based on the findings.</w:t>
      </w:r>
      <w:r w:rsidRPr="00D53CA0">
        <w:rPr>
          <w:sz w:val="24"/>
        </w:rPr>
        <w:t xml:space="preserve"> In addition, the state agency or accrediting organization may utilize these requirements as evidence of compliance </w:t>
      </w:r>
      <w:r w:rsidR="007D5945">
        <w:rPr>
          <w:sz w:val="24"/>
        </w:rPr>
        <w:t>with</w:t>
      </w:r>
      <w:r w:rsidRPr="00D53CA0" w:rsidR="007D5945">
        <w:rPr>
          <w:sz w:val="24"/>
        </w:rPr>
        <w:t xml:space="preserve"> </w:t>
      </w:r>
      <w:r w:rsidRPr="00D53CA0">
        <w:rPr>
          <w:sz w:val="24"/>
        </w:rPr>
        <w:t>Me</w:t>
      </w:r>
      <w:r>
        <w:rPr>
          <w:sz w:val="24"/>
        </w:rPr>
        <w:t>dicare</w:t>
      </w:r>
      <w:r w:rsidR="00712F95">
        <w:rPr>
          <w:sz w:val="24"/>
        </w:rPr>
        <w:t xml:space="preserve"> </w:t>
      </w:r>
      <w:r w:rsidR="003F4802">
        <w:rPr>
          <w:sz w:val="24"/>
        </w:rPr>
        <w:t>or</w:t>
      </w:r>
      <w:r w:rsidR="00712F95">
        <w:rPr>
          <w:sz w:val="24"/>
        </w:rPr>
        <w:t xml:space="preserve"> Medicaid </w:t>
      </w:r>
      <w:r>
        <w:rPr>
          <w:sz w:val="24"/>
        </w:rPr>
        <w:t>certification requirements.</w:t>
      </w:r>
      <w:r w:rsidR="00712F95">
        <w:rPr>
          <w:sz w:val="24"/>
        </w:rPr>
        <w:t xml:space="preserve"> </w:t>
      </w:r>
      <w:r>
        <w:rPr>
          <w:sz w:val="24"/>
        </w:rPr>
        <w:t xml:space="preserve">CMS does not collect the clinic’s or center’s evaluation program or findings, but they are maintained </w:t>
      </w:r>
      <w:r w:rsidR="00712F95">
        <w:rPr>
          <w:sz w:val="24"/>
        </w:rPr>
        <w:t>by the clinics or centers</w:t>
      </w:r>
      <w:r w:rsidR="00845E8E">
        <w:rPr>
          <w:sz w:val="24"/>
        </w:rPr>
        <w:t>.</w:t>
      </w:r>
      <w:r w:rsidRPr="001556E5" w:rsidR="001556E5">
        <w:rPr>
          <w:sz w:val="24"/>
        </w:rPr>
        <w:t xml:space="preserve"> The ICRs specified in the regulations may be used as a basis for determining whether </w:t>
      </w:r>
      <w:r w:rsidR="001556E5">
        <w:rPr>
          <w:sz w:val="24"/>
        </w:rPr>
        <w:t>an RHC or FQHC</w:t>
      </w:r>
      <w:r w:rsidRPr="001556E5" w:rsidR="001556E5">
        <w:rPr>
          <w:sz w:val="24"/>
        </w:rPr>
        <w:t xml:space="preserve"> is meeting the requirements to participate in the Medicare program</w:t>
      </w:r>
      <w:r w:rsidR="0073788D">
        <w:rPr>
          <w:sz w:val="24"/>
        </w:rPr>
        <w:t>.</w:t>
      </w:r>
    </w:p>
    <w:p w:rsidR="00D273D2" w:rsidP="004220A4" w14:paraId="653F9D38" w14:textId="77777777">
      <w:pPr>
        <w:rPr>
          <w:sz w:val="24"/>
        </w:rPr>
      </w:pPr>
    </w:p>
    <w:p w:rsidR="00F77274" w:rsidP="00F77274" w14:paraId="08F06A27" w14:textId="31A33B66">
      <w:pPr>
        <w:rPr>
          <w:sz w:val="24"/>
        </w:rPr>
      </w:pPr>
      <w:r w:rsidRPr="00CB1D76">
        <w:rPr>
          <w:sz w:val="24"/>
        </w:rPr>
        <w:t>FQHCs self</w:t>
      </w:r>
      <w:r>
        <w:rPr>
          <w:sz w:val="24"/>
        </w:rPr>
        <w:t>-</w:t>
      </w:r>
      <w:r w:rsidRPr="00CB1D76">
        <w:rPr>
          <w:sz w:val="24"/>
        </w:rPr>
        <w:t xml:space="preserve">attest to their compliance with Medicare </w:t>
      </w:r>
      <w:r>
        <w:rPr>
          <w:sz w:val="24"/>
        </w:rPr>
        <w:t xml:space="preserve">CfCs </w:t>
      </w:r>
      <w:r w:rsidRPr="00CB1D76">
        <w:rPr>
          <w:sz w:val="24"/>
        </w:rPr>
        <w:t>and are only surveyed by CMS in connection with complaint investigations.</w:t>
      </w:r>
      <w:r>
        <w:rPr>
          <w:sz w:val="24"/>
        </w:rPr>
        <w:t xml:space="preserve"> In the event of </w:t>
      </w:r>
      <w:r w:rsidR="00541031">
        <w:rPr>
          <w:sz w:val="24"/>
        </w:rPr>
        <w:t>an</w:t>
      </w:r>
      <w:r>
        <w:rPr>
          <w:sz w:val="24"/>
        </w:rPr>
        <w:t xml:space="preserve"> FQHC complaint survey, surveyors would use the following patient, staff, and facility administration data to assess for a deficiency with § 491.11.</w:t>
      </w:r>
    </w:p>
    <w:p w:rsidR="00F77274" w:rsidP="004220A4" w14:paraId="409E0346" w14:textId="77777777">
      <w:pPr>
        <w:rPr>
          <w:sz w:val="24"/>
        </w:rPr>
      </w:pPr>
    </w:p>
    <w:p w:rsidR="00F80E6C" w:rsidP="00F80E6C" w14:paraId="3BEAB838" w14:textId="77777777">
      <w:pPr>
        <w:rPr>
          <w:sz w:val="24"/>
        </w:rPr>
      </w:pPr>
      <w:r>
        <w:rPr>
          <w:sz w:val="24"/>
        </w:rPr>
        <w:t xml:space="preserve">The types of information collected and analyzed by the RHCs include administrative data, staff data, and patient data. </w:t>
      </w:r>
    </w:p>
    <w:p w:rsidR="00F80E6C" w:rsidP="004220A4" w14:paraId="3F0B9F4A" w14:textId="77777777">
      <w:pPr>
        <w:rPr>
          <w:sz w:val="24"/>
        </w:rPr>
      </w:pPr>
    </w:p>
    <w:p w:rsidR="00E754DE" w:rsidP="004220A4" w14:paraId="3302BA6D" w14:textId="6D0A4BD2">
      <w:pPr>
        <w:rPr>
          <w:sz w:val="24"/>
        </w:rPr>
      </w:pPr>
      <w:r w:rsidRPr="00F77274">
        <w:rPr>
          <w:sz w:val="24"/>
        </w:rPr>
        <w:t>To determine compliance with this requirement, during the survey process conducted by state agencies or national accrediting organizations, surveyors may request</w:t>
      </w:r>
      <w:r w:rsidR="00541031">
        <w:rPr>
          <w:sz w:val="24"/>
        </w:rPr>
        <w:t xml:space="preserve"> the following, but not limited to</w:t>
      </w:r>
      <w:r w:rsidR="002F6C19">
        <w:rPr>
          <w:sz w:val="24"/>
        </w:rPr>
        <w:t xml:space="preserve"> administration data:</w:t>
      </w:r>
      <w:r w:rsidRPr="00F77274">
        <w:rPr>
          <w:sz w:val="24"/>
        </w:rPr>
        <w:t xml:space="preserve"> a copy of the facilities evaluation findings summary report</w:t>
      </w:r>
      <w:r w:rsidR="009874A5">
        <w:rPr>
          <w:sz w:val="24"/>
        </w:rPr>
        <w:t>, written documentation related to the program evaluation</w:t>
      </w:r>
      <w:r w:rsidR="00CB1D76">
        <w:rPr>
          <w:sz w:val="24"/>
        </w:rPr>
        <w:t xml:space="preserve">, a copy of the patient care policies. </w:t>
      </w:r>
      <w:r w:rsidRPr="009874A5" w:rsidR="00CB1D76">
        <w:rPr>
          <w:sz w:val="24"/>
        </w:rPr>
        <w:t xml:space="preserve">For </w:t>
      </w:r>
      <w:r w:rsidR="00CB1D76">
        <w:rPr>
          <w:sz w:val="24"/>
        </w:rPr>
        <w:t xml:space="preserve">a </w:t>
      </w:r>
      <w:r w:rsidRPr="009874A5" w:rsidR="00CB1D76">
        <w:rPr>
          <w:sz w:val="24"/>
        </w:rPr>
        <w:t>full list of administration data assessed see</w:t>
      </w:r>
      <w:r w:rsidR="00CB1D76">
        <w:rPr>
          <w:sz w:val="24"/>
        </w:rPr>
        <w:t xml:space="preserve"> the State Operations Manual Appendix G – </w:t>
      </w:r>
      <w:r w:rsidR="00CB1D76">
        <w:rPr>
          <w:sz w:val="24"/>
        </w:rPr>
        <w:t>Guidance for Surveyors: Rural Health Clinics.</w:t>
      </w:r>
      <w:r w:rsidRPr="00F77274" w:rsidR="00CB1D76">
        <w:rPr>
          <w:sz w:val="24"/>
          <w:vertAlign w:val="superscript"/>
        </w:rPr>
        <w:fldChar w:fldCharType="begin"/>
      </w:r>
      <w:r w:rsidRPr="00F77274" w:rsidR="00CB1D76">
        <w:rPr>
          <w:sz w:val="24"/>
          <w:vertAlign w:val="superscript"/>
        </w:rPr>
        <w:instrText xml:space="preserve"> NOTEREF _Ref174374578 \h </w:instrText>
      </w:r>
      <w:r w:rsidR="00CB1D76">
        <w:rPr>
          <w:sz w:val="24"/>
          <w:vertAlign w:val="superscript"/>
        </w:rPr>
        <w:instrText xml:space="preserve"> \* MERGEFORMAT </w:instrText>
      </w:r>
      <w:r w:rsidRPr="00F77274" w:rsidR="00CB1D76">
        <w:rPr>
          <w:sz w:val="24"/>
          <w:vertAlign w:val="superscript"/>
        </w:rPr>
        <w:fldChar w:fldCharType="separate"/>
      </w:r>
      <w:r w:rsidRPr="00F77274" w:rsidR="00CB1D76">
        <w:rPr>
          <w:sz w:val="24"/>
          <w:vertAlign w:val="superscript"/>
        </w:rPr>
        <w:t>2</w:t>
      </w:r>
      <w:r w:rsidRPr="00F77274" w:rsidR="00CB1D76">
        <w:rPr>
          <w:sz w:val="24"/>
          <w:vertAlign w:val="superscript"/>
        </w:rPr>
        <w:fldChar w:fldCharType="end"/>
      </w:r>
    </w:p>
    <w:p w:rsidR="00CB1D76" w:rsidP="004220A4" w14:paraId="0CCA0CB5" w14:textId="3C11281E">
      <w:pPr>
        <w:rPr>
          <w:sz w:val="24"/>
        </w:rPr>
      </w:pPr>
    </w:p>
    <w:p w:rsidR="00CB1D76" w:rsidP="004220A4" w14:paraId="30A037A9" w14:textId="3EE8AEA3">
      <w:pPr>
        <w:rPr>
          <w:sz w:val="24"/>
        </w:rPr>
      </w:pPr>
      <w:r>
        <w:rPr>
          <w:sz w:val="24"/>
        </w:rPr>
        <w:t>Staff data includes but is not limited to: staff names</w:t>
      </w:r>
      <w:r w:rsidR="00201942">
        <w:rPr>
          <w:sz w:val="24"/>
        </w:rPr>
        <w:t>,</w:t>
      </w:r>
      <w:r>
        <w:rPr>
          <w:sz w:val="24"/>
        </w:rPr>
        <w:t xml:space="preserve"> personnel files</w:t>
      </w:r>
      <w:r w:rsidR="00201942">
        <w:rPr>
          <w:sz w:val="24"/>
        </w:rPr>
        <w:t>, and staff state licensing data</w:t>
      </w:r>
      <w:r>
        <w:rPr>
          <w:sz w:val="24"/>
        </w:rPr>
        <w:t xml:space="preserve">. </w:t>
      </w:r>
      <w:r w:rsidRPr="009874A5">
        <w:rPr>
          <w:sz w:val="24"/>
        </w:rPr>
        <w:t xml:space="preserve">For </w:t>
      </w:r>
      <w:r>
        <w:rPr>
          <w:sz w:val="24"/>
        </w:rPr>
        <w:t xml:space="preserve">a </w:t>
      </w:r>
      <w:r w:rsidRPr="009874A5">
        <w:rPr>
          <w:sz w:val="24"/>
        </w:rPr>
        <w:t xml:space="preserve">full list of </w:t>
      </w:r>
      <w:r>
        <w:rPr>
          <w:sz w:val="24"/>
        </w:rPr>
        <w:t>staff</w:t>
      </w:r>
      <w:r w:rsidRPr="009874A5">
        <w:rPr>
          <w:sz w:val="24"/>
        </w:rPr>
        <w:t xml:space="preserve"> data assessed see</w:t>
      </w:r>
      <w:r>
        <w:rPr>
          <w:sz w:val="24"/>
        </w:rPr>
        <w:t xml:space="preserve"> the State Operations Manual Appendix G – Guidance for Surveyors: Rural Health Clinics.</w:t>
      </w:r>
      <w:r w:rsidRPr="0062668A">
        <w:rPr>
          <w:sz w:val="24"/>
          <w:vertAlign w:val="superscript"/>
        </w:rPr>
        <w:fldChar w:fldCharType="begin"/>
      </w:r>
      <w:r w:rsidRPr="0062668A">
        <w:rPr>
          <w:sz w:val="24"/>
          <w:vertAlign w:val="superscript"/>
        </w:rPr>
        <w:instrText xml:space="preserve"> NOTEREF _Ref174374578 \h </w:instrText>
      </w:r>
      <w:r>
        <w:rPr>
          <w:sz w:val="24"/>
          <w:vertAlign w:val="superscript"/>
        </w:rPr>
        <w:instrText xml:space="preserve"> \* MERGEFORMAT </w:instrText>
      </w:r>
      <w:r w:rsidRPr="0062668A">
        <w:rPr>
          <w:sz w:val="24"/>
          <w:vertAlign w:val="superscript"/>
        </w:rPr>
        <w:fldChar w:fldCharType="separate"/>
      </w:r>
      <w:r w:rsidRPr="0062668A">
        <w:rPr>
          <w:sz w:val="24"/>
          <w:vertAlign w:val="superscript"/>
        </w:rPr>
        <w:t>2</w:t>
      </w:r>
      <w:r w:rsidRPr="0062668A">
        <w:rPr>
          <w:sz w:val="24"/>
          <w:vertAlign w:val="superscript"/>
        </w:rPr>
        <w:fldChar w:fldCharType="end"/>
      </w:r>
    </w:p>
    <w:p w:rsidR="00CB1D76" w:rsidP="004220A4" w14:paraId="728FDF40" w14:textId="77777777">
      <w:pPr>
        <w:rPr>
          <w:sz w:val="24"/>
        </w:rPr>
      </w:pPr>
    </w:p>
    <w:p w:rsidR="00CB1D76" w:rsidP="004220A4" w14:paraId="50F5A97C" w14:textId="3F2043D3">
      <w:pPr>
        <w:rPr>
          <w:sz w:val="24"/>
          <w:vertAlign w:val="superscript"/>
        </w:rPr>
      </w:pPr>
      <w:r>
        <w:rPr>
          <w:sz w:val="24"/>
        </w:rPr>
        <w:t xml:space="preserve">Patient data includes but is not limited to: clinical records and patient appointment data. </w:t>
      </w:r>
      <w:r w:rsidRPr="009874A5">
        <w:rPr>
          <w:sz w:val="24"/>
        </w:rPr>
        <w:t xml:space="preserve">For </w:t>
      </w:r>
      <w:r>
        <w:rPr>
          <w:sz w:val="24"/>
        </w:rPr>
        <w:t xml:space="preserve">a </w:t>
      </w:r>
      <w:r w:rsidRPr="009874A5">
        <w:rPr>
          <w:sz w:val="24"/>
        </w:rPr>
        <w:t xml:space="preserve">full list of </w:t>
      </w:r>
      <w:r>
        <w:rPr>
          <w:sz w:val="24"/>
        </w:rPr>
        <w:t>patient</w:t>
      </w:r>
      <w:r w:rsidRPr="009874A5">
        <w:rPr>
          <w:sz w:val="24"/>
        </w:rPr>
        <w:t xml:space="preserve"> data assessed see</w:t>
      </w:r>
      <w:r>
        <w:rPr>
          <w:sz w:val="24"/>
        </w:rPr>
        <w:t xml:space="preserve"> the State Operations Manual Appendix G – Guidance for Surveyors: Rural Health Clinics.</w:t>
      </w:r>
      <w:r w:rsidRPr="0062668A">
        <w:rPr>
          <w:sz w:val="24"/>
          <w:vertAlign w:val="superscript"/>
        </w:rPr>
        <w:fldChar w:fldCharType="begin"/>
      </w:r>
      <w:r w:rsidRPr="0062668A">
        <w:rPr>
          <w:sz w:val="24"/>
          <w:vertAlign w:val="superscript"/>
        </w:rPr>
        <w:instrText xml:space="preserve"> NOTEREF _Ref174374578 \h </w:instrText>
      </w:r>
      <w:r>
        <w:rPr>
          <w:sz w:val="24"/>
          <w:vertAlign w:val="superscript"/>
        </w:rPr>
        <w:instrText xml:space="preserve"> \* MERGEFORMAT </w:instrText>
      </w:r>
      <w:r w:rsidRPr="0062668A">
        <w:rPr>
          <w:sz w:val="24"/>
          <w:vertAlign w:val="superscript"/>
        </w:rPr>
        <w:fldChar w:fldCharType="separate"/>
      </w:r>
      <w:r w:rsidRPr="0062668A">
        <w:rPr>
          <w:sz w:val="24"/>
          <w:vertAlign w:val="superscript"/>
        </w:rPr>
        <w:t>2</w:t>
      </w:r>
      <w:r w:rsidRPr="0062668A">
        <w:rPr>
          <w:sz w:val="24"/>
          <w:vertAlign w:val="superscript"/>
        </w:rPr>
        <w:fldChar w:fldCharType="end"/>
      </w:r>
    </w:p>
    <w:p w:rsidR="00F91056" w:rsidP="004220A4" w14:paraId="4D7749CA" w14:textId="77777777">
      <w:pPr>
        <w:rPr>
          <w:sz w:val="24"/>
        </w:rPr>
      </w:pPr>
    </w:p>
    <w:p w:rsidR="00D273D2" w:rsidP="00D273D2" w14:paraId="298C4F0B" w14:textId="407AEB75">
      <w:pPr>
        <w:rPr>
          <w:sz w:val="24"/>
        </w:rPr>
      </w:pPr>
      <w:r>
        <w:rPr>
          <w:sz w:val="24"/>
        </w:rPr>
        <w:t xml:space="preserve">As </w:t>
      </w:r>
      <w:r w:rsidR="00031691">
        <w:rPr>
          <w:sz w:val="24"/>
        </w:rPr>
        <w:t>described</w:t>
      </w:r>
      <w:r>
        <w:rPr>
          <w:sz w:val="24"/>
        </w:rPr>
        <w:t xml:space="preserve"> in the background section</w:t>
      </w:r>
      <w:r w:rsidR="00031691">
        <w:rPr>
          <w:sz w:val="24"/>
        </w:rPr>
        <w:t xml:space="preserve"> of this Supporting Statement,</w:t>
      </w:r>
      <w:r>
        <w:rPr>
          <w:sz w:val="24"/>
        </w:rPr>
        <w:t xml:space="preserve"> the</w:t>
      </w:r>
      <w:r w:rsidR="006740BB">
        <w:rPr>
          <w:sz w:val="24"/>
        </w:rPr>
        <w:t xml:space="preserve"> following</w:t>
      </w:r>
      <w:r>
        <w:rPr>
          <w:sz w:val="24"/>
        </w:rPr>
        <w:t xml:space="preserve"> collection of information </w:t>
      </w:r>
      <w:r w:rsidR="006740BB">
        <w:rPr>
          <w:sz w:val="24"/>
        </w:rPr>
        <w:t>is</w:t>
      </w:r>
      <w:r w:rsidRPr="008D1922">
        <w:rPr>
          <w:sz w:val="24"/>
        </w:rPr>
        <w:t xml:space="preserve"> written in regulation </w:t>
      </w:r>
      <w:r w:rsidRPr="000025EC">
        <w:rPr>
          <w:sz w:val="24"/>
        </w:rPr>
        <w:t>based</w:t>
      </w:r>
      <w:r w:rsidRPr="008D1922">
        <w:rPr>
          <w:sz w:val="24"/>
        </w:rPr>
        <w:t xml:space="preserve"> </w:t>
      </w:r>
      <w:r w:rsidRPr="000025EC">
        <w:rPr>
          <w:sz w:val="24"/>
        </w:rPr>
        <w:t>on</w:t>
      </w:r>
      <w:r w:rsidRPr="008D1922">
        <w:rPr>
          <w:sz w:val="24"/>
        </w:rPr>
        <w:t xml:space="preserve"> </w:t>
      </w:r>
      <w:r w:rsidRPr="000025EC">
        <w:rPr>
          <w:sz w:val="24"/>
        </w:rPr>
        <w:t>criteria</w:t>
      </w:r>
      <w:r w:rsidRPr="008D1922">
        <w:rPr>
          <w:sz w:val="24"/>
        </w:rPr>
        <w:t xml:space="preserve"> </w:t>
      </w:r>
      <w:r w:rsidRPr="000025EC">
        <w:rPr>
          <w:sz w:val="24"/>
        </w:rPr>
        <w:t>described</w:t>
      </w:r>
      <w:r w:rsidRPr="008D1922">
        <w:rPr>
          <w:sz w:val="24"/>
        </w:rPr>
        <w:t xml:space="preserve"> </w:t>
      </w:r>
      <w:r w:rsidRPr="000025EC">
        <w:rPr>
          <w:sz w:val="24"/>
        </w:rPr>
        <w:t>in</w:t>
      </w:r>
      <w:r w:rsidRPr="008D1922">
        <w:rPr>
          <w:sz w:val="24"/>
        </w:rPr>
        <w:t xml:space="preserve"> </w:t>
      </w:r>
      <w:r w:rsidRPr="000025EC">
        <w:rPr>
          <w:sz w:val="24"/>
        </w:rPr>
        <w:t>the</w:t>
      </w:r>
      <w:r w:rsidRPr="008D1922">
        <w:rPr>
          <w:sz w:val="24"/>
        </w:rPr>
        <w:t xml:space="preserve"> </w:t>
      </w:r>
      <w:r w:rsidRPr="000025EC">
        <w:rPr>
          <w:sz w:val="24"/>
        </w:rPr>
        <w:t>law</w:t>
      </w:r>
      <w:r w:rsidRPr="008D1922">
        <w:rPr>
          <w:sz w:val="24"/>
        </w:rPr>
        <w:t xml:space="preserve"> </w:t>
      </w:r>
      <w:r w:rsidRPr="000025EC">
        <w:rPr>
          <w:sz w:val="24"/>
        </w:rPr>
        <w:t>and</w:t>
      </w:r>
      <w:r w:rsidRPr="008D1922">
        <w:rPr>
          <w:sz w:val="24"/>
        </w:rPr>
        <w:t xml:space="preserve"> </w:t>
      </w:r>
      <w:r w:rsidRPr="000025EC">
        <w:rPr>
          <w:sz w:val="24"/>
        </w:rPr>
        <w:t>are</w:t>
      </w:r>
      <w:r w:rsidRPr="008D1922">
        <w:rPr>
          <w:sz w:val="24"/>
        </w:rPr>
        <w:t xml:space="preserve"> </w:t>
      </w:r>
      <w:r w:rsidRPr="000025EC">
        <w:rPr>
          <w:sz w:val="24"/>
        </w:rPr>
        <w:t>standards</w:t>
      </w:r>
      <w:r w:rsidRPr="008D1922">
        <w:rPr>
          <w:sz w:val="24"/>
        </w:rPr>
        <w:t xml:space="preserve"> </w:t>
      </w:r>
      <w:r w:rsidRPr="000025EC">
        <w:rPr>
          <w:sz w:val="24"/>
        </w:rPr>
        <w:t>designed</w:t>
      </w:r>
      <w:r w:rsidRPr="008D1922">
        <w:rPr>
          <w:sz w:val="24"/>
        </w:rPr>
        <w:t xml:space="preserve"> </w:t>
      </w:r>
      <w:r w:rsidRPr="000025EC">
        <w:rPr>
          <w:sz w:val="24"/>
        </w:rPr>
        <w:t>to</w:t>
      </w:r>
      <w:r w:rsidRPr="008D1922">
        <w:rPr>
          <w:sz w:val="24"/>
        </w:rPr>
        <w:t xml:space="preserve"> </w:t>
      </w:r>
      <w:r w:rsidRPr="000025EC">
        <w:rPr>
          <w:sz w:val="24"/>
        </w:rPr>
        <w:t>ensure</w:t>
      </w:r>
      <w:r w:rsidRPr="008D1922">
        <w:rPr>
          <w:sz w:val="24"/>
        </w:rPr>
        <w:t xml:space="preserve"> </w:t>
      </w:r>
      <w:r w:rsidRPr="000025EC">
        <w:rPr>
          <w:sz w:val="24"/>
        </w:rPr>
        <w:t xml:space="preserve">that </w:t>
      </w:r>
      <w:r w:rsidR="00031691">
        <w:rPr>
          <w:sz w:val="24"/>
        </w:rPr>
        <w:t xml:space="preserve">RHCs and FQHCs </w:t>
      </w:r>
      <w:r w:rsidRPr="000025EC">
        <w:rPr>
          <w:sz w:val="24"/>
        </w:rPr>
        <w:t>ha</w:t>
      </w:r>
      <w:r w:rsidR="00031691">
        <w:rPr>
          <w:sz w:val="24"/>
        </w:rPr>
        <w:t>ve</w:t>
      </w:r>
      <w:r w:rsidRPr="000025EC">
        <w:rPr>
          <w:sz w:val="24"/>
        </w:rPr>
        <w:t xml:space="preserve"> properly trained staff to provide the appropriate type and level</w:t>
      </w:r>
      <w:r w:rsidRPr="008D1922">
        <w:rPr>
          <w:sz w:val="24"/>
        </w:rPr>
        <w:t xml:space="preserve"> </w:t>
      </w:r>
      <w:r w:rsidRPr="000025EC">
        <w:rPr>
          <w:sz w:val="24"/>
        </w:rPr>
        <w:t>of care for t</w:t>
      </w:r>
      <w:r w:rsidR="00031691">
        <w:rPr>
          <w:sz w:val="24"/>
        </w:rPr>
        <w:t>heir patient population</w:t>
      </w:r>
      <w:r w:rsidRPr="000025EC">
        <w:rPr>
          <w:sz w:val="24"/>
        </w:rPr>
        <w:t xml:space="preserve">. </w:t>
      </w:r>
      <w:r w:rsidRPr="00AC4A68" w:rsidR="0073788D">
        <w:rPr>
          <w:sz w:val="24"/>
        </w:rPr>
        <w:t>The C</w:t>
      </w:r>
      <w:r w:rsidR="0073788D">
        <w:rPr>
          <w:sz w:val="24"/>
        </w:rPr>
        <w:t>fCs</w:t>
      </w:r>
      <w:r w:rsidRPr="00AC4A68" w:rsidR="0073788D">
        <w:rPr>
          <w:sz w:val="24"/>
        </w:rPr>
        <w:t xml:space="preserve"> and accompanying requirements specified in the regulations are used by our surveyors as a basis for determining whether a</w:t>
      </w:r>
      <w:r w:rsidR="0073788D">
        <w:rPr>
          <w:sz w:val="24"/>
        </w:rPr>
        <w:t xml:space="preserve">n RHC or FQHC </w:t>
      </w:r>
      <w:r w:rsidRPr="00AC4A68" w:rsidR="0073788D">
        <w:rPr>
          <w:sz w:val="24"/>
        </w:rPr>
        <w:t>qualifies for a provider agreement under Medicare and Medicaid</w:t>
      </w:r>
      <w:r w:rsidR="0073788D">
        <w:rPr>
          <w:sz w:val="24"/>
        </w:rPr>
        <w:t xml:space="preserve">. </w:t>
      </w:r>
      <w:r w:rsidRPr="008D1922">
        <w:rPr>
          <w:sz w:val="24"/>
        </w:rPr>
        <w:t>To determine compliance with the C</w:t>
      </w:r>
      <w:r w:rsidR="00031691">
        <w:rPr>
          <w:sz w:val="24"/>
        </w:rPr>
        <w:t>fCs</w:t>
      </w:r>
      <w:r w:rsidRPr="008D1922">
        <w:rPr>
          <w:sz w:val="24"/>
        </w:rPr>
        <w:t>, the Secretary has authorized States, through contracts, to conduct surveys of health care providers.  For Medicare purposes, certification is based on the State survey agency’s recording of a provider or supplier’s compliance or noncompliance with the health and safety requirements published in regulations.</w:t>
      </w:r>
      <w:r>
        <w:rPr>
          <w:sz w:val="24"/>
        </w:rPr>
        <w:t xml:space="preserve"> </w:t>
      </w:r>
    </w:p>
    <w:p w:rsidR="00D273D2" w:rsidP="004220A4" w14:paraId="33132F04" w14:textId="77777777">
      <w:pPr>
        <w:rPr>
          <w:sz w:val="24"/>
        </w:rPr>
      </w:pPr>
    </w:p>
    <w:p w:rsidR="0058771F" w:rsidRPr="004220A4" w:rsidP="004220A4" w14:paraId="00000024" w14:textId="77777777">
      <w:pPr>
        <w:rPr>
          <w:sz w:val="24"/>
          <w:u w:val="single"/>
        </w:rPr>
      </w:pPr>
      <w:r w:rsidRPr="004220A4">
        <w:rPr>
          <w:sz w:val="24"/>
          <w:u w:val="single"/>
        </w:rPr>
        <w:t>3. Improved Information Technology</w:t>
      </w:r>
    </w:p>
    <w:p w:rsidR="0058771F" w:rsidP="004220A4" w14:paraId="00000025" w14:textId="77777777">
      <w:pPr>
        <w:rPr>
          <w:sz w:val="24"/>
        </w:rPr>
      </w:pPr>
    </w:p>
    <w:p w:rsidR="0058771F" w:rsidP="004220A4" w14:paraId="00000026" w14:textId="751544BE">
      <w:pPr>
        <w:rPr>
          <w:sz w:val="24"/>
        </w:rPr>
      </w:pPr>
      <w:r>
        <w:rPr>
          <w:sz w:val="24"/>
        </w:rPr>
        <w:t xml:space="preserve">The requirements </w:t>
      </w:r>
      <w:r w:rsidR="003F4802">
        <w:rPr>
          <w:sz w:val="24"/>
        </w:rPr>
        <w:t>do not p</w:t>
      </w:r>
      <w:r>
        <w:rPr>
          <w:sz w:val="24"/>
        </w:rPr>
        <w:t>rescribe how the clinics or centers should prepare or maintain the</w:t>
      </w:r>
      <w:r w:rsidR="003F4802">
        <w:rPr>
          <w:sz w:val="24"/>
        </w:rPr>
        <w:t xml:space="preserve">ir </w:t>
      </w:r>
      <w:r>
        <w:rPr>
          <w:sz w:val="24"/>
        </w:rPr>
        <w:t>records</w:t>
      </w:r>
      <w:r w:rsidR="0000077D">
        <w:rPr>
          <w:sz w:val="24"/>
        </w:rPr>
        <w:t xml:space="preserve">. </w:t>
      </w:r>
      <w:r>
        <w:rPr>
          <w:sz w:val="24"/>
        </w:rPr>
        <w:t>Each clinic or center is free to take advantage of any technological advances that they find appropriate for their needs.</w:t>
      </w:r>
    </w:p>
    <w:p w:rsidR="0058771F" w:rsidP="004220A4" w14:paraId="00000027" w14:textId="77777777">
      <w:pPr>
        <w:rPr>
          <w:sz w:val="24"/>
        </w:rPr>
      </w:pPr>
    </w:p>
    <w:p w:rsidR="0058771F" w:rsidRPr="004220A4" w:rsidP="004220A4" w14:paraId="00000028" w14:textId="77777777">
      <w:pPr>
        <w:rPr>
          <w:sz w:val="24"/>
          <w:u w:val="single"/>
        </w:rPr>
      </w:pPr>
      <w:r w:rsidRPr="004220A4">
        <w:rPr>
          <w:sz w:val="24"/>
          <w:u w:val="single"/>
        </w:rPr>
        <w:t>4. Duplication of Similar Information</w:t>
      </w:r>
    </w:p>
    <w:p w:rsidR="0058771F" w:rsidP="004220A4" w14:paraId="00000029" w14:textId="77777777">
      <w:pPr>
        <w:rPr>
          <w:sz w:val="24"/>
        </w:rPr>
      </w:pPr>
    </w:p>
    <w:p w:rsidR="00357EEC" w:rsidRPr="006F43DF" w:rsidP="00357EEC" w14:paraId="4DCE7C2C" w14:textId="7D310554">
      <w:pPr>
        <w:rPr>
          <w:sz w:val="24"/>
        </w:rPr>
      </w:pPr>
      <w:r w:rsidRPr="006F43DF">
        <w:rPr>
          <w:sz w:val="24"/>
        </w:rPr>
        <w:t>These requirements are similar in intent to standards developed by industry organizations such as the Joint Commission on Accreditation of Hospital</w:t>
      </w:r>
      <w:r w:rsidR="00031691">
        <w:rPr>
          <w:sz w:val="24"/>
        </w:rPr>
        <w:t>s</w:t>
      </w:r>
      <w:r w:rsidRPr="006F43DF">
        <w:rPr>
          <w:sz w:val="24"/>
        </w:rPr>
        <w:t xml:space="preserve"> and the National League of Nursing/American Public Association and merely reflect accepted standards of management and care to which rural health clinics must adhere.</w:t>
      </w:r>
    </w:p>
    <w:p w:rsidR="00357EEC" w:rsidP="004220A4" w14:paraId="7D3697FE" w14:textId="77777777">
      <w:pPr>
        <w:rPr>
          <w:sz w:val="24"/>
        </w:rPr>
      </w:pPr>
    </w:p>
    <w:p w:rsidR="0058771F" w:rsidP="004220A4" w14:paraId="0000002A" w14:textId="77FF7C9A">
      <w:pPr>
        <w:rPr>
          <w:sz w:val="24"/>
        </w:rPr>
      </w:pPr>
      <w:r>
        <w:rPr>
          <w:sz w:val="24"/>
        </w:rPr>
        <w:t xml:space="preserve">In addition, these </w:t>
      </w:r>
      <w:r w:rsidR="009740CB">
        <w:rPr>
          <w:sz w:val="24"/>
        </w:rPr>
        <w:t>requirements are specified in a way so as not to duplicate existing clinic or center practice.</w:t>
      </w:r>
      <w:r w:rsidR="00712F95">
        <w:rPr>
          <w:sz w:val="24"/>
        </w:rPr>
        <w:t xml:space="preserve"> </w:t>
      </w:r>
      <w:r w:rsidR="009740CB">
        <w:rPr>
          <w:sz w:val="24"/>
        </w:rPr>
        <w:t>If a clinic or center already maintains the patients</w:t>
      </w:r>
      <w:r w:rsidR="003D39D5">
        <w:rPr>
          <w:sz w:val="24"/>
        </w:rPr>
        <w:t>’</w:t>
      </w:r>
      <w:r w:rsidR="009740CB">
        <w:rPr>
          <w:sz w:val="24"/>
        </w:rPr>
        <w:t xml:space="preserve"> records, regardless of the format, they are in compliance with th</w:t>
      </w:r>
      <w:r w:rsidR="003D39D5">
        <w:rPr>
          <w:sz w:val="24"/>
        </w:rPr>
        <w:t>e</w:t>
      </w:r>
      <w:r w:rsidR="009740CB">
        <w:rPr>
          <w:sz w:val="24"/>
        </w:rPr>
        <w:t xml:space="preserve"> requirement</w:t>
      </w:r>
      <w:r w:rsidR="003D39D5">
        <w:rPr>
          <w:sz w:val="24"/>
        </w:rPr>
        <w:t>s</w:t>
      </w:r>
      <w:r w:rsidR="009740CB">
        <w:rPr>
          <w:sz w:val="24"/>
        </w:rPr>
        <w:t>.</w:t>
      </w:r>
    </w:p>
    <w:p w:rsidR="0058771F" w:rsidP="004220A4" w14:paraId="0000002B" w14:textId="77777777">
      <w:pPr>
        <w:rPr>
          <w:sz w:val="24"/>
        </w:rPr>
      </w:pPr>
    </w:p>
    <w:p w:rsidR="0058771F" w:rsidRPr="004220A4" w:rsidP="004220A4" w14:paraId="0000002C" w14:textId="77777777">
      <w:pPr>
        <w:rPr>
          <w:sz w:val="24"/>
          <w:u w:val="single"/>
        </w:rPr>
      </w:pPr>
      <w:r w:rsidRPr="004220A4">
        <w:rPr>
          <w:sz w:val="24"/>
          <w:u w:val="single"/>
        </w:rPr>
        <w:t>5. Small Businesses</w:t>
      </w:r>
    </w:p>
    <w:p w:rsidR="0058771F" w:rsidP="004220A4" w14:paraId="0000002D" w14:textId="77777777">
      <w:pPr>
        <w:rPr>
          <w:sz w:val="24"/>
        </w:rPr>
      </w:pPr>
    </w:p>
    <w:p w:rsidR="0058771F" w:rsidP="004220A4" w14:paraId="0000002E" w14:textId="74BF987D">
      <w:pPr>
        <w:rPr>
          <w:sz w:val="24"/>
        </w:rPr>
      </w:pPr>
      <w:r>
        <w:rPr>
          <w:sz w:val="24"/>
        </w:rPr>
        <w:t xml:space="preserve">The requirements do affect small businesses. However, the general nature of the requirements allows </w:t>
      </w:r>
      <w:r w:rsidR="00DA40CD">
        <w:rPr>
          <w:sz w:val="24"/>
        </w:rPr>
        <w:t xml:space="preserve">providers </w:t>
      </w:r>
      <w:r>
        <w:rPr>
          <w:sz w:val="24"/>
        </w:rPr>
        <w:t>the flexibility to meet the requirement</w:t>
      </w:r>
      <w:r w:rsidR="002B6ED2">
        <w:rPr>
          <w:sz w:val="24"/>
        </w:rPr>
        <w:t>s</w:t>
      </w:r>
      <w:r>
        <w:rPr>
          <w:sz w:val="24"/>
        </w:rPr>
        <w:t xml:space="preserve"> in a way consistent with their existing operations. </w:t>
      </w:r>
      <w:r w:rsidR="00BF52E6">
        <w:rPr>
          <w:sz w:val="24"/>
        </w:rPr>
        <w:t xml:space="preserve">In addition, as stated in section 4, these </w:t>
      </w:r>
      <w:r w:rsidRPr="006F43DF" w:rsidR="00BF52E6">
        <w:rPr>
          <w:sz w:val="24"/>
        </w:rPr>
        <w:t>requirements are similar to standards developed by industry organizations</w:t>
      </w:r>
      <w:r w:rsidR="00BF52E6">
        <w:rPr>
          <w:sz w:val="24"/>
        </w:rPr>
        <w:t xml:space="preserve">. </w:t>
      </w:r>
      <w:r>
        <w:rPr>
          <w:sz w:val="24"/>
        </w:rPr>
        <w:t xml:space="preserve">Therefore, </w:t>
      </w:r>
      <w:r w:rsidR="00DA40CD">
        <w:rPr>
          <w:sz w:val="24"/>
        </w:rPr>
        <w:t xml:space="preserve">we do not believe </w:t>
      </w:r>
      <w:r>
        <w:rPr>
          <w:sz w:val="24"/>
        </w:rPr>
        <w:t>th</w:t>
      </w:r>
      <w:r w:rsidR="00DA40CD">
        <w:rPr>
          <w:sz w:val="24"/>
        </w:rPr>
        <w:t>ese requirement</w:t>
      </w:r>
      <w:r w:rsidR="00414927">
        <w:rPr>
          <w:sz w:val="24"/>
        </w:rPr>
        <w:t>s</w:t>
      </w:r>
      <w:r w:rsidR="00DA40CD">
        <w:rPr>
          <w:sz w:val="24"/>
        </w:rPr>
        <w:t xml:space="preserve"> </w:t>
      </w:r>
      <w:r>
        <w:rPr>
          <w:sz w:val="24"/>
        </w:rPr>
        <w:t>have a significant economic impact on small businesses.</w:t>
      </w:r>
    </w:p>
    <w:p w:rsidR="0058771F" w:rsidP="004220A4" w14:paraId="0000002F" w14:textId="77777777">
      <w:pPr>
        <w:rPr>
          <w:sz w:val="24"/>
        </w:rPr>
      </w:pPr>
    </w:p>
    <w:p w:rsidR="0058771F" w:rsidRPr="004220A4" w:rsidP="004220A4" w14:paraId="00000030" w14:textId="77777777">
      <w:pPr>
        <w:rPr>
          <w:sz w:val="24"/>
          <w:u w:val="single"/>
        </w:rPr>
      </w:pPr>
      <w:r w:rsidRPr="004220A4">
        <w:rPr>
          <w:sz w:val="24"/>
          <w:u w:val="single"/>
        </w:rPr>
        <w:t>6. Less Frequent Collection</w:t>
      </w:r>
    </w:p>
    <w:p w:rsidR="0058771F" w:rsidP="004220A4" w14:paraId="00000031" w14:textId="77777777">
      <w:pPr>
        <w:rPr>
          <w:sz w:val="24"/>
        </w:rPr>
      </w:pPr>
    </w:p>
    <w:p w:rsidR="0058771F" w:rsidP="004220A4" w14:paraId="00000032" w14:textId="66E17C53">
      <w:pPr>
        <w:rPr>
          <w:sz w:val="24"/>
        </w:rPr>
      </w:pPr>
      <w:r>
        <w:rPr>
          <w:sz w:val="24"/>
        </w:rPr>
        <w:t>The regulations were changed in 2019 to reduce the frequency of collection as part of the review of the policies (§</w:t>
      </w:r>
      <w:r w:rsidR="00712F95">
        <w:rPr>
          <w:sz w:val="24"/>
        </w:rPr>
        <w:t xml:space="preserve"> </w:t>
      </w:r>
      <w:r>
        <w:rPr>
          <w:sz w:val="24"/>
        </w:rPr>
        <w:t>491.9(b)) and program evaluation (§ 491.11) from every year to every two years, or biennially.</w:t>
      </w:r>
    </w:p>
    <w:p w:rsidR="0058771F" w:rsidP="004220A4" w14:paraId="00000033" w14:textId="77777777">
      <w:pPr>
        <w:rPr>
          <w:sz w:val="24"/>
        </w:rPr>
      </w:pPr>
    </w:p>
    <w:p w:rsidR="0058771F" w:rsidRPr="004220A4" w:rsidP="004220A4" w14:paraId="00000034" w14:textId="77777777">
      <w:pPr>
        <w:rPr>
          <w:sz w:val="24"/>
          <w:u w:val="single"/>
        </w:rPr>
      </w:pPr>
      <w:r w:rsidRPr="004220A4">
        <w:rPr>
          <w:sz w:val="24"/>
          <w:u w:val="single"/>
        </w:rPr>
        <w:t>7. Special Circumstances</w:t>
      </w:r>
    </w:p>
    <w:p w:rsidR="0058771F" w:rsidP="004220A4" w14:paraId="00000035" w14:textId="77777777">
      <w:pPr>
        <w:rPr>
          <w:i/>
          <w:sz w:val="24"/>
        </w:rPr>
      </w:pPr>
    </w:p>
    <w:p w:rsidR="00533D00" w:rsidP="00533D00" w14:paraId="61DB14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that would require an information collection to be conducted in a manner that requires respondents to:</w:t>
      </w:r>
    </w:p>
    <w:p w:rsidR="00533D00" w:rsidP="00533D00" w14:paraId="2CACFE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33D00" w:rsidP="00533D00" w14:paraId="03AD976E"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Report information to the agency more often than quarterly;</w:t>
      </w:r>
    </w:p>
    <w:p w:rsidR="00533D00" w:rsidP="00533D00" w14:paraId="3596F947"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 xml:space="preserve">Prepare a written response to a collection of information in fewer than 30 days after receipt of it; </w:t>
      </w:r>
    </w:p>
    <w:p w:rsidR="00533D00" w:rsidP="00533D00" w14:paraId="7BE5F9F9"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Submit more than an original and two copies of any document;</w:t>
      </w:r>
    </w:p>
    <w:p w:rsidR="00533D00" w:rsidP="00533D00" w14:paraId="40B3B5DA"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Retain records, other than health, medical, government contract, grant-in-aid, or tax records for more than three years;</w:t>
      </w:r>
    </w:p>
    <w:p w:rsidR="00533D00" w:rsidP="00533D00" w14:paraId="4954315B"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Collect data in connection with a statistical survey that is not designed to produce valid and reliable results that can be generalized to the universe of study,</w:t>
      </w:r>
    </w:p>
    <w:p w:rsidR="00533D00" w:rsidP="00533D00" w14:paraId="3DF63CA3"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Use a statistical data classification that has not been reviewed and approved by OMB;</w:t>
      </w:r>
    </w:p>
    <w:p w:rsidR="00533D00" w:rsidP="00533D00" w14:paraId="2A81051E"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33D00" w:rsidP="00533D00" w14:paraId="32AE29D0"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Submit proprietary trade secret, or other confidential information unless the agency can demonstrate that it has instituted procedures to protect the information's confidentiality to the extent permitted by law.</w:t>
      </w:r>
    </w:p>
    <w:p w:rsidR="006C241A" w:rsidP="004220A4" w14:paraId="0CD1A17E" w14:textId="77777777">
      <w:pPr>
        <w:rPr>
          <w:sz w:val="24"/>
        </w:rPr>
      </w:pPr>
    </w:p>
    <w:p w:rsidR="0058771F" w:rsidRPr="00DD0528" w:rsidP="004220A4" w14:paraId="00000038" w14:textId="77777777">
      <w:pPr>
        <w:rPr>
          <w:sz w:val="24"/>
          <w:u w:val="single"/>
        </w:rPr>
      </w:pPr>
      <w:r w:rsidRPr="00DD0528">
        <w:rPr>
          <w:sz w:val="24"/>
          <w:u w:val="single"/>
        </w:rPr>
        <w:t>8. Federal Register/Outside Consultation</w:t>
      </w:r>
    </w:p>
    <w:p w:rsidR="00D11408" w:rsidRPr="00DD0528" w:rsidP="004220A4" w14:paraId="18F0AD63" w14:textId="77777777">
      <w:pPr>
        <w:rPr>
          <w:sz w:val="24"/>
        </w:rPr>
      </w:pPr>
    </w:p>
    <w:p w:rsidR="0053618B" w:rsidRPr="00DD0528" w:rsidP="0053618B" w14:paraId="7E60FDCE" w14:textId="46A7BBA6">
      <w:pPr>
        <w:rPr>
          <w:sz w:val="24"/>
        </w:rPr>
      </w:pPr>
      <w:r w:rsidRPr="00DD0528">
        <w:rPr>
          <w:sz w:val="24"/>
        </w:rPr>
        <w:t xml:space="preserve">Serving as the 60-day notice, the proposed rule (CMS-1784-P, RIN 0938-AV07) published in the Federal Register on </w:t>
      </w:r>
      <w:r w:rsidRPr="00DD0528" w:rsidR="0004543E">
        <w:rPr>
          <w:sz w:val="24"/>
        </w:rPr>
        <w:t>August 7, 2023 (88 FR 52261)</w:t>
      </w:r>
      <w:r w:rsidRPr="00DD0528" w:rsidR="00A068C1">
        <w:rPr>
          <w:sz w:val="24"/>
        </w:rPr>
        <w:t>. We</w:t>
      </w:r>
      <w:r w:rsidRPr="00DD0528" w:rsidR="00315352">
        <w:rPr>
          <w:sz w:val="24"/>
        </w:rPr>
        <w:t xml:space="preserve"> did not </w:t>
      </w:r>
      <w:r w:rsidRPr="00DD0528" w:rsidR="00A068C1">
        <w:rPr>
          <w:sz w:val="24"/>
        </w:rPr>
        <w:t xml:space="preserve">receive </w:t>
      </w:r>
      <w:r w:rsidRPr="00DD0528" w:rsidR="00315352">
        <w:rPr>
          <w:sz w:val="24"/>
        </w:rPr>
        <w:t xml:space="preserve">any </w:t>
      </w:r>
      <w:r w:rsidRPr="00DD0528">
        <w:rPr>
          <w:sz w:val="24"/>
        </w:rPr>
        <w:t>comments related to this collection of information request.</w:t>
      </w:r>
    </w:p>
    <w:p w:rsidR="0053618B" w:rsidRPr="00DD0528" w:rsidP="004220A4" w14:paraId="7F9FF2B2" w14:textId="77777777">
      <w:pPr>
        <w:rPr>
          <w:sz w:val="24"/>
        </w:rPr>
      </w:pPr>
    </w:p>
    <w:p w:rsidR="00CD7287" w:rsidRPr="00DD0528" w:rsidP="004220A4" w14:paraId="63E4D99A" w14:textId="2BD6A879">
      <w:pPr>
        <w:rPr>
          <w:sz w:val="24"/>
        </w:rPr>
      </w:pPr>
      <w:r w:rsidRPr="00DD0528">
        <w:rPr>
          <w:sz w:val="24"/>
        </w:rPr>
        <w:t xml:space="preserve">As the collection expired in March 2023, we were unable to submit the NPRM package via ROCIS. The collection was reinstated </w:t>
      </w:r>
      <w:r w:rsidRPr="00DD0528" w:rsidR="003B1961">
        <w:rPr>
          <w:sz w:val="24"/>
        </w:rPr>
        <w:t>on</w:t>
      </w:r>
      <w:r w:rsidRPr="00DD0528">
        <w:rPr>
          <w:sz w:val="24"/>
        </w:rPr>
        <w:t xml:space="preserve"> July </w:t>
      </w:r>
      <w:r w:rsidRPr="00DD0528" w:rsidR="003B1961">
        <w:rPr>
          <w:sz w:val="24"/>
        </w:rPr>
        <w:t xml:space="preserve">31, </w:t>
      </w:r>
      <w:r w:rsidRPr="00DD0528">
        <w:rPr>
          <w:sz w:val="24"/>
        </w:rPr>
        <w:t>2024.</w:t>
      </w:r>
    </w:p>
    <w:p w:rsidR="00CD7287" w:rsidRPr="00DD0528" w:rsidP="004220A4" w14:paraId="17469635" w14:textId="77777777">
      <w:pPr>
        <w:rPr>
          <w:sz w:val="24"/>
        </w:rPr>
      </w:pPr>
    </w:p>
    <w:p w:rsidR="0058771F" w:rsidRPr="00DD0528" w:rsidP="004220A4" w14:paraId="00000039" w14:textId="31825449">
      <w:pPr>
        <w:rPr>
          <w:sz w:val="24"/>
        </w:rPr>
      </w:pPr>
      <w:r w:rsidRPr="00DD0528">
        <w:rPr>
          <w:sz w:val="24"/>
        </w:rPr>
        <w:t xml:space="preserve">The </w:t>
      </w:r>
      <w:r w:rsidRPr="00DD0528" w:rsidR="0053618B">
        <w:rPr>
          <w:sz w:val="24"/>
        </w:rPr>
        <w:t>final rule published on November 16, 2023 (88 FR 78817)</w:t>
      </w:r>
      <w:r w:rsidRPr="00DD0528">
        <w:rPr>
          <w:sz w:val="24"/>
        </w:rPr>
        <w:t>.</w:t>
      </w:r>
    </w:p>
    <w:p w:rsidR="00CD7287" w:rsidRPr="00DD0528" w:rsidP="004220A4" w14:paraId="01F3CFFF" w14:textId="77777777">
      <w:pPr>
        <w:rPr>
          <w:sz w:val="24"/>
        </w:rPr>
      </w:pPr>
    </w:p>
    <w:p w:rsidR="00CD7287" w:rsidP="00CD7287" w14:paraId="6418AA31" w14:textId="6509E346">
      <w:pPr>
        <w:rPr>
          <w:sz w:val="24"/>
        </w:rPr>
      </w:pPr>
      <w:r w:rsidRPr="00DD0528">
        <w:rPr>
          <w:sz w:val="24"/>
        </w:rPr>
        <w:t xml:space="preserve">As the collection expired in March 2023, we were unable to submit the final rule package via ROCIS. The collection was reinstated </w:t>
      </w:r>
      <w:r w:rsidRPr="00DD0528" w:rsidR="003B1961">
        <w:rPr>
          <w:sz w:val="24"/>
        </w:rPr>
        <w:t>on</w:t>
      </w:r>
      <w:r w:rsidRPr="00DD0528">
        <w:rPr>
          <w:sz w:val="24"/>
        </w:rPr>
        <w:t xml:space="preserve"> July </w:t>
      </w:r>
      <w:r w:rsidRPr="00DD0528" w:rsidR="003B1961">
        <w:rPr>
          <w:sz w:val="24"/>
        </w:rPr>
        <w:t xml:space="preserve">31, </w:t>
      </w:r>
      <w:r w:rsidRPr="00DD0528">
        <w:rPr>
          <w:sz w:val="24"/>
        </w:rPr>
        <w:t>2024. We are making up for the delay by submitting the package in August 2024.</w:t>
      </w:r>
    </w:p>
    <w:p w:rsidR="00CD7287" w:rsidP="004220A4" w14:paraId="231B0E95" w14:textId="77777777">
      <w:pPr>
        <w:rPr>
          <w:sz w:val="24"/>
        </w:rPr>
      </w:pPr>
    </w:p>
    <w:p w:rsidR="00AE44B1" w:rsidP="00AE44B1" w14:paraId="6616E819" w14:textId="77777777">
      <w:pPr>
        <w:rPr>
          <w:sz w:val="24"/>
        </w:rPr>
      </w:pPr>
      <w:r w:rsidRPr="00DD0528">
        <w:rPr>
          <w:sz w:val="24"/>
        </w:rPr>
        <w:t>We did not receive any comments related to th</w:t>
      </w:r>
      <w:r>
        <w:rPr>
          <w:sz w:val="24"/>
        </w:rPr>
        <w:t>e NPRM’s</w:t>
      </w:r>
      <w:r w:rsidRPr="00DD0528">
        <w:rPr>
          <w:sz w:val="24"/>
        </w:rPr>
        <w:t xml:space="preserve"> collection of information requ</w:t>
      </w:r>
      <w:r>
        <w:rPr>
          <w:sz w:val="24"/>
        </w:rPr>
        <w:t xml:space="preserve">irements/burden or the 60- and 30-day reinstatement’s </w:t>
      </w:r>
      <w:r w:rsidRPr="00DD0528">
        <w:rPr>
          <w:sz w:val="24"/>
        </w:rPr>
        <w:t>collection of information</w:t>
      </w:r>
      <w:r>
        <w:rPr>
          <w:sz w:val="24"/>
        </w:rPr>
        <w:t xml:space="preserve"> request</w:t>
      </w:r>
      <w:r w:rsidRPr="00DD0528">
        <w:rPr>
          <w:sz w:val="24"/>
        </w:rPr>
        <w:t>.</w:t>
      </w:r>
    </w:p>
    <w:p w:rsidR="00AE44B1" w:rsidP="004220A4" w14:paraId="112F7E8F" w14:textId="77777777">
      <w:pPr>
        <w:rPr>
          <w:sz w:val="24"/>
        </w:rPr>
      </w:pPr>
    </w:p>
    <w:p w:rsidR="0058771F" w:rsidRPr="004220A4" w:rsidP="004220A4" w14:paraId="0000003C" w14:textId="77777777">
      <w:pPr>
        <w:rPr>
          <w:sz w:val="24"/>
          <w:u w:val="single"/>
        </w:rPr>
      </w:pPr>
      <w:r w:rsidRPr="004220A4">
        <w:rPr>
          <w:sz w:val="24"/>
          <w:u w:val="single"/>
        </w:rPr>
        <w:t>9. Payment/Gift to Respondent</w:t>
      </w:r>
    </w:p>
    <w:p w:rsidR="0058771F" w:rsidP="004220A4" w14:paraId="0000003D" w14:textId="77777777">
      <w:pPr>
        <w:rPr>
          <w:sz w:val="24"/>
        </w:rPr>
      </w:pPr>
    </w:p>
    <w:p w:rsidR="0058771F" w:rsidP="004220A4" w14:paraId="0000003E" w14:textId="06012490">
      <w:pPr>
        <w:rPr>
          <w:sz w:val="24"/>
        </w:rPr>
      </w:pPr>
      <w:r>
        <w:rPr>
          <w:sz w:val="24"/>
        </w:rPr>
        <w:t xml:space="preserve">There </w:t>
      </w:r>
      <w:r w:rsidR="00991765">
        <w:rPr>
          <w:sz w:val="24"/>
        </w:rPr>
        <w:t xml:space="preserve">are </w:t>
      </w:r>
      <w:r>
        <w:rPr>
          <w:sz w:val="24"/>
        </w:rPr>
        <w:t>no payment</w:t>
      </w:r>
      <w:r w:rsidR="00991765">
        <w:rPr>
          <w:sz w:val="24"/>
        </w:rPr>
        <w:t>s</w:t>
      </w:r>
      <w:r>
        <w:rPr>
          <w:sz w:val="24"/>
        </w:rPr>
        <w:t>/gift</w:t>
      </w:r>
      <w:r w:rsidR="00991765">
        <w:rPr>
          <w:sz w:val="24"/>
        </w:rPr>
        <w:t>s</w:t>
      </w:r>
      <w:r>
        <w:rPr>
          <w:sz w:val="24"/>
        </w:rPr>
        <w:t xml:space="preserve"> to </w:t>
      </w:r>
      <w:r w:rsidR="00991765">
        <w:rPr>
          <w:sz w:val="24"/>
        </w:rPr>
        <w:t xml:space="preserve">any of the </w:t>
      </w:r>
      <w:r>
        <w:rPr>
          <w:sz w:val="24"/>
        </w:rPr>
        <w:t>respondent</w:t>
      </w:r>
      <w:r w:rsidR="00991765">
        <w:rPr>
          <w:sz w:val="24"/>
        </w:rPr>
        <w:t>s</w:t>
      </w:r>
      <w:r>
        <w:rPr>
          <w:sz w:val="24"/>
        </w:rPr>
        <w:t>.</w:t>
      </w:r>
    </w:p>
    <w:p w:rsidR="0058771F" w:rsidP="004220A4" w14:paraId="0000003F" w14:textId="77777777">
      <w:pPr>
        <w:rPr>
          <w:sz w:val="24"/>
        </w:rPr>
      </w:pPr>
    </w:p>
    <w:p w:rsidR="0058771F" w:rsidRPr="004220A4" w:rsidP="004220A4" w14:paraId="00000040" w14:textId="77777777">
      <w:pPr>
        <w:rPr>
          <w:sz w:val="24"/>
          <w:u w:val="single"/>
        </w:rPr>
      </w:pPr>
      <w:r w:rsidRPr="004220A4">
        <w:rPr>
          <w:sz w:val="24"/>
          <w:u w:val="single"/>
        </w:rPr>
        <w:t>10. Confidentiality</w:t>
      </w:r>
    </w:p>
    <w:p w:rsidR="0058771F" w:rsidP="004220A4" w14:paraId="00000041" w14:textId="77777777">
      <w:pPr>
        <w:rPr>
          <w:sz w:val="24"/>
        </w:rPr>
      </w:pPr>
    </w:p>
    <w:p w:rsidR="00315352" w:rsidP="004220A4" w14:paraId="2C7E125A" w14:textId="01585141">
      <w:pPr>
        <w:rPr>
          <w:sz w:val="24"/>
        </w:rPr>
      </w:pPr>
      <w:r w:rsidRPr="00315352">
        <w:rPr>
          <w:sz w:val="24"/>
        </w:rPr>
        <w:t>Data collected will be kept confidential to the extent provided by law. Documents related to the collection, use, or disclosure of individually identifiable or protected health information pursuant to implementing these conditions of participation are subject to the protections and standards of the Privacy Act of 1974 and the Health Insurance Portability and Accountability Act (HIPAA) Privacy Rule.</w:t>
      </w:r>
    </w:p>
    <w:p w:rsidR="0058771F" w:rsidP="004220A4" w14:paraId="00000043" w14:textId="77777777">
      <w:pPr>
        <w:rPr>
          <w:sz w:val="24"/>
        </w:rPr>
      </w:pPr>
    </w:p>
    <w:p w:rsidR="0058771F" w:rsidRPr="004220A4" w:rsidP="004220A4" w14:paraId="00000044" w14:textId="77777777">
      <w:pPr>
        <w:rPr>
          <w:sz w:val="24"/>
          <w:u w:val="single"/>
        </w:rPr>
      </w:pPr>
      <w:r w:rsidRPr="004220A4">
        <w:rPr>
          <w:sz w:val="24"/>
          <w:u w:val="single"/>
        </w:rPr>
        <w:t>11. Sensitive Questions</w:t>
      </w:r>
    </w:p>
    <w:p w:rsidR="0058771F" w:rsidP="004220A4" w14:paraId="00000045" w14:textId="77777777">
      <w:pPr>
        <w:rPr>
          <w:sz w:val="24"/>
        </w:rPr>
      </w:pPr>
    </w:p>
    <w:p w:rsidR="0058771F" w:rsidP="004220A4" w14:paraId="00000046" w14:textId="1AB501CC">
      <w:pPr>
        <w:rPr>
          <w:sz w:val="24"/>
        </w:rPr>
      </w:pPr>
      <w:r w:rsidRPr="007B680D">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58771F" w:rsidP="004220A4" w14:paraId="00000049" w14:textId="77777777">
      <w:pPr>
        <w:rPr>
          <w:sz w:val="24"/>
        </w:rPr>
      </w:pPr>
    </w:p>
    <w:p w:rsidR="0058771F" w:rsidRPr="004220A4" w:rsidP="004220A4" w14:paraId="0000004D" w14:textId="1E7E4782">
      <w:pPr>
        <w:rPr>
          <w:sz w:val="24"/>
          <w:u w:val="single"/>
        </w:rPr>
      </w:pPr>
      <w:r w:rsidRPr="004220A4">
        <w:rPr>
          <w:sz w:val="24"/>
          <w:u w:val="single"/>
        </w:rPr>
        <w:t>12. Burden Estimate</w:t>
      </w:r>
      <w:r w:rsidRPr="004220A4" w:rsidR="004220A4">
        <w:rPr>
          <w:sz w:val="24"/>
          <w:u w:val="single"/>
        </w:rPr>
        <w:t>s</w:t>
      </w:r>
    </w:p>
    <w:p w:rsidR="0058771F" w:rsidP="004220A4" w14:paraId="0000004E" w14:textId="77777777">
      <w:pPr>
        <w:rPr>
          <w:sz w:val="24"/>
        </w:rPr>
      </w:pPr>
    </w:p>
    <w:p w:rsidR="00996770" w:rsidP="00996770" w14:paraId="43211900" w14:textId="43DE0B60">
      <w:pPr>
        <w:rPr>
          <w:b/>
          <w:sz w:val="24"/>
        </w:rPr>
      </w:pPr>
      <w:r w:rsidRPr="00E72143">
        <w:rPr>
          <w:sz w:val="24"/>
        </w:rPr>
        <w:t>We are not including the burden associated with certain patient-related activities under the Conditions of Participation for RHCs and FQHCs because the activities are considered usual and customary business practices and are exempt from the PRA in accordance with 5 CFR</w:t>
      </w:r>
      <w:r w:rsidR="006B6808">
        <w:rPr>
          <w:sz w:val="24"/>
        </w:rPr>
        <w:t xml:space="preserve"> </w:t>
      </w:r>
      <w:r w:rsidRPr="00E72143">
        <w:rPr>
          <w:sz w:val="24"/>
        </w:rPr>
        <w:t>1320.3(b)(2). For example, staff at RHCs and FQHCs are required to maintain the records and ensure they are completely and accurately documented, readily accessible, and systematically organized per §</w:t>
      </w:r>
      <w:r w:rsidR="00B47FDC">
        <w:rPr>
          <w:sz w:val="24"/>
        </w:rPr>
        <w:t xml:space="preserve"> </w:t>
      </w:r>
      <w:r w:rsidRPr="00E72143">
        <w:rPr>
          <w:sz w:val="24"/>
        </w:rPr>
        <w:t>449.10. Yet this activity would take place even in the absence of the Medicare and Medicaid programs. Therefore, we have included only the burden created by §</w:t>
      </w:r>
      <w:r w:rsidR="00B47FDC">
        <w:rPr>
          <w:sz w:val="24"/>
        </w:rPr>
        <w:t xml:space="preserve"> </w:t>
      </w:r>
      <w:r w:rsidRPr="00E72143">
        <w:rPr>
          <w:sz w:val="24"/>
        </w:rPr>
        <w:t xml:space="preserve">491.9(b) - </w:t>
      </w:r>
      <w:r w:rsidR="00B47FDC">
        <w:rPr>
          <w:sz w:val="24"/>
        </w:rPr>
        <w:t>P</w:t>
      </w:r>
      <w:r w:rsidRPr="00E72143">
        <w:rPr>
          <w:sz w:val="24"/>
        </w:rPr>
        <w:t>atient care policies and §</w:t>
      </w:r>
      <w:r w:rsidR="00B47FDC">
        <w:rPr>
          <w:sz w:val="24"/>
        </w:rPr>
        <w:t xml:space="preserve"> </w:t>
      </w:r>
      <w:r w:rsidRPr="00E72143">
        <w:rPr>
          <w:sz w:val="24"/>
        </w:rPr>
        <w:t xml:space="preserve">491.11 - </w:t>
      </w:r>
      <w:r w:rsidR="00B47FDC">
        <w:rPr>
          <w:sz w:val="24"/>
        </w:rPr>
        <w:t>P</w:t>
      </w:r>
      <w:r w:rsidRPr="00E72143">
        <w:rPr>
          <w:sz w:val="24"/>
        </w:rPr>
        <w:t>rogram evaluation.</w:t>
      </w:r>
    </w:p>
    <w:p w:rsidR="00996770" w:rsidP="00996770" w14:paraId="67C8FD86" w14:textId="77777777">
      <w:pPr>
        <w:rPr>
          <w:sz w:val="24"/>
        </w:rPr>
      </w:pPr>
    </w:p>
    <w:p w:rsidR="00996770" w:rsidP="00996770" w14:paraId="24B2E66E" w14:textId="6EF5FFCD">
      <w:pPr>
        <w:rPr>
          <w:sz w:val="24"/>
        </w:rPr>
      </w:pPr>
      <w:r>
        <w:rPr>
          <w:sz w:val="24"/>
        </w:rPr>
        <w:t xml:space="preserve">This ICR also does not include the burden on </w:t>
      </w:r>
      <w:r w:rsidR="00E26C4F">
        <w:rPr>
          <w:sz w:val="24"/>
        </w:rPr>
        <w:t>RHCs and FQHCs</w:t>
      </w:r>
      <w:r>
        <w:rPr>
          <w:sz w:val="24"/>
        </w:rPr>
        <w:t xml:space="preserve"> associated with the “Emergency Preparedness Requirements for Medicare and Medicaid Participating Providers and Suppliers” which is </w:t>
      </w:r>
      <w:r w:rsidR="00CD136C">
        <w:rPr>
          <w:sz w:val="24"/>
        </w:rPr>
        <w:t xml:space="preserve">approved by </w:t>
      </w:r>
      <w:hyperlink r:id="rId11">
        <w:r>
          <w:rPr>
            <w:color w:val="1155CC"/>
            <w:sz w:val="24"/>
            <w:u w:val="single"/>
          </w:rPr>
          <w:t xml:space="preserve">OMB </w:t>
        </w:r>
        <w:r w:rsidR="00CD136C">
          <w:rPr>
            <w:color w:val="1155CC"/>
            <w:sz w:val="24"/>
            <w:u w:val="single"/>
          </w:rPr>
          <w:t xml:space="preserve">under </w:t>
        </w:r>
        <w:r>
          <w:rPr>
            <w:color w:val="1155CC"/>
            <w:sz w:val="24"/>
            <w:u w:val="single"/>
          </w:rPr>
          <w:t>control number 0938-1325</w:t>
        </w:r>
      </w:hyperlink>
      <w:r>
        <w:rPr>
          <w:color w:val="1155CC"/>
          <w:sz w:val="24"/>
          <w:u w:val="single"/>
        </w:rPr>
        <w:t>.</w:t>
      </w:r>
    </w:p>
    <w:p w:rsidR="00996770" w:rsidP="004220A4" w14:paraId="6914E9D0" w14:textId="77777777">
      <w:pPr>
        <w:rPr>
          <w:sz w:val="24"/>
        </w:rPr>
      </w:pPr>
    </w:p>
    <w:p w:rsidR="00996770" w:rsidRPr="00CB2A63" w:rsidP="004220A4" w14:paraId="167E5A4E" w14:textId="289E1700">
      <w:pPr>
        <w:rPr>
          <w:i/>
          <w:iCs/>
          <w:sz w:val="24"/>
        </w:rPr>
      </w:pPr>
      <w:r w:rsidRPr="00CB2A63">
        <w:rPr>
          <w:i/>
          <w:iCs/>
          <w:sz w:val="24"/>
        </w:rPr>
        <w:t xml:space="preserve">Labor and </w:t>
      </w:r>
      <w:r w:rsidRPr="00CB2A63" w:rsidR="000E462E">
        <w:rPr>
          <w:i/>
          <w:iCs/>
          <w:sz w:val="24"/>
        </w:rPr>
        <w:t>Wages</w:t>
      </w:r>
    </w:p>
    <w:p w:rsidR="00485D3A" w:rsidRPr="00CB2A63" w:rsidP="004220A4" w14:paraId="0CF02D05" w14:textId="77777777">
      <w:pPr>
        <w:rPr>
          <w:sz w:val="24"/>
        </w:rPr>
      </w:pPr>
    </w:p>
    <w:p w:rsidR="000E462E" w:rsidRPr="00CB2A63" w:rsidP="000E462E" w14:paraId="4BD1B2E3" w14:textId="67DB5E40">
      <w:pPr>
        <w:autoSpaceDE/>
        <w:adjustRightInd/>
        <w:rPr>
          <w:rFonts w:eastAsia="Calibri"/>
          <w:sz w:val="24"/>
        </w:rPr>
      </w:pPr>
      <w:r w:rsidRPr="00CB2A63">
        <w:rPr>
          <w:rFonts w:eastAsia="Calibri"/>
          <w:sz w:val="24"/>
        </w:rPr>
        <w:t xml:space="preserve">To derive average costs, we used data from the U.S. Bureau of Labor Statistics’ May 2023 National </w:t>
      </w:r>
      <w:bookmarkStart w:id="1" w:name="_Hlk173492676"/>
      <w:r w:rsidRPr="00CB2A63">
        <w:rPr>
          <w:rFonts w:eastAsia="Calibri"/>
          <w:sz w:val="24"/>
        </w:rPr>
        <w:t xml:space="preserve">Occupational Employment and Wage Estimates </w:t>
      </w:r>
      <w:bookmarkEnd w:id="1"/>
      <w:r w:rsidRPr="00CB2A63">
        <w:rPr>
          <w:rFonts w:eastAsia="Calibri"/>
          <w:sz w:val="24"/>
        </w:rPr>
        <w:t>for all salary estimates (</w:t>
      </w:r>
      <w:hyperlink r:id="rId12" w:history="1">
        <w:r w:rsidRPr="00CB2A63" w:rsidR="00153B04">
          <w:rPr>
            <w:rStyle w:val="Hyperlink"/>
            <w:sz w:val="24"/>
          </w:rPr>
          <w:t>https://www.bls.gov/oes/2023/may/oes_nat.htm</w:t>
        </w:r>
      </w:hyperlink>
      <w:r w:rsidRPr="00CB2A63">
        <w:rPr>
          <w:rFonts w:eastAsia="Calibri"/>
          <w:sz w:val="24"/>
        </w:rPr>
        <w:t xml:space="preserve">). In this regard, the following table </w:t>
      </w:r>
      <w:r w:rsidRPr="00CB2A63" w:rsidR="00485D3A">
        <w:rPr>
          <w:rFonts w:eastAsia="Calibri"/>
          <w:sz w:val="24"/>
        </w:rPr>
        <w:t xml:space="preserve">(Table 1) </w:t>
      </w:r>
      <w:r w:rsidRPr="00CB2A63">
        <w:rPr>
          <w:rFonts w:eastAsia="Calibri"/>
          <w:sz w:val="24"/>
        </w:rPr>
        <w:t>presents BLS’ mean hourly wage, our estimated cost of fringe benefits and other indirect costs (calculated at 100 percent of salary), and our adjusted hourly wage</w:t>
      </w:r>
      <w:r w:rsidRPr="00CB2A63" w:rsidR="00485D3A">
        <w:rPr>
          <w:rFonts w:eastAsia="Calibri"/>
          <w:sz w:val="24"/>
        </w:rPr>
        <w:t>.</w:t>
      </w:r>
    </w:p>
    <w:p w:rsidR="007E5685" w:rsidRPr="00CB2A63" w:rsidP="000E462E" w14:paraId="0CDA8748" w14:textId="77777777">
      <w:pPr>
        <w:autoSpaceDE/>
        <w:adjustRightInd/>
        <w:rPr>
          <w:rFonts w:eastAsia="Calibri"/>
          <w:sz w:val="24"/>
        </w:rPr>
      </w:pPr>
    </w:p>
    <w:p w:rsidR="0080744D" w:rsidRPr="00CB2A63" w:rsidP="00F77274" w14:paraId="629E289E" w14:textId="751A05EF">
      <w:pPr>
        <w:autoSpaceDE/>
        <w:adjustRightInd/>
        <w:jc w:val="center"/>
        <w:rPr>
          <w:rFonts w:eastAsia="Calibri"/>
          <w:sz w:val="24"/>
        </w:rPr>
      </w:pPr>
      <w:r w:rsidRPr="00CB2A63">
        <w:rPr>
          <w:rFonts w:eastAsia="Calibri"/>
          <w:sz w:val="24"/>
        </w:rPr>
        <w:t>Table 1</w:t>
      </w:r>
      <w:r w:rsidRPr="00CB2A63" w:rsidR="00AD4939">
        <w:rPr>
          <w:rFonts w:eastAsia="Calibri"/>
          <w:sz w:val="24"/>
        </w:rPr>
        <w:t>.</w:t>
      </w:r>
      <w:r w:rsidRPr="00CB2A63">
        <w:rPr>
          <w:rFonts w:eastAsia="Calibri"/>
          <w:sz w:val="24"/>
        </w:rPr>
        <w:t xml:space="preserve"> Occupational Employment and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1809"/>
        <w:gridCol w:w="1733"/>
        <w:gridCol w:w="1738"/>
        <w:gridCol w:w="1767"/>
      </w:tblGrid>
      <w:tr w14:paraId="0C9D661C" w14:textId="77777777" w:rsidTr="00F7727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041" w:type="dxa"/>
            <w:tcBorders>
              <w:top w:val="single" w:sz="4" w:space="0" w:color="auto"/>
              <w:left w:val="single" w:sz="4" w:space="0" w:color="auto"/>
              <w:bottom w:val="single" w:sz="4" w:space="0" w:color="auto"/>
              <w:right w:val="single" w:sz="4" w:space="0" w:color="auto"/>
            </w:tcBorders>
            <w:hideMark/>
          </w:tcPr>
          <w:p w:rsidR="00485D3A" w:rsidRPr="00CB2A63" w:rsidP="001928B3" w14:paraId="0648D346" w14:textId="77777777">
            <w:pPr>
              <w:autoSpaceDE/>
              <w:adjustRightInd/>
              <w:rPr>
                <w:rFonts w:eastAsia="Calibri"/>
                <w:szCs w:val="20"/>
              </w:rPr>
            </w:pPr>
            <w:r w:rsidRPr="00CB2A63">
              <w:rPr>
                <w:rFonts w:eastAsia="Calibri"/>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rsidR="00485D3A" w:rsidRPr="00CB2A63" w:rsidP="001928B3" w14:paraId="32DDE851" w14:textId="77777777">
            <w:pPr>
              <w:autoSpaceDE/>
              <w:adjustRightInd/>
              <w:rPr>
                <w:rFonts w:eastAsia="Calibri"/>
                <w:szCs w:val="20"/>
              </w:rPr>
            </w:pPr>
            <w:r w:rsidRPr="00CB2A63">
              <w:rPr>
                <w:rFonts w:eastAsia="Calibri"/>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rsidR="00485D3A" w:rsidRPr="00CB2A63" w:rsidP="001928B3" w14:paraId="062634A2" w14:textId="77777777">
            <w:pPr>
              <w:autoSpaceDE/>
              <w:adjustRightInd/>
              <w:jc w:val="center"/>
              <w:rPr>
                <w:rFonts w:eastAsia="Calibri"/>
                <w:szCs w:val="20"/>
              </w:rPr>
            </w:pPr>
            <w:r w:rsidRPr="00CB2A63">
              <w:rPr>
                <w:rFonts w:eastAsia="Calibri"/>
                <w:szCs w:val="20"/>
              </w:rPr>
              <w:t>Mean Hourly Wage</w:t>
            </w:r>
          </w:p>
          <w:p w:rsidR="00485D3A" w:rsidRPr="00CB2A63" w:rsidP="001928B3" w14:paraId="02BDF017" w14:textId="77777777">
            <w:pPr>
              <w:autoSpaceDE/>
              <w:adjustRightInd/>
              <w:jc w:val="center"/>
              <w:rPr>
                <w:rFonts w:eastAsia="Calibri"/>
                <w:szCs w:val="20"/>
              </w:rPr>
            </w:pPr>
            <w:r w:rsidRPr="00CB2A63">
              <w:rPr>
                <w:rFonts w:eastAsia="Calibri"/>
                <w:szCs w:val="20"/>
              </w:rPr>
              <w:t>($/hr)</w:t>
            </w:r>
          </w:p>
        </w:tc>
        <w:tc>
          <w:tcPr>
            <w:tcW w:w="1738" w:type="dxa"/>
            <w:tcBorders>
              <w:top w:val="single" w:sz="4" w:space="0" w:color="auto"/>
              <w:left w:val="single" w:sz="4" w:space="0" w:color="auto"/>
              <w:bottom w:val="single" w:sz="4" w:space="0" w:color="auto"/>
              <w:right w:val="single" w:sz="4" w:space="0" w:color="auto"/>
            </w:tcBorders>
            <w:hideMark/>
          </w:tcPr>
          <w:p w:rsidR="00485D3A" w:rsidRPr="00CB2A63" w:rsidP="001928B3" w14:paraId="4BB04F89" w14:textId="77777777">
            <w:pPr>
              <w:autoSpaceDE/>
              <w:adjustRightInd/>
              <w:jc w:val="center"/>
              <w:rPr>
                <w:rFonts w:eastAsia="Calibri"/>
                <w:szCs w:val="20"/>
              </w:rPr>
            </w:pPr>
            <w:r w:rsidRPr="00CB2A63">
              <w:rPr>
                <w:rFonts w:eastAsia="Calibri"/>
                <w:szCs w:val="20"/>
              </w:rPr>
              <w:t>Fringe Benefits and Other Indirect Costs</w:t>
            </w:r>
          </w:p>
          <w:p w:rsidR="00485D3A" w:rsidRPr="00CB2A63" w:rsidP="001928B3" w14:paraId="45E828EB" w14:textId="77777777">
            <w:pPr>
              <w:autoSpaceDE/>
              <w:adjustRightInd/>
              <w:jc w:val="center"/>
              <w:rPr>
                <w:rFonts w:eastAsia="Calibri"/>
                <w:szCs w:val="20"/>
              </w:rPr>
            </w:pPr>
            <w:r w:rsidRPr="00CB2A63">
              <w:rPr>
                <w:rFonts w:eastAsia="Calibri"/>
                <w:szCs w:val="20"/>
              </w:rPr>
              <w:t>($/hr)</w:t>
            </w:r>
          </w:p>
        </w:tc>
        <w:tc>
          <w:tcPr>
            <w:tcW w:w="1767" w:type="dxa"/>
            <w:tcBorders>
              <w:top w:val="single" w:sz="4" w:space="0" w:color="auto"/>
              <w:left w:val="single" w:sz="4" w:space="0" w:color="auto"/>
              <w:bottom w:val="single" w:sz="4" w:space="0" w:color="auto"/>
              <w:right w:val="single" w:sz="4" w:space="0" w:color="auto"/>
            </w:tcBorders>
            <w:hideMark/>
          </w:tcPr>
          <w:p w:rsidR="00485D3A" w:rsidRPr="00CB2A63" w:rsidP="001928B3" w14:paraId="76768A4C" w14:textId="77777777">
            <w:pPr>
              <w:autoSpaceDE/>
              <w:adjustRightInd/>
              <w:jc w:val="center"/>
              <w:rPr>
                <w:rFonts w:eastAsia="Calibri"/>
                <w:szCs w:val="20"/>
              </w:rPr>
            </w:pPr>
            <w:r w:rsidRPr="00CB2A63">
              <w:rPr>
                <w:rFonts w:eastAsia="Calibri"/>
                <w:szCs w:val="20"/>
              </w:rPr>
              <w:t>Adjusted Hourly Wage</w:t>
            </w:r>
          </w:p>
          <w:p w:rsidR="00485D3A" w:rsidRPr="00CB2A63" w:rsidP="001928B3" w14:paraId="3CA47807" w14:textId="77777777">
            <w:pPr>
              <w:autoSpaceDE/>
              <w:adjustRightInd/>
              <w:jc w:val="center"/>
              <w:rPr>
                <w:rFonts w:eastAsia="Calibri"/>
                <w:szCs w:val="20"/>
              </w:rPr>
            </w:pPr>
            <w:r w:rsidRPr="00CB2A63">
              <w:rPr>
                <w:rFonts w:eastAsia="Calibri"/>
                <w:szCs w:val="20"/>
              </w:rPr>
              <w:t>($/hr)</w:t>
            </w:r>
          </w:p>
        </w:tc>
      </w:tr>
      <w:tr w14:paraId="2C7F4C5F" w14:textId="77777777" w:rsidTr="00F77274">
        <w:tblPrEx>
          <w:tblW w:w="0" w:type="auto"/>
          <w:tblLook w:val="04A0"/>
        </w:tblPrEx>
        <w:trPr>
          <w:cantSplit/>
        </w:trPr>
        <w:tc>
          <w:tcPr>
            <w:tcW w:w="2041" w:type="dxa"/>
            <w:tcBorders>
              <w:top w:val="single" w:sz="4" w:space="0" w:color="auto"/>
              <w:left w:val="single" w:sz="4" w:space="0" w:color="auto"/>
              <w:bottom w:val="single" w:sz="4" w:space="0" w:color="auto"/>
              <w:right w:val="single" w:sz="4" w:space="0" w:color="auto"/>
            </w:tcBorders>
            <w:hideMark/>
          </w:tcPr>
          <w:p w:rsidR="00485D3A" w:rsidRPr="00CB2A63" w:rsidP="001928B3" w14:paraId="6004EE5C" w14:textId="77777777">
            <w:pPr>
              <w:autoSpaceDE/>
              <w:adjustRightInd/>
              <w:rPr>
                <w:rFonts w:eastAsia="Calibri"/>
                <w:szCs w:val="20"/>
              </w:rPr>
            </w:pPr>
            <w:r w:rsidRPr="00CB2A63">
              <w:rPr>
                <w:rFonts w:eastAsia="Calibri"/>
                <w:szCs w:val="20"/>
              </w:rPr>
              <w:t>Physicians</w:t>
            </w:r>
          </w:p>
        </w:tc>
        <w:tc>
          <w:tcPr>
            <w:tcW w:w="1809" w:type="dxa"/>
            <w:tcBorders>
              <w:top w:val="single" w:sz="4" w:space="0" w:color="auto"/>
              <w:left w:val="single" w:sz="4" w:space="0" w:color="auto"/>
              <w:bottom w:val="single" w:sz="4" w:space="0" w:color="auto"/>
              <w:right w:val="single" w:sz="4" w:space="0" w:color="auto"/>
            </w:tcBorders>
            <w:hideMark/>
          </w:tcPr>
          <w:p w:rsidR="00485D3A" w:rsidRPr="00CB2A63" w:rsidP="001928B3" w14:paraId="38391990" w14:textId="77777777">
            <w:pPr>
              <w:autoSpaceDE/>
              <w:adjustRightInd/>
              <w:rPr>
                <w:rFonts w:eastAsia="Calibri"/>
                <w:szCs w:val="20"/>
              </w:rPr>
            </w:pPr>
            <w:r w:rsidRPr="00CB2A63">
              <w:rPr>
                <w:rFonts w:eastAsia="Calibri"/>
                <w:szCs w:val="20"/>
              </w:rPr>
              <w:t>29-1210</w:t>
            </w:r>
          </w:p>
        </w:tc>
        <w:tc>
          <w:tcPr>
            <w:tcW w:w="1733" w:type="dxa"/>
            <w:tcBorders>
              <w:top w:val="single" w:sz="4" w:space="0" w:color="auto"/>
              <w:left w:val="single" w:sz="4" w:space="0" w:color="auto"/>
              <w:bottom w:val="single" w:sz="4" w:space="0" w:color="auto"/>
              <w:right w:val="single" w:sz="4" w:space="0" w:color="auto"/>
            </w:tcBorders>
            <w:hideMark/>
          </w:tcPr>
          <w:p w:rsidR="00485D3A" w:rsidRPr="00CB2A63" w:rsidP="001928B3" w14:paraId="01967080" w14:textId="77777777">
            <w:pPr>
              <w:autoSpaceDE/>
              <w:adjustRightInd/>
              <w:jc w:val="center"/>
              <w:rPr>
                <w:rFonts w:eastAsia="Calibri"/>
                <w:szCs w:val="20"/>
              </w:rPr>
            </w:pPr>
            <w:r w:rsidRPr="00CB2A63">
              <w:rPr>
                <w:rFonts w:eastAsia="Calibri"/>
                <w:szCs w:val="20"/>
              </w:rPr>
              <w:t>126.85</w:t>
            </w:r>
          </w:p>
        </w:tc>
        <w:tc>
          <w:tcPr>
            <w:tcW w:w="1738" w:type="dxa"/>
            <w:tcBorders>
              <w:top w:val="single" w:sz="4" w:space="0" w:color="auto"/>
              <w:left w:val="single" w:sz="4" w:space="0" w:color="auto"/>
              <w:bottom w:val="single" w:sz="4" w:space="0" w:color="auto"/>
              <w:right w:val="single" w:sz="4" w:space="0" w:color="auto"/>
            </w:tcBorders>
            <w:hideMark/>
          </w:tcPr>
          <w:p w:rsidR="00485D3A" w:rsidRPr="00CB2A63" w:rsidP="001928B3" w14:paraId="0366810C" w14:textId="77777777">
            <w:pPr>
              <w:autoSpaceDE/>
              <w:adjustRightInd/>
              <w:jc w:val="center"/>
              <w:rPr>
                <w:rFonts w:eastAsia="Calibri"/>
                <w:szCs w:val="20"/>
              </w:rPr>
            </w:pPr>
            <w:r w:rsidRPr="00CB2A63">
              <w:rPr>
                <w:rFonts w:eastAsia="Calibri"/>
                <w:szCs w:val="20"/>
              </w:rPr>
              <w:t>126.85</w:t>
            </w:r>
          </w:p>
        </w:tc>
        <w:tc>
          <w:tcPr>
            <w:tcW w:w="1767" w:type="dxa"/>
            <w:tcBorders>
              <w:top w:val="single" w:sz="4" w:space="0" w:color="auto"/>
              <w:left w:val="single" w:sz="4" w:space="0" w:color="auto"/>
              <w:bottom w:val="single" w:sz="4" w:space="0" w:color="auto"/>
              <w:right w:val="single" w:sz="4" w:space="0" w:color="auto"/>
            </w:tcBorders>
            <w:hideMark/>
          </w:tcPr>
          <w:p w:rsidR="00485D3A" w:rsidRPr="00CB2A63" w:rsidP="001928B3" w14:paraId="0E7152B9" w14:textId="77777777">
            <w:pPr>
              <w:autoSpaceDE/>
              <w:adjustRightInd/>
              <w:jc w:val="center"/>
              <w:rPr>
                <w:rFonts w:eastAsia="Calibri"/>
                <w:szCs w:val="20"/>
              </w:rPr>
            </w:pPr>
            <w:r w:rsidRPr="00CB2A63">
              <w:rPr>
                <w:rFonts w:eastAsia="Calibri"/>
                <w:szCs w:val="20"/>
              </w:rPr>
              <w:t>253.70</w:t>
            </w:r>
          </w:p>
        </w:tc>
      </w:tr>
      <w:tr w14:paraId="11A36B97" w14:textId="77777777" w:rsidTr="00F77274">
        <w:tblPrEx>
          <w:tblW w:w="0" w:type="auto"/>
          <w:tblLook w:val="04A0"/>
        </w:tblPrEx>
        <w:trPr>
          <w:cantSplit/>
        </w:trPr>
        <w:tc>
          <w:tcPr>
            <w:tcW w:w="2041" w:type="dxa"/>
            <w:tcBorders>
              <w:top w:val="single" w:sz="4" w:space="0" w:color="auto"/>
              <w:left w:val="single" w:sz="4" w:space="0" w:color="auto"/>
              <w:bottom w:val="single" w:sz="4" w:space="0" w:color="auto"/>
              <w:right w:val="single" w:sz="4" w:space="0" w:color="auto"/>
            </w:tcBorders>
          </w:tcPr>
          <w:p w:rsidR="00485D3A" w:rsidRPr="00CB2A63" w:rsidP="001928B3" w14:paraId="2AA1A5D2" w14:textId="77777777">
            <w:pPr>
              <w:autoSpaceDE/>
              <w:adjustRightInd/>
              <w:rPr>
                <w:rFonts w:eastAsia="Calibri"/>
                <w:bCs/>
                <w:szCs w:val="20"/>
              </w:rPr>
            </w:pPr>
            <w:r w:rsidRPr="00CB2A63">
              <w:rPr>
                <w:rFonts w:eastAsia="Calibri"/>
                <w:bCs/>
                <w:szCs w:val="20"/>
              </w:rPr>
              <w:t>Practitioner: Mid-level (physician assistants and nurse practitioners)</w:t>
            </w:r>
          </w:p>
        </w:tc>
        <w:tc>
          <w:tcPr>
            <w:tcW w:w="1809" w:type="dxa"/>
            <w:tcBorders>
              <w:top w:val="single" w:sz="4" w:space="0" w:color="auto"/>
              <w:left w:val="single" w:sz="4" w:space="0" w:color="auto"/>
              <w:bottom w:val="single" w:sz="4" w:space="0" w:color="auto"/>
              <w:right w:val="single" w:sz="4" w:space="0" w:color="auto"/>
            </w:tcBorders>
          </w:tcPr>
          <w:p w:rsidR="00485D3A" w:rsidRPr="00CB2A63" w:rsidP="001928B3" w14:paraId="16633605" w14:textId="77777777">
            <w:pPr>
              <w:autoSpaceDE/>
              <w:adjustRightInd/>
              <w:rPr>
                <w:rFonts w:eastAsia="Calibri"/>
                <w:bCs/>
                <w:szCs w:val="20"/>
              </w:rPr>
            </w:pPr>
            <w:r w:rsidRPr="00CB2A63">
              <w:rPr>
                <w:rFonts w:eastAsia="Calibri"/>
                <w:bCs/>
                <w:szCs w:val="20"/>
              </w:rPr>
              <w:t>29-1071 (physician assistants)</w:t>
            </w:r>
          </w:p>
          <w:p w:rsidR="00485D3A" w:rsidRPr="00CB2A63" w:rsidP="001928B3" w14:paraId="771C114A" w14:textId="77777777">
            <w:pPr>
              <w:autoSpaceDE/>
              <w:adjustRightInd/>
              <w:rPr>
                <w:rFonts w:eastAsia="Calibri"/>
                <w:bCs/>
                <w:szCs w:val="20"/>
              </w:rPr>
            </w:pPr>
          </w:p>
          <w:p w:rsidR="00485D3A" w:rsidRPr="00CB2A63" w:rsidP="001928B3" w14:paraId="0AD03BEC" w14:textId="77777777">
            <w:pPr>
              <w:autoSpaceDE/>
              <w:adjustRightInd/>
              <w:rPr>
                <w:rFonts w:eastAsia="Calibri"/>
                <w:bCs/>
                <w:szCs w:val="20"/>
              </w:rPr>
            </w:pPr>
            <w:r w:rsidRPr="00CB2A63">
              <w:rPr>
                <w:rFonts w:eastAsia="Calibri"/>
                <w:bCs/>
                <w:szCs w:val="20"/>
              </w:rPr>
              <w:t>29-1171 (nurse practitioners)</w:t>
            </w:r>
          </w:p>
        </w:tc>
        <w:tc>
          <w:tcPr>
            <w:tcW w:w="1733" w:type="dxa"/>
            <w:tcBorders>
              <w:top w:val="single" w:sz="4" w:space="0" w:color="auto"/>
              <w:left w:val="single" w:sz="4" w:space="0" w:color="auto"/>
              <w:bottom w:val="single" w:sz="4" w:space="0" w:color="auto"/>
              <w:right w:val="single" w:sz="4" w:space="0" w:color="auto"/>
            </w:tcBorders>
          </w:tcPr>
          <w:p w:rsidR="00485D3A" w:rsidRPr="00CB2A63" w:rsidP="00740D65" w14:paraId="71977FE8" w14:textId="16E93866">
            <w:pPr>
              <w:autoSpaceDE/>
              <w:adjustRightInd/>
              <w:jc w:val="center"/>
              <w:rPr>
                <w:rFonts w:eastAsia="Calibri"/>
                <w:bCs/>
                <w:szCs w:val="20"/>
              </w:rPr>
            </w:pPr>
            <w:r w:rsidRPr="00CB2A63">
              <w:rPr>
                <w:rFonts w:eastAsia="Calibri"/>
                <w:bCs/>
                <w:szCs w:val="20"/>
              </w:rPr>
              <w:t>62.26 av</w:t>
            </w:r>
            <w:r w:rsidR="008A5A7D">
              <w:rPr>
                <w:rFonts w:eastAsia="Calibri"/>
                <w:bCs/>
                <w:szCs w:val="20"/>
              </w:rPr>
              <w:t>g</w:t>
            </w:r>
            <w:r w:rsidRPr="00CB2A63">
              <w:rPr>
                <w:rFonts w:eastAsia="Calibri"/>
                <w:bCs/>
                <w:szCs w:val="20"/>
              </w:rPr>
              <w:t xml:space="preserve"> [62.74 (physician assistants) + 61.78 (nurse practitioners)]</w:t>
            </w:r>
          </w:p>
        </w:tc>
        <w:tc>
          <w:tcPr>
            <w:tcW w:w="1738" w:type="dxa"/>
            <w:tcBorders>
              <w:top w:val="single" w:sz="4" w:space="0" w:color="auto"/>
              <w:left w:val="single" w:sz="4" w:space="0" w:color="auto"/>
              <w:bottom w:val="single" w:sz="4" w:space="0" w:color="auto"/>
              <w:right w:val="single" w:sz="4" w:space="0" w:color="auto"/>
            </w:tcBorders>
          </w:tcPr>
          <w:p w:rsidR="00485D3A" w:rsidRPr="00CB2A63" w:rsidP="001928B3" w14:paraId="5C12E9CE" w14:textId="77777777">
            <w:pPr>
              <w:autoSpaceDE/>
              <w:adjustRightInd/>
              <w:jc w:val="center"/>
              <w:rPr>
                <w:rFonts w:eastAsia="Calibri"/>
                <w:bCs/>
                <w:szCs w:val="20"/>
              </w:rPr>
            </w:pPr>
            <w:r w:rsidRPr="00CB2A63">
              <w:rPr>
                <w:rFonts w:eastAsia="Calibri"/>
                <w:bCs/>
                <w:szCs w:val="20"/>
              </w:rPr>
              <w:t>62.26</w:t>
            </w:r>
          </w:p>
        </w:tc>
        <w:tc>
          <w:tcPr>
            <w:tcW w:w="1767" w:type="dxa"/>
            <w:tcBorders>
              <w:top w:val="single" w:sz="4" w:space="0" w:color="auto"/>
              <w:left w:val="single" w:sz="4" w:space="0" w:color="auto"/>
              <w:bottom w:val="single" w:sz="4" w:space="0" w:color="auto"/>
              <w:right w:val="single" w:sz="4" w:space="0" w:color="auto"/>
            </w:tcBorders>
          </w:tcPr>
          <w:p w:rsidR="00485D3A" w:rsidRPr="00CB2A63" w:rsidP="001928B3" w14:paraId="5CA06DDC" w14:textId="77777777">
            <w:pPr>
              <w:autoSpaceDE/>
              <w:adjustRightInd/>
              <w:jc w:val="center"/>
              <w:rPr>
                <w:rFonts w:eastAsia="Calibri"/>
                <w:bCs/>
                <w:szCs w:val="20"/>
              </w:rPr>
            </w:pPr>
            <w:r w:rsidRPr="00CB2A63">
              <w:rPr>
                <w:rFonts w:eastAsia="Calibri"/>
                <w:bCs/>
                <w:szCs w:val="20"/>
              </w:rPr>
              <w:t>124.52</w:t>
            </w:r>
          </w:p>
        </w:tc>
      </w:tr>
    </w:tbl>
    <w:p w:rsidR="00485D3A" w:rsidRPr="00CB2A63" w:rsidP="000E462E" w14:paraId="1B5216F5" w14:textId="77777777">
      <w:pPr>
        <w:autoSpaceDE/>
        <w:adjustRightInd/>
        <w:rPr>
          <w:rFonts w:eastAsia="Calibri"/>
          <w:sz w:val="24"/>
        </w:rPr>
      </w:pPr>
    </w:p>
    <w:p w:rsidR="002574E9" w:rsidP="002574E9" w14:paraId="0618B425" w14:textId="77777777">
      <w:pPr>
        <w:autoSpaceDE/>
        <w:adjustRightInd/>
        <w:rPr>
          <w:rFonts w:eastAsia="Calibri"/>
          <w:sz w:val="24"/>
        </w:rPr>
      </w:pPr>
      <w:r w:rsidRPr="00CB2A63">
        <w:rPr>
          <w:rFonts w:eastAsia="Calibri"/>
          <w:sz w:val="24"/>
        </w:rPr>
        <w:t>As indicated, we are adjusting our employee hourly wage estimates by a factor of 100 percent. This is necessarily a rough adjustment, both because fringe benefits and other indirect costs</w:t>
      </w:r>
      <w:r>
        <w:rPr>
          <w:rFonts w:eastAsia="Calibri"/>
          <w:sz w:val="24"/>
        </w:rPr>
        <w:t xml:space="preserve"> vary significantly from employer to employer, and because methods of estimating these costs vary widely from study to study. Nonetheless, we believe that doubling the hourly wage to estimate total cost is a reasonably accurate estimation method.</w:t>
      </w:r>
    </w:p>
    <w:p w:rsidR="00996770" w:rsidP="004220A4" w14:paraId="2D4EB0F9" w14:textId="77777777">
      <w:pPr>
        <w:rPr>
          <w:sz w:val="24"/>
        </w:rPr>
      </w:pPr>
    </w:p>
    <w:p w:rsidR="00996770" w:rsidRPr="000E462E" w:rsidP="004220A4" w14:paraId="65C4CFA1" w14:textId="0875D8B8">
      <w:pPr>
        <w:rPr>
          <w:i/>
          <w:iCs/>
          <w:sz w:val="24"/>
        </w:rPr>
      </w:pPr>
      <w:r w:rsidRPr="000E462E">
        <w:rPr>
          <w:i/>
          <w:iCs/>
          <w:sz w:val="24"/>
        </w:rPr>
        <w:t>Requirements and Associated Burden Estimates</w:t>
      </w:r>
    </w:p>
    <w:p w:rsidR="0058771F" w:rsidP="004220A4" w14:paraId="0000005E" w14:textId="77777777">
      <w:pPr>
        <w:rPr>
          <w:sz w:val="24"/>
        </w:rPr>
      </w:pPr>
    </w:p>
    <w:p w:rsidR="0058771F" w:rsidP="004220A4" w14:paraId="0000005F" w14:textId="3FCBE2AC">
      <w:pPr>
        <w:rPr>
          <w:sz w:val="24"/>
        </w:rPr>
      </w:pPr>
      <w:r>
        <w:rPr>
          <w:sz w:val="24"/>
        </w:rPr>
        <w:t xml:space="preserve">We obtained the number of new and existing RHCs and FQHCs from Medicare’s Certification </w:t>
      </w:r>
      <w:r w:rsidRPr="00353BEF">
        <w:rPr>
          <w:sz w:val="24"/>
        </w:rPr>
        <w:t xml:space="preserve">and Survey Provider Enhanced Reporting (CASPER) for calendar </w:t>
      </w:r>
      <w:r w:rsidRPr="006A58F5">
        <w:rPr>
          <w:sz w:val="24"/>
        </w:rPr>
        <w:t>year 202</w:t>
      </w:r>
      <w:r w:rsidR="007E5685">
        <w:rPr>
          <w:sz w:val="24"/>
        </w:rPr>
        <w:t>3</w:t>
      </w:r>
      <w:r w:rsidRPr="00353BEF">
        <w:rPr>
          <w:sz w:val="24"/>
        </w:rPr>
        <w:t xml:space="preserve"> via the data</w:t>
      </w:r>
      <w:r>
        <w:rPr>
          <w:sz w:val="24"/>
        </w:rPr>
        <w:t xml:space="preserve"> reports available at Quality, Certification and Oversight Report (QCOR) at </w:t>
      </w:r>
      <w:hyperlink r:id="rId13">
        <w:r>
          <w:rPr>
            <w:color w:val="1155CC"/>
            <w:sz w:val="24"/>
            <w:u w:val="single"/>
          </w:rPr>
          <w:t>https://qcor.cms.gov</w:t>
        </w:r>
      </w:hyperlink>
      <w:r>
        <w:rPr>
          <w:sz w:val="24"/>
        </w:rPr>
        <w:t xml:space="preserve">. Based on this data source, </w:t>
      </w:r>
      <w:r w:rsidRPr="00BC6CB9">
        <w:rPr>
          <w:sz w:val="24"/>
        </w:rPr>
        <w:t>there are an estimated 5,</w:t>
      </w:r>
      <w:r w:rsidR="007E5685">
        <w:rPr>
          <w:sz w:val="24"/>
        </w:rPr>
        <w:t>537</w:t>
      </w:r>
      <w:r w:rsidRPr="00BC6CB9" w:rsidR="007E5685">
        <w:rPr>
          <w:sz w:val="24"/>
        </w:rPr>
        <w:t xml:space="preserve"> </w:t>
      </w:r>
      <w:r w:rsidRPr="00BC6CB9">
        <w:rPr>
          <w:sz w:val="24"/>
        </w:rPr>
        <w:t>RHCs and 11,</w:t>
      </w:r>
      <w:r w:rsidR="007E5685">
        <w:rPr>
          <w:sz w:val="24"/>
        </w:rPr>
        <w:t>852</w:t>
      </w:r>
      <w:r w:rsidRPr="00BC6CB9">
        <w:rPr>
          <w:sz w:val="24"/>
        </w:rPr>
        <w:t xml:space="preserve"> FQHCs operating every year</w:t>
      </w:r>
      <w:r w:rsidR="00764136">
        <w:rPr>
          <w:sz w:val="24"/>
        </w:rPr>
        <w:t>,</w:t>
      </w:r>
      <w:r w:rsidRPr="00BC6CB9">
        <w:rPr>
          <w:sz w:val="24"/>
        </w:rPr>
        <w:t xml:space="preserve"> and approximately 3</w:t>
      </w:r>
      <w:r w:rsidR="007E5685">
        <w:rPr>
          <w:sz w:val="24"/>
        </w:rPr>
        <w:t>23</w:t>
      </w:r>
      <w:r w:rsidRPr="00BC6CB9">
        <w:rPr>
          <w:sz w:val="24"/>
        </w:rPr>
        <w:t xml:space="preserve"> new RHCs and 7</w:t>
      </w:r>
      <w:r w:rsidR="007E5685">
        <w:rPr>
          <w:sz w:val="24"/>
        </w:rPr>
        <w:t>68</w:t>
      </w:r>
      <w:r w:rsidRPr="00BC6CB9">
        <w:rPr>
          <w:sz w:val="24"/>
        </w:rPr>
        <w:t xml:space="preserve"> new FQHCs</w:t>
      </w:r>
      <w:r w:rsidR="00B47FDC">
        <w:rPr>
          <w:sz w:val="24"/>
        </w:rPr>
        <w:t xml:space="preserve"> are</w:t>
      </w:r>
      <w:r w:rsidRPr="00BC6CB9">
        <w:rPr>
          <w:sz w:val="24"/>
        </w:rPr>
        <w:t xml:space="preserve"> added to the Medicare program each</w:t>
      </w:r>
      <w:r>
        <w:rPr>
          <w:sz w:val="24"/>
        </w:rPr>
        <w:t xml:space="preserve"> year</w:t>
      </w:r>
      <w:r w:rsidR="0000077D">
        <w:rPr>
          <w:sz w:val="24"/>
        </w:rPr>
        <w:t xml:space="preserve">. </w:t>
      </w:r>
    </w:p>
    <w:p w:rsidR="00BC6CB9" w:rsidP="00BC6CB9" w14:paraId="5DF17862" w14:textId="77777777">
      <w:pPr>
        <w:rPr>
          <w:sz w:val="24"/>
        </w:rPr>
      </w:pPr>
    </w:p>
    <w:p w:rsidR="00BC6CB9" w:rsidRPr="00BC6CB9" w:rsidP="00BC6CB9" w14:paraId="13A42BDC" w14:textId="0139C3F4">
      <w:pPr>
        <w:jc w:val="center"/>
        <w:rPr>
          <w:bCs/>
          <w:sz w:val="24"/>
        </w:rPr>
      </w:pPr>
      <w:r w:rsidRPr="00BC6CB9">
        <w:rPr>
          <w:bCs/>
          <w:sz w:val="24"/>
        </w:rPr>
        <w:t xml:space="preserve">Table </w:t>
      </w:r>
      <w:r w:rsidR="0071569C">
        <w:rPr>
          <w:bCs/>
          <w:sz w:val="24"/>
        </w:rPr>
        <w:t>2.</w:t>
      </w:r>
      <w:r w:rsidRPr="00BC6CB9">
        <w:rPr>
          <w:bCs/>
          <w:sz w:val="24"/>
        </w:rPr>
        <w:t xml:space="preserve"> </w:t>
      </w:r>
      <w:r w:rsidR="00A172F6">
        <w:rPr>
          <w:bCs/>
          <w:sz w:val="24"/>
        </w:rPr>
        <w:t>N</w:t>
      </w:r>
      <w:r w:rsidRPr="00A172F6" w:rsidR="00A172F6">
        <w:rPr>
          <w:bCs/>
          <w:sz w:val="24"/>
        </w:rPr>
        <w:t xml:space="preserve">ew and </w:t>
      </w:r>
      <w:r w:rsidR="00A172F6">
        <w:rPr>
          <w:bCs/>
          <w:sz w:val="24"/>
        </w:rPr>
        <w:t>E</w:t>
      </w:r>
      <w:r w:rsidRPr="00A172F6" w:rsidR="00A172F6">
        <w:rPr>
          <w:bCs/>
          <w:sz w:val="24"/>
        </w:rPr>
        <w:t>xisting RHCs and FQHCs</w:t>
      </w:r>
    </w:p>
    <w:tbl>
      <w:tblPr>
        <w:tblStyle w:val="a"/>
        <w:tblW w:w="864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10"/>
        <w:gridCol w:w="2430"/>
      </w:tblGrid>
      <w:tr w14:paraId="1914B6FF" w14:textId="77777777" w:rsidTr="00BC6CB9">
        <w:tblPrEx>
          <w:tblW w:w="864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blHeader/>
        </w:trPr>
        <w:tc>
          <w:tcPr>
            <w:tcW w:w="6210" w:type="dxa"/>
          </w:tcPr>
          <w:p w:rsidR="00BC6CB9" w:rsidRPr="00861711" w:rsidP="00FE4CB0" w14:paraId="1C334BC0" w14:textId="77777777">
            <w:pPr>
              <w:rPr>
                <w:szCs w:val="20"/>
              </w:rPr>
            </w:pPr>
            <w:r w:rsidRPr="00861711">
              <w:rPr>
                <w:szCs w:val="20"/>
              </w:rPr>
              <w:t>New RHCs per year</w:t>
            </w:r>
          </w:p>
        </w:tc>
        <w:tc>
          <w:tcPr>
            <w:tcW w:w="2430" w:type="dxa"/>
          </w:tcPr>
          <w:p w:rsidR="00BC6CB9" w:rsidRPr="00861711" w:rsidP="00FE4CB0" w14:paraId="76EDBA65" w14:textId="6A41338B">
            <w:pPr>
              <w:jc w:val="center"/>
              <w:rPr>
                <w:szCs w:val="20"/>
              </w:rPr>
            </w:pPr>
            <w:sdt>
              <w:sdtPr>
                <w:rPr>
                  <w:szCs w:val="20"/>
                </w:rPr>
                <w:tag w:val="goog_rdk_0"/>
                <w:id w:val="1955989837"/>
                <w:richText/>
              </w:sdtPr>
              <w:sdtContent/>
            </w:sdt>
            <w:r w:rsidRPr="00861711">
              <w:rPr>
                <w:szCs w:val="20"/>
              </w:rPr>
              <w:t>3</w:t>
            </w:r>
            <w:r w:rsidRPr="00861711" w:rsidR="007E5685">
              <w:rPr>
                <w:szCs w:val="20"/>
              </w:rPr>
              <w:t>23</w:t>
            </w:r>
          </w:p>
        </w:tc>
      </w:tr>
      <w:tr w14:paraId="2045DBA5" w14:textId="77777777" w:rsidTr="00BC6CB9">
        <w:tblPrEx>
          <w:tblW w:w="8640" w:type="dxa"/>
          <w:tblInd w:w="265" w:type="dxa"/>
          <w:tblLayout w:type="fixed"/>
          <w:tblLook w:val="0400"/>
        </w:tblPrEx>
        <w:trPr>
          <w:tblHeader/>
        </w:trPr>
        <w:tc>
          <w:tcPr>
            <w:tcW w:w="6210" w:type="dxa"/>
          </w:tcPr>
          <w:p w:rsidR="00BC6CB9" w:rsidRPr="00861711" w:rsidP="00FE4CB0" w14:paraId="4ABD0351" w14:textId="77777777">
            <w:pPr>
              <w:rPr>
                <w:szCs w:val="20"/>
              </w:rPr>
            </w:pPr>
            <w:r w:rsidRPr="00861711">
              <w:rPr>
                <w:szCs w:val="20"/>
              </w:rPr>
              <w:t>New FQHCs per year</w:t>
            </w:r>
          </w:p>
        </w:tc>
        <w:tc>
          <w:tcPr>
            <w:tcW w:w="2430" w:type="dxa"/>
          </w:tcPr>
          <w:p w:rsidR="00BC6CB9" w:rsidRPr="00861711" w:rsidP="00FE4CB0" w14:paraId="50351A7C" w14:textId="44DF04AD">
            <w:pPr>
              <w:jc w:val="center"/>
              <w:rPr>
                <w:szCs w:val="20"/>
              </w:rPr>
            </w:pPr>
            <w:sdt>
              <w:sdtPr>
                <w:rPr>
                  <w:szCs w:val="20"/>
                </w:rPr>
                <w:tag w:val="goog_rdk_1"/>
                <w:id w:val="-558712277"/>
                <w:richText/>
              </w:sdtPr>
              <w:sdtContent/>
            </w:sdt>
            <w:r w:rsidRPr="00861711">
              <w:rPr>
                <w:szCs w:val="20"/>
              </w:rPr>
              <w:t>7</w:t>
            </w:r>
            <w:r w:rsidRPr="00861711" w:rsidR="007E5685">
              <w:rPr>
                <w:szCs w:val="20"/>
              </w:rPr>
              <w:t>68</w:t>
            </w:r>
          </w:p>
        </w:tc>
      </w:tr>
      <w:tr w14:paraId="277709D8" w14:textId="77777777" w:rsidTr="00BC6CB9">
        <w:tblPrEx>
          <w:tblW w:w="8640" w:type="dxa"/>
          <w:tblInd w:w="265" w:type="dxa"/>
          <w:tblLayout w:type="fixed"/>
          <w:tblLook w:val="0400"/>
        </w:tblPrEx>
        <w:tc>
          <w:tcPr>
            <w:tcW w:w="6210" w:type="dxa"/>
          </w:tcPr>
          <w:p w:rsidR="00BC6CB9" w:rsidRPr="00861711" w:rsidP="00FE4CB0" w14:paraId="3307FF31" w14:textId="77777777">
            <w:pPr>
              <w:rPr>
                <w:szCs w:val="20"/>
              </w:rPr>
            </w:pPr>
            <w:r w:rsidRPr="00861711">
              <w:rPr>
                <w:szCs w:val="20"/>
              </w:rPr>
              <w:t>Existing RHCs</w:t>
            </w:r>
          </w:p>
        </w:tc>
        <w:tc>
          <w:tcPr>
            <w:tcW w:w="2430" w:type="dxa"/>
          </w:tcPr>
          <w:p w:rsidR="00BC6CB9" w:rsidRPr="00861711" w:rsidP="00FE4CB0" w14:paraId="54D5C1C2" w14:textId="3AC32DA6">
            <w:pPr>
              <w:jc w:val="center"/>
              <w:rPr>
                <w:szCs w:val="20"/>
              </w:rPr>
            </w:pPr>
            <w:r w:rsidRPr="00861711">
              <w:rPr>
                <w:szCs w:val="20"/>
              </w:rPr>
              <w:t>5,</w:t>
            </w:r>
            <w:r w:rsidRPr="00861711" w:rsidR="007E5685">
              <w:rPr>
                <w:szCs w:val="20"/>
              </w:rPr>
              <w:t>537</w:t>
            </w:r>
          </w:p>
        </w:tc>
      </w:tr>
      <w:tr w14:paraId="2BA0E39A" w14:textId="77777777" w:rsidTr="00BC6CB9">
        <w:tblPrEx>
          <w:tblW w:w="8640" w:type="dxa"/>
          <w:tblInd w:w="265" w:type="dxa"/>
          <w:tblLayout w:type="fixed"/>
          <w:tblLook w:val="0400"/>
        </w:tblPrEx>
        <w:trPr>
          <w:trHeight w:val="260"/>
        </w:trPr>
        <w:tc>
          <w:tcPr>
            <w:tcW w:w="6210" w:type="dxa"/>
          </w:tcPr>
          <w:p w:rsidR="00BC6CB9" w:rsidRPr="00861711" w:rsidP="00FE4CB0" w14:paraId="1CC15932" w14:textId="77777777">
            <w:pPr>
              <w:rPr>
                <w:szCs w:val="20"/>
              </w:rPr>
            </w:pPr>
            <w:r w:rsidRPr="00861711">
              <w:rPr>
                <w:szCs w:val="20"/>
              </w:rPr>
              <w:t xml:space="preserve">Existing FQHCs </w:t>
            </w:r>
          </w:p>
        </w:tc>
        <w:tc>
          <w:tcPr>
            <w:tcW w:w="2430" w:type="dxa"/>
          </w:tcPr>
          <w:p w:rsidR="00BC6CB9" w:rsidRPr="00861711" w:rsidP="00FE4CB0" w14:paraId="40878FB5" w14:textId="60E59816">
            <w:pPr>
              <w:jc w:val="center"/>
              <w:rPr>
                <w:szCs w:val="20"/>
              </w:rPr>
            </w:pPr>
            <w:r w:rsidRPr="00861711">
              <w:rPr>
                <w:szCs w:val="20"/>
              </w:rPr>
              <w:t>11</w:t>
            </w:r>
            <w:r w:rsidRPr="00861711" w:rsidR="007E5685">
              <w:rPr>
                <w:szCs w:val="20"/>
              </w:rPr>
              <w:t>,852</w:t>
            </w:r>
          </w:p>
        </w:tc>
      </w:tr>
    </w:tbl>
    <w:p w:rsidR="000E462E" w:rsidRPr="00BC6CB9" w:rsidP="004220A4" w14:paraId="481FFB1F" w14:textId="77777777">
      <w:pPr>
        <w:rPr>
          <w:bCs/>
          <w:iCs/>
          <w:sz w:val="24"/>
        </w:rPr>
      </w:pPr>
    </w:p>
    <w:p w:rsidR="0058771F" w:rsidRPr="00654351" w:rsidP="00BC6CB9" w14:paraId="0000006C" w14:textId="0F48C108">
      <w:pPr>
        <w:jc w:val="center"/>
        <w:rPr>
          <w:bCs/>
          <w:i/>
          <w:sz w:val="24"/>
        </w:rPr>
      </w:pPr>
      <w:r w:rsidRPr="00654351">
        <w:rPr>
          <w:bCs/>
          <w:i/>
          <w:sz w:val="24"/>
        </w:rPr>
        <w:t xml:space="preserve">§ </w:t>
      </w:r>
      <w:r w:rsidRPr="00654351" w:rsidR="009740CB">
        <w:rPr>
          <w:bCs/>
          <w:i/>
          <w:sz w:val="24"/>
        </w:rPr>
        <w:t xml:space="preserve">491.9(b) - Patient </w:t>
      </w:r>
      <w:r w:rsidRPr="00654351" w:rsidR="00B47FDC">
        <w:rPr>
          <w:bCs/>
          <w:i/>
          <w:sz w:val="24"/>
        </w:rPr>
        <w:t>c</w:t>
      </w:r>
      <w:r w:rsidRPr="00654351" w:rsidR="009740CB">
        <w:rPr>
          <w:bCs/>
          <w:i/>
          <w:sz w:val="24"/>
        </w:rPr>
        <w:t xml:space="preserve">are </w:t>
      </w:r>
      <w:r w:rsidRPr="00654351" w:rsidR="00B47FDC">
        <w:rPr>
          <w:bCs/>
          <w:i/>
          <w:sz w:val="24"/>
        </w:rPr>
        <w:t>p</w:t>
      </w:r>
      <w:r w:rsidRPr="00654351" w:rsidR="009740CB">
        <w:rPr>
          <w:bCs/>
          <w:i/>
          <w:sz w:val="24"/>
        </w:rPr>
        <w:t>olicies</w:t>
      </w:r>
    </w:p>
    <w:p w:rsidR="00BC6CB9" w:rsidRPr="00BC6CB9" w:rsidP="004220A4" w14:paraId="1505965A" w14:textId="77777777">
      <w:pPr>
        <w:rPr>
          <w:bCs/>
          <w:iCs/>
          <w:sz w:val="24"/>
        </w:rPr>
      </w:pPr>
    </w:p>
    <w:p w:rsidR="0058771F" w:rsidP="004220A4" w14:paraId="0000006D" w14:textId="5304860D">
      <w:pPr>
        <w:rPr>
          <w:sz w:val="24"/>
        </w:rPr>
      </w:pPr>
      <w:r>
        <w:rPr>
          <w:sz w:val="24"/>
        </w:rPr>
        <w:t>RHCs and FQHCs</w:t>
      </w:r>
      <w:r w:rsidRPr="004E64DF" w:rsidR="009740CB">
        <w:rPr>
          <w:sz w:val="24"/>
        </w:rPr>
        <w:t xml:space="preserve"> must c</w:t>
      </w:r>
      <w:r w:rsidRPr="006A58F5" w:rsidR="009740CB">
        <w:rPr>
          <w:sz w:val="24"/>
        </w:rPr>
        <w:t>reate written policies</w:t>
      </w:r>
      <w:r w:rsidRPr="004E64DF" w:rsidR="009740CB">
        <w:rPr>
          <w:sz w:val="24"/>
        </w:rPr>
        <w:t xml:space="preserve"> that include information about a) the services</w:t>
      </w:r>
      <w:r w:rsidR="009740CB">
        <w:rPr>
          <w:sz w:val="24"/>
        </w:rPr>
        <w:t xml:space="preserve"> provided either directly or by agreement; b) rules for the storage, handling, and administration of drugs and biologicals; and c) guidelines for medical management, such as “conditions requiring medical consultation and/or patient referral, the maintenance of health care records, and procedures for the periodic review and evaluation of the services furnished by the clinic or center.”</w:t>
      </w:r>
    </w:p>
    <w:p w:rsidR="0058771F" w:rsidP="004220A4" w14:paraId="0000006E" w14:textId="77777777">
      <w:pPr>
        <w:rPr>
          <w:sz w:val="24"/>
        </w:rPr>
      </w:pPr>
    </w:p>
    <w:p w:rsidR="0058771F" w:rsidRPr="00900AAE" w:rsidP="004220A4" w14:paraId="0000006F" w14:textId="513C6229">
      <w:pPr>
        <w:rPr>
          <w:sz w:val="24"/>
        </w:rPr>
      </w:pPr>
      <w:r w:rsidRPr="00900AAE">
        <w:rPr>
          <w:sz w:val="24"/>
        </w:rPr>
        <w:t xml:space="preserve">Per </w:t>
      </w:r>
      <w:r w:rsidRPr="00900AAE" w:rsidR="00BC6CB9">
        <w:rPr>
          <w:bCs/>
          <w:iCs/>
          <w:sz w:val="24"/>
        </w:rPr>
        <w:t xml:space="preserve">§ </w:t>
      </w:r>
      <w:r w:rsidRPr="00900AAE">
        <w:rPr>
          <w:sz w:val="24"/>
        </w:rPr>
        <w:t>491.9(b)(2), the policies must be developed with the advice of a group of professional personnel that includes</w:t>
      </w:r>
      <w:r w:rsidRPr="00900AAE">
        <w:rPr>
          <w:b/>
          <w:i/>
          <w:sz w:val="24"/>
        </w:rPr>
        <w:t xml:space="preserve"> </w:t>
      </w:r>
      <w:r w:rsidRPr="00900AAE">
        <w:rPr>
          <w:sz w:val="24"/>
        </w:rPr>
        <w:t xml:space="preserve">one or more physicians and one or more physician assistants or nurse practitioners </w:t>
      </w:r>
      <w:r w:rsidRPr="00900AAE" w:rsidR="00FC397D">
        <w:rPr>
          <w:sz w:val="24"/>
        </w:rPr>
        <w:t xml:space="preserve">(hereinafter, “mid-level practitioner”) </w:t>
      </w:r>
      <w:r w:rsidRPr="00900AAE">
        <w:rPr>
          <w:sz w:val="24"/>
        </w:rPr>
        <w:t xml:space="preserve">and at least one member in the group is not a clinic or center staff member. These patient care policies must be reviewed by similar staff positions at each clinic or center every two years (biennially) per </w:t>
      </w:r>
      <w:r w:rsidRPr="00900AAE" w:rsidR="00BC6CB9">
        <w:rPr>
          <w:bCs/>
          <w:iCs/>
          <w:sz w:val="24"/>
        </w:rPr>
        <w:t xml:space="preserve">§ </w:t>
      </w:r>
      <w:r w:rsidRPr="00900AAE">
        <w:rPr>
          <w:sz w:val="24"/>
        </w:rPr>
        <w:t>491.9(b)(4).</w:t>
      </w:r>
    </w:p>
    <w:p w:rsidR="0058771F" w:rsidRPr="00900AAE" w:rsidP="004220A4" w14:paraId="00000070" w14:textId="77777777">
      <w:pPr>
        <w:rPr>
          <w:sz w:val="24"/>
        </w:rPr>
      </w:pPr>
    </w:p>
    <w:p w:rsidR="0058771F" w:rsidP="004220A4" w14:paraId="00000072" w14:textId="1F8A4233">
      <w:pPr>
        <w:rPr>
          <w:b/>
          <w:sz w:val="24"/>
        </w:rPr>
      </w:pPr>
      <w:r w:rsidRPr="00900AAE">
        <w:rPr>
          <w:i/>
          <w:iCs/>
          <w:sz w:val="24"/>
          <w:u w:val="single"/>
        </w:rPr>
        <w:t>Initial policy development for a new clinic or center</w:t>
      </w:r>
      <w:r w:rsidRPr="00900AAE" w:rsidR="001B6D26">
        <w:rPr>
          <w:i/>
          <w:iCs/>
          <w:sz w:val="24"/>
          <w:u w:val="single"/>
        </w:rPr>
        <w:t>:</w:t>
      </w:r>
      <w:r w:rsidRPr="00900AAE" w:rsidR="00BC6CB9">
        <w:rPr>
          <w:sz w:val="24"/>
        </w:rPr>
        <w:t xml:space="preserve">  </w:t>
      </w:r>
      <w:r w:rsidRPr="00900AAE">
        <w:rPr>
          <w:sz w:val="24"/>
        </w:rPr>
        <w:t>We estimate that the initial one-time effort to develop the written policies and procedures for a newly Medicare</w:t>
      </w:r>
      <w:r w:rsidRPr="00900AAE" w:rsidR="00E76206">
        <w:rPr>
          <w:sz w:val="24"/>
        </w:rPr>
        <w:t>-</w:t>
      </w:r>
      <w:r w:rsidRPr="00900AAE">
        <w:rPr>
          <w:sz w:val="24"/>
        </w:rPr>
        <w:t xml:space="preserve">certified RHC and </w:t>
      </w:r>
      <w:r w:rsidRPr="00900AAE">
        <w:rPr>
          <w:sz w:val="24"/>
        </w:rPr>
        <w:t>FQHC</w:t>
      </w:r>
      <w:r w:rsidRPr="00900AAE" w:rsidR="007B7302">
        <w:rPr>
          <w:sz w:val="24"/>
        </w:rPr>
        <w:t xml:space="preserve"> </w:t>
      </w:r>
      <w:r w:rsidRPr="00900AAE">
        <w:rPr>
          <w:sz w:val="24"/>
        </w:rPr>
        <w:t>requires approximately 5 hours each for a physician and a mid-level practitioner, or a total of 10</w:t>
      </w:r>
      <w:r w:rsidRPr="00900AAE">
        <w:rPr>
          <w:color w:val="FF0000"/>
          <w:sz w:val="24"/>
        </w:rPr>
        <w:t xml:space="preserve"> </w:t>
      </w:r>
      <w:r w:rsidRPr="00900AAE">
        <w:rPr>
          <w:sz w:val="24"/>
        </w:rPr>
        <w:t>hours per new clinic or center for the initial year.</w:t>
      </w:r>
      <w:r>
        <w:rPr>
          <w:sz w:val="24"/>
        </w:rPr>
        <w:t xml:space="preserve"> </w:t>
      </w:r>
    </w:p>
    <w:p w:rsidR="0058771F" w:rsidP="004220A4" w14:paraId="00000073" w14:textId="77777777">
      <w:pPr>
        <w:rPr>
          <w:sz w:val="24"/>
        </w:rPr>
      </w:pPr>
    </w:p>
    <w:p w:rsidR="00597E48" w:rsidRPr="006A58F5" w:rsidP="00F77274" w14:paraId="02DF1313" w14:textId="13A41CDA">
      <w:pPr>
        <w:pStyle w:val="Caption"/>
        <w:keepNext/>
        <w:spacing w:after="0"/>
        <w:jc w:val="center"/>
        <w:rPr>
          <w:sz w:val="24"/>
        </w:rPr>
      </w:pPr>
      <w:r w:rsidRPr="006A58F5">
        <w:rPr>
          <w:i w:val="0"/>
          <w:iCs w:val="0"/>
          <w:color w:val="auto"/>
          <w:sz w:val="24"/>
          <w:szCs w:val="24"/>
        </w:rPr>
        <w:t xml:space="preserve">Table </w:t>
      </w:r>
      <w:r w:rsidR="0071569C">
        <w:rPr>
          <w:i w:val="0"/>
          <w:iCs w:val="0"/>
          <w:color w:val="auto"/>
          <w:sz w:val="24"/>
          <w:szCs w:val="24"/>
        </w:rPr>
        <w:t>3</w:t>
      </w:r>
      <w:r>
        <w:rPr>
          <w:i w:val="0"/>
          <w:iCs w:val="0"/>
          <w:color w:val="auto"/>
          <w:sz w:val="24"/>
          <w:szCs w:val="24"/>
        </w:rPr>
        <w:t xml:space="preserve">. </w:t>
      </w:r>
      <w:r w:rsidRPr="00597E48">
        <w:rPr>
          <w:i w:val="0"/>
          <w:color w:val="auto"/>
          <w:sz w:val="24"/>
          <w:szCs w:val="24"/>
        </w:rPr>
        <w:t xml:space="preserve">Annual Burden for </w:t>
      </w:r>
      <w:r>
        <w:rPr>
          <w:i w:val="0"/>
          <w:iCs w:val="0"/>
          <w:color w:val="auto"/>
          <w:sz w:val="24"/>
        </w:rPr>
        <w:t>Initial Policy Development</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0"/>
        <w:gridCol w:w="1239"/>
        <w:gridCol w:w="1061"/>
        <w:gridCol w:w="983"/>
        <w:gridCol w:w="930"/>
        <w:gridCol w:w="1848"/>
        <w:gridCol w:w="1401"/>
      </w:tblGrid>
      <w:tr w14:paraId="424DAABA" w14:textId="77777777" w:rsidTr="006A58F5">
        <w:tblPrEx>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4D2FE6B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bCs/>
                <w:szCs w:val="20"/>
              </w:rPr>
              <w:t>Requirement</w:t>
            </w:r>
          </w:p>
        </w:tc>
        <w:tc>
          <w:tcPr>
            <w:tcW w:w="1136"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41B280A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bCs/>
                <w:szCs w:val="20"/>
              </w:rPr>
              <w:t>Respondents</w:t>
            </w:r>
          </w:p>
        </w:tc>
        <w:tc>
          <w:tcPr>
            <w:tcW w:w="976"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77FD4F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bCs/>
                <w:szCs w:val="20"/>
              </w:rPr>
              <w:t>Responses</w:t>
            </w:r>
          </w:p>
        </w:tc>
        <w:tc>
          <w:tcPr>
            <w:tcW w:w="906"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4BEFC36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bCs/>
                <w:szCs w:val="20"/>
              </w:rPr>
              <w:t>Time per Response (hr)</w:t>
            </w:r>
          </w:p>
        </w:tc>
        <w:tc>
          <w:tcPr>
            <w:tcW w:w="981"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48277EB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bCs/>
                <w:szCs w:val="20"/>
              </w:rPr>
              <w:t>Total Time (hr)</w:t>
            </w:r>
          </w:p>
        </w:tc>
        <w:tc>
          <w:tcPr>
            <w:tcW w:w="2046"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2E34EC7A" w14:textId="77777777">
            <w:pPr>
              <w:widowControl/>
              <w:jc w:val="center"/>
              <w:rPr>
                <w:szCs w:val="20"/>
              </w:rPr>
            </w:pPr>
            <w:r w:rsidRPr="00861711">
              <w:rPr>
                <w:bCs/>
                <w:szCs w:val="20"/>
              </w:rPr>
              <w:t>Labor Cost ($/hr)</w:t>
            </w:r>
          </w:p>
        </w:tc>
        <w:tc>
          <w:tcPr>
            <w:tcW w:w="1521" w:type="dxa"/>
            <w:tcBorders>
              <w:top w:val="single" w:sz="4" w:space="0" w:color="auto"/>
              <w:left w:val="single" w:sz="4" w:space="0" w:color="auto"/>
              <w:bottom w:val="single" w:sz="4" w:space="0" w:color="auto"/>
              <w:right w:val="single" w:sz="4" w:space="0" w:color="auto"/>
            </w:tcBorders>
            <w:vAlign w:val="center"/>
            <w:hideMark/>
          </w:tcPr>
          <w:p w:rsidR="0012389E" w:rsidRPr="00861711" w:rsidP="00E26C4F" w14:paraId="3F60CE6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szCs w:val="20"/>
              </w:rPr>
              <w:t>Total Cost</w:t>
            </w:r>
          </w:p>
          <w:p w:rsidR="0012389E" w:rsidRPr="00861711" w:rsidP="00E26C4F" w14:paraId="7FDBF7B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szCs w:val="20"/>
              </w:rPr>
              <w:t>($)</w:t>
            </w:r>
          </w:p>
        </w:tc>
      </w:tr>
      <w:tr w14:paraId="13DEA012" w14:textId="77777777" w:rsidTr="006A58F5">
        <w:tblPrEx>
          <w:tblW w:w="8712" w:type="dxa"/>
          <w:jc w:val="center"/>
          <w:tblLook w:val="00A0"/>
        </w:tblPrEx>
        <w:trPr>
          <w:tblHeader/>
          <w:jc w:val="center"/>
        </w:trPr>
        <w:tc>
          <w:tcPr>
            <w:tcW w:w="1146" w:type="dxa"/>
            <w:vMerge w:val="restart"/>
            <w:tcBorders>
              <w:top w:val="single" w:sz="4" w:space="0" w:color="auto"/>
              <w:left w:val="single" w:sz="4" w:space="0" w:color="auto"/>
              <w:right w:val="single" w:sz="4" w:space="0" w:color="auto"/>
            </w:tcBorders>
            <w:vAlign w:val="center"/>
          </w:tcPr>
          <w:p w:rsidR="009B755E" w:rsidRPr="00861711" w:rsidP="00B46750" w14:paraId="2D39A135" w14:textId="2C1C28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Cs w:val="20"/>
              </w:rPr>
            </w:pPr>
            <w:r w:rsidRPr="00861711">
              <w:rPr>
                <w:bCs/>
                <w:szCs w:val="20"/>
              </w:rPr>
              <w:t>Initial policy development for a new clinic or center</w:t>
            </w:r>
            <w:r w:rsidRPr="00861711" w:rsidR="00B46750">
              <w:rPr>
                <w:bCs/>
                <w:szCs w:val="20"/>
              </w:rPr>
              <w:t xml:space="preserve"> </w:t>
            </w:r>
            <w:r w:rsidRPr="00861711" w:rsidR="00B46750">
              <w:rPr>
                <w:bCs/>
                <w:szCs w:val="20"/>
              </w:rPr>
              <w:t>(§ 491.9(b)</w:t>
            </w:r>
            <w:r w:rsidRPr="00861711" w:rsidR="00522471">
              <w:rPr>
                <w:bCs/>
                <w:szCs w:val="20"/>
              </w:rPr>
              <w:t>(2)</w:t>
            </w:r>
          </w:p>
        </w:tc>
        <w:tc>
          <w:tcPr>
            <w:tcW w:w="1136" w:type="dxa"/>
            <w:vMerge w:val="restart"/>
            <w:tcBorders>
              <w:top w:val="single" w:sz="4" w:space="0" w:color="auto"/>
              <w:left w:val="single" w:sz="4" w:space="0" w:color="auto"/>
              <w:right w:val="single" w:sz="4" w:space="0" w:color="auto"/>
            </w:tcBorders>
            <w:vAlign w:val="center"/>
          </w:tcPr>
          <w:p w:rsidR="009B755E" w:rsidRPr="00861711" w:rsidP="00E26C4F" w14:paraId="16EA4972" w14:textId="5C6A3E1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bCs/>
                <w:szCs w:val="20"/>
              </w:rPr>
              <w:t>1,0</w:t>
            </w:r>
            <w:r w:rsidRPr="00861711" w:rsidR="002D3D51">
              <w:rPr>
                <w:bCs/>
                <w:szCs w:val="20"/>
              </w:rPr>
              <w:t>91</w:t>
            </w:r>
            <w:r w:rsidRPr="00861711">
              <w:rPr>
                <w:bCs/>
                <w:szCs w:val="20"/>
              </w:rPr>
              <w:t xml:space="preserve"> (3</w:t>
            </w:r>
            <w:r w:rsidRPr="00861711" w:rsidR="002D3D51">
              <w:rPr>
                <w:bCs/>
                <w:szCs w:val="20"/>
              </w:rPr>
              <w:t>23</w:t>
            </w:r>
            <w:r w:rsidRPr="00861711">
              <w:rPr>
                <w:bCs/>
                <w:szCs w:val="20"/>
              </w:rPr>
              <w:t xml:space="preserve"> New RHCs + 7</w:t>
            </w:r>
            <w:r w:rsidRPr="00861711" w:rsidR="002D3D51">
              <w:rPr>
                <w:bCs/>
                <w:szCs w:val="20"/>
              </w:rPr>
              <w:t>68</w:t>
            </w:r>
            <w:r w:rsidRPr="00861711">
              <w:rPr>
                <w:bCs/>
                <w:szCs w:val="20"/>
              </w:rPr>
              <w:t xml:space="preserve"> New FQHCs)</w:t>
            </w:r>
          </w:p>
        </w:tc>
        <w:tc>
          <w:tcPr>
            <w:tcW w:w="97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35105010" w14:textId="72DCA4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r w:rsidRPr="00861711" w:rsidR="002D3D51">
              <w:rPr>
                <w:szCs w:val="20"/>
              </w:rPr>
              <w:t>91</w:t>
            </w:r>
          </w:p>
        </w:tc>
        <w:tc>
          <w:tcPr>
            <w:tcW w:w="90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4DDC51C0" w14:textId="33FA339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5</w:t>
            </w:r>
          </w:p>
        </w:tc>
        <w:tc>
          <w:tcPr>
            <w:tcW w:w="981"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183907B9" w14:textId="15B067F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5,</w:t>
            </w:r>
            <w:r w:rsidRPr="00861711" w:rsidR="002D3D51">
              <w:rPr>
                <w:szCs w:val="20"/>
              </w:rPr>
              <w:t>455</w:t>
            </w:r>
          </w:p>
        </w:tc>
        <w:tc>
          <w:tcPr>
            <w:tcW w:w="2046" w:type="dxa"/>
            <w:tcBorders>
              <w:top w:val="single" w:sz="4" w:space="0" w:color="auto"/>
              <w:left w:val="single" w:sz="4" w:space="0" w:color="auto"/>
              <w:bottom w:val="single" w:sz="4" w:space="0" w:color="auto"/>
              <w:right w:val="single" w:sz="4" w:space="0" w:color="auto"/>
            </w:tcBorders>
            <w:vAlign w:val="center"/>
          </w:tcPr>
          <w:p w:rsidR="005F2F61" w:rsidRPr="00861711" w:rsidP="00E26C4F" w14:paraId="16184CB6" w14:textId="1004D523">
            <w:pPr>
              <w:widowControl/>
              <w:jc w:val="center"/>
              <w:rPr>
                <w:szCs w:val="20"/>
              </w:rPr>
            </w:pPr>
            <w:r w:rsidRPr="00861711">
              <w:rPr>
                <w:szCs w:val="20"/>
              </w:rPr>
              <w:t>253.70</w:t>
            </w:r>
          </w:p>
          <w:p w:rsidR="009B755E" w:rsidRPr="00861711" w:rsidP="00E26C4F" w14:paraId="5EE9F6EF" w14:textId="077EB86E">
            <w:pPr>
              <w:widowControl/>
              <w:jc w:val="center"/>
              <w:rPr>
                <w:bCs/>
                <w:szCs w:val="20"/>
              </w:rPr>
            </w:pPr>
            <w:r w:rsidRPr="00861711">
              <w:rPr>
                <w:szCs w:val="20"/>
              </w:rPr>
              <w:t>(</w:t>
            </w:r>
            <w:r w:rsidRPr="00861711" w:rsidR="002D3D51">
              <w:rPr>
                <w:szCs w:val="20"/>
              </w:rPr>
              <w:t>Physician</w:t>
            </w:r>
            <w:r w:rsidRPr="00861711">
              <w:rPr>
                <w:szCs w:val="20"/>
              </w:rPr>
              <w:t>)</w:t>
            </w:r>
          </w:p>
        </w:tc>
        <w:tc>
          <w:tcPr>
            <w:tcW w:w="1521" w:type="dxa"/>
            <w:tcBorders>
              <w:top w:val="nil"/>
              <w:left w:val="nil"/>
              <w:bottom w:val="single" w:sz="8" w:space="0" w:color="auto"/>
              <w:right w:val="single" w:sz="8" w:space="0" w:color="auto"/>
            </w:tcBorders>
            <w:shd w:val="clear" w:color="auto" w:fill="auto"/>
            <w:vAlign w:val="center"/>
          </w:tcPr>
          <w:p w:rsidR="009B755E" w:rsidRPr="00861711" w:rsidP="00E26C4F" w14:paraId="50B3078A" w14:textId="247160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color w:val="000000"/>
                <w:szCs w:val="20"/>
              </w:rPr>
              <w:t>1,383,934</w:t>
            </w:r>
          </w:p>
        </w:tc>
      </w:tr>
      <w:tr w14:paraId="6D5EFF86" w14:textId="77777777" w:rsidTr="006A58F5">
        <w:tblPrEx>
          <w:tblW w:w="8712" w:type="dxa"/>
          <w:jc w:val="center"/>
          <w:tblLook w:val="00A0"/>
        </w:tblPrEx>
        <w:trPr>
          <w:tblHeader/>
          <w:jc w:val="center"/>
        </w:trPr>
        <w:tc>
          <w:tcPr>
            <w:tcW w:w="1146" w:type="dxa"/>
            <w:vMerge/>
            <w:tcBorders>
              <w:left w:val="single" w:sz="4" w:space="0" w:color="auto"/>
              <w:bottom w:val="single" w:sz="4" w:space="0" w:color="auto"/>
              <w:right w:val="single" w:sz="4" w:space="0" w:color="auto"/>
            </w:tcBorders>
            <w:vAlign w:val="center"/>
          </w:tcPr>
          <w:p w:rsidR="009B755E" w:rsidRPr="00861711" w:rsidP="00E26C4F" w14:paraId="7A10973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36" w:type="dxa"/>
            <w:vMerge/>
            <w:tcBorders>
              <w:left w:val="single" w:sz="4" w:space="0" w:color="auto"/>
              <w:bottom w:val="single" w:sz="4" w:space="0" w:color="auto"/>
              <w:right w:val="single" w:sz="4" w:space="0" w:color="auto"/>
            </w:tcBorders>
            <w:vAlign w:val="center"/>
          </w:tcPr>
          <w:p w:rsidR="009B755E" w:rsidRPr="00861711" w:rsidP="00E26C4F" w14:paraId="69850B1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3006641E" w14:textId="0272809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r w:rsidRPr="00861711" w:rsidR="002D3D51">
              <w:rPr>
                <w:szCs w:val="20"/>
              </w:rPr>
              <w:t>91</w:t>
            </w:r>
          </w:p>
        </w:tc>
        <w:tc>
          <w:tcPr>
            <w:tcW w:w="90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003B9DAE" w14:textId="2FFC879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5</w:t>
            </w:r>
          </w:p>
        </w:tc>
        <w:tc>
          <w:tcPr>
            <w:tcW w:w="981"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0A1CDA55" w14:textId="7DBB61C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5,</w:t>
            </w:r>
            <w:r w:rsidRPr="00861711" w:rsidR="002D3D51">
              <w:rPr>
                <w:szCs w:val="20"/>
              </w:rPr>
              <w:t>455</w:t>
            </w:r>
          </w:p>
        </w:tc>
        <w:tc>
          <w:tcPr>
            <w:tcW w:w="2046" w:type="dxa"/>
            <w:tcBorders>
              <w:top w:val="single" w:sz="4" w:space="0" w:color="auto"/>
              <w:left w:val="single" w:sz="4" w:space="0" w:color="auto"/>
              <w:bottom w:val="single" w:sz="4" w:space="0" w:color="auto"/>
              <w:right w:val="single" w:sz="4" w:space="0" w:color="auto"/>
            </w:tcBorders>
            <w:vAlign w:val="center"/>
          </w:tcPr>
          <w:p w:rsidR="005F2F61" w:rsidRPr="00861711" w:rsidP="00E26C4F" w14:paraId="68604F3A" w14:textId="2C8579F9">
            <w:pPr>
              <w:widowControl/>
              <w:jc w:val="center"/>
              <w:rPr>
                <w:szCs w:val="20"/>
              </w:rPr>
            </w:pPr>
            <w:r w:rsidRPr="00861711">
              <w:rPr>
                <w:szCs w:val="20"/>
              </w:rPr>
              <w:t>124.52</w:t>
            </w:r>
          </w:p>
          <w:p w:rsidR="009B755E" w:rsidRPr="00861711" w:rsidP="00E26C4F" w14:paraId="0FF09240" w14:textId="2BEDA8CB">
            <w:pPr>
              <w:widowControl/>
              <w:jc w:val="center"/>
              <w:rPr>
                <w:bCs/>
                <w:szCs w:val="20"/>
              </w:rPr>
            </w:pPr>
            <w:r w:rsidRPr="00861711">
              <w:rPr>
                <w:szCs w:val="20"/>
              </w:rPr>
              <w:t>(Mid-level Practitioner)</w:t>
            </w:r>
          </w:p>
        </w:tc>
        <w:tc>
          <w:tcPr>
            <w:tcW w:w="1521" w:type="dxa"/>
            <w:tcBorders>
              <w:top w:val="nil"/>
              <w:left w:val="nil"/>
              <w:bottom w:val="single" w:sz="8" w:space="0" w:color="auto"/>
              <w:right w:val="single" w:sz="8" w:space="0" w:color="auto"/>
            </w:tcBorders>
            <w:shd w:val="clear" w:color="auto" w:fill="auto"/>
            <w:vAlign w:val="center"/>
          </w:tcPr>
          <w:p w:rsidR="009B755E" w:rsidRPr="00861711" w:rsidP="00E26C4F" w14:paraId="1B2758EA" w14:textId="17A5045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color w:val="000000"/>
                <w:szCs w:val="20"/>
              </w:rPr>
              <w:t>679,257</w:t>
            </w:r>
          </w:p>
        </w:tc>
      </w:tr>
      <w:tr w14:paraId="779DF7B0" w14:textId="77777777" w:rsidTr="006A58F5">
        <w:tblPrEx>
          <w:tblW w:w="8712" w:type="dxa"/>
          <w:jc w:val="center"/>
          <w:tblLook w:val="00A0"/>
        </w:tblPrEx>
        <w:trPr>
          <w:tblHeader/>
          <w:jc w:val="center"/>
        </w:trPr>
        <w:tc>
          <w:tcPr>
            <w:tcW w:w="114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7BCCE3B8" w14:textId="42DD09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TOTAL</w:t>
            </w:r>
          </w:p>
        </w:tc>
        <w:tc>
          <w:tcPr>
            <w:tcW w:w="113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7E490A91" w14:textId="2E0584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r w:rsidRPr="00861711" w:rsidR="002D3D51">
              <w:rPr>
                <w:szCs w:val="20"/>
              </w:rPr>
              <w:t>91</w:t>
            </w:r>
          </w:p>
        </w:tc>
        <w:tc>
          <w:tcPr>
            <w:tcW w:w="97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53275F46" w14:textId="24B286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r w:rsidRPr="00861711" w:rsidR="002D3D51">
              <w:rPr>
                <w:szCs w:val="20"/>
              </w:rPr>
              <w:t>91</w:t>
            </w:r>
          </w:p>
        </w:tc>
        <w:tc>
          <w:tcPr>
            <w:tcW w:w="90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287EF159" w14:textId="5A04266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p>
        </w:tc>
        <w:tc>
          <w:tcPr>
            <w:tcW w:w="981"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28FDB2E8" w14:textId="6FCB6EA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861711">
              <w:rPr>
                <w:szCs w:val="20"/>
              </w:rPr>
              <w:t>10,</w:t>
            </w:r>
            <w:r w:rsidRPr="00861711" w:rsidR="002D3D51">
              <w:rPr>
                <w:szCs w:val="20"/>
              </w:rPr>
              <w:t>910</w:t>
            </w:r>
          </w:p>
        </w:tc>
        <w:tc>
          <w:tcPr>
            <w:tcW w:w="2046"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27C54460" w14:textId="1B46E67A">
            <w:pPr>
              <w:widowControl/>
              <w:jc w:val="center"/>
              <w:rPr>
                <w:bCs/>
                <w:szCs w:val="20"/>
              </w:rPr>
            </w:pPr>
            <w:r w:rsidRPr="00861711">
              <w:rPr>
                <w:szCs w:val="20"/>
              </w:rPr>
              <w:t>varies</w:t>
            </w:r>
          </w:p>
        </w:tc>
        <w:tc>
          <w:tcPr>
            <w:tcW w:w="1521" w:type="dxa"/>
            <w:tcBorders>
              <w:top w:val="single" w:sz="4" w:space="0" w:color="auto"/>
              <w:left w:val="single" w:sz="4" w:space="0" w:color="auto"/>
              <w:bottom w:val="single" w:sz="4" w:space="0" w:color="auto"/>
              <w:right w:val="single" w:sz="4" w:space="0" w:color="auto"/>
            </w:tcBorders>
            <w:vAlign w:val="center"/>
          </w:tcPr>
          <w:p w:rsidR="009B755E" w:rsidRPr="00861711" w:rsidP="00E26C4F" w14:paraId="55DCE566" w14:textId="114452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861711">
              <w:rPr>
                <w:szCs w:val="20"/>
              </w:rPr>
              <w:t>2,063,190</w:t>
            </w:r>
          </w:p>
        </w:tc>
      </w:tr>
    </w:tbl>
    <w:p w:rsidR="001B6D26" w:rsidP="004220A4" w14:paraId="58E02031" w14:textId="77777777">
      <w:pPr>
        <w:rPr>
          <w:sz w:val="24"/>
        </w:rPr>
      </w:pPr>
    </w:p>
    <w:p w:rsidR="0058771F" w:rsidP="004220A4" w14:paraId="00000075" w14:textId="649C0C06">
      <w:pPr>
        <w:rPr>
          <w:sz w:val="24"/>
        </w:rPr>
      </w:pPr>
      <w:r w:rsidRPr="00BC6CB9">
        <w:rPr>
          <w:i/>
          <w:iCs/>
          <w:sz w:val="24"/>
          <w:u w:val="single"/>
        </w:rPr>
        <w:t>Biennial review of existing policies for every Medicare</w:t>
      </w:r>
      <w:r w:rsidR="005D2A20">
        <w:rPr>
          <w:i/>
          <w:iCs/>
          <w:sz w:val="24"/>
          <w:u w:val="single"/>
        </w:rPr>
        <w:t>-</w:t>
      </w:r>
      <w:r w:rsidRPr="00BC6CB9">
        <w:rPr>
          <w:i/>
          <w:iCs/>
          <w:sz w:val="24"/>
          <w:u w:val="single"/>
        </w:rPr>
        <w:t>certified clinic</w:t>
      </w:r>
      <w:r w:rsidR="009C68B5">
        <w:rPr>
          <w:i/>
          <w:iCs/>
          <w:sz w:val="24"/>
          <w:u w:val="single"/>
        </w:rPr>
        <w:t xml:space="preserve"> or </w:t>
      </w:r>
      <w:r w:rsidRPr="00BC6CB9">
        <w:rPr>
          <w:i/>
          <w:iCs/>
          <w:sz w:val="24"/>
          <w:u w:val="single"/>
        </w:rPr>
        <w:t>center</w:t>
      </w:r>
      <w:r w:rsidR="001B6D26">
        <w:rPr>
          <w:i/>
          <w:iCs/>
          <w:sz w:val="24"/>
          <w:u w:val="single"/>
        </w:rPr>
        <w:t>:</w:t>
      </w:r>
      <w:r w:rsidRPr="00B47FDC" w:rsidR="00BC6CB9">
        <w:rPr>
          <w:sz w:val="24"/>
        </w:rPr>
        <w:t xml:space="preserve">  </w:t>
      </w:r>
      <w:r>
        <w:rPr>
          <w:sz w:val="24"/>
        </w:rPr>
        <w:t xml:space="preserve">We estimate that a review of patient policies by every certified RHC and FQHC </w:t>
      </w:r>
      <w:r w:rsidRPr="00FF62D6">
        <w:rPr>
          <w:sz w:val="24"/>
        </w:rPr>
        <w:t xml:space="preserve">requires approximately 2 hours </w:t>
      </w:r>
      <w:r w:rsidRPr="00673E85">
        <w:rPr>
          <w:sz w:val="24"/>
        </w:rPr>
        <w:t>each for a physician and a mid-level practitioner, or a total of 4 hours for every policy review.</w:t>
      </w:r>
      <w:r>
        <w:rPr>
          <w:sz w:val="24"/>
        </w:rPr>
        <w:t xml:space="preserve"> Because this review is only required every </w:t>
      </w:r>
      <w:r w:rsidR="00E26C4F">
        <w:rPr>
          <w:sz w:val="24"/>
        </w:rPr>
        <w:t xml:space="preserve">two </w:t>
      </w:r>
      <w:r>
        <w:rPr>
          <w:sz w:val="24"/>
        </w:rPr>
        <w:t>years, the annualized number of hours every clinic or center must spend on policy review is 2 hours per year (4 hours</w:t>
      </w:r>
      <w:r w:rsidR="00FF62D6">
        <w:rPr>
          <w:sz w:val="24"/>
        </w:rPr>
        <w:t>/</w:t>
      </w:r>
      <w:r>
        <w:rPr>
          <w:sz w:val="24"/>
        </w:rPr>
        <w:t>2 years).</w:t>
      </w:r>
    </w:p>
    <w:p w:rsidR="0058771F" w:rsidP="004220A4" w14:paraId="0000011D" w14:textId="77777777">
      <w:pPr>
        <w:rPr>
          <w:sz w:val="24"/>
        </w:rPr>
      </w:pPr>
    </w:p>
    <w:p w:rsidR="00FB2F90" w:rsidRPr="009E068A" w:rsidP="00F77274" w14:paraId="1943BD7A" w14:textId="214A4952">
      <w:pPr>
        <w:pStyle w:val="Caption"/>
        <w:keepNext/>
        <w:spacing w:after="0"/>
        <w:jc w:val="center"/>
        <w:rPr>
          <w:sz w:val="24"/>
        </w:rPr>
      </w:pPr>
      <w:r w:rsidRPr="009E068A">
        <w:rPr>
          <w:i w:val="0"/>
          <w:iCs w:val="0"/>
          <w:color w:val="auto"/>
          <w:sz w:val="24"/>
          <w:szCs w:val="24"/>
        </w:rPr>
        <w:t xml:space="preserve">Table </w:t>
      </w:r>
      <w:r w:rsidRPr="009E068A" w:rsidR="0071569C">
        <w:rPr>
          <w:i w:val="0"/>
          <w:iCs w:val="0"/>
          <w:color w:val="auto"/>
          <w:sz w:val="24"/>
          <w:szCs w:val="24"/>
        </w:rPr>
        <w:t>4</w:t>
      </w:r>
      <w:r w:rsidRPr="009E068A">
        <w:rPr>
          <w:i w:val="0"/>
          <w:iCs w:val="0"/>
          <w:color w:val="auto"/>
          <w:sz w:val="24"/>
          <w:szCs w:val="24"/>
        </w:rPr>
        <w:t xml:space="preserve">. Annual Burden for </w:t>
      </w:r>
      <w:r w:rsidRPr="009E068A">
        <w:rPr>
          <w:i w:val="0"/>
          <w:iCs w:val="0"/>
          <w:color w:val="auto"/>
          <w:sz w:val="24"/>
        </w:rPr>
        <w:t>Periodic Reviews</w:t>
      </w:r>
    </w:p>
    <w:tbl>
      <w:tblPr>
        <w:tblStyle w:val="TableGrid"/>
        <w:tblW w:w="10254" w:type="dxa"/>
        <w:tblInd w:w="-5" w:type="dxa"/>
        <w:tblLook w:val="04A0"/>
      </w:tblPr>
      <w:tblGrid>
        <w:gridCol w:w="2029"/>
        <w:gridCol w:w="1563"/>
        <w:gridCol w:w="1385"/>
        <w:gridCol w:w="1307"/>
        <w:gridCol w:w="1090"/>
        <w:gridCol w:w="1540"/>
        <w:gridCol w:w="1340"/>
      </w:tblGrid>
      <w:tr w14:paraId="4CA633CA" w14:textId="77777777" w:rsidTr="00861711">
        <w:tblPrEx>
          <w:tblW w:w="10254" w:type="dxa"/>
          <w:tblInd w:w="-5" w:type="dxa"/>
          <w:tblLook w:val="04A0"/>
        </w:tblPrEx>
        <w:tc>
          <w:tcPr>
            <w:tcW w:w="2029" w:type="dxa"/>
            <w:vAlign w:val="center"/>
          </w:tcPr>
          <w:p w:rsidR="002D3D51" w:rsidRPr="00861711" w:rsidP="006A58F5" w14:paraId="4275667B" w14:textId="14764BBF">
            <w:pPr>
              <w:ind w:right="324"/>
              <w:jc w:val="center"/>
              <w:rPr>
                <w:szCs w:val="20"/>
              </w:rPr>
            </w:pPr>
            <w:r w:rsidRPr="00861711">
              <w:rPr>
                <w:szCs w:val="20"/>
              </w:rPr>
              <w:t>Requirement</w:t>
            </w:r>
          </w:p>
        </w:tc>
        <w:tc>
          <w:tcPr>
            <w:tcW w:w="1563" w:type="dxa"/>
            <w:vAlign w:val="center"/>
          </w:tcPr>
          <w:p w:rsidR="002D3D51" w:rsidRPr="00861711" w:rsidP="006A58F5" w14:paraId="2CE952ED" w14:textId="6FC31592">
            <w:pPr>
              <w:ind w:right="324"/>
              <w:jc w:val="center"/>
              <w:rPr>
                <w:szCs w:val="20"/>
              </w:rPr>
            </w:pPr>
            <w:r w:rsidRPr="00861711">
              <w:rPr>
                <w:szCs w:val="20"/>
              </w:rPr>
              <w:t>Respondents</w:t>
            </w:r>
          </w:p>
        </w:tc>
        <w:tc>
          <w:tcPr>
            <w:tcW w:w="1385" w:type="dxa"/>
            <w:vAlign w:val="center"/>
          </w:tcPr>
          <w:p w:rsidR="002D3D51" w:rsidRPr="00861711" w:rsidP="006A58F5" w14:paraId="0E1F2A90" w14:textId="30C389F6">
            <w:pPr>
              <w:ind w:right="324"/>
              <w:jc w:val="center"/>
              <w:rPr>
                <w:szCs w:val="20"/>
              </w:rPr>
            </w:pPr>
            <w:r w:rsidRPr="00861711">
              <w:rPr>
                <w:szCs w:val="20"/>
              </w:rPr>
              <w:t>Responses</w:t>
            </w:r>
          </w:p>
        </w:tc>
        <w:tc>
          <w:tcPr>
            <w:tcW w:w="1307" w:type="dxa"/>
            <w:vAlign w:val="center"/>
          </w:tcPr>
          <w:p w:rsidR="002D3D51" w:rsidRPr="00861711" w:rsidP="006A58F5" w14:paraId="5CB08F55" w14:textId="79B1AAAD">
            <w:pPr>
              <w:ind w:right="324"/>
              <w:jc w:val="center"/>
              <w:rPr>
                <w:szCs w:val="20"/>
              </w:rPr>
            </w:pPr>
            <w:r w:rsidRPr="00861711">
              <w:rPr>
                <w:szCs w:val="20"/>
              </w:rPr>
              <w:t>Time per Response (hr)</w:t>
            </w:r>
          </w:p>
        </w:tc>
        <w:tc>
          <w:tcPr>
            <w:tcW w:w="1090" w:type="dxa"/>
            <w:vAlign w:val="center"/>
          </w:tcPr>
          <w:p w:rsidR="002D3D51" w:rsidRPr="00861711" w:rsidP="006A58F5" w14:paraId="7C77927B" w14:textId="4389E611">
            <w:pPr>
              <w:ind w:right="324"/>
              <w:jc w:val="center"/>
              <w:rPr>
                <w:szCs w:val="20"/>
              </w:rPr>
            </w:pPr>
            <w:r w:rsidRPr="00861711">
              <w:rPr>
                <w:szCs w:val="20"/>
              </w:rPr>
              <w:t>Total Time (hr)</w:t>
            </w:r>
          </w:p>
        </w:tc>
        <w:tc>
          <w:tcPr>
            <w:tcW w:w="1540" w:type="dxa"/>
            <w:vAlign w:val="center"/>
          </w:tcPr>
          <w:p w:rsidR="002D3D51" w:rsidRPr="00861711" w:rsidP="006A58F5" w14:paraId="123B7A63" w14:textId="42F84B71">
            <w:pPr>
              <w:ind w:right="324"/>
              <w:jc w:val="center"/>
              <w:rPr>
                <w:szCs w:val="20"/>
              </w:rPr>
            </w:pPr>
            <w:r w:rsidRPr="00861711">
              <w:rPr>
                <w:szCs w:val="20"/>
              </w:rPr>
              <w:t>Labor Cost ($/hr)</w:t>
            </w:r>
          </w:p>
        </w:tc>
        <w:tc>
          <w:tcPr>
            <w:tcW w:w="1340" w:type="dxa"/>
            <w:vAlign w:val="center"/>
          </w:tcPr>
          <w:p w:rsidR="002D3D51" w:rsidRPr="00861711" w:rsidP="006A58F5" w14:paraId="0ED2EBA1" w14:textId="20B65D96">
            <w:pPr>
              <w:ind w:right="324"/>
              <w:jc w:val="center"/>
              <w:rPr>
                <w:szCs w:val="20"/>
              </w:rPr>
            </w:pPr>
            <w:r w:rsidRPr="00861711">
              <w:rPr>
                <w:szCs w:val="20"/>
              </w:rPr>
              <w:t>Total Cost ($)</w:t>
            </w:r>
          </w:p>
        </w:tc>
      </w:tr>
      <w:tr w14:paraId="49C3F36A" w14:textId="77777777" w:rsidTr="00861711">
        <w:tblPrEx>
          <w:tblW w:w="10254" w:type="dxa"/>
          <w:tblInd w:w="-5" w:type="dxa"/>
          <w:tblLook w:val="04A0"/>
        </w:tblPrEx>
        <w:trPr>
          <w:trHeight w:val="665"/>
        </w:trPr>
        <w:tc>
          <w:tcPr>
            <w:tcW w:w="2029" w:type="dxa"/>
            <w:vMerge w:val="restart"/>
            <w:vAlign w:val="center"/>
          </w:tcPr>
          <w:p w:rsidR="00C649A5" w:rsidRPr="00861711" w:rsidP="00BE1E93" w14:paraId="13E26902" w14:textId="3E37DC9D">
            <w:pPr>
              <w:ind w:right="324"/>
              <w:rPr>
                <w:szCs w:val="20"/>
              </w:rPr>
            </w:pPr>
            <w:r w:rsidRPr="00861711">
              <w:rPr>
                <w:szCs w:val="20"/>
              </w:rPr>
              <w:t xml:space="preserve">Biennial review of existing policies for every </w:t>
            </w:r>
            <w:r w:rsidRPr="00861711" w:rsidR="00D87005">
              <w:rPr>
                <w:szCs w:val="20"/>
              </w:rPr>
              <w:t>Medicare-certified</w:t>
            </w:r>
            <w:r w:rsidRPr="00861711">
              <w:rPr>
                <w:szCs w:val="20"/>
              </w:rPr>
              <w:t xml:space="preserve"> clinic/center</w:t>
            </w:r>
            <w:r w:rsidRPr="00861711" w:rsidR="00BE1E93">
              <w:rPr>
                <w:szCs w:val="20"/>
              </w:rPr>
              <w:t xml:space="preserve"> </w:t>
            </w:r>
            <w:r w:rsidRPr="00861711" w:rsidR="00BE1E93">
              <w:rPr>
                <w:bCs/>
                <w:szCs w:val="20"/>
              </w:rPr>
              <w:t>(§ 491.9(b)</w:t>
            </w:r>
            <w:r w:rsidRPr="00861711" w:rsidR="00522471">
              <w:rPr>
                <w:bCs/>
                <w:szCs w:val="20"/>
              </w:rPr>
              <w:t>(2)</w:t>
            </w:r>
          </w:p>
        </w:tc>
        <w:tc>
          <w:tcPr>
            <w:tcW w:w="1563" w:type="dxa"/>
            <w:vMerge w:val="restart"/>
            <w:vAlign w:val="center"/>
          </w:tcPr>
          <w:p w:rsidR="00C649A5" w:rsidRPr="00861711" w:rsidP="006A58F5" w14:paraId="6FE33576" w14:textId="2006FE2B">
            <w:pPr>
              <w:ind w:right="324"/>
              <w:jc w:val="center"/>
              <w:rPr>
                <w:szCs w:val="20"/>
              </w:rPr>
            </w:pPr>
            <w:r w:rsidRPr="00861711">
              <w:rPr>
                <w:bCs/>
                <w:szCs w:val="20"/>
              </w:rPr>
              <w:t>17,389 (5,537 Existing RHCs + 11,852 Existing FQHCs)</w:t>
            </w:r>
          </w:p>
        </w:tc>
        <w:tc>
          <w:tcPr>
            <w:tcW w:w="1385" w:type="dxa"/>
            <w:vAlign w:val="center"/>
          </w:tcPr>
          <w:p w:rsidR="00C649A5" w:rsidRPr="00861711" w:rsidP="006A58F5" w14:paraId="7A86D17F" w14:textId="30341E84">
            <w:pPr>
              <w:ind w:right="324"/>
              <w:jc w:val="center"/>
              <w:rPr>
                <w:szCs w:val="20"/>
              </w:rPr>
            </w:pPr>
            <w:r w:rsidRPr="00861711">
              <w:rPr>
                <w:szCs w:val="20"/>
              </w:rPr>
              <w:t>17,389</w:t>
            </w:r>
          </w:p>
        </w:tc>
        <w:tc>
          <w:tcPr>
            <w:tcW w:w="1307" w:type="dxa"/>
            <w:vAlign w:val="center"/>
          </w:tcPr>
          <w:p w:rsidR="00C649A5" w:rsidRPr="00861711" w:rsidP="006A58F5" w14:paraId="211FE90E" w14:textId="518639EA">
            <w:pPr>
              <w:ind w:right="324"/>
              <w:jc w:val="center"/>
              <w:rPr>
                <w:szCs w:val="20"/>
              </w:rPr>
            </w:pPr>
            <w:r w:rsidRPr="00861711">
              <w:rPr>
                <w:szCs w:val="20"/>
              </w:rPr>
              <w:t>1</w:t>
            </w:r>
          </w:p>
        </w:tc>
        <w:tc>
          <w:tcPr>
            <w:tcW w:w="1090" w:type="dxa"/>
            <w:vAlign w:val="center"/>
          </w:tcPr>
          <w:p w:rsidR="00C649A5" w:rsidRPr="00861711" w:rsidP="006A58F5" w14:paraId="603C718F" w14:textId="2568A9E4">
            <w:pPr>
              <w:ind w:right="324"/>
              <w:jc w:val="center"/>
              <w:rPr>
                <w:szCs w:val="20"/>
              </w:rPr>
            </w:pPr>
            <w:r w:rsidRPr="00861711">
              <w:rPr>
                <w:szCs w:val="20"/>
              </w:rPr>
              <w:t>17,389</w:t>
            </w:r>
          </w:p>
        </w:tc>
        <w:tc>
          <w:tcPr>
            <w:tcW w:w="1540" w:type="dxa"/>
            <w:vAlign w:val="center"/>
          </w:tcPr>
          <w:p w:rsidR="00C649A5" w:rsidRPr="00861711" w:rsidP="006A58F5" w14:paraId="09DD72FD" w14:textId="72146C00">
            <w:pPr>
              <w:ind w:right="324"/>
              <w:jc w:val="center"/>
              <w:rPr>
                <w:szCs w:val="20"/>
              </w:rPr>
            </w:pPr>
            <w:r w:rsidRPr="00861711">
              <w:rPr>
                <w:szCs w:val="20"/>
              </w:rPr>
              <w:t>253.70</w:t>
            </w:r>
            <w:r w:rsidRPr="00861711">
              <w:rPr>
                <w:szCs w:val="20"/>
              </w:rPr>
              <w:t xml:space="preserve"> (Physician)</w:t>
            </w:r>
          </w:p>
        </w:tc>
        <w:tc>
          <w:tcPr>
            <w:tcW w:w="1340" w:type="dxa"/>
            <w:vAlign w:val="center"/>
          </w:tcPr>
          <w:p w:rsidR="00C649A5" w:rsidRPr="00861711" w:rsidP="006A58F5" w14:paraId="0F9106F1" w14:textId="3B4A482D">
            <w:pPr>
              <w:ind w:right="324"/>
              <w:jc w:val="center"/>
              <w:rPr>
                <w:szCs w:val="20"/>
              </w:rPr>
            </w:pPr>
            <w:r w:rsidRPr="00861711">
              <w:rPr>
                <w:szCs w:val="20"/>
              </w:rPr>
              <w:t>4,411,589</w:t>
            </w:r>
          </w:p>
        </w:tc>
      </w:tr>
      <w:tr w14:paraId="70D88E6E" w14:textId="77777777" w:rsidTr="00861711">
        <w:tblPrEx>
          <w:tblW w:w="10254" w:type="dxa"/>
          <w:tblInd w:w="-5" w:type="dxa"/>
          <w:tblLook w:val="04A0"/>
        </w:tblPrEx>
        <w:tc>
          <w:tcPr>
            <w:tcW w:w="2029" w:type="dxa"/>
            <w:vMerge/>
            <w:vAlign w:val="center"/>
          </w:tcPr>
          <w:p w:rsidR="00C649A5" w:rsidRPr="00861711" w:rsidP="006A58F5" w14:paraId="6DDE5526" w14:textId="77777777">
            <w:pPr>
              <w:ind w:right="324"/>
              <w:jc w:val="center"/>
              <w:rPr>
                <w:szCs w:val="20"/>
              </w:rPr>
            </w:pPr>
          </w:p>
        </w:tc>
        <w:tc>
          <w:tcPr>
            <w:tcW w:w="1563" w:type="dxa"/>
            <w:vMerge/>
            <w:vAlign w:val="center"/>
          </w:tcPr>
          <w:p w:rsidR="00C649A5" w:rsidRPr="00861711" w:rsidP="006A58F5" w14:paraId="057577E3" w14:textId="77777777">
            <w:pPr>
              <w:ind w:right="324"/>
              <w:jc w:val="center"/>
              <w:rPr>
                <w:bCs/>
                <w:szCs w:val="20"/>
              </w:rPr>
            </w:pPr>
          </w:p>
        </w:tc>
        <w:tc>
          <w:tcPr>
            <w:tcW w:w="1385" w:type="dxa"/>
            <w:vAlign w:val="center"/>
          </w:tcPr>
          <w:p w:rsidR="00C649A5" w:rsidRPr="00861711" w:rsidP="006A58F5" w14:paraId="0684F44B" w14:textId="62ADD865">
            <w:pPr>
              <w:ind w:right="324"/>
              <w:jc w:val="center"/>
              <w:rPr>
                <w:szCs w:val="20"/>
              </w:rPr>
            </w:pPr>
            <w:r w:rsidRPr="00861711">
              <w:rPr>
                <w:szCs w:val="20"/>
              </w:rPr>
              <w:t>17,389</w:t>
            </w:r>
          </w:p>
        </w:tc>
        <w:tc>
          <w:tcPr>
            <w:tcW w:w="1307" w:type="dxa"/>
            <w:vAlign w:val="center"/>
          </w:tcPr>
          <w:p w:rsidR="00C649A5" w:rsidRPr="00861711" w:rsidP="006A58F5" w14:paraId="359C96E5" w14:textId="2BBFB09A">
            <w:pPr>
              <w:ind w:right="324"/>
              <w:jc w:val="center"/>
              <w:rPr>
                <w:szCs w:val="20"/>
              </w:rPr>
            </w:pPr>
            <w:r w:rsidRPr="00861711">
              <w:rPr>
                <w:szCs w:val="20"/>
              </w:rPr>
              <w:t>1</w:t>
            </w:r>
          </w:p>
        </w:tc>
        <w:tc>
          <w:tcPr>
            <w:tcW w:w="1090" w:type="dxa"/>
            <w:vAlign w:val="center"/>
          </w:tcPr>
          <w:p w:rsidR="00C649A5" w:rsidRPr="00861711" w:rsidP="006A58F5" w14:paraId="5355AB21" w14:textId="73E6DE02">
            <w:pPr>
              <w:ind w:right="324"/>
              <w:jc w:val="center"/>
              <w:rPr>
                <w:szCs w:val="20"/>
              </w:rPr>
            </w:pPr>
            <w:r w:rsidRPr="00861711">
              <w:rPr>
                <w:szCs w:val="20"/>
              </w:rPr>
              <w:t>17,389</w:t>
            </w:r>
          </w:p>
        </w:tc>
        <w:tc>
          <w:tcPr>
            <w:tcW w:w="1540" w:type="dxa"/>
            <w:vAlign w:val="center"/>
          </w:tcPr>
          <w:p w:rsidR="00E26C4F" w:rsidRPr="00861711" w:rsidP="005F2F61" w14:paraId="2D4B6542" w14:textId="14FD31E1">
            <w:pPr>
              <w:ind w:right="324"/>
              <w:jc w:val="center"/>
              <w:rPr>
                <w:szCs w:val="20"/>
              </w:rPr>
            </w:pPr>
            <w:r w:rsidRPr="00861711">
              <w:rPr>
                <w:szCs w:val="20"/>
              </w:rPr>
              <w:t>124.52</w:t>
            </w:r>
          </w:p>
          <w:p w:rsidR="00C649A5" w:rsidRPr="00861711" w:rsidP="006A58F5" w14:paraId="1892E5F6" w14:textId="3927D5AE">
            <w:pPr>
              <w:ind w:right="324"/>
              <w:jc w:val="center"/>
              <w:rPr>
                <w:szCs w:val="20"/>
              </w:rPr>
            </w:pPr>
            <w:r w:rsidRPr="00861711">
              <w:rPr>
                <w:szCs w:val="20"/>
              </w:rPr>
              <w:t>(Mid-level Practitioner</w:t>
            </w:r>
            <w:r w:rsidRPr="00861711" w:rsidR="005F2F61">
              <w:rPr>
                <w:szCs w:val="20"/>
              </w:rPr>
              <w:t>)</w:t>
            </w:r>
          </w:p>
        </w:tc>
        <w:tc>
          <w:tcPr>
            <w:tcW w:w="1340" w:type="dxa"/>
            <w:vAlign w:val="center"/>
          </w:tcPr>
          <w:p w:rsidR="00C649A5" w:rsidRPr="00861711" w:rsidP="006A58F5" w14:paraId="568CC118" w14:textId="7ADFD94D">
            <w:pPr>
              <w:ind w:right="324"/>
              <w:jc w:val="center"/>
              <w:rPr>
                <w:szCs w:val="20"/>
              </w:rPr>
            </w:pPr>
            <w:r w:rsidRPr="00861711">
              <w:rPr>
                <w:szCs w:val="20"/>
              </w:rPr>
              <w:t>2,165,27</w:t>
            </w:r>
            <w:r w:rsidRPr="00861711" w:rsidR="009C68B5">
              <w:rPr>
                <w:szCs w:val="20"/>
              </w:rPr>
              <w:t>9</w:t>
            </w:r>
          </w:p>
        </w:tc>
      </w:tr>
      <w:tr w14:paraId="1F5F0EA1" w14:textId="77777777" w:rsidTr="00861711">
        <w:tblPrEx>
          <w:tblW w:w="10254" w:type="dxa"/>
          <w:tblInd w:w="-5" w:type="dxa"/>
          <w:tblLook w:val="04A0"/>
        </w:tblPrEx>
        <w:tc>
          <w:tcPr>
            <w:tcW w:w="2029" w:type="dxa"/>
            <w:vAlign w:val="center"/>
          </w:tcPr>
          <w:p w:rsidR="00C649A5" w:rsidRPr="00861711" w:rsidP="006A58F5" w14:paraId="55C86B23" w14:textId="701F0457">
            <w:pPr>
              <w:ind w:right="324"/>
              <w:jc w:val="center"/>
              <w:rPr>
                <w:szCs w:val="20"/>
              </w:rPr>
            </w:pPr>
            <w:r w:rsidRPr="00861711">
              <w:rPr>
                <w:szCs w:val="20"/>
              </w:rPr>
              <w:t>TOTAL</w:t>
            </w:r>
          </w:p>
        </w:tc>
        <w:tc>
          <w:tcPr>
            <w:tcW w:w="1563" w:type="dxa"/>
            <w:vAlign w:val="center"/>
          </w:tcPr>
          <w:p w:rsidR="00C649A5" w:rsidRPr="00861711" w:rsidP="006A58F5" w14:paraId="04C2F469" w14:textId="55FB6E79">
            <w:pPr>
              <w:ind w:right="324"/>
              <w:jc w:val="center"/>
              <w:rPr>
                <w:bCs/>
                <w:szCs w:val="20"/>
              </w:rPr>
            </w:pPr>
            <w:r w:rsidRPr="00861711">
              <w:rPr>
                <w:bCs/>
                <w:szCs w:val="20"/>
              </w:rPr>
              <w:t>17,389</w:t>
            </w:r>
          </w:p>
        </w:tc>
        <w:tc>
          <w:tcPr>
            <w:tcW w:w="1385" w:type="dxa"/>
            <w:vAlign w:val="center"/>
          </w:tcPr>
          <w:p w:rsidR="00C649A5" w:rsidRPr="00861711" w:rsidP="006A58F5" w14:paraId="462719B0" w14:textId="6107708A">
            <w:pPr>
              <w:ind w:right="324"/>
              <w:jc w:val="center"/>
              <w:rPr>
                <w:szCs w:val="20"/>
              </w:rPr>
            </w:pPr>
            <w:r w:rsidRPr="00861711">
              <w:rPr>
                <w:szCs w:val="20"/>
              </w:rPr>
              <w:t>17,389</w:t>
            </w:r>
          </w:p>
        </w:tc>
        <w:tc>
          <w:tcPr>
            <w:tcW w:w="1307" w:type="dxa"/>
            <w:vAlign w:val="center"/>
          </w:tcPr>
          <w:p w:rsidR="00C649A5" w:rsidRPr="00861711" w:rsidP="006A58F5" w14:paraId="651161F5" w14:textId="78A0526F">
            <w:pPr>
              <w:ind w:right="324"/>
              <w:jc w:val="center"/>
              <w:rPr>
                <w:szCs w:val="20"/>
              </w:rPr>
            </w:pPr>
            <w:r w:rsidRPr="00861711">
              <w:rPr>
                <w:szCs w:val="20"/>
              </w:rPr>
              <w:t>2</w:t>
            </w:r>
          </w:p>
        </w:tc>
        <w:tc>
          <w:tcPr>
            <w:tcW w:w="1090" w:type="dxa"/>
            <w:vAlign w:val="center"/>
          </w:tcPr>
          <w:p w:rsidR="00C649A5" w:rsidRPr="00861711" w:rsidP="006A58F5" w14:paraId="66E7D8DB" w14:textId="39876915">
            <w:pPr>
              <w:ind w:right="324"/>
              <w:jc w:val="center"/>
              <w:rPr>
                <w:szCs w:val="20"/>
              </w:rPr>
            </w:pPr>
            <w:r w:rsidRPr="00861711">
              <w:rPr>
                <w:szCs w:val="20"/>
              </w:rPr>
              <w:t>34,778</w:t>
            </w:r>
          </w:p>
        </w:tc>
        <w:tc>
          <w:tcPr>
            <w:tcW w:w="1540" w:type="dxa"/>
            <w:vAlign w:val="center"/>
          </w:tcPr>
          <w:p w:rsidR="00C649A5" w:rsidRPr="00861711" w:rsidP="006A58F5" w14:paraId="67773621" w14:textId="5681F6D8">
            <w:pPr>
              <w:ind w:right="324"/>
              <w:jc w:val="center"/>
              <w:rPr>
                <w:szCs w:val="20"/>
              </w:rPr>
            </w:pPr>
            <w:r w:rsidRPr="00861711">
              <w:rPr>
                <w:szCs w:val="20"/>
              </w:rPr>
              <w:t>Varies</w:t>
            </w:r>
          </w:p>
        </w:tc>
        <w:tc>
          <w:tcPr>
            <w:tcW w:w="1340" w:type="dxa"/>
            <w:vAlign w:val="center"/>
          </w:tcPr>
          <w:p w:rsidR="00C649A5" w:rsidRPr="00861711" w:rsidP="006A58F5" w14:paraId="63647165" w14:textId="1AD70EBE">
            <w:pPr>
              <w:ind w:right="324"/>
              <w:jc w:val="center"/>
              <w:rPr>
                <w:szCs w:val="20"/>
              </w:rPr>
            </w:pPr>
            <w:r w:rsidRPr="00861711">
              <w:rPr>
                <w:szCs w:val="20"/>
              </w:rPr>
              <w:t>6,576,86</w:t>
            </w:r>
            <w:r w:rsidRPr="00861711" w:rsidR="009C68B5">
              <w:rPr>
                <w:szCs w:val="20"/>
              </w:rPr>
              <w:t>8</w:t>
            </w:r>
          </w:p>
        </w:tc>
      </w:tr>
    </w:tbl>
    <w:p w:rsidR="002D3D51" w:rsidRPr="009E068A" w14:paraId="19C24B80" w14:textId="77777777">
      <w:pPr>
        <w:ind w:left="450" w:right="324"/>
        <w:rPr>
          <w:sz w:val="24"/>
        </w:rPr>
      </w:pPr>
    </w:p>
    <w:p w:rsidR="001A39A2" w:rsidP="004220A4" w14:paraId="04B1B1B6" w14:textId="475D46C5">
      <w:pPr>
        <w:rPr>
          <w:sz w:val="24"/>
        </w:rPr>
      </w:pPr>
      <w:r w:rsidRPr="009E068A">
        <w:rPr>
          <w:sz w:val="24"/>
        </w:rPr>
        <w:t xml:space="preserve">This request for revision </w:t>
      </w:r>
      <w:r w:rsidRPr="009E068A">
        <w:rPr>
          <w:i/>
          <w:iCs/>
          <w:sz w:val="24"/>
          <w:u w:val="single"/>
        </w:rPr>
        <w:t>p</w:t>
      </w:r>
      <w:r w:rsidRPr="009E068A">
        <w:rPr>
          <w:i/>
          <w:iCs/>
          <w:sz w:val="24"/>
          <w:u w:val="single"/>
        </w:rPr>
        <w:t>ermit</w:t>
      </w:r>
      <w:r w:rsidRPr="009E068A">
        <w:rPr>
          <w:i/>
          <w:iCs/>
          <w:sz w:val="24"/>
          <w:u w:val="single"/>
        </w:rPr>
        <w:t>s</w:t>
      </w:r>
      <w:r w:rsidRPr="009E068A">
        <w:rPr>
          <w:i/>
          <w:iCs/>
          <w:sz w:val="24"/>
          <w:u w:val="single"/>
        </w:rPr>
        <w:t xml:space="preserve"> MFT and MHCs to furnish services in RHC</w:t>
      </w:r>
      <w:r w:rsidR="00852B7F">
        <w:rPr>
          <w:i/>
          <w:iCs/>
          <w:sz w:val="24"/>
          <w:u w:val="single"/>
        </w:rPr>
        <w:t xml:space="preserve"> and </w:t>
      </w:r>
      <w:r w:rsidRPr="009E068A">
        <w:rPr>
          <w:i/>
          <w:iCs/>
          <w:sz w:val="24"/>
          <w:u w:val="single"/>
        </w:rPr>
        <w:t>FQHC</w:t>
      </w:r>
      <w:r w:rsidRPr="009E068A">
        <w:rPr>
          <w:i/>
          <w:iCs/>
          <w:sz w:val="24"/>
          <w:u w:val="single"/>
        </w:rPr>
        <w:t>.</w:t>
      </w:r>
      <w:r w:rsidRPr="009E068A">
        <w:rPr>
          <w:i/>
          <w:iCs/>
          <w:sz w:val="24"/>
        </w:rPr>
        <w:t xml:space="preserve">  </w:t>
      </w:r>
      <w:r w:rsidRPr="009E068A" w:rsidR="00B7018E">
        <w:rPr>
          <w:sz w:val="24"/>
        </w:rPr>
        <w:t>Section 491.8(a)(3) and (6) adds MFT and MHCs to the list of staff who may be the owner or an employee of the clinic or center or may furnish services under contract to the clinic or center as</w:t>
      </w:r>
      <w:r w:rsidRPr="00B7018E" w:rsidR="00B7018E">
        <w:rPr>
          <w:sz w:val="24"/>
        </w:rPr>
        <w:t xml:space="preserve"> well as included as staff available to furnish patient care services at all times the clinic or center operates. If an RHC or FQHC provides services furnished by an MFT or MHC, they will be required to update their patient care policy, as set out in § 491.9(b)(2) of the CfCs.</w:t>
      </w:r>
    </w:p>
    <w:p w:rsidR="001A39A2" w:rsidP="004220A4" w14:paraId="02E8D565" w14:textId="77777777">
      <w:pPr>
        <w:rPr>
          <w:sz w:val="24"/>
        </w:rPr>
      </w:pPr>
    </w:p>
    <w:p w:rsidR="001A39A2" w:rsidRPr="001E58B8" w:rsidP="001A39A2" w14:paraId="6F001E49" w14:textId="64E1D2BA">
      <w:pPr>
        <w:rPr>
          <w:sz w:val="24"/>
        </w:rPr>
      </w:pPr>
      <w:r w:rsidRPr="001E58B8">
        <w:rPr>
          <w:sz w:val="24"/>
        </w:rPr>
        <w:t xml:space="preserve">We estimate that it takes existing RHCs and FQHCs 4 hours every 2 years </w:t>
      </w:r>
      <w:r w:rsidR="00EF6DDD">
        <w:rPr>
          <w:sz w:val="24"/>
        </w:rPr>
        <w:t xml:space="preserve">(2 hours every 1 year) </w:t>
      </w:r>
      <w:r w:rsidRPr="001E58B8">
        <w:rPr>
          <w:sz w:val="24"/>
        </w:rPr>
        <w:t xml:space="preserve">for clinical staff to review and make changes to all patient care policies. Based on this, we estimate that adding MFT and MHC services (as necessary) to the patient care policies would take </w:t>
      </w:r>
      <w:r w:rsidR="00D05779">
        <w:rPr>
          <w:sz w:val="24"/>
        </w:rPr>
        <w:t>an additional quarter of the burden already allotted for biannual reviews.</w:t>
      </w:r>
      <w:r w:rsidR="00E26C4F">
        <w:rPr>
          <w:sz w:val="24"/>
        </w:rPr>
        <w:t xml:space="preserve"> </w:t>
      </w:r>
      <w:r w:rsidR="00D05779">
        <w:rPr>
          <w:sz w:val="24"/>
        </w:rPr>
        <w:t xml:space="preserve">This would result in a </w:t>
      </w:r>
      <w:r>
        <w:rPr>
          <w:sz w:val="24"/>
        </w:rPr>
        <w:t xml:space="preserve">one-time </w:t>
      </w:r>
      <w:r w:rsidRPr="001E58B8">
        <w:rPr>
          <w:sz w:val="24"/>
        </w:rPr>
        <w:t>burden of 4,</w:t>
      </w:r>
      <w:r w:rsidR="001260D4">
        <w:rPr>
          <w:sz w:val="24"/>
        </w:rPr>
        <w:t>348</w:t>
      </w:r>
      <w:r w:rsidRPr="001E58B8">
        <w:rPr>
          <w:sz w:val="24"/>
        </w:rPr>
        <w:t xml:space="preserve"> hours (0.50 hr x </w:t>
      </w:r>
      <w:r w:rsidR="001260D4">
        <w:rPr>
          <w:sz w:val="24"/>
        </w:rPr>
        <w:t>8,695</w:t>
      </w:r>
      <w:r w:rsidRPr="001E58B8">
        <w:rPr>
          <w:sz w:val="24"/>
        </w:rPr>
        <w:t xml:space="preserve"> RHC and</w:t>
      </w:r>
      <w:r w:rsidR="00D05779">
        <w:rPr>
          <w:sz w:val="24"/>
        </w:rPr>
        <w:t xml:space="preserve"> </w:t>
      </w:r>
      <w:r w:rsidRPr="001E58B8">
        <w:rPr>
          <w:sz w:val="24"/>
        </w:rPr>
        <w:t>FQHCs) at a cost of $</w:t>
      </w:r>
      <w:r w:rsidR="001260D4">
        <w:rPr>
          <w:sz w:val="24"/>
        </w:rPr>
        <w:t>782,640</w:t>
      </w:r>
      <w:r w:rsidRPr="001E58B8">
        <w:rPr>
          <w:sz w:val="24"/>
        </w:rPr>
        <w:t xml:space="preserve"> [(2</w:t>
      </w:r>
      <w:r w:rsidR="001260D4">
        <w:rPr>
          <w:sz w:val="24"/>
        </w:rPr>
        <w:t>,174</w:t>
      </w:r>
      <w:r w:rsidRPr="001E58B8">
        <w:rPr>
          <w:sz w:val="24"/>
        </w:rPr>
        <w:t xml:space="preserve"> hr x $</w:t>
      </w:r>
      <w:r w:rsidR="00CB69D7">
        <w:rPr>
          <w:sz w:val="24"/>
        </w:rPr>
        <w:t>253.70/hr</w:t>
      </w:r>
      <w:r w:rsidRPr="001E58B8">
        <w:rPr>
          <w:sz w:val="24"/>
        </w:rPr>
        <w:t>) + (2</w:t>
      </w:r>
      <w:r w:rsidR="001260D4">
        <w:rPr>
          <w:sz w:val="24"/>
        </w:rPr>
        <w:t>,174</w:t>
      </w:r>
      <w:r>
        <w:rPr>
          <w:sz w:val="24"/>
        </w:rPr>
        <w:t xml:space="preserve"> </w:t>
      </w:r>
      <w:r w:rsidRPr="001E58B8">
        <w:rPr>
          <w:sz w:val="24"/>
        </w:rPr>
        <w:t>hr x $</w:t>
      </w:r>
      <w:r w:rsidR="00957413">
        <w:rPr>
          <w:sz w:val="24"/>
        </w:rPr>
        <w:t>124.52</w:t>
      </w:r>
      <w:r w:rsidRPr="001E58B8">
        <w:rPr>
          <w:sz w:val="24"/>
        </w:rPr>
        <w:t>/hr)].</w:t>
      </w:r>
    </w:p>
    <w:p w:rsidR="001A39A2" w:rsidRPr="001E58B8" w:rsidP="001A39A2" w14:paraId="7296BDC5" w14:textId="77777777">
      <w:pPr>
        <w:rPr>
          <w:sz w:val="24"/>
        </w:rPr>
      </w:pPr>
    </w:p>
    <w:p w:rsidR="00D05779" w:rsidRPr="009E068A" w:rsidP="00F77274" w14:paraId="28AAA677" w14:textId="766B54B9">
      <w:pPr>
        <w:pStyle w:val="Caption"/>
        <w:keepNext/>
        <w:spacing w:after="0"/>
        <w:jc w:val="center"/>
        <w:rPr>
          <w:sz w:val="24"/>
        </w:rPr>
      </w:pPr>
      <w:r w:rsidRPr="009E068A">
        <w:rPr>
          <w:i w:val="0"/>
          <w:iCs w:val="0"/>
          <w:color w:val="auto"/>
          <w:sz w:val="24"/>
          <w:szCs w:val="24"/>
        </w:rPr>
        <w:t xml:space="preserve">Table </w:t>
      </w:r>
      <w:r w:rsidRPr="009E068A" w:rsidR="0071569C">
        <w:rPr>
          <w:i w:val="0"/>
          <w:iCs w:val="0"/>
          <w:color w:val="auto"/>
          <w:sz w:val="24"/>
          <w:szCs w:val="24"/>
        </w:rPr>
        <w:t>5</w:t>
      </w:r>
      <w:r w:rsidRPr="009E068A">
        <w:rPr>
          <w:i w:val="0"/>
          <w:iCs w:val="0"/>
          <w:color w:val="auto"/>
          <w:sz w:val="24"/>
          <w:szCs w:val="24"/>
        </w:rPr>
        <w:t xml:space="preserve">. </w:t>
      </w:r>
      <w:r w:rsidRPr="009E068A" w:rsidR="00253646">
        <w:rPr>
          <w:i w:val="0"/>
          <w:iCs w:val="0"/>
          <w:color w:val="auto"/>
          <w:sz w:val="24"/>
          <w:szCs w:val="24"/>
        </w:rPr>
        <w:t>New</w:t>
      </w:r>
      <w:r w:rsidRPr="009E068A">
        <w:rPr>
          <w:i w:val="0"/>
          <w:iCs w:val="0"/>
          <w:color w:val="auto"/>
          <w:sz w:val="24"/>
          <w:szCs w:val="24"/>
        </w:rPr>
        <w:t xml:space="preserve"> One-time </w:t>
      </w:r>
      <w:r w:rsidRPr="009E068A" w:rsidR="00253646">
        <w:rPr>
          <w:i w:val="0"/>
          <w:iCs w:val="0"/>
          <w:color w:val="auto"/>
          <w:sz w:val="24"/>
          <w:szCs w:val="24"/>
        </w:rPr>
        <w:t>Requirement/</w:t>
      </w:r>
      <w:r w:rsidRPr="009E068A">
        <w:rPr>
          <w:i w:val="0"/>
          <w:iCs w:val="0"/>
          <w:color w:val="auto"/>
          <w:sz w:val="24"/>
          <w:szCs w:val="24"/>
        </w:rPr>
        <w:t>Burden</w:t>
      </w:r>
      <w:r w:rsidR="00862CF2">
        <w:rPr>
          <w:i w:val="0"/>
          <w:iCs w:val="0"/>
          <w:color w:val="auto"/>
          <w:sz w:val="24"/>
          <w:szCs w:val="24"/>
        </w:rPr>
        <w:t xml:space="preserve"> (</w:t>
      </w:r>
      <w:r w:rsidRPr="00862CF2" w:rsidR="00862CF2">
        <w:rPr>
          <w:i w:val="0"/>
          <w:iCs w:val="0"/>
          <w:color w:val="auto"/>
          <w:sz w:val="24"/>
          <w:szCs w:val="24"/>
        </w:rPr>
        <w:t>CMS-1784-F</w:t>
      </w:r>
      <w:r w:rsidR="00862CF2">
        <w:rPr>
          <w:i w:val="0"/>
          <w:iCs w:val="0"/>
          <w:color w:val="auto"/>
          <w:sz w:val="24"/>
          <w:szCs w:val="24"/>
        </w:rPr>
        <w:t xml:space="preserve">) </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3"/>
        <w:gridCol w:w="1284"/>
        <w:gridCol w:w="1344"/>
        <w:gridCol w:w="1067"/>
        <w:gridCol w:w="1758"/>
        <w:gridCol w:w="1286"/>
        <w:gridCol w:w="1113"/>
      </w:tblGrid>
      <w:tr w14:paraId="7A40CB5C" w14:textId="77777777" w:rsidTr="006A58F5">
        <w:tblPrEx>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403" w:type="dxa"/>
            <w:tcBorders>
              <w:top w:val="single" w:sz="4" w:space="0" w:color="auto"/>
              <w:left w:val="single" w:sz="4" w:space="0" w:color="auto"/>
              <w:right w:val="single" w:sz="4" w:space="0" w:color="auto"/>
            </w:tcBorders>
            <w:vAlign w:val="center"/>
          </w:tcPr>
          <w:p w:rsidR="00754E9A" w:rsidRPr="009611ED" w:rsidP="009E0255" w14:paraId="34F2CA75" w14:textId="62C571B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szCs w:val="20"/>
              </w:rPr>
              <w:t>Requirement</w:t>
            </w:r>
          </w:p>
        </w:tc>
        <w:tc>
          <w:tcPr>
            <w:tcW w:w="1284" w:type="dxa"/>
            <w:tcBorders>
              <w:top w:val="single" w:sz="4" w:space="0" w:color="auto"/>
              <w:left w:val="single" w:sz="4" w:space="0" w:color="auto"/>
              <w:right w:val="single" w:sz="4" w:space="0" w:color="auto"/>
            </w:tcBorders>
            <w:vAlign w:val="center"/>
          </w:tcPr>
          <w:p w:rsidR="00754E9A" w:rsidRPr="009611ED" w:rsidP="009E0255" w14:paraId="614DB62E" w14:textId="2EB2B5F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Respondents</w:t>
            </w:r>
          </w:p>
        </w:tc>
        <w:tc>
          <w:tcPr>
            <w:tcW w:w="1344" w:type="dxa"/>
            <w:tcBorders>
              <w:top w:val="single" w:sz="4" w:space="0" w:color="auto"/>
              <w:left w:val="single" w:sz="4" w:space="0" w:color="auto"/>
              <w:bottom w:val="single" w:sz="4" w:space="0" w:color="auto"/>
              <w:right w:val="single" w:sz="4" w:space="0" w:color="auto"/>
            </w:tcBorders>
            <w:vAlign w:val="center"/>
          </w:tcPr>
          <w:p w:rsidR="00754E9A" w:rsidRPr="009611ED" w:rsidP="009E0255" w14:paraId="7D52F995" w14:textId="577602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Responses</w:t>
            </w:r>
          </w:p>
        </w:tc>
        <w:tc>
          <w:tcPr>
            <w:tcW w:w="1067" w:type="dxa"/>
            <w:tcBorders>
              <w:top w:val="single" w:sz="4" w:space="0" w:color="auto"/>
              <w:left w:val="single" w:sz="4" w:space="0" w:color="auto"/>
              <w:bottom w:val="single" w:sz="4" w:space="0" w:color="auto"/>
              <w:right w:val="single" w:sz="4" w:space="0" w:color="auto"/>
            </w:tcBorders>
            <w:vAlign w:val="center"/>
          </w:tcPr>
          <w:p w:rsidR="00754E9A" w:rsidRPr="009611ED" w:rsidP="009E0255" w14:paraId="733DBCD1" w14:textId="34944E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Time per Response (hr)</w:t>
            </w:r>
          </w:p>
        </w:tc>
        <w:tc>
          <w:tcPr>
            <w:tcW w:w="1758" w:type="dxa"/>
            <w:tcBorders>
              <w:top w:val="single" w:sz="4" w:space="0" w:color="auto"/>
              <w:left w:val="single" w:sz="4" w:space="0" w:color="auto"/>
              <w:bottom w:val="single" w:sz="4" w:space="0" w:color="auto"/>
              <w:right w:val="single" w:sz="4" w:space="0" w:color="auto"/>
            </w:tcBorders>
            <w:vAlign w:val="center"/>
          </w:tcPr>
          <w:p w:rsidR="00754E9A" w:rsidRPr="009611ED" w:rsidP="009E0255" w14:paraId="1FF58CA3" w14:textId="258CE9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Total Time</w:t>
            </w:r>
          </w:p>
          <w:p w:rsidR="00754E9A" w:rsidRPr="009611ED" w:rsidP="009E0255" w14:paraId="22818926" w14:textId="5806D2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(hr)</w:t>
            </w:r>
          </w:p>
        </w:tc>
        <w:tc>
          <w:tcPr>
            <w:tcW w:w="1286" w:type="dxa"/>
            <w:tcBorders>
              <w:top w:val="single" w:sz="4" w:space="0" w:color="auto"/>
              <w:left w:val="single" w:sz="4" w:space="0" w:color="auto"/>
              <w:bottom w:val="single" w:sz="4" w:space="0" w:color="auto"/>
              <w:right w:val="single" w:sz="4" w:space="0" w:color="auto"/>
            </w:tcBorders>
            <w:vAlign w:val="center"/>
          </w:tcPr>
          <w:p w:rsidR="00754E9A" w:rsidRPr="009611ED" w:rsidP="009E0255" w14:paraId="5E774DF2" w14:textId="755E5B25">
            <w:pPr>
              <w:widowControl/>
              <w:jc w:val="center"/>
              <w:rPr>
                <w:szCs w:val="20"/>
              </w:rPr>
            </w:pPr>
            <w:r w:rsidRPr="009611ED">
              <w:rPr>
                <w:szCs w:val="20"/>
              </w:rPr>
              <w:t>Labor Cost ($/hr)</w:t>
            </w:r>
          </w:p>
        </w:tc>
        <w:tc>
          <w:tcPr>
            <w:tcW w:w="1113" w:type="dxa"/>
            <w:tcBorders>
              <w:top w:val="single" w:sz="4" w:space="0" w:color="auto"/>
              <w:left w:val="nil"/>
              <w:bottom w:val="single" w:sz="8" w:space="0" w:color="auto"/>
              <w:right w:val="single" w:sz="8" w:space="0" w:color="auto"/>
            </w:tcBorders>
            <w:shd w:val="clear" w:color="auto" w:fill="auto"/>
            <w:vAlign w:val="center"/>
          </w:tcPr>
          <w:p w:rsidR="00754E9A" w:rsidRPr="009611ED" w:rsidP="009E0255" w14:paraId="21F62045" w14:textId="692E5A8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Total Cost ($)</w:t>
            </w:r>
          </w:p>
        </w:tc>
      </w:tr>
      <w:tr w14:paraId="6CBA2557" w14:textId="77777777" w:rsidTr="006A58F5">
        <w:tblPrEx>
          <w:tblW w:w="9255" w:type="dxa"/>
          <w:jc w:val="center"/>
          <w:tblLook w:val="00A0"/>
        </w:tblPrEx>
        <w:trPr>
          <w:tblHeader/>
          <w:jc w:val="center"/>
        </w:trPr>
        <w:tc>
          <w:tcPr>
            <w:tcW w:w="1403" w:type="dxa"/>
            <w:vMerge w:val="restart"/>
            <w:tcBorders>
              <w:top w:val="single" w:sz="4" w:space="0" w:color="auto"/>
              <w:left w:val="single" w:sz="4" w:space="0" w:color="auto"/>
              <w:right w:val="single" w:sz="4" w:space="0" w:color="auto"/>
            </w:tcBorders>
            <w:vAlign w:val="bottom"/>
          </w:tcPr>
          <w:p w:rsidR="00754E9A" w:rsidRPr="009611ED" w:rsidP="00522471" w14:paraId="2974AF6C" w14:textId="15C2638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Cs w:val="20"/>
              </w:rPr>
            </w:pPr>
            <w:r w:rsidRPr="009611ED">
              <w:rPr>
                <w:bCs/>
                <w:szCs w:val="20"/>
              </w:rPr>
              <w:t>Permitting MFT and MHCs to Furnish Services in RHC/FQHCs</w:t>
            </w:r>
            <w:r w:rsidRPr="009611ED" w:rsidR="00522471">
              <w:rPr>
                <w:bCs/>
                <w:szCs w:val="20"/>
              </w:rPr>
              <w:t xml:space="preserve"> </w:t>
            </w:r>
            <w:r w:rsidRPr="009611ED" w:rsidR="00522471">
              <w:rPr>
                <w:bCs/>
                <w:szCs w:val="20"/>
              </w:rPr>
              <w:t>(§ 491.9(b)</w:t>
            </w:r>
          </w:p>
        </w:tc>
        <w:tc>
          <w:tcPr>
            <w:tcW w:w="1284" w:type="dxa"/>
            <w:vMerge w:val="restart"/>
            <w:tcBorders>
              <w:top w:val="single" w:sz="4" w:space="0" w:color="auto"/>
              <w:left w:val="single" w:sz="4" w:space="0" w:color="auto"/>
              <w:right w:val="single" w:sz="4" w:space="0" w:color="auto"/>
            </w:tcBorders>
            <w:vAlign w:val="center"/>
          </w:tcPr>
          <w:p w:rsidR="00754E9A" w:rsidRPr="009611ED" w:rsidP="00754E9A" w14:paraId="02769797" w14:textId="3E0DAE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8,695 (2,769 RHCs) + 5,926 FQHCs)</w:t>
            </w:r>
          </w:p>
          <w:p w:rsidR="00754E9A" w:rsidRPr="009611ED" w:rsidP="00754E9A" w14:paraId="7C7A7EFF" w14:textId="2DE2D2A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026708C2" w14:textId="151D0B6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4,347</w:t>
            </w:r>
          </w:p>
        </w:tc>
        <w:tc>
          <w:tcPr>
            <w:tcW w:w="1067"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45C7A15D" w14:textId="6907829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.5</w:t>
            </w:r>
          </w:p>
        </w:tc>
        <w:tc>
          <w:tcPr>
            <w:tcW w:w="1758"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1686510B" w14:textId="4E5BC3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2,174</w:t>
            </w:r>
          </w:p>
        </w:tc>
        <w:tc>
          <w:tcPr>
            <w:tcW w:w="1286"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16E346E9" w14:textId="0E9E2F07">
            <w:pPr>
              <w:jc w:val="center"/>
              <w:rPr>
                <w:bCs/>
                <w:iCs/>
                <w:szCs w:val="20"/>
              </w:rPr>
            </w:pPr>
            <w:r w:rsidRPr="009611ED">
              <w:rPr>
                <w:bCs/>
                <w:iCs/>
                <w:szCs w:val="20"/>
              </w:rPr>
              <w:t>253.70</w:t>
            </w:r>
          </w:p>
          <w:p w:rsidR="00754E9A" w:rsidRPr="009611ED" w:rsidP="00754E9A" w14:paraId="39DFDED3" w14:textId="4232503E">
            <w:pPr>
              <w:widowControl/>
              <w:jc w:val="center"/>
              <w:rPr>
                <w:bCs/>
                <w:szCs w:val="20"/>
              </w:rPr>
            </w:pPr>
            <w:r w:rsidRPr="009611ED">
              <w:rPr>
                <w:bCs/>
                <w:iCs/>
                <w:szCs w:val="20"/>
              </w:rPr>
              <w:t>(Physician</w:t>
            </w:r>
            <w:r w:rsidRPr="009611ED" w:rsidR="00D37662">
              <w:rPr>
                <w:bCs/>
                <w:iCs/>
                <w:szCs w:val="20"/>
              </w:rPr>
              <w:t>)</w:t>
            </w:r>
          </w:p>
        </w:tc>
        <w:tc>
          <w:tcPr>
            <w:tcW w:w="1113" w:type="dxa"/>
            <w:tcBorders>
              <w:top w:val="nil"/>
              <w:left w:val="nil"/>
              <w:bottom w:val="single" w:sz="8" w:space="0" w:color="auto"/>
              <w:right w:val="single" w:sz="8" w:space="0" w:color="auto"/>
            </w:tcBorders>
            <w:shd w:val="clear" w:color="auto" w:fill="auto"/>
            <w:vAlign w:val="center"/>
          </w:tcPr>
          <w:p w:rsidR="00754E9A" w:rsidRPr="009611ED" w:rsidP="00754E9A" w14:paraId="5C741799" w14:textId="3EB592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551,544</w:t>
            </w:r>
          </w:p>
        </w:tc>
      </w:tr>
      <w:tr w14:paraId="18ED4C9E" w14:textId="77777777" w:rsidTr="006A58F5">
        <w:tblPrEx>
          <w:tblW w:w="9255" w:type="dxa"/>
          <w:jc w:val="center"/>
          <w:tblLook w:val="00A0"/>
        </w:tblPrEx>
        <w:trPr>
          <w:tblHeader/>
          <w:jc w:val="center"/>
        </w:trPr>
        <w:tc>
          <w:tcPr>
            <w:tcW w:w="1403" w:type="dxa"/>
            <w:vMerge/>
            <w:tcBorders>
              <w:left w:val="single" w:sz="4" w:space="0" w:color="auto"/>
              <w:bottom w:val="single" w:sz="4" w:space="0" w:color="auto"/>
              <w:right w:val="single" w:sz="4" w:space="0" w:color="auto"/>
            </w:tcBorders>
            <w:vAlign w:val="bottom"/>
          </w:tcPr>
          <w:p w:rsidR="00754E9A" w:rsidRPr="009611ED" w:rsidP="00754E9A" w14:paraId="3C3775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284" w:type="dxa"/>
            <w:vMerge/>
            <w:tcBorders>
              <w:left w:val="single" w:sz="4" w:space="0" w:color="auto"/>
              <w:bottom w:val="single" w:sz="4" w:space="0" w:color="auto"/>
              <w:right w:val="single" w:sz="4" w:space="0" w:color="auto"/>
            </w:tcBorders>
          </w:tcPr>
          <w:p w:rsidR="00754E9A" w:rsidRPr="009611ED" w:rsidP="00754E9A" w14:paraId="36B1717B" w14:textId="4B75D4E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505B5F7D" w14:textId="14C4D79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4,348</w:t>
            </w:r>
          </w:p>
        </w:tc>
        <w:tc>
          <w:tcPr>
            <w:tcW w:w="1067"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5C6B1626" w14:textId="597F58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.5</w:t>
            </w:r>
          </w:p>
        </w:tc>
        <w:tc>
          <w:tcPr>
            <w:tcW w:w="1758"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133DA48C" w14:textId="1B58126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2,174</w:t>
            </w:r>
          </w:p>
        </w:tc>
        <w:tc>
          <w:tcPr>
            <w:tcW w:w="1286"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0BA34E7B" w14:textId="7E8479C6">
            <w:pPr>
              <w:jc w:val="center"/>
              <w:rPr>
                <w:bCs/>
                <w:iCs/>
                <w:szCs w:val="20"/>
              </w:rPr>
            </w:pPr>
            <w:r w:rsidRPr="009611ED">
              <w:rPr>
                <w:bCs/>
                <w:iCs/>
                <w:szCs w:val="20"/>
              </w:rPr>
              <w:t>124.52</w:t>
            </w:r>
          </w:p>
          <w:p w:rsidR="00754E9A" w:rsidRPr="009611ED" w:rsidP="00754E9A" w14:paraId="3EDE4230" w14:textId="2D094C9B">
            <w:pPr>
              <w:widowControl/>
              <w:jc w:val="center"/>
              <w:rPr>
                <w:bCs/>
                <w:szCs w:val="20"/>
              </w:rPr>
            </w:pPr>
            <w:r w:rsidRPr="009611ED">
              <w:rPr>
                <w:bCs/>
                <w:iCs/>
                <w:szCs w:val="20"/>
              </w:rPr>
              <w:t>(Mid-level Practitioner)</w:t>
            </w:r>
          </w:p>
        </w:tc>
        <w:tc>
          <w:tcPr>
            <w:tcW w:w="1113" w:type="dxa"/>
            <w:tcBorders>
              <w:top w:val="nil"/>
              <w:left w:val="nil"/>
              <w:bottom w:val="single" w:sz="8" w:space="0" w:color="auto"/>
              <w:right w:val="single" w:sz="8" w:space="0" w:color="auto"/>
            </w:tcBorders>
            <w:shd w:val="clear" w:color="auto" w:fill="auto"/>
            <w:vAlign w:val="center"/>
          </w:tcPr>
          <w:p w:rsidR="00754E9A" w:rsidRPr="009611ED" w:rsidP="00754E9A" w14:paraId="6F9DEF2C" w14:textId="006162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270,706</w:t>
            </w:r>
          </w:p>
        </w:tc>
      </w:tr>
      <w:tr w14:paraId="66C666C8" w14:textId="77777777" w:rsidTr="006A58F5">
        <w:tblPrEx>
          <w:tblW w:w="9255" w:type="dxa"/>
          <w:jc w:val="center"/>
          <w:tblLook w:val="00A0"/>
        </w:tblPrEx>
        <w:trPr>
          <w:tblHeader/>
          <w:jc w:val="center"/>
        </w:trPr>
        <w:tc>
          <w:tcPr>
            <w:tcW w:w="1403" w:type="dxa"/>
            <w:tcBorders>
              <w:top w:val="single" w:sz="4" w:space="0" w:color="auto"/>
              <w:left w:val="single" w:sz="4" w:space="0" w:color="auto"/>
              <w:bottom w:val="single" w:sz="4" w:space="0" w:color="auto"/>
              <w:right w:val="single" w:sz="4" w:space="0" w:color="auto"/>
            </w:tcBorders>
          </w:tcPr>
          <w:p w:rsidR="00754E9A" w:rsidRPr="009611ED" w:rsidP="00754E9A" w14:paraId="62A116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TOTAL</w:t>
            </w:r>
          </w:p>
        </w:tc>
        <w:tc>
          <w:tcPr>
            <w:tcW w:w="1284" w:type="dxa"/>
            <w:tcBorders>
              <w:top w:val="single" w:sz="4" w:space="0" w:color="auto"/>
              <w:left w:val="single" w:sz="4" w:space="0" w:color="auto"/>
              <w:bottom w:val="single" w:sz="4" w:space="0" w:color="auto"/>
              <w:right w:val="single" w:sz="4" w:space="0" w:color="auto"/>
            </w:tcBorders>
          </w:tcPr>
          <w:p w:rsidR="00754E9A" w:rsidRPr="009611ED" w:rsidP="00754E9A" w14:paraId="58FA420A" w14:textId="3C5578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8,695</w:t>
            </w:r>
          </w:p>
        </w:tc>
        <w:tc>
          <w:tcPr>
            <w:tcW w:w="1344"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13C46AB4" w14:textId="3600321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8,695</w:t>
            </w:r>
          </w:p>
        </w:tc>
        <w:tc>
          <w:tcPr>
            <w:tcW w:w="1067"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713E3289" w14:textId="33BDF4D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1.0</w:t>
            </w:r>
          </w:p>
        </w:tc>
        <w:tc>
          <w:tcPr>
            <w:tcW w:w="1758"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7A25A5FB" w14:textId="7669AFA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iCs/>
                <w:szCs w:val="20"/>
              </w:rPr>
              <w:t>4,348</w:t>
            </w:r>
          </w:p>
        </w:tc>
        <w:tc>
          <w:tcPr>
            <w:tcW w:w="1286"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115D83E6" w14:textId="4F837D97">
            <w:pPr>
              <w:widowControl/>
              <w:jc w:val="center"/>
              <w:rPr>
                <w:bCs/>
                <w:szCs w:val="20"/>
              </w:rPr>
            </w:pPr>
            <w:r w:rsidRPr="009611ED">
              <w:rPr>
                <w:bCs/>
                <w:iCs/>
                <w:szCs w:val="20"/>
              </w:rPr>
              <w:t>Varies</w:t>
            </w:r>
          </w:p>
        </w:tc>
        <w:tc>
          <w:tcPr>
            <w:tcW w:w="1113" w:type="dxa"/>
            <w:tcBorders>
              <w:top w:val="single" w:sz="4" w:space="0" w:color="auto"/>
              <w:left w:val="single" w:sz="4" w:space="0" w:color="auto"/>
              <w:bottom w:val="single" w:sz="4" w:space="0" w:color="auto"/>
              <w:right w:val="single" w:sz="4" w:space="0" w:color="auto"/>
            </w:tcBorders>
            <w:vAlign w:val="center"/>
          </w:tcPr>
          <w:p w:rsidR="00754E9A" w:rsidRPr="009611ED" w:rsidP="00754E9A" w14:paraId="4B99CFD1" w14:textId="278AB91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iCs/>
                <w:szCs w:val="20"/>
              </w:rPr>
              <w:t>822,250</w:t>
            </w:r>
          </w:p>
        </w:tc>
      </w:tr>
    </w:tbl>
    <w:p w:rsidR="001A39A2" w:rsidP="004220A4" w14:paraId="43FB061A" w14:textId="77777777">
      <w:pPr>
        <w:rPr>
          <w:sz w:val="24"/>
        </w:rPr>
      </w:pPr>
    </w:p>
    <w:p w:rsidR="0058771F" w:rsidRPr="00BC6CB9" w:rsidP="00BC6CB9" w14:paraId="0000011E" w14:textId="78205477">
      <w:pPr>
        <w:jc w:val="center"/>
        <w:rPr>
          <w:bCs/>
          <w:i/>
          <w:sz w:val="24"/>
        </w:rPr>
      </w:pPr>
      <w:r w:rsidRPr="00BC6CB9">
        <w:rPr>
          <w:bCs/>
          <w:i/>
          <w:sz w:val="24"/>
        </w:rPr>
        <w:t xml:space="preserve">§ </w:t>
      </w:r>
      <w:r w:rsidRPr="00BC6CB9" w:rsidR="009740CB">
        <w:rPr>
          <w:bCs/>
          <w:i/>
          <w:sz w:val="24"/>
        </w:rPr>
        <w:t>491.11 - Program Evaluation</w:t>
      </w:r>
    </w:p>
    <w:p w:rsidR="00BC6CB9" w:rsidP="004220A4" w14:paraId="05F9F609" w14:textId="77777777">
      <w:pPr>
        <w:rPr>
          <w:sz w:val="24"/>
        </w:rPr>
      </w:pPr>
    </w:p>
    <w:p w:rsidR="0058771F" w:rsidRPr="00B0209B" w:rsidP="004220A4" w14:paraId="0000011F" w14:textId="7950D41C">
      <w:pPr>
        <w:rPr>
          <w:sz w:val="24"/>
        </w:rPr>
      </w:pPr>
      <w:r w:rsidRPr="00B0209B">
        <w:rPr>
          <w:sz w:val="24"/>
        </w:rPr>
        <w:t xml:space="preserve">Every RHC and FQHC must conduct or </w:t>
      </w:r>
      <w:r w:rsidRPr="006A58F5">
        <w:rPr>
          <w:sz w:val="24"/>
        </w:rPr>
        <w:t>arrange for a biennial evaluation</w:t>
      </w:r>
      <w:r w:rsidRPr="00B0209B">
        <w:rPr>
          <w:sz w:val="24"/>
        </w:rPr>
        <w:t xml:space="preserve"> of its program to determine if </w:t>
      </w:r>
      <w:r w:rsidR="00D10D53">
        <w:rPr>
          <w:sz w:val="24"/>
        </w:rPr>
        <w:t xml:space="preserve">the </w:t>
      </w:r>
      <w:r w:rsidRPr="00B0209B">
        <w:rPr>
          <w:sz w:val="24"/>
        </w:rPr>
        <w:t xml:space="preserve">utilization of services </w:t>
      </w:r>
      <w:r w:rsidR="00E26C4F">
        <w:rPr>
          <w:sz w:val="24"/>
        </w:rPr>
        <w:t>was</w:t>
      </w:r>
      <w:r w:rsidRPr="00B0209B" w:rsidR="00E26C4F">
        <w:rPr>
          <w:sz w:val="24"/>
        </w:rPr>
        <w:t xml:space="preserve"> </w:t>
      </w:r>
      <w:r w:rsidRPr="00B0209B">
        <w:rPr>
          <w:sz w:val="24"/>
        </w:rPr>
        <w:t xml:space="preserve">appropriate, </w:t>
      </w:r>
      <w:r w:rsidR="00D10D53">
        <w:rPr>
          <w:sz w:val="24"/>
        </w:rPr>
        <w:t xml:space="preserve">if </w:t>
      </w:r>
      <w:r w:rsidRPr="00B0209B">
        <w:rPr>
          <w:sz w:val="24"/>
        </w:rPr>
        <w:t>established policies were followed, or if any changes are needed. Specifically, the evaluation includes</w:t>
      </w:r>
      <w:r w:rsidR="00D10D53">
        <w:rPr>
          <w:sz w:val="24"/>
        </w:rPr>
        <w:t xml:space="preserve"> a</w:t>
      </w:r>
      <w:r w:rsidRPr="00B0209B">
        <w:rPr>
          <w:sz w:val="24"/>
        </w:rPr>
        <w:t xml:space="preserve"> review of (1) utilization of clinic or center services, including at least the number of patients served and the volume of services; (2) a representative sample of both active and closed clinical records; and (3) the clinic's or center's health care policies</w:t>
      </w:r>
      <w:r w:rsidRPr="00B0209B" w:rsidR="008E033B">
        <w:rPr>
          <w:sz w:val="24"/>
        </w:rPr>
        <w:t xml:space="preserve"> per </w:t>
      </w:r>
      <w:r w:rsidRPr="00B0209B" w:rsidR="00BC6CB9">
        <w:rPr>
          <w:bCs/>
          <w:iCs/>
          <w:sz w:val="24"/>
        </w:rPr>
        <w:t xml:space="preserve">§ </w:t>
      </w:r>
      <w:r w:rsidRPr="00B0209B" w:rsidR="008E033B">
        <w:rPr>
          <w:sz w:val="24"/>
        </w:rPr>
        <w:t>491.11(b)</w:t>
      </w:r>
      <w:r w:rsidRPr="00B0209B">
        <w:rPr>
          <w:sz w:val="24"/>
        </w:rPr>
        <w:t xml:space="preserve">. </w:t>
      </w:r>
      <w:r w:rsidRPr="00B0209B" w:rsidR="008E033B">
        <w:rPr>
          <w:sz w:val="24"/>
        </w:rPr>
        <w:t xml:space="preserve">Every clinic or center must conduct a program evaluation every two years (biennially) per </w:t>
      </w:r>
      <w:r w:rsidRPr="00B0209B" w:rsidR="00BC6CB9">
        <w:rPr>
          <w:bCs/>
          <w:iCs/>
          <w:sz w:val="24"/>
        </w:rPr>
        <w:t xml:space="preserve">§ </w:t>
      </w:r>
      <w:r w:rsidRPr="00B0209B" w:rsidR="008E033B">
        <w:rPr>
          <w:sz w:val="24"/>
        </w:rPr>
        <w:t>491.11(a).</w:t>
      </w:r>
    </w:p>
    <w:p w:rsidR="00BC6CB9" w:rsidRPr="00B0209B" w:rsidP="004220A4" w14:paraId="157EE246" w14:textId="77777777">
      <w:pPr>
        <w:rPr>
          <w:sz w:val="24"/>
        </w:rPr>
      </w:pPr>
    </w:p>
    <w:p w:rsidR="0058771F" w:rsidP="004220A4" w14:paraId="00000122" w14:textId="180883E2">
      <w:pPr>
        <w:rPr>
          <w:sz w:val="24"/>
        </w:rPr>
      </w:pPr>
      <w:r w:rsidRPr="00320D6D">
        <w:rPr>
          <w:i/>
          <w:iCs/>
          <w:sz w:val="24"/>
          <w:u w:val="single"/>
        </w:rPr>
        <w:t>Initial development of program evaluation</w:t>
      </w:r>
      <w:r w:rsidRPr="00B0209B" w:rsidR="00C662A7">
        <w:rPr>
          <w:sz w:val="24"/>
          <w:u w:val="single"/>
        </w:rPr>
        <w:t>:</w:t>
      </w:r>
      <w:r w:rsidRPr="00B0209B" w:rsidR="00BC6CB9">
        <w:rPr>
          <w:sz w:val="24"/>
        </w:rPr>
        <w:t xml:space="preserve">  </w:t>
      </w:r>
      <w:r w:rsidRPr="00B0209B">
        <w:rPr>
          <w:sz w:val="24"/>
        </w:rPr>
        <w:t xml:space="preserve">We estimate that the initial one-time effort to </w:t>
      </w:r>
      <w:r w:rsidRPr="006C69DE">
        <w:rPr>
          <w:sz w:val="24"/>
        </w:rPr>
        <w:t>develop the program evaluation will take a physician and a mid-level practitioner approximately</w:t>
      </w:r>
      <w:r w:rsidRPr="00B0209B">
        <w:rPr>
          <w:sz w:val="24"/>
        </w:rPr>
        <w:t xml:space="preserve"> 5 hours each, for a total of 10 hours per new clinic or center for the initial year.</w:t>
      </w:r>
    </w:p>
    <w:p w:rsidR="00D955BD" w:rsidRPr="00B0209B" w:rsidP="004220A4" w14:paraId="76333108" w14:textId="77777777">
      <w:pPr>
        <w:rPr>
          <w:sz w:val="24"/>
        </w:rPr>
      </w:pPr>
    </w:p>
    <w:p w:rsidR="0058771F" w:rsidRPr="00852B7F" w:rsidP="00F77274" w14:paraId="00000123" w14:textId="222213B5">
      <w:pPr>
        <w:jc w:val="center"/>
        <w:rPr>
          <w:bCs/>
          <w:sz w:val="24"/>
        </w:rPr>
      </w:pPr>
      <w:r>
        <w:rPr>
          <w:bCs/>
          <w:sz w:val="24"/>
        </w:rPr>
        <w:t xml:space="preserve">Table </w:t>
      </w:r>
      <w:r w:rsidRPr="00F77274">
        <w:rPr>
          <w:bCs/>
          <w:sz w:val="24"/>
        </w:rPr>
        <w:t xml:space="preserve">6. </w:t>
      </w:r>
      <w:r w:rsidR="009C68B5">
        <w:rPr>
          <w:bCs/>
          <w:sz w:val="24"/>
        </w:rPr>
        <w:t xml:space="preserve">Annual Burden for </w:t>
      </w:r>
      <w:r w:rsidRPr="00320D6D">
        <w:rPr>
          <w:bCs/>
          <w:sz w:val="24"/>
        </w:rPr>
        <w:t>Initial Development of Program Evaluation</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9"/>
        <w:gridCol w:w="1239"/>
        <w:gridCol w:w="1071"/>
        <w:gridCol w:w="996"/>
        <w:gridCol w:w="855"/>
        <w:gridCol w:w="1329"/>
        <w:gridCol w:w="1016"/>
      </w:tblGrid>
      <w:tr w14:paraId="1999B970" w14:textId="77777777" w:rsidTr="006A58F5">
        <w:tblPrEx>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094B71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szCs w:val="20"/>
              </w:rPr>
              <w:t>Requirement</w:t>
            </w:r>
          </w:p>
        </w:tc>
        <w:tc>
          <w:tcPr>
            <w:tcW w:w="1186"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2E3F30F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szCs w:val="20"/>
              </w:rPr>
              <w:t>Respondents</w:t>
            </w:r>
          </w:p>
        </w:tc>
        <w:tc>
          <w:tcPr>
            <w:tcW w:w="1073"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4947306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szCs w:val="20"/>
              </w:rPr>
              <w:t>Responses</w:t>
            </w:r>
          </w:p>
        </w:tc>
        <w:tc>
          <w:tcPr>
            <w:tcW w:w="998"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4B17C43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szCs w:val="20"/>
              </w:rPr>
              <w:t>Time per Response (hr)</w:t>
            </w:r>
          </w:p>
        </w:tc>
        <w:tc>
          <w:tcPr>
            <w:tcW w:w="869"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69D0518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bCs/>
                <w:szCs w:val="20"/>
              </w:rPr>
              <w:t>Total Time (hr)</w:t>
            </w:r>
          </w:p>
        </w:tc>
        <w:tc>
          <w:tcPr>
            <w:tcW w:w="1346"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77D52539" w14:textId="77777777">
            <w:pPr>
              <w:widowControl/>
              <w:jc w:val="center"/>
              <w:rPr>
                <w:szCs w:val="20"/>
              </w:rPr>
            </w:pPr>
            <w:r w:rsidRPr="009611ED">
              <w:rPr>
                <w:bCs/>
                <w:szCs w:val="20"/>
              </w:rPr>
              <w:t>Labor Cost ($/hr)</w:t>
            </w:r>
          </w:p>
        </w:tc>
        <w:tc>
          <w:tcPr>
            <w:tcW w:w="889" w:type="dxa"/>
            <w:tcBorders>
              <w:top w:val="single" w:sz="4" w:space="0" w:color="auto"/>
              <w:left w:val="single" w:sz="4" w:space="0" w:color="auto"/>
              <w:bottom w:val="single" w:sz="4" w:space="0" w:color="auto"/>
              <w:right w:val="single" w:sz="4" w:space="0" w:color="auto"/>
            </w:tcBorders>
            <w:vAlign w:val="center"/>
            <w:hideMark/>
          </w:tcPr>
          <w:p w:rsidR="004B40E8" w:rsidRPr="009611ED" w:rsidP="00E26C4F" w14:paraId="4701F2D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Total Cost</w:t>
            </w:r>
          </w:p>
          <w:p w:rsidR="004B40E8" w:rsidRPr="009611ED" w:rsidP="00E26C4F" w14:paraId="30CE1B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w:t>
            </w:r>
          </w:p>
        </w:tc>
      </w:tr>
      <w:tr w14:paraId="092C5194" w14:textId="77777777" w:rsidTr="006A58F5">
        <w:tblPrEx>
          <w:tblW w:w="8695" w:type="dxa"/>
          <w:jc w:val="center"/>
          <w:tblLook w:val="00A0"/>
        </w:tblPrEx>
        <w:trPr>
          <w:tblHeader/>
          <w:jc w:val="center"/>
        </w:trPr>
        <w:tc>
          <w:tcPr>
            <w:tcW w:w="2334" w:type="dxa"/>
            <w:vMerge w:val="restart"/>
            <w:tcBorders>
              <w:top w:val="single" w:sz="4" w:space="0" w:color="auto"/>
              <w:left w:val="single" w:sz="4" w:space="0" w:color="auto"/>
              <w:right w:val="single" w:sz="4" w:space="0" w:color="auto"/>
            </w:tcBorders>
            <w:vAlign w:val="center"/>
          </w:tcPr>
          <w:p w:rsidR="009B755E" w:rsidRPr="009611ED" w:rsidP="009C5595" w14:paraId="208B1A66" w14:textId="6DAA31A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Cs w:val="20"/>
              </w:rPr>
            </w:pPr>
            <w:r w:rsidRPr="009611ED">
              <w:rPr>
                <w:bCs/>
                <w:szCs w:val="20"/>
              </w:rPr>
              <w:t>Initial development of program evaluation</w:t>
            </w:r>
            <w:r w:rsidRPr="009611ED" w:rsidR="009C5595">
              <w:rPr>
                <w:bCs/>
                <w:szCs w:val="20"/>
              </w:rPr>
              <w:t xml:space="preserve"> </w:t>
            </w:r>
            <w:r w:rsidRPr="009611ED" w:rsidR="009C5595">
              <w:rPr>
                <w:bCs/>
                <w:szCs w:val="20"/>
              </w:rPr>
              <w:t>(§ 491.</w:t>
            </w:r>
            <w:r w:rsidRPr="009611ED" w:rsidR="009C5595">
              <w:rPr>
                <w:bCs/>
                <w:szCs w:val="20"/>
              </w:rPr>
              <w:t>11</w:t>
            </w:r>
            <w:r w:rsidRPr="009611ED" w:rsidR="009C5595">
              <w:rPr>
                <w:bCs/>
                <w:szCs w:val="20"/>
              </w:rPr>
              <w:t>)</w:t>
            </w:r>
          </w:p>
        </w:tc>
        <w:tc>
          <w:tcPr>
            <w:tcW w:w="1186" w:type="dxa"/>
            <w:vMerge w:val="restart"/>
            <w:tcBorders>
              <w:top w:val="single" w:sz="4" w:space="0" w:color="auto"/>
              <w:left w:val="single" w:sz="4" w:space="0" w:color="auto"/>
              <w:right w:val="single" w:sz="4" w:space="0" w:color="auto"/>
            </w:tcBorders>
            <w:vAlign w:val="center"/>
          </w:tcPr>
          <w:p w:rsidR="009B755E" w:rsidRPr="009611ED" w:rsidP="00E26C4F" w14:paraId="13808BC1" w14:textId="5B138B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bCs/>
                <w:szCs w:val="20"/>
              </w:rPr>
              <w:t>1,0</w:t>
            </w:r>
            <w:r w:rsidRPr="009611ED" w:rsidR="00D10D53">
              <w:rPr>
                <w:bCs/>
                <w:szCs w:val="20"/>
              </w:rPr>
              <w:t>91</w:t>
            </w:r>
            <w:r w:rsidRPr="009611ED">
              <w:rPr>
                <w:bCs/>
                <w:szCs w:val="20"/>
              </w:rPr>
              <w:t xml:space="preserve"> (</w:t>
            </w:r>
            <w:r w:rsidRPr="009611ED" w:rsidR="00D10D53">
              <w:rPr>
                <w:bCs/>
                <w:szCs w:val="20"/>
              </w:rPr>
              <w:t>323</w:t>
            </w:r>
            <w:r w:rsidRPr="009611ED">
              <w:rPr>
                <w:bCs/>
                <w:szCs w:val="20"/>
              </w:rPr>
              <w:t xml:space="preserve"> New RHCs + 7</w:t>
            </w:r>
            <w:r w:rsidRPr="009611ED" w:rsidR="00D10D53">
              <w:rPr>
                <w:bCs/>
                <w:szCs w:val="20"/>
              </w:rPr>
              <w:t>68</w:t>
            </w:r>
            <w:r w:rsidRPr="009611ED">
              <w:rPr>
                <w:bCs/>
                <w:szCs w:val="20"/>
              </w:rPr>
              <w:t xml:space="preserve"> New FQHCs)</w:t>
            </w:r>
          </w:p>
        </w:tc>
        <w:tc>
          <w:tcPr>
            <w:tcW w:w="1073"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457E36A4" w14:textId="17D56E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r w:rsidRPr="009611ED" w:rsidR="00D10D53">
              <w:rPr>
                <w:szCs w:val="20"/>
              </w:rPr>
              <w:t>91</w:t>
            </w:r>
          </w:p>
        </w:tc>
        <w:tc>
          <w:tcPr>
            <w:tcW w:w="998"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16030F0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5</w:t>
            </w:r>
          </w:p>
        </w:tc>
        <w:tc>
          <w:tcPr>
            <w:tcW w:w="869"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0E63D357" w14:textId="0BAA04A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5,</w:t>
            </w:r>
            <w:r w:rsidRPr="009611ED" w:rsidR="00D10D53">
              <w:rPr>
                <w:szCs w:val="20"/>
              </w:rPr>
              <w:t>455</w:t>
            </w:r>
          </w:p>
        </w:tc>
        <w:tc>
          <w:tcPr>
            <w:tcW w:w="1346"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32D95E25" w14:textId="49808D86">
            <w:pPr>
              <w:widowControl/>
              <w:jc w:val="center"/>
              <w:rPr>
                <w:szCs w:val="20"/>
              </w:rPr>
            </w:pPr>
            <w:r w:rsidRPr="009611ED">
              <w:rPr>
                <w:szCs w:val="20"/>
              </w:rPr>
              <w:t>253.70</w:t>
            </w:r>
          </w:p>
          <w:p w:rsidR="00D10D53" w:rsidRPr="009611ED" w:rsidP="00E26C4F" w14:paraId="26AF5DA4" w14:textId="52AAC37A">
            <w:pPr>
              <w:widowControl/>
              <w:jc w:val="center"/>
              <w:rPr>
                <w:bCs/>
                <w:szCs w:val="20"/>
              </w:rPr>
            </w:pPr>
            <w:r w:rsidRPr="009611ED">
              <w:rPr>
                <w:bCs/>
                <w:szCs w:val="20"/>
              </w:rPr>
              <w:t>(Physician)</w:t>
            </w:r>
          </w:p>
        </w:tc>
        <w:tc>
          <w:tcPr>
            <w:tcW w:w="889" w:type="dxa"/>
            <w:tcBorders>
              <w:top w:val="nil"/>
              <w:left w:val="nil"/>
              <w:bottom w:val="single" w:sz="8" w:space="0" w:color="auto"/>
              <w:right w:val="single" w:sz="8" w:space="0" w:color="auto"/>
            </w:tcBorders>
            <w:shd w:val="clear" w:color="auto" w:fill="auto"/>
            <w:vAlign w:val="center"/>
          </w:tcPr>
          <w:p w:rsidR="009B755E" w:rsidRPr="009611ED" w:rsidP="00E26C4F" w14:paraId="30A8166D" w14:textId="63C2284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color w:val="000000"/>
                <w:szCs w:val="20"/>
              </w:rPr>
              <w:t>1,383,934</w:t>
            </w:r>
          </w:p>
        </w:tc>
      </w:tr>
      <w:tr w14:paraId="39AAEACA" w14:textId="77777777" w:rsidTr="006A58F5">
        <w:tblPrEx>
          <w:tblW w:w="8695" w:type="dxa"/>
          <w:jc w:val="center"/>
          <w:tblLook w:val="00A0"/>
        </w:tblPrEx>
        <w:trPr>
          <w:tblHeader/>
          <w:jc w:val="center"/>
        </w:trPr>
        <w:tc>
          <w:tcPr>
            <w:tcW w:w="2334" w:type="dxa"/>
            <w:vMerge/>
            <w:tcBorders>
              <w:left w:val="single" w:sz="4" w:space="0" w:color="auto"/>
              <w:bottom w:val="single" w:sz="4" w:space="0" w:color="auto"/>
              <w:right w:val="single" w:sz="4" w:space="0" w:color="auto"/>
            </w:tcBorders>
            <w:vAlign w:val="center"/>
          </w:tcPr>
          <w:p w:rsidR="009B755E" w:rsidRPr="009611ED" w:rsidP="00E26C4F" w14:paraId="7B76A69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86" w:type="dxa"/>
            <w:vMerge/>
            <w:tcBorders>
              <w:left w:val="single" w:sz="4" w:space="0" w:color="auto"/>
              <w:bottom w:val="single" w:sz="4" w:space="0" w:color="auto"/>
              <w:right w:val="single" w:sz="4" w:space="0" w:color="auto"/>
            </w:tcBorders>
            <w:vAlign w:val="center"/>
          </w:tcPr>
          <w:p w:rsidR="009B755E" w:rsidRPr="009611ED" w:rsidP="00E26C4F" w14:paraId="11E11D1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04268E92" w14:textId="3CAC914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r w:rsidRPr="009611ED" w:rsidR="00D10D53">
              <w:rPr>
                <w:szCs w:val="20"/>
              </w:rPr>
              <w:t>91</w:t>
            </w:r>
          </w:p>
        </w:tc>
        <w:tc>
          <w:tcPr>
            <w:tcW w:w="998"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563830E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5</w:t>
            </w:r>
          </w:p>
        </w:tc>
        <w:tc>
          <w:tcPr>
            <w:tcW w:w="869"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44B830A2" w14:textId="434E2E9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5,</w:t>
            </w:r>
            <w:r w:rsidRPr="009611ED" w:rsidR="00D10D53">
              <w:rPr>
                <w:szCs w:val="20"/>
              </w:rPr>
              <w:t>455</w:t>
            </w:r>
          </w:p>
        </w:tc>
        <w:tc>
          <w:tcPr>
            <w:tcW w:w="1346" w:type="dxa"/>
            <w:tcBorders>
              <w:top w:val="single" w:sz="4" w:space="0" w:color="auto"/>
              <w:left w:val="single" w:sz="4" w:space="0" w:color="auto"/>
              <w:bottom w:val="single" w:sz="4" w:space="0" w:color="auto"/>
              <w:right w:val="single" w:sz="4" w:space="0" w:color="auto"/>
            </w:tcBorders>
            <w:vAlign w:val="center"/>
          </w:tcPr>
          <w:p w:rsidR="00D10D53" w:rsidRPr="009611ED" w:rsidP="00E26C4F" w14:paraId="2F0555A8" w14:textId="2A8FA9B2">
            <w:pPr>
              <w:widowControl/>
              <w:jc w:val="center"/>
              <w:rPr>
                <w:szCs w:val="20"/>
              </w:rPr>
            </w:pPr>
            <w:r w:rsidRPr="009611ED">
              <w:rPr>
                <w:szCs w:val="20"/>
              </w:rPr>
              <w:t>124.52</w:t>
            </w:r>
          </w:p>
          <w:p w:rsidR="009B755E" w:rsidRPr="009611ED" w:rsidP="00E26C4F" w14:paraId="692E8B38" w14:textId="098418B0">
            <w:pPr>
              <w:widowControl/>
              <w:jc w:val="center"/>
              <w:rPr>
                <w:bCs/>
                <w:szCs w:val="20"/>
              </w:rPr>
            </w:pPr>
            <w:r w:rsidRPr="009611ED">
              <w:rPr>
                <w:szCs w:val="20"/>
              </w:rPr>
              <w:t>(Mid-level Practitioner)</w:t>
            </w:r>
          </w:p>
        </w:tc>
        <w:tc>
          <w:tcPr>
            <w:tcW w:w="889" w:type="dxa"/>
            <w:tcBorders>
              <w:top w:val="nil"/>
              <w:left w:val="nil"/>
              <w:bottom w:val="single" w:sz="8" w:space="0" w:color="auto"/>
              <w:right w:val="single" w:sz="8" w:space="0" w:color="auto"/>
            </w:tcBorders>
            <w:shd w:val="clear" w:color="auto" w:fill="auto"/>
            <w:vAlign w:val="center"/>
          </w:tcPr>
          <w:p w:rsidR="009B755E" w:rsidRPr="009611ED" w:rsidP="00E26C4F" w14:paraId="399FD16A" w14:textId="646DE83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color w:val="000000"/>
                <w:szCs w:val="20"/>
              </w:rPr>
              <w:t>679,257</w:t>
            </w:r>
          </w:p>
        </w:tc>
      </w:tr>
      <w:tr w14:paraId="19C30BA5" w14:textId="77777777" w:rsidTr="006A58F5">
        <w:tblPrEx>
          <w:tblW w:w="8695" w:type="dxa"/>
          <w:jc w:val="center"/>
          <w:tblLook w:val="00A0"/>
        </w:tblPrEx>
        <w:trPr>
          <w:tblHeader/>
          <w:jc w:val="center"/>
        </w:trPr>
        <w:tc>
          <w:tcPr>
            <w:tcW w:w="2334"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6240784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TOTAL</w:t>
            </w:r>
          </w:p>
        </w:tc>
        <w:tc>
          <w:tcPr>
            <w:tcW w:w="1186"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5E523C43" w14:textId="22553B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r w:rsidRPr="009611ED" w:rsidR="00B579A7">
              <w:rPr>
                <w:szCs w:val="20"/>
              </w:rPr>
              <w:t>91</w:t>
            </w:r>
          </w:p>
        </w:tc>
        <w:tc>
          <w:tcPr>
            <w:tcW w:w="1073"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13DED0B3" w14:textId="3AD8E1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r w:rsidRPr="009611ED" w:rsidR="00D10D53">
              <w:rPr>
                <w:szCs w:val="20"/>
              </w:rPr>
              <w:t>91</w:t>
            </w:r>
          </w:p>
        </w:tc>
        <w:tc>
          <w:tcPr>
            <w:tcW w:w="998"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65F92E4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p>
        </w:tc>
        <w:tc>
          <w:tcPr>
            <w:tcW w:w="869"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23705B8A" w14:textId="2D503F0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9611ED">
              <w:rPr>
                <w:szCs w:val="20"/>
              </w:rPr>
              <w:t>10,</w:t>
            </w:r>
            <w:r w:rsidRPr="009611ED" w:rsidR="00B579A7">
              <w:rPr>
                <w:szCs w:val="20"/>
              </w:rPr>
              <w:t>910</w:t>
            </w:r>
          </w:p>
        </w:tc>
        <w:tc>
          <w:tcPr>
            <w:tcW w:w="1346"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28749480" w14:textId="77777777">
            <w:pPr>
              <w:widowControl/>
              <w:jc w:val="center"/>
              <w:rPr>
                <w:bCs/>
                <w:szCs w:val="20"/>
              </w:rPr>
            </w:pPr>
            <w:r w:rsidRPr="009611ED">
              <w:rPr>
                <w:szCs w:val="20"/>
              </w:rPr>
              <w:t>varies</w:t>
            </w:r>
          </w:p>
        </w:tc>
        <w:tc>
          <w:tcPr>
            <w:tcW w:w="889" w:type="dxa"/>
            <w:tcBorders>
              <w:top w:val="single" w:sz="4" w:space="0" w:color="auto"/>
              <w:left w:val="single" w:sz="4" w:space="0" w:color="auto"/>
              <w:bottom w:val="single" w:sz="4" w:space="0" w:color="auto"/>
              <w:right w:val="single" w:sz="4" w:space="0" w:color="auto"/>
            </w:tcBorders>
            <w:vAlign w:val="center"/>
          </w:tcPr>
          <w:p w:rsidR="009B755E" w:rsidRPr="009611ED" w:rsidP="00E26C4F" w14:paraId="1B71C466" w14:textId="4284D4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9611ED">
              <w:rPr>
                <w:szCs w:val="20"/>
              </w:rPr>
              <w:t>2,063,190</w:t>
            </w:r>
          </w:p>
        </w:tc>
      </w:tr>
    </w:tbl>
    <w:p w:rsidR="004B40E8" w:rsidRPr="00B0209B" w:rsidP="004220A4" w14:paraId="2FCD022B" w14:textId="77777777">
      <w:pPr>
        <w:rPr>
          <w:b/>
          <w:sz w:val="24"/>
        </w:rPr>
      </w:pPr>
    </w:p>
    <w:p w:rsidR="00E16CD6" w:rsidRPr="004B40E8" w:rsidP="004220A4" w14:paraId="1F847984" w14:textId="6353D724">
      <w:pPr>
        <w:rPr>
          <w:sz w:val="24"/>
        </w:rPr>
      </w:pPr>
      <w:r w:rsidRPr="00320D6D">
        <w:rPr>
          <w:i/>
          <w:iCs/>
          <w:sz w:val="24"/>
          <w:u w:val="single"/>
        </w:rPr>
        <w:t>B</w:t>
      </w:r>
      <w:r w:rsidRPr="00320D6D" w:rsidR="009740CB">
        <w:rPr>
          <w:i/>
          <w:iCs/>
          <w:sz w:val="24"/>
          <w:u w:val="single"/>
        </w:rPr>
        <w:t>iennial</w:t>
      </w:r>
      <w:r w:rsidRPr="00320D6D">
        <w:rPr>
          <w:i/>
          <w:iCs/>
          <w:sz w:val="24"/>
          <w:u w:val="single"/>
        </w:rPr>
        <w:t xml:space="preserve"> review of</w:t>
      </w:r>
      <w:r w:rsidRPr="00320D6D" w:rsidR="009740CB">
        <w:rPr>
          <w:i/>
          <w:iCs/>
          <w:sz w:val="24"/>
          <w:u w:val="single"/>
        </w:rPr>
        <w:t xml:space="preserve"> program evaluation</w:t>
      </w:r>
      <w:r w:rsidRPr="00320D6D">
        <w:rPr>
          <w:i/>
          <w:iCs/>
          <w:sz w:val="24"/>
          <w:u w:val="single"/>
        </w:rPr>
        <w:t xml:space="preserve"> for every Medicare-certified clinic or center</w:t>
      </w:r>
      <w:r w:rsidRPr="00320D6D" w:rsidR="00C662A7">
        <w:rPr>
          <w:i/>
          <w:iCs/>
          <w:sz w:val="24"/>
          <w:u w:val="single"/>
        </w:rPr>
        <w:t>:</w:t>
      </w:r>
      <w:r w:rsidRPr="00320D6D" w:rsidR="00BC6CB9">
        <w:rPr>
          <w:i/>
          <w:iCs/>
          <w:sz w:val="24"/>
        </w:rPr>
        <w:t xml:space="preserve">  </w:t>
      </w:r>
      <w:r w:rsidRPr="00B0209B" w:rsidR="009740CB">
        <w:rPr>
          <w:sz w:val="24"/>
        </w:rPr>
        <w:t xml:space="preserve">We estimate that </w:t>
      </w:r>
      <w:r w:rsidRPr="00B0209B" w:rsidR="008E033B">
        <w:rPr>
          <w:sz w:val="24"/>
        </w:rPr>
        <w:t>conducting a</w:t>
      </w:r>
      <w:r w:rsidRPr="00B0209B" w:rsidR="009740CB">
        <w:rPr>
          <w:sz w:val="24"/>
        </w:rPr>
        <w:t xml:space="preserve"> program evaluation </w:t>
      </w:r>
      <w:r w:rsidRPr="006C69DE" w:rsidR="009740CB">
        <w:rPr>
          <w:sz w:val="24"/>
        </w:rPr>
        <w:t xml:space="preserve">requires </w:t>
      </w:r>
      <w:r w:rsidRPr="006C69DE" w:rsidR="007D5945">
        <w:rPr>
          <w:sz w:val="24"/>
        </w:rPr>
        <w:t>3</w:t>
      </w:r>
      <w:r w:rsidRPr="006C69DE" w:rsidR="009740CB">
        <w:rPr>
          <w:sz w:val="24"/>
        </w:rPr>
        <w:t xml:space="preserve"> hours each for a physicia</w:t>
      </w:r>
      <w:r w:rsidRPr="006C69DE" w:rsidR="00D10D53">
        <w:rPr>
          <w:sz w:val="24"/>
        </w:rPr>
        <w:t>n</w:t>
      </w:r>
      <w:r w:rsidRPr="006C69DE" w:rsidR="009740CB">
        <w:rPr>
          <w:sz w:val="24"/>
        </w:rPr>
        <w:t xml:space="preserve"> and a mid-level practitioner, or a total of 6 hours per</w:t>
      </w:r>
      <w:r w:rsidRPr="00B0209B" w:rsidR="009740CB">
        <w:rPr>
          <w:sz w:val="24"/>
        </w:rPr>
        <w:t xml:space="preserve"> evaluation. The annualized number of hours that every clinic or center must spend on conducting </w:t>
      </w:r>
      <w:r w:rsidRPr="00B0209B" w:rsidR="008E033B">
        <w:rPr>
          <w:sz w:val="24"/>
        </w:rPr>
        <w:t xml:space="preserve">the required </w:t>
      </w:r>
      <w:r w:rsidRPr="00B0209B" w:rsidR="009740CB">
        <w:rPr>
          <w:sz w:val="24"/>
        </w:rPr>
        <w:t xml:space="preserve">program evaluation is 3 hours per year (6 </w:t>
      </w:r>
      <w:r w:rsidRPr="00B0209B" w:rsidR="004B40E8">
        <w:rPr>
          <w:sz w:val="24"/>
        </w:rPr>
        <w:t>hours/</w:t>
      </w:r>
      <w:r w:rsidRPr="00B0209B" w:rsidR="009740CB">
        <w:rPr>
          <w:sz w:val="24"/>
        </w:rPr>
        <w:t>2 years).</w:t>
      </w:r>
    </w:p>
    <w:p w:rsidR="0058771F" w:rsidP="004220A4" w14:paraId="00000126" w14:textId="77777777">
      <w:pPr>
        <w:rPr>
          <w:sz w:val="24"/>
        </w:rPr>
      </w:pPr>
    </w:p>
    <w:p w:rsidR="00D955BD" w:rsidP="00F77274" w14:paraId="2D7970A1" w14:textId="01FE45BE">
      <w:pPr>
        <w:jc w:val="center"/>
        <w:rPr>
          <w:sz w:val="24"/>
        </w:rPr>
      </w:pPr>
      <w:r>
        <w:rPr>
          <w:sz w:val="24"/>
        </w:rPr>
        <w:t xml:space="preserve">Table 7. </w:t>
      </w:r>
      <w:r w:rsidR="009C68B5">
        <w:rPr>
          <w:sz w:val="24"/>
        </w:rPr>
        <w:t xml:space="preserve">Annual Burden for </w:t>
      </w:r>
      <w:r>
        <w:rPr>
          <w:sz w:val="24"/>
        </w:rPr>
        <w:t>P</w:t>
      </w:r>
      <w:r w:rsidRPr="00B36FD8">
        <w:rPr>
          <w:sz w:val="24"/>
        </w:rPr>
        <w:t xml:space="preserve">rogram </w:t>
      </w:r>
      <w:r>
        <w:rPr>
          <w:sz w:val="24"/>
        </w:rPr>
        <w:t>E</w:t>
      </w:r>
      <w:r w:rsidRPr="00B36FD8">
        <w:rPr>
          <w:sz w:val="24"/>
        </w:rPr>
        <w:t>valuation</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1170"/>
        <w:gridCol w:w="1170"/>
        <w:gridCol w:w="1260"/>
        <w:gridCol w:w="1350"/>
        <w:gridCol w:w="1467"/>
        <w:gridCol w:w="1673"/>
      </w:tblGrid>
      <w:tr w14:paraId="04EA33D3" w14:textId="77777777" w:rsidTr="006A58F5">
        <w:tblPrEx>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jc w:val="center"/>
        </w:trPr>
        <w:tc>
          <w:tcPr>
            <w:tcW w:w="1165" w:type="dxa"/>
            <w:tcBorders>
              <w:top w:val="single" w:sz="4" w:space="0" w:color="auto"/>
              <w:left w:val="single" w:sz="4" w:space="0" w:color="auto"/>
              <w:right w:val="single" w:sz="4" w:space="0" w:color="auto"/>
            </w:tcBorders>
            <w:vAlign w:val="center"/>
          </w:tcPr>
          <w:p w:rsidR="00B579A7" w:rsidRPr="00DB3DA6" w:rsidP="00E26C4F" w14:paraId="271E6E67" w14:textId="7C0311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bCs/>
                <w:szCs w:val="20"/>
              </w:rPr>
              <w:t>Requirement</w:t>
            </w:r>
          </w:p>
        </w:tc>
        <w:tc>
          <w:tcPr>
            <w:tcW w:w="1170" w:type="dxa"/>
            <w:tcBorders>
              <w:top w:val="single" w:sz="4" w:space="0" w:color="auto"/>
              <w:left w:val="single" w:sz="4" w:space="0" w:color="auto"/>
              <w:right w:val="single" w:sz="4" w:space="0" w:color="auto"/>
            </w:tcBorders>
            <w:vAlign w:val="center"/>
          </w:tcPr>
          <w:p w:rsidR="00B579A7" w:rsidRPr="00DB3DA6" w:rsidP="00E26C4F" w14:paraId="557E378A" w14:textId="4F289CF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bCs/>
                <w:szCs w:val="20"/>
              </w:rPr>
              <w:t>Respondents</w:t>
            </w:r>
          </w:p>
        </w:tc>
        <w:tc>
          <w:tcPr>
            <w:tcW w:w="1170"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662585F8" w14:textId="17A81F9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Responses</w:t>
            </w:r>
          </w:p>
        </w:tc>
        <w:tc>
          <w:tcPr>
            <w:tcW w:w="1260" w:type="dxa"/>
            <w:tcBorders>
              <w:top w:val="single" w:sz="4" w:space="0" w:color="auto"/>
              <w:left w:val="single" w:sz="4" w:space="0" w:color="auto"/>
              <w:bottom w:val="single" w:sz="4" w:space="0" w:color="auto"/>
              <w:right w:val="single" w:sz="4" w:space="0" w:color="auto"/>
            </w:tcBorders>
            <w:vAlign w:val="center"/>
          </w:tcPr>
          <w:p w:rsidR="007E2594" w:rsidRPr="00DB3DA6" w:rsidP="00E26C4F" w14:paraId="7E88CD5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Time per Response</w:t>
            </w:r>
          </w:p>
          <w:p w:rsidR="00B579A7" w:rsidRPr="00DB3DA6" w:rsidP="00E26C4F" w14:paraId="489156F5" w14:textId="077DC20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(hr)</w:t>
            </w:r>
          </w:p>
        </w:tc>
        <w:tc>
          <w:tcPr>
            <w:tcW w:w="1350" w:type="dxa"/>
            <w:tcBorders>
              <w:top w:val="single" w:sz="4" w:space="0" w:color="auto"/>
              <w:left w:val="single" w:sz="4" w:space="0" w:color="auto"/>
              <w:bottom w:val="single" w:sz="4" w:space="0" w:color="auto"/>
              <w:right w:val="single" w:sz="4" w:space="0" w:color="auto"/>
            </w:tcBorders>
            <w:vAlign w:val="center"/>
          </w:tcPr>
          <w:p w:rsidR="007E2594" w:rsidRPr="00DB3DA6" w:rsidP="00E26C4F" w14:paraId="063C8DD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bCs/>
                <w:szCs w:val="20"/>
              </w:rPr>
              <w:t>Total Time</w:t>
            </w:r>
          </w:p>
          <w:p w:rsidR="00B579A7" w:rsidRPr="00DB3DA6" w:rsidP="00E26C4F" w14:paraId="0AC1C302" w14:textId="49EC386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bCs/>
                <w:szCs w:val="20"/>
              </w:rPr>
              <w:t>(hr)</w:t>
            </w:r>
          </w:p>
        </w:tc>
        <w:tc>
          <w:tcPr>
            <w:tcW w:w="1467"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4662DA93" w14:textId="309115BA">
            <w:pPr>
              <w:widowControl/>
              <w:jc w:val="center"/>
              <w:rPr>
                <w:szCs w:val="20"/>
              </w:rPr>
            </w:pPr>
            <w:r w:rsidRPr="00DB3DA6">
              <w:rPr>
                <w:bCs/>
                <w:szCs w:val="20"/>
              </w:rPr>
              <w:t>Labor Cost ($/hr)</w:t>
            </w:r>
          </w:p>
        </w:tc>
        <w:tc>
          <w:tcPr>
            <w:tcW w:w="1673" w:type="dxa"/>
            <w:tcBorders>
              <w:top w:val="single" w:sz="4" w:space="0" w:color="auto"/>
              <w:left w:val="nil"/>
              <w:bottom w:val="single" w:sz="8" w:space="0" w:color="auto"/>
              <w:right w:val="single" w:sz="8" w:space="0" w:color="auto"/>
            </w:tcBorders>
            <w:shd w:val="clear" w:color="auto" w:fill="auto"/>
            <w:vAlign w:val="center"/>
          </w:tcPr>
          <w:p w:rsidR="00B579A7" w:rsidRPr="00DB3DA6" w:rsidP="00E26C4F" w14:paraId="48FB604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Total Cost</w:t>
            </w:r>
          </w:p>
          <w:p w:rsidR="00B579A7" w:rsidRPr="00DB3DA6" w:rsidP="00E26C4F" w14:paraId="596811BE" w14:textId="6EA875B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w:t>
            </w:r>
          </w:p>
        </w:tc>
      </w:tr>
      <w:tr w14:paraId="58C15E60" w14:textId="77777777" w:rsidTr="006A58F5">
        <w:tblPrEx>
          <w:tblW w:w="9255" w:type="dxa"/>
          <w:jc w:val="center"/>
          <w:tblLayout w:type="fixed"/>
          <w:tblLook w:val="00A0"/>
        </w:tblPrEx>
        <w:trPr>
          <w:trHeight w:val="673"/>
          <w:tblHeader/>
          <w:jc w:val="center"/>
        </w:trPr>
        <w:tc>
          <w:tcPr>
            <w:tcW w:w="1165" w:type="dxa"/>
            <w:vMerge w:val="restart"/>
            <w:tcBorders>
              <w:top w:val="single" w:sz="4" w:space="0" w:color="auto"/>
              <w:left w:val="single" w:sz="4" w:space="0" w:color="auto"/>
              <w:right w:val="single" w:sz="4" w:space="0" w:color="auto"/>
            </w:tcBorders>
            <w:vAlign w:val="center"/>
          </w:tcPr>
          <w:p w:rsidR="00E16CD6" w:rsidRPr="00DB3DA6" w:rsidP="009C5595" w14:paraId="5F1FD093" w14:textId="5C3833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Cs w:val="20"/>
              </w:rPr>
            </w:pPr>
            <w:r w:rsidRPr="00DB3DA6">
              <w:rPr>
                <w:bCs/>
                <w:szCs w:val="20"/>
              </w:rPr>
              <w:t>Conduct biennial program evaluation</w:t>
            </w:r>
            <w:r w:rsidRPr="00DB3DA6" w:rsidR="009C5595">
              <w:rPr>
                <w:bCs/>
                <w:szCs w:val="20"/>
              </w:rPr>
              <w:t>(§ 491.</w:t>
            </w:r>
            <w:r w:rsidRPr="00DB3DA6" w:rsidR="009C5595">
              <w:rPr>
                <w:bCs/>
                <w:szCs w:val="20"/>
              </w:rPr>
              <w:t>11</w:t>
            </w:r>
            <w:r w:rsidRPr="00DB3DA6" w:rsidR="009C5595">
              <w:rPr>
                <w:bCs/>
                <w:szCs w:val="20"/>
              </w:rPr>
              <w:t>)</w:t>
            </w:r>
          </w:p>
        </w:tc>
        <w:tc>
          <w:tcPr>
            <w:tcW w:w="1170" w:type="dxa"/>
            <w:vMerge w:val="restart"/>
            <w:tcBorders>
              <w:top w:val="single" w:sz="4" w:space="0" w:color="auto"/>
              <w:left w:val="single" w:sz="4" w:space="0" w:color="auto"/>
              <w:right w:val="single" w:sz="4" w:space="0" w:color="auto"/>
            </w:tcBorders>
            <w:vAlign w:val="center"/>
          </w:tcPr>
          <w:p w:rsidR="00E16CD6" w:rsidRPr="00DB3DA6" w:rsidP="00E26C4F" w14:paraId="4AD34A98" w14:textId="22E8248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bCs/>
                <w:szCs w:val="20"/>
              </w:rPr>
              <w:t>17,389 (5,537 Existing RHCs + 11,852 Existing FQHCs)</w:t>
            </w:r>
          </w:p>
          <w:p w:rsidR="00E16CD6" w:rsidRPr="00DB3DA6" w:rsidP="00E26C4F" w14:paraId="62918432" w14:textId="3ECD627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0389687B" w14:textId="68478E3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17,389</w:t>
            </w:r>
          </w:p>
        </w:tc>
        <w:tc>
          <w:tcPr>
            <w:tcW w:w="126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4979E2E4" w14:textId="73090D3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6402251C" w14:textId="3D4D6B2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26,083.50</w:t>
            </w:r>
          </w:p>
        </w:tc>
        <w:tc>
          <w:tcPr>
            <w:tcW w:w="1467"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034032A7" w14:textId="7CCD75C6">
            <w:pPr>
              <w:widowControl/>
              <w:jc w:val="center"/>
              <w:rPr>
                <w:szCs w:val="20"/>
              </w:rPr>
            </w:pPr>
            <w:r w:rsidRPr="00DB3DA6">
              <w:rPr>
                <w:szCs w:val="20"/>
              </w:rPr>
              <w:t>253.70</w:t>
            </w:r>
          </w:p>
          <w:p w:rsidR="00E16CD6" w:rsidRPr="00DB3DA6" w:rsidP="00E26C4F" w14:paraId="41568CAC" w14:textId="05F30D51">
            <w:pPr>
              <w:widowControl/>
              <w:jc w:val="center"/>
              <w:rPr>
                <w:bCs/>
                <w:szCs w:val="20"/>
              </w:rPr>
            </w:pPr>
            <w:r w:rsidRPr="00DB3DA6">
              <w:rPr>
                <w:szCs w:val="20"/>
              </w:rPr>
              <w:t>(Physician)</w:t>
            </w:r>
          </w:p>
        </w:tc>
        <w:tc>
          <w:tcPr>
            <w:tcW w:w="1673" w:type="dxa"/>
            <w:tcBorders>
              <w:top w:val="nil"/>
              <w:left w:val="nil"/>
              <w:bottom w:val="single" w:sz="8" w:space="0" w:color="auto"/>
              <w:right w:val="single" w:sz="8" w:space="0" w:color="auto"/>
            </w:tcBorders>
            <w:shd w:val="clear" w:color="auto" w:fill="auto"/>
            <w:vAlign w:val="center"/>
          </w:tcPr>
          <w:p w:rsidR="00E16CD6" w:rsidRPr="00DB3DA6" w:rsidP="00E26C4F" w14:paraId="305F72BC" w14:textId="5E154F9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color w:val="000000"/>
                <w:szCs w:val="20"/>
              </w:rPr>
              <w:t>6,617,38</w:t>
            </w:r>
            <w:r w:rsidRPr="00DB3DA6" w:rsidR="009C68B5">
              <w:rPr>
                <w:color w:val="000000"/>
                <w:szCs w:val="20"/>
              </w:rPr>
              <w:t>4</w:t>
            </w:r>
          </w:p>
        </w:tc>
      </w:tr>
      <w:tr w14:paraId="44F8380F" w14:textId="77777777" w:rsidTr="006A58F5">
        <w:tblPrEx>
          <w:tblW w:w="9255" w:type="dxa"/>
          <w:jc w:val="center"/>
          <w:tblLayout w:type="fixed"/>
          <w:tblLook w:val="00A0"/>
        </w:tblPrEx>
        <w:trPr>
          <w:tblHeader/>
          <w:jc w:val="center"/>
        </w:trPr>
        <w:tc>
          <w:tcPr>
            <w:tcW w:w="1165" w:type="dxa"/>
            <w:vMerge/>
            <w:tcBorders>
              <w:left w:val="single" w:sz="4" w:space="0" w:color="auto"/>
              <w:right w:val="single" w:sz="4" w:space="0" w:color="auto"/>
            </w:tcBorders>
            <w:vAlign w:val="center"/>
          </w:tcPr>
          <w:p w:rsidR="00E16CD6" w:rsidRPr="00DB3DA6" w:rsidP="00E26C4F" w14:paraId="15CED17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70" w:type="dxa"/>
            <w:vMerge/>
            <w:tcBorders>
              <w:left w:val="single" w:sz="4" w:space="0" w:color="auto"/>
              <w:right w:val="single" w:sz="4" w:space="0" w:color="auto"/>
            </w:tcBorders>
            <w:vAlign w:val="center"/>
          </w:tcPr>
          <w:p w:rsidR="00E16CD6" w:rsidRPr="00DB3DA6" w:rsidP="00E26C4F" w14:paraId="3A46289B" w14:textId="336F2B0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30909781" w14:textId="14B9702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17,389</w:t>
            </w:r>
          </w:p>
        </w:tc>
        <w:tc>
          <w:tcPr>
            <w:tcW w:w="126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3610F77F" w14:textId="729C826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43F38F7D" w14:textId="79432B4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szCs w:val="20"/>
              </w:rPr>
              <w:t>26,083.50</w:t>
            </w:r>
          </w:p>
        </w:tc>
        <w:tc>
          <w:tcPr>
            <w:tcW w:w="1467" w:type="dxa"/>
            <w:tcBorders>
              <w:top w:val="single" w:sz="4" w:space="0" w:color="auto"/>
              <w:left w:val="single" w:sz="4" w:space="0" w:color="auto"/>
              <w:bottom w:val="single" w:sz="4" w:space="0" w:color="auto"/>
              <w:right w:val="single" w:sz="4" w:space="0" w:color="auto"/>
            </w:tcBorders>
            <w:vAlign w:val="center"/>
          </w:tcPr>
          <w:p w:rsidR="00E16CD6" w:rsidRPr="00DB3DA6" w:rsidP="00E26C4F" w14:paraId="6BBF654A" w14:textId="485BD132">
            <w:pPr>
              <w:widowControl/>
              <w:jc w:val="center"/>
              <w:rPr>
                <w:szCs w:val="20"/>
              </w:rPr>
            </w:pPr>
            <w:r w:rsidRPr="00DB3DA6">
              <w:rPr>
                <w:szCs w:val="20"/>
              </w:rPr>
              <w:t>124.52</w:t>
            </w:r>
          </w:p>
          <w:p w:rsidR="00E16CD6" w:rsidRPr="00DB3DA6" w:rsidP="00E26C4F" w14:paraId="71D48BC5" w14:textId="65C6162C">
            <w:pPr>
              <w:widowControl/>
              <w:jc w:val="center"/>
              <w:rPr>
                <w:bCs/>
                <w:szCs w:val="20"/>
              </w:rPr>
            </w:pPr>
            <w:r w:rsidRPr="00DB3DA6">
              <w:rPr>
                <w:szCs w:val="20"/>
              </w:rPr>
              <w:t>(Mid-level Practitioner)</w:t>
            </w:r>
          </w:p>
        </w:tc>
        <w:tc>
          <w:tcPr>
            <w:tcW w:w="1673" w:type="dxa"/>
            <w:tcBorders>
              <w:top w:val="nil"/>
              <w:left w:val="nil"/>
              <w:bottom w:val="single" w:sz="8" w:space="0" w:color="auto"/>
              <w:right w:val="single" w:sz="8" w:space="0" w:color="auto"/>
            </w:tcBorders>
            <w:shd w:val="clear" w:color="auto" w:fill="auto"/>
            <w:vAlign w:val="center"/>
          </w:tcPr>
          <w:p w:rsidR="00E16CD6" w:rsidRPr="00DB3DA6" w:rsidP="00E26C4F" w14:paraId="0202EAD9" w14:textId="20E0A48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color w:val="000000"/>
                <w:szCs w:val="20"/>
              </w:rPr>
              <w:t>3,247,917</w:t>
            </w:r>
          </w:p>
        </w:tc>
      </w:tr>
      <w:tr w14:paraId="0B8CE75D" w14:textId="77777777" w:rsidTr="006A58F5">
        <w:tblPrEx>
          <w:tblW w:w="9255" w:type="dxa"/>
          <w:jc w:val="center"/>
          <w:tblLayout w:type="fixed"/>
          <w:tblLook w:val="00A0"/>
        </w:tblPrEx>
        <w:trPr>
          <w:tblHeader/>
          <w:jc w:val="center"/>
        </w:trPr>
        <w:tc>
          <w:tcPr>
            <w:tcW w:w="1165" w:type="dxa"/>
            <w:tcBorders>
              <w:left w:val="single" w:sz="4" w:space="0" w:color="auto"/>
              <w:bottom w:val="single" w:sz="4" w:space="0" w:color="auto"/>
              <w:right w:val="single" w:sz="4" w:space="0" w:color="auto"/>
            </w:tcBorders>
            <w:vAlign w:val="center"/>
          </w:tcPr>
          <w:p w:rsidR="00B579A7" w:rsidRPr="00DB3DA6" w:rsidP="00E26C4F" w14:paraId="547E6E22" w14:textId="14BB7F1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B3DA6">
              <w:rPr>
                <w:bCs/>
                <w:szCs w:val="20"/>
              </w:rPr>
              <w:t>TOTAL</w:t>
            </w:r>
          </w:p>
        </w:tc>
        <w:tc>
          <w:tcPr>
            <w:tcW w:w="1170" w:type="dxa"/>
            <w:vMerge/>
            <w:tcBorders>
              <w:left w:val="single" w:sz="4" w:space="0" w:color="auto"/>
              <w:bottom w:val="single" w:sz="4" w:space="0" w:color="auto"/>
              <w:right w:val="single" w:sz="4" w:space="0" w:color="auto"/>
            </w:tcBorders>
            <w:vAlign w:val="center"/>
          </w:tcPr>
          <w:p w:rsidR="00B579A7" w:rsidRPr="00DB3DA6" w:rsidP="00E26C4F" w14:paraId="1153E665" w14:textId="38625F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5ABA7493" w14:textId="32D4B7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17,389</w:t>
            </w:r>
          </w:p>
        </w:tc>
        <w:tc>
          <w:tcPr>
            <w:tcW w:w="1260"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3E171AF9" w14:textId="65159A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177287B2" w14:textId="08C1D79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B3DA6">
              <w:rPr>
                <w:szCs w:val="20"/>
              </w:rPr>
              <w:t>52,167</w:t>
            </w:r>
          </w:p>
        </w:tc>
        <w:tc>
          <w:tcPr>
            <w:tcW w:w="1467" w:type="dxa"/>
            <w:tcBorders>
              <w:top w:val="single" w:sz="4" w:space="0" w:color="auto"/>
              <w:left w:val="single" w:sz="4" w:space="0" w:color="auto"/>
              <w:bottom w:val="single" w:sz="4" w:space="0" w:color="auto"/>
              <w:right w:val="single" w:sz="4" w:space="0" w:color="auto"/>
            </w:tcBorders>
            <w:vAlign w:val="center"/>
          </w:tcPr>
          <w:p w:rsidR="00B579A7" w:rsidRPr="00DB3DA6" w:rsidP="00E26C4F" w14:paraId="1FCC64D9" w14:textId="7C06B3E0">
            <w:pPr>
              <w:widowControl/>
              <w:jc w:val="center"/>
              <w:rPr>
                <w:szCs w:val="20"/>
              </w:rPr>
            </w:pPr>
            <w:r w:rsidRPr="00DB3DA6">
              <w:rPr>
                <w:szCs w:val="20"/>
              </w:rPr>
              <w:t>Varies</w:t>
            </w:r>
          </w:p>
        </w:tc>
        <w:tc>
          <w:tcPr>
            <w:tcW w:w="1673" w:type="dxa"/>
            <w:tcBorders>
              <w:top w:val="single" w:sz="4" w:space="0" w:color="auto"/>
              <w:left w:val="nil"/>
              <w:bottom w:val="single" w:sz="8" w:space="0" w:color="auto"/>
              <w:right w:val="single" w:sz="8" w:space="0" w:color="auto"/>
            </w:tcBorders>
            <w:shd w:val="clear" w:color="auto" w:fill="auto"/>
            <w:vAlign w:val="center"/>
          </w:tcPr>
          <w:p w:rsidR="00B579A7" w:rsidRPr="00DB3DA6" w:rsidP="00E26C4F" w14:paraId="7F45A09C" w14:textId="0F7914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color w:val="000000"/>
                <w:szCs w:val="20"/>
              </w:rPr>
            </w:pPr>
            <w:r w:rsidRPr="00DB3DA6">
              <w:rPr>
                <w:color w:val="000000"/>
                <w:szCs w:val="20"/>
              </w:rPr>
              <w:t>9,865,301</w:t>
            </w:r>
          </w:p>
        </w:tc>
      </w:tr>
    </w:tbl>
    <w:p w:rsidR="00BC6CB9" w:rsidP="004220A4" w14:paraId="4B21DD89" w14:textId="77777777">
      <w:pPr>
        <w:rPr>
          <w:sz w:val="24"/>
        </w:rPr>
      </w:pPr>
    </w:p>
    <w:p w:rsidR="00737EBC" w:rsidP="00737EBC" w14:paraId="3E314BC9" w14:textId="77777777">
      <w:pPr>
        <w:pStyle w:val="ListParagraph"/>
        <w:tabs>
          <w:tab w:val="left" w:pos="680"/>
        </w:tabs>
        <w:ind w:left="0"/>
        <w:rPr>
          <w:i/>
          <w:sz w:val="24"/>
        </w:rPr>
      </w:pPr>
      <w:bookmarkStart w:id="2" w:name="_Hlk173503454"/>
      <w:r w:rsidRPr="00C55FB1">
        <w:rPr>
          <w:i/>
          <w:sz w:val="24"/>
        </w:rPr>
        <w:t xml:space="preserve">Summary </w:t>
      </w:r>
      <w:r w:rsidRPr="00C55FB1">
        <w:rPr>
          <w:i/>
          <w:spacing w:val="3"/>
          <w:sz w:val="24"/>
        </w:rPr>
        <w:t xml:space="preserve">of </w:t>
      </w:r>
      <w:r w:rsidRPr="00C55FB1">
        <w:rPr>
          <w:i/>
          <w:spacing w:val="4"/>
          <w:sz w:val="24"/>
        </w:rPr>
        <w:t>Annual</w:t>
      </w:r>
      <w:r w:rsidRPr="00C55FB1">
        <w:rPr>
          <w:i/>
          <w:spacing w:val="-39"/>
          <w:sz w:val="24"/>
        </w:rPr>
        <w:t xml:space="preserve"> </w:t>
      </w:r>
      <w:r w:rsidRPr="00C55FB1">
        <w:rPr>
          <w:i/>
          <w:sz w:val="24"/>
        </w:rPr>
        <w:t>Burden Estimates</w:t>
      </w:r>
    </w:p>
    <w:bookmarkEnd w:id="2"/>
    <w:p w:rsidR="00BC6CB9" w:rsidP="004220A4" w14:paraId="4BF10E44" w14:textId="77777777">
      <w:pPr>
        <w:rPr>
          <w:sz w:val="24"/>
        </w:rPr>
      </w:pPr>
    </w:p>
    <w:p w:rsidR="00BF0E6B" w:rsidP="00F77274" w14:paraId="23807667" w14:textId="46079DC4">
      <w:pPr>
        <w:jc w:val="center"/>
        <w:rPr>
          <w:sz w:val="24"/>
        </w:rPr>
      </w:pPr>
      <w:r>
        <w:rPr>
          <w:sz w:val="24"/>
        </w:rPr>
        <w:t xml:space="preserve">Table 8. Burden </w:t>
      </w:r>
      <w:r w:rsidRPr="00D87B6F">
        <w:rPr>
          <w:sz w:val="24"/>
        </w:rPr>
        <w:t>Summary</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177"/>
        <w:gridCol w:w="1056"/>
        <w:gridCol w:w="982"/>
        <w:gridCol w:w="1200"/>
        <w:gridCol w:w="1080"/>
        <w:gridCol w:w="1378"/>
      </w:tblGrid>
      <w:tr w14:paraId="2ADFB2C5" w14:textId="77777777" w:rsidTr="00C22D0C">
        <w:tblPrEx>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AA7051" w:rsidP="00E26C4F" w14:paraId="17A1C2E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Requirement</w:t>
            </w:r>
          </w:p>
        </w:tc>
        <w:tc>
          <w:tcPr>
            <w:tcW w:w="1177" w:type="dxa"/>
            <w:tcBorders>
              <w:top w:val="single" w:sz="4" w:space="0" w:color="auto"/>
              <w:left w:val="single" w:sz="4" w:space="0" w:color="auto"/>
              <w:bottom w:val="single" w:sz="4" w:space="0" w:color="auto"/>
              <w:right w:val="single" w:sz="4" w:space="0" w:color="auto"/>
            </w:tcBorders>
            <w:vAlign w:val="center"/>
            <w:hideMark/>
          </w:tcPr>
          <w:p w:rsidR="00AA7051" w:rsidP="00E26C4F" w14:paraId="33BDF4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Respondents</w:t>
            </w:r>
          </w:p>
        </w:tc>
        <w:tc>
          <w:tcPr>
            <w:tcW w:w="1056" w:type="dxa"/>
            <w:tcBorders>
              <w:top w:val="single" w:sz="4" w:space="0" w:color="auto"/>
              <w:left w:val="single" w:sz="4" w:space="0" w:color="auto"/>
              <w:bottom w:val="single" w:sz="4" w:space="0" w:color="auto"/>
              <w:right w:val="single" w:sz="4" w:space="0" w:color="auto"/>
            </w:tcBorders>
            <w:vAlign w:val="center"/>
            <w:hideMark/>
          </w:tcPr>
          <w:p w:rsidR="00AA7051" w:rsidP="00E26C4F" w14:paraId="1948670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Responses</w:t>
            </w:r>
          </w:p>
        </w:tc>
        <w:tc>
          <w:tcPr>
            <w:tcW w:w="982" w:type="dxa"/>
            <w:tcBorders>
              <w:top w:val="single" w:sz="4" w:space="0" w:color="auto"/>
              <w:left w:val="single" w:sz="4" w:space="0" w:color="auto"/>
              <w:bottom w:val="single" w:sz="4" w:space="0" w:color="auto"/>
              <w:right w:val="single" w:sz="4" w:space="0" w:color="auto"/>
            </w:tcBorders>
            <w:vAlign w:val="center"/>
            <w:hideMark/>
          </w:tcPr>
          <w:p w:rsidR="00AA7051" w:rsidP="00E26C4F" w14:paraId="09A6066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Time per Response (hr)</w:t>
            </w:r>
          </w:p>
        </w:tc>
        <w:tc>
          <w:tcPr>
            <w:tcW w:w="1200" w:type="dxa"/>
            <w:tcBorders>
              <w:top w:val="single" w:sz="4" w:space="0" w:color="auto"/>
              <w:left w:val="single" w:sz="4" w:space="0" w:color="auto"/>
              <w:bottom w:val="single" w:sz="4" w:space="0" w:color="auto"/>
              <w:right w:val="single" w:sz="4" w:space="0" w:color="auto"/>
            </w:tcBorders>
            <w:vAlign w:val="center"/>
            <w:hideMark/>
          </w:tcPr>
          <w:p w:rsidR="00E26C4F" w:rsidP="00E26C4F" w14:paraId="37D681A4" w14:textId="482BD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Total Time</w:t>
            </w:r>
          </w:p>
          <w:p w:rsidR="00AA7051" w:rsidRPr="00E26C4F" w:rsidP="00E26C4F" w14:paraId="4150B5D3" w14:textId="55284AA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(hr)</w:t>
            </w:r>
          </w:p>
        </w:tc>
        <w:tc>
          <w:tcPr>
            <w:tcW w:w="1080" w:type="dxa"/>
            <w:tcBorders>
              <w:top w:val="single" w:sz="4" w:space="0" w:color="auto"/>
              <w:left w:val="single" w:sz="4" w:space="0" w:color="auto"/>
              <w:bottom w:val="single" w:sz="4" w:space="0" w:color="auto"/>
              <w:right w:val="single" w:sz="4" w:space="0" w:color="auto"/>
            </w:tcBorders>
            <w:vAlign w:val="center"/>
            <w:hideMark/>
          </w:tcPr>
          <w:p w:rsidR="00AA7051" w:rsidP="00E26C4F" w14:paraId="505C24A9" w14:textId="77777777">
            <w:pPr>
              <w:widowControl/>
              <w:jc w:val="center"/>
              <w:rPr>
                <w:sz w:val="18"/>
                <w:szCs w:val="18"/>
              </w:rPr>
            </w:pPr>
            <w:r>
              <w:rPr>
                <w:bCs/>
                <w:sz w:val="18"/>
                <w:szCs w:val="18"/>
              </w:rPr>
              <w:t>Labor Cost ($/hr)</w:t>
            </w:r>
          </w:p>
        </w:tc>
        <w:tc>
          <w:tcPr>
            <w:tcW w:w="1378" w:type="dxa"/>
            <w:tcBorders>
              <w:top w:val="single" w:sz="4" w:space="0" w:color="auto"/>
              <w:left w:val="single" w:sz="4" w:space="0" w:color="auto"/>
              <w:bottom w:val="single" w:sz="4" w:space="0" w:color="auto"/>
              <w:right w:val="single" w:sz="4" w:space="0" w:color="auto"/>
            </w:tcBorders>
            <w:vAlign w:val="center"/>
            <w:hideMark/>
          </w:tcPr>
          <w:p w:rsidR="00AA7051" w:rsidP="00E26C4F" w14:paraId="79F74C65" w14:textId="05C47B8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Total Cost</w:t>
            </w:r>
          </w:p>
          <w:p w:rsidR="00AA7051" w:rsidP="00E26C4F" w14:paraId="1F3AB93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w:t>
            </w:r>
          </w:p>
        </w:tc>
      </w:tr>
      <w:tr w14:paraId="229A305D"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RPr="00D83BA7" w:rsidP="009A6820" w14:paraId="61C92E28" w14:textId="6CD19EE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D83BA7">
              <w:rPr>
                <w:bCs/>
                <w:sz w:val="18"/>
                <w:szCs w:val="18"/>
              </w:rPr>
              <w:t>Initial policy development for a new clinic or center</w:t>
            </w:r>
            <w:r w:rsidR="001F63DA">
              <w:rPr>
                <w:bCs/>
                <w:sz w:val="18"/>
                <w:szCs w:val="18"/>
              </w:rPr>
              <w:t xml:space="preserve"> </w:t>
            </w:r>
            <w:r w:rsidRPr="00D83BA7" w:rsidR="001F63DA">
              <w:rPr>
                <w:bCs/>
                <w:sz w:val="18"/>
                <w:szCs w:val="18"/>
              </w:rPr>
              <w:t>(§ 491.9(b)</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7DFCB076" w14:textId="5DC4A15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w:t>
            </w:r>
            <w:r w:rsidRPr="00D83BA7" w:rsidR="00E16CD6">
              <w:rPr>
                <w:sz w:val="18"/>
                <w:szCs w:val="18"/>
              </w:rPr>
              <w:t>91</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620A8957" w14:textId="5B6F88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w:t>
            </w:r>
            <w:r w:rsidRPr="00D83BA7" w:rsidR="00E16CD6">
              <w:rPr>
                <w:sz w:val="18"/>
                <w:szCs w:val="18"/>
              </w:rPr>
              <w:t>91</w:t>
            </w:r>
          </w:p>
        </w:tc>
        <w:tc>
          <w:tcPr>
            <w:tcW w:w="982"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4943ACCA" w14:textId="6C55EC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4448A796" w14:textId="331A83C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10,91</w:t>
            </w:r>
            <w:r w:rsidRPr="00D83BA7" w:rsidR="00FE0568">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3251F60B" w14:textId="4F8D3FC0">
            <w:pPr>
              <w:widowControl/>
              <w:jc w:val="center"/>
              <w:rPr>
                <w:bCs/>
                <w:sz w:val="18"/>
                <w:szCs w:val="18"/>
              </w:rPr>
            </w:pPr>
            <w:r w:rsidRPr="00D83BA7">
              <w:rPr>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0D58C197" w14:textId="4947D2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sz w:val="18"/>
                <w:szCs w:val="18"/>
              </w:rPr>
              <w:t>2,063,190</w:t>
            </w:r>
          </w:p>
        </w:tc>
      </w:tr>
      <w:tr w14:paraId="65D8464C"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P="009A6820" w14:paraId="363B96F0" w14:textId="0456D5C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E85BB7">
              <w:rPr>
                <w:bCs/>
                <w:sz w:val="18"/>
                <w:szCs w:val="18"/>
              </w:rPr>
              <w:t>Biennial review of existing policies for every Medicare</w:t>
            </w:r>
            <w:r w:rsidR="00E26C4F">
              <w:rPr>
                <w:bCs/>
                <w:sz w:val="18"/>
                <w:szCs w:val="18"/>
              </w:rPr>
              <w:t>-</w:t>
            </w:r>
            <w:r w:rsidRPr="00E85BB7">
              <w:rPr>
                <w:bCs/>
                <w:sz w:val="18"/>
                <w:szCs w:val="18"/>
              </w:rPr>
              <w:t>certified clinic/center</w:t>
            </w:r>
            <w:r w:rsidR="001F63DA">
              <w:rPr>
                <w:bCs/>
                <w:sz w:val="18"/>
                <w:szCs w:val="18"/>
              </w:rPr>
              <w:t xml:space="preserve"> </w:t>
            </w:r>
            <w:r w:rsidRPr="00D83BA7" w:rsidR="001F63DA">
              <w:rPr>
                <w:bCs/>
                <w:sz w:val="18"/>
                <w:szCs w:val="18"/>
              </w:rPr>
              <w:t>(§ 491.9(b)</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P="00E26C4F" w14:paraId="271A565F" w14:textId="71DAD4A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17,389</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P="00E26C4F" w14:paraId="3870448B" w14:textId="731D91E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17,389</w:t>
            </w:r>
          </w:p>
        </w:tc>
        <w:tc>
          <w:tcPr>
            <w:tcW w:w="982" w:type="dxa"/>
            <w:tcBorders>
              <w:top w:val="single" w:sz="4" w:space="0" w:color="auto"/>
              <w:left w:val="single" w:sz="4" w:space="0" w:color="auto"/>
              <w:bottom w:val="single" w:sz="4" w:space="0" w:color="auto"/>
              <w:right w:val="single" w:sz="4" w:space="0" w:color="auto"/>
            </w:tcBorders>
            <w:vAlign w:val="center"/>
          </w:tcPr>
          <w:p w:rsidR="00267A55" w:rsidP="00E26C4F" w14:paraId="46024DA8" w14:textId="3313448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2</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P="00E26C4F" w14:paraId="6169F29B" w14:textId="05385E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34,778</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P="00E26C4F" w14:paraId="388D1693" w14:textId="6E5B4152">
            <w:pPr>
              <w:widowControl/>
              <w:jc w:val="center"/>
              <w:rPr>
                <w:bCs/>
                <w:sz w:val="18"/>
                <w:szCs w:val="18"/>
              </w:rPr>
            </w:pPr>
            <w:r>
              <w:rPr>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17A7DF52" w14:textId="5E934F2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6,576,868</w:t>
            </w:r>
          </w:p>
        </w:tc>
      </w:tr>
      <w:tr w14:paraId="19F5B0BD"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RPr="00F47B7B" w:rsidP="009A6820" w14:paraId="5FA8F26C" w14:textId="3234458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F47B7B">
              <w:rPr>
                <w:bCs/>
                <w:sz w:val="18"/>
                <w:szCs w:val="18"/>
              </w:rPr>
              <w:t>Permitting MFT and MHCs to Furnish Services in RHC/FQHCs</w:t>
            </w:r>
            <w:r w:rsidR="001F63DA">
              <w:rPr>
                <w:bCs/>
                <w:sz w:val="18"/>
                <w:szCs w:val="18"/>
              </w:rPr>
              <w:t xml:space="preserve"> </w:t>
            </w:r>
            <w:r w:rsidRPr="00D83BA7" w:rsidR="001F63DA">
              <w:rPr>
                <w:bCs/>
                <w:sz w:val="18"/>
                <w:szCs w:val="18"/>
              </w:rPr>
              <w:t>(§ 491.9(b)</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RPr="00F47B7B" w:rsidP="00E26C4F" w14:paraId="6F690E45" w14:textId="557F811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F47B7B">
              <w:rPr>
                <w:bCs/>
                <w:sz w:val="18"/>
                <w:szCs w:val="18"/>
              </w:rPr>
              <w:t>8,695</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RPr="00F47B7B" w:rsidP="00E26C4F" w14:paraId="2C5562A1" w14:textId="1788A0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F47B7B">
              <w:rPr>
                <w:bCs/>
                <w:sz w:val="18"/>
                <w:szCs w:val="18"/>
              </w:rPr>
              <w:t>8,695</w:t>
            </w:r>
          </w:p>
        </w:tc>
        <w:tc>
          <w:tcPr>
            <w:tcW w:w="982" w:type="dxa"/>
            <w:tcBorders>
              <w:top w:val="single" w:sz="4" w:space="0" w:color="auto"/>
              <w:left w:val="single" w:sz="4" w:space="0" w:color="auto"/>
              <w:bottom w:val="single" w:sz="4" w:space="0" w:color="auto"/>
              <w:right w:val="single" w:sz="4" w:space="0" w:color="auto"/>
            </w:tcBorders>
            <w:vAlign w:val="center"/>
          </w:tcPr>
          <w:p w:rsidR="00267A55" w:rsidRPr="00F47B7B" w:rsidP="00E26C4F" w14:paraId="62B5942D" w14:textId="6F8CE66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F47B7B">
              <w:rPr>
                <w:bCs/>
                <w:sz w:val="18"/>
                <w:szCs w:val="18"/>
              </w:rPr>
              <w:t>1.0</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RPr="00F47B7B" w:rsidP="00E26C4F" w14:paraId="6B026C72" w14:textId="0B70F8A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F47B7B">
              <w:rPr>
                <w:bCs/>
                <w:sz w:val="18"/>
                <w:szCs w:val="18"/>
              </w:rPr>
              <w:t>4,348</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RPr="00F47B7B" w:rsidP="00E26C4F" w14:paraId="5707330B" w14:textId="3380AF1E">
            <w:pPr>
              <w:widowControl/>
              <w:jc w:val="center"/>
              <w:rPr>
                <w:bCs/>
                <w:sz w:val="18"/>
                <w:szCs w:val="18"/>
              </w:rPr>
            </w:pPr>
            <w:r w:rsidRPr="00F47B7B">
              <w:rPr>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4A3E20E9" w14:textId="742FFBE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F47B7B">
              <w:rPr>
                <w:sz w:val="18"/>
                <w:szCs w:val="18"/>
              </w:rPr>
              <w:t>822,250</w:t>
            </w:r>
          </w:p>
        </w:tc>
      </w:tr>
      <w:tr w14:paraId="5E7F076B"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P="001F63DA" w14:paraId="12F2B09D" w14:textId="2C0DE19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before="240"/>
              <w:rPr>
                <w:bCs/>
                <w:sz w:val="18"/>
                <w:szCs w:val="18"/>
              </w:rPr>
            </w:pPr>
            <w:r w:rsidRPr="00E85BB7">
              <w:rPr>
                <w:bCs/>
                <w:sz w:val="18"/>
                <w:szCs w:val="18"/>
              </w:rPr>
              <w:t>Initial development of program evaluation</w:t>
            </w:r>
            <w:r w:rsidR="001F63DA">
              <w:rPr>
                <w:bCs/>
                <w:sz w:val="18"/>
                <w:szCs w:val="18"/>
              </w:rPr>
              <w:t xml:space="preserve"> </w:t>
            </w:r>
            <w:r w:rsidRPr="00D83BA7" w:rsidR="001F63DA">
              <w:rPr>
                <w:bCs/>
                <w:sz w:val="18"/>
                <w:szCs w:val="18"/>
              </w:rPr>
              <w:t>(§ 491.</w:t>
            </w:r>
            <w:r w:rsidR="001F63DA">
              <w:rPr>
                <w:bCs/>
                <w:sz w:val="18"/>
                <w:szCs w:val="18"/>
              </w:rPr>
              <w:t>11</w:t>
            </w:r>
            <w:r w:rsidR="00DB587E">
              <w:rPr>
                <w:bCs/>
                <w:sz w:val="18"/>
                <w:szCs w:val="18"/>
              </w:rPr>
              <w:t>)</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P="00E26C4F" w14:paraId="036E38C0" w14:textId="313BF4D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B0209B">
              <w:rPr>
                <w:sz w:val="18"/>
                <w:szCs w:val="18"/>
              </w:rPr>
              <w:t>1,0</w:t>
            </w:r>
            <w:r w:rsidR="00E16CD6">
              <w:rPr>
                <w:sz w:val="18"/>
                <w:szCs w:val="18"/>
              </w:rPr>
              <w:t>91</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P="00E26C4F" w14:paraId="3683DCB1" w14:textId="642CE5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1,091</w:t>
            </w:r>
          </w:p>
        </w:tc>
        <w:tc>
          <w:tcPr>
            <w:tcW w:w="982" w:type="dxa"/>
            <w:tcBorders>
              <w:top w:val="single" w:sz="4" w:space="0" w:color="auto"/>
              <w:left w:val="single" w:sz="4" w:space="0" w:color="auto"/>
              <w:bottom w:val="single" w:sz="4" w:space="0" w:color="auto"/>
              <w:right w:val="single" w:sz="4" w:space="0" w:color="auto"/>
            </w:tcBorders>
            <w:vAlign w:val="center"/>
          </w:tcPr>
          <w:p w:rsidR="00267A55" w:rsidP="00E26C4F" w14:paraId="7BB63BF4" w14:textId="79655C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B0209B">
              <w:rPr>
                <w:sz w:val="18"/>
                <w:szCs w:val="18"/>
              </w:rPr>
              <w:t>10</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P="00E26C4F" w14:paraId="1926EEB0" w14:textId="295FC51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10,910</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P="00E26C4F" w14:paraId="059F90E9" w14:textId="706D0E90">
            <w:pPr>
              <w:widowControl/>
              <w:jc w:val="center"/>
              <w:rPr>
                <w:bCs/>
                <w:sz w:val="18"/>
                <w:szCs w:val="18"/>
              </w:rPr>
            </w:pPr>
            <w:r w:rsidRPr="00B0209B">
              <w:rPr>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5586EC3F" w14:textId="6FDF9DD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E173F3">
              <w:rPr>
                <w:sz w:val="18"/>
                <w:szCs w:val="18"/>
              </w:rPr>
              <w:t>2,063,190</w:t>
            </w:r>
          </w:p>
        </w:tc>
      </w:tr>
      <w:tr w14:paraId="415DD035"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P="009A6820" w14:paraId="478109ED" w14:textId="08A7FCC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E85BB7">
              <w:rPr>
                <w:bCs/>
                <w:sz w:val="18"/>
                <w:szCs w:val="18"/>
              </w:rPr>
              <w:t>Conduct biennial program evaluation</w:t>
            </w:r>
            <w:r w:rsidR="001F63DA">
              <w:rPr>
                <w:bCs/>
                <w:sz w:val="18"/>
                <w:szCs w:val="18"/>
              </w:rPr>
              <w:t xml:space="preserve"> </w:t>
            </w:r>
            <w:r w:rsidRPr="00D83BA7" w:rsidR="001F63DA">
              <w:rPr>
                <w:bCs/>
                <w:sz w:val="18"/>
                <w:szCs w:val="18"/>
              </w:rPr>
              <w:t>(§ 491.</w:t>
            </w:r>
            <w:r w:rsidR="001F63DA">
              <w:rPr>
                <w:bCs/>
                <w:sz w:val="18"/>
                <w:szCs w:val="18"/>
              </w:rPr>
              <w:t>11</w:t>
            </w:r>
            <w:r w:rsidRPr="00D83BA7" w:rsidR="001F63DA">
              <w:rPr>
                <w:bCs/>
                <w:sz w:val="18"/>
                <w:szCs w:val="18"/>
              </w:rPr>
              <w:t>)</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P="00E26C4F" w14:paraId="3C66B166" w14:textId="257539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17,389</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P="00E26C4F" w14:paraId="4AB069E6" w14:textId="1D1B39B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17,389</w:t>
            </w:r>
          </w:p>
        </w:tc>
        <w:tc>
          <w:tcPr>
            <w:tcW w:w="982" w:type="dxa"/>
            <w:tcBorders>
              <w:top w:val="single" w:sz="4" w:space="0" w:color="auto"/>
              <w:left w:val="single" w:sz="4" w:space="0" w:color="auto"/>
              <w:bottom w:val="single" w:sz="4" w:space="0" w:color="auto"/>
              <w:right w:val="single" w:sz="4" w:space="0" w:color="auto"/>
            </w:tcBorders>
            <w:vAlign w:val="center"/>
          </w:tcPr>
          <w:p w:rsidR="00267A55" w:rsidP="00E26C4F" w14:paraId="6CDB8035" w14:textId="5450975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3</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P="00E26C4F" w14:paraId="3BD2616C" w14:textId="32CB787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52</w:t>
            </w:r>
            <w:r w:rsidR="009C68B5">
              <w:rPr>
                <w:sz w:val="18"/>
                <w:szCs w:val="18"/>
              </w:rPr>
              <w:t>,</w:t>
            </w:r>
            <w:r>
              <w:rPr>
                <w:sz w:val="18"/>
                <w:szCs w:val="18"/>
              </w:rPr>
              <w:t>167</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P="00E26C4F" w14:paraId="10F042EE" w14:textId="42F2A870">
            <w:pPr>
              <w:widowControl/>
              <w:jc w:val="center"/>
              <w:rPr>
                <w:bCs/>
                <w:sz w:val="18"/>
                <w:szCs w:val="18"/>
              </w:rPr>
            </w:pPr>
            <w:r>
              <w:rPr>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6C445E01" w14:textId="42DA4B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9,865,301</w:t>
            </w:r>
          </w:p>
        </w:tc>
      </w:tr>
      <w:tr w14:paraId="26FD07CB" w14:textId="77777777" w:rsidTr="00C22D0C">
        <w:tblPrEx>
          <w:tblW w:w="8966" w:type="dxa"/>
          <w:jc w:val="center"/>
          <w:tblLook w:val="00A0"/>
        </w:tblPrEx>
        <w:trPr>
          <w:tblHeader/>
          <w:jc w:val="center"/>
        </w:trPr>
        <w:tc>
          <w:tcPr>
            <w:tcW w:w="2093"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6780F360" w14:textId="6BFFD1D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b/>
                <w:sz w:val="18"/>
                <w:szCs w:val="18"/>
              </w:rPr>
              <w:t>TOTAL</w:t>
            </w:r>
          </w:p>
        </w:tc>
        <w:tc>
          <w:tcPr>
            <w:tcW w:w="1177"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5905AAE6" w14:textId="515455D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b/>
                <w:sz w:val="18"/>
                <w:szCs w:val="18"/>
              </w:rPr>
              <w:t>45,655</w:t>
            </w:r>
          </w:p>
        </w:tc>
        <w:tc>
          <w:tcPr>
            <w:tcW w:w="1056"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497A3184" w14:textId="2B6CE6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b/>
                <w:sz w:val="18"/>
                <w:szCs w:val="18"/>
              </w:rPr>
              <w:t>4</w:t>
            </w:r>
            <w:r w:rsidRPr="00D83BA7" w:rsidR="00A24F7A">
              <w:rPr>
                <w:b/>
                <w:sz w:val="18"/>
                <w:szCs w:val="18"/>
              </w:rPr>
              <w:t>5,655</w:t>
            </w:r>
          </w:p>
        </w:tc>
        <w:tc>
          <w:tcPr>
            <w:tcW w:w="982"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6FCA675F" w14:textId="7EB4BCF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b/>
                <w:sz w:val="18"/>
                <w:szCs w:val="18"/>
              </w:rPr>
              <w:t>Varies</w:t>
            </w:r>
          </w:p>
        </w:tc>
        <w:tc>
          <w:tcPr>
            <w:tcW w:w="1200"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42ECA039" w14:textId="5F85172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b/>
                <w:sz w:val="18"/>
                <w:szCs w:val="18"/>
              </w:rPr>
              <w:t>113,113</w:t>
            </w:r>
          </w:p>
        </w:tc>
        <w:tc>
          <w:tcPr>
            <w:tcW w:w="1080" w:type="dxa"/>
            <w:tcBorders>
              <w:top w:val="single" w:sz="4" w:space="0" w:color="auto"/>
              <w:left w:val="single" w:sz="4" w:space="0" w:color="auto"/>
              <w:bottom w:val="single" w:sz="4" w:space="0" w:color="auto"/>
              <w:right w:val="single" w:sz="4" w:space="0" w:color="auto"/>
            </w:tcBorders>
            <w:vAlign w:val="center"/>
          </w:tcPr>
          <w:p w:rsidR="00267A55" w:rsidRPr="00D83BA7" w:rsidP="00E26C4F" w14:paraId="0ACB762A" w14:textId="0AA8E986">
            <w:pPr>
              <w:widowControl/>
              <w:jc w:val="center"/>
              <w:rPr>
                <w:bCs/>
                <w:sz w:val="18"/>
                <w:szCs w:val="18"/>
              </w:rPr>
            </w:pPr>
            <w:r w:rsidRPr="00D83BA7">
              <w:rPr>
                <w:b/>
                <w:sz w:val="18"/>
                <w:szCs w:val="18"/>
              </w:rPr>
              <w:t>Varies</w:t>
            </w:r>
          </w:p>
        </w:tc>
        <w:tc>
          <w:tcPr>
            <w:tcW w:w="1378" w:type="dxa"/>
            <w:tcBorders>
              <w:top w:val="single" w:sz="4" w:space="0" w:color="auto"/>
              <w:left w:val="single" w:sz="4" w:space="0" w:color="auto"/>
              <w:bottom w:val="single" w:sz="4" w:space="0" w:color="auto"/>
              <w:right w:val="single" w:sz="4" w:space="0" w:color="auto"/>
            </w:tcBorders>
            <w:vAlign w:val="center"/>
          </w:tcPr>
          <w:p w:rsidR="00267A55" w:rsidP="00E26C4F" w14:paraId="3A80D95D" w14:textId="060FEB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
                <w:sz w:val="18"/>
                <w:szCs w:val="18"/>
              </w:rPr>
              <w:t>21,390,799</w:t>
            </w:r>
          </w:p>
        </w:tc>
      </w:tr>
    </w:tbl>
    <w:p w:rsidR="00BC6CB9" w:rsidP="004220A4" w14:paraId="7F3A7FB6" w14:textId="77777777">
      <w:pPr>
        <w:rPr>
          <w:sz w:val="24"/>
        </w:rPr>
      </w:pPr>
    </w:p>
    <w:p w:rsidR="00737EBC" w:rsidP="00737EBC" w14:paraId="79AAE3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Pr>
          <w:i/>
          <w:sz w:val="24"/>
        </w:rPr>
        <w:t>Collection of Information Instruments and Instruction/Guidance Materials</w:t>
      </w:r>
    </w:p>
    <w:p w:rsidR="00BC6CB9" w:rsidP="004220A4" w14:paraId="4902FE35" w14:textId="77777777">
      <w:pPr>
        <w:rPr>
          <w:sz w:val="24"/>
        </w:rPr>
      </w:pPr>
    </w:p>
    <w:p w:rsidR="00BC6CB9" w:rsidP="004220A4" w14:paraId="13FB7EC0" w14:textId="622A7151">
      <w:pPr>
        <w:rPr>
          <w:sz w:val="24"/>
        </w:rPr>
      </w:pPr>
      <w:r>
        <w:rPr>
          <w:sz w:val="24"/>
        </w:rPr>
        <w:t>None.</w:t>
      </w:r>
      <w:r w:rsidR="001C672E">
        <w:rPr>
          <w:sz w:val="24"/>
        </w:rPr>
        <w:t xml:space="preserve"> </w:t>
      </w:r>
      <w:r w:rsidR="009740CB">
        <w:rPr>
          <w:sz w:val="24"/>
        </w:rPr>
        <w:t>All i</w:t>
      </w:r>
      <w:r w:rsidR="001C672E">
        <w:rPr>
          <w:sz w:val="24"/>
        </w:rPr>
        <w:t>nstructions are codified in the CFR.</w:t>
      </w:r>
    </w:p>
    <w:p w:rsidR="00BC6CB9" w:rsidP="004220A4" w14:paraId="6E23FE38" w14:textId="77777777">
      <w:pPr>
        <w:rPr>
          <w:sz w:val="24"/>
        </w:rPr>
      </w:pPr>
    </w:p>
    <w:p w:rsidR="0058771F" w:rsidRPr="004220A4" w:rsidP="004220A4" w14:paraId="000001E6" w14:textId="1C18E7F7">
      <w:pPr>
        <w:rPr>
          <w:sz w:val="24"/>
          <w:u w:val="single"/>
        </w:rPr>
      </w:pPr>
      <w:r w:rsidRPr="004220A4">
        <w:rPr>
          <w:sz w:val="24"/>
          <w:u w:val="single"/>
        </w:rPr>
        <w:t>13. Capital Costs (Maintenance of Capital Cost)</w:t>
      </w:r>
    </w:p>
    <w:p w:rsidR="0058771F" w:rsidP="004220A4" w14:paraId="000001E7" w14:textId="77777777">
      <w:pPr>
        <w:rPr>
          <w:sz w:val="24"/>
        </w:rPr>
      </w:pPr>
    </w:p>
    <w:p w:rsidR="0058771F" w:rsidP="004220A4" w14:paraId="000001E8" w14:textId="77777777">
      <w:pPr>
        <w:rPr>
          <w:sz w:val="24"/>
        </w:rPr>
      </w:pPr>
      <w:r>
        <w:rPr>
          <w:sz w:val="24"/>
        </w:rPr>
        <w:t>There are no capital costs.</w:t>
      </w:r>
    </w:p>
    <w:p w:rsidR="0058771F" w:rsidP="004220A4" w14:paraId="000001E9" w14:textId="77777777">
      <w:pPr>
        <w:rPr>
          <w:sz w:val="24"/>
        </w:rPr>
      </w:pPr>
    </w:p>
    <w:p w:rsidR="0058771F" w:rsidRPr="004220A4" w:rsidP="004220A4" w14:paraId="000001EA" w14:textId="77777777">
      <w:pPr>
        <w:rPr>
          <w:sz w:val="24"/>
          <w:u w:val="single"/>
        </w:rPr>
      </w:pPr>
      <w:r w:rsidRPr="004220A4">
        <w:rPr>
          <w:sz w:val="24"/>
          <w:u w:val="single"/>
        </w:rPr>
        <w:t>14. Cost to Federal Government</w:t>
      </w:r>
    </w:p>
    <w:p w:rsidR="0058771F" w:rsidP="004220A4" w14:paraId="000001EB" w14:textId="77777777">
      <w:pPr>
        <w:rPr>
          <w:sz w:val="24"/>
        </w:rPr>
      </w:pPr>
    </w:p>
    <w:p w:rsidR="00E24067" w:rsidP="004220A4" w14:paraId="5AFEE68C" w14:textId="34C8ADEF">
      <w:pPr>
        <w:rPr>
          <w:sz w:val="24"/>
        </w:rPr>
      </w:pPr>
      <w:r>
        <w:rPr>
          <w:sz w:val="24"/>
        </w:rPr>
        <w:t>T</w:t>
      </w:r>
      <w:r w:rsidR="009740CB">
        <w:rPr>
          <w:sz w:val="24"/>
        </w:rPr>
        <w:t>he Federal Government does not routinely collect and review the materials that are required by RHCs and FQHCs under §§ 491.9(b) and 491.11</w:t>
      </w:r>
      <w:r>
        <w:rPr>
          <w:sz w:val="24"/>
        </w:rPr>
        <w:t>.</w:t>
      </w:r>
      <w:r w:rsidR="00DD7BA9">
        <w:rPr>
          <w:sz w:val="24"/>
        </w:rPr>
        <w:t xml:space="preserve"> </w:t>
      </w:r>
      <w:r w:rsidR="00227702">
        <w:rPr>
          <w:sz w:val="24"/>
        </w:rPr>
        <w:t>However,</w:t>
      </w:r>
      <w:r w:rsidR="009740CB">
        <w:rPr>
          <w:sz w:val="24"/>
        </w:rPr>
        <w:t xml:space="preserve"> federal </w:t>
      </w:r>
      <w:r w:rsidR="00DD7BA9">
        <w:rPr>
          <w:sz w:val="24"/>
        </w:rPr>
        <w:t>personnel costs are incurred for the federal staff who monitor changes to the CfCs for RHCs and FQHCs</w:t>
      </w:r>
      <w:r w:rsidR="009740CB">
        <w:rPr>
          <w:sz w:val="24"/>
        </w:rPr>
        <w:t xml:space="preserve"> and</w:t>
      </w:r>
      <w:r w:rsidR="00DD7BA9">
        <w:rPr>
          <w:sz w:val="24"/>
        </w:rPr>
        <w:t xml:space="preserve"> </w:t>
      </w:r>
      <w:r w:rsidR="00B9109C">
        <w:rPr>
          <w:sz w:val="24"/>
        </w:rPr>
        <w:t xml:space="preserve">who </w:t>
      </w:r>
      <w:r w:rsidR="00DD7BA9">
        <w:rPr>
          <w:sz w:val="24"/>
        </w:rPr>
        <w:t xml:space="preserve">periodically update the annual burden hours and costs </w:t>
      </w:r>
      <w:r w:rsidR="009740CB">
        <w:rPr>
          <w:sz w:val="24"/>
        </w:rPr>
        <w:t xml:space="preserve">based on changes in the requirements, </w:t>
      </w:r>
      <w:r w:rsidR="009740CB">
        <w:rPr>
          <w:sz w:val="24"/>
        </w:rPr>
        <w:t>wages</w:t>
      </w:r>
      <w:r w:rsidR="00E26C4F">
        <w:rPr>
          <w:sz w:val="24"/>
        </w:rPr>
        <w:t>,</w:t>
      </w:r>
      <w:r w:rsidR="009740CB">
        <w:rPr>
          <w:sz w:val="24"/>
        </w:rPr>
        <w:t xml:space="preserve"> and the number of facilities impacted through re-approval of this information collection review. </w:t>
      </w:r>
    </w:p>
    <w:p w:rsidR="00DD7BA9" w:rsidP="004220A4" w14:paraId="044F98BF" w14:textId="77777777">
      <w:pPr>
        <w:rPr>
          <w:sz w:val="24"/>
        </w:rPr>
      </w:pPr>
    </w:p>
    <w:p w:rsidR="00442727" w:rsidRPr="00442727" w:rsidP="004220A4" w14:paraId="32A5400F" w14:textId="6B77AEE5">
      <w:pPr>
        <w:rPr>
          <w:sz w:val="24"/>
        </w:rPr>
      </w:pPr>
      <w:r w:rsidRPr="00442727">
        <w:rPr>
          <w:sz w:val="24"/>
        </w:rPr>
        <w:t>We estimate the annual cost to the federal government for this ICR to be 10% of 2 FTEs at</w:t>
      </w:r>
      <w:r w:rsidRPr="00442727" w:rsidR="00533724">
        <w:rPr>
          <w:sz w:val="24"/>
        </w:rPr>
        <w:t xml:space="preserve"> </w:t>
      </w:r>
      <w:r w:rsidRPr="00442727" w:rsidR="00E24067">
        <w:rPr>
          <w:sz w:val="24"/>
        </w:rPr>
        <w:t>CMS</w:t>
      </w:r>
      <w:r w:rsidRPr="00442727">
        <w:rPr>
          <w:sz w:val="24"/>
        </w:rPr>
        <w:t xml:space="preserve"> or </w:t>
      </w:r>
      <w:r w:rsidRPr="005409B6">
        <w:rPr>
          <w:sz w:val="24"/>
        </w:rPr>
        <w:t xml:space="preserve">an average </w:t>
      </w:r>
      <w:r w:rsidR="001665CB">
        <w:rPr>
          <w:sz w:val="24"/>
        </w:rPr>
        <w:t xml:space="preserve">of </w:t>
      </w:r>
      <w:r w:rsidR="00C635E8">
        <w:rPr>
          <w:sz w:val="24"/>
        </w:rPr>
        <w:t>$</w:t>
      </w:r>
      <w:r w:rsidR="001665CB">
        <w:rPr>
          <w:sz w:val="24"/>
        </w:rPr>
        <w:t>10,180</w:t>
      </w:r>
      <w:r w:rsidRPr="005409B6">
        <w:rPr>
          <w:sz w:val="24"/>
        </w:rPr>
        <w:t xml:space="preserve"> ($</w:t>
      </w:r>
      <w:r w:rsidR="001665CB">
        <w:rPr>
          <w:sz w:val="24"/>
        </w:rPr>
        <w:t>101,800</w:t>
      </w:r>
      <w:r w:rsidRPr="00E72143">
        <w:rPr>
          <w:sz w:val="24"/>
        </w:rPr>
        <w:t xml:space="preserve"> </w:t>
      </w:r>
      <w:r w:rsidRPr="005409B6">
        <w:rPr>
          <w:sz w:val="24"/>
        </w:rPr>
        <w:t xml:space="preserve">annual salary </w:t>
      </w:r>
      <w:r w:rsidRPr="00E72143">
        <w:rPr>
          <w:sz w:val="24"/>
        </w:rPr>
        <w:t>x 0</w:t>
      </w:r>
      <w:r w:rsidRPr="005409B6">
        <w:rPr>
          <w:sz w:val="24"/>
        </w:rPr>
        <w:t xml:space="preserve">.10) </w:t>
      </w:r>
      <w:r w:rsidRPr="00E72143">
        <w:rPr>
          <w:sz w:val="24"/>
        </w:rPr>
        <w:t>per year</w:t>
      </w:r>
      <w:r w:rsidR="00EA58B0">
        <w:rPr>
          <w:sz w:val="24"/>
        </w:rPr>
        <w:t>.</w:t>
      </w:r>
      <w:r>
        <w:rPr>
          <w:rStyle w:val="FootnoteReference"/>
          <w:sz w:val="24"/>
          <w:vertAlign w:val="superscript"/>
        </w:rPr>
        <w:footnoteReference w:id="5"/>
      </w:r>
      <w:r w:rsidRPr="005409B6">
        <w:rPr>
          <w:sz w:val="24"/>
        </w:rPr>
        <w:t xml:space="preserve">  </w:t>
      </w:r>
    </w:p>
    <w:p w:rsidR="00227702" w:rsidRPr="001E58B8" w:rsidP="004220A4" w14:paraId="75C7BCEB" w14:textId="77777777">
      <w:pPr>
        <w:rPr>
          <w:sz w:val="24"/>
        </w:rPr>
      </w:pPr>
    </w:p>
    <w:p w:rsidR="0058771F" w:rsidRPr="001E58B8" w:rsidP="004220A4" w14:paraId="000001EE" w14:textId="79575D49">
      <w:pPr>
        <w:rPr>
          <w:sz w:val="24"/>
          <w:u w:val="single"/>
        </w:rPr>
      </w:pPr>
      <w:r w:rsidRPr="009A3BD6">
        <w:rPr>
          <w:sz w:val="24"/>
          <w:u w:val="single"/>
        </w:rPr>
        <w:t>15.Changes to Burden</w:t>
      </w:r>
    </w:p>
    <w:p w:rsidR="0058771F" w:rsidP="004220A4" w14:paraId="000001EF" w14:textId="77777777">
      <w:pPr>
        <w:rPr>
          <w:sz w:val="24"/>
        </w:rPr>
      </w:pPr>
    </w:p>
    <w:p w:rsidR="001E58B8" w:rsidRPr="001E58B8" w:rsidP="001E58B8" w14:paraId="1ECA453A" w14:textId="11C56ED6">
      <w:pPr>
        <w:rPr>
          <w:sz w:val="24"/>
        </w:rPr>
      </w:pPr>
      <w:r>
        <w:rPr>
          <w:sz w:val="24"/>
        </w:rPr>
        <w:t xml:space="preserve">This </w:t>
      </w:r>
      <w:r w:rsidR="00D76D8F">
        <w:rPr>
          <w:sz w:val="24"/>
        </w:rPr>
        <w:t xml:space="preserve">request for </w:t>
      </w:r>
      <w:r>
        <w:rPr>
          <w:sz w:val="24"/>
        </w:rPr>
        <w:t xml:space="preserve">revision </w:t>
      </w:r>
      <w:r w:rsidR="00E26C4F">
        <w:rPr>
          <w:sz w:val="24"/>
        </w:rPr>
        <w:t xml:space="preserve">was </w:t>
      </w:r>
      <w:r w:rsidR="00D76D8F">
        <w:rPr>
          <w:sz w:val="24"/>
        </w:rPr>
        <w:t>precipitated by the</w:t>
      </w:r>
      <w:r>
        <w:rPr>
          <w:sz w:val="24"/>
        </w:rPr>
        <w:t xml:space="preserve"> </w:t>
      </w:r>
      <w:r w:rsidRPr="004220A4">
        <w:rPr>
          <w:sz w:val="24"/>
        </w:rPr>
        <w:t>November 16, 2023</w:t>
      </w:r>
      <w:r>
        <w:rPr>
          <w:sz w:val="24"/>
        </w:rPr>
        <w:t xml:space="preserve"> (88 FR </w:t>
      </w:r>
      <w:r w:rsidRPr="004220A4">
        <w:rPr>
          <w:sz w:val="24"/>
        </w:rPr>
        <w:t>78817</w:t>
      </w:r>
      <w:r>
        <w:rPr>
          <w:sz w:val="24"/>
        </w:rPr>
        <w:t>) final rule (</w:t>
      </w:r>
      <w:bookmarkStart w:id="3" w:name="_Hlk173503737"/>
      <w:r w:rsidRPr="004220A4">
        <w:rPr>
          <w:sz w:val="24"/>
        </w:rPr>
        <w:t>CMS-1784-F</w:t>
      </w:r>
      <w:bookmarkEnd w:id="3"/>
      <w:r>
        <w:rPr>
          <w:sz w:val="24"/>
        </w:rPr>
        <w:t xml:space="preserve">, </w:t>
      </w:r>
      <w:r w:rsidRPr="004220A4">
        <w:rPr>
          <w:sz w:val="24"/>
        </w:rPr>
        <w:t>RIN 0938-AV07</w:t>
      </w:r>
      <w:r w:rsidR="00E26C4F">
        <w:rPr>
          <w:sz w:val="24"/>
        </w:rPr>
        <w:t xml:space="preserve">). This final rule </w:t>
      </w:r>
      <w:r w:rsidRPr="001E58B8">
        <w:rPr>
          <w:sz w:val="24"/>
        </w:rPr>
        <w:t>implement</w:t>
      </w:r>
      <w:r w:rsidR="008D5893">
        <w:rPr>
          <w:sz w:val="24"/>
        </w:rPr>
        <w:t>s</w:t>
      </w:r>
      <w:r w:rsidRPr="001E58B8">
        <w:rPr>
          <w:sz w:val="24"/>
        </w:rPr>
        <w:t xml:space="preserve"> section 4121 of the CAA by </w:t>
      </w:r>
      <w:r w:rsidR="00E26C4F">
        <w:rPr>
          <w:sz w:val="24"/>
        </w:rPr>
        <w:t xml:space="preserve">making </w:t>
      </w:r>
      <w:r w:rsidRPr="001E58B8">
        <w:rPr>
          <w:sz w:val="24"/>
        </w:rPr>
        <w:t xml:space="preserve">conforming changes at </w:t>
      </w:r>
      <w:r w:rsidR="008D5893">
        <w:rPr>
          <w:sz w:val="24"/>
        </w:rPr>
        <w:t>§</w:t>
      </w:r>
      <w:r w:rsidRPr="001E58B8">
        <w:rPr>
          <w:sz w:val="24"/>
        </w:rPr>
        <w:t>491.8(a)(3) and (6)</w:t>
      </w:r>
      <w:r w:rsidR="00E26C4F">
        <w:rPr>
          <w:sz w:val="24"/>
        </w:rPr>
        <w:t>, which added</w:t>
      </w:r>
      <w:r w:rsidRPr="001E58B8">
        <w:rPr>
          <w:sz w:val="24"/>
        </w:rPr>
        <w:t xml:space="preserve"> MFT and MHCs to the list of staff who may be the owner or an employee of the clinic or center or may furnish services under contract to the clinic or center as well as included as staff available to furnish patient care services at all times the clinic or center operates. If an RHC or FQHC provides services furnished by an MFT or MHC, they will be required to update their patient care policy, as set out in </w:t>
      </w:r>
      <w:r w:rsidR="008D5893">
        <w:rPr>
          <w:sz w:val="24"/>
        </w:rPr>
        <w:t>§</w:t>
      </w:r>
      <w:r w:rsidRPr="001E58B8">
        <w:rPr>
          <w:sz w:val="24"/>
        </w:rPr>
        <w:t xml:space="preserve"> 491.9(b)(2) of the CfCs.</w:t>
      </w:r>
    </w:p>
    <w:p w:rsidR="001E58B8" w:rsidRPr="001E58B8" w:rsidP="001E58B8" w14:paraId="6BD9741B" w14:textId="77777777">
      <w:pPr>
        <w:rPr>
          <w:sz w:val="24"/>
        </w:rPr>
      </w:pPr>
    </w:p>
    <w:p w:rsidR="001E58B8" w:rsidRPr="001E58B8" w:rsidP="001E58B8" w14:paraId="01D882F7" w14:textId="3370BC1C">
      <w:pPr>
        <w:rPr>
          <w:sz w:val="24"/>
        </w:rPr>
      </w:pPr>
      <w:r>
        <w:rPr>
          <w:sz w:val="24"/>
        </w:rPr>
        <w:t>A</w:t>
      </w:r>
      <w:r w:rsidR="00186578">
        <w:rPr>
          <w:sz w:val="24"/>
        </w:rPr>
        <w:t>t</w:t>
      </w:r>
      <w:r>
        <w:rPr>
          <w:sz w:val="24"/>
        </w:rPr>
        <w:t xml:space="preserve"> the time of the final rule’s publication, t</w:t>
      </w:r>
      <w:r w:rsidRPr="001E58B8">
        <w:rPr>
          <w:sz w:val="24"/>
        </w:rPr>
        <w:t>he existing requirement require</w:t>
      </w:r>
      <w:r>
        <w:rPr>
          <w:sz w:val="24"/>
        </w:rPr>
        <w:t>d</w:t>
      </w:r>
      <w:r w:rsidRPr="001E58B8">
        <w:rPr>
          <w:sz w:val="24"/>
        </w:rPr>
        <w:t xml:space="preserve"> that policies </w:t>
      </w:r>
      <w:r w:rsidR="00E26C4F">
        <w:rPr>
          <w:sz w:val="24"/>
        </w:rPr>
        <w:t>be</w:t>
      </w:r>
      <w:r w:rsidRPr="001E58B8">
        <w:rPr>
          <w:sz w:val="24"/>
        </w:rPr>
        <w:t xml:space="preserve"> developed with the advice of a group of professional personnel that includes one or more </w:t>
      </w:r>
      <w:r w:rsidRPr="00CC34C9">
        <w:rPr>
          <w:sz w:val="24"/>
        </w:rPr>
        <w:t xml:space="preserve">physicians and one or more </w:t>
      </w:r>
      <w:r w:rsidR="0078707A">
        <w:rPr>
          <w:sz w:val="24"/>
        </w:rPr>
        <w:t xml:space="preserve">mid-level </w:t>
      </w:r>
      <w:r w:rsidRPr="00CC34C9">
        <w:rPr>
          <w:sz w:val="24"/>
        </w:rPr>
        <w:t>practitioners, with at least one member</w:t>
      </w:r>
      <w:r w:rsidRPr="001E58B8">
        <w:rPr>
          <w:sz w:val="24"/>
        </w:rPr>
        <w:t xml:space="preserve"> who is not a member of the clinic or center staff. The patient care policies must describe the services the clinic or center furnishes directly, through agreement or arrangement, guidelines for medical management of health problems, and rules for the storage, handling, and administration of drugs and biologicals.</w:t>
      </w:r>
    </w:p>
    <w:p w:rsidR="001E58B8" w:rsidRPr="001E58B8" w:rsidP="001E58B8" w14:paraId="5C390244" w14:textId="77777777">
      <w:pPr>
        <w:rPr>
          <w:sz w:val="24"/>
        </w:rPr>
      </w:pPr>
    </w:p>
    <w:p w:rsidR="001E58B8" w:rsidRPr="001E58B8" w:rsidP="001E58B8" w14:paraId="05938B91" w14:textId="12F91570">
      <w:pPr>
        <w:rPr>
          <w:sz w:val="24"/>
        </w:rPr>
      </w:pPr>
      <w:r>
        <w:rPr>
          <w:sz w:val="24"/>
        </w:rPr>
        <w:t xml:space="preserve">However, the final rule’s inclusion of </w:t>
      </w:r>
      <w:r w:rsidRPr="001E58B8">
        <w:rPr>
          <w:sz w:val="24"/>
        </w:rPr>
        <w:t xml:space="preserve">MFTs and MHCs as professionals who can provide services in an RHC and FQHC </w:t>
      </w:r>
      <w:r>
        <w:rPr>
          <w:sz w:val="24"/>
        </w:rPr>
        <w:t>adds</w:t>
      </w:r>
      <w:r w:rsidR="00F73BCF">
        <w:rPr>
          <w:sz w:val="24"/>
        </w:rPr>
        <w:t xml:space="preserve"> an additional</w:t>
      </w:r>
      <w:r>
        <w:rPr>
          <w:sz w:val="24"/>
        </w:rPr>
        <w:t xml:space="preserve"> </w:t>
      </w:r>
      <w:r w:rsidRPr="001E58B8">
        <w:rPr>
          <w:sz w:val="24"/>
        </w:rPr>
        <w:t xml:space="preserve">burden associated with the existing requirement at </w:t>
      </w:r>
      <w:r>
        <w:rPr>
          <w:sz w:val="24"/>
        </w:rPr>
        <w:t>§</w:t>
      </w:r>
      <w:r w:rsidRPr="001E58B8">
        <w:rPr>
          <w:sz w:val="24"/>
        </w:rPr>
        <w:t xml:space="preserve"> </w:t>
      </w:r>
      <w:r w:rsidRPr="001E58B8">
        <w:rPr>
          <w:sz w:val="24"/>
        </w:rPr>
        <w:t xml:space="preserve">491.9(b)(3)(i). This requirement states that policies include </w:t>
      </w:r>
      <w:r>
        <w:rPr>
          <w:sz w:val="24"/>
        </w:rPr>
        <w:t>“</w:t>
      </w:r>
      <w:r w:rsidRPr="001E58B8">
        <w:rPr>
          <w:sz w:val="24"/>
        </w:rPr>
        <w:t>A description of the services they provide directly or through agreement or arrangement.</w:t>
      </w:r>
      <w:r>
        <w:rPr>
          <w:sz w:val="24"/>
        </w:rPr>
        <w:t>”</w:t>
      </w:r>
      <w:r w:rsidRPr="001E58B8">
        <w:rPr>
          <w:sz w:val="24"/>
        </w:rPr>
        <w:t xml:space="preserve"> Therefore, if an RHC or FQHC provides services furnished by an MFT or MHC they must update their policies to include a description of the services provided.</w:t>
      </w:r>
    </w:p>
    <w:p w:rsidR="001E58B8" w:rsidRPr="001E58B8" w:rsidP="001E58B8" w14:paraId="39525227" w14:textId="77777777">
      <w:pPr>
        <w:rPr>
          <w:sz w:val="24"/>
        </w:rPr>
      </w:pPr>
    </w:p>
    <w:p w:rsidR="001E58B8" w:rsidRPr="001E58B8" w:rsidP="001E58B8" w14:paraId="3823F66F" w14:textId="78B82ED8">
      <w:pPr>
        <w:rPr>
          <w:sz w:val="24"/>
        </w:rPr>
      </w:pPr>
      <w:r w:rsidRPr="001E58B8">
        <w:rPr>
          <w:sz w:val="24"/>
        </w:rPr>
        <w:t xml:space="preserve">We note that the time and effort required to conduct this activity will vary depending on </w:t>
      </w:r>
      <w:r w:rsidR="005D2A20">
        <w:rPr>
          <w:sz w:val="24"/>
        </w:rPr>
        <w:t>whether</w:t>
      </w:r>
      <w:r w:rsidRPr="001E58B8">
        <w:rPr>
          <w:sz w:val="24"/>
        </w:rPr>
        <w:t xml:space="preserve"> a clinic or center chooses to provide services furnished by an MFT or MHC. We also believe that some RHCs and FQHCs may already provide services furnished by an MFT or MHC. State Medicaid programs can cover ambulatory care services (including mental health and substance use disorder services) under a number of different mandatory Medicaid benefits such as outpatient hospital services, physician services, RHC and FQHC services, as well as optional benefits such as rehabilitative services, and services of other licensed practitioners.</w:t>
      </w:r>
    </w:p>
    <w:p w:rsidR="001E58B8" w:rsidRPr="001E58B8" w:rsidP="001E58B8" w14:paraId="29DB33A8" w14:textId="77777777">
      <w:pPr>
        <w:rPr>
          <w:sz w:val="24"/>
        </w:rPr>
      </w:pPr>
    </w:p>
    <w:p w:rsidR="001E58B8" w:rsidRPr="001E58B8" w:rsidP="001E58B8" w14:paraId="27C8918C" w14:textId="148C4D05">
      <w:pPr>
        <w:rPr>
          <w:sz w:val="24"/>
        </w:rPr>
      </w:pPr>
      <w:r w:rsidRPr="001E58B8">
        <w:rPr>
          <w:sz w:val="24"/>
        </w:rPr>
        <w:t xml:space="preserve">The National Association of Community Health Center's 2017 policy assessment suggests that 21 State Medicaid programs cover services provided by MFTs, and 25 State Medicaid programs cover services provided by licensed professional counselors. Due to approximately half of the State's Medicaid programs already covering services furnished by an MFT or MHC and the assumption that some centers and clinics will not provide these services, we believe only 50 </w:t>
      </w:r>
      <w:r w:rsidRPr="001E58B8">
        <w:rPr>
          <w:sz w:val="24"/>
        </w:rPr>
        <w:t xml:space="preserve">percent of RHCs and 50 percent of FQHCs will incur this burden. The total RHCs and FQHCs who will have to meet this </w:t>
      </w:r>
      <w:r w:rsidR="00FB1732">
        <w:rPr>
          <w:sz w:val="24"/>
        </w:rPr>
        <w:t>one</w:t>
      </w:r>
      <w:r w:rsidRPr="001E58B8">
        <w:rPr>
          <w:sz w:val="24"/>
        </w:rPr>
        <w:t>-time burden is 2,</w:t>
      </w:r>
      <w:r w:rsidR="00B143AC">
        <w:rPr>
          <w:sz w:val="24"/>
        </w:rPr>
        <w:t>769</w:t>
      </w:r>
      <w:r w:rsidRPr="001E58B8">
        <w:rPr>
          <w:sz w:val="24"/>
        </w:rPr>
        <w:t xml:space="preserve"> clinics and 5,</w:t>
      </w:r>
      <w:r w:rsidR="00B143AC">
        <w:rPr>
          <w:sz w:val="24"/>
        </w:rPr>
        <w:t>926</w:t>
      </w:r>
      <w:r w:rsidRPr="001E58B8">
        <w:rPr>
          <w:sz w:val="24"/>
        </w:rPr>
        <w:t xml:space="preserve"> centers, or 8,</w:t>
      </w:r>
      <w:r w:rsidR="00B143AC">
        <w:rPr>
          <w:sz w:val="24"/>
        </w:rPr>
        <w:t xml:space="preserve">695 </w:t>
      </w:r>
      <w:r w:rsidRPr="001E58B8">
        <w:rPr>
          <w:sz w:val="24"/>
        </w:rPr>
        <w:t>combined.</w:t>
      </w:r>
    </w:p>
    <w:p w:rsidR="001E58B8" w:rsidRPr="001E58B8" w:rsidP="004220A4" w14:paraId="72F3EEC9" w14:textId="77777777">
      <w:pPr>
        <w:rPr>
          <w:sz w:val="24"/>
        </w:rPr>
      </w:pPr>
    </w:p>
    <w:p w:rsidR="00FB1732" w:rsidP="004220A4" w14:paraId="5BC89F2E" w14:textId="6624858D">
      <w:pPr>
        <w:rPr>
          <w:sz w:val="24"/>
        </w:rPr>
      </w:pPr>
      <w:r w:rsidRPr="000638D8">
        <w:rPr>
          <w:sz w:val="24"/>
        </w:rPr>
        <w:t xml:space="preserve">Each clinic or center is required by the existing requirement at </w:t>
      </w:r>
      <w:r w:rsidRPr="000638D8">
        <w:rPr>
          <w:sz w:val="24"/>
        </w:rPr>
        <w:t>§</w:t>
      </w:r>
      <w:r w:rsidRPr="000638D8">
        <w:rPr>
          <w:sz w:val="24"/>
        </w:rPr>
        <w:t xml:space="preserve"> 491.9(b)(2) to have at least one </w:t>
      </w:r>
      <w:r w:rsidRPr="00260632" w:rsidR="00EA58B0">
        <w:rPr>
          <w:sz w:val="24"/>
        </w:rPr>
        <w:t>physician</w:t>
      </w:r>
      <w:r w:rsidRPr="00260632">
        <w:rPr>
          <w:sz w:val="24"/>
        </w:rPr>
        <w:t xml:space="preserve"> at $</w:t>
      </w:r>
      <w:r w:rsidRPr="00260632" w:rsidR="00CB69D7">
        <w:rPr>
          <w:sz w:val="24"/>
        </w:rPr>
        <w:t>253.70</w:t>
      </w:r>
      <w:r w:rsidRPr="00260632">
        <w:rPr>
          <w:sz w:val="24"/>
        </w:rPr>
        <w:t xml:space="preserve">/hr and one </w:t>
      </w:r>
      <w:r w:rsidRPr="00260632">
        <w:rPr>
          <w:sz w:val="24"/>
        </w:rPr>
        <w:t xml:space="preserve">mid-level </w:t>
      </w:r>
      <w:r w:rsidRPr="00260632" w:rsidR="00347E0F">
        <w:rPr>
          <w:sz w:val="24"/>
        </w:rPr>
        <w:t>practitioner</w:t>
      </w:r>
      <w:r w:rsidRPr="00260632">
        <w:rPr>
          <w:sz w:val="24"/>
        </w:rPr>
        <w:t xml:space="preserve"> </w:t>
      </w:r>
      <w:r w:rsidRPr="00260632">
        <w:rPr>
          <w:sz w:val="24"/>
        </w:rPr>
        <w:t>at $</w:t>
      </w:r>
      <w:r w:rsidRPr="00260632" w:rsidR="00957413">
        <w:rPr>
          <w:sz w:val="24"/>
        </w:rPr>
        <w:t>124.52</w:t>
      </w:r>
      <w:r w:rsidRPr="00260632">
        <w:rPr>
          <w:sz w:val="24"/>
        </w:rPr>
        <w:t>/hr reviewing and</w:t>
      </w:r>
      <w:r w:rsidRPr="000638D8">
        <w:rPr>
          <w:sz w:val="24"/>
        </w:rPr>
        <w:t xml:space="preserve"> updating the policies.</w:t>
      </w:r>
      <w:r w:rsidRPr="001E58B8">
        <w:rPr>
          <w:sz w:val="24"/>
        </w:rPr>
        <w:t xml:space="preserve"> </w:t>
      </w:r>
    </w:p>
    <w:p w:rsidR="00FB1732" w:rsidP="004220A4" w14:paraId="2FF0BE4F" w14:textId="77777777">
      <w:pPr>
        <w:rPr>
          <w:sz w:val="24"/>
        </w:rPr>
      </w:pPr>
    </w:p>
    <w:p w:rsidR="001E58B8" w:rsidRPr="001E58B8" w:rsidP="004220A4" w14:paraId="3CB97F43" w14:textId="64BE6B38">
      <w:pPr>
        <w:rPr>
          <w:sz w:val="24"/>
        </w:rPr>
      </w:pPr>
      <w:r w:rsidRPr="001E58B8">
        <w:rPr>
          <w:sz w:val="24"/>
        </w:rPr>
        <w:t>We estimate that it takes existing RHCs and FQHCs 4 hours every 2 years for clinical staff to review and make changes to all patient care policies. Based on this, we estimate that adding MFT and MHC services (as necessary) to the patient care policies would take</w:t>
      </w:r>
      <w:r w:rsidR="00F73BCF">
        <w:rPr>
          <w:sz w:val="24"/>
        </w:rPr>
        <w:t xml:space="preserve"> an additional quarter of the burden already allotted for biannual reviews.</w:t>
      </w:r>
      <w:r w:rsidRPr="001E58B8">
        <w:rPr>
          <w:sz w:val="24"/>
        </w:rPr>
        <w:t xml:space="preserve"> </w:t>
      </w:r>
      <w:r w:rsidR="00F73BCF">
        <w:rPr>
          <w:sz w:val="24"/>
        </w:rPr>
        <w:t xml:space="preserve">This would result in a </w:t>
      </w:r>
      <w:r w:rsidR="00D34478">
        <w:rPr>
          <w:sz w:val="24"/>
        </w:rPr>
        <w:t xml:space="preserve">one-time </w:t>
      </w:r>
      <w:r w:rsidRPr="001E58B8">
        <w:rPr>
          <w:sz w:val="24"/>
        </w:rPr>
        <w:t>burden of 4,</w:t>
      </w:r>
      <w:r w:rsidR="005D2A20">
        <w:rPr>
          <w:sz w:val="24"/>
        </w:rPr>
        <w:t>34</w:t>
      </w:r>
      <w:r w:rsidR="00F73BCF">
        <w:rPr>
          <w:sz w:val="24"/>
        </w:rPr>
        <w:t>8</w:t>
      </w:r>
      <w:r w:rsidRPr="001E58B8">
        <w:rPr>
          <w:sz w:val="24"/>
        </w:rPr>
        <w:t xml:space="preserve"> hours (0.50 hr x </w:t>
      </w:r>
      <w:r w:rsidR="00F73BCF">
        <w:rPr>
          <w:sz w:val="24"/>
        </w:rPr>
        <w:t>8,695</w:t>
      </w:r>
      <w:r w:rsidRPr="001E58B8">
        <w:rPr>
          <w:sz w:val="24"/>
        </w:rPr>
        <w:t xml:space="preserve"> RHC</w:t>
      </w:r>
      <w:r w:rsidR="00F73BCF">
        <w:rPr>
          <w:sz w:val="24"/>
        </w:rPr>
        <w:t>s</w:t>
      </w:r>
      <w:r w:rsidRPr="001E58B8">
        <w:rPr>
          <w:sz w:val="24"/>
        </w:rPr>
        <w:t xml:space="preserve"> and FQHCs) at a cost of $</w:t>
      </w:r>
      <w:r w:rsidRPr="005A6434" w:rsidR="005A6434">
        <w:rPr>
          <w:sz w:val="24"/>
        </w:rPr>
        <w:t>822,250</w:t>
      </w:r>
      <w:r w:rsidRPr="001E58B8">
        <w:rPr>
          <w:sz w:val="24"/>
        </w:rPr>
        <w:t xml:space="preserve"> [(2,</w:t>
      </w:r>
      <w:r w:rsidR="005D2A20">
        <w:rPr>
          <w:sz w:val="24"/>
        </w:rPr>
        <w:t>174</w:t>
      </w:r>
      <w:r w:rsidRPr="001E58B8">
        <w:rPr>
          <w:sz w:val="24"/>
        </w:rPr>
        <w:t xml:space="preserve"> hr x $</w:t>
      </w:r>
      <w:r w:rsidR="00CB69D7">
        <w:rPr>
          <w:sz w:val="24"/>
        </w:rPr>
        <w:t>253.70</w:t>
      </w:r>
      <w:r w:rsidRPr="001E58B8">
        <w:rPr>
          <w:sz w:val="24"/>
        </w:rPr>
        <w:t>/hr) + (2,</w:t>
      </w:r>
      <w:r w:rsidR="005D2A20">
        <w:rPr>
          <w:sz w:val="24"/>
        </w:rPr>
        <w:t>174</w:t>
      </w:r>
      <w:r w:rsidR="00653892">
        <w:rPr>
          <w:sz w:val="24"/>
        </w:rPr>
        <w:t xml:space="preserve"> </w:t>
      </w:r>
      <w:r w:rsidRPr="001E58B8">
        <w:rPr>
          <w:sz w:val="24"/>
        </w:rPr>
        <w:t>hr x $</w:t>
      </w:r>
      <w:r w:rsidR="00957413">
        <w:rPr>
          <w:sz w:val="24"/>
        </w:rPr>
        <w:t>124.52</w:t>
      </w:r>
      <w:r w:rsidRPr="001E58B8">
        <w:rPr>
          <w:sz w:val="24"/>
        </w:rPr>
        <w:t>/hr)].</w:t>
      </w:r>
    </w:p>
    <w:p w:rsidR="001E58B8" w:rsidP="004220A4" w14:paraId="384B50E7" w14:textId="77777777">
      <w:pPr>
        <w:rPr>
          <w:sz w:val="24"/>
        </w:rPr>
      </w:pPr>
    </w:p>
    <w:p w:rsidR="00A960BE" w:rsidRPr="001E58B8" w:rsidP="00F77274" w14:paraId="67F4A7D3" w14:textId="4C134334">
      <w:pPr>
        <w:jc w:val="center"/>
        <w:rPr>
          <w:sz w:val="24"/>
        </w:rPr>
      </w:pPr>
      <w:r>
        <w:rPr>
          <w:sz w:val="24"/>
        </w:rPr>
        <w:t xml:space="preserve">Table 9. </w:t>
      </w:r>
      <w:r w:rsidRPr="00D31472">
        <w:rPr>
          <w:sz w:val="24"/>
        </w:rPr>
        <w:t>One-time Requirement/Burden</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6"/>
        <w:gridCol w:w="1239"/>
        <w:gridCol w:w="1073"/>
        <w:gridCol w:w="997"/>
        <w:gridCol w:w="861"/>
        <w:gridCol w:w="1341"/>
        <w:gridCol w:w="888"/>
      </w:tblGrid>
      <w:tr w14:paraId="41F1CF59" w14:textId="77777777" w:rsidTr="006A58F5">
        <w:tblPrEx>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10"/>
          <w:tblHeade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1556F16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bCs/>
                <w:szCs w:val="20"/>
              </w:rPr>
              <w:t>Requirement</w:t>
            </w:r>
          </w:p>
        </w:tc>
        <w:tc>
          <w:tcPr>
            <w:tcW w:w="1186"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4378B04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bCs/>
                <w:szCs w:val="20"/>
              </w:rPr>
              <w:t>Respondents</w:t>
            </w:r>
          </w:p>
        </w:tc>
        <w:tc>
          <w:tcPr>
            <w:tcW w:w="1073"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08103B5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bCs/>
                <w:szCs w:val="20"/>
              </w:rPr>
              <w:t>Responses</w:t>
            </w:r>
          </w:p>
        </w:tc>
        <w:tc>
          <w:tcPr>
            <w:tcW w:w="998"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71C02E8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bCs/>
                <w:szCs w:val="20"/>
              </w:rPr>
              <w:t>Time per Response (hr)</w:t>
            </w:r>
          </w:p>
        </w:tc>
        <w:tc>
          <w:tcPr>
            <w:tcW w:w="869"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74C5A8F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bCs/>
                <w:szCs w:val="20"/>
              </w:rPr>
              <w:t>Total Time (hr)</w:t>
            </w:r>
          </w:p>
        </w:tc>
        <w:tc>
          <w:tcPr>
            <w:tcW w:w="1346"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5DEEEC82" w14:textId="2E418B60">
            <w:pPr>
              <w:widowControl/>
              <w:jc w:val="center"/>
              <w:rPr>
                <w:szCs w:val="20"/>
              </w:rPr>
            </w:pPr>
            <w:r w:rsidRPr="00B31D0A">
              <w:rPr>
                <w:bCs/>
                <w:szCs w:val="20"/>
              </w:rPr>
              <w:t>Labor Cost ($/hr)</w:t>
            </w:r>
          </w:p>
        </w:tc>
        <w:tc>
          <w:tcPr>
            <w:tcW w:w="889" w:type="dxa"/>
            <w:tcBorders>
              <w:top w:val="single" w:sz="4" w:space="0" w:color="auto"/>
              <w:left w:val="single" w:sz="4" w:space="0" w:color="auto"/>
              <w:bottom w:val="single" w:sz="4" w:space="0" w:color="auto"/>
              <w:right w:val="single" w:sz="4" w:space="0" w:color="auto"/>
            </w:tcBorders>
            <w:vAlign w:val="center"/>
            <w:hideMark/>
          </w:tcPr>
          <w:p w:rsidR="00FB1732" w:rsidRPr="00B31D0A" w:rsidP="00F73BCF" w14:paraId="31F411AB" w14:textId="238CB65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szCs w:val="20"/>
              </w:rPr>
              <w:t>Total Cost</w:t>
            </w:r>
          </w:p>
          <w:p w:rsidR="00FB1732" w:rsidRPr="00B31D0A" w:rsidP="00F73BCF" w14:paraId="7B5689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szCs w:val="20"/>
              </w:rPr>
              <w:t>($)</w:t>
            </w:r>
          </w:p>
        </w:tc>
      </w:tr>
      <w:tr w14:paraId="5A4C8330" w14:textId="77777777" w:rsidTr="006A58F5">
        <w:tblPrEx>
          <w:tblW w:w="8695" w:type="dxa"/>
          <w:jc w:val="center"/>
          <w:tblLook w:val="00A0"/>
        </w:tblPrEx>
        <w:trPr>
          <w:tblHeader/>
          <w:jc w:val="center"/>
        </w:trPr>
        <w:tc>
          <w:tcPr>
            <w:tcW w:w="2334" w:type="dxa"/>
            <w:vMerge w:val="restart"/>
            <w:tcBorders>
              <w:top w:val="single" w:sz="4" w:space="0" w:color="auto"/>
              <w:left w:val="single" w:sz="4" w:space="0" w:color="auto"/>
              <w:right w:val="single" w:sz="4" w:space="0" w:color="auto"/>
            </w:tcBorders>
            <w:vAlign w:val="center"/>
          </w:tcPr>
          <w:p w:rsidR="00FB1732" w:rsidRPr="00B31D0A" w:rsidP="00F73BCF" w14:paraId="74AC5AA0" w14:textId="588DA3D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Permitting MFT and MHCs to Furnish Services in RHC/FQHCs</w:t>
            </w:r>
          </w:p>
        </w:tc>
        <w:tc>
          <w:tcPr>
            <w:tcW w:w="1186" w:type="dxa"/>
            <w:vMerge w:val="restart"/>
            <w:tcBorders>
              <w:top w:val="single" w:sz="4" w:space="0" w:color="auto"/>
              <w:left w:val="single" w:sz="4" w:space="0" w:color="auto"/>
              <w:right w:val="single" w:sz="4" w:space="0" w:color="auto"/>
            </w:tcBorders>
            <w:vAlign w:val="center"/>
          </w:tcPr>
          <w:p w:rsidR="00FB1732" w:rsidRPr="00B31D0A" w:rsidP="00F73BCF" w14:paraId="131DAF67" w14:textId="62E39D8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8</w:t>
            </w:r>
            <w:r w:rsidRPr="00B31D0A">
              <w:rPr>
                <w:bCs/>
                <w:szCs w:val="20"/>
              </w:rPr>
              <w:t>,</w:t>
            </w:r>
            <w:r w:rsidRPr="00B31D0A" w:rsidR="005D2A20">
              <w:rPr>
                <w:bCs/>
                <w:szCs w:val="20"/>
              </w:rPr>
              <w:t>695</w:t>
            </w:r>
            <w:r w:rsidRPr="00B31D0A">
              <w:rPr>
                <w:bCs/>
                <w:szCs w:val="20"/>
              </w:rPr>
              <w:t xml:space="preserve"> (</w:t>
            </w:r>
            <w:r w:rsidRPr="00B31D0A">
              <w:rPr>
                <w:bCs/>
                <w:szCs w:val="20"/>
              </w:rPr>
              <w:t>2,</w:t>
            </w:r>
            <w:r w:rsidRPr="00B31D0A" w:rsidR="005D2A20">
              <w:rPr>
                <w:bCs/>
                <w:szCs w:val="20"/>
              </w:rPr>
              <w:t>769</w:t>
            </w:r>
            <w:r w:rsidRPr="00B31D0A">
              <w:rPr>
                <w:bCs/>
                <w:szCs w:val="20"/>
              </w:rPr>
              <w:t xml:space="preserve"> RHCs + </w:t>
            </w:r>
            <w:r w:rsidRPr="00B31D0A" w:rsidR="005D2A20">
              <w:rPr>
                <w:bCs/>
                <w:szCs w:val="20"/>
              </w:rPr>
              <w:t>5,926</w:t>
            </w:r>
            <w:r w:rsidRPr="00B31D0A">
              <w:rPr>
                <w:bCs/>
                <w:szCs w:val="20"/>
              </w:rPr>
              <w:t xml:space="preserve"> FQHCs)</w:t>
            </w:r>
          </w:p>
        </w:tc>
        <w:tc>
          <w:tcPr>
            <w:tcW w:w="1073"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74DEBEE2" w14:textId="511F502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4,347</w:t>
            </w:r>
          </w:p>
        </w:tc>
        <w:tc>
          <w:tcPr>
            <w:tcW w:w="998"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204DD459" w14:textId="2BF811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0.</w:t>
            </w:r>
            <w:r w:rsidRPr="00B31D0A">
              <w:rPr>
                <w:szCs w:val="20"/>
              </w:rPr>
              <w:t>5</w:t>
            </w:r>
          </w:p>
        </w:tc>
        <w:tc>
          <w:tcPr>
            <w:tcW w:w="869"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64D811B4" w14:textId="395301F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2,</w:t>
            </w:r>
            <w:r w:rsidRPr="00B31D0A" w:rsidR="005D2A20">
              <w:rPr>
                <w:szCs w:val="20"/>
              </w:rPr>
              <w:t>174</w:t>
            </w:r>
          </w:p>
        </w:tc>
        <w:tc>
          <w:tcPr>
            <w:tcW w:w="1346" w:type="dxa"/>
            <w:tcBorders>
              <w:top w:val="single" w:sz="4" w:space="0" w:color="auto"/>
              <w:left w:val="single" w:sz="4" w:space="0" w:color="auto"/>
              <w:bottom w:val="single" w:sz="4" w:space="0" w:color="auto"/>
              <w:right w:val="single" w:sz="4" w:space="0" w:color="auto"/>
            </w:tcBorders>
            <w:vAlign w:val="center"/>
          </w:tcPr>
          <w:p w:rsidR="00F73BCF" w:rsidRPr="00B31D0A" w:rsidP="00F73BCF" w14:paraId="05F4FAF3" w14:textId="19E058E9">
            <w:pPr>
              <w:widowControl/>
              <w:jc w:val="center"/>
              <w:rPr>
                <w:szCs w:val="20"/>
              </w:rPr>
            </w:pPr>
            <w:r w:rsidRPr="00B31D0A">
              <w:rPr>
                <w:szCs w:val="20"/>
              </w:rPr>
              <w:t>253.70</w:t>
            </w:r>
          </w:p>
          <w:p w:rsidR="00FB1732" w:rsidRPr="00B31D0A" w:rsidP="00F73BCF" w14:paraId="502C0925" w14:textId="196D9913">
            <w:pPr>
              <w:widowControl/>
              <w:jc w:val="center"/>
              <w:rPr>
                <w:bCs/>
                <w:szCs w:val="20"/>
              </w:rPr>
            </w:pPr>
            <w:r w:rsidRPr="00B31D0A">
              <w:rPr>
                <w:szCs w:val="20"/>
              </w:rPr>
              <w:t xml:space="preserve"> (</w:t>
            </w:r>
            <w:r w:rsidRPr="00B31D0A" w:rsidR="005D2A20">
              <w:rPr>
                <w:szCs w:val="20"/>
              </w:rPr>
              <w:t>Physician</w:t>
            </w:r>
            <w:r w:rsidRPr="00B31D0A">
              <w:rPr>
                <w:szCs w:val="20"/>
              </w:rPr>
              <w:t>)</w:t>
            </w:r>
          </w:p>
        </w:tc>
        <w:tc>
          <w:tcPr>
            <w:tcW w:w="889" w:type="dxa"/>
            <w:tcBorders>
              <w:top w:val="nil"/>
              <w:left w:val="nil"/>
              <w:bottom w:val="single" w:sz="8" w:space="0" w:color="auto"/>
              <w:right w:val="single" w:sz="8" w:space="0" w:color="auto"/>
            </w:tcBorders>
            <w:shd w:val="clear" w:color="auto" w:fill="auto"/>
            <w:vAlign w:val="center"/>
          </w:tcPr>
          <w:p w:rsidR="00FB1732" w:rsidRPr="00B31D0A" w:rsidP="00F73BCF" w14:paraId="4467B9B7" w14:textId="746D376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szCs w:val="20"/>
              </w:rPr>
              <w:t>5</w:t>
            </w:r>
            <w:r w:rsidRPr="00B31D0A" w:rsidR="00F16B6F">
              <w:rPr>
                <w:szCs w:val="20"/>
              </w:rPr>
              <w:t>51,544</w:t>
            </w:r>
          </w:p>
        </w:tc>
      </w:tr>
      <w:tr w14:paraId="0BD38383" w14:textId="77777777" w:rsidTr="006A58F5">
        <w:tblPrEx>
          <w:tblW w:w="8695" w:type="dxa"/>
          <w:jc w:val="center"/>
          <w:tblLook w:val="00A0"/>
        </w:tblPrEx>
        <w:trPr>
          <w:tblHeader/>
          <w:jc w:val="center"/>
        </w:trPr>
        <w:tc>
          <w:tcPr>
            <w:tcW w:w="2334" w:type="dxa"/>
            <w:vMerge/>
            <w:tcBorders>
              <w:left w:val="single" w:sz="4" w:space="0" w:color="auto"/>
              <w:bottom w:val="single" w:sz="4" w:space="0" w:color="auto"/>
              <w:right w:val="single" w:sz="4" w:space="0" w:color="auto"/>
            </w:tcBorders>
            <w:vAlign w:val="center"/>
          </w:tcPr>
          <w:p w:rsidR="00FB1732" w:rsidRPr="00B31D0A" w:rsidP="00F73BCF" w14:paraId="44519CE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86" w:type="dxa"/>
            <w:vMerge/>
            <w:tcBorders>
              <w:left w:val="single" w:sz="4" w:space="0" w:color="auto"/>
              <w:bottom w:val="single" w:sz="4" w:space="0" w:color="auto"/>
              <w:right w:val="single" w:sz="4" w:space="0" w:color="auto"/>
            </w:tcBorders>
            <w:vAlign w:val="center"/>
          </w:tcPr>
          <w:p w:rsidR="00FB1732" w:rsidRPr="00B31D0A" w:rsidP="00F73BCF" w14:paraId="09FC58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073"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30E6997E" w14:textId="46C1F5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4,</w:t>
            </w:r>
            <w:r w:rsidRPr="00B31D0A" w:rsidR="005D2A20">
              <w:rPr>
                <w:szCs w:val="20"/>
              </w:rPr>
              <w:t>34</w:t>
            </w:r>
            <w:r w:rsidRPr="00B31D0A" w:rsidR="00F73BCF">
              <w:rPr>
                <w:szCs w:val="20"/>
              </w:rPr>
              <w:t>8</w:t>
            </w:r>
          </w:p>
        </w:tc>
        <w:tc>
          <w:tcPr>
            <w:tcW w:w="998"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199B5064" w14:textId="41B2D76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0.</w:t>
            </w:r>
            <w:r w:rsidRPr="00B31D0A">
              <w:rPr>
                <w:szCs w:val="20"/>
              </w:rPr>
              <w:t>5</w:t>
            </w:r>
          </w:p>
        </w:tc>
        <w:tc>
          <w:tcPr>
            <w:tcW w:w="869"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7667C918" w14:textId="19F23AF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2,</w:t>
            </w:r>
            <w:r w:rsidRPr="00B31D0A" w:rsidR="005D2A20">
              <w:rPr>
                <w:bCs/>
                <w:szCs w:val="20"/>
              </w:rPr>
              <w:t>174</w:t>
            </w:r>
          </w:p>
        </w:tc>
        <w:tc>
          <w:tcPr>
            <w:tcW w:w="1346" w:type="dxa"/>
            <w:tcBorders>
              <w:top w:val="single" w:sz="4" w:space="0" w:color="auto"/>
              <w:left w:val="single" w:sz="4" w:space="0" w:color="auto"/>
              <w:bottom w:val="single" w:sz="4" w:space="0" w:color="auto"/>
              <w:right w:val="single" w:sz="4" w:space="0" w:color="auto"/>
            </w:tcBorders>
            <w:vAlign w:val="center"/>
          </w:tcPr>
          <w:p w:rsidR="00F73BCF" w:rsidRPr="00B31D0A" w:rsidP="00F73BCF" w14:paraId="740537C7" w14:textId="4EBFA7BA">
            <w:pPr>
              <w:widowControl/>
              <w:jc w:val="center"/>
              <w:rPr>
                <w:szCs w:val="20"/>
              </w:rPr>
            </w:pPr>
            <w:r w:rsidRPr="00B31D0A">
              <w:rPr>
                <w:szCs w:val="20"/>
              </w:rPr>
              <w:t>124.52</w:t>
            </w:r>
          </w:p>
          <w:p w:rsidR="00FB1732" w:rsidRPr="00B31D0A" w:rsidP="00F73BCF" w14:paraId="069A837A" w14:textId="0FE58AA9">
            <w:pPr>
              <w:widowControl/>
              <w:jc w:val="center"/>
              <w:rPr>
                <w:bCs/>
                <w:szCs w:val="20"/>
              </w:rPr>
            </w:pPr>
            <w:r w:rsidRPr="00B31D0A">
              <w:rPr>
                <w:szCs w:val="20"/>
              </w:rPr>
              <w:t xml:space="preserve"> (Mid-level Practitioner)</w:t>
            </w:r>
          </w:p>
        </w:tc>
        <w:tc>
          <w:tcPr>
            <w:tcW w:w="889" w:type="dxa"/>
            <w:tcBorders>
              <w:top w:val="nil"/>
              <w:left w:val="nil"/>
              <w:bottom w:val="single" w:sz="8" w:space="0" w:color="auto"/>
              <w:right w:val="single" w:sz="8" w:space="0" w:color="auto"/>
            </w:tcBorders>
            <w:shd w:val="clear" w:color="auto" w:fill="auto"/>
            <w:vAlign w:val="center"/>
          </w:tcPr>
          <w:p w:rsidR="00FB1732" w:rsidRPr="00B31D0A" w:rsidP="00F73BCF" w14:paraId="70B28635" w14:textId="370C23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szCs w:val="20"/>
              </w:rPr>
              <w:t>2</w:t>
            </w:r>
            <w:r w:rsidRPr="00B31D0A" w:rsidR="00F16B6F">
              <w:rPr>
                <w:szCs w:val="20"/>
              </w:rPr>
              <w:t>70,706</w:t>
            </w:r>
          </w:p>
        </w:tc>
      </w:tr>
      <w:tr w14:paraId="24BF23A3" w14:textId="77777777" w:rsidTr="006A58F5">
        <w:tblPrEx>
          <w:tblW w:w="8695" w:type="dxa"/>
          <w:jc w:val="center"/>
          <w:tblLook w:val="00A0"/>
        </w:tblPrEx>
        <w:trPr>
          <w:tblHeader/>
          <w:jc w:val="center"/>
        </w:trPr>
        <w:tc>
          <w:tcPr>
            <w:tcW w:w="2334"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4C68ED9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szCs w:val="20"/>
              </w:rPr>
              <w:t>TOTAL</w:t>
            </w:r>
          </w:p>
        </w:tc>
        <w:tc>
          <w:tcPr>
            <w:tcW w:w="1186"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706E9742" w14:textId="45610F2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8,</w:t>
            </w:r>
            <w:r w:rsidRPr="00B31D0A" w:rsidR="005D2A20">
              <w:rPr>
                <w:bCs/>
                <w:szCs w:val="20"/>
              </w:rPr>
              <w:t>695</w:t>
            </w:r>
          </w:p>
        </w:tc>
        <w:tc>
          <w:tcPr>
            <w:tcW w:w="1073"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5DADB909" w14:textId="37901D6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8,</w:t>
            </w:r>
            <w:r w:rsidRPr="00B31D0A" w:rsidR="005D2A20">
              <w:rPr>
                <w:bCs/>
                <w:szCs w:val="20"/>
              </w:rPr>
              <w:t>695</w:t>
            </w:r>
          </w:p>
        </w:tc>
        <w:tc>
          <w:tcPr>
            <w:tcW w:w="998"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6CA0640F" w14:textId="599679B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1.0</w:t>
            </w:r>
          </w:p>
        </w:tc>
        <w:tc>
          <w:tcPr>
            <w:tcW w:w="869"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602B92D3" w14:textId="2EC482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B31D0A">
              <w:rPr>
                <w:bCs/>
                <w:szCs w:val="20"/>
              </w:rPr>
              <w:t>4,</w:t>
            </w:r>
            <w:r w:rsidRPr="00B31D0A" w:rsidR="005D2A20">
              <w:rPr>
                <w:bCs/>
                <w:szCs w:val="20"/>
              </w:rPr>
              <w:t>348</w:t>
            </w:r>
          </w:p>
        </w:tc>
        <w:tc>
          <w:tcPr>
            <w:tcW w:w="1346"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02ACA0C4" w14:textId="77777777">
            <w:pPr>
              <w:widowControl/>
              <w:jc w:val="center"/>
              <w:rPr>
                <w:bCs/>
                <w:szCs w:val="20"/>
              </w:rPr>
            </w:pPr>
            <w:r w:rsidRPr="00B31D0A">
              <w:rPr>
                <w:szCs w:val="20"/>
              </w:rPr>
              <w:t>varies</w:t>
            </w:r>
          </w:p>
        </w:tc>
        <w:tc>
          <w:tcPr>
            <w:tcW w:w="889" w:type="dxa"/>
            <w:tcBorders>
              <w:top w:val="single" w:sz="4" w:space="0" w:color="auto"/>
              <w:left w:val="single" w:sz="4" w:space="0" w:color="auto"/>
              <w:bottom w:val="single" w:sz="4" w:space="0" w:color="auto"/>
              <w:right w:val="single" w:sz="4" w:space="0" w:color="auto"/>
            </w:tcBorders>
            <w:vAlign w:val="center"/>
          </w:tcPr>
          <w:p w:rsidR="00FB1732" w:rsidRPr="00B31D0A" w:rsidP="00F73BCF" w14:paraId="33A03933" w14:textId="0AFA58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B31D0A">
              <w:rPr>
                <w:szCs w:val="20"/>
              </w:rPr>
              <w:t>822,250</w:t>
            </w:r>
          </w:p>
        </w:tc>
      </w:tr>
    </w:tbl>
    <w:p w:rsidR="001E58B8" w:rsidP="004220A4" w14:paraId="0391B72C" w14:textId="77777777">
      <w:pPr>
        <w:rPr>
          <w:sz w:val="24"/>
        </w:rPr>
      </w:pPr>
    </w:p>
    <w:p w:rsidR="00532340" w:rsidP="004220A4" w14:paraId="7415642E" w14:textId="160B67E1">
      <w:pPr>
        <w:rPr>
          <w:sz w:val="24"/>
        </w:rPr>
      </w:pPr>
      <w:r>
        <w:rPr>
          <w:sz w:val="24"/>
        </w:rPr>
        <w:t xml:space="preserve">While keeping our active response time estimates as is, we have also adjusted our number of responses by plus 1,634 (10,329 -8,695) and time by plus </w:t>
      </w:r>
      <w:r w:rsidRPr="00532340">
        <w:rPr>
          <w:sz w:val="24"/>
        </w:rPr>
        <w:t>4,520</w:t>
      </w:r>
      <w:r w:rsidRPr="00532340">
        <w:rPr>
          <w:sz w:val="24"/>
        </w:rPr>
        <w:t>‬</w:t>
      </w:r>
      <w:r>
        <w:rPr>
          <w:sz w:val="24"/>
        </w:rPr>
        <w:t xml:space="preserve"> hours (</w:t>
      </w:r>
      <w:r w:rsidRPr="00532340">
        <w:rPr>
          <w:sz w:val="24"/>
        </w:rPr>
        <w:t>8,868</w:t>
      </w:r>
      <w:r>
        <w:rPr>
          <w:sz w:val="24"/>
        </w:rPr>
        <w:t xml:space="preserve"> hr – 4,348 hr). </w:t>
      </w:r>
      <w:r w:rsidR="00F35E44">
        <w:rPr>
          <w:sz w:val="24"/>
        </w:rPr>
        <w:t xml:space="preserve">Overall, we estimate an increase of </w:t>
      </w:r>
      <w:r w:rsidRPr="00F35E44" w:rsidR="00F35E44">
        <w:rPr>
          <w:sz w:val="24"/>
        </w:rPr>
        <w:t>10,329</w:t>
      </w:r>
      <w:r w:rsidR="00F35E44">
        <w:rPr>
          <w:sz w:val="24"/>
        </w:rPr>
        <w:t xml:space="preserve"> respondents, </w:t>
      </w:r>
      <w:r w:rsidRPr="00F35E44" w:rsidR="00F35E44">
        <w:rPr>
          <w:sz w:val="24"/>
        </w:rPr>
        <w:t>10,329</w:t>
      </w:r>
      <w:r w:rsidR="00F35E44">
        <w:rPr>
          <w:sz w:val="24"/>
        </w:rPr>
        <w:t xml:space="preserve"> responses, and </w:t>
      </w:r>
      <w:r w:rsidRPr="00F35E44" w:rsidR="00F35E44">
        <w:rPr>
          <w:sz w:val="24"/>
        </w:rPr>
        <w:t>8,868</w:t>
      </w:r>
      <w:r w:rsidR="00F35E44">
        <w:rPr>
          <w:sz w:val="24"/>
        </w:rPr>
        <w:t xml:space="preserve"> hours (see Table 10).</w:t>
      </w:r>
    </w:p>
    <w:p w:rsidR="00532340" w:rsidP="004220A4" w14:paraId="393AE06B" w14:textId="77777777">
      <w:pPr>
        <w:rPr>
          <w:sz w:val="24"/>
        </w:rPr>
      </w:pPr>
    </w:p>
    <w:p w:rsidR="00B70E23" w:rsidP="00B70E23" w14:paraId="78E8BFAF" w14:textId="77777777">
      <w:pPr>
        <w:jc w:val="center"/>
        <w:rPr>
          <w:sz w:val="24"/>
        </w:rPr>
        <w:sectPr w:rsidSect="00932E6E">
          <w:footerReference w:type="even" r:id="rId14"/>
          <w:footerReference w:type="default" r:id="rId15"/>
          <w:pgSz w:w="12240" w:h="15840"/>
          <w:pgMar w:top="1440" w:right="1530" w:bottom="1440" w:left="1440" w:header="720" w:footer="720" w:gutter="0"/>
          <w:pgNumType w:start="1"/>
          <w:cols w:space="720"/>
          <w:docGrid w:linePitch="272"/>
        </w:sectPr>
      </w:pPr>
    </w:p>
    <w:p w:rsidR="00532340" w:rsidP="00B70E23" w14:paraId="5BA808A1" w14:textId="77777777">
      <w:pPr>
        <w:jc w:val="center"/>
        <w:rPr>
          <w:sz w:val="24"/>
        </w:rPr>
      </w:pPr>
    </w:p>
    <w:p w:rsidR="00B70E23" w:rsidRPr="001E58B8" w:rsidP="00B70E23" w14:paraId="1064A3D9" w14:textId="2950BBEA">
      <w:pPr>
        <w:jc w:val="center"/>
        <w:rPr>
          <w:sz w:val="24"/>
        </w:rPr>
      </w:pPr>
      <w:r>
        <w:rPr>
          <w:sz w:val="24"/>
        </w:rPr>
        <w:t xml:space="preserve">Table 10. </w:t>
      </w:r>
      <w:r w:rsidR="001E0D91">
        <w:rPr>
          <w:sz w:val="24"/>
        </w:rPr>
        <w:t xml:space="preserve">All Adjustments and Program </w:t>
      </w:r>
      <w:r>
        <w:rPr>
          <w:sz w:val="24"/>
        </w:rPr>
        <w:t>Changes</w:t>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5"/>
        <w:gridCol w:w="846"/>
        <w:gridCol w:w="895"/>
        <w:gridCol w:w="990"/>
        <w:gridCol w:w="975"/>
        <w:gridCol w:w="967"/>
        <w:gridCol w:w="986"/>
        <w:gridCol w:w="933"/>
        <w:gridCol w:w="952"/>
        <w:gridCol w:w="986"/>
      </w:tblGrid>
      <w:tr w14:paraId="29207BDA" w14:textId="77777777" w:rsidTr="00AE7739">
        <w:tblPrEx>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2895" w:type="dxa"/>
            <w:vMerge w:val="restart"/>
            <w:tcBorders>
              <w:top w:val="single" w:sz="4" w:space="0" w:color="auto"/>
              <w:left w:val="single" w:sz="4" w:space="0" w:color="auto"/>
              <w:right w:val="single" w:sz="4" w:space="0" w:color="auto"/>
            </w:tcBorders>
            <w:vAlign w:val="center"/>
            <w:hideMark/>
          </w:tcPr>
          <w:p w:rsidR="004F4EEF" w:rsidRPr="00804D69" w:rsidP="001E777E" w14:paraId="140F65E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804D69">
              <w:rPr>
                <w:bCs/>
                <w:sz w:val="18"/>
                <w:szCs w:val="18"/>
              </w:rPr>
              <w:t>Requirement</w:t>
            </w:r>
          </w:p>
        </w:tc>
        <w:tc>
          <w:tcPr>
            <w:tcW w:w="2731" w:type="dxa"/>
            <w:gridSpan w:val="3"/>
            <w:tcBorders>
              <w:top w:val="single" w:sz="4" w:space="0" w:color="auto"/>
              <w:left w:val="single" w:sz="4" w:space="0" w:color="auto"/>
              <w:bottom w:val="single" w:sz="4" w:space="0" w:color="auto"/>
              <w:right w:val="single" w:sz="4" w:space="0" w:color="auto"/>
            </w:tcBorders>
          </w:tcPr>
          <w:p w:rsidR="004F4EEF" w:rsidRPr="00804D69" w:rsidP="001E777E" w14:paraId="2DC512B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Responses</w:t>
            </w:r>
          </w:p>
        </w:tc>
        <w:tc>
          <w:tcPr>
            <w:tcW w:w="2928" w:type="dxa"/>
            <w:gridSpan w:val="3"/>
            <w:tcBorders>
              <w:top w:val="single" w:sz="4" w:space="0" w:color="auto"/>
              <w:left w:val="single" w:sz="4" w:space="0" w:color="auto"/>
              <w:bottom w:val="single" w:sz="4" w:space="0" w:color="auto"/>
              <w:right w:val="single" w:sz="4" w:space="0" w:color="auto"/>
            </w:tcBorders>
          </w:tcPr>
          <w:p w:rsidR="004F4EEF" w:rsidRPr="00804D69" w:rsidP="001E777E" w14:paraId="7C6C522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Time per Response (hr)</w:t>
            </w:r>
          </w:p>
        </w:tc>
        <w:tc>
          <w:tcPr>
            <w:tcW w:w="2871" w:type="dxa"/>
            <w:gridSpan w:val="3"/>
            <w:tcBorders>
              <w:top w:val="single" w:sz="4" w:space="0" w:color="auto"/>
              <w:left w:val="single" w:sz="4" w:space="0" w:color="auto"/>
              <w:bottom w:val="single" w:sz="4" w:space="0" w:color="auto"/>
              <w:right w:val="single" w:sz="4" w:space="0" w:color="auto"/>
            </w:tcBorders>
          </w:tcPr>
          <w:p w:rsidR="004F4EEF" w:rsidRPr="00804D69" w:rsidP="001E777E" w14:paraId="62992B5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Total Time (hr)</w:t>
            </w:r>
          </w:p>
        </w:tc>
      </w:tr>
      <w:tr w14:paraId="7415854C" w14:textId="77777777" w:rsidTr="00AE7739">
        <w:tblPrEx>
          <w:tblW w:w="11425" w:type="dxa"/>
          <w:jc w:val="center"/>
          <w:tblLook w:val="00A0"/>
        </w:tblPrEx>
        <w:trPr>
          <w:tblHeader/>
          <w:jc w:val="center"/>
        </w:trPr>
        <w:tc>
          <w:tcPr>
            <w:tcW w:w="2895" w:type="dxa"/>
            <w:vMerge/>
            <w:tcBorders>
              <w:left w:val="single" w:sz="4" w:space="0" w:color="auto"/>
              <w:bottom w:val="single" w:sz="4" w:space="0" w:color="auto"/>
              <w:right w:val="single" w:sz="4" w:space="0" w:color="auto"/>
            </w:tcBorders>
            <w:vAlign w:val="center"/>
          </w:tcPr>
          <w:p w:rsidR="004F4EEF" w:rsidRPr="00804D69" w:rsidP="001E777E" w14:paraId="5E3C2C7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p>
        </w:tc>
        <w:tc>
          <w:tcPr>
            <w:tcW w:w="846" w:type="dxa"/>
            <w:tcBorders>
              <w:top w:val="single" w:sz="4" w:space="0" w:color="auto"/>
              <w:left w:val="single" w:sz="4" w:space="0" w:color="auto"/>
              <w:bottom w:val="single" w:sz="4" w:space="0" w:color="auto"/>
              <w:right w:val="single" w:sz="4" w:space="0" w:color="auto"/>
            </w:tcBorders>
          </w:tcPr>
          <w:p w:rsidR="004F4EEF" w:rsidRPr="00804D69" w:rsidP="001E777E" w14:paraId="4582BC0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Current</w:t>
            </w:r>
          </w:p>
        </w:tc>
        <w:tc>
          <w:tcPr>
            <w:tcW w:w="895" w:type="dxa"/>
            <w:tcBorders>
              <w:top w:val="single" w:sz="4" w:space="0" w:color="auto"/>
              <w:left w:val="single" w:sz="4" w:space="0" w:color="auto"/>
              <w:bottom w:val="single" w:sz="4" w:space="0" w:color="auto"/>
              <w:right w:val="single" w:sz="4" w:space="0" w:color="auto"/>
            </w:tcBorders>
            <w:vAlign w:val="center"/>
          </w:tcPr>
          <w:p w:rsidR="004F4EEF" w:rsidRPr="00804D69" w:rsidP="001E777E" w14:paraId="437345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Revised</w:t>
            </w:r>
          </w:p>
        </w:tc>
        <w:tc>
          <w:tcPr>
            <w:tcW w:w="990" w:type="dxa"/>
            <w:tcBorders>
              <w:top w:val="single" w:sz="4" w:space="0" w:color="auto"/>
              <w:left w:val="single" w:sz="4" w:space="0" w:color="auto"/>
              <w:bottom w:val="single" w:sz="4" w:space="0" w:color="auto"/>
              <w:right w:val="single" w:sz="4" w:space="0" w:color="auto"/>
            </w:tcBorders>
          </w:tcPr>
          <w:p w:rsidR="004F4EEF" w:rsidRPr="00804D69" w:rsidP="001E777E" w14:paraId="3850A34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Difference</w:t>
            </w:r>
          </w:p>
        </w:tc>
        <w:tc>
          <w:tcPr>
            <w:tcW w:w="975" w:type="dxa"/>
            <w:tcBorders>
              <w:top w:val="single" w:sz="4" w:space="0" w:color="auto"/>
              <w:left w:val="single" w:sz="4" w:space="0" w:color="auto"/>
              <w:bottom w:val="single" w:sz="4" w:space="0" w:color="auto"/>
              <w:right w:val="single" w:sz="4" w:space="0" w:color="auto"/>
            </w:tcBorders>
          </w:tcPr>
          <w:p w:rsidR="004F4EEF" w:rsidRPr="00804D69" w:rsidP="001E777E" w14:paraId="089570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Current</w:t>
            </w:r>
          </w:p>
        </w:tc>
        <w:tc>
          <w:tcPr>
            <w:tcW w:w="967" w:type="dxa"/>
            <w:tcBorders>
              <w:top w:val="single" w:sz="4" w:space="0" w:color="auto"/>
              <w:left w:val="single" w:sz="4" w:space="0" w:color="auto"/>
              <w:bottom w:val="single" w:sz="4" w:space="0" w:color="auto"/>
              <w:right w:val="single" w:sz="4" w:space="0" w:color="auto"/>
            </w:tcBorders>
            <w:vAlign w:val="center"/>
          </w:tcPr>
          <w:p w:rsidR="004F4EEF" w:rsidRPr="00804D69" w:rsidP="001E777E" w14:paraId="681457C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Revised</w:t>
            </w:r>
          </w:p>
        </w:tc>
        <w:tc>
          <w:tcPr>
            <w:tcW w:w="986" w:type="dxa"/>
            <w:tcBorders>
              <w:top w:val="single" w:sz="4" w:space="0" w:color="auto"/>
              <w:left w:val="single" w:sz="4" w:space="0" w:color="auto"/>
              <w:bottom w:val="single" w:sz="4" w:space="0" w:color="auto"/>
              <w:right w:val="single" w:sz="4" w:space="0" w:color="auto"/>
            </w:tcBorders>
          </w:tcPr>
          <w:p w:rsidR="004F4EEF" w:rsidRPr="00804D69" w:rsidP="001E777E" w14:paraId="6F789D8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Difference</w:t>
            </w:r>
          </w:p>
        </w:tc>
        <w:tc>
          <w:tcPr>
            <w:tcW w:w="933" w:type="dxa"/>
            <w:tcBorders>
              <w:top w:val="single" w:sz="4" w:space="0" w:color="auto"/>
              <w:left w:val="single" w:sz="4" w:space="0" w:color="auto"/>
              <w:bottom w:val="single" w:sz="4" w:space="0" w:color="auto"/>
              <w:right w:val="single" w:sz="4" w:space="0" w:color="auto"/>
            </w:tcBorders>
          </w:tcPr>
          <w:p w:rsidR="004F4EEF" w:rsidRPr="00804D69" w:rsidP="001E777E" w14:paraId="013FFF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Current</w:t>
            </w:r>
          </w:p>
        </w:tc>
        <w:tc>
          <w:tcPr>
            <w:tcW w:w="952" w:type="dxa"/>
            <w:tcBorders>
              <w:top w:val="single" w:sz="4" w:space="0" w:color="auto"/>
              <w:left w:val="single" w:sz="4" w:space="0" w:color="auto"/>
              <w:bottom w:val="single" w:sz="4" w:space="0" w:color="auto"/>
              <w:right w:val="single" w:sz="4" w:space="0" w:color="auto"/>
            </w:tcBorders>
            <w:vAlign w:val="center"/>
          </w:tcPr>
          <w:p w:rsidR="004F4EEF" w:rsidRPr="00804D69" w:rsidP="001E777E" w14:paraId="0F496C9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Revised</w:t>
            </w:r>
          </w:p>
        </w:tc>
        <w:tc>
          <w:tcPr>
            <w:tcW w:w="986" w:type="dxa"/>
            <w:tcBorders>
              <w:top w:val="single" w:sz="4" w:space="0" w:color="auto"/>
              <w:left w:val="single" w:sz="4" w:space="0" w:color="auto"/>
              <w:bottom w:val="single" w:sz="4" w:space="0" w:color="auto"/>
              <w:right w:val="single" w:sz="4" w:space="0" w:color="auto"/>
            </w:tcBorders>
          </w:tcPr>
          <w:p w:rsidR="004F4EEF" w:rsidRPr="00804D69" w:rsidP="001E777E" w14:paraId="0ED748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Difference</w:t>
            </w:r>
          </w:p>
        </w:tc>
      </w:tr>
      <w:tr w14:paraId="5CFB57BF"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6803B6" w:rsidRPr="00D83BA7" w:rsidP="00CF53D2" w14:paraId="78A7AAF5" w14:textId="21E265B3">
            <w:pPr>
              <w:spacing w:after="200"/>
              <w:ind w:right="324"/>
              <w:rPr>
                <w:bCs/>
                <w:sz w:val="18"/>
                <w:szCs w:val="18"/>
              </w:rPr>
            </w:pPr>
            <w:r w:rsidRPr="00D83BA7">
              <w:rPr>
                <w:bCs/>
                <w:sz w:val="18"/>
                <w:szCs w:val="18"/>
              </w:rPr>
              <w:t>Initial policy development for a new clinic or center</w:t>
            </w:r>
            <w:r w:rsidRPr="00D83BA7" w:rsidR="00CF53D2">
              <w:rPr>
                <w:bCs/>
                <w:sz w:val="18"/>
                <w:szCs w:val="18"/>
              </w:rPr>
              <w:t xml:space="preserve"> (§ 491.9(b))</w:t>
            </w:r>
          </w:p>
        </w:tc>
        <w:tc>
          <w:tcPr>
            <w:tcW w:w="846"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53566247" w14:textId="029167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1,062</w:t>
            </w:r>
          </w:p>
        </w:tc>
        <w:tc>
          <w:tcPr>
            <w:tcW w:w="895"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34051F9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1,091</w:t>
            </w:r>
          </w:p>
        </w:tc>
        <w:tc>
          <w:tcPr>
            <w:tcW w:w="990"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439925D1" w14:textId="7CFE152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29</w:t>
            </w:r>
          </w:p>
        </w:tc>
        <w:tc>
          <w:tcPr>
            <w:tcW w:w="975"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654C8D7A" w14:textId="71540F4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10</w:t>
            </w:r>
          </w:p>
        </w:tc>
        <w:tc>
          <w:tcPr>
            <w:tcW w:w="967"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44DC77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58D7F511" w14:textId="3B45A54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0</w:t>
            </w:r>
          </w:p>
        </w:tc>
        <w:tc>
          <w:tcPr>
            <w:tcW w:w="933"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6FE18210" w14:textId="256FCCB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10,620</w:t>
            </w:r>
          </w:p>
        </w:tc>
        <w:tc>
          <w:tcPr>
            <w:tcW w:w="952"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39478770" w14:textId="0B8532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10,91</w:t>
            </w:r>
            <w:r w:rsidRPr="00D83BA7" w:rsidR="00FF5086">
              <w:rPr>
                <w:sz w:val="18"/>
                <w:szCs w:val="18"/>
              </w:rPr>
              <w:t>0</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0823B59F" w14:textId="44F5220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290</w:t>
            </w:r>
          </w:p>
        </w:tc>
      </w:tr>
      <w:tr w14:paraId="01377BD9"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6803B6" w:rsidRPr="00D83BA7" w:rsidP="006803B6" w14:paraId="31622310" w14:textId="55DF91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bookmarkStart w:id="4" w:name="_Hlk174607615"/>
            <w:r w:rsidRPr="00D83BA7">
              <w:rPr>
                <w:bCs/>
                <w:sz w:val="18"/>
                <w:szCs w:val="18"/>
              </w:rPr>
              <w:t xml:space="preserve">Biennial </w:t>
            </w:r>
            <w:bookmarkStart w:id="5" w:name="_Hlk174607461"/>
            <w:r w:rsidRPr="00D83BA7">
              <w:rPr>
                <w:bCs/>
                <w:sz w:val="18"/>
                <w:szCs w:val="18"/>
              </w:rPr>
              <w:t>review of existing policies for every Medicare-certified clinic/center</w:t>
            </w:r>
            <w:r w:rsidRPr="00D83BA7" w:rsidR="00CF53D2">
              <w:rPr>
                <w:bCs/>
                <w:sz w:val="18"/>
                <w:szCs w:val="18"/>
              </w:rPr>
              <w:t xml:space="preserve"> (§ 491.9(b))</w:t>
            </w:r>
            <w:bookmarkEnd w:id="4"/>
            <w:bookmarkEnd w:id="5"/>
          </w:p>
        </w:tc>
        <w:tc>
          <w:tcPr>
            <w:tcW w:w="846"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1CE7ED23" w14:textId="06B7695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16,601</w:t>
            </w:r>
          </w:p>
        </w:tc>
        <w:tc>
          <w:tcPr>
            <w:tcW w:w="895"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088126C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17,389</w:t>
            </w:r>
          </w:p>
        </w:tc>
        <w:tc>
          <w:tcPr>
            <w:tcW w:w="990"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5DB8F8E1" w14:textId="5A9556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788</w:t>
            </w:r>
          </w:p>
        </w:tc>
        <w:tc>
          <w:tcPr>
            <w:tcW w:w="975"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1C30BB1D" w14:textId="2861D45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sz w:val="18"/>
                <w:szCs w:val="18"/>
              </w:rPr>
              <w:t>2</w:t>
            </w:r>
          </w:p>
        </w:tc>
        <w:tc>
          <w:tcPr>
            <w:tcW w:w="967"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1487062E" w14:textId="0C3A4D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2</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1B04C07F" w14:textId="3BC3B1F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0</w:t>
            </w:r>
          </w:p>
        </w:tc>
        <w:tc>
          <w:tcPr>
            <w:tcW w:w="933"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20597AF1" w14:textId="75D600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33,202</w:t>
            </w:r>
          </w:p>
        </w:tc>
        <w:tc>
          <w:tcPr>
            <w:tcW w:w="952" w:type="dxa"/>
            <w:tcBorders>
              <w:top w:val="single" w:sz="4" w:space="0" w:color="auto"/>
              <w:left w:val="single" w:sz="4" w:space="0" w:color="auto"/>
              <w:bottom w:val="single" w:sz="4" w:space="0" w:color="auto"/>
              <w:right w:val="single" w:sz="4" w:space="0" w:color="auto"/>
            </w:tcBorders>
            <w:vAlign w:val="center"/>
          </w:tcPr>
          <w:p w:rsidR="006803B6" w:rsidRPr="00D83BA7" w:rsidP="00AE7739" w14:paraId="23CE28DF" w14:textId="260492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D83BA7">
              <w:rPr>
                <w:sz w:val="18"/>
                <w:szCs w:val="18"/>
              </w:rPr>
              <w:t>34,778</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3702CB21" w14:textId="4DA3B38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D83BA7">
              <w:rPr>
                <w:bCs/>
                <w:sz w:val="18"/>
                <w:szCs w:val="18"/>
              </w:rPr>
              <w:t>1,576</w:t>
            </w:r>
          </w:p>
        </w:tc>
      </w:tr>
      <w:tr w14:paraId="1D5C7284"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6803B6" w:rsidRPr="00804D69" w:rsidP="006803B6" w14:paraId="4896D28D" w14:textId="34DAE49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804D69">
              <w:rPr>
                <w:bCs/>
                <w:sz w:val="18"/>
                <w:szCs w:val="18"/>
              </w:rPr>
              <w:t>Permitting MFT and MHCs to Furnish Services in RHC/FQHCs</w:t>
            </w:r>
            <w:r>
              <w:rPr>
                <w:bCs/>
                <w:sz w:val="18"/>
                <w:szCs w:val="18"/>
              </w:rPr>
              <w:t xml:space="preserve"> </w:t>
            </w:r>
            <w:r w:rsidR="00CF53D2">
              <w:rPr>
                <w:bCs/>
                <w:sz w:val="18"/>
                <w:szCs w:val="18"/>
              </w:rPr>
              <w:t>(</w:t>
            </w:r>
            <w:r w:rsidRPr="00CF53D2" w:rsidR="00CF53D2">
              <w:rPr>
                <w:bCs/>
                <w:sz w:val="18"/>
                <w:szCs w:val="18"/>
              </w:rPr>
              <w:t>§</w:t>
            </w:r>
            <w:r w:rsidR="00CF53D2">
              <w:rPr>
                <w:bCs/>
                <w:sz w:val="18"/>
                <w:szCs w:val="18"/>
              </w:rPr>
              <w:t xml:space="preserve"> </w:t>
            </w:r>
            <w:r w:rsidRPr="00CF53D2" w:rsidR="00CF53D2">
              <w:rPr>
                <w:bCs/>
                <w:sz w:val="18"/>
                <w:szCs w:val="18"/>
              </w:rPr>
              <w:t>491.9(b)</w:t>
            </w:r>
            <w:r w:rsidR="00CF53D2">
              <w:rPr>
                <w:bCs/>
                <w:sz w:val="18"/>
                <w:szCs w:val="18"/>
              </w:rPr>
              <w:t>)</w:t>
            </w:r>
          </w:p>
        </w:tc>
        <w:tc>
          <w:tcPr>
            <w:tcW w:w="84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D185732" w14:textId="0D847B9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w:t>
            </w:r>
          </w:p>
        </w:tc>
        <w:tc>
          <w:tcPr>
            <w:tcW w:w="895"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09D5F4A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8,695</w:t>
            </w:r>
          </w:p>
        </w:tc>
        <w:tc>
          <w:tcPr>
            <w:tcW w:w="990"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70177C30" w14:textId="44B2F8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8,695</w:t>
            </w:r>
          </w:p>
        </w:tc>
        <w:tc>
          <w:tcPr>
            <w:tcW w:w="975"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0042F41" w14:textId="2E4ABA6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w:t>
            </w:r>
          </w:p>
        </w:tc>
        <w:tc>
          <w:tcPr>
            <w:tcW w:w="967"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4B95A72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1.0</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473A7B81" w14:textId="473B464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1.0</w:t>
            </w:r>
          </w:p>
        </w:tc>
        <w:tc>
          <w:tcPr>
            <w:tcW w:w="933"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29A0D2C4" w14:textId="6817CEE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w:t>
            </w:r>
          </w:p>
        </w:tc>
        <w:tc>
          <w:tcPr>
            <w:tcW w:w="952"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19C266F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bCs/>
                <w:sz w:val="18"/>
                <w:szCs w:val="18"/>
              </w:rPr>
              <w:t>4,348</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1F41F2A" w14:textId="12D253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4,348</w:t>
            </w:r>
          </w:p>
        </w:tc>
      </w:tr>
      <w:tr w14:paraId="1A0A6158"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6803B6" w:rsidRPr="00804D69" w:rsidP="006803B6" w14:paraId="7EA1E6C6" w14:textId="7681C44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804D69">
              <w:rPr>
                <w:bCs/>
                <w:sz w:val="18"/>
                <w:szCs w:val="18"/>
              </w:rPr>
              <w:t>Initial development of program evaluation</w:t>
            </w:r>
            <w:r w:rsidR="00CF53D2">
              <w:rPr>
                <w:bCs/>
                <w:sz w:val="18"/>
                <w:szCs w:val="18"/>
              </w:rPr>
              <w:t xml:space="preserve"> (§ 491.11)</w:t>
            </w:r>
          </w:p>
        </w:tc>
        <w:tc>
          <w:tcPr>
            <w:tcW w:w="84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241F3C4F" w14:textId="0F17CDB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1,062</w:t>
            </w:r>
          </w:p>
        </w:tc>
        <w:tc>
          <w:tcPr>
            <w:tcW w:w="895"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D59584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sz w:val="18"/>
                <w:szCs w:val="18"/>
              </w:rPr>
              <w:t>1,091</w:t>
            </w:r>
          </w:p>
        </w:tc>
        <w:tc>
          <w:tcPr>
            <w:tcW w:w="990"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479C4A66" w14:textId="525431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2</w:t>
            </w:r>
            <w:r w:rsidR="008E768E">
              <w:rPr>
                <w:bCs/>
                <w:sz w:val="18"/>
                <w:szCs w:val="18"/>
              </w:rPr>
              <w:t>9</w:t>
            </w:r>
          </w:p>
        </w:tc>
        <w:tc>
          <w:tcPr>
            <w:tcW w:w="975"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1DF0425" w14:textId="59B77A5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10</w:t>
            </w:r>
          </w:p>
        </w:tc>
        <w:tc>
          <w:tcPr>
            <w:tcW w:w="967"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73AED82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sz w:val="18"/>
                <w:szCs w:val="18"/>
              </w:rPr>
              <w:t>10</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15A752C5" w14:textId="6E3D6B4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0</w:t>
            </w:r>
          </w:p>
        </w:tc>
        <w:tc>
          <w:tcPr>
            <w:tcW w:w="933"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4F1F1A1F" w14:textId="2649331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10,620</w:t>
            </w:r>
          </w:p>
        </w:tc>
        <w:tc>
          <w:tcPr>
            <w:tcW w:w="952"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7739E6D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sz w:val="18"/>
                <w:szCs w:val="18"/>
              </w:rPr>
              <w:t>10,910</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035975D7" w14:textId="7E64FC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290</w:t>
            </w:r>
          </w:p>
        </w:tc>
      </w:tr>
      <w:tr w14:paraId="56091E4B"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6803B6" w:rsidRPr="00804D69" w:rsidP="006803B6" w14:paraId="1B453534" w14:textId="33714C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804D69">
              <w:rPr>
                <w:bCs/>
                <w:sz w:val="18"/>
                <w:szCs w:val="18"/>
              </w:rPr>
              <w:t>Conduct biennial program evaluation</w:t>
            </w:r>
            <w:r w:rsidR="00CF53D2">
              <w:rPr>
                <w:bCs/>
                <w:sz w:val="18"/>
                <w:szCs w:val="18"/>
              </w:rPr>
              <w:t xml:space="preserve"> (§ 491.11)</w:t>
            </w:r>
          </w:p>
        </w:tc>
        <w:tc>
          <w:tcPr>
            <w:tcW w:w="84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4916C343" w14:textId="369EA3B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16,601</w:t>
            </w:r>
          </w:p>
        </w:tc>
        <w:tc>
          <w:tcPr>
            <w:tcW w:w="895"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094DC41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804D69">
              <w:rPr>
                <w:sz w:val="18"/>
                <w:szCs w:val="18"/>
              </w:rPr>
              <w:t>17,389</w:t>
            </w:r>
          </w:p>
        </w:tc>
        <w:tc>
          <w:tcPr>
            <w:tcW w:w="990"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0768B5FF" w14:textId="38E830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788</w:t>
            </w:r>
          </w:p>
        </w:tc>
        <w:tc>
          <w:tcPr>
            <w:tcW w:w="975" w:type="dxa"/>
            <w:tcBorders>
              <w:top w:val="single" w:sz="4" w:space="0" w:color="auto"/>
              <w:left w:val="single" w:sz="4" w:space="0" w:color="auto"/>
              <w:bottom w:val="single" w:sz="4" w:space="0" w:color="auto"/>
              <w:right w:val="single" w:sz="4" w:space="0" w:color="auto"/>
            </w:tcBorders>
            <w:vAlign w:val="center"/>
          </w:tcPr>
          <w:p w:rsidR="006803B6" w:rsidRPr="00AE7739" w:rsidP="00AE7739" w14:paraId="571AB2FB" w14:textId="7A312DD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AE7739">
              <w:rPr>
                <w:bCs/>
                <w:sz w:val="18"/>
                <w:szCs w:val="18"/>
              </w:rPr>
              <w:t>3</w:t>
            </w:r>
          </w:p>
        </w:tc>
        <w:tc>
          <w:tcPr>
            <w:tcW w:w="967" w:type="dxa"/>
            <w:tcBorders>
              <w:top w:val="single" w:sz="4" w:space="0" w:color="auto"/>
              <w:left w:val="single" w:sz="4" w:space="0" w:color="auto"/>
              <w:bottom w:val="single" w:sz="4" w:space="0" w:color="auto"/>
              <w:right w:val="single" w:sz="4" w:space="0" w:color="auto"/>
            </w:tcBorders>
            <w:vAlign w:val="center"/>
          </w:tcPr>
          <w:p w:rsidR="006803B6" w:rsidRPr="00AE7739" w:rsidP="00AE7739" w14:paraId="36511BA1" w14:textId="359EB3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sidRPr="00AE7739">
              <w:rPr>
                <w:bCs/>
                <w:sz w:val="18"/>
                <w:szCs w:val="18"/>
              </w:rPr>
              <w:t>3</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609DBE29" w14:textId="734243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0</w:t>
            </w:r>
          </w:p>
        </w:tc>
        <w:tc>
          <w:tcPr>
            <w:tcW w:w="933"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1E952076" w14:textId="388967E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49,803</w:t>
            </w:r>
          </w:p>
        </w:tc>
        <w:tc>
          <w:tcPr>
            <w:tcW w:w="952"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5A0B021E" w14:textId="1D857B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sz w:val="18"/>
                <w:szCs w:val="18"/>
              </w:rPr>
              <w:t>52,167</w:t>
            </w:r>
          </w:p>
        </w:tc>
        <w:tc>
          <w:tcPr>
            <w:tcW w:w="986" w:type="dxa"/>
            <w:tcBorders>
              <w:top w:val="single" w:sz="4" w:space="0" w:color="auto"/>
              <w:left w:val="single" w:sz="4" w:space="0" w:color="auto"/>
              <w:bottom w:val="single" w:sz="4" w:space="0" w:color="auto"/>
              <w:right w:val="single" w:sz="4" w:space="0" w:color="auto"/>
            </w:tcBorders>
            <w:vAlign w:val="center"/>
          </w:tcPr>
          <w:p w:rsidR="006803B6" w:rsidRPr="00804D69" w:rsidP="00AE7739" w14:paraId="735D1C07" w14:textId="7C28E20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2,364</w:t>
            </w:r>
          </w:p>
        </w:tc>
      </w:tr>
      <w:tr w14:paraId="5A29951F" w14:textId="77777777" w:rsidTr="00AE7739">
        <w:tblPrEx>
          <w:tblW w:w="11425" w:type="dxa"/>
          <w:jc w:val="center"/>
          <w:tblLook w:val="00A0"/>
        </w:tblPrEx>
        <w:trPr>
          <w:tblHeader/>
          <w:jc w:val="center"/>
        </w:trPr>
        <w:tc>
          <w:tcPr>
            <w:tcW w:w="2895" w:type="dxa"/>
            <w:tcBorders>
              <w:top w:val="single" w:sz="4" w:space="0" w:color="auto"/>
              <w:left w:val="single" w:sz="4" w:space="0" w:color="auto"/>
              <w:bottom w:val="single" w:sz="4" w:space="0" w:color="auto"/>
              <w:right w:val="single" w:sz="4" w:space="0" w:color="auto"/>
            </w:tcBorders>
            <w:vAlign w:val="center"/>
          </w:tcPr>
          <w:p w:rsidR="00542E96" w:rsidRPr="00804D69" w:rsidP="00542E96" w14:paraId="36DC16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 w:val="18"/>
                <w:szCs w:val="18"/>
              </w:rPr>
            </w:pPr>
            <w:r w:rsidRPr="00804D69">
              <w:rPr>
                <w:b/>
                <w:sz w:val="18"/>
                <w:szCs w:val="18"/>
              </w:rPr>
              <w:t>TOTAL</w:t>
            </w:r>
          </w:p>
        </w:tc>
        <w:tc>
          <w:tcPr>
            <w:tcW w:w="846" w:type="dxa"/>
            <w:tcBorders>
              <w:top w:val="single" w:sz="4" w:space="0" w:color="auto"/>
              <w:left w:val="single" w:sz="4" w:space="0" w:color="auto"/>
              <w:bottom w:val="single" w:sz="4" w:space="0" w:color="auto"/>
              <w:right w:val="single" w:sz="4" w:space="0" w:color="auto"/>
            </w:tcBorders>
          </w:tcPr>
          <w:p w:rsidR="00542E96" w:rsidRPr="00804D69" w:rsidP="00542E96" w14:paraId="3465DA2D" w14:textId="5422CCF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Cs/>
                <w:sz w:val="18"/>
                <w:szCs w:val="18"/>
              </w:rPr>
              <w:t>35,326</w:t>
            </w:r>
          </w:p>
        </w:tc>
        <w:tc>
          <w:tcPr>
            <w:tcW w:w="895" w:type="dxa"/>
            <w:tcBorders>
              <w:top w:val="single" w:sz="4" w:space="0" w:color="auto"/>
              <w:left w:val="single" w:sz="4" w:space="0" w:color="auto"/>
              <w:bottom w:val="single" w:sz="4" w:space="0" w:color="auto"/>
              <w:right w:val="single" w:sz="4" w:space="0" w:color="auto"/>
            </w:tcBorders>
            <w:vAlign w:val="center"/>
          </w:tcPr>
          <w:p w:rsidR="00542E96" w:rsidRPr="00804D69" w:rsidP="00542E96" w14:paraId="426FCB89" w14:textId="666867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45,655</w:t>
            </w:r>
          </w:p>
        </w:tc>
        <w:tc>
          <w:tcPr>
            <w:tcW w:w="990" w:type="dxa"/>
            <w:tcBorders>
              <w:top w:val="single" w:sz="4" w:space="0" w:color="auto"/>
              <w:left w:val="single" w:sz="4" w:space="0" w:color="auto"/>
              <w:bottom w:val="single" w:sz="4" w:space="0" w:color="auto"/>
              <w:right w:val="single" w:sz="4" w:space="0" w:color="auto"/>
            </w:tcBorders>
          </w:tcPr>
          <w:p w:rsidR="00542E96" w:rsidRPr="00804D69" w:rsidP="00542E96" w14:paraId="55E022C8" w14:textId="21198C7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bookmarkStart w:id="6" w:name="_Hlk174687502"/>
            <w:r>
              <w:rPr>
                <w:bCs/>
                <w:sz w:val="18"/>
                <w:szCs w:val="18"/>
              </w:rPr>
              <w:t>10,329</w:t>
            </w:r>
            <w:bookmarkEnd w:id="6"/>
          </w:p>
        </w:tc>
        <w:tc>
          <w:tcPr>
            <w:tcW w:w="975" w:type="dxa"/>
            <w:tcBorders>
              <w:top w:val="single" w:sz="4" w:space="0" w:color="auto"/>
              <w:left w:val="single" w:sz="4" w:space="0" w:color="auto"/>
              <w:bottom w:val="single" w:sz="4" w:space="0" w:color="auto"/>
              <w:right w:val="single" w:sz="4" w:space="0" w:color="auto"/>
            </w:tcBorders>
          </w:tcPr>
          <w:p w:rsidR="00542E96" w:rsidRPr="00804D69" w:rsidP="00542E96" w14:paraId="12A32E99" w14:textId="214B6B5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Cs/>
                <w:sz w:val="18"/>
                <w:szCs w:val="18"/>
              </w:rPr>
              <w:t>25</w:t>
            </w:r>
          </w:p>
        </w:tc>
        <w:tc>
          <w:tcPr>
            <w:tcW w:w="967" w:type="dxa"/>
            <w:tcBorders>
              <w:top w:val="single" w:sz="4" w:space="0" w:color="auto"/>
              <w:left w:val="single" w:sz="4" w:space="0" w:color="auto"/>
              <w:bottom w:val="single" w:sz="4" w:space="0" w:color="auto"/>
              <w:right w:val="single" w:sz="4" w:space="0" w:color="auto"/>
            </w:tcBorders>
          </w:tcPr>
          <w:p w:rsidR="00542E96" w:rsidRPr="00804D69" w:rsidP="00542E96" w14:paraId="193F5231" w14:textId="2E43EAB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26</w:t>
            </w:r>
          </w:p>
        </w:tc>
        <w:tc>
          <w:tcPr>
            <w:tcW w:w="986" w:type="dxa"/>
            <w:tcBorders>
              <w:top w:val="single" w:sz="4" w:space="0" w:color="auto"/>
              <w:left w:val="single" w:sz="4" w:space="0" w:color="auto"/>
              <w:bottom w:val="single" w:sz="4" w:space="0" w:color="auto"/>
              <w:right w:val="single" w:sz="4" w:space="0" w:color="auto"/>
            </w:tcBorders>
          </w:tcPr>
          <w:p w:rsidR="00542E96" w:rsidRPr="00804D69" w:rsidP="00542E96" w14:paraId="2D40D487" w14:textId="6F31A6C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Cs/>
                <w:sz w:val="18"/>
                <w:szCs w:val="18"/>
              </w:rPr>
              <w:t>1</w:t>
            </w:r>
          </w:p>
        </w:tc>
        <w:tc>
          <w:tcPr>
            <w:tcW w:w="933" w:type="dxa"/>
            <w:tcBorders>
              <w:top w:val="single" w:sz="4" w:space="0" w:color="auto"/>
              <w:left w:val="single" w:sz="4" w:space="0" w:color="auto"/>
              <w:bottom w:val="single" w:sz="4" w:space="0" w:color="auto"/>
              <w:right w:val="single" w:sz="4" w:space="0" w:color="auto"/>
            </w:tcBorders>
          </w:tcPr>
          <w:p w:rsidR="00542E96" w:rsidRPr="00804D69" w:rsidP="00542E96" w14:paraId="2B2617C2" w14:textId="279E8B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Cs/>
                <w:sz w:val="18"/>
                <w:szCs w:val="18"/>
              </w:rPr>
              <w:t>104,245</w:t>
            </w:r>
          </w:p>
        </w:tc>
        <w:tc>
          <w:tcPr>
            <w:tcW w:w="952" w:type="dxa"/>
            <w:tcBorders>
              <w:top w:val="single" w:sz="4" w:space="0" w:color="auto"/>
              <w:left w:val="single" w:sz="4" w:space="0" w:color="auto"/>
              <w:bottom w:val="single" w:sz="4" w:space="0" w:color="auto"/>
              <w:right w:val="single" w:sz="4" w:space="0" w:color="auto"/>
            </w:tcBorders>
            <w:vAlign w:val="center"/>
          </w:tcPr>
          <w:p w:rsidR="00542E96" w:rsidRPr="00804D69" w:rsidP="00542E96" w14:paraId="6F6A49B6" w14:textId="73E262B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 w:val="18"/>
                <w:szCs w:val="18"/>
              </w:rPr>
            </w:pPr>
            <w:r>
              <w:rPr>
                <w:bCs/>
                <w:sz w:val="18"/>
                <w:szCs w:val="18"/>
              </w:rPr>
              <w:t>113,113</w:t>
            </w:r>
          </w:p>
        </w:tc>
        <w:tc>
          <w:tcPr>
            <w:tcW w:w="986" w:type="dxa"/>
            <w:tcBorders>
              <w:top w:val="single" w:sz="4" w:space="0" w:color="auto"/>
              <w:left w:val="single" w:sz="4" w:space="0" w:color="auto"/>
              <w:bottom w:val="single" w:sz="4" w:space="0" w:color="auto"/>
              <w:right w:val="single" w:sz="4" w:space="0" w:color="auto"/>
            </w:tcBorders>
          </w:tcPr>
          <w:p w:rsidR="00542E96" w:rsidRPr="00804D69" w:rsidP="00542E96" w14:paraId="5B9ABBF5" w14:textId="1A1C49D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Cs/>
                <w:sz w:val="18"/>
                <w:szCs w:val="18"/>
              </w:rPr>
              <w:t>8,868</w:t>
            </w:r>
          </w:p>
        </w:tc>
      </w:tr>
    </w:tbl>
    <w:p w:rsidR="00B70E23" w:rsidP="004220A4" w14:paraId="61D669F9" w14:textId="77777777">
      <w:pPr>
        <w:rPr>
          <w:sz w:val="24"/>
        </w:rPr>
      </w:pPr>
    </w:p>
    <w:p w:rsidR="00B70E23" w:rsidP="004220A4" w14:paraId="140E9849" w14:textId="77777777">
      <w:pPr>
        <w:rPr>
          <w:sz w:val="24"/>
        </w:rPr>
        <w:sectPr w:rsidSect="00B70E23">
          <w:type w:val="continuous"/>
          <w:pgSz w:w="12240" w:h="15840"/>
          <w:pgMar w:top="720" w:right="720" w:bottom="720" w:left="720" w:header="1440" w:footer="1440" w:gutter="0"/>
          <w:pgNumType w:start="1"/>
          <w:cols w:space="720"/>
          <w:docGrid w:linePitch="272"/>
        </w:sectPr>
      </w:pPr>
    </w:p>
    <w:p w:rsidR="00B70E23" w:rsidP="004220A4" w14:paraId="65BDC200" w14:textId="77777777">
      <w:pPr>
        <w:rPr>
          <w:sz w:val="24"/>
        </w:rPr>
      </w:pPr>
    </w:p>
    <w:p w:rsidR="00DC2E3F" w:rsidP="00DC2E3F" w14:paraId="75B52480" w14:textId="77777777">
      <w:pPr>
        <w:rPr>
          <w:sz w:val="24"/>
        </w:rPr>
      </w:pPr>
      <w:r>
        <w:rPr>
          <w:sz w:val="24"/>
        </w:rPr>
        <w:t>We have also reformatted our burden tables in section 12 of this Supporting Statement with the aim of making them more reader friendly. To sync, we made the same change to our active ROCIS IC table. For example, our active Table 2 (below) has been reformatted to look like Tables 3 and 4 (also, below).</w:t>
      </w:r>
    </w:p>
    <w:p w:rsidR="00DC2E3F" w:rsidP="00DC2E3F" w14:paraId="414635F7" w14:textId="77777777">
      <w:pPr>
        <w:rPr>
          <w:sz w:val="24"/>
        </w:rPr>
      </w:pPr>
    </w:p>
    <w:p w:rsidR="00DC2E3F" w:rsidRPr="00DD5883" w:rsidP="00DC2E3F" w14:paraId="3D911B20" w14:textId="77777777">
      <w:pPr>
        <w:ind w:right="324"/>
        <w:jc w:val="center"/>
        <w:rPr>
          <w:b/>
          <w:szCs w:val="20"/>
        </w:rPr>
      </w:pPr>
      <w:r w:rsidRPr="00DD5883">
        <w:rPr>
          <w:b/>
          <w:szCs w:val="20"/>
        </w:rPr>
        <w:t xml:space="preserve">ACTIVE Table 2. Annual Burden Hours and Costs for 42 CFR § 491.9(b) </w:t>
      </w:r>
    </w:p>
    <w:tbl>
      <w:tblPr>
        <w:tblStyle w:val="a0"/>
        <w:tblW w:w="9810" w:type="dxa"/>
        <w:tblBorders>
          <w:top w:val="nil"/>
          <w:left w:val="nil"/>
          <w:bottom w:val="nil"/>
          <w:right w:val="nil"/>
          <w:insideH w:val="nil"/>
          <w:insideV w:val="nil"/>
        </w:tblBorders>
        <w:tblLayout w:type="fixed"/>
        <w:tblLook w:val="0600"/>
      </w:tblPr>
      <w:tblGrid>
        <w:gridCol w:w="1515"/>
        <w:gridCol w:w="4425"/>
        <w:gridCol w:w="1035"/>
        <w:gridCol w:w="1275"/>
        <w:gridCol w:w="1560"/>
      </w:tblGrid>
      <w:tr w14:paraId="726619D4" w14:textId="77777777" w:rsidTr="00BB719A">
        <w:tblPrEx>
          <w:tblW w:w="9810" w:type="dxa"/>
          <w:tblBorders>
            <w:top w:val="nil"/>
            <w:left w:val="nil"/>
            <w:bottom w:val="nil"/>
            <w:right w:val="nil"/>
            <w:insideH w:val="nil"/>
            <w:insideV w:val="nil"/>
          </w:tblBorders>
          <w:tblLayout w:type="fixed"/>
          <w:tblLook w:val="0600"/>
        </w:tblPrEx>
        <w:trPr>
          <w:trHeight w:val="735"/>
        </w:trPr>
        <w:tc>
          <w:tcPr>
            <w:tcW w:w="151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DC2E3F" w:rsidRPr="00DD5883" w:rsidP="00BB719A" w14:paraId="02CA5EAA" w14:textId="77777777">
            <w:pPr>
              <w:jc w:val="center"/>
              <w:rPr>
                <w:rFonts w:eastAsia="Arial"/>
                <w:b/>
                <w:szCs w:val="20"/>
              </w:rPr>
            </w:pPr>
            <w:r w:rsidRPr="00DD5883">
              <w:rPr>
                <w:b/>
                <w:szCs w:val="20"/>
              </w:rPr>
              <w:t>Requirement</w:t>
            </w:r>
          </w:p>
        </w:tc>
        <w:tc>
          <w:tcPr>
            <w:tcW w:w="442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DC2E3F" w:rsidRPr="00DD5883" w:rsidP="00BB719A" w14:paraId="289E508A" w14:textId="77777777">
            <w:pPr>
              <w:jc w:val="center"/>
              <w:rPr>
                <w:rFonts w:eastAsia="Arial"/>
                <w:b/>
                <w:szCs w:val="20"/>
              </w:rPr>
            </w:pPr>
            <w:r w:rsidRPr="00DD5883">
              <w:rPr>
                <w:b/>
                <w:szCs w:val="20"/>
              </w:rPr>
              <w:t>Position</w:t>
            </w:r>
          </w:p>
        </w:tc>
        <w:tc>
          <w:tcPr>
            <w:tcW w:w="103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DC2E3F" w:rsidRPr="00DD5883" w:rsidP="00BB719A" w14:paraId="5C847B20" w14:textId="77777777">
            <w:pPr>
              <w:jc w:val="center"/>
              <w:rPr>
                <w:rFonts w:eastAsia="Arial"/>
                <w:b/>
                <w:szCs w:val="20"/>
              </w:rPr>
            </w:pPr>
            <w:r w:rsidRPr="00DD5883">
              <w:rPr>
                <w:b/>
                <w:szCs w:val="20"/>
              </w:rPr>
              <w:t>Hourly Wage</w:t>
            </w:r>
          </w:p>
        </w:tc>
        <w:tc>
          <w:tcPr>
            <w:tcW w:w="127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DC2E3F" w:rsidRPr="00DD5883" w:rsidP="00BB719A" w14:paraId="617465EC" w14:textId="77777777">
            <w:pPr>
              <w:jc w:val="center"/>
              <w:rPr>
                <w:rFonts w:eastAsia="Arial"/>
                <w:b/>
                <w:szCs w:val="20"/>
              </w:rPr>
            </w:pPr>
            <w:r w:rsidRPr="00DD5883">
              <w:rPr>
                <w:b/>
                <w:szCs w:val="20"/>
              </w:rPr>
              <w:t>Burden Hours Per Event</w:t>
            </w:r>
          </w:p>
        </w:tc>
        <w:tc>
          <w:tcPr>
            <w:tcW w:w="1560"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DC2E3F" w:rsidRPr="00DD5883" w:rsidP="00BB719A" w14:paraId="4976ECC5" w14:textId="77777777">
            <w:pPr>
              <w:jc w:val="center"/>
              <w:rPr>
                <w:rFonts w:eastAsia="Arial"/>
                <w:b/>
                <w:szCs w:val="20"/>
              </w:rPr>
            </w:pPr>
            <w:r w:rsidRPr="00DD5883">
              <w:rPr>
                <w:b/>
                <w:szCs w:val="20"/>
              </w:rPr>
              <w:t>Cost Estimate Per Event</w:t>
            </w:r>
          </w:p>
        </w:tc>
      </w:tr>
      <w:tr w14:paraId="790D29E6" w14:textId="77777777" w:rsidTr="00BB719A">
        <w:tblPrEx>
          <w:tblW w:w="9810" w:type="dxa"/>
          <w:tblLayout w:type="fixed"/>
          <w:tblLook w:val="0600"/>
        </w:tblPrEx>
        <w:trPr>
          <w:trHeight w:val="345"/>
        </w:trPr>
        <w:tc>
          <w:tcPr>
            <w:tcW w:w="9810" w:type="dxa"/>
            <w:gridSpan w:val="5"/>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DC2E3F" w:rsidRPr="00DD5883" w:rsidP="00BB719A" w14:paraId="51F9D92B" w14:textId="77777777">
            <w:pPr>
              <w:rPr>
                <w:rFonts w:eastAsia="Arial"/>
                <w:szCs w:val="20"/>
              </w:rPr>
            </w:pPr>
            <w:r w:rsidRPr="00DD5883">
              <w:rPr>
                <w:b/>
                <w:szCs w:val="20"/>
              </w:rPr>
              <w:t>Develop policies and procedures at each new clinic or center</w:t>
            </w:r>
          </w:p>
        </w:tc>
      </w:tr>
      <w:tr w14:paraId="21FFA73C" w14:textId="77777777" w:rsidTr="00BB719A">
        <w:tblPrEx>
          <w:tblW w:w="9810" w:type="dxa"/>
          <w:tblLayout w:type="fixed"/>
          <w:tblLook w:val="0600"/>
        </w:tblPrEx>
        <w:trPr>
          <w:trHeight w:val="275"/>
        </w:trPr>
        <w:tc>
          <w:tcPr>
            <w:tcW w:w="151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DC2E3F" w:rsidRPr="00DD5883" w:rsidP="00BB719A" w14:paraId="090D503F" w14:textId="77777777">
            <w:pPr>
              <w:jc w:val="center"/>
              <w:rPr>
                <w:szCs w:val="20"/>
              </w:rPr>
            </w:pPr>
            <w:r w:rsidRPr="00DD5883">
              <w:rPr>
                <w:szCs w:val="20"/>
              </w:rPr>
              <w:t>One-time burden on new clinics/centers</w:t>
            </w: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ECC45BF" w14:textId="77777777">
            <w:pPr>
              <w:rPr>
                <w:rFonts w:eastAsia="Arial"/>
                <w:szCs w:val="20"/>
              </w:rPr>
            </w:pPr>
            <w:r w:rsidRPr="00DD5883">
              <w:rPr>
                <w:szCs w:val="20"/>
              </w:rPr>
              <w:t>1 Physician/Administrator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D9C8774" w14:textId="77777777">
            <w:pPr>
              <w:jc w:val="center"/>
              <w:rPr>
                <w:rFonts w:eastAsia="Arial"/>
                <w:szCs w:val="20"/>
              </w:rPr>
            </w:pPr>
            <w:r w:rsidRPr="00DD5883">
              <w:rPr>
                <w:szCs w:val="20"/>
              </w:rPr>
              <w:t>$210</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9054987" w14:textId="77777777">
            <w:pPr>
              <w:jc w:val="center"/>
              <w:rPr>
                <w:rFonts w:eastAsia="Arial"/>
                <w:color w:val="434343"/>
                <w:szCs w:val="20"/>
              </w:rPr>
            </w:pPr>
            <w:r w:rsidRPr="00DD5883">
              <w:rPr>
                <w:color w:val="434343"/>
                <w:szCs w:val="20"/>
              </w:rPr>
              <w:t>5</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AE29876" w14:textId="77777777">
            <w:pPr>
              <w:jc w:val="center"/>
              <w:rPr>
                <w:rFonts w:eastAsia="Arial"/>
                <w:color w:val="434343"/>
                <w:szCs w:val="20"/>
              </w:rPr>
            </w:pPr>
            <w:r w:rsidRPr="00DD5883">
              <w:rPr>
                <w:color w:val="434343"/>
                <w:szCs w:val="20"/>
              </w:rPr>
              <w:t>$1,050</w:t>
            </w:r>
          </w:p>
        </w:tc>
      </w:tr>
      <w:tr w14:paraId="2CD9B568" w14:textId="77777777" w:rsidTr="00BB719A">
        <w:tblPrEx>
          <w:tblW w:w="9810" w:type="dxa"/>
          <w:tblLayout w:type="fixed"/>
          <w:tblLook w:val="0600"/>
        </w:tblPrEx>
        <w:trPr>
          <w:trHeight w:val="314"/>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67BF5D65"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36ED92A" w14:textId="77777777">
            <w:pPr>
              <w:rPr>
                <w:rFonts w:eastAsia="Arial"/>
                <w:szCs w:val="20"/>
              </w:rPr>
            </w:pPr>
            <w:r w:rsidRPr="00DD5883">
              <w:rPr>
                <w:szCs w:val="20"/>
              </w:rPr>
              <w:t>1 Mid-level Practitioner (Physician Assistant, Nurse Practitioner)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E8DE232" w14:textId="77777777">
            <w:pPr>
              <w:jc w:val="center"/>
              <w:rPr>
                <w:rFonts w:eastAsia="Arial"/>
                <w:szCs w:val="20"/>
              </w:rPr>
            </w:pPr>
            <w:r w:rsidRPr="00DD5883">
              <w:rPr>
                <w:szCs w:val="20"/>
              </w:rPr>
              <w:t>$118</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642B6C02" w14:textId="77777777">
            <w:pPr>
              <w:jc w:val="center"/>
              <w:rPr>
                <w:rFonts w:eastAsia="Arial"/>
                <w:color w:val="434343"/>
                <w:szCs w:val="20"/>
              </w:rPr>
            </w:pPr>
            <w:r w:rsidRPr="00DD5883">
              <w:rPr>
                <w:color w:val="434343"/>
                <w:szCs w:val="20"/>
              </w:rPr>
              <w:t>5</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0DB6C61" w14:textId="77777777">
            <w:pPr>
              <w:jc w:val="center"/>
              <w:rPr>
                <w:rFonts w:eastAsia="Arial"/>
                <w:color w:val="434343"/>
                <w:szCs w:val="20"/>
              </w:rPr>
            </w:pPr>
            <w:r w:rsidRPr="00DD5883">
              <w:rPr>
                <w:color w:val="434343"/>
                <w:szCs w:val="20"/>
              </w:rPr>
              <w:t>$590</w:t>
            </w:r>
          </w:p>
        </w:tc>
      </w:tr>
      <w:tr w14:paraId="0245C223" w14:textId="77777777" w:rsidTr="00BB719A">
        <w:tblPrEx>
          <w:tblW w:w="9810" w:type="dxa"/>
          <w:tblLayout w:type="fixed"/>
          <w:tblLook w:val="0600"/>
        </w:tblPrEx>
        <w:trPr>
          <w:trHeight w:val="188"/>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37112D79"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90A5ADE" w14:textId="77777777">
            <w:pPr>
              <w:rPr>
                <w:rFonts w:eastAsia="Arial"/>
                <w:szCs w:val="20"/>
              </w:rPr>
            </w:pPr>
            <w:r w:rsidRPr="00DD5883">
              <w:rPr>
                <w:szCs w:val="20"/>
              </w:rPr>
              <w:t>Subtotal per event per 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D4CBD4F" w14:textId="77777777">
            <w:pPr>
              <w:jc w:val="cente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4073E30" w14:textId="77777777">
            <w:pPr>
              <w:jc w:val="center"/>
              <w:rPr>
                <w:rFonts w:eastAsia="Arial"/>
                <w:color w:val="434343"/>
                <w:szCs w:val="20"/>
              </w:rPr>
            </w:pPr>
            <w:r w:rsidRPr="00DD5883">
              <w:rPr>
                <w:color w:val="434343"/>
                <w:szCs w:val="20"/>
              </w:rPr>
              <w:t>10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4E9A402" w14:textId="77777777">
            <w:pPr>
              <w:jc w:val="center"/>
              <w:rPr>
                <w:rFonts w:eastAsia="Arial"/>
                <w:color w:val="434343"/>
                <w:szCs w:val="20"/>
              </w:rPr>
            </w:pPr>
            <w:r w:rsidRPr="00DD5883">
              <w:rPr>
                <w:color w:val="434343"/>
                <w:szCs w:val="20"/>
              </w:rPr>
              <w:t>$1,640</w:t>
            </w:r>
          </w:p>
        </w:tc>
      </w:tr>
      <w:tr w14:paraId="09410E42" w14:textId="77777777" w:rsidTr="00BB719A">
        <w:tblPrEx>
          <w:tblW w:w="9810" w:type="dxa"/>
          <w:tblLayout w:type="fixed"/>
          <w:tblLook w:val="0600"/>
        </w:tblPrEx>
        <w:trPr>
          <w:trHeight w:val="17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49357149"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247DCAF" w14:textId="77777777">
            <w:pPr>
              <w:rPr>
                <w:rFonts w:eastAsia="Arial"/>
                <w:szCs w:val="20"/>
              </w:rPr>
            </w:pPr>
            <w:r w:rsidRPr="00DD5883">
              <w:rPr>
                <w:b/>
                <w:szCs w:val="20"/>
              </w:rPr>
              <w:t>Annualized Total per event</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9E9E3EA" w14:textId="77777777">
            <w:pP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CD966A4" w14:textId="77777777">
            <w:pPr>
              <w:jc w:val="center"/>
              <w:rPr>
                <w:rFonts w:eastAsia="Arial"/>
                <w:szCs w:val="20"/>
              </w:rPr>
            </w:pPr>
            <w:r w:rsidRPr="00DD5883">
              <w:rPr>
                <w:b/>
                <w:szCs w:val="20"/>
              </w:rPr>
              <w:t>10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1B438B3B" w14:textId="77777777">
            <w:pPr>
              <w:jc w:val="center"/>
              <w:rPr>
                <w:rFonts w:eastAsia="Arial"/>
                <w:szCs w:val="20"/>
              </w:rPr>
            </w:pPr>
            <w:r w:rsidRPr="00DD5883">
              <w:rPr>
                <w:b/>
                <w:szCs w:val="20"/>
              </w:rPr>
              <w:t>$1,640</w:t>
            </w:r>
          </w:p>
        </w:tc>
      </w:tr>
      <w:tr w14:paraId="1FFAD8F6" w14:textId="77777777" w:rsidTr="00BB719A">
        <w:tblPrEx>
          <w:tblW w:w="9810" w:type="dxa"/>
          <w:tblLayout w:type="fixed"/>
          <w:tblLook w:val="0600"/>
        </w:tblPrEx>
        <w:trPr>
          <w:trHeight w:val="233"/>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1FCCB9D1"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C01577A" w14:textId="77777777">
            <w:pPr>
              <w:jc w:val="center"/>
              <w:rPr>
                <w:rFonts w:eastAsia="Arial"/>
                <w:szCs w:val="20"/>
                <w:u w:val="single"/>
              </w:rPr>
            </w:pPr>
            <w:r w:rsidRPr="00DD5883">
              <w:rPr>
                <w:szCs w:val="20"/>
                <w:u w:val="single"/>
              </w:rPr>
              <w:t># of Events/year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A85A0EA" w14:textId="77777777">
            <w:pP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637AF052" w14:textId="77777777">
            <w:pPr>
              <w:jc w:val="center"/>
              <w:rPr>
                <w:rFonts w:eastAsia="Arial"/>
                <w:szCs w:val="20"/>
              </w:rPr>
            </w:pP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E626648" w14:textId="77777777">
            <w:pPr>
              <w:jc w:val="center"/>
              <w:rPr>
                <w:rFonts w:eastAsia="Arial"/>
                <w:szCs w:val="20"/>
              </w:rPr>
            </w:pPr>
          </w:p>
        </w:tc>
      </w:tr>
      <w:tr w14:paraId="7A8DCDC6" w14:textId="77777777" w:rsidTr="00BB719A">
        <w:tblPrEx>
          <w:tblW w:w="9810" w:type="dxa"/>
          <w:tblLayout w:type="fixed"/>
          <w:tblLook w:val="0600"/>
        </w:tblPrEx>
        <w:trPr>
          <w:trHeight w:val="296"/>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75621222"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E5E881B" w14:textId="77777777">
            <w:pPr>
              <w:jc w:val="right"/>
              <w:rPr>
                <w:rFonts w:eastAsia="Arial"/>
                <w:szCs w:val="20"/>
              </w:rPr>
            </w:pPr>
            <w:r w:rsidRPr="00DD5883">
              <w:rPr>
                <w:szCs w:val="20"/>
              </w:rPr>
              <w:t>New RHCs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1B984110" w14:textId="77777777">
            <w:pPr>
              <w:jc w:val="center"/>
              <w:rPr>
                <w:rFonts w:eastAsia="Arial"/>
                <w:szCs w:val="20"/>
              </w:rPr>
            </w:pPr>
            <w:r w:rsidRPr="00DD5883">
              <w:rPr>
                <w:szCs w:val="20"/>
              </w:rPr>
              <w:t>335</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B04C0B4" w14:textId="77777777">
            <w:pPr>
              <w:jc w:val="center"/>
              <w:rPr>
                <w:rFonts w:eastAsia="Arial"/>
                <w:szCs w:val="20"/>
              </w:rPr>
            </w:pPr>
            <w:r w:rsidRPr="00DD5883">
              <w:rPr>
                <w:szCs w:val="20"/>
              </w:rPr>
              <w:t>3,350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0619494" w14:textId="77777777">
            <w:pPr>
              <w:jc w:val="center"/>
              <w:rPr>
                <w:rFonts w:eastAsia="Arial"/>
                <w:szCs w:val="20"/>
              </w:rPr>
            </w:pPr>
            <w:r w:rsidRPr="00DD5883">
              <w:rPr>
                <w:szCs w:val="20"/>
              </w:rPr>
              <w:t>$5,494,000</w:t>
            </w:r>
          </w:p>
        </w:tc>
      </w:tr>
      <w:tr w14:paraId="1C9E561B" w14:textId="77777777" w:rsidTr="00BB719A">
        <w:tblPrEx>
          <w:tblW w:w="9810" w:type="dxa"/>
          <w:tblLayout w:type="fixed"/>
          <w:tblLook w:val="0600"/>
        </w:tblPrEx>
        <w:trPr>
          <w:trHeight w:val="332"/>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2D1C273B"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C19D77B" w14:textId="77777777">
            <w:pPr>
              <w:jc w:val="right"/>
              <w:rPr>
                <w:rFonts w:eastAsia="Arial"/>
                <w:szCs w:val="20"/>
              </w:rPr>
            </w:pPr>
            <w:r w:rsidRPr="00DD5883">
              <w:rPr>
                <w:szCs w:val="20"/>
              </w:rPr>
              <w:t>New FQHCs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66C4360" w14:textId="77777777">
            <w:pPr>
              <w:jc w:val="center"/>
              <w:rPr>
                <w:rFonts w:eastAsia="Arial"/>
                <w:szCs w:val="20"/>
              </w:rPr>
            </w:pPr>
            <w:r w:rsidRPr="00DD5883">
              <w:rPr>
                <w:szCs w:val="20"/>
              </w:rPr>
              <w:t>727</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261B4D5" w14:textId="77777777">
            <w:pPr>
              <w:jc w:val="center"/>
              <w:rPr>
                <w:rFonts w:eastAsia="Arial"/>
                <w:szCs w:val="20"/>
              </w:rPr>
            </w:pPr>
            <w:r w:rsidRPr="00DD5883">
              <w:rPr>
                <w:szCs w:val="20"/>
              </w:rPr>
              <w:t>7,270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69632C10" w14:textId="77777777">
            <w:pPr>
              <w:jc w:val="center"/>
              <w:rPr>
                <w:rFonts w:eastAsia="Arial"/>
                <w:szCs w:val="20"/>
              </w:rPr>
            </w:pPr>
            <w:r w:rsidRPr="00DD5883">
              <w:rPr>
                <w:szCs w:val="20"/>
              </w:rPr>
              <w:t>$11,922,800</w:t>
            </w:r>
          </w:p>
        </w:tc>
      </w:tr>
      <w:tr w14:paraId="15C09F22" w14:textId="77777777" w:rsidTr="00BB719A">
        <w:tblPrEx>
          <w:tblW w:w="9810" w:type="dxa"/>
          <w:tblLayout w:type="fixed"/>
          <w:tblLook w:val="0600"/>
        </w:tblPrEx>
        <w:trPr>
          <w:trHeight w:val="26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0159F9B1" w14:textId="77777777">
            <w:pPr>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3CCB165" w14:textId="77777777">
            <w:pPr>
              <w:rPr>
                <w:rFonts w:eastAsia="Arial"/>
                <w:szCs w:val="20"/>
              </w:rPr>
            </w:pPr>
            <w:r w:rsidRPr="00DD5883">
              <w:rPr>
                <w:b/>
                <w:szCs w:val="20"/>
              </w:rPr>
              <w:t>One-time burden for new clinics/centers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EBE7571" w14:textId="77777777">
            <w:pP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BAC37E8" w14:textId="77777777">
            <w:pPr>
              <w:jc w:val="center"/>
              <w:rPr>
                <w:rFonts w:eastAsia="Arial"/>
                <w:szCs w:val="20"/>
              </w:rPr>
            </w:pPr>
            <w:r w:rsidRPr="00DD5883">
              <w:rPr>
                <w:b/>
                <w:szCs w:val="20"/>
              </w:rPr>
              <w:t>10,620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8E9A089" w14:textId="77777777">
            <w:pPr>
              <w:jc w:val="center"/>
              <w:rPr>
                <w:rFonts w:eastAsia="Arial"/>
                <w:szCs w:val="20"/>
              </w:rPr>
            </w:pPr>
            <w:r w:rsidRPr="00DD5883">
              <w:rPr>
                <w:b/>
                <w:szCs w:val="20"/>
              </w:rPr>
              <w:t>$17,416,800</w:t>
            </w:r>
          </w:p>
        </w:tc>
      </w:tr>
      <w:tr w14:paraId="016D7549" w14:textId="77777777" w:rsidTr="00BB719A">
        <w:tblPrEx>
          <w:tblW w:w="9810" w:type="dxa"/>
          <w:tblLayout w:type="fixed"/>
          <w:tblLook w:val="0600"/>
        </w:tblPrEx>
        <w:trPr>
          <w:trHeight w:val="345"/>
        </w:trPr>
        <w:tc>
          <w:tcPr>
            <w:tcW w:w="9810" w:type="dxa"/>
            <w:gridSpan w:val="5"/>
            <w:tcBorders>
              <w:top w:val="nil"/>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C2E3F" w:rsidRPr="00DD5883" w:rsidP="00BB719A" w14:paraId="19A59C64" w14:textId="77777777">
            <w:pPr>
              <w:rPr>
                <w:rFonts w:eastAsia="Arial"/>
                <w:szCs w:val="20"/>
              </w:rPr>
            </w:pPr>
            <w:r w:rsidRPr="00DD5883">
              <w:rPr>
                <w:b/>
                <w:szCs w:val="20"/>
              </w:rPr>
              <w:t>Review policies and procedures at every clinic or center every 2 years (biennially)</w:t>
            </w:r>
          </w:p>
        </w:tc>
      </w:tr>
      <w:tr w14:paraId="74498E5D" w14:textId="77777777" w:rsidTr="00BB719A">
        <w:tblPrEx>
          <w:tblW w:w="9810" w:type="dxa"/>
          <w:tblLayout w:type="fixed"/>
          <w:tblLook w:val="0600"/>
        </w:tblPrEx>
        <w:trPr>
          <w:trHeight w:val="239"/>
        </w:trPr>
        <w:tc>
          <w:tcPr>
            <w:tcW w:w="151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DC2E3F" w:rsidRPr="00DD5883" w:rsidP="00BB719A" w14:paraId="5F391389" w14:textId="77777777">
            <w:pPr>
              <w:jc w:val="center"/>
              <w:rPr>
                <w:szCs w:val="20"/>
              </w:rPr>
            </w:pPr>
            <w:r w:rsidRPr="00DD5883">
              <w:rPr>
                <w:szCs w:val="20"/>
              </w:rPr>
              <w:t>Existing clinics/centers every 2 years</w:t>
            </w: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BAF5A72" w14:textId="77777777">
            <w:pPr>
              <w:rPr>
                <w:rFonts w:eastAsia="Arial"/>
                <w:szCs w:val="20"/>
              </w:rPr>
            </w:pPr>
            <w:r w:rsidRPr="00DD5883">
              <w:rPr>
                <w:szCs w:val="20"/>
              </w:rPr>
              <w:t>1 Physician/Administrator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12D8708" w14:textId="77777777">
            <w:pPr>
              <w:jc w:val="center"/>
              <w:rPr>
                <w:rFonts w:eastAsia="Arial"/>
                <w:szCs w:val="20"/>
              </w:rPr>
            </w:pPr>
            <w:r w:rsidRPr="00DD5883">
              <w:rPr>
                <w:szCs w:val="20"/>
              </w:rPr>
              <w:t>$210</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AA1F98D" w14:textId="77777777">
            <w:pPr>
              <w:jc w:val="center"/>
              <w:rPr>
                <w:rFonts w:eastAsia="Arial"/>
                <w:szCs w:val="20"/>
              </w:rPr>
            </w:pPr>
            <w:r w:rsidRPr="00DD5883">
              <w:rPr>
                <w:szCs w:val="20"/>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2EF602E" w14:textId="77777777">
            <w:pPr>
              <w:jc w:val="center"/>
              <w:rPr>
                <w:rFonts w:eastAsia="Arial"/>
                <w:szCs w:val="20"/>
              </w:rPr>
            </w:pPr>
            <w:r w:rsidRPr="00DD5883">
              <w:rPr>
                <w:szCs w:val="20"/>
              </w:rPr>
              <w:t>$420</w:t>
            </w:r>
          </w:p>
        </w:tc>
      </w:tr>
      <w:tr w14:paraId="2363752C" w14:textId="77777777" w:rsidTr="00BB719A">
        <w:tblPrEx>
          <w:tblW w:w="9810" w:type="dxa"/>
          <w:tblLayout w:type="fixed"/>
          <w:tblLook w:val="0600"/>
        </w:tblPrEx>
        <w:trPr>
          <w:trHeight w:val="161"/>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44E774D4"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E79CA58" w14:textId="77777777">
            <w:pPr>
              <w:rPr>
                <w:rFonts w:eastAsia="Arial"/>
                <w:szCs w:val="20"/>
              </w:rPr>
            </w:pPr>
            <w:r w:rsidRPr="00DD5883">
              <w:rPr>
                <w:szCs w:val="20"/>
              </w:rPr>
              <w:t>1 Mid-level Practitioner (Physician Assistant, Nurse Practitioner)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154904D" w14:textId="77777777">
            <w:pPr>
              <w:jc w:val="center"/>
              <w:rPr>
                <w:rFonts w:eastAsia="Arial"/>
                <w:szCs w:val="20"/>
              </w:rPr>
            </w:pPr>
            <w:r w:rsidRPr="00DD5883">
              <w:rPr>
                <w:szCs w:val="20"/>
              </w:rPr>
              <w:t>$118</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430970A" w14:textId="77777777">
            <w:pPr>
              <w:jc w:val="center"/>
              <w:rPr>
                <w:rFonts w:eastAsia="Arial"/>
                <w:szCs w:val="20"/>
              </w:rPr>
            </w:pPr>
            <w:r w:rsidRPr="00DD5883">
              <w:rPr>
                <w:szCs w:val="20"/>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171F35E6" w14:textId="77777777">
            <w:pPr>
              <w:jc w:val="center"/>
              <w:rPr>
                <w:rFonts w:eastAsia="Arial"/>
                <w:szCs w:val="20"/>
              </w:rPr>
            </w:pPr>
            <w:r w:rsidRPr="00DD5883">
              <w:rPr>
                <w:szCs w:val="20"/>
              </w:rPr>
              <w:t>$236</w:t>
            </w:r>
          </w:p>
        </w:tc>
      </w:tr>
      <w:tr w14:paraId="105AA7E0" w14:textId="77777777" w:rsidTr="00BB719A">
        <w:tblPrEx>
          <w:tblW w:w="9810" w:type="dxa"/>
          <w:tblLayout w:type="fixed"/>
          <w:tblLook w:val="0600"/>
        </w:tblPrEx>
        <w:trPr>
          <w:trHeight w:val="224"/>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3992F0CD"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52CBDD1" w14:textId="77777777">
            <w:pPr>
              <w:rPr>
                <w:rFonts w:eastAsia="Arial"/>
                <w:szCs w:val="20"/>
              </w:rPr>
            </w:pPr>
            <w:r w:rsidRPr="00DD5883">
              <w:rPr>
                <w:szCs w:val="20"/>
              </w:rPr>
              <w:t>Sub-Total per event</w:t>
            </w:r>
            <w:r w:rsidRPr="00DD5883">
              <w:rPr>
                <w:b/>
                <w:i/>
                <w:szCs w:val="20"/>
              </w:rPr>
              <w:t xml:space="preserve"> every 2 years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07AD07F" w14:textId="77777777">
            <w:pPr>
              <w:jc w:val="cente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29D5C3E" w14:textId="77777777">
            <w:pPr>
              <w:jc w:val="center"/>
              <w:rPr>
                <w:rFonts w:eastAsia="Arial"/>
                <w:szCs w:val="20"/>
              </w:rPr>
            </w:pPr>
            <w:r w:rsidRPr="00DD5883">
              <w:rPr>
                <w:szCs w:val="20"/>
              </w:rPr>
              <w:t>4</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19E8BB00" w14:textId="77777777">
            <w:pPr>
              <w:jc w:val="center"/>
              <w:rPr>
                <w:rFonts w:eastAsia="Arial"/>
                <w:szCs w:val="20"/>
              </w:rPr>
            </w:pPr>
            <w:r w:rsidRPr="00DD5883">
              <w:rPr>
                <w:szCs w:val="20"/>
              </w:rPr>
              <w:t>$656</w:t>
            </w:r>
          </w:p>
        </w:tc>
      </w:tr>
      <w:tr w14:paraId="0FFD5A8E" w14:textId="77777777" w:rsidTr="00BB719A">
        <w:tblPrEx>
          <w:tblW w:w="9810" w:type="dxa"/>
          <w:tblLayout w:type="fixed"/>
          <w:tblLook w:val="0600"/>
        </w:tblPrEx>
        <w:trPr>
          <w:trHeight w:val="197"/>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00E6EAAF"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5C5F8CB" w14:textId="77777777">
            <w:pPr>
              <w:rPr>
                <w:rFonts w:eastAsia="Arial"/>
                <w:szCs w:val="20"/>
              </w:rPr>
            </w:pPr>
            <w:r w:rsidRPr="00DD5883">
              <w:rPr>
                <w:b/>
                <w:szCs w:val="20"/>
              </w:rPr>
              <w:t>Annualized Total per event</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6E64696" w14:textId="77777777">
            <w:pP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B2EA855" w14:textId="77777777">
            <w:pPr>
              <w:jc w:val="center"/>
              <w:rPr>
                <w:rFonts w:eastAsia="Arial"/>
                <w:szCs w:val="20"/>
              </w:rPr>
            </w:pPr>
            <w:r w:rsidRPr="00DD5883">
              <w:rPr>
                <w:b/>
                <w:szCs w:val="20"/>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7FC956D" w14:textId="77777777">
            <w:pPr>
              <w:jc w:val="center"/>
              <w:rPr>
                <w:rFonts w:eastAsia="Arial"/>
                <w:szCs w:val="20"/>
              </w:rPr>
            </w:pPr>
            <w:r w:rsidRPr="00DD5883">
              <w:rPr>
                <w:b/>
                <w:szCs w:val="20"/>
              </w:rPr>
              <w:t>$328</w:t>
            </w:r>
          </w:p>
        </w:tc>
      </w:tr>
      <w:tr w14:paraId="7F0C3808" w14:textId="77777777" w:rsidTr="00BB719A">
        <w:tblPrEx>
          <w:tblW w:w="9810" w:type="dxa"/>
          <w:tblLayout w:type="fixed"/>
          <w:tblLook w:val="0600"/>
        </w:tblPrEx>
        <w:trPr>
          <w:trHeight w:val="17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0587B8E7"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2CD3C0D" w14:textId="77777777">
            <w:pPr>
              <w:jc w:val="center"/>
              <w:rPr>
                <w:rFonts w:eastAsia="Arial"/>
                <w:szCs w:val="20"/>
              </w:rPr>
            </w:pPr>
            <w:r w:rsidRPr="00DD5883">
              <w:rPr>
                <w:szCs w:val="20"/>
                <w:u w:val="single"/>
              </w:rPr>
              <w:t># of Events/year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6859929" w14:textId="77777777">
            <w:pPr>
              <w:jc w:val="cente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E519CF3" w14:textId="77777777">
            <w:pPr>
              <w:jc w:val="center"/>
              <w:rPr>
                <w:rFonts w:eastAsia="Arial"/>
                <w:szCs w:val="20"/>
              </w:rPr>
            </w:pP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BFEF50F" w14:textId="77777777">
            <w:pPr>
              <w:jc w:val="center"/>
              <w:rPr>
                <w:rFonts w:eastAsia="Arial"/>
                <w:szCs w:val="20"/>
              </w:rPr>
            </w:pPr>
          </w:p>
        </w:tc>
      </w:tr>
      <w:tr w14:paraId="6F9E8E28" w14:textId="77777777" w:rsidTr="00BB719A">
        <w:tblPrEx>
          <w:tblW w:w="9810" w:type="dxa"/>
          <w:tblLayout w:type="fixed"/>
          <w:tblLook w:val="0600"/>
        </w:tblPrEx>
        <w:trPr>
          <w:trHeight w:val="143"/>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12CE8737"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182609A5" w14:textId="77777777">
            <w:pPr>
              <w:jc w:val="right"/>
              <w:rPr>
                <w:rFonts w:eastAsia="Arial"/>
                <w:szCs w:val="20"/>
              </w:rPr>
            </w:pPr>
            <w:r w:rsidRPr="00DD5883">
              <w:rPr>
                <w:szCs w:val="20"/>
              </w:rPr>
              <w:t>Existing RHCs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64CCF6B" w14:textId="77777777">
            <w:pPr>
              <w:jc w:val="center"/>
              <w:rPr>
                <w:rFonts w:eastAsia="Arial"/>
                <w:szCs w:val="20"/>
              </w:rPr>
            </w:pPr>
            <w:r w:rsidRPr="00DD5883">
              <w:rPr>
                <w:szCs w:val="20"/>
              </w:rPr>
              <w:t>5,349</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BBDF27E" w14:textId="77777777">
            <w:pPr>
              <w:jc w:val="center"/>
              <w:rPr>
                <w:rFonts w:eastAsia="Arial"/>
                <w:szCs w:val="20"/>
              </w:rPr>
            </w:pPr>
            <w:r w:rsidRPr="00DD5883">
              <w:rPr>
                <w:szCs w:val="20"/>
              </w:rPr>
              <w:t>10,698</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10CB592" w14:textId="77777777">
            <w:pPr>
              <w:jc w:val="center"/>
              <w:rPr>
                <w:rFonts w:eastAsia="Arial"/>
                <w:szCs w:val="20"/>
              </w:rPr>
            </w:pPr>
            <w:r w:rsidRPr="00DD5883">
              <w:rPr>
                <w:szCs w:val="20"/>
              </w:rPr>
              <w:t>$3,508,944</w:t>
            </w:r>
          </w:p>
        </w:tc>
      </w:tr>
      <w:tr w14:paraId="5BE1C5A4" w14:textId="77777777" w:rsidTr="00BB719A">
        <w:tblPrEx>
          <w:tblW w:w="9810" w:type="dxa"/>
          <w:tblLayout w:type="fixed"/>
          <w:tblLook w:val="0600"/>
        </w:tblPrEx>
        <w:trPr>
          <w:trHeight w:val="116"/>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30C098DB"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67B4DB01" w14:textId="77777777">
            <w:pPr>
              <w:jc w:val="right"/>
              <w:rPr>
                <w:rFonts w:eastAsia="Arial"/>
                <w:szCs w:val="20"/>
              </w:rPr>
            </w:pPr>
            <w:r w:rsidRPr="00DD5883">
              <w:rPr>
                <w:szCs w:val="20"/>
              </w:rPr>
              <w:t>Existing FQHCs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2042A037" w14:textId="77777777">
            <w:pPr>
              <w:jc w:val="center"/>
              <w:rPr>
                <w:rFonts w:eastAsia="Arial"/>
                <w:szCs w:val="20"/>
              </w:rPr>
            </w:pPr>
            <w:r w:rsidRPr="00DD5883">
              <w:rPr>
                <w:szCs w:val="20"/>
              </w:rPr>
              <w:t>11,252</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37091235" w14:textId="77777777">
            <w:pPr>
              <w:jc w:val="center"/>
              <w:rPr>
                <w:rFonts w:eastAsia="Arial"/>
                <w:szCs w:val="20"/>
              </w:rPr>
            </w:pPr>
            <w:r w:rsidRPr="00DD5883">
              <w:rPr>
                <w:szCs w:val="20"/>
              </w:rPr>
              <w:t>22,504</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20C45E1" w14:textId="77777777">
            <w:pPr>
              <w:jc w:val="center"/>
              <w:rPr>
                <w:rFonts w:eastAsia="Arial"/>
                <w:szCs w:val="20"/>
              </w:rPr>
            </w:pPr>
            <w:r w:rsidRPr="00DD5883">
              <w:rPr>
                <w:szCs w:val="20"/>
              </w:rPr>
              <w:t>$7,381,312</w:t>
            </w:r>
          </w:p>
        </w:tc>
      </w:tr>
      <w:tr w14:paraId="30C6544C" w14:textId="77777777" w:rsidTr="00BB719A">
        <w:tblPrEx>
          <w:tblW w:w="9810" w:type="dxa"/>
          <w:tblLayout w:type="fixed"/>
          <w:tblLook w:val="0600"/>
        </w:tblPrEx>
        <w:trPr>
          <w:trHeight w:val="2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C2E3F" w:rsidRPr="00DD5883" w:rsidP="00BB719A" w14:paraId="7F681CFC" w14:textId="77777777">
            <w:pPr>
              <w:spacing w:line="276" w:lineRule="auto"/>
              <w:rPr>
                <w:rFonts w:eastAsia="Arial"/>
                <w:szCs w:val="20"/>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582CEBC7" w14:textId="77777777">
            <w:pPr>
              <w:rPr>
                <w:rFonts w:eastAsia="Arial"/>
                <w:szCs w:val="20"/>
              </w:rPr>
            </w:pPr>
            <w:r w:rsidRPr="00DD5883">
              <w:rPr>
                <w:b/>
                <w:szCs w:val="20"/>
              </w:rPr>
              <w:t>Annual Burden for all clinics/centers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4E5E116D" w14:textId="77777777">
            <w:pPr>
              <w:rPr>
                <w:rFonts w:eastAsia="Arial"/>
                <w:szCs w:val="20"/>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09CF5E2A" w14:textId="77777777">
            <w:pPr>
              <w:jc w:val="center"/>
              <w:rPr>
                <w:rFonts w:eastAsia="Arial"/>
                <w:szCs w:val="20"/>
              </w:rPr>
            </w:pPr>
            <w:r w:rsidRPr="00DD5883">
              <w:rPr>
                <w:b/>
                <w:szCs w:val="20"/>
              </w:rPr>
              <w:t>33,202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C2E3F" w:rsidRPr="00DD5883" w:rsidP="00BB719A" w14:paraId="735C2362" w14:textId="77777777">
            <w:pPr>
              <w:jc w:val="center"/>
              <w:rPr>
                <w:rFonts w:eastAsia="Arial"/>
                <w:szCs w:val="20"/>
              </w:rPr>
            </w:pPr>
            <w:r w:rsidRPr="00DD5883">
              <w:rPr>
                <w:b/>
                <w:szCs w:val="20"/>
              </w:rPr>
              <w:t>$10,890,256</w:t>
            </w:r>
          </w:p>
        </w:tc>
      </w:tr>
      <w:tr w14:paraId="6104560C" w14:textId="77777777" w:rsidTr="00BB719A">
        <w:tblPrEx>
          <w:tblW w:w="9810" w:type="dxa"/>
          <w:tblLayout w:type="fixed"/>
          <w:tblLook w:val="0600"/>
        </w:tblPrEx>
        <w:trPr>
          <w:trHeight w:val="206"/>
        </w:trPr>
        <w:tc>
          <w:tcPr>
            <w:tcW w:w="1515" w:type="dxa"/>
            <w:tcBorders>
              <w:top w:val="nil"/>
              <w:left w:val="nil"/>
              <w:bottom w:val="nil"/>
              <w:right w:val="nil"/>
            </w:tcBorders>
            <w:shd w:val="clear" w:color="auto" w:fill="auto"/>
            <w:tcMar>
              <w:top w:w="40" w:type="dxa"/>
              <w:left w:w="40" w:type="dxa"/>
              <w:bottom w:w="40" w:type="dxa"/>
              <w:right w:w="40" w:type="dxa"/>
            </w:tcMar>
            <w:vAlign w:val="bottom"/>
          </w:tcPr>
          <w:p w:rsidR="00DC2E3F" w:rsidRPr="00DD5883" w:rsidP="00BB719A" w14:paraId="439CBE74" w14:textId="77777777">
            <w:pPr>
              <w:rPr>
                <w:rFonts w:eastAsia="Arial"/>
                <w:szCs w:val="20"/>
              </w:rPr>
            </w:pPr>
          </w:p>
        </w:tc>
        <w:tc>
          <w:tcPr>
            <w:tcW w:w="442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DC2E3F" w:rsidRPr="00DD5883" w:rsidP="00BB719A" w14:paraId="6F432F9F" w14:textId="77777777">
            <w:pPr>
              <w:rPr>
                <w:rFonts w:eastAsia="Arial"/>
                <w:szCs w:val="20"/>
              </w:rPr>
            </w:pPr>
          </w:p>
        </w:tc>
        <w:tc>
          <w:tcPr>
            <w:tcW w:w="103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DC2E3F" w:rsidRPr="00DD5883" w:rsidP="00BB719A" w14:paraId="7F86CB89" w14:textId="77777777">
            <w:pPr>
              <w:rPr>
                <w:rFonts w:eastAsia="Arial"/>
                <w:szCs w:val="20"/>
              </w:rPr>
            </w:pPr>
          </w:p>
        </w:tc>
        <w:tc>
          <w:tcPr>
            <w:tcW w:w="127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DC2E3F" w:rsidRPr="00DD5883" w:rsidP="00BB719A" w14:paraId="713B52CF" w14:textId="77777777">
            <w:pPr>
              <w:rPr>
                <w:rFonts w:eastAsia="Arial"/>
                <w:szCs w:val="20"/>
              </w:rPr>
            </w:pPr>
          </w:p>
        </w:tc>
        <w:tc>
          <w:tcPr>
            <w:tcW w:w="1560"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DC2E3F" w:rsidRPr="00DD5883" w:rsidP="00BB719A" w14:paraId="0BE4BBC6" w14:textId="77777777">
            <w:pPr>
              <w:rPr>
                <w:rFonts w:eastAsia="Arial"/>
                <w:szCs w:val="20"/>
              </w:rPr>
            </w:pPr>
          </w:p>
        </w:tc>
      </w:tr>
      <w:tr w14:paraId="4E8C106F" w14:textId="77777777" w:rsidTr="00BB719A">
        <w:tblPrEx>
          <w:tblW w:w="9810" w:type="dxa"/>
          <w:tblLayout w:type="fixed"/>
          <w:tblLook w:val="0600"/>
        </w:tblPrEx>
        <w:trPr>
          <w:trHeight w:val="257"/>
        </w:trPr>
        <w:tc>
          <w:tcPr>
            <w:tcW w:w="15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rsidR="00DC2E3F" w:rsidRPr="00DD5883" w:rsidP="00BB719A" w14:paraId="7E65F042" w14:textId="77777777">
            <w:pPr>
              <w:rPr>
                <w:rFonts w:eastAsia="Arial"/>
                <w:szCs w:val="20"/>
              </w:rPr>
            </w:pPr>
          </w:p>
        </w:tc>
        <w:tc>
          <w:tcPr>
            <w:tcW w:w="4425" w:type="dxa"/>
            <w:tcBorders>
              <w:top w:val="nil"/>
              <w:left w:val="single" w:sz="6" w:space="0" w:color="000000"/>
              <w:bottom w:val="single" w:sz="6" w:space="0" w:color="000000"/>
              <w:right w:val="nil"/>
            </w:tcBorders>
            <w:tcMar>
              <w:top w:w="40" w:type="dxa"/>
              <w:left w:w="40" w:type="dxa"/>
              <w:bottom w:w="40" w:type="dxa"/>
              <w:right w:w="40" w:type="dxa"/>
            </w:tcMar>
            <w:vAlign w:val="bottom"/>
          </w:tcPr>
          <w:p w:rsidR="00DC2E3F" w:rsidRPr="00DD5883" w:rsidP="00BB719A" w14:paraId="27BF1561" w14:textId="77777777">
            <w:pPr>
              <w:rPr>
                <w:rFonts w:eastAsia="Arial"/>
                <w:szCs w:val="20"/>
              </w:rPr>
            </w:pPr>
            <w:r w:rsidRPr="00DD5883">
              <w:rPr>
                <w:b/>
                <w:szCs w:val="20"/>
              </w:rPr>
              <w:t>491.9(b) Total</w:t>
            </w:r>
          </w:p>
        </w:tc>
        <w:tc>
          <w:tcPr>
            <w:tcW w:w="103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DC2E3F" w:rsidRPr="00DD5883" w:rsidP="00BB719A" w14:paraId="68A3F863" w14:textId="77777777">
            <w:pPr>
              <w:rPr>
                <w:rFonts w:eastAsia="Arial"/>
                <w:szCs w:val="20"/>
              </w:rPr>
            </w:pPr>
          </w:p>
        </w:tc>
        <w:tc>
          <w:tcPr>
            <w:tcW w:w="127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DC2E3F" w:rsidRPr="00DD5883" w:rsidP="00BB719A" w14:paraId="757CD91C" w14:textId="77777777">
            <w:pPr>
              <w:jc w:val="center"/>
              <w:rPr>
                <w:rFonts w:eastAsia="Arial"/>
                <w:szCs w:val="20"/>
              </w:rPr>
            </w:pPr>
            <w:r w:rsidRPr="00DD5883">
              <w:rPr>
                <w:b/>
                <w:szCs w:val="20"/>
              </w:rPr>
              <w:t>43,822</w:t>
            </w:r>
          </w:p>
        </w:tc>
        <w:tc>
          <w:tcPr>
            <w:tcW w:w="156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DC2E3F" w:rsidRPr="00DD5883" w:rsidP="00BB719A" w14:paraId="51A1FDA2" w14:textId="77777777">
            <w:pPr>
              <w:jc w:val="center"/>
              <w:rPr>
                <w:rFonts w:eastAsia="Arial"/>
                <w:szCs w:val="20"/>
              </w:rPr>
            </w:pPr>
            <w:r w:rsidRPr="00DD5883">
              <w:rPr>
                <w:b/>
                <w:szCs w:val="20"/>
              </w:rPr>
              <w:t>$28,307,056</w:t>
            </w:r>
          </w:p>
        </w:tc>
      </w:tr>
    </w:tbl>
    <w:p w:rsidR="00DC2E3F" w:rsidP="00DC2E3F" w14:paraId="6E5F5155" w14:textId="77777777">
      <w:pPr>
        <w:rPr>
          <w:sz w:val="24"/>
        </w:rPr>
      </w:pPr>
    </w:p>
    <w:p w:rsidR="00DC2E3F" w:rsidRPr="006A58F5" w:rsidP="00DC2E3F" w14:paraId="59C01001" w14:textId="76AFBCF2">
      <w:pPr>
        <w:pStyle w:val="Caption"/>
        <w:keepNext/>
        <w:spacing w:after="0"/>
        <w:jc w:val="center"/>
        <w:rPr>
          <w:sz w:val="24"/>
        </w:rPr>
      </w:pPr>
      <w:r>
        <w:rPr>
          <w:i w:val="0"/>
          <w:iCs w:val="0"/>
          <w:color w:val="auto"/>
          <w:sz w:val="24"/>
          <w:szCs w:val="24"/>
        </w:rPr>
        <w:t xml:space="preserve">PROPOSED </w:t>
      </w:r>
      <w:r w:rsidRPr="006A58F5">
        <w:rPr>
          <w:i w:val="0"/>
          <w:iCs w:val="0"/>
          <w:color w:val="auto"/>
          <w:sz w:val="24"/>
          <w:szCs w:val="24"/>
        </w:rPr>
        <w:t xml:space="preserve">Table </w:t>
      </w:r>
      <w:r>
        <w:rPr>
          <w:i w:val="0"/>
          <w:iCs w:val="0"/>
          <w:color w:val="auto"/>
          <w:sz w:val="24"/>
          <w:szCs w:val="24"/>
        </w:rPr>
        <w:t>3</w:t>
      </w:r>
      <w:r w:rsidR="000C667B">
        <w:rPr>
          <w:i w:val="0"/>
          <w:iCs w:val="0"/>
          <w:color w:val="auto"/>
          <w:sz w:val="24"/>
          <w:szCs w:val="24"/>
        </w:rPr>
        <w:t xml:space="preserve"> (see Section 12, above)</w:t>
      </w:r>
      <w:r>
        <w:rPr>
          <w:i w:val="0"/>
          <w:iCs w:val="0"/>
          <w:color w:val="auto"/>
          <w:sz w:val="24"/>
          <w:szCs w:val="24"/>
        </w:rPr>
        <w:t xml:space="preserve">. </w:t>
      </w:r>
      <w:r w:rsidRPr="00597E48">
        <w:rPr>
          <w:i w:val="0"/>
          <w:color w:val="auto"/>
          <w:sz w:val="24"/>
          <w:szCs w:val="24"/>
        </w:rPr>
        <w:t xml:space="preserve">Annual Burden for </w:t>
      </w:r>
      <w:r>
        <w:rPr>
          <w:i w:val="0"/>
          <w:iCs w:val="0"/>
          <w:color w:val="auto"/>
          <w:sz w:val="24"/>
        </w:rPr>
        <w:t>Initial Policy Development</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0"/>
        <w:gridCol w:w="1239"/>
        <w:gridCol w:w="1061"/>
        <w:gridCol w:w="983"/>
        <w:gridCol w:w="930"/>
        <w:gridCol w:w="1848"/>
        <w:gridCol w:w="1401"/>
      </w:tblGrid>
      <w:tr w14:paraId="0275997E" w14:textId="77777777" w:rsidTr="00BB719A">
        <w:tblPrEx>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3832E66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bCs/>
                <w:szCs w:val="20"/>
              </w:rPr>
              <w:t>Requirement</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13BD064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bCs/>
                <w:szCs w:val="20"/>
              </w:rPr>
              <w:t>Respondents</w:t>
            </w:r>
          </w:p>
        </w:tc>
        <w:tc>
          <w:tcPr>
            <w:tcW w:w="976"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55A6D95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bCs/>
                <w:szCs w:val="20"/>
              </w:rPr>
              <w:t>Responses</w:t>
            </w:r>
          </w:p>
        </w:tc>
        <w:tc>
          <w:tcPr>
            <w:tcW w:w="906"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7CECA8A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bCs/>
                <w:szCs w:val="20"/>
              </w:rPr>
              <w:t>Time per Response (hr)</w:t>
            </w:r>
          </w:p>
        </w:tc>
        <w:tc>
          <w:tcPr>
            <w:tcW w:w="981"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1E0E3A6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bCs/>
                <w:szCs w:val="20"/>
              </w:rPr>
              <w:t>Total Time (hr)</w:t>
            </w:r>
          </w:p>
        </w:tc>
        <w:tc>
          <w:tcPr>
            <w:tcW w:w="2046"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22E24187" w14:textId="77777777">
            <w:pPr>
              <w:widowControl/>
              <w:jc w:val="center"/>
              <w:rPr>
                <w:szCs w:val="20"/>
              </w:rPr>
            </w:pPr>
            <w:r w:rsidRPr="00DD5883">
              <w:rPr>
                <w:bCs/>
                <w:szCs w:val="20"/>
              </w:rPr>
              <w:t>Labor Cost ($/hr)</w:t>
            </w:r>
          </w:p>
        </w:tc>
        <w:tc>
          <w:tcPr>
            <w:tcW w:w="1521" w:type="dxa"/>
            <w:tcBorders>
              <w:top w:val="single" w:sz="4" w:space="0" w:color="auto"/>
              <w:left w:val="single" w:sz="4" w:space="0" w:color="auto"/>
              <w:bottom w:val="single" w:sz="4" w:space="0" w:color="auto"/>
              <w:right w:val="single" w:sz="4" w:space="0" w:color="auto"/>
            </w:tcBorders>
            <w:vAlign w:val="center"/>
            <w:hideMark/>
          </w:tcPr>
          <w:p w:rsidR="00DC2E3F" w:rsidRPr="00DD5883" w:rsidP="00BB719A" w14:paraId="5CF8AA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szCs w:val="20"/>
              </w:rPr>
              <w:t>Total Cost</w:t>
            </w:r>
          </w:p>
          <w:p w:rsidR="00DC2E3F" w:rsidRPr="00DD5883" w:rsidP="00BB719A" w14:paraId="4AC1A8C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szCs w:val="20"/>
              </w:rPr>
              <w:t>($)</w:t>
            </w:r>
          </w:p>
        </w:tc>
      </w:tr>
      <w:tr w14:paraId="6D1F9414" w14:textId="77777777" w:rsidTr="00BB719A">
        <w:tblPrEx>
          <w:tblW w:w="8712" w:type="dxa"/>
          <w:jc w:val="center"/>
          <w:tblLook w:val="00A0"/>
        </w:tblPrEx>
        <w:trPr>
          <w:tblHeader/>
          <w:jc w:val="center"/>
        </w:trPr>
        <w:tc>
          <w:tcPr>
            <w:tcW w:w="1146" w:type="dxa"/>
            <w:vMerge w:val="restart"/>
            <w:tcBorders>
              <w:top w:val="single" w:sz="4" w:space="0" w:color="auto"/>
              <w:left w:val="single" w:sz="4" w:space="0" w:color="auto"/>
              <w:right w:val="single" w:sz="4" w:space="0" w:color="auto"/>
            </w:tcBorders>
            <w:vAlign w:val="center"/>
          </w:tcPr>
          <w:p w:rsidR="00DC2E3F" w:rsidRPr="00DD5883" w:rsidP="00BB719A" w14:paraId="748E222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zCs w:val="20"/>
              </w:rPr>
            </w:pPr>
            <w:r w:rsidRPr="00DD5883">
              <w:rPr>
                <w:bCs/>
                <w:szCs w:val="20"/>
              </w:rPr>
              <w:t>Initial policy development for a new clinic or center (§ 491.9(b)(2)</w:t>
            </w:r>
          </w:p>
        </w:tc>
        <w:tc>
          <w:tcPr>
            <w:tcW w:w="1136" w:type="dxa"/>
            <w:vMerge w:val="restart"/>
            <w:tcBorders>
              <w:top w:val="single" w:sz="4" w:space="0" w:color="auto"/>
              <w:left w:val="single" w:sz="4" w:space="0" w:color="auto"/>
              <w:right w:val="single" w:sz="4" w:space="0" w:color="auto"/>
            </w:tcBorders>
            <w:vAlign w:val="center"/>
          </w:tcPr>
          <w:p w:rsidR="00DC2E3F" w:rsidRPr="00DD5883" w:rsidP="00BB719A" w14:paraId="0BC138E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bCs/>
                <w:szCs w:val="20"/>
              </w:rPr>
              <w:t>1,091 (323 New RHCs + 768 New FQHCs)</w:t>
            </w:r>
          </w:p>
        </w:tc>
        <w:tc>
          <w:tcPr>
            <w:tcW w:w="97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0EB0640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1,091</w:t>
            </w:r>
          </w:p>
        </w:tc>
        <w:tc>
          <w:tcPr>
            <w:tcW w:w="90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1FF9911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5</w:t>
            </w:r>
          </w:p>
        </w:tc>
        <w:tc>
          <w:tcPr>
            <w:tcW w:w="981"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4441176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5,455</w:t>
            </w:r>
          </w:p>
        </w:tc>
        <w:tc>
          <w:tcPr>
            <w:tcW w:w="204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102C56D0" w14:textId="77777777">
            <w:pPr>
              <w:widowControl/>
              <w:jc w:val="center"/>
              <w:rPr>
                <w:szCs w:val="20"/>
              </w:rPr>
            </w:pPr>
            <w:r w:rsidRPr="00DD5883">
              <w:rPr>
                <w:szCs w:val="20"/>
              </w:rPr>
              <w:t>253.70</w:t>
            </w:r>
          </w:p>
          <w:p w:rsidR="00DC2E3F" w:rsidRPr="00DD5883" w:rsidP="00BB719A" w14:paraId="100B3578" w14:textId="77777777">
            <w:pPr>
              <w:widowControl/>
              <w:jc w:val="center"/>
              <w:rPr>
                <w:bCs/>
                <w:szCs w:val="20"/>
              </w:rPr>
            </w:pPr>
            <w:r w:rsidRPr="00DD5883">
              <w:rPr>
                <w:szCs w:val="20"/>
              </w:rPr>
              <w:t>(Physician)</w:t>
            </w:r>
          </w:p>
        </w:tc>
        <w:tc>
          <w:tcPr>
            <w:tcW w:w="1521" w:type="dxa"/>
            <w:tcBorders>
              <w:top w:val="nil"/>
              <w:left w:val="nil"/>
              <w:bottom w:val="single" w:sz="8" w:space="0" w:color="auto"/>
              <w:right w:val="single" w:sz="8" w:space="0" w:color="auto"/>
            </w:tcBorders>
            <w:shd w:val="clear" w:color="auto" w:fill="auto"/>
            <w:vAlign w:val="center"/>
          </w:tcPr>
          <w:p w:rsidR="00DC2E3F" w:rsidRPr="00DD5883" w:rsidP="00BB719A" w14:paraId="190EF02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color w:val="000000"/>
                <w:szCs w:val="20"/>
              </w:rPr>
              <w:t>1,383,934</w:t>
            </w:r>
          </w:p>
        </w:tc>
      </w:tr>
      <w:tr w14:paraId="76089B6D" w14:textId="77777777" w:rsidTr="00BB719A">
        <w:tblPrEx>
          <w:tblW w:w="8712" w:type="dxa"/>
          <w:jc w:val="center"/>
          <w:tblLook w:val="00A0"/>
        </w:tblPrEx>
        <w:trPr>
          <w:tblHeader/>
          <w:jc w:val="center"/>
        </w:trPr>
        <w:tc>
          <w:tcPr>
            <w:tcW w:w="1146" w:type="dxa"/>
            <w:vMerge/>
            <w:tcBorders>
              <w:left w:val="single" w:sz="4" w:space="0" w:color="auto"/>
              <w:bottom w:val="single" w:sz="4" w:space="0" w:color="auto"/>
              <w:right w:val="single" w:sz="4" w:space="0" w:color="auto"/>
            </w:tcBorders>
            <w:vAlign w:val="center"/>
          </w:tcPr>
          <w:p w:rsidR="00DC2E3F" w:rsidRPr="00DD5883" w:rsidP="00BB719A" w14:paraId="6F80BEE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1136" w:type="dxa"/>
            <w:vMerge/>
            <w:tcBorders>
              <w:left w:val="single" w:sz="4" w:space="0" w:color="auto"/>
              <w:bottom w:val="single" w:sz="4" w:space="0" w:color="auto"/>
              <w:right w:val="single" w:sz="4" w:space="0" w:color="auto"/>
            </w:tcBorders>
            <w:vAlign w:val="center"/>
          </w:tcPr>
          <w:p w:rsidR="00DC2E3F" w:rsidRPr="00DD5883" w:rsidP="00BB719A" w14:paraId="39284C4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5A04229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1,091</w:t>
            </w:r>
          </w:p>
        </w:tc>
        <w:tc>
          <w:tcPr>
            <w:tcW w:w="90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6BAF643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5</w:t>
            </w:r>
          </w:p>
        </w:tc>
        <w:tc>
          <w:tcPr>
            <w:tcW w:w="981"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42A4E47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5,455</w:t>
            </w:r>
          </w:p>
        </w:tc>
        <w:tc>
          <w:tcPr>
            <w:tcW w:w="204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4ADD18D2" w14:textId="77777777">
            <w:pPr>
              <w:widowControl/>
              <w:jc w:val="center"/>
              <w:rPr>
                <w:szCs w:val="20"/>
              </w:rPr>
            </w:pPr>
            <w:r w:rsidRPr="00DD5883">
              <w:rPr>
                <w:szCs w:val="20"/>
              </w:rPr>
              <w:t>124.52</w:t>
            </w:r>
          </w:p>
          <w:p w:rsidR="00DC2E3F" w:rsidRPr="00DD5883" w:rsidP="00BB719A" w14:paraId="1F0E1299" w14:textId="77777777">
            <w:pPr>
              <w:widowControl/>
              <w:jc w:val="center"/>
              <w:rPr>
                <w:bCs/>
                <w:szCs w:val="20"/>
              </w:rPr>
            </w:pPr>
            <w:r w:rsidRPr="00DD5883">
              <w:rPr>
                <w:szCs w:val="20"/>
              </w:rPr>
              <w:t>(Mid-level Practitioner)</w:t>
            </w:r>
          </w:p>
        </w:tc>
        <w:tc>
          <w:tcPr>
            <w:tcW w:w="1521" w:type="dxa"/>
            <w:tcBorders>
              <w:top w:val="nil"/>
              <w:left w:val="nil"/>
              <w:bottom w:val="single" w:sz="8" w:space="0" w:color="auto"/>
              <w:right w:val="single" w:sz="8" w:space="0" w:color="auto"/>
            </w:tcBorders>
            <w:shd w:val="clear" w:color="auto" w:fill="auto"/>
            <w:vAlign w:val="center"/>
          </w:tcPr>
          <w:p w:rsidR="00DC2E3F" w:rsidRPr="00DD5883" w:rsidP="00BB719A" w14:paraId="79EC37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color w:val="000000"/>
                <w:szCs w:val="20"/>
              </w:rPr>
              <w:t>679,257</w:t>
            </w:r>
          </w:p>
        </w:tc>
      </w:tr>
      <w:tr w14:paraId="20723E21" w14:textId="77777777" w:rsidTr="00BB719A">
        <w:tblPrEx>
          <w:tblW w:w="8712" w:type="dxa"/>
          <w:jc w:val="center"/>
          <w:tblLook w:val="00A0"/>
        </w:tblPrEx>
        <w:trPr>
          <w:tblHeader/>
          <w:jc w:val="center"/>
        </w:trPr>
        <w:tc>
          <w:tcPr>
            <w:tcW w:w="114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433F9D4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TOTAL</w:t>
            </w:r>
          </w:p>
        </w:tc>
        <w:tc>
          <w:tcPr>
            <w:tcW w:w="113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7A82AB2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1,091</w:t>
            </w:r>
          </w:p>
        </w:tc>
        <w:tc>
          <w:tcPr>
            <w:tcW w:w="97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01ECCDA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1,091</w:t>
            </w:r>
          </w:p>
        </w:tc>
        <w:tc>
          <w:tcPr>
            <w:tcW w:w="90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7499B15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w:t>
            </w:r>
          </w:p>
        </w:tc>
        <w:tc>
          <w:tcPr>
            <w:tcW w:w="981"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4736441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zCs w:val="20"/>
              </w:rPr>
            </w:pPr>
            <w:r w:rsidRPr="00DD5883">
              <w:rPr>
                <w:szCs w:val="20"/>
              </w:rPr>
              <w:t>10,910</w:t>
            </w:r>
          </w:p>
        </w:tc>
        <w:tc>
          <w:tcPr>
            <w:tcW w:w="2046"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07DFB261" w14:textId="77777777">
            <w:pPr>
              <w:widowControl/>
              <w:jc w:val="center"/>
              <w:rPr>
                <w:bCs/>
                <w:szCs w:val="20"/>
              </w:rPr>
            </w:pPr>
            <w:r w:rsidRPr="00DD5883">
              <w:rPr>
                <w:szCs w:val="20"/>
              </w:rPr>
              <w:t>varies</w:t>
            </w:r>
          </w:p>
        </w:tc>
        <w:tc>
          <w:tcPr>
            <w:tcW w:w="1521" w:type="dxa"/>
            <w:tcBorders>
              <w:top w:val="single" w:sz="4" w:space="0" w:color="auto"/>
              <w:left w:val="single" w:sz="4" w:space="0" w:color="auto"/>
              <w:bottom w:val="single" w:sz="4" w:space="0" w:color="auto"/>
              <w:right w:val="single" w:sz="4" w:space="0" w:color="auto"/>
            </w:tcBorders>
            <w:vAlign w:val="center"/>
          </w:tcPr>
          <w:p w:rsidR="00DC2E3F" w:rsidRPr="00DD5883" w:rsidP="00BB719A" w14:paraId="2BCADC4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DD5883">
              <w:rPr>
                <w:szCs w:val="20"/>
              </w:rPr>
              <w:t>2,063,190</w:t>
            </w:r>
          </w:p>
        </w:tc>
      </w:tr>
    </w:tbl>
    <w:p w:rsidR="00DC2E3F" w:rsidP="00DC2E3F" w14:paraId="59C64EC1" w14:textId="77777777">
      <w:pPr>
        <w:rPr>
          <w:sz w:val="24"/>
        </w:rPr>
      </w:pPr>
    </w:p>
    <w:p w:rsidR="00DC2E3F" w:rsidRPr="009E068A" w:rsidP="00DC2E3F" w14:paraId="27C828FE" w14:textId="67F79371">
      <w:pPr>
        <w:pStyle w:val="Caption"/>
        <w:keepNext/>
        <w:spacing w:after="0"/>
        <w:jc w:val="center"/>
        <w:rPr>
          <w:sz w:val="24"/>
        </w:rPr>
      </w:pPr>
      <w:r>
        <w:rPr>
          <w:i w:val="0"/>
          <w:iCs w:val="0"/>
          <w:color w:val="auto"/>
          <w:sz w:val="24"/>
          <w:szCs w:val="24"/>
        </w:rPr>
        <w:t xml:space="preserve">PROPOSED </w:t>
      </w:r>
      <w:r w:rsidRPr="009E068A">
        <w:rPr>
          <w:i w:val="0"/>
          <w:iCs w:val="0"/>
          <w:color w:val="auto"/>
          <w:sz w:val="24"/>
          <w:szCs w:val="24"/>
        </w:rPr>
        <w:t>Table 4</w:t>
      </w:r>
      <w:r w:rsidR="000C667B">
        <w:rPr>
          <w:i w:val="0"/>
          <w:iCs w:val="0"/>
          <w:color w:val="auto"/>
          <w:sz w:val="24"/>
          <w:szCs w:val="24"/>
        </w:rPr>
        <w:t xml:space="preserve"> </w:t>
      </w:r>
      <w:r w:rsidR="000C667B">
        <w:rPr>
          <w:i w:val="0"/>
          <w:iCs w:val="0"/>
          <w:color w:val="auto"/>
          <w:sz w:val="24"/>
          <w:szCs w:val="24"/>
        </w:rPr>
        <w:t>(see Section 12, above)</w:t>
      </w:r>
      <w:r w:rsidRPr="009E068A">
        <w:rPr>
          <w:i w:val="0"/>
          <w:iCs w:val="0"/>
          <w:color w:val="auto"/>
          <w:sz w:val="24"/>
          <w:szCs w:val="24"/>
        </w:rPr>
        <w:t xml:space="preserve">. Annual Burden for </w:t>
      </w:r>
      <w:r w:rsidRPr="009E068A">
        <w:rPr>
          <w:i w:val="0"/>
          <w:iCs w:val="0"/>
          <w:color w:val="auto"/>
          <w:sz w:val="24"/>
        </w:rPr>
        <w:t>Periodic Reviews</w:t>
      </w:r>
    </w:p>
    <w:tbl>
      <w:tblPr>
        <w:tblStyle w:val="TableGrid"/>
        <w:tblW w:w="8995" w:type="dxa"/>
        <w:tblInd w:w="450" w:type="dxa"/>
        <w:tblLook w:val="04A0"/>
      </w:tblPr>
      <w:tblGrid>
        <w:gridCol w:w="1574"/>
        <w:gridCol w:w="1563"/>
        <w:gridCol w:w="1385"/>
        <w:gridCol w:w="1307"/>
        <w:gridCol w:w="1090"/>
        <w:gridCol w:w="1540"/>
        <w:gridCol w:w="1340"/>
      </w:tblGrid>
      <w:tr w14:paraId="1D7269B4" w14:textId="77777777" w:rsidTr="005D53D1">
        <w:tblPrEx>
          <w:tblW w:w="8995" w:type="dxa"/>
          <w:tblInd w:w="450" w:type="dxa"/>
          <w:tblLook w:val="04A0"/>
        </w:tblPrEx>
        <w:tc>
          <w:tcPr>
            <w:tcW w:w="1406" w:type="dxa"/>
            <w:vAlign w:val="center"/>
          </w:tcPr>
          <w:p w:rsidR="00DC2E3F" w:rsidRPr="00DD5883" w:rsidP="00BB719A" w14:paraId="44D95ACF" w14:textId="77777777">
            <w:pPr>
              <w:ind w:right="324"/>
              <w:jc w:val="center"/>
              <w:rPr>
                <w:szCs w:val="20"/>
              </w:rPr>
            </w:pPr>
            <w:r w:rsidRPr="00DD5883">
              <w:rPr>
                <w:szCs w:val="20"/>
              </w:rPr>
              <w:t>Requirement</w:t>
            </w:r>
          </w:p>
        </w:tc>
        <w:tc>
          <w:tcPr>
            <w:tcW w:w="1398" w:type="dxa"/>
            <w:vAlign w:val="center"/>
          </w:tcPr>
          <w:p w:rsidR="00DC2E3F" w:rsidRPr="00DD5883" w:rsidP="00BB719A" w14:paraId="617D9C6D" w14:textId="77777777">
            <w:pPr>
              <w:ind w:right="324"/>
              <w:jc w:val="center"/>
              <w:rPr>
                <w:szCs w:val="20"/>
              </w:rPr>
            </w:pPr>
            <w:r w:rsidRPr="00DD5883">
              <w:rPr>
                <w:szCs w:val="20"/>
              </w:rPr>
              <w:t>Respondents</w:t>
            </w:r>
          </w:p>
        </w:tc>
        <w:tc>
          <w:tcPr>
            <w:tcW w:w="1246" w:type="dxa"/>
            <w:vAlign w:val="center"/>
          </w:tcPr>
          <w:p w:rsidR="00DC2E3F" w:rsidRPr="00DD5883" w:rsidP="00BB719A" w14:paraId="2AE6EAA6" w14:textId="77777777">
            <w:pPr>
              <w:ind w:right="324"/>
              <w:jc w:val="center"/>
              <w:rPr>
                <w:szCs w:val="20"/>
              </w:rPr>
            </w:pPr>
            <w:r w:rsidRPr="00DD5883">
              <w:rPr>
                <w:szCs w:val="20"/>
              </w:rPr>
              <w:t>Responses</w:t>
            </w:r>
          </w:p>
        </w:tc>
        <w:tc>
          <w:tcPr>
            <w:tcW w:w="1179" w:type="dxa"/>
            <w:vAlign w:val="center"/>
          </w:tcPr>
          <w:p w:rsidR="00DC2E3F" w:rsidRPr="00DD5883" w:rsidP="00BB719A" w14:paraId="77C4AF1A" w14:textId="77777777">
            <w:pPr>
              <w:ind w:right="324"/>
              <w:jc w:val="center"/>
              <w:rPr>
                <w:szCs w:val="20"/>
              </w:rPr>
            </w:pPr>
            <w:r w:rsidRPr="00DD5883">
              <w:rPr>
                <w:szCs w:val="20"/>
              </w:rPr>
              <w:t>Time per Response (hr)</w:t>
            </w:r>
          </w:p>
        </w:tc>
        <w:tc>
          <w:tcPr>
            <w:tcW w:w="994" w:type="dxa"/>
            <w:vAlign w:val="center"/>
          </w:tcPr>
          <w:p w:rsidR="00DC2E3F" w:rsidRPr="00DD5883" w:rsidP="00BB719A" w14:paraId="4F7E7F9E" w14:textId="77777777">
            <w:pPr>
              <w:ind w:right="324"/>
              <w:jc w:val="center"/>
              <w:rPr>
                <w:szCs w:val="20"/>
              </w:rPr>
            </w:pPr>
            <w:r w:rsidRPr="00DD5883">
              <w:rPr>
                <w:szCs w:val="20"/>
              </w:rPr>
              <w:t>Total Time (hr)</w:t>
            </w:r>
          </w:p>
        </w:tc>
        <w:tc>
          <w:tcPr>
            <w:tcW w:w="1379" w:type="dxa"/>
            <w:vAlign w:val="center"/>
          </w:tcPr>
          <w:p w:rsidR="00DC2E3F" w:rsidRPr="00DD5883" w:rsidP="00BB719A" w14:paraId="42F29DF3" w14:textId="77777777">
            <w:pPr>
              <w:ind w:right="324"/>
              <w:jc w:val="center"/>
              <w:rPr>
                <w:szCs w:val="20"/>
              </w:rPr>
            </w:pPr>
            <w:r w:rsidRPr="00DD5883">
              <w:rPr>
                <w:szCs w:val="20"/>
              </w:rPr>
              <w:t>Labor Cost ($/hr)</w:t>
            </w:r>
          </w:p>
        </w:tc>
        <w:tc>
          <w:tcPr>
            <w:tcW w:w="1393" w:type="dxa"/>
            <w:vAlign w:val="center"/>
          </w:tcPr>
          <w:p w:rsidR="00DC2E3F" w:rsidRPr="00DD5883" w:rsidP="00BB719A" w14:paraId="70A24D0A" w14:textId="77777777">
            <w:pPr>
              <w:ind w:right="324"/>
              <w:jc w:val="center"/>
              <w:rPr>
                <w:szCs w:val="20"/>
              </w:rPr>
            </w:pPr>
            <w:r w:rsidRPr="00DD5883">
              <w:rPr>
                <w:szCs w:val="20"/>
              </w:rPr>
              <w:t>Total Cost ($)</w:t>
            </w:r>
          </w:p>
        </w:tc>
      </w:tr>
      <w:tr w14:paraId="0725ACC7" w14:textId="77777777" w:rsidTr="005D53D1">
        <w:tblPrEx>
          <w:tblW w:w="8995" w:type="dxa"/>
          <w:tblInd w:w="450" w:type="dxa"/>
          <w:tblLook w:val="04A0"/>
        </w:tblPrEx>
        <w:trPr>
          <w:trHeight w:val="665"/>
        </w:trPr>
        <w:tc>
          <w:tcPr>
            <w:tcW w:w="1406" w:type="dxa"/>
            <w:vMerge w:val="restart"/>
            <w:vAlign w:val="center"/>
          </w:tcPr>
          <w:p w:rsidR="00DC2E3F" w:rsidRPr="00DD5883" w:rsidP="00BB719A" w14:paraId="494DD59D" w14:textId="77777777">
            <w:pPr>
              <w:ind w:right="324"/>
              <w:rPr>
                <w:szCs w:val="20"/>
              </w:rPr>
            </w:pPr>
            <w:r w:rsidRPr="00DD5883">
              <w:rPr>
                <w:szCs w:val="20"/>
              </w:rPr>
              <w:t xml:space="preserve">Biennial review of existing policies for every Medicare-certified clinic/center </w:t>
            </w:r>
            <w:r w:rsidRPr="00DD5883">
              <w:rPr>
                <w:bCs/>
                <w:szCs w:val="20"/>
              </w:rPr>
              <w:t>(§ 491.9(b)(2)</w:t>
            </w:r>
          </w:p>
        </w:tc>
        <w:tc>
          <w:tcPr>
            <w:tcW w:w="1398" w:type="dxa"/>
            <w:vMerge w:val="restart"/>
            <w:vAlign w:val="center"/>
          </w:tcPr>
          <w:p w:rsidR="00DC2E3F" w:rsidRPr="00DD5883" w:rsidP="00BB719A" w14:paraId="4A08BCDB" w14:textId="77777777">
            <w:pPr>
              <w:ind w:right="324"/>
              <w:jc w:val="center"/>
              <w:rPr>
                <w:szCs w:val="20"/>
              </w:rPr>
            </w:pPr>
            <w:r w:rsidRPr="00DD5883">
              <w:rPr>
                <w:bCs/>
                <w:szCs w:val="20"/>
              </w:rPr>
              <w:t>17,389 (5,537 Existing RHCs + 11,852 Existing FQHCs)</w:t>
            </w:r>
          </w:p>
        </w:tc>
        <w:tc>
          <w:tcPr>
            <w:tcW w:w="1246" w:type="dxa"/>
            <w:vAlign w:val="center"/>
          </w:tcPr>
          <w:p w:rsidR="00DC2E3F" w:rsidRPr="00DD5883" w:rsidP="00BB719A" w14:paraId="4C41E8B6" w14:textId="77777777">
            <w:pPr>
              <w:ind w:right="324"/>
              <w:jc w:val="center"/>
              <w:rPr>
                <w:szCs w:val="20"/>
              </w:rPr>
            </w:pPr>
            <w:r w:rsidRPr="00DD5883">
              <w:rPr>
                <w:szCs w:val="20"/>
              </w:rPr>
              <w:t>17,389</w:t>
            </w:r>
          </w:p>
        </w:tc>
        <w:tc>
          <w:tcPr>
            <w:tcW w:w="1179" w:type="dxa"/>
            <w:vAlign w:val="center"/>
          </w:tcPr>
          <w:p w:rsidR="00DC2E3F" w:rsidRPr="00DD5883" w:rsidP="00BB719A" w14:paraId="17896F14" w14:textId="77777777">
            <w:pPr>
              <w:ind w:right="324"/>
              <w:jc w:val="center"/>
              <w:rPr>
                <w:szCs w:val="20"/>
              </w:rPr>
            </w:pPr>
            <w:r w:rsidRPr="00DD5883">
              <w:rPr>
                <w:szCs w:val="20"/>
              </w:rPr>
              <w:t>1</w:t>
            </w:r>
          </w:p>
        </w:tc>
        <w:tc>
          <w:tcPr>
            <w:tcW w:w="994" w:type="dxa"/>
            <w:vAlign w:val="center"/>
          </w:tcPr>
          <w:p w:rsidR="00DC2E3F" w:rsidRPr="00DD5883" w:rsidP="00BB719A" w14:paraId="0E770765" w14:textId="77777777">
            <w:pPr>
              <w:ind w:right="324"/>
              <w:jc w:val="center"/>
              <w:rPr>
                <w:szCs w:val="20"/>
              </w:rPr>
            </w:pPr>
            <w:r w:rsidRPr="00DD5883">
              <w:rPr>
                <w:szCs w:val="20"/>
              </w:rPr>
              <w:t>17,389</w:t>
            </w:r>
          </w:p>
        </w:tc>
        <w:tc>
          <w:tcPr>
            <w:tcW w:w="1379" w:type="dxa"/>
            <w:vAlign w:val="center"/>
          </w:tcPr>
          <w:p w:rsidR="00DC2E3F" w:rsidRPr="00DD5883" w:rsidP="00BB719A" w14:paraId="076358DB" w14:textId="77777777">
            <w:pPr>
              <w:ind w:right="324"/>
              <w:jc w:val="center"/>
              <w:rPr>
                <w:szCs w:val="20"/>
              </w:rPr>
            </w:pPr>
            <w:r w:rsidRPr="00DD5883">
              <w:rPr>
                <w:szCs w:val="20"/>
              </w:rPr>
              <w:t>253.70 (Physician)</w:t>
            </w:r>
          </w:p>
        </w:tc>
        <w:tc>
          <w:tcPr>
            <w:tcW w:w="1393" w:type="dxa"/>
            <w:vAlign w:val="center"/>
          </w:tcPr>
          <w:p w:rsidR="00DC2E3F" w:rsidRPr="00DD5883" w:rsidP="00BB719A" w14:paraId="09546EA7" w14:textId="77777777">
            <w:pPr>
              <w:ind w:right="324"/>
              <w:jc w:val="center"/>
              <w:rPr>
                <w:szCs w:val="20"/>
              </w:rPr>
            </w:pPr>
            <w:r w:rsidRPr="00DD5883">
              <w:rPr>
                <w:szCs w:val="20"/>
              </w:rPr>
              <w:t>4,411,589</w:t>
            </w:r>
          </w:p>
        </w:tc>
      </w:tr>
      <w:tr w14:paraId="28CF5D5A" w14:textId="77777777" w:rsidTr="005D53D1">
        <w:tblPrEx>
          <w:tblW w:w="8995" w:type="dxa"/>
          <w:tblInd w:w="450" w:type="dxa"/>
          <w:tblLook w:val="04A0"/>
        </w:tblPrEx>
        <w:tc>
          <w:tcPr>
            <w:tcW w:w="1406" w:type="dxa"/>
            <w:vMerge/>
            <w:vAlign w:val="center"/>
          </w:tcPr>
          <w:p w:rsidR="00DC2E3F" w:rsidRPr="00DD5883" w:rsidP="00BB719A" w14:paraId="4B61F2EF" w14:textId="77777777">
            <w:pPr>
              <w:ind w:right="324"/>
              <w:jc w:val="center"/>
              <w:rPr>
                <w:szCs w:val="20"/>
              </w:rPr>
            </w:pPr>
          </w:p>
        </w:tc>
        <w:tc>
          <w:tcPr>
            <w:tcW w:w="1398" w:type="dxa"/>
            <w:vMerge/>
            <w:vAlign w:val="center"/>
          </w:tcPr>
          <w:p w:rsidR="00DC2E3F" w:rsidRPr="00DD5883" w:rsidP="00BB719A" w14:paraId="07B18DD9" w14:textId="77777777">
            <w:pPr>
              <w:ind w:right="324"/>
              <w:jc w:val="center"/>
              <w:rPr>
                <w:bCs/>
                <w:szCs w:val="20"/>
              </w:rPr>
            </w:pPr>
          </w:p>
        </w:tc>
        <w:tc>
          <w:tcPr>
            <w:tcW w:w="1246" w:type="dxa"/>
            <w:vAlign w:val="center"/>
          </w:tcPr>
          <w:p w:rsidR="00DC2E3F" w:rsidRPr="00DD5883" w:rsidP="00BB719A" w14:paraId="419B7B33" w14:textId="77777777">
            <w:pPr>
              <w:ind w:right="324"/>
              <w:jc w:val="center"/>
              <w:rPr>
                <w:szCs w:val="20"/>
              </w:rPr>
            </w:pPr>
            <w:r w:rsidRPr="00DD5883">
              <w:rPr>
                <w:szCs w:val="20"/>
              </w:rPr>
              <w:t>17,389</w:t>
            </w:r>
          </w:p>
        </w:tc>
        <w:tc>
          <w:tcPr>
            <w:tcW w:w="1179" w:type="dxa"/>
            <w:vAlign w:val="center"/>
          </w:tcPr>
          <w:p w:rsidR="00DC2E3F" w:rsidRPr="00DD5883" w:rsidP="00BB719A" w14:paraId="04D2244E" w14:textId="77777777">
            <w:pPr>
              <w:ind w:right="324"/>
              <w:jc w:val="center"/>
              <w:rPr>
                <w:szCs w:val="20"/>
              </w:rPr>
            </w:pPr>
            <w:r w:rsidRPr="00DD5883">
              <w:rPr>
                <w:szCs w:val="20"/>
              </w:rPr>
              <w:t>1</w:t>
            </w:r>
          </w:p>
        </w:tc>
        <w:tc>
          <w:tcPr>
            <w:tcW w:w="994" w:type="dxa"/>
            <w:vAlign w:val="center"/>
          </w:tcPr>
          <w:p w:rsidR="00DC2E3F" w:rsidRPr="00DD5883" w:rsidP="00BB719A" w14:paraId="0CC77079" w14:textId="77777777">
            <w:pPr>
              <w:ind w:right="324"/>
              <w:jc w:val="center"/>
              <w:rPr>
                <w:szCs w:val="20"/>
              </w:rPr>
            </w:pPr>
            <w:r w:rsidRPr="00DD5883">
              <w:rPr>
                <w:szCs w:val="20"/>
              </w:rPr>
              <w:t>17,389</w:t>
            </w:r>
          </w:p>
        </w:tc>
        <w:tc>
          <w:tcPr>
            <w:tcW w:w="1379" w:type="dxa"/>
            <w:vAlign w:val="center"/>
          </w:tcPr>
          <w:p w:rsidR="00DC2E3F" w:rsidRPr="00DD5883" w:rsidP="00BB719A" w14:paraId="5A3284E8" w14:textId="77777777">
            <w:pPr>
              <w:ind w:right="324"/>
              <w:jc w:val="center"/>
              <w:rPr>
                <w:szCs w:val="20"/>
              </w:rPr>
            </w:pPr>
            <w:r w:rsidRPr="00DD5883">
              <w:rPr>
                <w:szCs w:val="20"/>
              </w:rPr>
              <w:t>124.52</w:t>
            </w:r>
          </w:p>
          <w:p w:rsidR="00DC2E3F" w:rsidRPr="00DD5883" w:rsidP="00BB719A" w14:paraId="5F21A5E6" w14:textId="77777777">
            <w:pPr>
              <w:ind w:right="324"/>
              <w:jc w:val="center"/>
              <w:rPr>
                <w:szCs w:val="20"/>
              </w:rPr>
            </w:pPr>
            <w:r w:rsidRPr="00DD5883">
              <w:rPr>
                <w:szCs w:val="20"/>
              </w:rPr>
              <w:t>(Mid-level Practitioner)</w:t>
            </w:r>
          </w:p>
        </w:tc>
        <w:tc>
          <w:tcPr>
            <w:tcW w:w="1393" w:type="dxa"/>
            <w:vAlign w:val="center"/>
          </w:tcPr>
          <w:p w:rsidR="00DC2E3F" w:rsidRPr="00DD5883" w:rsidP="00BB719A" w14:paraId="28E65ECB" w14:textId="77777777">
            <w:pPr>
              <w:ind w:right="324"/>
              <w:jc w:val="center"/>
              <w:rPr>
                <w:szCs w:val="20"/>
              </w:rPr>
            </w:pPr>
            <w:r w:rsidRPr="00DD5883">
              <w:rPr>
                <w:szCs w:val="20"/>
              </w:rPr>
              <w:t>2,165,279</w:t>
            </w:r>
          </w:p>
        </w:tc>
      </w:tr>
      <w:tr w14:paraId="1AC3C061" w14:textId="77777777" w:rsidTr="005D53D1">
        <w:tblPrEx>
          <w:tblW w:w="8995" w:type="dxa"/>
          <w:tblInd w:w="450" w:type="dxa"/>
          <w:tblLook w:val="04A0"/>
        </w:tblPrEx>
        <w:tc>
          <w:tcPr>
            <w:tcW w:w="1406" w:type="dxa"/>
            <w:vAlign w:val="center"/>
          </w:tcPr>
          <w:p w:rsidR="00DC2E3F" w:rsidRPr="00DD5883" w:rsidP="00BB719A" w14:paraId="363D03BD" w14:textId="77777777">
            <w:pPr>
              <w:ind w:right="324"/>
              <w:jc w:val="center"/>
              <w:rPr>
                <w:szCs w:val="20"/>
              </w:rPr>
            </w:pPr>
            <w:r w:rsidRPr="00DD5883">
              <w:rPr>
                <w:szCs w:val="20"/>
              </w:rPr>
              <w:t>TOTAL</w:t>
            </w:r>
          </w:p>
        </w:tc>
        <w:tc>
          <w:tcPr>
            <w:tcW w:w="1398" w:type="dxa"/>
            <w:vAlign w:val="center"/>
          </w:tcPr>
          <w:p w:rsidR="00DC2E3F" w:rsidRPr="00DD5883" w:rsidP="00BB719A" w14:paraId="5DC52C6B" w14:textId="77777777">
            <w:pPr>
              <w:ind w:right="324"/>
              <w:jc w:val="center"/>
              <w:rPr>
                <w:bCs/>
                <w:szCs w:val="20"/>
              </w:rPr>
            </w:pPr>
            <w:r w:rsidRPr="00DD5883">
              <w:rPr>
                <w:bCs/>
                <w:szCs w:val="20"/>
              </w:rPr>
              <w:t>17,389</w:t>
            </w:r>
          </w:p>
        </w:tc>
        <w:tc>
          <w:tcPr>
            <w:tcW w:w="1246" w:type="dxa"/>
            <w:vAlign w:val="center"/>
          </w:tcPr>
          <w:p w:rsidR="00DC2E3F" w:rsidRPr="00DD5883" w:rsidP="00BB719A" w14:paraId="7045FF00" w14:textId="77777777">
            <w:pPr>
              <w:ind w:right="324"/>
              <w:jc w:val="center"/>
              <w:rPr>
                <w:szCs w:val="20"/>
              </w:rPr>
            </w:pPr>
            <w:r w:rsidRPr="00DD5883">
              <w:rPr>
                <w:szCs w:val="20"/>
              </w:rPr>
              <w:t>17,389</w:t>
            </w:r>
          </w:p>
        </w:tc>
        <w:tc>
          <w:tcPr>
            <w:tcW w:w="1179" w:type="dxa"/>
            <w:vAlign w:val="center"/>
          </w:tcPr>
          <w:p w:rsidR="00DC2E3F" w:rsidRPr="00DD5883" w:rsidP="00BB719A" w14:paraId="4854A60D" w14:textId="77777777">
            <w:pPr>
              <w:ind w:right="324"/>
              <w:jc w:val="center"/>
              <w:rPr>
                <w:szCs w:val="20"/>
              </w:rPr>
            </w:pPr>
            <w:r w:rsidRPr="00DD5883">
              <w:rPr>
                <w:szCs w:val="20"/>
              </w:rPr>
              <w:t>2</w:t>
            </w:r>
          </w:p>
        </w:tc>
        <w:tc>
          <w:tcPr>
            <w:tcW w:w="994" w:type="dxa"/>
            <w:vAlign w:val="center"/>
          </w:tcPr>
          <w:p w:rsidR="00DC2E3F" w:rsidRPr="00DD5883" w:rsidP="00BB719A" w14:paraId="72730EB8" w14:textId="77777777">
            <w:pPr>
              <w:ind w:right="324"/>
              <w:jc w:val="center"/>
              <w:rPr>
                <w:szCs w:val="20"/>
              </w:rPr>
            </w:pPr>
            <w:r w:rsidRPr="00DD5883">
              <w:rPr>
                <w:szCs w:val="20"/>
              </w:rPr>
              <w:t>34,778</w:t>
            </w:r>
          </w:p>
        </w:tc>
        <w:tc>
          <w:tcPr>
            <w:tcW w:w="1379" w:type="dxa"/>
            <w:vAlign w:val="center"/>
          </w:tcPr>
          <w:p w:rsidR="00DC2E3F" w:rsidRPr="00DD5883" w:rsidP="00BB719A" w14:paraId="4308AC6B" w14:textId="77777777">
            <w:pPr>
              <w:ind w:right="324"/>
              <w:jc w:val="center"/>
              <w:rPr>
                <w:szCs w:val="20"/>
              </w:rPr>
            </w:pPr>
            <w:r w:rsidRPr="00DD5883">
              <w:rPr>
                <w:szCs w:val="20"/>
              </w:rPr>
              <w:t>Varies</w:t>
            </w:r>
          </w:p>
        </w:tc>
        <w:tc>
          <w:tcPr>
            <w:tcW w:w="1393" w:type="dxa"/>
            <w:vAlign w:val="center"/>
          </w:tcPr>
          <w:p w:rsidR="00DC2E3F" w:rsidRPr="00DD5883" w:rsidP="00BB719A" w14:paraId="3ECB5D36" w14:textId="77777777">
            <w:pPr>
              <w:ind w:right="324"/>
              <w:jc w:val="center"/>
              <w:rPr>
                <w:szCs w:val="20"/>
              </w:rPr>
            </w:pPr>
            <w:r w:rsidRPr="00DD5883">
              <w:rPr>
                <w:szCs w:val="20"/>
              </w:rPr>
              <w:t>6,576,868</w:t>
            </w:r>
          </w:p>
        </w:tc>
      </w:tr>
    </w:tbl>
    <w:p w:rsidR="00DC2E3F" w:rsidP="00DC2E3F" w14:paraId="62B801F5" w14:textId="77777777">
      <w:pPr>
        <w:rPr>
          <w:sz w:val="24"/>
        </w:rPr>
      </w:pPr>
    </w:p>
    <w:p w:rsidR="00DC2E3F" w:rsidP="00DC2E3F" w14:paraId="48300119" w14:textId="371D5127">
      <w:pPr>
        <w:rPr>
          <w:sz w:val="24"/>
        </w:rPr>
      </w:pPr>
      <w:r>
        <w:rPr>
          <w:sz w:val="24"/>
        </w:rPr>
        <w:t>Also, what was eight ICs is now five</w:t>
      </w:r>
      <w:r w:rsidR="003723E5">
        <w:rPr>
          <w:sz w:val="24"/>
        </w:rPr>
        <w:t xml:space="preserve"> from our reformatting effort</w:t>
      </w:r>
      <w:r>
        <w:rPr>
          <w:sz w:val="24"/>
        </w:rPr>
        <w:t xml:space="preserve">. </w:t>
      </w:r>
    </w:p>
    <w:p w:rsidR="00DC2E3F" w:rsidRPr="001E58B8" w:rsidP="004220A4" w14:paraId="67EFCDC0" w14:textId="77777777">
      <w:pPr>
        <w:rPr>
          <w:sz w:val="24"/>
        </w:rPr>
      </w:pPr>
    </w:p>
    <w:p w:rsidR="0058771F" w:rsidRPr="004220A4" w:rsidP="004220A4" w14:paraId="000001F2" w14:textId="77777777">
      <w:pPr>
        <w:rPr>
          <w:sz w:val="24"/>
          <w:u w:val="single"/>
        </w:rPr>
      </w:pPr>
      <w:r w:rsidRPr="004220A4">
        <w:rPr>
          <w:sz w:val="24"/>
          <w:u w:val="single"/>
        </w:rPr>
        <w:t>16. Publication and Tabulation Dates</w:t>
      </w:r>
    </w:p>
    <w:p w:rsidR="0058771F" w:rsidP="004220A4" w14:paraId="000001F3" w14:textId="77777777">
      <w:pPr>
        <w:rPr>
          <w:sz w:val="24"/>
        </w:rPr>
      </w:pPr>
    </w:p>
    <w:p w:rsidR="0058771F" w:rsidP="004220A4" w14:paraId="000001F4" w14:textId="77777777">
      <w:pPr>
        <w:rPr>
          <w:sz w:val="24"/>
        </w:rPr>
      </w:pPr>
      <w:r>
        <w:rPr>
          <w:sz w:val="24"/>
        </w:rPr>
        <w:t>There are no publication and tabulation dates.</w:t>
      </w:r>
    </w:p>
    <w:p w:rsidR="0058771F" w:rsidP="004220A4" w14:paraId="000001F5" w14:textId="77777777">
      <w:pPr>
        <w:rPr>
          <w:sz w:val="24"/>
        </w:rPr>
      </w:pPr>
    </w:p>
    <w:p w:rsidR="0058771F" w:rsidRPr="004220A4" w:rsidP="004220A4" w14:paraId="000001F6" w14:textId="77777777">
      <w:pPr>
        <w:rPr>
          <w:sz w:val="24"/>
          <w:u w:val="single"/>
        </w:rPr>
      </w:pPr>
      <w:r w:rsidRPr="004220A4">
        <w:rPr>
          <w:sz w:val="24"/>
          <w:u w:val="single"/>
        </w:rPr>
        <w:t>17. Expiration Date</w:t>
      </w:r>
    </w:p>
    <w:p w:rsidR="00D11408" w:rsidP="004220A4" w14:paraId="27895015" w14:textId="77777777">
      <w:pPr>
        <w:pBdr>
          <w:top w:val="nil"/>
          <w:left w:val="nil"/>
          <w:bottom w:val="nil"/>
          <w:right w:val="nil"/>
          <w:between w:val="nil"/>
        </w:pBdr>
        <w:rPr>
          <w:color w:val="000000"/>
          <w:sz w:val="24"/>
        </w:rPr>
      </w:pPr>
    </w:p>
    <w:p w:rsidR="00EB3732" w:rsidP="004220A4" w14:paraId="453E25DB" w14:textId="5F8EE9A9">
      <w:pPr>
        <w:pBdr>
          <w:top w:val="nil"/>
          <w:left w:val="nil"/>
          <w:bottom w:val="nil"/>
          <w:right w:val="nil"/>
          <w:between w:val="nil"/>
        </w:pBdr>
        <w:rPr>
          <w:color w:val="000000"/>
          <w:sz w:val="24"/>
        </w:rPr>
      </w:pPr>
      <w:r w:rsidRPr="00EB3732">
        <w:rPr>
          <w:color w:val="000000"/>
          <w:sz w:val="24"/>
        </w:rPr>
        <w:t>The expiration date is displayed.</w:t>
      </w:r>
    </w:p>
    <w:p w:rsidR="00EB3732" w:rsidP="004220A4" w14:paraId="1E3C6F31" w14:textId="77777777">
      <w:pPr>
        <w:pBdr>
          <w:top w:val="nil"/>
          <w:left w:val="nil"/>
          <w:bottom w:val="nil"/>
          <w:right w:val="nil"/>
          <w:between w:val="nil"/>
        </w:pBdr>
        <w:rPr>
          <w:color w:val="000000"/>
          <w:sz w:val="24"/>
        </w:rPr>
      </w:pPr>
    </w:p>
    <w:p w:rsidR="00D11408" w:rsidRPr="004220A4" w:rsidP="004220A4" w14:paraId="43F5A858" w14:textId="794D52B5">
      <w:pPr>
        <w:pBdr>
          <w:top w:val="nil"/>
          <w:left w:val="nil"/>
          <w:bottom w:val="nil"/>
          <w:right w:val="nil"/>
          <w:between w:val="nil"/>
        </w:pBdr>
        <w:rPr>
          <w:color w:val="000000"/>
          <w:sz w:val="24"/>
          <w:u w:val="single"/>
        </w:rPr>
      </w:pPr>
      <w:r w:rsidRPr="004220A4">
        <w:rPr>
          <w:color w:val="000000"/>
          <w:sz w:val="24"/>
          <w:u w:val="single"/>
        </w:rPr>
        <w:t>18. Certification</w:t>
      </w:r>
    </w:p>
    <w:p w:rsidR="00D11408" w:rsidP="004220A4" w14:paraId="29B653BA" w14:textId="77777777">
      <w:pPr>
        <w:pBdr>
          <w:top w:val="nil"/>
          <w:left w:val="nil"/>
          <w:bottom w:val="nil"/>
          <w:right w:val="nil"/>
          <w:between w:val="nil"/>
        </w:pBdr>
        <w:rPr>
          <w:color w:val="000000"/>
          <w:sz w:val="24"/>
        </w:rPr>
      </w:pPr>
    </w:p>
    <w:p w:rsidR="00D11408" w:rsidP="004220A4" w14:paraId="1AC00E86" w14:textId="3E958011">
      <w:pPr>
        <w:pBdr>
          <w:top w:val="nil"/>
          <w:left w:val="nil"/>
          <w:bottom w:val="nil"/>
          <w:right w:val="nil"/>
          <w:between w:val="nil"/>
        </w:pBdr>
        <w:rPr>
          <w:color w:val="000000"/>
          <w:sz w:val="24"/>
        </w:rPr>
      </w:pPr>
      <w:r>
        <w:rPr>
          <w:color w:val="000000"/>
          <w:sz w:val="24"/>
        </w:rPr>
        <w:t>There is no exception to the certification.</w:t>
      </w:r>
    </w:p>
    <w:p w:rsidR="0058771F" w:rsidP="004220A4" w14:paraId="000001F9" w14:textId="77777777">
      <w:pPr>
        <w:rPr>
          <w:sz w:val="24"/>
        </w:rPr>
      </w:pPr>
    </w:p>
    <w:p w:rsidR="000745CC" w:rsidP="000745CC" w14:paraId="133CDD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Pr>
          <w:b/>
          <w:bCs/>
          <w:sz w:val="24"/>
        </w:rPr>
        <w:t>B.</w:t>
      </w:r>
      <w:r>
        <w:rPr>
          <w:b/>
          <w:bCs/>
          <w:sz w:val="24"/>
        </w:rPr>
        <w:tab/>
        <w:t>Collections of Information Employing Statistical Methods</w:t>
      </w:r>
    </w:p>
    <w:p w:rsidR="000745CC" w:rsidP="000745CC" w14:paraId="2106A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745CC" w:rsidP="000745CC" w14:paraId="16C0A1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employ statistical methods.</w:t>
      </w:r>
    </w:p>
    <w:p w:rsidR="004220A4" w:rsidP="004220A4" w14:paraId="2E56F273" w14:textId="77777777">
      <w:pPr>
        <w:rPr>
          <w:sz w:val="24"/>
        </w:rPr>
      </w:pPr>
    </w:p>
    <w:sectPr w:rsidSect="00B70E23">
      <w:type w:val="continuous"/>
      <w:pgSz w:w="12240" w:h="15840"/>
      <w:pgMar w:top="1440" w:right="153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71F" w14:paraId="000001FC" w14:textId="77777777">
    <w:pPr>
      <w:pBdr>
        <w:top w:val="nil"/>
        <w:left w:val="nil"/>
        <w:bottom w:val="nil"/>
        <w:right w:val="nil"/>
        <w:between w:val="nil"/>
      </w:pBdr>
      <w:tabs>
        <w:tab w:val="center" w:pos="4320"/>
        <w:tab w:val="right" w:pos="8640"/>
      </w:tabs>
      <w:jc w:val="right"/>
      <w:rPr>
        <w:color w:val="000000"/>
        <w:szCs w:val="20"/>
      </w:rPr>
    </w:pPr>
    <w:r>
      <w:rPr>
        <w:color w:val="000000"/>
        <w:szCs w:val="20"/>
      </w:rPr>
      <w:fldChar w:fldCharType="begin"/>
    </w:r>
    <w:r>
      <w:rPr>
        <w:color w:val="000000"/>
        <w:szCs w:val="20"/>
      </w:rPr>
      <w:instrText>PAGE</w:instrText>
    </w:r>
    <w:r w:rsidR="00C635E8">
      <w:rPr>
        <w:color w:val="000000"/>
        <w:szCs w:val="20"/>
      </w:rPr>
      <w:fldChar w:fldCharType="separate"/>
    </w:r>
    <w:r>
      <w:rPr>
        <w:color w:val="000000"/>
        <w:szCs w:val="20"/>
      </w:rPr>
      <w:fldChar w:fldCharType="end"/>
    </w:r>
  </w:p>
  <w:p w:rsidR="0058771F" w14:paraId="000001FD" w14:textId="77777777">
    <w:pPr>
      <w:pBdr>
        <w:top w:val="nil"/>
        <w:left w:val="nil"/>
        <w:bottom w:val="nil"/>
        <w:right w:val="nil"/>
        <w:between w:val="nil"/>
      </w:pBdr>
      <w:tabs>
        <w:tab w:val="center" w:pos="4320"/>
        <w:tab w:val="right" w:pos="8640"/>
      </w:tabs>
      <w:ind w:right="360"/>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4333218"/>
      <w:docPartObj>
        <w:docPartGallery w:val="Page Numbers (Bottom of Page)"/>
        <w:docPartUnique/>
      </w:docPartObj>
    </w:sdtPr>
    <w:sdtEndPr>
      <w:rPr>
        <w:noProof/>
        <w:sz w:val="24"/>
      </w:rPr>
    </w:sdtEndPr>
    <w:sdtContent>
      <w:p w:rsidR="00E02BD3" w:rsidRPr="00E02BD3" w14:paraId="704D7088" w14:textId="3227DDCC">
        <w:pPr>
          <w:pStyle w:val="Footer"/>
          <w:jc w:val="center"/>
          <w:rPr>
            <w:sz w:val="24"/>
          </w:rPr>
        </w:pPr>
        <w:r w:rsidRPr="00E02BD3">
          <w:rPr>
            <w:sz w:val="24"/>
          </w:rPr>
          <w:fldChar w:fldCharType="begin"/>
        </w:r>
        <w:r w:rsidRPr="00E02BD3">
          <w:rPr>
            <w:sz w:val="24"/>
          </w:rPr>
          <w:instrText xml:space="preserve"> PAGE   \* MERGEFORMAT </w:instrText>
        </w:r>
        <w:r w:rsidRPr="00E02BD3">
          <w:rPr>
            <w:sz w:val="24"/>
          </w:rPr>
          <w:fldChar w:fldCharType="separate"/>
        </w:r>
        <w:r w:rsidRPr="00E02BD3">
          <w:rPr>
            <w:noProof/>
            <w:sz w:val="24"/>
          </w:rPr>
          <w:t>2</w:t>
        </w:r>
        <w:r w:rsidRPr="00E02BD3">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0718" w14:paraId="5CA979BF" w14:textId="77777777">
      <w:r>
        <w:separator/>
      </w:r>
    </w:p>
  </w:footnote>
  <w:footnote w:type="continuationSeparator" w:id="1">
    <w:p w:rsidR="00330718" w14:paraId="493F04B2" w14:textId="77777777">
      <w:r>
        <w:continuationSeparator/>
      </w:r>
    </w:p>
  </w:footnote>
  <w:footnote w:type="continuationNotice" w:id="2">
    <w:p w:rsidR="00330718" w14:paraId="5CC22208" w14:textId="77777777"/>
  </w:footnote>
  <w:footnote w:id="3">
    <w:p w:rsidR="00D027BD" w14:paraId="023DE750" w14:textId="31065293">
      <w:pPr>
        <w:pStyle w:val="FootnoteText"/>
      </w:pPr>
      <w:r>
        <w:rPr>
          <w:rStyle w:val="FootnoteReference"/>
        </w:rPr>
        <w:footnoteRef/>
      </w:r>
      <w:r>
        <w:t xml:space="preserve"> </w:t>
      </w:r>
      <w:r w:rsidRPr="006A58F5">
        <w:t xml:space="preserve">Medicare’s Certification and Survey Provider Enhanced Reporting (CASPER) via Quality, Certification and Oversight Report (QCOR). Calendar Year 2023. </w:t>
      </w:r>
      <w:hyperlink r:id="rId1">
        <w:r w:rsidRPr="006A58F5">
          <w:rPr>
            <w:color w:val="1155CC"/>
            <w:u w:val="single"/>
          </w:rPr>
          <w:t>https://qcor.cms.gov</w:t>
        </w:r>
      </w:hyperlink>
      <w:r w:rsidRPr="006A58F5">
        <w:rPr>
          <w:color w:val="1155CC"/>
          <w:u w:val="single"/>
        </w:rPr>
        <w:t xml:space="preserve"> . </w:t>
      </w:r>
      <w:r w:rsidRPr="006A58F5">
        <w:t xml:space="preserve">Accessed, July </w:t>
      </w:r>
      <w:r w:rsidRPr="006A58F5" w:rsidR="005D54E2">
        <w:t>31</w:t>
      </w:r>
      <w:r w:rsidRPr="006A58F5">
        <w:t>,2024.</w:t>
      </w:r>
      <w:r>
        <w:rPr>
          <w:sz w:val="24"/>
        </w:rPr>
        <w:t xml:space="preserve"> </w:t>
      </w:r>
    </w:p>
  </w:footnote>
  <w:footnote w:id="4">
    <w:p w:rsidR="009874A5" w14:paraId="72EB1BC7" w14:textId="758BA8F1">
      <w:pPr>
        <w:pStyle w:val="FootnoteText"/>
      </w:pPr>
      <w:r>
        <w:rPr>
          <w:rStyle w:val="FootnoteReference"/>
        </w:rPr>
        <w:footnoteRef/>
      </w:r>
      <w:r>
        <w:t xml:space="preserve"> </w:t>
      </w:r>
      <w:r w:rsidRPr="00CB1D76" w:rsidR="00CB1D76">
        <w:t>https://www.cms.gov/files/document/appendix-g-state-operations-manual</w:t>
      </w:r>
    </w:p>
  </w:footnote>
  <w:footnote w:id="5">
    <w:p w:rsidR="00442727" w14:paraId="145DC1EC" w14:textId="5A9A9E94">
      <w:pPr>
        <w:pStyle w:val="FootnoteText"/>
      </w:pPr>
      <w:r>
        <w:rPr>
          <w:rStyle w:val="FootnoteReference"/>
        </w:rPr>
        <w:footnoteRef/>
      </w:r>
      <w:r>
        <w:t xml:space="preserve"> Annual salary equal to the average General Schedule (GS) 13, 202</w:t>
      </w:r>
      <w:r w:rsidR="001665CB">
        <w:t>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14DA7"/>
    <w:multiLevelType w:val="multilevel"/>
    <w:tmpl w:val="A24A96F2"/>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051C43CB"/>
    <w:multiLevelType w:val="hybridMultilevel"/>
    <w:tmpl w:val="278EB6F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0D5D6D13"/>
    <w:multiLevelType w:val="hybridMultilevel"/>
    <w:tmpl w:val="5DFC05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78CD2C1A"/>
    <w:multiLevelType w:val="hybridMultilevel"/>
    <w:tmpl w:val="57AE2D7C"/>
    <w:lvl w:ilvl="0">
      <w:start w:val="1"/>
      <w:numFmt w:val="bullet"/>
      <w:lvlText w:val=""/>
      <w:lvlJc w:val="left"/>
      <w:pPr>
        <w:ind w:left="360" w:hanging="360"/>
      </w:pPr>
      <w:rPr>
        <w:rFonts w:ascii="Symbol" w:hAnsi="Symbol" w:hint="default"/>
      </w:rPr>
    </w:lvl>
    <w:lvl w:ilvl="1">
      <w:start w:val="1"/>
      <w:numFmt w:val="bullet"/>
      <w:lvlText w:val="o"/>
      <w:lvlJc w:val="left"/>
      <w:pPr>
        <w:ind w:left="1512" w:hanging="360"/>
      </w:pPr>
      <w:rPr>
        <w:rFonts w:ascii="Courier New" w:hAnsi="Courier New" w:cs="Times New Roman"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Times New Roman"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Times New Roman" w:hint="default"/>
      </w:rPr>
    </w:lvl>
    <w:lvl w:ilvl="8">
      <w:start w:val="1"/>
      <w:numFmt w:val="bullet"/>
      <w:lvlText w:val=""/>
      <w:lvlJc w:val="left"/>
      <w:pPr>
        <w:ind w:left="6552" w:hanging="360"/>
      </w:pPr>
      <w:rPr>
        <w:rFonts w:ascii="Wingdings" w:hAnsi="Wingdings" w:hint="default"/>
      </w:rPr>
    </w:lvl>
  </w:abstractNum>
  <w:num w:numId="1" w16cid:durableId="1567910467">
    <w:abstractNumId w:val="0"/>
  </w:num>
  <w:num w:numId="2" w16cid:durableId="2090611458">
    <w:abstractNumId w:val="1"/>
  </w:num>
  <w:num w:numId="3" w16cid:durableId="1990942305">
    <w:abstractNumId w:val="3"/>
  </w:num>
  <w:num w:numId="4" w16cid:durableId="440414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1F"/>
    <w:rsid w:val="0000077D"/>
    <w:rsid w:val="000025EC"/>
    <w:rsid w:val="000116A1"/>
    <w:rsid w:val="00023BA2"/>
    <w:rsid w:val="00023D8B"/>
    <w:rsid w:val="00025102"/>
    <w:rsid w:val="00025717"/>
    <w:rsid w:val="00031691"/>
    <w:rsid w:val="0004543E"/>
    <w:rsid w:val="000462A9"/>
    <w:rsid w:val="0005211F"/>
    <w:rsid w:val="00056B05"/>
    <w:rsid w:val="000638D8"/>
    <w:rsid w:val="0007176C"/>
    <w:rsid w:val="000745CC"/>
    <w:rsid w:val="0008480D"/>
    <w:rsid w:val="00084CBA"/>
    <w:rsid w:val="0008588D"/>
    <w:rsid w:val="000A3BEB"/>
    <w:rsid w:val="000A4995"/>
    <w:rsid w:val="000B2225"/>
    <w:rsid w:val="000B28BB"/>
    <w:rsid w:val="000C667B"/>
    <w:rsid w:val="000D71D5"/>
    <w:rsid w:val="000E2FC4"/>
    <w:rsid w:val="000E462E"/>
    <w:rsid w:val="000F29AA"/>
    <w:rsid w:val="00111B5C"/>
    <w:rsid w:val="00112C16"/>
    <w:rsid w:val="00116393"/>
    <w:rsid w:val="00122388"/>
    <w:rsid w:val="0012389E"/>
    <w:rsid w:val="00125BEA"/>
    <w:rsid w:val="001260D4"/>
    <w:rsid w:val="0012714B"/>
    <w:rsid w:val="00135130"/>
    <w:rsid w:val="00143E50"/>
    <w:rsid w:val="001500C1"/>
    <w:rsid w:val="00153B04"/>
    <w:rsid w:val="001556E5"/>
    <w:rsid w:val="00166162"/>
    <w:rsid w:val="001665CB"/>
    <w:rsid w:val="0016674A"/>
    <w:rsid w:val="00167C44"/>
    <w:rsid w:val="00170683"/>
    <w:rsid w:val="00182D24"/>
    <w:rsid w:val="00186578"/>
    <w:rsid w:val="001928B3"/>
    <w:rsid w:val="001A39A2"/>
    <w:rsid w:val="001A39A5"/>
    <w:rsid w:val="001B0C91"/>
    <w:rsid w:val="001B1AF6"/>
    <w:rsid w:val="001B6D26"/>
    <w:rsid w:val="001C02CD"/>
    <w:rsid w:val="001C672E"/>
    <w:rsid w:val="001C7889"/>
    <w:rsid w:val="001C7FCF"/>
    <w:rsid w:val="001D6079"/>
    <w:rsid w:val="001E0D91"/>
    <w:rsid w:val="001E5259"/>
    <w:rsid w:val="001E58B8"/>
    <w:rsid w:val="001E777E"/>
    <w:rsid w:val="001F63DA"/>
    <w:rsid w:val="00201942"/>
    <w:rsid w:val="00203541"/>
    <w:rsid w:val="002171CE"/>
    <w:rsid w:val="002179E3"/>
    <w:rsid w:val="00222E49"/>
    <w:rsid w:val="00227702"/>
    <w:rsid w:val="0023128D"/>
    <w:rsid w:val="00241259"/>
    <w:rsid w:val="00247DA7"/>
    <w:rsid w:val="00251349"/>
    <w:rsid w:val="00253646"/>
    <w:rsid w:val="002574E9"/>
    <w:rsid w:val="00260632"/>
    <w:rsid w:val="002620C5"/>
    <w:rsid w:val="00267A55"/>
    <w:rsid w:val="00276236"/>
    <w:rsid w:val="00277ED1"/>
    <w:rsid w:val="002B11F7"/>
    <w:rsid w:val="002B446E"/>
    <w:rsid w:val="002B6ED2"/>
    <w:rsid w:val="002C5F4A"/>
    <w:rsid w:val="002D167F"/>
    <w:rsid w:val="002D3C29"/>
    <w:rsid w:val="002D3D51"/>
    <w:rsid w:val="002D59A1"/>
    <w:rsid w:val="002E004C"/>
    <w:rsid w:val="002E0289"/>
    <w:rsid w:val="002E0595"/>
    <w:rsid w:val="002E484F"/>
    <w:rsid w:val="002E64EB"/>
    <w:rsid w:val="002F6C19"/>
    <w:rsid w:val="00310C98"/>
    <w:rsid w:val="00315352"/>
    <w:rsid w:val="00320D6D"/>
    <w:rsid w:val="00326ACB"/>
    <w:rsid w:val="00330718"/>
    <w:rsid w:val="00330AD4"/>
    <w:rsid w:val="00344665"/>
    <w:rsid w:val="003450CE"/>
    <w:rsid w:val="00347E0F"/>
    <w:rsid w:val="003509F4"/>
    <w:rsid w:val="00353BEF"/>
    <w:rsid w:val="00355BF3"/>
    <w:rsid w:val="00357EEC"/>
    <w:rsid w:val="00360290"/>
    <w:rsid w:val="003645C6"/>
    <w:rsid w:val="003723E5"/>
    <w:rsid w:val="00377338"/>
    <w:rsid w:val="003A3FED"/>
    <w:rsid w:val="003B1961"/>
    <w:rsid w:val="003B26E4"/>
    <w:rsid w:val="003B6222"/>
    <w:rsid w:val="003C0161"/>
    <w:rsid w:val="003C2C8D"/>
    <w:rsid w:val="003C63DF"/>
    <w:rsid w:val="003D39D5"/>
    <w:rsid w:val="003E276A"/>
    <w:rsid w:val="003E41F8"/>
    <w:rsid w:val="003F0C1A"/>
    <w:rsid w:val="003F19AB"/>
    <w:rsid w:val="003F4802"/>
    <w:rsid w:val="003F6DE4"/>
    <w:rsid w:val="00412FC4"/>
    <w:rsid w:val="00414927"/>
    <w:rsid w:val="004220A4"/>
    <w:rsid w:val="00425034"/>
    <w:rsid w:val="004314A4"/>
    <w:rsid w:val="00436148"/>
    <w:rsid w:val="00436B52"/>
    <w:rsid w:val="00442727"/>
    <w:rsid w:val="00470E50"/>
    <w:rsid w:val="00482EEF"/>
    <w:rsid w:val="00483BD2"/>
    <w:rsid w:val="00484F23"/>
    <w:rsid w:val="00485D3A"/>
    <w:rsid w:val="004B40E8"/>
    <w:rsid w:val="004C4C80"/>
    <w:rsid w:val="004D2A6C"/>
    <w:rsid w:val="004E3918"/>
    <w:rsid w:val="004E64DF"/>
    <w:rsid w:val="004E6711"/>
    <w:rsid w:val="004E7CF9"/>
    <w:rsid w:val="004F4EEF"/>
    <w:rsid w:val="004F5D4C"/>
    <w:rsid w:val="00511DF6"/>
    <w:rsid w:val="00514BF2"/>
    <w:rsid w:val="00514E70"/>
    <w:rsid w:val="00522471"/>
    <w:rsid w:val="00523BB7"/>
    <w:rsid w:val="0052799F"/>
    <w:rsid w:val="005310BB"/>
    <w:rsid w:val="00532340"/>
    <w:rsid w:val="00532D15"/>
    <w:rsid w:val="00533724"/>
    <w:rsid w:val="00533D00"/>
    <w:rsid w:val="0053618B"/>
    <w:rsid w:val="005409B6"/>
    <w:rsid w:val="00541031"/>
    <w:rsid w:val="00542E96"/>
    <w:rsid w:val="00546628"/>
    <w:rsid w:val="0055118B"/>
    <w:rsid w:val="00553FEE"/>
    <w:rsid w:val="0058355F"/>
    <w:rsid w:val="005837B7"/>
    <w:rsid w:val="0058771F"/>
    <w:rsid w:val="00590ECC"/>
    <w:rsid w:val="00595D9E"/>
    <w:rsid w:val="00597E48"/>
    <w:rsid w:val="005A6434"/>
    <w:rsid w:val="005B0C1F"/>
    <w:rsid w:val="005B286D"/>
    <w:rsid w:val="005B4D61"/>
    <w:rsid w:val="005B7539"/>
    <w:rsid w:val="005C308E"/>
    <w:rsid w:val="005C593E"/>
    <w:rsid w:val="005D0EC9"/>
    <w:rsid w:val="005D2A20"/>
    <w:rsid w:val="005D3002"/>
    <w:rsid w:val="005D53D1"/>
    <w:rsid w:val="005D54E2"/>
    <w:rsid w:val="005E4B3C"/>
    <w:rsid w:val="005E5BC6"/>
    <w:rsid w:val="005F2F61"/>
    <w:rsid w:val="005F38A5"/>
    <w:rsid w:val="00605FBE"/>
    <w:rsid w:val="006159D9"/>
    <w:rsid w:val="0062043E"/>
    <w:rsid w:val="00620466"/>
    <w:rsid w:val="00621C56"/>
    <w:rsid w:val="0062668A"/>
    <w:rsid w:val="0063454E"/>
    <w:rsid w:val="006406D8"/>
    <w:rsid w:val="00641B70"/>
    <w:rsid w:val="006459BE"/>
    <w:rsid w:val="00653892"/>
    <w:rsid w:val="00653D7B"/>
    <w:rsid w:val="00654351"/>
    <w:rsid w:val="00656FBA"/>
    <w:rsid w:val="006575BD"/>
    <w:rsid w:val="00665357"/>
    <w:rsid w:val="0066748C"/>
    <w:rsid w:val="00671538"/>
    <w:rsid w:val="00673E85"/>
    <w:rsid w:val="006740BB"/>
    <w:rsid w:val="00675322"/>
    <w:rsid w:val="00675D21"/>
    <w:rsid w:val="006803B6"/>
    <w:rsid w:val="006942E4"/>
    <w:rsid w:val="006A1066"/>
    <w:rsid w:val="006A58F5"/>
    <w:rsid w:val="006A6F4E"/>
    <w:rsid w:val="006B54AD"/>
    <w:rsid w:val="006B6808"/>
    <w:rsid w:val="006C14F8"/>
    <w:rsid w:val="006C241A"/>
    <w:rsid w:val="006C28A2"/>
    <w:rsid w:val="006C50FE"/>
    <w:rsid w:val="006C69DE"/>
    <w:rsid w:val="006E7749"/>
    <w:rsid w:val="006F075C"/>
    <w:rsid w:val="006F1481"/>
    <w:rsid w:val="006F43DF"/>
    <w:rsid w:val="00705B58"/>
    <w:rsid w:val="00712F95"/>
    <w:rsid w:val="00714A6A"/>
    <w:rsid w:val="0071569C"/>
    <w:rsid w:val="007213BE"/>
    <w:rsid w:val="00733974"/>
    <w:rsid w:val="0073788D"/>
    <w:rsid w:val="00737C41"/>
    <w:rsid w:val="00737EBC"/>
    <w:rsid w:val="00740D65"/>
    <w:rsid w:val="0075072C"/>
    <w:rsid w:val="00754E9A"/>
    <w:rsid w:val="00757663"/>
    <w:rsid w:val="00764136"/>
    <w:rsid w:val="007660B7"/>
    <w:rsid w:val="0078287D"/>
    <w:rsid w:val="00785469"/>
    <w:rsid w:val="0078707A"/>
    <w:rsid w:val="0078743F"/>
    <w:rsid w:val="00790B16"/>
    <w:rsid w:val="0079500A"/>
    <w:rsid w:val="007A6C11"/>
    <w:rsid w:val="007B0095"/>
    <w:rsid w:val="007B0703"/>
    <w:rsid w:val="007B680D"/>
    <w:rsid w:val="007B7302"/>
    <w:rsid w:val="007C22BC"/>
    <w:rsid w:val="007D327C"/>
    <w:rsid w:val="007D4AE2"/>
    <w:rsid w:val="007D5945"/>
    <w:rsid w:val="007E2594"/>
    <w:rsid w:val="007E4D75"/>
    <w:rsid w:val="007E5685"/>
    <w:rsid w:val="007E6F22"/>
    <w:rsid w:val="007F0947"/>
    <w:rsid w:val="00801BCA"/>
    <w:rsid w:val="00804D69"/>
    <w:rsid w:val="00805235"/>
    <w:rsid w:val="0080744D"/>
    <w:rsid w:val="0081434A"/>
    <w:rsid w:val="00815A6B"/>
    <w:rsid w:val="00823779"/>
    <w:rsid w:val="00823B8E"/>
    <w:rsid w:val="00830279"/>
    <w:rsid w:val="00845477"/>
    <w:rsid w:val="00845E8E"/>
    <w:rsid w:val="00846C10"/>
    <w:rsid w:val="00852B7F"/>
    <w:rsid w:val="00853F3A"/>
    <w:rsid w:val="00854A0C"/>
    <w:rsid w:val="008565C4"/>
    <w:rsid w:val="00860E91"/>
    <w:rsid w:val="00861711"/>
    <w:rsid w:val="00862CF2"/>
    <w:rsid w:val="008A5A7D"/>
    <w:rsid w:val="008B00FC"/>
    <w:rsid w:val="008B2799"/>
    <w:rsid w:val="008B3DB8"/>
    <w:rsid w:val="008C2624"/>
    <w:rsid w:val="008D1922"/>
    <w:rsid w:val="008D5893"/>
    <w:rsid w:val="008E033B"/>
    <w:rsid w:val="008E768E"/>
    <w:rsid w:val="008F1B5C"/>
    <w:rsid w:val="00900002"/>
    <w:rsid w:val="00900AAE"/>
    <w:rsid w:val="00901669"/>
    <w:rsid w:val="00901FBF"/>
    <w:rsid w:val="00913410"/>
    <w:rsid w:val="009321C2"/>
    <w:rsid w:val="00932E6E"/>
    <w:rsid w:val="00933CCB"/>
    <w:rsid w:val="00957413"/>
    <w:rsid w:val="009611ED"/>
    <w:rsid w:val="009740CB"/>
    <w:rsid w:val="009874A5"/>
    <w:rsid w:val="00991765"/>
    <w:rsid w:val="009930AF"/>
    <w:rsid w:val="00994487"/>
    <w:rsid w:val="00996770"/>
    <w:rsid w:val="00997308"/>
    <w:rsid w:val="009A3BD6"/>
    <w:rsid w:val="009A6820"/>
    <w:rsid w:val="009B2DC0"/>
    <w:rsid w:val="009B755E"/>
    <w:rsid w:val="009C5595"/>
    <w:rsid w:val="009C6153"/>
    <w:rsid w:val="009C68B5"/>
    <w:rsid w:val="009C7D7A"/>
    <w:rsid w:val="009D4F17"/>
    <w:rsid w:val="009D68F6"/>
    <w:rsid w:val="009E0255"/>
    <w:rsid w:val="009E068A"/>
    <w:rsid w:val="00A068C1"/>
    <w:rsid w:val="00A07B6B"/>
    <w:rsid w:val="00A172F6"/>
    <w:rsid w:val="00A22105"/>
    <w:rsid w:val="00A24F7A"/>
    <w:rsid w:val="00A25CD7"/>
    <w:rsid w:val="00A26735"/>
    <w:rsid w:val="00A375BE"/>
    <w:rsid w:val="00A416A1"/>
    <w:rsid w:val="00A4706A"/>
    <w:rsid w:val="00A57314"/>
    <w:rsid w:val="00A93364"/>
    <w:rsid w:val="00A960BE"/>
    <w:rsid w:val="00AA0B29"/>
    <w:rsid w:val="00AA1632"/>
    <w:rsid w:val="00AA5384"/>
    <w:rsid w:val="00AA6F92"/>
    <w:rsid w:val="00AA7051"/>
    <w:rsid w:val="00AC4A68"/>
    <w:rsid w:val="00AD4939"/>
    <w:rsid w:val="00AD6C2D"/>
    <w:rsid w:val="00AE2900"/>
    <w:rsid w:val="00AE44B1"/>
    <w:rsid w:val="00AE7739"/>
    <w:rsid w:val="00AF5DA3"/>
    <w:rsid w:val="00B000A2"/>
    <w:rsid w:val="00B00203"/>
    <w:rsid w:val="00B00D67"/>
    <w:rsid w:val="00B01DC9"/>
    <w:rsid w:val="00B0209B"/>
    <w:rsid w:val="00B143AC"/>
    <w:rsid w:val="00B31D0A"/>
    <w:rsid w:val="00B36FD8"/>
    <w:rsid w:val="00B46750"/>
    <w:rsid w:val="00B47FDC"/>
    <w:rsid w:val="00B50D7F"/>
    <w:rsid w:val="00B579A7"/>
    <w:rsid w:val="00B632BB"/>
    <w:rsid w:val="00B638BF"/>
    <w:rsid w:val="00B677E1"/>
    <w:rsid w:val="00B7018E"/>
    <w:rsid w:val="00B70E23"/>
    <w:rsid w:val="00B72202"/>
    <w:rsid w:val="00B723D4"/>
    <w:rsid w:val="00B8107F"/>
    <w:rsid w:val="00B83AAA"/>
    <w:rsid w:val="00B87600"/>
    <w:rsid w:val="00B9109C"/>
    <w:rsid w:val="00B96874"/>
    <w:rsid w:val="00BA1852"/>
    <w:rsid w:val="00BB3CED"/>
    <w:rsid w:val="00BB6094"/>
    <w:rsid w:val="00BB719A"/>
    <w:rsid w:val="00BC6CB9"/>
    <w:rsid w:val="00BE1E93"/>
    <w:rsid w:val="00BF0E6B"/>
    <w:rsid w:val="00BF52E6"/>
    <w:rsid w:val="00C03944"/>
    <w:rsid w:val="00C03A15"/>
    <w:rsid w:val="00C10250"/>
    <w:rsid w:val="00C22D0C"/>
    <w:rsid w:val="00C330F0"/>
    <w:rsid w:val="00C34ADE"/>
    <w:rsid w:val="00C363AF"/>
    <w:rsid w:val="00C50AD2"/>
    <w:rsid w:val="00C51D41"/>
    <w:rsid w:val="00C537E8"/>
    <w:rsid w:val="00C55F99"/>
    <w:rsid w:val="00C55FB1"/>
    <w:rsid w:val="00C635E8"/>
    <w:rsid w:val="00C649A5"/>
    <w:rsid w:val="00C65D31"/>
    <w:rsid w:val="00C662A7"/>
    <w:rsid w:val="00C67DDF"/>
    <w:rsid w:val="00C74D97"/>
    <w:rsid w:val="00C77E62"/>
    <w:rsid w:val="00C804BB"/>
    <w:rsid w:val="00C86691"/>
    <w:rsid w:val="00C97D14"/>
    <w:rsid w:val="00CB1D76"/>
    <w:rsid w:val="00CB2A63"/>
    <w:rsid w:val="00CB69D7"/>
    <w:rsid w:val="00CC34C9"/>
    <w:rsid w:val="00CD136C"/>
    <w:rsid w:val="00CD7287"/>
    <w:rsid w:val="00CD743F"/>
    <w:rsid w:val="00CE0348"/>
    <w:rsid w:val="00CF53D2"/>
    <w:rsid w:val="00D027BD"/>
    <w:rsid w:val="00D0546C"/>
    <w:rsid w:val="00D05779"/>
    <w:rsid w:val="00D10D53"/>
    <w:rsid w:val="00D11408"/>
    <w:rsid w:val="00D20EE4"/>
    <w:rsid w:val="00D2497D"/>
    <w:rsid w:val="00D273D2"/>
    <w:rsid w:val="00D31472"/>
    <w:rsid w:val="00D34478"/>
    <w:rsid w:val="00D37662"/>
    <w:rsid w:val="00D46C33"/>
    <w:rsid w:val="00D47DEA"/>
    <w:rsid w:val="00D507EC"/>
    <w:rsid w:val="00D53CA0"/>
    <w:rsid w:val="00D61A9F"/>
    <w:rsid w:val="00D61C3F"/>
    <w:rsid w:val="00D66F13"/>
    <w:rsid w:val="00D76545"/>
    <w:rsid w:val="00D76D8F"/>
    <w:rsid w:val="00D773EB"/>
    <w:rsid w:val="00D83663"/>
    <w:rsid w:val="00D83BA7"/>
    <w:rsid w:val="00D87005"/>
    <w:rsid w:val="00D87B6F"/>
    <w:rsid w:val="00D955BD"/>
    <w:rsid w:val="00D95FBA"/>
    <w:rsid w:val="00DA1C96"/>
    <w:rsid w:val="00DA26FA"/>
    <w:rsid w:val="00DA36D6"/>
    <w:rsid w:val="00DA40CD"/>
    <w:rsid w:val="00DB289D"/>
    <w:rsid w:val="00DB3DA6"/>
    <w:rsid w:val="00DB4E7C"/>
    <w:rsid w:val="00DB587E"/>
    <w:rsid w:val="00DC0384"/>
    <w:rsid w:val="00DC2E3F"/>
    <w:rsid w:val="00DD0528"/>
    <w:rsid w:val="00DD57CC"/>
    <w:rsid w:val="00DD5883"/>
    <w:rsid w:val="00DD7BA9"/>
    <w:rsid w:val="00DE3E74"/>
    <w:rsid w:val="00DE7B87"/>
    <w:rsid w:val="00E02BD3"/>
    <w:rsid w:val="00E16598"/>
    <w:rsid w:val="00E16CD6"/>
    <w:rsid w:val="00E173F3"/>
    <w:rsid w:val="00E24067"/>
    <w:rsid w:val="00E26C4F"/>
    <w:rsid w:val="00E40602"/>
    <w:rsid w:val="00E450F8"/>
    <w:rsid w:val="00E527B8"/>
    <w:rsid w:val="00E70EB1"/>
    <w:rsid w:val="00E72143"/>
    <w:rsid w:val="00E754DE"/>
    <w:rsid w:val="00E7576C"/>
    <w:rsid w:val="00E76206"/>
    <w:rsid w:val="00E85BB7"/>
    <w:rsid w:val="00E86DFF"/>
    <w:rsid w:val="00E91220"/>
    <w:rsid w:val="00E92B18"/>
    <w:rsid w:val="00E953BC"/>
    <w:rsid w:val="00EA4AF7"/>
    <w:rsid w:val="00EA58B0"/>
    <w:rsid w:val="00EB3732"/>
    <w:rsid w:val="00EC5839"/>
    <w:rsid w:val="00EE692E"/>
    <w:rsid w:val="00EF0066"/>
    <w:rsid w:val="00EF3156"/>
    <w:rsid w:val="00EF5C80"/>
    <w:rsid w:val="00EF6DDD"/>
    <w:rsid w:val="00F14DD7"/>
    <w:rsid w:val="00F16B6F"/>
    <w:rsid w:val="00F20C6E"/>
    <w:rsid w:val="00F257BD"/>
    <w:rsid w:val="00F3031F"/>
    <w:rsid w:val="00F35E44"/>
    <w:rsid w:val="00F445E9"/>
    <w:rsid w:val="00F47B7B"/>
    <w:rsid w:val="00F5146F"/>
    <w:rsid w:val="00F51A53"/>
    <w:rsid w:val="00F73B87"/>
    <w:rsid w:val="00F73BCF"/>
    <w:rsid w:val="00F75518"/>
    <w:rsid w:val="00F77274"/>
    <w:rsid w:val="00F80E6C"/>
    <w:rsid w:val="00F90B4F"/>
    <w:rsid w:val="00F91056"/>
    <w:rsid w:val="00F94063"/>
    <w:rsid w:val="00F97D1F"/>
    <w:rsid w:val="00FA4997"/>
    <w:rsid w:val="00FB1732"/>
    <w:rsid w:val="00FB2F90"/>
    <w:rsid w:val="00FB4D21"/>
    <w:rsid w:val="00FC397D"/>
    <w:rsid w:val="00FC49E9"/>
    <w:rsid w:val="00FC68AB"/>
    <w:rsid w:val="00FD050E"/>
    <w:rsid w:val="00FD1DE1"/>
    <w:rsid w:val="00FD2C13"/>
    <w:rsid w:val="00FE0568"/>
    <w:rsid w:val="00FE4991"/>
    <w:rsid w:val="00FE4CB0"/>
    <w:rsid w:val="00FE5F70"/>
    <w:rsid w:val="00FE7B63"/>
    <w:rsid w:val="00FF5086"/>
    <w:rsid w:val="00FF62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9C28FB"/>
  <w15:docId w15:val="{42CE88C1-D0DD-4E96-AEF9-F986E58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D91"/>
    <w:pPr>
      <w:autoSpaceDE w:val="0"/>
      <w:autoSpaceDN w:val="0"/>
      <w:adjustRightInd w:val="0"/>
    </w:pPr>
    <w:rPr>
      <w:szCs w:val="24"/>
    </w:rPr>
  </w:style>
  <w:style w:type="paragraph" w:styleId="Heading1">
    <w:name w:val="heading 1"/>
    <w:basedOn w:val="Normal"/>
    <w:next w:val="Normal"/>
    <w:uiPriority w:val="9"/>
    <w:qFormat/>
    <w:pPr>
      <w:keepNext/>
      <w:outlineLvl w:val="0"/>
    </w:pPr>
    <w:rPr>
      <w:b/>
      <w:bCs/>
      <w:sz w:val="24"/>
    </w:rPr>
  </w:style>
  <w:style w:type="paragraph" w:styleId="Heading2">
    <w:name w:val="heading 2"/>
    <w:basedOn w:val="Normal"/>
    <w:next w:val="Normal"/>
    <w:link w:val="Heading2Char"/>
    <w:uiPriority w:val="9"/>
    <w:semiHidden/>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3DA9"/>
    <w:pPr>
      <w:spacing w:before="240" w:after="60"/>
      <w:jc w:val="center"/>
      <w:outlineLvl w:val="0"/>
    </w:pPr>
    <w:rPr>
      <w:rFonts w:ascii="Calibri Light" w:hAnsi="Calibri Light"/>
      <w:b/>
      <w:bCs/>
      <w:kern w:val="28"/>
      <w:sz w:val="32"/>
      <w:szCs w:val="32"/>
    </w:rPr>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link w:val="FooterChar"/>
    <w:uiPriority w:val="99"/>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uiPriority w:val="99"/>
    <w:rsid w:val="006B36BF"/>
    <w:rPr>
      <w:sz w:val="16"/>
      <w:szCs w:val="16"/>
    </w:rPr>
  </w:style>
  <w:style w:type="paragraph" w:styleId="CommentText">
    <w:name w:val="annotation text"/>
    <w:basedOn w:val="Normal"/>
    <w:link w:val="CommentTextChar"/>
    <w:uiPriority w:val="99"/>
    <w:rsid w:val="006B36BF"/>
    <w:rPr>
      <w:szCs w:val="20"/>
    </w:rPr>
  </w:style>
  <w:style w:type="character" w:customStyle="1" w:styleId="CommentTextChar">
    <w:name w:val="Comment Text Char"/>
    <w:basedOn w:val="DefaultParagraphFont"/>
    <w:link w:val="CommentText"/>
    <w:uiPriority w:val="99"/>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 w:type="paragraph" w:styleId="ListParagraph">
    <w:name w:val="List Paragraph"/>
    <w:basedOn w:val="Normal"/>
    <w:uiPriority w:val="34"/>
    <w:qFormat/>
    <w:rsid w:val="00DB1EE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42727"/>
    <w:rPr>
      <w:szCs w:val="20"/>
    </w:rPr>
  </w:style>
  <w:style w:type="character" w:customStyle="1" w:styleId="FootnoteTextChar">
    <w:name w:val="Footnote Text Char"/>
    <w:basedOn w:val="DefaultParagraphFont"/>
    <w:link w:val="FootnoteText"/>
    <w:uiPriority w:val="99"/>
    <w:semiHidden/>
    <w:rsid w:val="00442727"/>
  </w:style>
  <w:style w:type="character" w:styleId="UnresolvedMention">
    <w:name w:val="Unresolved Mention"/>
    <w:basedOn w:val="DefaultParagraphFont"/>
    <w:uiPriority w:val="99"/>
    <w:semiHidden/>
    <w:unhideWhenUsed/>
    <w:rsid w:val="00153B04"/>
    <w:rPr>
      <w:color w:val="605E5C"/>
      <w:shd w:val="clear" w:color="auto" w:fill="E1DFDD"/>
    </w:rPr>
  </w:style>
  <w:style w:type="paragraph" w:styleId="Caption">
    <w:name w:val="caption"/>
    <w:basedOn w:val="Normal"/>
    <w:next w:val="Normal"/>
    <w:uiPriority w:val="35"/>
    <w:unhideWhenUsed/>
    <w:qFormat/>
    <w:rsid w:val="00315352"/>
    <w:pPr>
      <w:spacing w:after="200"/>
    </w:pPr>
    <w:rPr>
      <w:i/>
      <w:iCs/>
      <w:color w:val="44546A" w:themeColor="text2"/>
      <w:sz w:val="18"/>
      <w:szCs w:val="18"/>
    </w:rPr>
  </w:style>
  <w:style w:type="character" w:customStyle="1" w:styleId="FooterChar">
    <w:name w:val="Footer Char"/>
    <w:basedOn w:val="DefaultParagraphFont"/>
    <w:link w:val="Footer"/>
    <w:uiPriority w:val="99"/>
    <w:rsid w:val="00E02B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omb.report/omb/0938-1325" TargetMode="External" /><Relationship Id="rId12" Type="http://schemas.openxmlformats.org/officeDocument/2006/relationships/hyperlink" Target="https://www.bls.gov/oes/2023/may/oes_nat.htm" TargetMode="External" /><Relationship Id="rId13" Type="http://schemas.openxmlformats.org/officeDocument/2006/relationships/hyperlink" Target="https://qcor.cms.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qcor.cm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5E5B0D50EEB4E9162978D1FF453D4" ma:contentTypeVersion="12" ma:contentTypeDescription="Create a new document." ma:contentTypeScope="" ma:versionID="0345f0830ea326843902e7f93812aee2">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ZMydlQTXUOR9Nj3JsjLRHTRdQ==">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04C1134C-C111-4104-9E49-0853BF59D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438322D-D821-4A47-A831-DEC1D470DD1D}">
  <ds:schemaRefs>
    <ds:schemaRef ds:uri="http://schemas.openxmlformats.org/officeDocument/2006/bibliography"/>
  </ds:schemaRefs>
</ds:datastoreItem>
</file>

<file path=customXml/itemProps4.xml><?xml version="1.0" encoding="utf-8"?>
<ds:datastoreItem xmlns:ds="http://schemas.openxmlformats.org/officeDocument/2006/customXml" ds:itemID="{285BD7C2-2752-41E4-8728-CD7EC468DD5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474D51-410A-440E-BF04-E20144F49E57}">
  <ds:schemaRefs>
    <ds:schemaRef ds:uri="http://schemas.microsoft.com/sharepoint/v3/contenttype/forms"/>
  </ds:schemaRefs>
</ds:datastoreItem>
</file>

<file path=customXml/itemProps6.xml><?xml version="1.0" encoding="utf-8"?>
<ds:datastoreItem xmlns:ds="http://schemas.openxmlformats.org/officeDocument/2006/customXml" ds:itemID="{7ADFE910-4130-4945-89D1-27EBBDEFF0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5137</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35</cp:revision>
  <dcterms:created xsi:type="dcterms:W3CDTF">2024-08-16T10:54:00Z</dcterms:created>
  <dcterms:modified xsi:type="dcterms:W3CDTF">2024-08-16T13:13:00Z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0x010100E445E5B0D50EEB4E9162978D1FF453D4</vt:lpwstr>
  </property>
  <property fmtid="{D5CDD505-2E9C-101B-9397-08002B2CF9AE}" pid="3" name="GrammarlyDocumentId">
    <vt:lpwstr>bc463dc0ac92f309536c69792af9559b56c5bdf212c78c9247f0d799fdfbc90f</vt:lpwstr>
  </property>
  <property fmtid="{D5CDD505-2E9C-101B-9397-08002B2CF9AE}" pid="4" name="Order">
    <vt:r8>6400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https://share.cms.gov/center/CCSQ/CSG/DNQS/RHCFQHC/PRA/2024/DRAFT_CMS-R-38  - Supporting Statement  A (2024 version 3) REDLINE.docx</vt:lpwstr>
  </property>
  <property fmtid="{D5CDD505-2E9C-101B-9397-08002B2CF9AE}" pid="8" name="_NewReviewCycle">
    <vt:lpwstr/>
  </property>
</Properties>
</file>