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A8F" w:rsidRPr="00CA39E7" w:rsidP="00140E48" w14:paraId="6A4B5876" w14:textId="77777777">
      <w:pPr>
        <w:pStyle w:val="Heading1"/>
        <w:kinsoku w:val="0"/>
        <w:overflowPunct w:val="0"/>
        <w:spacing w:after="60"/>
        <w:ind w:left="720" w:right="1008" w:firstLine="0"/>
        <w:jc w:val="center"/>
        <w:rPr>
          <w:u w:val="none"/>
        </w:rPr>
      </w:pPr>
      <w:r w:rsidRPr="00175975">
        <w:rPr>
          <w:u w:val="none"/>
        </w:rPr>
        <w:t>Supporting Statement for Paperwork Reduction Act</w:t>
      </w:r>
      <w:r w:rsidRPr="00175975">
        <w:rPr>
          <w:u w:val="none"/>
        </w:rPr>
        <w:t xml:space="preserve"> </w:t>
      </w:r>
      <w:r w:rsidRPr="00175975">
        <w:rPr>
          <w:u w:val="none"/>
        </w:rPr>
        <w:t>Submission</w:t>
      </w:r>
      <w:r w:rsidRPr="00CA39E7">
        <w:rPr>
          <w:u w:val="none"/>
        </w:rPr>
        <w:t xml:space="preserve"> </w:t>
      </w:r>
    </w:p>
    <w:p w:rsidR="00002EBC" w:rsidRPr="00175975" w:rsidP="00140E48" w14:paraId="678D90D0" w14:textId="77777777">
      <w:pPr>
        <w:pStyle w:val="Heading1"/>
        <w:kinsoku w:val="0"/>
        <w:overflowPunct w:val="0"/>
        <w:spacing w:after="60"/>
        <w:ind w:left="720" w:right="1008" w:firstLine="0"/>
        <w:jc w:val="center"/>
        <w:rPr>
          <w:u w:val="none"/>
        </w:rPr>
      </w:pPr>
      <w:r w:rsidRPr="00175975">
        <w:rPr>
          <w:u w:val="none"/>
        </w:rPr>
        <w:t xml:space="preserve">Rate Increase Disclosure and Review Requirements </w:t>
      </w:r>
    </w:p>
    <w:p w:rsidR="00FE2076" w:rsidRPr="00CA39E7" w:rsidP="00140E48" w14:paraId="3CF9759F" w14:textId="77777777">
      <w:pPr>
        <w:pStyle w:val="Heading1"/>
        <w:kinsoku w:val="0"/>
        <w:overflowPunct w:val="0"/>
        <w:spacing w:after="60"/>
        <w:ind w:left="720" w:right="1008" w:firstLine="0"/>
        <w:jc w:val="center"/>
        <w:rPr>
          <w:b w:val="0"/>
          <w:bCs w:val="0"/>
          <w:u w:val="none"/>
        </w:rPr>
      </w:pPr>
      <w:r w:rsidRPr="00175975">
        <w:rPr>
          <w:u w:val="none"/>
        </w:rPr>
        <w:t>(45 CFR Part</w:t>
      </w:r>
      <w:r w:rsidRPr="00175975">
        <w:rPr>
          <w:spacing w:val="-20"/>
          <w:u w:val="none"/>
        </w:rPr>
        <w:t xml:space="preserve"> </w:t>
      </w:r>
      <w:r w:rsidRPr="00175975">
        <w:rPr>
          <w:u w:val="none"/>
        </w:rPr>
        <w:t>154)</w:t>
      </w:r>
    </w:p>
    <w:p w:rsidR="00FE2076" w:rsidRPr="00140E48" w:rsidP="00140E48" w14:paraId="49222A7B" w14:textId="77777777">
      <w:pPr>
        <w:pStyle w:val="BodyText"/>
        <w:kinsoku w:val="0"/>
        <w:overflowPunct w:val="0"/>
        <w:spacing w:after="60"/>
        <w:ind w:left="2277" w:right="1008"/>
      </w:pPr>
      <w:r w:rsidRPr="00140E48">
        <w:rPr>
          <w:b/>
          <w:bCs/>
        </w:rPr>
        <w:t>(CMS – 10379/OMB Control Number</w:t>
      </w:r>
      <w:r w:rsidRPr="00140E48">
        <w:rPr>
          <w:b/>
          <w:bCs/>
          <w:spacing w:val="-11"/>
        </w:rPr>
        <w:t xml:space="preserve"> </w:t>
      </w:r>
      <w:r w:rsidRPr="00140E48">
        <w:rPr>
          <w:b/>
          <w:bCs/>
        </w:rPr>
        <w:t>0938-1141)</w:t>
      </w:r>
    </w:p>
    <w:p w:rsidR="00FE2076" w:rsidRPr="00140E48" w:rsidP="00140E48" w14:paraId="3EC482BB" w14:textId="77777777">
      <w:pPr>
        <w:pStyle w:val="BodyText"/>
        <w:kinsoku w:val="0"/>
        <w:overflowPunct w:val="0"/>
        <w:ind w:left="0"/>
        <w:rPr>
          <w:b/>
          <w:bCs/>
        </w:rPr>
      </w:pPr>
    </w:p>
    <w:p w:rsidR="00FE2076" w:rsidRPr="00140E48" w:rsidP="00140E48" w14:paraId="13D815CE" w14:textId="77777777">
      <w:pPr>
        <w:pStyle w:val="ListParagraph"/>
        <w:numPr>
          <w:ilvl w:val="0"/>
          <w:numId w:val="2"/>
        </w:numPr>
        <w:tabs>
          <w:tab w:val="left" w:pos="540"/>
        </w:tabs>
        <w:kinsoku w:val="0"/>
        <w:overflowPunct w:val="0"/>
        <w:ind w:left="540" w:right="1007" w:hanging="540"/>
      </w:pPr>
      <w:bookmarkStart w:id="0" w:name="A._Background"/>
      <w:bookmarkEnd w:id="0"/>
      <w:r w:rsidRPr="00140E48">
        <w:rPr>
          <w:b/>
          <w:bCs/>
        </w:rPr>
        <w:t>Background</w:t>
      </w:r>
    </w:p>
    <w:p w:rsidR="00FE2076" w:rsidRPr="00140E48" w:rsidP="00140E48" w14:paraId="63C93974" w14:textId="77777777">
      <w:pPr>
        <w:pStyle w:val="BodyText"/>
        <w:kinsoku w:val="0"/>
        <w:overflowPunct w:val="0"/>
        <w:ind w:left="0"/>
        <w:rPr>
          <w:bCs/>
        </w:rPr>
      </w:pPr>
    </w:p>
    <w:p w:rsidR="00FE2076" w:rsidRPr="00140E48" w:rsidP="00140E48" w14:paraId="39AE0B21" w14:textId="0B55478E">
      <w:pPr>
        <w:pStyle w:val="BodyText"/>
        <w:kinsoku w:val="0"/>
        <w:overflowPunct w:val="0"/>
        <w:ind w:left="0" w:right="40"/>
      </w:pPr>
      <w:r w:rsidRPr="00140E48">
        <w:t xml:space="preserve">The Patient Protection and Affordable Care Act (Pub. </w:t>
      </w:r>
      <w:r w:rsidRPr="00140E48">
        <w:rPr>
          <w:spacing w:val="-3"/>
        </w:rPr>
        <w:t xml:space="preserve">L. </w:t>
      </w:r>
      <w:r w:rsidRPr="00140E48">
        <w:t>111–148) was enacted</w:t>
      </w:r>
      <w:r w:rsidRPr="00140E48">
        <w:rPr>
          <w:spacing w:val="-7"/>
        </w:rPr>
        <w:t xml:space="preserve"> </w:t>
      </w:r>
      <w:r w:rsidRPr="00140E48">
        <w:t>on</w:t>
      </w:r>
      <w:r w:rsidRPr="00140E48" w:rsidR="00002EBC">
        <w:t xml:space="preserve"> </w:t>
      </w:r>
      <w:r w:rsidRPr="00140E48">
        <w:t xml:space="preserve">March 23, </w:t>
      </w:r>
      <w:r w:rsidRPr="00140E48">
        <w:t>2010</w:t>
      </w:r>
      <w:r w:rsidRPr="00140E48" w:rsidR="00ED78E3">
        <w:t xml:space="preserve"> and</w:t>
      </w:r>
      <w:r w:rsidRPr="00140E48">
        <w:t xml:space="preserve"> the Health Care and Education Reconciliation Act (Pub. L. 111–152)</w:t>
      </w:r>
      <w:r w:rsidRPr="00140E48">
        <w:rPr>
          <w:spacing w:val="-11"/>
        </w:rPr>
        <w:t xml:space="preserve"> </w:t>
      </w:r>
      <w:r w:rsidRPr="00140E48">
        <w:t>was enacted on March 30, 2010</w:t>
      </w:r>
      <w:r w:rsidRPr="00140E48" w:rsidR="00ED78E3">
        <w:t xml:space="preserve"> (collectively known as “</w:t>
      </w:r>
      <w:r w:rsidRPr="00140E48">
        <w:t>the Affordable Care Act</w:t>
      </w:r>
      <w:r w:rsidRPr="00140E48" w:rsidR="00ED78E3">
        <w:t>”)</w:t>
      </w:r>
      <w:r w:rsidRPr="00140E48" w:rsidR="00B47299">
        <w:t xml:space="preserve">. </w:t>
      </w:r>
      <w:r w:rsidRPr="00140E48">
        <w:t>The Affordable Care Act reorganizes, amends, and adds to the</w:t>
      </w:r>
      <w:r w:rsidRPr="00140E48">
        <w:rPr>
          <w:spacing w:val="-18"/>
        </w:rPr>
        <w:t xml:space="preserve"> </w:t>
      </w:r>
      <w:r w:rsidRPr="00140E48">
        <w:t>provisions of Part A of title XXVII of the Public Health Service Act (PHS Act) relating to group</w:t>
      </w:r>
      <w:r w:rsidRPr="00140E48">
        <w:rPr>
          <w:spacing w:val="-21"/>
        </w:rPr>
        <w:t xml:space="preserve"> </w:t>
      </w:r>
      <w:r w:rsidRPr="00140E48">
        <w:t>health plans and health insurance issuers in the group and individual</w:t>
      </w:r>
      <w:r w:rsidRPr="00140E48">
        <w:rPr>
          <w:spacing w:val="-12"/>
        </w:rPr>
        <w:t xml:space="preserve"> </w:t>
      </w:r>
      <w:r w:rsidRPr="00140E48">
        <w:t>markets.</w:t>
      </w:r>
    </w:p>
    <w:p w:rsidR="00FE2076" w:rsidRPr="00140E48" w:rsidP="00140E48" w14:paraId="64EDD1B8" w14:textId="77777777">
      <w:pPr>
        <w:pStyle w:val="BodyText"/>
        <w:kinsoku w:val="0"/>
        <w:overflowPunct w:val="0"/>
        <w:ind w:left="0"/>
      </w:pPr>
    </w:p>
    <w:p w:rsidR="00FE2076" w:rsidRPr="00140E48" w:rsidP="00140E48" w14:paraId="12936CCB" w14:textId="293A2C51">
      <w:pPr>
        <w:pStyle w:val="BodyText"/>
        <w:kinsoku w:val="0"/>
        <w:overflowPunct w:val="0"/>
        <w:ind w:left="0" w:right="40"/>
      </w:pPr>
      <w:r w:rsidRPr="00140E48">
        <w:t xml:space="preserve">Section 1003 of the Affordable Care Act added section 2794 </w:t>
      </w:r>
      <w:r w:rsidRPr="00140E48" w:rsidR="00ED78E3">
        <w:t>to</w:t>
      </w:r>
      <w:r w:rsidRPr="00140E48">
        <w:t xml:space="preserve"> the PHS Act</w:t>
      </w:r>
      <w:r w:rsidR="00C56DF8">
        <w:t>,</w:t>
      </w:r>
      <w:r w:rsidRPr="00140E48">
        <w:t xml:space="preserve"> which</w:t>
      </w:r>
      <w:r w:rsidRPr="00140E48">
        <w:rPr>
          <w:spacing w:val="-22"/>
        </w:rPr>
        <w:t xml:space="preserve"> </w:t>
      </w:r>
      <w:r w:rsidRPr="00140E48">
        <w:t>directs the Secretary of the Department of Health and Human Services (the Secretary), in</w:t>
      </w:r>
      <w:r w:rsidRPr="00140E48">
        <w:rPr>
          <w:spacing w:val="-21"/>
        </w:rPr>
        <w:t xml:space="preserve"> </w:t>
      </w:r>
      <w:r w:rsidRPr="00140E48">
        <w:t xml:space="preserve">conjunction with the </w:t>
      </w:r>
      <w:r w:rsidR="00500599">
        <w:t>S</w:t>
      </w:r>
      <w:r w:rsidRPr="00140E48" w:rsidR="00500599">
        <w:t>tates</w:t>
      </w:r>
      <w:r w:rsidRPr="00140E48">
        <w:t>, to establish a process for the annual review of “unreasonable increases</w:t>
      </w:r>
      <w:r w:rsidRPr="00140E48">
        <w:rPr>
          <w:spacing w:val="-13"/>
        </w:rPr>
        <w:t xml:space="preserve"> </w:t>
      </w:r>
      <w:r w:rsidRPr="00140E48">
        <w:t>in premiums for health insurance coverage.” The statute provides that health insurance</w:t>
      </w:r>
      <w:r w:rsidRPr="00140E48">
        <w:rPr>
          <w:spacing w:val="-2"/>
        </w:rPr>
        <w:t xml:space="preserve"> </w:t>
      </w:r>
      <w:r w:rsidRPr="00140E48">
        <w:t>issuers must submit justifications for unreasonable premium increases to the Secretary and</w:t>
      </w:r>
      <w:r w:rsidRPr="00140E48">
        <w:rPr>
          <w:spacing w:val="-12"/>
        </w:rPr>
        <w:t xml:space="preserve"> </w:t>
      </w:r>
      <w:r w:rsidRPr="00140E48">
        <w:t xml:space="preserve">the applicable </w:t>
      </w:r>
      <w:r w:rsidR="00C56DF8">
        <w:t>S</w:t>
      </w:r>
      <w:r w:rsidRPr="00140E48">
        <w:t>tate prior to the implementation of the increases. Section 2794 also specifies that</w:t>
      </w:r>
      <w:r w:rsidRPr="00140E48">
        <w:rPr>
          <w:spacing w:val="-21"/>
        </w:rPr>
        <w:t xml:space="preserve"> </w:t>
      </w:r>
      <w:r w:rsidRPr="00140E48">
        <w:t xml:space="preserve">the Secretary, in conjunction with </w:t>
      </w:r>
      <w:r w:rsidR="00C56DF8">
        <w:t>S</w:t>
      </w:r>
      <w:r w:rsidRPr="00140E48">
        <w:t xml:space="preserve">tates, shall monitor premium increases </w:t>
      </w:r>
      <w:r w:rsidRPr="00140E48" w:rsidR="008A0CB5">
        <w:t xml:space="preserve">for </w:t>
      </w:r>
      <w:r w:rsidRPr="00140E48">
        <w:t>health</w:t>
      </w:r>
      <w:r w:rsidRPr="00140E48">
        <w:rPr>
          <w:spacing w:val="-14"/>
        </w:rPr>
        <w:t xml:space="preserve"> </w:t>
      </w:r>
      <w:r w:rsidRPr="00140E48">
        <w:t>insurance coverage</w:t>
      </w:r>
      <w:r w:rsidRPr="00140E48" w:rsidR="00581507">
        <w:t xml:space="preserve"> offered</w:t>
      </w:r>
      <w:r w:rsidRPr="00140E48" w:rsidR="00ED78E3">
        <w:t xml:space="preserve"> through an Exchange and outside of an Exchange</w:t>
      </w:r>
      <w:r w:rsidRPr="00140E48">
        <w:t>.</w:t>
      </w:r>
    </w:p>
    <w:p w:rsidR="00FE2076" w:rsidRPr="00140E48" w:rsidP="00140E48" w14:paraId="3CC15F45" w14:textId="77777777">
      <w:pPr>
        <w:pStyle w:val="BodyText"/>
        <w:kinsoku w:val="0"/>
        <w:overflowPunct w:val="0"/>
        <w:ind w:left="0"/>
      </w:pPr>
    </w:p>
    <w:p w:rsidR="00FE2076" w:rsidRPr="00140E48" w:rsidP="00140E48" w14:paraId="6170A465" w14:textId="77777777">
      <w:pPr>
        <w:pStyle w:val="ListParagraph"/>
        <w:numPr>
          <w:ilvl w:val="0"/>
          <w:numId w:val="2"/>
        </w:numPr>
        <w:tabs>
          <w:tab w:val="left" w:pos="540"/>
        </w:tabs>
        <w:kinsoku w:val="0"/>
        <w:overflowPunct w:val="0"/>
        <w:ind w:left="540" w:right="1007" w:hanging="540"/>
        <w:rPr>
          <w:b/>
          <w:bCs/>
        </w:rPr>
      </w:pPr>
      <w:bookmarkStart w:id="1" w:name="B._Justification"/>
      <w:bookmarkEnd w:id="1"/>
      <w:r w:rsidRPr="00140E48">
        <w:rPr>
          <w:b/>
          <w:bCs/>
        </w:rPr>
        <w:t>Justification</w:t>
      </w:r>
    </w:p>
    <w:p w:rsidR="00FE2076" w:rsidRPr="00140E48" w:rsidP="00140E48" w14:paraId="395F97B9" w14:textId="77777777">
      <w:pPr>
        <w:pStyle w:val="BodyText"/>
        <w:kinsoku w:val="0"/>
        <w:overflowPunct w:val="0"/>
        <w:ind w:left="0"/>
        <w:rPr>
          <w:bCs/>
        </w:rPr>
      </w:pPr>
    </w:p>
    <w:p w:rsidR="00FE2076" w:rsidRPr="00CA39E7" w:rsidP="00140E48" w14:paraId="234C76AA" w14:textId="77777777">
      <w:pPr>
        <w:pStyle w:val="ListParagraph"/>
        <w:numPr>
          <w:ilvl w:val="1"/>
          <w:numId w:val="2"/>
        </w:numPr>
        <w:tabs>
          <w:tab w:val="left" w:pos="360"/>
        </w:tabs>
        <w:kinsoku w:val="0"/>
        <w:overflowPunct w:val="0"/>
        <w:ind w:right="1007" w:hanging="360"/>
      </w:pPr>
      <w:bookmarkStart w:id="2" w:name="1._Need_and_Legal_Basis"/>
      <w:bookmarkEnd w:id="2"/>
      <w:r w:rsidRPr="00175975">
        <w:rPr>
          <w:b/>
          <w:bCs/>
        </w:rPr>
        <w:t>Need and Legal</w:t>
      </w:r>
      <w:r w:rsidRPr="00175975">
        <w:rPr>
          <w:b/>
          <w:bCs/>
          <w:spacing w:val="-1"/>
        </w:rPr>
        <w:t xml:space="preserve"> </w:t>
      </w:r>
      <w:r w:rsidRPr="00175975">
        <w:rPr>
          <w:b/>
          <w:bCs/>
        </w:rPr>
        <w:t>Basis</w:t>
      </w:r>
    </w:p>
    <w:p w:rsidR="00FE2076" w:rsidRPr="00140E48" w:rsidP="00140E48" w14:paraId="47712529" w14:textId="77777777">
      <w:pPr>
        <w:pStyle w:val="BodyText"/>
        <w:kinsoku w:val="0"/>
        <w:overflowPunct w:val="0"/>
        <w:ind w:left="0"/>
        <w:rPr>
          <w:b/>
          <w:bCs/>
        </w:rPr>
      </w:pPr>
    </w:p>
    <w:p w:rsidR="00FE2076" w:rsidRPr="00140E48" w:rsidP="00140E48" w14:paraId="5AAB61B8" w14:textId="301DAD51">
      <w:pPr>
        <w:pStyle w:val="BodyText"/>
        <w:kinsoku w:val="0"/>
        <w:overflowPunct w:val="0"/>
        <w:ind w:left="0" w:right="40"/>
      </w:pPr>
      <w:r w:rsidRPr="00140E48">
        <w:t xml:space="preserve">45 CFR Part </w:t>
      </w:r>
      <w:r w:rsidRPr="00140E48">
        <w:rPr>
          <w:spacing w:val="-3"/>
        </w:rPr>
        <w:t>154</w:t>
      </w:r>
      <w:r w:rsidRPr="00140E48">
        <w:t xml:space="preserve"> implements the annual </w:t>
      </w:r>
      <w:r w:rsidRPr="00140E48" w:rsidR="006A6E85">
        <w:t xml:space="preserve">review of increases </w:t>
      </w:r>
      <w:r w:rsidRPr="00140E48">
        <w:t>in premiums for</w:t>
      </w:r>
      <w:r w:rsidRPr="00140E48">
        <w:rPr>
          <w:spacing w:val="-20"/>
        </w:rPr>
        <w:t xml:space="preserve"> </w:t>
      </w:r>
      <w:r w:rsidRPr="00140E48">
        <w:t>health insurance coverage called for by section 2794</w:t>
      </w:r>
      <w:r w:rsidR="00814CDF">
        <w:t xml:space="preserve"> of the PHS Act</w:t>
      </w:r>
      <w:r w:rsidRPr="00140E48">
        <w:t>. The regulation established a rate review</w:t>
      </w:r>
      <w:r w:rsidRPr="00140E48">
        <w:rPr>
          <w:spacing w:val="-22"/>
        </w:rPr>
        <w:t xml:space="preserve"> </w:t>
      </w:r>
      <w:r w:rsidRPr="00140E48">
        <w:t>program</w:t>
      </w:r>
      <w:r w:rsidRPr="00140E48">
        <w:rPr>
          <w:spacing w:val="-1"/>
        </w:rPr>
        <w:t xml:space="preserve"> </w:t>
      </w:r>
      <w:r w:rsidRPr="00140E48">
        <w:t>to ensure that all rate increases that meet or exceed an established threshold are reviewed by</w:t>
      </w:r>
      <w:r w:rsidRPr="00140E48">
        <w:rPr>
          <w:spacing w:val="-17"/>
        </w:rPr>
        <w:t xml:space="preserve"> </w:t>
      </w:r>
      <w:r w:rsidRPr="00140E48">
        <w:t xml:space="preserve">a </w:t>
      </w:r>
      <w:r w:rsidR="00C56DF8">
        <w:t>S</w:t>
      </w:r>
      <w:r w:rsidRPr="00140E48">
        <w:t xml:space="preserve">tate or </w:t>
      </w:r>
      <w:r w:rsidRPr="00140E48" w:rsidR="001C68AC">
        <w:t>the Centers for Medicare and Medicaid Services (</w:t>
      </w:r>
      <w:r w:rsidRPr="00140E48">
        <w:t>CMS</w:t>
      </w:r>
      <w:r w:rsidRPr="00140E48" w:rsidR="001C68AC">
        <w:t>)</w:t>
      </w:r>
      <w:r w:rsidRPr="00140E48">
        <w:t xml:space="preserve"> to determine whether the rate increases are </w:t>
      </w:r>
      <w:r w:rsidRPr="00140E48" w:rsidR="00DE42AB">
        <w:t xml:space="preserve">unreasonable. </w:t>
      </w:r>
      <w:r w:rsidRPr="00CB04D3" w:rsidR="00DE42AB">
        <w:t xml:space="preserve">Each </w:t>
      </w:r>
      <w:r w:rsidR="005E5EC6">
        <w:t>S</w:t>
      </w:r>
      <w:r w:rsidRPr="00CB04D3" w:rsidR="00DE42AB">
        <w:t xml:space="preserve">tate or CMS also reviews all proposed rate changes from issuers offering non-grandfathered health insurance coverage in the individual and/or small group markets for compliance with the Federal rating rules at sections 2701, 2705, 2717(c)(4), and 2753 of the PHS Act, section 1312(c) of the Affordable Care Act, and 45 C.F.R. §§ 147.102, 147.110, 148.180, and 156.80. </w:t>
      </w:r>
      <w:r w:rsidRPr="00140E48" w:rsidR="00DE42AB">
        <w:t xml:space="preserve">Accordingly, </w:t>
      </w:r>
      <w:r w:rsidRPr="00140E48" w:rsidR="001C68AC">
        <w:t xml:space="preserve">issuers offering non-grandfathered health insurance coverage in the individual and/or small group markets are required to submit Rate Filing Justifications to CMS. </w:t>
      </w:r>
      <w:r w:rsidRPr="00140E48" w:rsidR="006A4AEB">
        <w:t>Section 154.103 exempts g</w:t>
      </w:r>
      <w:r w:rsidRPr="00140E48" w:rsidR="006A4AEB">
        <w:rPr>
          <w:color w:val="000000"/>
        </w:rPr>
        <w:t>randfathered health plan coverage as defined in 45 CFR §147.140</w:t>
      </w:r>
      <w:r w:rsidRPr="00140E48" w:rsidR="00F86A96">
        <w:rPr>
          <w:color w:val="000000"/>
        </w:rPr>
        <w:t>,</w:t>
      </w:r>
      <w:r w:rsidRPr="00140E48" w:rsidR="006A4AEB">
        <w:rPr>
          <w:color w:val="000000"/>
        </w:rPr>
        <w:t xml:space="preserve"> excepted benefits as described in s</w:t>
      </w:r>
      <w:r w:rsidRPr="00140E48" w:rsidR="00ED78E3">
        <w:rPr>
          <w:color w:val="000000"/>
        </w:rPr>
        <w:t>ection 2791(c) of the PHS Act</w:t>
      </w:r>
      <w:r w:rsidRPr="00140E48" w:rsidR="00D123D4">
        <w:rPr>
          <w:color w:val="000000"/>
        </w:rPr>
        <w:t>,</w:t>
      </w:r>
      <w:r w:rsidRPr="00140E48" w:rsidR="00D708C1">
        <w:rPr>
          <w:color w:val="000000"/>
        </w:rPr>
        <w:t xml:space="preserve"> and </w:t>
      </w:r>
      <w:r w:rsidRPr="00140E48" w:rsidR="006A4AEB">
        <w:t xml:space="preserve">student health insurance coverage as defined in §147.145 from Federal rate review requirements. </w:t>
      </w:r>
    </w:p>
    <w:p w:rsidR="00FE2076" w:rsidRPr="00140E48" w:rsidP="00140E48" w14:paraId="7BD0C926" w14:textId="77777777">
      <w:pPr>
        <w:pStyle w:val="BodyText"/>
        <w:kinsoku w:val="0"/>
        <w:overflowPunct w:val="0"/>
        <w:ind w:left="0"/>
      </w:pPr>
    </w:p>
    <w:p w:rsidR="00FE2076" w:rsidRPr="00140E48" w:rsidP="00140E48" w14:paraId="13C1B9EF" w14:textId="2B355F7F">
      <w:pPr>
        <w:pStyle w:val="BodyText"/>
        <w:kinsoku w:val="0"/>
        <w:overflowPunct w:val="0"/>
        <w:ind w:left="0" w:right="40"/>
      </w:pPr>
      <w:r w:rsidRPr="00140E48">
        <w:t xml:space="preserve">Section 154.200(a) provides that a rate increase for single risk pool coverage is subject to reasonableness review if the average increase, including premium rating factors described in §147.102, for all enrollees, weighted by premium volume for any plan within the product, </w:t>
      </w:r>
      <w:r>
        <w:t xml:space="preserve">(1) is </w:t>
      </w:r>
      <w:r w:rsidRPr="00140E48">
        <w:t>15 percent</w:t>
      </w:r>
      <w:r>
        <w:t xml:space="preserve"> or more</w:t>
      </w:r>
      <w:r w:rsidRPr="00140E48">
        <w:t xml:space="preserve"> or (2) exceeds </w:t>
      </w:r>
      <w:r w:rsidRPr="00140E48" w:rsidR="006A4AEB">
        <w:t xml:space="preserve">a </w:t>
      </w:r>
      <w:r w:rsidR="00EC261C">
        <w:t>S</w:t>
      </w:r>
      <w:r w:rsidRPr="00140E48" w:rsidR="006A4AEB">
        <w:t xml:space="preserve">tate-specific threshold approved by the Secretary.  </w:t>
      </w:r>
    </w:p>
    <w:p w:rsidR="006A4AEB" w:rsidRPr="00140E48" w:rsidP="00140E48" w14:paraId="0A06B482" w14:textId="77777777">
      <w:pPr>
        <w:pStyle w:val="BodyText"/>
        <w:kinsoku w:val="0"/>
        <w:overflowPunct w:val="0"/>
        <w:ind w:right="153"/>
      </w:pPr>
    </w:p>
    <w:p w:rsidR="00E020AB" w:rsidRPr="00140E48" w:rsidP="00140E48" w14:paraId="3E4798EC" w14:textId="5B3DBFD8">
      <w:pPr>
        <w:pStyle w:val="BodyText"/>
        <w:kinsoku w:val="0"/>
        <w:overflowPunct w:val="0"/>
        <w:ind w:left="0" w:right="40"/>
      </w:pPr>
      <w:r w:rsidRPr="00140E48">
        <w:t xml:space="preserve">The Rate Filing Justification consists of three parts. </w:t>
      </w:r>
      <w:r w:rsidRPr="00140E48" w:rsidR="006A4AEB">
        <w:t xml:space="preserve">All issuers must submit a </w:t>
      </w:r>
      <w:r w:rsidR="00512C65">
        <w:t xml:space="preserve">Unified </w:t>
      </w:r>
      <w:r w:rsidRPr="00140E48" w:rsidR="006A4AEB">
        <w:t>Rate Review Template</w:t>
      </w:r>
      <w:r w:rsidRPr="00140E48" w:rsidR="00DE42AB">
        <w:t xml:space="preserve"> (</w:t>
      </w:r>
      <w:r w:rsidR="00DE42AB">
        <w:t>“</w:t>
      </w:r>
      <w:r w:rsidRPr="00140E48" w:rsidR="00DE42AB">
        <w:t>URRT</w:t>
      </w:r>
      <w:r w:rsidR="00DE42AB">
        <w:t xml:space="preserve">,” </w:t>
      </w:r>
      <w:r w:rsidRPr="00140E48" w:rsidR="00DE42AB">
        <w:t xml:space="preserve">Part </w:t>
      </w:r>
      <w:r w:rsidRPr="00140E48" w:rsidR="006A4AEB">
        <w:t>I of the Rate Filing Justification) for all single risk pool plan</w:t>
      </w:r>
      <w:r w:rsidRPr="00140E48" w:rsidR="00436916">
        <w:t>s</w:t>
      </w:r>
      <w:r w:rsidRPr="00140E48" w:rsidR="006A4AEB">
        <w:t xml:space="preserve">. </w:t>
      </w:r>
      <w:r w:rsidRPr="00140E48" w:rsidR="008C69EC">
        <w:t xml:space="preserve">The URRT is intended to capture information needed to monitor rate increases and </w:t>
      </w:r>
      <w:r w:rsidRPr="00140E48" w:rsidR="00DE42AB">
        <w:t>ensure compliance with the single risk pool methodology and other federal rating requirements. The URRT contains three worksheets: Worksheet 1 “Market Experience</w:t>
      </w:r>
      <w:r w:rsidR="00DE42AB">
        <w:t>,</w:t>
      </w:r>
      <w:r w:rsidRPr="00140E48" w:rsidR="00DE42AB">
        <w:t>” Worksheet 2 “Plan &amp; Product Information</w:t>
      </w:r>
      <w:r w:rsidR="00DE42AB">
        <w:t>,</w:t>
      </w:r>
      <w:r w:rsidRPr="00140E48" w:rsidR="00DE42AB">
        <w:t>” and Worksheet 3 “Rating Areas</w:t>
      </w:r>
      <w:r w:rsidRPr="00140E48" w:rsidR="008C69EC">
        <w:t xml:space="preserve">.”  </w:t>
      </w:r>
    </w:p>
    <w:p w:rsidR="00E020AB" w:rsidRPr="00140E48" w:rsidP="00140E48" w14:paraId="5BC26A54" w14:textId="77777777">
      <w:pPr>
        <w:pStyle w:val="BodyText"/>
        <w:kinsoku w:val="0"/>
        <w:overflowPunct w:val="0"/>
        <w:ind w:left="0" w:right="40"/>
      </w:pPr>
    </w:p>
    <w:p w:rsidR="00E020AB" w:rsidRPr="00140E48" w:rsidP="00140E48" w14:paraId="4C75F520" w14:textId="5621FD7A">
      <w:pPr>
        <w:pStyle w:val="BodyText"/>
        <w:kinsoku w:val="0"/>
        <w:overflowPunct w:val="0"/>
        <w:ind w:left="0" w:right="40"/>
      </w:pPr>
      <w:r w:rsidRPr="00140E48">
        <w:t xml:space="preserve">Issuers that submit a rate filing that includes a plan that meets or </w:t>
      </w:r>
      <w:r w:rsidRPr="00140E48" w:rsidR="00DE42AB">
        <w:t>exceeds the</w:t>
      </w:r>
      <w:r w:rsidR="00DE42AB">
        <w:t xml:space="preserve"> applicable </w:t>
      </w:r>
      <w:r w:rsidR="00175975">
        <w:t>S</w:t>
      </w:r>
      <w:r w:rsidR="00DE42AB">
        <w:t xml:space="preserve">tate or </w:t>
      </w:r>
      <w:r w:rsidR="00175975">
        <w:t>F</w:t>
      </w:r>
      <w:r w:rsidR="00DE42AB">
        <w:t>ederal</w:t>
      </w:r>
      <w:r w:rsidRPr="00140E48" w:rsidR="00DE42AB">
        <w:t xml:space="preserve"> threshold </w:t>
      </w:r>
      <w:r w:rsidRPr="00140E48">
        <w:t>must include a written description justifying the rate increase, also known as the consumer justification narrative (</w:t>
      </w:r>
      <w:r w:rsidRPr="00140E48" w:rsidR="00D2080B">
        <w:t>“narrative</w:t>
      </w:r>
      <w:r w:rsidR="00D2080B">
        <w:t>,</w:t>
      </w:r>
      <w:r w:rsidRPr="00140E48" w:rsidR="00D2080B">
        <w:t xml:space="preserve">” Part </w:t>
      </w:r>
      <w:r w:rsidRPr="00140E48">
        <w:t xml:space="preserve">II of the Rate Filing Justification). We note that the threshold set by CMS constitutes a minimum </w:t>
      </w:r>
      <w:r w:rsidRPr="00140E48" w:rsidR="00D2080B">
        <w:t>standard</w:t>
      </w:r>
      <w:r w:rsidR="00D2080B">
        <w:t>,</w:t>
      </w:r>
      <w:r w:rsidRPr="00140E48" w:rsidR="00D2080B">
        <w:t xml:space="preserve"> and </w:t>
      </w:r>
      <w:r w:rsidRPr="00140E48" w:rsidR="00ED78E3">
        <w:t>m</w:t>
      </w:r>
      <w:r w:rsidRPr="00140E48">
        <w:t xml:space="preserve">ost </w:t>
      </w:r>
      <w:r w:rsidR="00EC261C">
        <w:t>S</w:t>
      </w:r>
      <w:r w:rsidRPr="00140E48">
        <w:t xml:space="preserve">tates currently employ stricter rate review standards and may continue to do so.  </w:t>
      </w:r>
    </w:p>
    <w:p w:rsidR="00E020AB" w:rsidRPr="00140E48" w:rsidP="00140E48" w14:paraId="6449B9F2" w14:textId="77777777">
      <w:pPr>
        <w:pStyle w:val="BodyText"/>
        <w:kinsoku w:val="0"/>
        <w:overflowPunct w:val="0"/>
        <w:ind w:left="0" w:right="40"/>
      </w:pPr>
    </w:p>
    <w:p w:rsidR="005C1460" w:rsidP="00140E48" w14:paraId="78DAA6E0" w14:textId="22CAE950">
      <w:pPr>
        <w:pStyle w:val="BodyText"/>
        <w:kinsoku w:val="0"/>
        <w:overflowPunct w:val="0"/>
        <w:ind w:left="0" w:right="40"/>
      </w:pPr>
      <w:r w:rsidRPr="00140E48">
        <w:t xml:space="preserve">Issuers offering a </w:t>
      </w:r>
      <w:r w:rsidRPr="00140E48" w:rsidR="008C69EC">
        <w:t>qualified health plan (</w:t>
      </w:r>
      <w:r w:rsidRPr="00140E48">
        <w:t>QHP</w:t>
      </w:r>
      <w:r w:rsidRPr="00140E48" w:rsidR="008C69EC">
        <w:t>)</w:t>
      </w:r>
      <w:r w:rsidRPr="00140E48">
        <w:t xml:space="preserve"> or any single risk pool submission containing a rate increase of any size must submit an actuarial memorandum (Part III of the Rate Filing </w:t>
      </w:r>
      <w:r w:rsidRPr="00140E48" w:rsidR="00DE42AB">
        <w:t>Justification).</w:t>
      </w:r>
      <w:r w:rsidR="00DE42AB">
        <w:t xml:space="preserve"> Additionally, t</w:t>
      </w:r>
      <w:r w:rsidRPr="002F6B89" w:rsidR="00DE42AB">
        <w:t xml:space="preserve">he actuarial memorandum is required whenever a </w:t>
      </w:r>
      <w:r w:rsidR="005E5EC6">
        <w:t>S</w:t>
      </w:r>
      <w:r w:rsidRPr="002F6B89" w:rsidR="00DE42AB">
        <w:t xml:space="preserve">tate with an Effective Rate Review Program, as determined in accordance with 45 CFR §154.301, requires it to be submitted, and for all plans in </w:t>
      </w:r>
      <w:r w:rsidR="00175975">
        <w:t>S</w:t>
      </w:r>
      <w:r w:rsidRPr="002F6B89" w:rsidR="00DE42AB">
        <w:t>tates that do not have an Effective Rate Review Program.</w:t>
      </w:r>
    </w:p>
    <w:p w:rsidR="00DE42AB" w:rsidP="00140E48" w14:paraId="08E41A08" w14:textId="77777777">
      <w:pPr>
        <w:pStyle w:val="BodyText"/>
        <w:kinsoku w:val="0"/>
        <w:overflowPunct w:val="0"/>
        <w:ind w:left="0" w:right="40"/>
      </w:pPr>
    </w:p>
    <w:p w:rsidR="005C1460" w:rsidRPr="00140E48" w:rsidP="00140E48" w14:paraId="7740E8B7" w14:textId="750331E5">
      <w:pPr>
        <w:pStyle w:val="BodyText"/>
        <w:kinsoku w:val="0"/>
        <w:overflowPunct w:val="0"/>
        <w:ind w:left="0" w:right="40"/>
      </w:pPr>
      <w:r w:rsidRPr="005C1460">
        <w:t xml:space="preserve">For each rate increase that is under review, either CMS or the </w:t>
      </w:r>
      <w:r w:rsidR="00EC261C">
        <w:t>S</w:t>
      </w:r>
      <w:r w:rsidRPr="005C1460">
        <w:t xml:space="preserve">tate will prepare a final determination as to whether the proposed rate increase is unreasonable or not, as well as a brief explanation of relevant review findings.  </w:t>
      </w:r>
    </w:p>
    <w:p w:rsidR="006A4AEB" w:rsidRPr="00140E48" w:rsidP="00140E48" w14:paraId="102CB2BD" w14:textId="77777777">
      <w:pPr>
        <w:ind w:firstLine="720"/>
      </w:pPr>
    </w:p>
    <w:p w:rsidR="008C69EC" w:rsidRPr="00140E48" w:rsidP="00140E48" w14:paraId="1DD1B2B0" w14:textId="4C2E53F6">
      <w:pPr>
        <w:pStyle w:val="BodyText"/>
        <w:kinsoku w:val="0"/>
        <w:overflowPunct w:val="0"/>
        <w:ind w:left="0" w:right="40"/>
      </w:pPr>
      <w:r>
        <w:t>Prior to March 2022, all i</w:t>
      </w:r>
      <w:r w:rsidRPr="00140E48">
        <w:t xml:space="preserve">ssuers </w:t>
      </w:r>
      <w:r>
        <w:t xml:space="preserve">in the individual and small group market were </w:t>
      </w:r>
      <w:r w:rsidRPr="00140E48" w:rsidR="00172424">
        <w:t>submit</w:t>
      </w:r>
      <w:r>
        <w:t>ting</w:t>
      </w:r>
      <w:r w:rsidRPr="00140E48">
        <w:t xml:space="preserve"> rate filing justifications</w:t>
      </w:r>
      <w:r w:rsidRPr="00140E48" w:rsidR="008A0CB5">
        <w:t xml:space="preserve"> via the Unified Rate Review (URR) module within</w:t>
      </w:r>
      <w:r w:rsidRPr="00140E48">
        <w:t xml:space="preserve"> </w:t>
      </w:r>
      <w:r w:rsidRPr="00140E48" w:rsidR="00A35A8F">
        <w:t>CMS</w:t>
      </w:r>
      <w:r w:rsidRPr="00140E48">
        <w:t xml:space="preserve">’s Health Insurance Oversight System (HIOS). In most </w:t>
      </w:r>
      <w:r w:rsidR="00EC261C">
        <w:t>S</w:t>
      </w:r>
      <w:r w:rsidRPr="00140E48">
        <w:t xml:space="preserve">tates, issuers </w:t>
      </w:r>
      <w:r>
        <w:t xml:space="preserve">were </w:t>
      </w:r>
      <w:r w:rsidRPr="00140E48">
        <w:t>also submit</w:t>
      </w:r>
      <w:r>
        <w:t>ting</w:t>
      </w:r>
      <w:r w:rsidRPr="00140E48">
        <w:t xml:space="preserve"> the same rate filing data and forms into the National Association of Insurance Commissioners’ (</w:t>
      </w:r>
      <w:r w:rsidRPr="00140E48" w:rsidR="00EC726C">
        <w:t>NAIC</w:t>
      </w:r>
      <w:r w:rsidRPr="00140E48">
        <w:t xml:space="preserve">) System for Electronic Rates &amp; Forms Filing (SERFF). Most </w:t>
      </w:r>
      <w:r w:rsidR="00EC261C">
        <w:t>S</w:t>
      </w:r>
      <w:r w:rsidRPr="00140E48">
        <w:t>tate</w:t>
      </w:r>
      <w:r w:rsidRPr="00140E48" w:rsidR="009D104D">
        <w:t xml:space="preserve"> reviewers</w:t>
      </w:r>
      <w:r w:rsidRPr="00140E48">
        <w:t xml:space="preserve"> </w:t>
      </w:r>
      <w:r>
        <w:t xml:space="preserve">were </w:t>
      </w:r>
      <w:r w:rsidRPr="00140E48" w:rsidR="00172424">
        <w:t>submit</w:t>
      </w:r>
      <w:r>
        <w:t>ting</w:t>
      </w:r>
      <w:r w:rsidRPr="00140E48" w:rsidR="00172424">
        <w:t xml:space="preserve"> </w:t>
      </w:r>
      <w:r w:rsidRPr="00140E48">
        <w:t xml:space="preserve">their reasonableness determinations into both systems. </w:t>
      </w:r>
      <w:r>
        <w:t>That</w:t>
      </w:r>
      <w:r w:rsidRPr="00140E48">
        <w:t xml:space="preserve"> </w:t>
      </w:r>
      <w:r w:rsidRPr="00140E48" w:rsidR="00172424">
        <w:t xml:space="preserve">process </w:t>
      </w:r>
      <w:r w:rsidRPr="00140E48">
        <w:t xml:space="preserve">resulted in </w:t>
      </w:r>
      <w:r w:rsidRPr="00140E48" w:rsidR="00172424">
        <w:t xml:space="preserve">a </w:t>
      </w:r>
      <w:r w:rsidRPr="00140E48">
        <w:t>duplication of efforts in 4</w:t>
      </w:r>
      <w:r w:rsidRPr="00140E48" w:rsidR="00C174ED">
        <w:t>7</w:t>
      </w:r>
      <w:r w:rsidRPr="00140E48">
        <w:t xml:space="preserve"> </w:t>
      </w:r>
      <w:r w:rsidR="00EC261C">
        <w:t>S</w:t>
      </w:r>
      <w:r w:rsidRPr="00140E48">
        <w:t>tates</w:t>
      </w:r>
      <w:r w:rsidRPr="00140E48" w:rsidR="00C174ED">
        <w:t xml:space="preserve"> and the District of Columbia</w:t>
      </w:r>
      <w:r w:rsidRPr="00140E48">
        <w:t xml:space="preserve">. </w:t>
      </w:r>
    </w:p>
    <w:p w:rsidR="008C69EC" w:rsidRPr="00140E48" w:rsidP="00140E48" w14:paraId="10C0BBFE" w14:textId="77777777">
      <w:pPr>
        <w:pStyle w:val="BodyText"/>
        <w:kinsoku w:val="0"/>
        <w:overflowPunct w:val="0"/>
        <w:ind w:left="0" w:right="40"/>
      </w:pPr>
    </w:p>
    <w:p w:rsidR="00EC726C" w:rsidRPr="00140E48" w:rsidP="00140E48" w14:paraId="4CF8BFA3" w14:textId="04508688">
      <w:pPr>
        <w:pStyle w:val="BodyText"/>
        <w:kinsoku w:val="0"/>
        <w:overflowPunct w:val="0"/>
        <w:ind w:left="0" w:right="40"/>
      </w:pPr>
      <w:r w:rsidRPr="00140E48">
        <w:t>In order to</w:t>
      </w:r>
      <w:r w:rsidRPr="00140E48">
        <w:t xml:space="preserve"> decrease the burden on issuers and </w:t>
      </w:r>
      <w:r w:rsidR="00EC261C">
        <w:t>S</w:t>
      </w:r>
      <w:r w:rsidRPr="00140E48">
        <w:t>tates, CMS and the NAIC</w:t>
      </w:r>
      <w:r w:rsidRPr="00140E48">
        <w:t xml:space="preserve"> development teams </w:t>
      </w:r>
      <w:r w:rsidRPr="00140E48" w:rsidR="002A1A55">
        <w:t xml:space="preserve">established </w:t>
      </w:r>
      <w:r w:rsidRPr="00140E48">
        <w:t>a system connection between SERFF and HIO</w:t>
      </w:r>
      <w:r w:rsidRPr="00140E48">
        <w:t>S</w:t>
      </w:r>
      <w:r w:rsidRPr="00140E48">
        <w:t>. This connection allow</w:t>
      </w:r>
      <w:r w:rsidRPr="00140E48" w:rsidR="00C037A0">
        <w:t>s</w:t>
      </w:r>
      <w:r w:rsidRPr="00140E48">
        <w:t xml:space="preserve"> automatic data and file transfers between the two systems </w:t>
      </w:r>
      <w:r w:rsidRPr="00140E48" w:rsidR="003866AB">
        <w:t xml:space="preserve">to reduce duplicative manual entry work and therefore </w:t>
      </w:r>
      <w:r w:rsidRPr="00140E48">
        <w:t xml:space="preserve">reduce </w:t>
      </w:r>
      <w:r w:rsidRPr="00140E48" w:rsidR="00195AFC">
        <w:t xml:space="preserve">the burden for issuers and </w:t>
      </w:r>
      <w:r w:rsidR="00EC261C">
        <w:t>S</w:t>
      </w:r>
      <w:r w:rsidRPr="00140E48" w:rsidR="00195AFC">
        <w:t>tate reviewers.</w:t>
      </w:r>
      <w:r w:rsidRPr="00140E48">
        <w:t xml:space="preserve"> </w:t>
      </w:r>
    </w:p>
    <w:p w:rsidR="00EC726C" w:rsidRPr="00140E48" w:rsidP="00140E48" w14:paraId="7DDCAB2D" w14:textId="77777777">
      <w:pPr>
        <w:pStyle w:val="BodyText"/>
        <w:kinsoku w:val="0"/>
        <w:overflowPunct w:val="0"/>
        <w:ind w:right="40"/>
      </w:pPr>
    </w:p>
    <w:p w:rsidR="00FE2076" w:rsidRPr="00140E48" w:rsidP="00140E48" w14:paraId="159FCAD2" w14:textId="1306CD92">
      <w:pPr>
        <w:pStyle w:val="BodyText"/>
        <w:kinsoku w:val="0"/>
        <w:overflowPunct w:val="0"/>
        <w:ind w:left="0" w:right="40"/>
      </w:pPr>
      <w:r w:rsidRPr="00140E48">
        <w:t xml:space="preserve">The new system connection is </w:t>
      </w:r>
      <w:r w:rsidRPr="00140E48" w:rsidR="002A1A55">
        <w:t xml:space="preserve">available in most </w:t>
      </w:r>
      <w:r w:rsidR="00EC261C">
        <w:t>S</w:t>
      </w:r>
      <w:r w:rsidRPr="00140E48" w:rsidR="002A1A55">
        <w:t xml:space="preserve">tates for filings created after March 25, 2022.  </w:t>
      </w:r>
      <w:r w:rsidRPr="00140E48" w:rsidR="003866AB">
        <w:t>It</w:t>
      </w:r>
      <w:r w:rsidRPr="00140E48" w:rsidR="002A1A55">
        <w:t xml:space="preserve"> is </w:t>
      </w:r>
      <w:r w:rsidRPr="00140E48">
        <w:t xml:space="preserve">not applicable to </w:t>
      </w:r>
      <w:bookmarkStart w:id="3" w:name="_Hlk92281783"/>
      <w:r w:rsidR="00EC261C">
        <w:t>S</w:t>
      </w:r>
      <w:r w:rsidRPr="00140E48">
        <w:t>tates without an Effective Rate Review Program</w:t>
      </w:r>
      <w:r w:rsidRPr="00140E48" w:rsidR="008C69EC">
        <w:t xml:space="preserve"> (currently Oklahoma</w:t>
      </w:r>
      <w:r w:rsidR="00AF59AF">
        <w:t xml:space="preserve">, </w:t>
      </w:r>
      <w:r w:rsidR="0060115A">
        <w:t>Tennessee,</w:t>
      </w:r>
      <w:r w:rsidRPr="00140E48" w:rsidR="008C69EC">
        <w:t xml:space="preserve"> and Wyoming)</w:t>
      </w:r>
      <w:r w:rsidRPr="00140E48">
        <w:t xml:space="preserve">, or </w:t>
      </w:r>
      <w:r w:rsidR="00EC261C">
        <w:t>S</w:t>
      </w:r>
      <w:r w:rsidRPr="00140E48">
        <w:t>tates that do not utilize SERFF</w:t>
      </w:r>
      <w:bookmarkEnd w:id="3"/>
      <w:r w:rsidRPr="00140E48" w:rsidR="008C69EC">
        <w:t xml:space="preserve"> (currently Florida)</w:t>
      </w:r>
      <w:r w:rsidRPr="00140E48">
        <w:t>. The issuers in th</w:t>
      </w:r>
      <w:r w:rsidRPr="00140E48" w:rsidR="00E020AB">
        <w:t>o</w:t>
      </w:r>
      <w:r w:rsidRPr="00140E48">
        <w:t xml:space="preserve">se </w:t>
      </w:r>
      <w:r w:rsidR="00EC261C">
        <w:t>S</w:t>
      </w:r>
      <w:r w:rsidRPr="00140E48">
        <w:t>tates</w:t>
      </w:r>
      <w:r w:rsidRPr="00140E48" w:rsidR="008C69EC">
        <w:t xml:space="preserve"> will</w:t>
      </w:r>
      <w:r w:rsidRPr="00140E48">
        <w:t xml:space="preserve"> continue to submit filings directly into the HIOS URR module.</w:t>
      </w:r>
      <w:r w:rsidRPr="00140E48" w:rsidR="00A41C2C">
        <w:t xml:space="preserve"> </w:t>
      </w:r>
    </w:p>
    <w:p w:rsidR="00FE2076" w:rsidRPr="00140E48" w:rsidP="00140E48" w14:paraId="2E349C4D" w14:textId="77777777">
      <w:pPr>
        <w:pStyle w:val="BodyText"/>
        <w:kinsoku w:val="0"/>
        <w:overflowPunct w:val="0"/>
        <w:ind w:left="0"/>
      </w:pPr>
    </w:p>
    <w:p w:rsidR="00FE2076" w:rsidRPr="009010B4" w:rsidP="00140E48" w14:paraId="335D10C9" w14:textId="77777777">
      <w:pPr>
        <w:pStyle w:val="Heading1"/>
        <w:numPr>
          <w:ilvl w:val="1"/>
          <w:numId w:val="2"/>
        </w:numPr>
        <w:tabs>
          <w:tab w:val="left" w:pos="360"/>
        </w:tabs>
        <w:kinsoku w:val="0"/>
        <w:overflowPunct w:val="0"/>
        <w:ind w:right="1007" w:hanging="360"/>
        <w:rPr>
          <w:b w:val="0"/>
          <w:bCs w:val="0"/>
          <w:u w:val="none"/>
        </w:rPr>
      </w:pPr>
      <w:bookmarkStart w:id="4" w:name="2._Information_Users"/>
      <w:bookmarkEnd w:id="4"/>
      <w:r w:rsidRPr="00175975">
        <w:rPr>
          <w:u w:val="none"/>
        </w:rPr>
        <w:t>Information</w:t>
      </w:r>
      <w:r w:rsidRPr="00175975">
        <w:rPr>
          <w:spacing w:val="-1"/>
          <w:u w:val="none"/>
        </w:rPr>
        <w:t xml:space="preserve"> </w:t>
      </w:r>
      <w:r w:rsidRPr="00175975">
        <w:rPr>
          <w:u w:val="none"/>
        </w:rPr>
        <w:t>Users</w:t>
      </w:r>
    </w:p>
    <w:p w:rsidR="00FE2076" w:rsidRPr="00140E48" w:rsidP="00140E48" w14:paraId="1459CE8E" w14:textId="77777777">
      <w:pPr>
        <w:pStyle w:val="BodyText"/>
        <w:kinsoku w:val="0"/>
        <w:overflowPunct w:val="0"/>
        <w:ind w:left="0"/>
        <w:rPr>
          <w:b/>
          <w:bCs/>
        </w:rPr>
      </w:pPr>
    </w:p>
    <w:p w:rsidR="00FE2076" w:rsidRPr="00140E48" w:rsidP="00140E48" w14:paraId="5455E7C4" w14:textId="596015D5">
      <w:pPr>
        <w:pStyle w:val="BodyText"/>
        <w:kinsoku w:val="0"/>
        <w:overflowPunct w:val="0"/>
        <w:ind w:left="0" w:right="40"/>
      </w:pPr>
      <w:r w:rsidRPr="00140E48">
        <w:t>CMS will post on its website the information contained in each Rate Filing Justification for</w:t>
      </w:r>
      <w:r w:rsidRPr="00140E48">
        <w:rPr>
          <w:spacing w:val="-23"/>
        </w:rPr>
        <w:t xml:space="preserve"> </w:t>
      </w:r>
      <w:r w:rsidRPr="00140E48">
        <w:t xml:space="preserve">each </w:t>
      </w:r>
      <w:r w:rsidRPr="00140E48">
        <w:t>proposed rate increase</w:t>
      </w:r>
      <w:r w:rsidRPr="00140E48" w:rsidR="00E020AB">
        <w:t>.</w:t>
      </w:r>
      <w:r>
        <w:rPr>
          <w:rStyle w:val="FootnoteReference"/>
        </w:rPr>
        <w:footnoteReference w:id="3"/>
      </w:r>
      <w:r w:rsidRPr="00140E48">
        <w:t xml:space="preserve"> States have the option to post the information in the Rate</w:t>
      </w:r>
      <w:r w:rsidRPr="00140E48">
        <w:rPr>
          <w:spacing w:val="-21"/>
        </w:rPr>
        <w:t xml:space="preserve"> </w:t>
      </w:r>
      <w:r w:rsidRPr="00140E48">
        <w:t>Filing</w:t>
      </w:r>
      <w:r w:rsidRPr="00140E48" w:rsidR="00002EBC">
        <w:t xml:space="preserve"> </w:t>
      </w:r>
      <w:r w:rsidRPr="00140E48">
        <w:t>Justification that CMS makes available on its website or provide a hyperlink to the</w:t>
      </w:r>
      <w:r w:rsidRPr="00140E48">
        <w:rPr>
          <w:spacing w:val="-15"/>
        </w:rPr>
        <w:t xml:space="preserve"> </w:t>
      </w:r>
      <w:r w:rsidRPr="00140E48" w:rsidR="00535106">
        <w:t>publicly</w:t>
      </w:r>
      <w:r w:rsidRPr="00140E48">
        <w:t xml:space="preserve"> available portions posted on the CMS website. </w:t>
      </w:r>
      <w:r w:rsidRPr="00140E48" w:rsidR="003866AB">
        <w:t xml:space="preserve">This information is provided to increase transparency and to allow for public comments on proposed rate increases. </w:t>
      </w:r>
      <w:r w:rsidRPr="00140E48">
        <w:t>For consumer clarity, CMS will also post on</w:t>
      </w:r>
      <w:r w:rsidRPr="00140E48">
        <w:rPr>
          <w:spacing w:val="-13"/>
        </w:rPr>
        <w:t xml:space="preserve"> </w:t>
      </w:r>
      <w:r w:rsidRPr="00140E48">
        <w:t>its website the final disposition of each rate increase that was subject to review under the</w:t>
      </w:r>
      <w:r w:rsidRPr="00140E48">
        <w:rPr>
          <w:spacing w:val="-22"/>
        </w:rPr>
        <w:t xml:space="preserve"> </w:t>
      </w:r>
      <w:r w:rsidRPr="00140E48">
        <w:t xml:space="preserve">regulation by either CMS or a </w:t>
      </w:r>
      <w:r w:rsidR="00170631">
        <w:t>S</w:t>
      </w:r>
      <w:r w:rsidRPr="00140E48">
        <w:t xml:space="preserve">tate.  </w:t>
      </w:r>
    </w:p>
    <w:p w:rsidR="00140E48" w:rsidRPr="00140E48" w:rsidP="00140E48" w14:paraId="7EA91D4C" w14:textId="77777777">
      <w:pPr>
        <w:pStyle w:val="BodyText"/>
        <w:kinsoku w:val="0"/>
        <w:overflowPunct w:val="0"/>
        <w:ind w:left="0" w:right="40"/>
      </w:pPr>
    </w:p>
    <w:p w:rsidR="00FE2076" w:rsidRPr="009010B4" w:rsidP="00140E48" w14:paraId="38D5D74F" w14:textId="77777777">
      <w:pPr>
        <w:pStyle w:val="Heading1"/>
        <w:numPr>
          <w:ilvl w:val="1"/>
          <w:numId w:val="2"/>
        </w:numPr>
        <w:tabs>
          <w:tab w:val="left" w:pos="360"/>
        </w:tabs>
        <w:kinsoku w:val="0"/>
        <w:overflowPunct w:val="0"/>
        <w:ind w:right="104" w:hanging="360"/>
        <w:rPr>
          <w:b w:val="0"/>
          <w:bCs w:val="0"/>
          <w:u w:val="none"/>
        </w:rPr>
      </w:pPr>
      <w:bookmarkStart w:id="5" w:name="3._Use_of_Information_Technology"/>
      <w:bookmarkEnd w:id="5"/>
      <w:r w:rsidRPr="00175975">
        <w:rPr>
          <w:u w:val="none"/>
        </w:rPr>
        <w:t>Use of Information</w:t>
      </w:r>
      <w:r w:rsidRPr="00175975">
        <w:rPr>
          <w:spacing w:val="-1"/>
          <w:u w:val="none"/>
        </w:rPr>
        <w:t xml:space="preserve"> </w:t>
      </w:r>
      <w:r w:rsidRPr="00175975">
        <w:rPr>
          <w:u w:val="none"/>
        </w:rPr>
        <w:t>Technology</w:t>
      </w:r>
    </w:p>
    <w:p w:rsidR="00FE2076" w:rsidRPr="00140E48" w:rsidP="00140E48" w14:paraId="7EB1BE59" w14:textId="77777777">
      <w:pPr>
        <w:pStyle w:val="BodyText"/>
        <w:kinsoku w:val="0"/>
        <w:overflowPunct w:val="0"/>
        <w:ind w:left="0"/>
        <w:rPr>
          <w:b/>
          <w:bCs/>
        </w:rPr>
      </w:pPr>
    </w:p>
    <w:p w:rsidR="00FE2076" w:rsidRPr="00140E48" w:rsidP="00140E48" w14:paraId="03E05592" w14:textId="6E1D6050">
      <w:pPr>
        <w:pStyle w:val="BodyText"/>
        <w:kinsoku w:val="0"/>
        <w:overflowPunct w:val="0"/>
        <w:ind w:left="0" w:right="40"/>
      </w:pPr>
      <w:r w:rsidRPr="00140E48">
        <w:t xml:space="preserve">Health insurance issuers and </w:t>
      </w:r>
      <w:r w:rsidR="00170631">
        <w:t>S</w:t>
      </w:r>
      <w:r w:rsidRPr="00140E48">
        <w:t xml:space="preserve">tates will provide rate review information </w:t>
      </w:r>
      <w:r w:rsidRPr="00140E48" w:rsidR="0089387A">
        <w:t xml:space="preserve">in </w:t>
      </w:r>
      <w:r w:rsidRPr="00140E48" w:rsidR="00A709FE">
        <w:t xml:space="preserve">one of two ways. In </w:t>
      </w:r>
      <w:r w:rsidR="00170631">
        <w:t>S</w:t>
      </w:r>
      <w:r w:rsidRPr="00140E48" w:rsidR="00A709FE">
        <w:t xml:space="preserve">tates without an Effective Rate Review Program, or </w:t>
      </w:r>
      <w:r w:rsidR="00170631">
        <w:t>S</w:t>
      </w:r>
      <w:r w:rsidRPr="00140E48" w:rsidR="00A709FE">
        <w:t xml:space="preserve">tates that do not utilize SERFF, </w:t>
      </w:r>
      <w:r w:rsidR="00170631">
        <w:t>S</w:t>
      </w:r>
      <w:r w:rsidRPr="00140E48" w:rsidR="00A709FE">
        <w:t xml:space="preserve">tates and issuers will continue to provide the information </w:t>
      </w:r>
      <w:r w:rsidRPr="00140E48">
        <w:t>via HIOS</w:t>
      </w:r>
      <w:r w:rsidRPr="00140E48" w:rsidR="00A2231D">
        <w:t xml:space="preserve"> </w:t>
      </w:r>
      <w:r w:rsidRPr="00140E48">
        <w:t>—</w:t>
      </w:r>
      <w:r w:rsidRPr="00140E48" w:rsidR="00A2231D">
        <w:t xml:space="preserve"> </w:t>
      </w:r>
      <w:r w:rsidRPr="00140E48">
        <w:t xml:space="preserve">a web-based data collection system that is </w:t>
      </w:r>
      <w:r w:rsidRPr="00140E48" w:rsidR="0089387A">
        <w:t xml:space="preserve">currently </w:t>
      </w:r>
      <w:r w:rsidRPr="00140E48">
        <w:t>used</w:t>
      </w:r>
      <w:r w:rsidRPr="00140E48">
        <w:rPr>
          <w:spacing w:val="-15"/>
        </w:rPr>
        <w:t xml:space="preserve"> </w:t>
      </w:r>
      <w:r w:rsidRPr="00140E48">
        <w:t xml:space="preserve">by </w:t>
      </w:r>
      <w:r w:rsidR="00170631">
        <w:t>S</w:t>
      </w:r>
      <w:r w:rsidRPr="00140E48">
        <w:t>tates and issuers to provide information for the healthcare.gov website</w:t>
      </w:r>
      <w:r w:rsidRPr="00140E48" w:rsidR="00E020AB">
        <w:t>.</w:t>
      </w:r>
      <w:r>
        <w:rPr>
          <w:rStyle w:val="FootnoteReference"/>
        </w:rPr>
        <w:footnoteReference w:id="4"/>
      </w:r>
      <w:r w:rsidRPr="00140E48">
        <w:rPr>
          <w:spacing w:val="39"/>
        </w:rPr>
        <w:t xml:space="preserve"> </w:t>
      </w:r>
      <w:r w:rsidRPr="00140E48" w:rsidR="00A709FE">
        <w:t xml:space="preserve">In all other </w:t>
      </w:r>
      <w:r w:rsidR="00170631">
        <w:t>S</w:t>
      </w:r>
      <w:r w:rsidRPr="00140E48" w:rsidR="00A709FE">
        <w:t>tates, the information will be provided via SERFF. A</w:t>
      </w:r>
      <w:r w:rsidRPr="00140E48">
        <w:t>ll data submissions will be made electronically and no paper submissions are</w:t>
      </w:r>
      <w:r w:rsidRPr="00140E48" w:rsidR="006F029E">
        <w:t xml:space="preserve"> permitted</w:t>
      </w:r>
      <w:r w:rsidRPr="00140E48">
        <w:t>.</w:t>
      </w:r>
    </w:p>
    <w:p w:rsidR="00FE2076" w:rsidRPr="00140E48" w:rsidP="00140E48" w14:paraId="503F719E" w14:textId="77777777">
      <w:pPr>
        <w:pStyle w:val="BodyText"/>
        <w:kinsoku w:val="0"/>
        <w:overflowPunct w:val="0"/>
        <w:ind w:left="0"/>
      </w:pPr>
    </w:p>
    <w:p w:rsidR="00FE2076" w:rsidRPr="00140E48" w:rsidP="00140E48" w14:paraId="2CF6A15A" w14:textId="50295B32">
      <w:pPr>
        <w:pStyle w:val="BodyText"/>
        <w:kinsoku w:val="0"/>
        <w:overflowPunct w:val="0"/>
        <w:ind w:left="0" w:right="40"/>
      </w:pPr>
      <w:r w:rsidRPr="00140E48">
        <w:t>The rate review information that is uploaded and stored in HIOS will also be used to</w:t>
      </w:r>
      <w:r w:rsidRPr="00140E48">
        <w:rPr>
          <w:spacing w:val="-21"/>
        </w:rPr>
        <w:t xml:space="preserve"> </w:t>
      </w:r>
      <w:r w:rsidRPr="00140E48">
        <w:t xml:space="preserve">provide consumer-oriented information about rate increases on </w:t>
      </w:r>
      <w:r w:rsidRPr="00140E48" w:rsidR="00DE42AB">
        <w:t xml:space="preserve">the </w:t>
      </w:r>
      <w:r w:rsidR="00DE42AB">
        <w:t>ratereview.h</w:t>
      </w:r>
      <w:r w:rsidRPr="00140E48" w:rsidR="00DE42AB">
        <w:t>ealthcare.gov</w:t>
      </w:r>
      <w:r w:rsidRPr="00140E48" w:rsidR="00DE42AB">
        <w:rPr>
          <w:spacing w:val="-17"/>
        </w:rPr>
        <w:t xml:space="preserve"> </w:t>
      </w:r>
      <w:r w:rsidRPr="00140E48">
        <w:t>website.</w:t>
      </w:r>
    </w:p>
    <w:p w:rsidR="00FE2076" w:rsidRPr="00140E48" w:rsidP="00140E48" w14:paraId="0C98C334" w14:textId="77777777">
      <w:pPr>
        <w:pStyle w:val="BodyText"/>
        <w:kinsoku w:val="0"/>
        <w:overflowPunct w:val="0"/>
        <w:ind w:left="0"/>
      </w:pPr>
    </w:p>
    <w:p w:rsidR="00FE2076" w:rsidRPr="00CA7E98" w:rsidP="00140E48" w14:paraId="5B855CA2" w14:textId="77777777">
      <w:pPr>
        <w:pStyle w:val="Heading1"/>
        <w:numPr>
          <w:ilvl w:val="1"/>
          <w:numId w:val="2"/>
        </w:numPr>
        <w:tabs>
          <w:tab w:val="left" w:pos="360"/>
        </w:tabs>
        <w:kinsoku w:val="0"/>
        <w:overflowPunct w:val="0"/>
        <w:ind w:right="104" w:hanging="360"/>
        <w:rPr>
          <w:b w:val="0"/>
          <w:bCs w:val="0"/>
          <w:u w:val="none"/>
        </w:rPr>
      </w:pPr>
      <w:bookmarkStart w:id="6" w:name="4._Duplication_of_Similar_Information"/>
      <w:bookmarkEnd w:id="6"/>
      <w:r w:rsidRPr="005E5EC6">
        <w:rPr>
          <w:u w:val="none"/>
        </w:rPr>
        <w:t>Duplication of Similar</w:t>
      </w:r>
      <w:r w:rsidRPr="005E5EC6">
        <w:rPr>
          <w:spacing w:val="-1"/>
          <w:u w:val="none"/>
        </w:rPr>
        <w:t xml:space="preserve"> </w:t>
      </w:r>
      <w:r w:rsidRPr="005E5EC6">
        <w:rPr>
          <w:u w:val="none"/>
        </w:rPr>
        <w:t>Information</w:t>
      </w:r>
    </w:p>
    <w:p w:rsidR="00FE2076" w:rsidRPr="00140E48" w:rsidP="00140E48" w14:paraId="263F9C47" w14:textId="77777777">
      <w:pPr>
        <w:pStyle w:val="BodyText"/>
        <w:kinsoku w:val="0"/>
        <w:overflowPunct w:val="0"/>
        <w:ind w:left="0"/>
        <w:rPr>
          <w:b/>
          <w:bCs/>
        </w:rPr>
      </w:pPr>
    </w:p>
    <w:p w:rsidR="00FE2076" w:rsidRPr="00140E48" w:rsidP="00140E48" w14:paraId="715B1912" w14:textId="77777777">
      <w:pPr>
        <w:pStyle w:val="BodyText"/>
        <w:kinsoku w:val="0"/>
        <w:overflowPunct w:val="0"/>
        <w:ind w:left="0" w:right="40"/>
      </w:pPr>
      <w:r w:rsidRPr="00140E48">
        <w:t>There is no duplication of information requirements in any other</w:t>
      </w:r>
      <w:r w:rsidRPr="00140E48">
        <w:rPr>
          <w:spacing w:val="-16"/>
        </w:rPr>
        <w:t xml:space="preserve"> </w:t>
      </w:r>
      <w:r w:rsidRPr="00140E48">
        <w:t>collection.</w:t>
      </w:r>
    </w:p>
    <w:p w:rsidR="00FE2076" w:rsidRPr="00140E48" w:rsidP="00140E48" w14:paraId="4EDDBA1B" w14:textId="77777777">
      <w:pPr>
        <w:pStyle w:val="BodyText"/>
        <w:kinsoku w:val="0"/>
        <w:overflowPunct w:val="0"/>
        <w:ind w:left="0"/>
      </w:pPr>
    </w:p>
    <w:p w:rsidR="00FE2076" w:rsidRPr="000848BE" w:rsidP="00140E48" w14:paraId="2B396D4F" w14:textId="77777777">
      <w:pPr>
        <w:pStyle w:val="Heading1"/>
        <w:numPr>
          <w:ilvl w:val="1"/>
          <w:numId w:val="2"/>
        </w:numPr>
        <w:tabs>
          <w:tab w:val="left" w:pos="360"/>
        </w:tabs>
        <w:kinsoku w:val="0"/>
        <w:overflowPunct w:val="0"/>
        <w:ind w:right="104" w:hanging="360"/>
        <w:rPr>
          <w:b w:val="0"/>
          <w:bCs w:val="0"/>
          <w:u w:val="none"/>
        </w:rPr>
      </w:pPr>
      <w:r w:rsidRPr="005E5EC6">
        <w:rPr>
          <w:u w:val="none"/>
        </w:rPr>
        <w:t>Small</w:t>
      </w:r>
      <w:r w:rsidRPr="005E5EC6">
        <w:rPr>
          <w:spacing w:val="-1"/>
          <w:u w:val="none"/>
        </w:rPr>
        <w:t xml:space="preserve"> </w:t>
      </w:r>
      <w:r w:rsidRPr="005E5EC6">
        <w:rPr>
          <w:u w:val="none"/>
        </w:rPr>
        <w:t>Businesses</w:t>
      </w:r>
    </w:p>
    <w:p w:rsidR="00FE2076" w:rsidRPr="00140E48" w:rsidP="00140E48" w14:paraId="55233ED3" w14:textId="77777777">
      <w:pPr>
        <w:pStyle w:val="BodyText"/>
        <w:kinsoku w:val="0"/>
        <w:overflowPunct w:val="0"/>
        <w:ind w:left="0"/>
        <w:rPr>
          <w:b/>
          <w:bCs/>
        </w:rPr>
      </w:pPr>
    </w:p>
    <w:p w:rsidR="00FE2076" w:rsidRPr="00140E48" w:rsidP="00140E48" w14:paraId="442DF74C" w14:textId="77777777">
      <w:pPr>
        <w:pStyle w:val="BodyText"/>
        <w:kinsoku w:val="0"/>
        <w:overflowPunct w:val="0"/>
        <w:ind w:left="0" w:right="40"/>
      </w:pPr>
      <w:r w:rsidRPr="00140E48">
        <w:t>Small businesses are not affected by this collection</w:t>
      </w:r>
      <w:r w:rsidRPr="00140E48" w:rsidR="00281C3F">
        <w:t xml:space="preserve"> as</w:t>
      </w:r>
      <w:r w:rsidRPr="00140E48">
        <w:t xml:space="preserve"> health insurance issuers</w:t>
      </w:r>
      <w:r w:rsidRPr="00140E48">
        <w:rPr>
          <w:spacing w:val="-19"/>
        </w:rPr>
        <w:t xml:space="preserve"> </w:t>
      </w:r>
      <w:r w:rsidRPr="00140E48">
        <w:t>are generally not small businesses.</w:t>
      </w:r>
    </w:p>
    <w:p w:rsidR="00FE2076" w:rsidRPr="00140E48" w:rsidP="00140E48" w14:paraId="327505DD" w14:textId="77777777">
      <w:pPr>
        <w:pStyle w:val="BodyText"/>
        <w:kinsoku w:val="0"/>
        <w:overflowPunct w:val="0"/>
        <w:ind w:left="0"/>
      </w:pPr>
    </w:p>
    <w:p w:rsidR="00FE2076" w:rsidRPr="000848BE" w:rsidP="00140E48" w14:paraId="4E6EAE4D" w14:textId="77777777">
      <w:pPr>
        <w:pStyle w:val="Heading1"/>
        <w:numPr>
          <w:ilvl w:val="1"/>
          <w:numId w:val="2"/>
        </w:numPr>
        <w:tabs>
          <w:tab w:val="left" w:pos="360"/>
        </w:tabs>
        <w:kinsoku w:val="0"/>
        <w:overflowPunct w:val="0"/>
        <w:ind w:right="1007" w:hanging="360"/>
        <w:rPr>
          <w:b w:val="0"/>
          <w:bCs w:val="0"/>
          <w:u w:val="none"/>
        </w:rPr>
      </w:pPr>
      <w:r w:rsidRPr="005E5EC6">
        <w:rPr>
          <w:u w:val="none"/>
        </w:rPr>
        <w:t>Less Frequent</w:t>
      </w:r>
      <w:r w:rsidRPr="005E5EC6">
        <w:rPr>
          <w:spacing w:val="-2"/>
          <w:u w:val="none"/>
        </w:rPr>
        <w:t xml:space="preserve"> </w:t>
      </w:r>
      <w:r w:rsidRPr="005E5EC6">
        <w:rPr>
          <w:u w:val="none"/>
        </w:rPr>
        <w:t>Collection</w:t>
      </w:r>
    </w:p>
    <w:p w:rsidR="00FE2076" w:rsidRPr="00140E48" w:rsidP="00140E48" w14:paraId="07219099" w14:textId="77777777">
      <w:pPr>
        <w:pStyle w:val="BodyText"/>
        <w:kinsoku w:val="0"/>
        <w:overflowPunct w:val="0"/>
        <w:ind w:left="0"/>
        <w:rPr>
          <w:b/>
          <w:bCs/>
        </w:rPr>
      </w:pPr>
    </w:p>
    <w:p w:rsidR="00FE2076" w:rsidRPr="00140E48" w:rsidP="00140E48" w14:paraId="2DB50225" w14:textId="3F21D615">
      <w:pPr>
        <w:pStyle w:val="BodyText"/>
        <w:kinsoku w:val="0"/>
        <w:overflowPunct w:val="0"/>
        <w:ind w:left="0" w:right="40"/>
      </w:pPr>
      <w:r w:rsidRPr="00140E48">
        <w:t>Section 2794 of the PHS Act requires health insurance issuers to provide justifications for rate</w:t>
      </w:r>
      <w:r w:rsidRPr="00140E48">
        <w:rPr>
          <w:spacing w:val="-20"/>
        </w:rPr>
        <w:t xml:space="preserve"> </w:t>
      </w:r>
      <w:r w:rsidRPr="00140E48">
        <w:t>increases</w:t>
      </w:r>
      <w:r w:rsidRPr="00140E48">
        <w:rPr>
          <w:spacing w:val="-1"/>
        </w:rPr>
        <w:t xml:space="preserve"> </w:t>
      </w:r>
      <w:r w:rsidRPr="00140E48">
        <w:t>prior to</w:t>
      </w:r>
      <w:r w:rsidRPr="00140E48">
        <w:rPr>
          <w:spacing w:val="-6"/>
        </w:rPr>
        <w:t xml:space="preserve"> </w:t>
      </w:r>
      <w:r w:rsidRPr="00140E48">
        <w:t xml:space="preserve">implementation. Therefore, </w:t>
      </w:r>
      <w:r w:rsidRPr="00140E48" w:rsidR="00EA0930">
        <w:t xml:space="preserve">a less frequent collection cannot be considered for this information collection. </w:t>
      </w:r>
    </w:p>
    <w:p w:rsidR="00FE2076" w:rsidRPr="00140E48" w:rsidP="00140E48" w14:paraId="142000A3" w14:textId="77777777">
      <w:pPr>
        <w:pStyle w:val="BodyText"/>
        <w:kinsoku w:val="0"/>
        <w:overflowPunct w:val="0"/>
        <w:ind w:left="0"/>
      </w:pPr>
    </w:p>
    <w:p w:rsidR="00FE2076" w:rsidRPr="000848BE" w:rsidP="00140E48" w14:paraId="2AC533B9" w14:textId="77777777">
      <w:pPr>
        <w:pStyle w:val="Heading1"/>
        <w:numPr>
          <w:ilvl w:val="1"/>
          <w:numId w:val="2"/>
        </w:numPr>
        <w:tabs>
          <w:tab w:val="left" w:pos="360"/>
        </w:tabs>
        <w:kinsoku w:val="0"/>
        <w:overflowPunct w:val="0"/>
        <w:ind w:right="1007" w:hanging="360"/>
        <w:rPr>
          <w:b w:val="0"/>
          <w:bCs w:val="0"/>
          <w:u w:val="none"/>
        </w:rPr>
      </w:pPr>
      <w:bookmarkStart w:id="7" w:name="7._Special_Circumstances"/>
      <w:bookmarkEnd w:id="7"/>
      <w:r w:rsidRPr="005E5EC6">
        <w:rPr>
          <w:u w:val="none"/>
        </w:rPr>
        <w:t>Special</w:t>
      </w:r>
      <w:r w:rsidRPr="005E5EC6">
        <w:rPr>
          <w:spacing w:val="-1"/>
          <w:u w:val="none"/>
        </w:rPr>
        <w:t xml:space="preserve"> </w:t>
      </w:r>
      <w:r w:rsidRPr="005E5EC6">
        <w:rPr>
          <w:u w:val="none"/>
        </w:rPr>
        <w:t>Circumstances</w:t>
      </w:r>
    </w:p>
    <w:p w:rsidR="00FE2076" w:rsidRPr="00140E48" w:rsidP="00140E48" w14:paraId="6A5E171F" w14:textId="77777777">
      <w:pPr>
        <w:pStyle w:val="BodyText"/>
        <w:kinsoku w:val="0"/>
        <w:overflowPunct w:val="0"/>
        <w:ind w:left="0"/>
        <w:rPr>
          <w:b/>
          <w:bCs/>
        </w:rPr>
      </w:pPr>
    </w:p>
    <w:p w:rsidR="00FE2076" w:rsidRPr="00140E48" w:rsidP="00140E48" w14:paraId="36A9F513" w14:textId="77777777">
      <w:pPr>
        <w:pStyle w:val="BodyText"/>
        <w:kinsoku w:val="0"/>
        <w:overflowPunct w:val="0"/>
        <w:ind w:left="0" w:right="40"/>
      </w:pPr>
      <w:bookmarkStart w:id="8" w:name="No_special_circumstances_exist_for_this_"/>
      <w:bookmarkEnd w:id="8"/>
      <w:r w:rsidRPr="00140E48">
        <w:t>No special circumstances exist for this information</w:t>
      </w:r>
      <w:r w:rsidRPr="00140E48">
        <w:rPr>
          <w:spacing w:val="-18"/>
        </w:rPr>
        <w:t xml:space="preserve"> </w:t>
      </w:r>
      <w:r w:rsidRPr="00140E48">
        <w:t>collection.</w:t>
      </w:r>
    </w:p>
    <w:p w:rsidR="00FE2076" w:rsidRPr="00140E48" w:rsidP="00140E48" w14:paraId="312BBA90" w14:textId="77777777">
      <w:pPr>
        <w:pStyle w:val="BodyText"/>
        <w:kinsoku w:val="0"/>
        <w:overflowPunct w:val="0"/>
        <w:ind w:left="0"/>
      </w:pPr>
    </w:p>
    <w:p w:rsidR="00FE2076" w:rsidRPr="000848BE" w:rsidP="00140E48" w14:paraId="75A0E5EC" w14:textId="77777777">
      <w:pPr>
        <w:pStyle w:val="Heading1"/>
        <w:numPr>
          <w:ilvl w:val="1"/>
          <w:numId w:val="2"/>
        </w:numPr>
        <w:tabs>
          <w:tab w:val="left" w:pos="360"/>
        </w:tabs>
        <w:kinsoku w:val="0"/>
        <w:overflowPunct w:val="0"/>
        <w:ind w:right="1007" w:hanging="360"/>
        <w:rPr>
          <w:b w:val="0"/>
          <w:bCs w:val="0"/>
          <w:u w:val="none"/>
        </w:rPr>
      </w:pPr>
      <w:bookmarkStart w:id="9" w:name="8._Federal_Register_Notice/Outside_Consu"/>
      <w:bookmarkEnd w:id="9"/>
      <w:r w:rsidRPr="005E5EC6">
        <w:rPr>
          <w:u w:val="none"/>
        </w:rPr>
        <w:t>Federal Register Notice/Outside</w:t>
      </w:r>
      <w:r w:rsidRPr="005E5EC6">
        <w:rPr>
          <w:spacing w:val="-15"/>
          <w:u w:val="none"/>
        </w:rPr>
        <w:t xml:space="preserve"> </w:t>
      </w:r>
      <w:r w:rsidRPr="005E5EC6">
        <w:rPr>
          <w:u w:val="none"/>
        </w:rPr>
        <w:t>Consultation</w:t>
      </w:r>
    </w:p>
    <w:p w:rsidR="00FE2076" w:rsidRPr="00140E48" w:rsidP="00140E48" w14:paraId="38A1971B" w14:textId="77777777">
      <w:pPr>
        <w:pStyle w:val="BodyText"/>
        <w:kinsoku w:val="0"/>
        <w:overflowPunct w:val="0"/>
        <w:ind w:left="0"/>
        <w:rPr>
          <w:b/>
          <w:bCs/>
        </w:rPr>
      </w:pPr>
    </w:p>
    <w:p w:rsidR="00FE2076" w:rsidP="00140E48" w14:paraId="2A2EB0C4" w14:textId="51FB292A">
      <w:pPr>
        <w:pStyle w:val="BodyText"/>
        <w:kinsoku w:val="0"/>
        <w:overflowPunct w:val="0"/>
        <w:ind w:left="0" w:right="40"/>
      </w:pPr>
      <w:r w:rsidRPr="00140E48">
        <w:t>A Federal Register Notice</w:t>
      </w:r>
      <w:r w:rsidRPr="00140E48" w:rsidR="006A4AEB">
        <w:t xml:space="preserve"> </w:t>
      </w:r>
      <w:r w:rsidR="00E17BD9">
        <w:t>was published on June 4, 2024 (</w:t>
      </w:r>
      <w:r w:rsidRPr="00E17BD9" w:rsidR="00E17BD9">
        <w:t>89 FR 47966</w:t>
      </w:r>
      <w:r w:rsidR="00E17BD9">
        <w:t>)</w:t>
      </w:r>
      <w:r w:rsidRPr="00140E48" w:rsidR="006A4AEB">
        <w:t xml:space="preserve">, providing the public </w:t>
      </w:r>
      <w:r w:rsidRPr="00140E48" w:rsidR="006A4AEB">
        <w:t>with a 60-day period to submit written comments on the</w:t>
      </w:r>
      <w:r w:rsidRPr="00140E48" w:rsidR="00281C3F">
        <w:t xml:space="preserve"> </w:t>
      </w:r>
      <w:r w:rsidRPr="00140E48" w:rsidR="009040F6">
        <w:t xml:space="preserve">information collection </w:t>
      </w:r>
      <w:r w:rsidR="00170631">
        <w:t>request</w:t>
      </w:r>
      <w:r w:rsidRPr="00140E48" w:rsidR="00170631">
        <w:t xml:space="preserve"> </w:t>
      </w:r>
      <w:r w:rsidRPr="00140E48" w:rsidR="009040F6">
        <w:t>(</w:t>
      </w:r>
      <w:r w:rsidRPr="00140E48" w:rsidR="00281C3F">
        <w:t>ICR</w:t>
      </w:r>
      <w:r w:rsidRPr="00140E48" w:rsidR="009040F6">
        <w:t>)</w:t>
      </w:r>
      <w:r w:rsidRPr="00140E48" w:rsidR="006A4AEB">
        <w:t>.</w:t>
      </w:r>
      <w:r w:rsidR="00E17BD9">
        <w:t xml:space="preserve"> </w:t>
      </w:r>
      <w:r w:rsidR="007D2E79">
        <w:t>No comments were received</w:t>
      </w:r>
      <w:r w:rsidR="00E17BD9">
        <w:t xml:space="preserve">. </w:t>
      </w:r>
      <w:r w:rsidR="003203DB">
        <w:t xml:space="preserve"> A 30-day Federal Register published on August 21, 2024. (</w:t>
      </w:r>
      <w:r w:rsidRPr="003203DB" w:rsidR="003203DB">
        <w:t>89 FR 47966</w:t>
      </w:r>
      <w:r w:rsidR="003203DB">
        <w:t>).</w:t>
      </w:r>
    </w:p>
    <w:p w:rsidR="00574F94" w:rsidP="00140E48" w14:paraId="23EDFFBA" w14:textId="77777777">
      <w:pPr>
        <w:pStyle w:val="BodyText"/>
        <w:kinsoku w:val="0"/>
        <w:overflowPunct w:val="0"/>
        <w:ind w:left="0" w:right="40"/>
      </w:pPr>
    </w:p>
    <w:p w:rsidR="00574F94" w:rsidRPr="00140E48" w:rsidP="00140E48" w14:paraId="43943E1C" w14:textId="3D04C3F1">
      <w:pPr>
        <w:pStyle w:val="BodyText"/>
        <w:kinsoku w:val="0"/>
        <w:overflowPunct w:val="0"/>
        <w:ind w:left="0" w:right="40"/>
      </w:pPr>
      <w:r>
        <w:t>CMS has sought public comment on this information collection in the past and made changes as appropriate based on comments received. CMS will continue to take public comments into consideration for future changes.</w:t>
      </w:r>
    </w:p>
    <w:p w:rsidR="009F44EA" w:rsidRPr="00140E48" w:rsidP="00140E48" w14:paraId="5C400D64" w14:textId="77777777">
      <w:pPr>
        <w:pStyle w:val="BodyText"/>
        <w:kinsoku w:val="0"/>
        <w:overflowPunct w:val="0"/>
        <w:ind w:left="0"/>
      </w:pPr>
    </w:p>
    <w:p w:rsidR="00FE2076" w:rsidRPr="000848BE" w:rsidP="00140E48" w14:paraId="204EAC64" w14:textId="77777777">
      <w:pPr>
        <w:pStyle w:val="Heading1"/>
        <w:numPr>
          <w:ilvl w:val="0"/>
          <w:numId w:val="1"/>
        </w:numPr>
        <w:tabs>
          <w:tab w:val="left" w:pos="360"/>
        </w:tabs>
        <w:kinsoku w:val="0"/>
        <w:overflowPunct w:val="0"/>
        <w:ind w:left="360" w:right="1007" w:hanging="360"/>
        <w:rPr>
          <w:b w:val="0"/>
          <w:bCs w:val="0"/>
          <w:u w:val="none"/>
        </w:rPr>
      </w:pPr>
      <w:bookmarkStart w:id="10" w:name="9._Payments/Gifts_To_Respondents"/>
      <w:bookmarkEnd w:id="10"/>
      <w:r w:rsidRPr="005E5EC6">
        <w:rPr>
          <w:u w:val="none"/>
        </w:rPr>
        <w:t>Payments/Gifts To</w:t>
      </w:r>
      <w:r w:rsidRPr="005E5EC6">
        <w:rPr>
          <w:spacing w:val="-1"/>
          <w:u w:val="none"/>
        </w:rPr>
        <w:t xml:space="preserve"> </w:t>
      </w:r>
      <w:r w:rsidRPr="005E5EC6">
        <w:rPr>
          <w:u w:val="none"/>
        </w:rPr>
        <w:t>Respondents</w:t>
      </w:r>
    </w:p>
    <w:p w:rsidR="00FE2076" w:rsidRPr="00140E48" w:rsidP="00140E48" w14:paraId="053843DC" w14:textId="77777777">
      <w:pPr>
        <w:pStyle w:val="BodyText"/>
        <w:kinsoku w:val="0"/>
        <w:overflowPunct w:val="0"/>
        <w:ind w:left="0"/>
        <w:rPr>
          <w:b/>
          <w:bCs/>
        </w:rPr>
      </w:pPr>
    </w:p>
    <w:p w:rsidR="00FE2076" w:rsidRPr="00140E48" w:rsidP="00140E48" w14:paraId="5A9005FE" w14:textId="77777777">
      <w:pPr>
        <w:pStyle w:val="BodyText"/>
        <w:kinsoku w:val="0"/>
        <w:overflowPunct w:val="0"/>
        <w:ind w:left="0" w:right="40"/>
      </w:pPr>
      <w:r w:rsidRPr="00140E48">
        <w:t>There will be no payments or gifts to</w:t>
      </w:r>
      <w:r w:rsidRPr="00140E48">
        <w:rPr>
          <w:spacing w:val="-12"/>
        </w:rPr>
        <w:t xml:space="preserve"> </w:t>
      </w:r>
      <w:r w:rsidRPr="00140E48">
        <w:t>respondents.</w:t>
      </w:r>
    </w:p>
    <w:p w:rsidR="00FE2076" w:rsidRPr="00140E48" w:rsidP="00140E48" w14:paraId="6242CE84" w14:textId="77777777">
      <w:pPr>
        <w:pStyle w:val="BodyText"/>
        <w:kinsoku w:val="0"/>
        <w:overflowPunct w:val="0"/>
        <w:ind w:left="0"/>
      </w:pPr>
    </w:p>
    <w:p w:rsidR="00FE2076" w:rsidRPr="000848BE" w:rsidP="00140E48" w14:paraId="37F997B6" w14:textId="77777777">
      <w:pPr>
        <w:pStyle w:val="Heading1"/>
        <w:numPr>
          <w:ilvl w:val="0"/>
          <w:numId w:val="1"/>
        </w:numPr>
        <w:tabs>
          <w:tab w:val="left" w:pos="360"/>
        </w:tabs>
        <w:kinsoku w:val="0"/>
        <w:overflowPunct w:val="0"/>
        <w:ind w:left="360" w:right="1007" w:hanging="360"/>
        <w:rPr>
          <w:b w:val="0"/>
          <w:bCs w:val="0"/>
          <w:u w:val="none"/>
        </w:rPr>
      </w:pPr>
      <w:r w:rsidRPr="005E5EC6">
        <w:rPr>
          <w:u w:val="none"/>
        </w:rPr>
        <w:t>Confidentiality</w:t>
      </w:r>
    </w:p>
    <w:p w:rsidR="00FE2076" w:rsidRPr="00140E48" w:rsidP="00140E48" w14:paraId="7D3E0152" w14:textId="77777777">
      <w:pPr>
        <w:pStyle w:val="BodyText"/>
        <w:kinsoku w:val="0"/>
        <w:overflowPunct w:val="0"/>
        <w:ind w:left="0"/>
        <w:rPr>
          <w:b/>
          <w:bCs/>
        </w:rPr>
      </w:pPr>
    </w:p>
    <w:p w:rsidR="00FE2076" w:rsidRPr="00140E48" w:rsidP="00140E48" w14:paraId="4EC5AFAF" w14:textId="30114320">
      <w:pPr>
        <w:pStyle w:val="BodyText"/>
        <w:kinsoku w:val="0"/>
        <w:overflowPunct w:val="0"/>
        <w:ind w:left="0" w:right="40"/>
      </w:pPr>
      <w:r w:rsidRPr="00140E48">
        <w:t>CMS will make available to the public on its website the information contained in each</w:t>
      </w:r>
      <w:r w:rsidRPr="00140E48">
        <w:rPr>
          <w:spacing w:val="-16"/>
        </w:rPr>
        <w:t xml:space="preserve"> </w:t>
      </w:r>
      <w:r w:rsidRPr="00140E48">
        <w:t xml:space="preserve">Rate Filing Justification that is not </w:t>
      </w:r>
      <w:r w:rsidRPr="00140E48" w:rsidR="005F0B45">
        <w:t xml:space="preserve">considered </w:t>
      </w:r>
      <w:r w:rsidRPr="00140E48">
        <w:t>a trade secret or confidential commercial or financial</w:t>
      </w:r>
      <w:r w:rsidRPr="00140E48">
        <w:rPr>
          <w:spacing w:val="-25"/>
        </w:rPr>
        <w:t xml:space="preserve"> </w:t>
      </w:r>
      <w:r w:rsidRPr="00140E48">
        <w:t>information and is approved for release under the Freedom of Information</w:t>
      </w:r>
      <w:r w:rsidRPr="00140E48">
        <w:rPr>
          <w:spacing w:val="-15"/>
        </w:rPr>
        <w:t xml:space="preserve"> </w:t>
      </w:r>
      <w:r w:rsidRPr="00140E48">
        <w:t>Act.</w:t>
      </w:r>
      <w:r w:rsidR="0062087D">
        <w:t xml:space="preserve"> </w:t>
      </w:r>
      <w:r w:rsidR="00552A5F">
        <w:t xml:space="preserve">Issuers are also required to submit redacted </w:t>
      </w:r>
      <w:r w:rsidRPr="0062087D" w:rsidR="00552A5F">
        <w:t>actuarial memorandums for public display</w:t>
      </w:r>
      <w:r w:rsidR="00552A5F">
        <w:t>.</w:t>
      </w:r>
      <w:r w:rsidR="0062087D">
        <w:t xml:space="preserve"> </w:t>
      </w:r>
    </w:p>
    <w:p w:rsidR="00FE2076" w:rsidRPr="00140E48" w:rsidP="00140E48" w14:paraId="10F1A106" w14:textId="77777777">
      <w:pPr>
        <w:pStyle w:val="BodyText"/>
        <w:kinsoku w:val="0"/>
        <w:overflowPunct w:val="0"/>
        <w:ind w:left="0"/>
      </w:pPr>
    </w:p>
    <w:p w:rsidR="00FE2076" w:rsidRPr="000848BE" w:rsidP="00140E48" w14:paraId="20BB0B7E" w14:textId="77777777">
      <w:pPr>
        <w:pStyle w:val="Heading1"/>
        <w:numPr>
          <w:ilvl w:val="0"/>
          <w:numId w:val="1"/>
        </w:numPr>
        <w:tabs>
          <w:tab w:val="left" w:pos="360"/>
        </w:tabs>
        <w:kinsoku w:val="0"/>
        <w:overflowPunct w:val="0"/>
        <w:ind w:left="360" w:right="1007" w:hanging="360"/>
        <w:rPr>
          <w:b w:val="0"/>
          <w:bCs w:val="0"/>
          <w:u w:val="none"/>
        </w:rPr>
      </w:pPr>
      <w:r w:rsidRPr="005E5EC6">
        <w:rPr>
          <w:u w:val="none"/>
        </w:rPr>
        <w:t>Sensitive</w:t>
      </w:r>
      <w:r w:rsidRPr="005E5EC6">
        <w:rPr>
          <w:spacing w:val="-2"/>
          <w:u w:val="none"/>
        </w:rPr>
        <w:t xml:space="preserve"> </w:t>
      </w:r>
      <w:r w:rsidRPr="005E5EC6">
        <w:rPr>
          <w:u w:val="none"/>
        </w:rPr>
        <w:t>Questions</w:t>
      </w:r>
    </w:p>
    <w:p w:rsidR="00FE2076" w:rsidRPr="00140E48" w:rsidP="00140E48" w14:paraId="42B4AFF9" w14:textId="77777777">
      <w:pPr>
        <w:pStyle w:val="BodyText"/>
        <w:kinsoku w:val="0"/>
        <w:overflowPunct w:val="0"/>
        <w:ind w:left="0"/>
        <w:rPr>
          <w:b/>
          <w:bCs/>
        </w:rPr>
      </w:pPr>
    </w:p>
    <w:p w:rsidR="00FE2076" w:rsidRPr="00140E48" w:rsidP="00140E48" w14:paraId="28CFBD13" w14:textId="6E2B70A2">
      <w:pPr>
        <w:pStyle w:val="BodyText"/>
        <w:kinsoku w:val="0"/>
        <w:overflowPunct w:val="0"/>
        <w:ind w:left="0" w:right="40"/>
      </w:pPr>
      <w:r w:rsidRPr="00140E48">
        <w:t>There</w:t>
      </w:r>
      <w:r w:rsidRPr="00140E48">
        <w:rPr>
          <w:spacing w:val="-11"/>
        </w:rPr>
        <w:t xml:space="preserve"> </w:t>
      </w:r>
      <w:r w:rsidRPr="00140E48">
        <w:t>are</w:t>
      </w:r>
      <w:r w:rsidRPr="00140E48">
        <w:rPr>
          <w:spacing w:val="-12"/>
        </w:rPr>
        <w:t xml:space="preserve"> </w:t>
      </w:r>
      <w:r w:rsidRPr="00140E48">
        <w:t>no</w:t>
      </w:r>
      <w:r w:rsidRPr="00140E48">
        <w:rPr>
          <w:spacing w:val="-12"/>
        </w:rPr>
        <w:t xml:space="preserve"> </w:t>
      </w:r>
      <w:r w:rsidRPr="00140E48">
        <w:t>sensitive</w:t>
      </w:r>
      <w:r w:rsidRPr="00140E48">
        <w:rPr>
          <w:spacing w:val="-12"/>
        </w:rPr>
        <w:t xml:space="preserve"> </w:t>
      </w:r>
      <w:r w:rsidRPr="00140E48">
        <w:t>questions</w:t>
      </w:r>
      <w:r w:rsidRPr="00140E48">
        <w:rPr>
          <w:spacing w:val="-12"/>
        </w:rPr>
        <w:t xml:space="preserve"> </w:t>
      </w:r>
      <w:r w:rsidRPr="00140E48">
        <w:t>included</w:t>
      </w:r>
      <w:r w:rsidRPr="00140E48">
        <w:rPr>
          <w:spacing w:val="-12"/>
        </w:rPr>
        <w:t xml:space="preserve"> </w:t>
      </w:r>
      <w:r w:rsidRPr="00140E48">
        <w:t>in</w:t>
      </w:r>
      <w:r w:rsidRPr="00140E48">
        <w:rPr>
          <w:spacing w:val="-12"/>
        </w:rPr>
        <w:t xml:space="preserve"> </w:t>
      </w:r>
      <w:r w:rsidRPr="00140E48">
        <w:t>this</w:t>
      </w:r>
      <w:r w:rsidRPr="00140E48">
        <w:rPr>
          <w:spacing w:val="-12"/>
        </w:rPr>
        <w:t xml:space="preserve"> </w:t>
      </w:r>
      <w:r w:rsidRPr="00140E48">
        <w:t>collection</w:t>
      </w:r>
      <w:r w:rsidRPr="00140E48">
        <w:rPr>
          <w:spacing w:val="-12"/>
        </w:rPr>
        <w:t xml:space="preserve"> </w:t>
      </w:r>
      <w:r w:rsidRPr="00140E48">
        <w:t>effort.</w:t>
      </w:r>
      <w:r w:rsidRPr="00140E48">
        <w:rPr>
          <w:spacing w:val="37"/>
        </w:rPr>
        <w:t xml:space="preserve"> </w:t>
      </w:r>
      <w:r w:rsidRPr="00140E48" w:rsidR="006F029E">
        <w:t>The Department of Health and Human Services (</w:t>
      </w:r>
      <w:r w:rsidRPr="00140E48">
        <w:t>HHS</w:t>
      </w:r>
      <w:r w:rsidRPr="00140E48" w:rsidR="006F029E">
        <w:t>)</w:t>
      </w:r>
      <w:r w:rsidRPr="00140E48">
        <w:rPr>
          <w:spacing w:val="-11"/>
        </w:rPr>
        <w:t xml:space="preserve"> </w:t>
      </w:r>
      <w:r w:rsidRPr="00140E48">
        <w:t>does</w:t>
      </w:r>
      <w:r w:rsidRPr="00140E48">
        <w:rPr>
          <w:spacing w:val="-9"/>
        </w:rPr>
        <w:t xml:space="preserve"> </w:t>
      </w:r>
      <w:r w:rsidRPr="00140E48">
        <w:t>not</w:t>
      </w:r>
      <w:r w:rsidRPr="00140E48">
        <w:rPr>
          <w:spacing w:val="-12"/>
        </w:rPr>
        <w:t xml:space="preserve"> </w:t>
      </w:r>
      <w:r w:rsidRPr="00140E48">
        <w:t>propose</w:t>
      </w:r>
      <w:r w:rsidRPr="00140E48">
        <w:rPr>
          <w:spacing w:val="-12"/>
        </w:rPr>
        <w:t xml:space="preserve"> </w:t>
      </w:r>
      <w:r w:rsidRPr="00140E48">
        <w:t>to</w:t>
      </w:r>
      <w:r w:rsidRPr="00140E48">
        <w:rPr>
          <w:spacing w:val="-12"/>
        </w:rPr>
        <w:t xml:space="preserve"> </w:t>
      </w:r>
      <w:r w:rsidRPr="00140E48">
        <w:t>collect any private</w:t>
      </w:r>
      <w:r w:rsidRPr="00140E48">
        <w:rPr>
          <w:spacing w:val="-6"/>
        </w:rPr>
        <w:t xml:space="preserve"> </w:t>
      </w:r>
      <w:r w:rsidRPr="00140E48">
        <w:t>information.</w:t>
      </w:r>
    </w:p>
    <w:p w:rsidR="00FE2076" w:rsidRPr="00140E48" w:rsidP="00140E48" w14:paraId="44953EAB" w14:textId="77777777">
      <w:pPr>
        <w:pStyle w:val="BodyText"/>
        <w:kinsoku w:val="0"/>
        <w:overflowPunct w:val="0"/>
        <w:ind w:left="0"/>
      </w:pPr>
    </w:p>
    <w:p w:rsidR="00FE2076" w:rsidRPr="000848BE" w:rsidP="00140E48" w14:paraId="2C920BE0" w14:textId="77777777">
      <w:pPr>
        <w:pStyle w:val="Heading1"/>
        <w:numPr>
          <w:ilvl w:val="0"/>
          <w:numId w:val="1"/>
        </w:numPr>
        <w:tabs>
          <w:tab w:val="left" w:pos="360"/>
        </w:tabs>
        <w:kinsoku w:val="0"/>
        <w:overflowPunct w:val="0"/>
        <w:ind w:left="360" w:hanging="360"/>
        <w:rPr>
          <w:b w:val="0"/>
          <w:bCs w:val="0"/>
          <w:u w:val="none"/>
        </w:rPr>
      </w:pPr>
      <w:r w:rsidRPr="005E5EC6">
        <w:rPr>
          <w:u w:val="none"/>
        </w:rPr>
        <w:t>Burden Estimates (Hours &amp;</w:t>
      </w:r>
      <w:r w:rsidRPr="005E5EC6">
        <w:rPr>
          <w:spacing w:val="1"/>
          <w:u w:val="none"/>
        </w:rPr>
        <w:t xml:space="preserve"> </w:t>
      </w:r>
      <w:r w:rsidRPr="005E5EC6">
        <w:rPr>
          <w:u w:val="none"/>
        </w:rPr>
        <w:t>Wages)</w:t>
      </w:r>
    </w:p>
    <w:p w:rsidR="00EA0930" w:rsidRPr="00140E48" w:rsidP="00140E48" w14:paraId="79DE5D79" w14:textId="77777777">
      <w:pPr>
        <w:pStyle w:val="BodyText"/>
        <w:kinsoku w:val="0"/>
        <w:overflowPunct w:val="0"/>
        <w:ind w:left="0"/>
        <w:rPr>
          <w:b/>
          <w:bCs/>
        </w:rPr>
      </w:pPr>
    </w:p>
    <w:p w:rsidR="00504B72" w:rsidRPr="00140E48" w:rsidP="00140E48" w14:paraId="62B4E7A3" w14:textId="6ECE53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iCs/>
          <w:u w:val="single"/>
          <w:lang w:val="x-none"/>
        </w:rPr>
      </w:pPr>
      <w:r>
        <w:rPr>
          <w:bCs/>
          <w:iCs/>
          <w:u w:val="single"/>
          <w:lang w:val="x-none"/>
        </w:rPr>
        <w:t xml:space="preserve">Table 12.1 – </w:t>
      </w:r>
      <w:r w:rsidRPr="00140E48">
        <w:rPr>
          <w:bCs/>
          <w:iCs/>
          <w:u w:val="single"/>
          <w:lang w:val="x-none"/>
        </w:rPr>
        <w:t xml:space="preserve">Adjusted </w:t>
      </w:r>
      <w:r w:rsidR="0056568E">
        <w:rPr>
          <w:bCs/>
          <w:iCs/>
          <w:u w:val="single"/>
          <w:lang w:val="x-none"/>
        </w:rPr>
        <w:t xml:space="preserve">Median </w:t>
      </w:r>
      <w:r w:rsidRPr="00140E48">
        <w:rPr>
          <w:bCs/>
          <w:iCs/>
          <w:u w:val="single"/>
          <w:lang w:val="x-none"/>
        </w:rPr>
        <w:t>Hourly Wages Used in Burden Estimates</w:t>
      </w:r>
    </w:p>
    <w:p w:rsidR="00FE2076" w:rsidRPr="00140E48" w:rsidP="00140E48" w14:paraId="51273BA5" w14:textId="77777777">
      <w:pPr>
        <w:pStyle w:val="BodyText"/>
        <w:kinsoku w:val="0"/>
        <w:overflowPunct w:val="0"/>
        <w:ind w:left="0"/>
        <w:rPr>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702"/>
        <w:gridCol w:w="1702"/>
        <w:gridCol w:w="1285"/>
        <w:gridCol w:w="1369"/>
        <w:gridCol w:w="1292"/>
      </w:tblGrid>
      <w:tr w14:paraId="24F85F63" w14:textId="77777777" w:rsidTr="00C117A3">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blHeader/>
          <w:jc w:val="center"/>
        </w:trPr>
        <w:tc>
          <w:tcPr>
            <w:tcW w:w="3702" w:type="dxa"/>
            <w:vAlign w:val="center"/>
          </w:tcPr>
          <w:p w:rsidR="00C348CB" w:rsidRPr="000A46A6" w:rsidP="00140E48" w14:paraId="692804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8"/>
                <w:szCs w:val="18"/>
              </w:rPr>
            </w:pPr>
            <w:bookmarkStart w:id="11" w:name="_Hlk92372310"/>
            <w:r w:rsidRPr="000A46A6">
              <w:rPr>
                <w:b/>
                <w:bCs/>
                <w:sz w:val="18"/>
                <w:szCs w:val="18"/>
              </w:rPr>
              <w:t>Occupation Title</w:t>
            </w:r>
          </w:p>
        </w:tc>
        <w:tc>
          <w:tcPr>
            <w:tcW w:w="1702" w:type="dxa"/>
            <w:vAlign w:val="center"/>
          </w:tcPr>
          <w:p w:rsidR="00C348CB" w:rsidRPr="000A46A6" w:rsidP="00140E48" w14:paraId="3F3621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8"/>
                <w:szCs w:val="18"/>
              </w:rPr>
            </w:pPr>
            <w:r w:rsidRPr="000A46A6">
              <w:rPr>
                <w:b/>
                <w:bCs/>
                <w:sz w:val="18"/>
                <w:szCs w:val="18"/>
              </w:rPr>
              <w:t>Occupational Code</w:t>
            </w:r>
          </w:p>
        </w:tc>
        <w:tc>
          <w:tcPr>
            <w:tcW w:w="1285" w:type="dxa"/>
            <w:vAlign w:val="center"/>
          </w:tcPr>
          <w:p w:rsidR="00C348CB" w:rsidRPr="000A46A6" w:rsidP="00140E48" w14:paraId="1ABE3FD5" w14:textId="77654B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8"/>
                <w:szCs w:val="18"/>
              </w:rPr>
            </w:pPr>
            <w:r w:rsidRPr="000A46A6">
              <w:rPr>
                <w:b/>
                <w:bCs/>
                <w:sz w:val="18"/>
                <w:szCs w:val="18"/>
              </w:rPr>
              <w:t>Me</w:t>
            </w:r>
            <w:r w:rsidRPr="000A46A6" w:rsidR="00D60770">
              <w:rPr>
                <w:b/>
                <w:bCs/>
                <w:sz w:val="18"/>
                <w:szCs w:val="18"/>
              </w:rPr>
              <w:t>dian</w:t>
            </w:r>
            <w:r w:rsidRPr="000A46A6">
              <w:rPr>
                <w:b/>
                <w:bCs/>
                <w:sz w:val="18"/>
                <w:szCs w:val="18"/>
              </w:rPr>
              <w:t xml:space="preserve"> Hourly Wage ($/hour)</w:t>
            </w:r>
          </w:p>
        </w:tc>
        <w:tc>
          <w:tcPr>
            <w:tcW w:w="1369" w:type="dxa"/>
            <w:vAlign w:val="center"/>
          </w:tcPr>
          <w:p w:rsidR="00C348CB" w:rsidRPr="000A46A6" w:rsidP="00140E48" w14:paraId="0FA37D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8"/>
                <w:szCs w:val="18"/>
              </w:rPr>
            </w:pPr>
            <w:r w:rsidRPr="000A46A6">
              <w:rPr>
                <w:b/>
                <w:bCs/>
                <w:sz w:val="18"/>
                <w:szCs w:val="18"/>
              </w:rPr>
              <w:t xml:space="preserve">Cost of </w:t>
            </w:r>
            <w:r w:rsidRPr="000A46A6">
              <w:rPr>
                <w:b/>
                <w:bCs/>
                <w:sz w:val="18"/>
                <w:szCs w:val="18"/>
              </w:rPr>
              <w:t xml:space="preserve">Fringe Benefits and </w:t>
            </w:r>
            <w:r w:rsidRPr="000A46A6">
              <w:rPr>
                <w:b/>
                <w:bCs/>
                <w:sz w:val="18"/>
                <w:szCs w:val="18"/>
              </w:rPr>
              <w:t xml:space="preserve">Other Indirect Costs </w:t>
            </w:r>
            <w:r w:rsidRPr="000A46A6">
              <w:rPr>
                <w:b/>
                <w:bCs/>
                <w:sz w:val="18"/>
                <w:szCs w:val="18"/>
              </w:rPr>
              <w:t>($/hour)</w:t>
            </w:r>
          </w:p>
        </w:tc>
        <w:tc>
          <w:tcPr>
            <w:tcW w:w="1292" w:type="dxa"/>
            <w:vAlign w:val="center"/>
          </w:tcPr>
          <w:p w:rsidR="00C348CB" w:rsidRPr="000A46A6" w:rsidP="00140E48" w14:paraId="0E0D07F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8"/>
                <w:szCs w:val="18"/>
              </w:rPr>
            </w:pPr>
            <w:r w:rsidRPr="000A46A6">
              <w:rPr>
                <w:b/>
                <w:bCs/>
                <w:sz w:val="18"/>
                <w:szCs w:val="18"/>
              </w:rPr>
              <w:t>Adjusted Hourly Wage ($/hour)</w:t>
            </w:r>
          </w:p>
        </w:tc>
      </w:tr>
      <w:tr w14:paraId="2DCD5B49" w14:textId="77777777" w:rsidTr="00C117A3">
        <w:tblPrEx>
          <w:tblW w:w="0" w:type="auto"/>
          <w:jc w:val="center"/>
          <w:tblCellMar>
            <w:left w:w="0" w:type="dxa"/>
            <w:right w:w="0" w:type="dxa"/>
          </w:tblCellMar>
          <w:tblLook w:val="01E0"/>
        </w:tblPrEx>
        <w:trPr>
          <w:tblHeader/>
          <w:jc w:val="center"/>
        </w:trPr>
        <w:tc>
          <w:tcPr>
            <w:tcW w:w="3702" w:type="dxa"/>
            <w:vAlign w:val="center"/>
          </w:tcPr>
          <w:p w:rsidR="00C348CB" w:rsidRPr="000A46A6" w:rsidP="00140E48" w14:paraId="677010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0A46A6">
              <w:rPr>
                <w:sz w:val="20"/>
                <w:szCs w:val="20"/>
              </w:rPr>
              <w:t>Actuary</w:t>
            </w:r>
          </w:p>
        </w:tc>
        <w:tc>
          <w:tcPr>
            <w:tcW w:w="1702" w:type="dxa"/>
            <w:tcBorders>
              <w:top w:val="single" w:sz="4" w:space="0" w:color="auto"/>
              <w:left w:val="nil"/>
              <w:bottom w:val="single" w:sz="4" w:space="0" w:color="auto"/>
              <w:right w:val="single" w:sz="4" w:space="0" w:color="auto"/>
            </w:tcBorders>
            <w:shd w:val="clear" w:color="auto" w:fill="auto"/>
            <w:vAlign w:val="bottom"/>
          </w:tcPr>
          <w:p w:rsidR="00C348CB" w:rsidRPr="000A46A6" w:rsidP="00140E48" w14:paraId="513DF5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0A46A6">
              <w:rPr>
                <w:sz w:val="20"/>
                <w:szCs w:val="20"/>
              </w:rPr>
              <w:t>15-2011</w:t>
            </w:r>
          </w:p>
        </w:tc>
        <w:tc>
          <w:tcPr>
            <w:tcW w:w="1285" w:type="dxa"/>
            <w:tcBorders>
              <w:top w:val="single" w:sz="4" w:space="0" w:color="auto"/>
              <w:left w:val="nil"/>
              <w:bottom w:val="single" w:sz="4" w:space="0" w:color="auto"/>
              <w:right w:val="single" w:sz="4" w:space="0" w:color="auto"/>
            </w:tcBorders>
            <w:shd w:val="clear" w:color="auto" w:fill="auto"/>
            <w:vAlign w:val="bottom"/>
          </w:tcPr>
          <w:p w:rsidR="00C348CB" w:rsidRPr="000A46A6" w:rsidP="00140E48" w14:paraId="50FA525D" w14:textId="4BE1C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0A46A6">
              <w:rPr>
                <w:sz w:val="20"/>
                <w:szCs w:val="20"/>
              </w:rPr>
              <w:t>$</w:t>
            </w:r>
            <w:r w:rsidRPr="000A46A6" w:rsidR="005C1A26">
              <w:rPr>
                <w:sz w:val="20"/>
                <w:szCs w:val="20"/>
              </w:rPr>
              <w:t>5</w:t>
            </w:r>
            <w:r w:rsidRPr="000A46A6" w:rsidR="0056568E">
              <w:rPr>
                <w:sz w:val="20"/>
                <w:szCs w:val="20"/>
              </w:rPr>
              <w:t>7.69</w:t>
            </w:r>
          </w:p>
        </w:tc>
        <w:tc>
          <w:tcPr>
            <w:tcW w:w="1369" w:type="dxa"/>
            <w:tcBorders>
              <w:top w:val="single" w:sz="4" w:space="0" w:color="auto"/>
              <w:left w:val="nil"/>
              <w:bottom w:val="single" w:sz="4" w:space="0" w:color="auto"/>
              <w:right w:val="single" w:sz="4" w:space="0" w:color="auto"/>
            </w:tcBorders>
            <w:shd w:val="clear" w:color="auto" w:fill="auto"/>
            <w:vAlign w:val="bottom"/>
          </w:tcPr>
          <w:p w:rsidR="00C348CB" w:rsidRPr="000A46A6" w:rsidP="00140E48" w14:paraId="2E369D5E" w14:textId="48ABCF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0A46A6">
              <w:rPr>
                <w:sz w:val="20"/>
                <w:szCs w:val="20"/>
              </w:rPr>
              <w:t>$</w:t>
            </w:r>
            <w:r w:rsidRPr="000A46A6" w:rsidR="005C1A26">
              <w:rPr>
                <w:sz w:val="20"/>
                <w:szCs w:val="20"/>
              </w:rPr>
              <w:t>5</w:t>
            </w:r>
            <w:r w:rsidRPr="000A46A6" w:rsidR="0056568E">
              <w:rPr>
                <w:sz w:val="20"/>
                <w:szCs w:val="20"/>
              </w:rPr>
              <w:t>7.69</w:t>
            </w:r>
          </w:p>
        </w:tc>
        <w:tc>
          <w:tcPr>
            <w:tcW w:w="1292" w:type="dxa"/>
            <w:tcBorders>
              <w:top w:val="single" w:sz="4" w:space="0" w:color="auto"/>
              <w:left w:val="nil"/>
              <w:bottom w:val="single" w:sz="4" w:space="0" w:color="auto"/>
              <w:right w:val="single" w:sz="4" w:space="0" w:color="auto"/>
            </w:tcBorders>
            <w:shd w:val="clear" w:color="auto" w:fill="auto"/>
            <w:vAlign w:val="bottom"/>
          </w:tcPr>
          <w:p w:rsidR="00C348CB" w:rsidRPr="000A46A6" w:rsidP="00140E48" w14:paraId="003FE1FD" w14:textId="46EBEE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0A46A6">
              <w:rPr>
                <w:sz w:val="20"/>
                <w:szCs w:val="20"/>
              </w:rPr>
              <w:t>$</w:t>
            </w:r>
            <w:r w:rsidRPr="000A46A6" w:rsidR="005C1A26">
              <w:rPr>
                <w:sz w:val="20"/>
                <w:szCs w:val="20"/>
              </w:rPr>
              <w:t>1</w:t>
            </w:r>
            <w:r w:rsidRPr="000A46A6" w:rsidR="0056568E">
              <w:rPr>
                <w:sz w:val="20"/>
                <w:szCs w:val="20"/>
              </w:rPr>
              <w:t>15.38</w:t>
            </w:r>
          </w:p>
        </w:tc>
      </w:tr>
      <w:tr w14:paraId="155DB490" w14:textId="77777777" w:rsidTr="00C117A3">
        <w:tblPrEx>
          <w:tblW w:w="0" w:type="auto"/>
          <w:jc w:val="center"/>
          <w:tblCellMar>
            <w:left w:w="0" w:type="dxa"/>
            <w:right w:w="0" w:type="dxa"/>
          </w:tblCellMar>
          <w:tblLook w:val="01E0"/>
        </w:tblPrEx>
        <w:trPr>
          <w:tblHeader/>
          <w:jc w:val="center"/>
        </w:trPr>
        <w:tc>
          <w:tcPr>
            <w:tcW w:w="3702" w:type="dxa"/>
            <w:vAlign w:val="center"/>
          </w:tcPr>
          <w:p w:rsidR="00C348CB" w:rsidRPr="000A46A6" w:rsidP="00140E48" w14:paraId="3A33D8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0A46A6">
              <w:rPr>
                <w:sz w:val="20"/>
                <w:szCs w:val="20"/>
              </w:rPr>
              <w:t>Actuary (State Government)</w:t>
            </w:r>
          </w:p>
        </w:tc>
        <w:tc>
          <w:tcPr>
            <w:tcW w:w="1702" w:type="dxa"/>
            <w:vAlign w:val="center"/>
          </w:tcPr>
          <w:p w:rsidR="00C348CB" w:rsidRPr="000A46A6" w:rsidP="00140E48" w14:paraId="71F5A0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0A46A6">
              <w:rPr>
                <w:sz w:val="20"/>
                <w:szCs w:val="20"/>
              </w:rPr>
              <w:t>15-2011</w:t>
            </w:r>
          </w:p>
        </w:tc>
        <w:tc>
          <w:tcPr>
            <w:tcW w:w="1285" w:type="dxa"/>
            <w:vAlign w:val="center"/>
          </w:tcPr>
          <w:p w:rsidR="00C348CB" w:rsidRPr="000A46A6" w:rsidP="00140E48" w14:paraId="77220122" w14:textId="5DE2B9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0A46A6">
              <w:rPr>
                <w:sz w:val="20"/>
                <w:szCs w:val="20"/>
              </w:rPr>
              <w:t>$</w:t>
            </w:r>
            <w:r w:rsidRPr="000A46A6" w:rsidR="005E4F56">
              <w:rPr>
                <w:sz w:val="20"/>
                <w:szCs w:val="20"/>
              </w:rPr>
              <w:t>45.13</w:t>
            </w:r>
          </w:p>
        </w:tc>
        <w:tc>
          <w:tcPr>
            <w:tcW w:w="1369" w:type="dxa"/>
            <w:vAlign w:val="center"/>
          </w:tcPr>
          <w:p w:rsidR="00C348CB" w:rsidRPr="000A46A6" w:rsidP="00140E48" w14:paraId="6E9271F4" w14:textId="4EBA06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0A46A6">
              <w:rPr>
                <w:sz w:val="20"/>
                <w:szCs w:val="20"/>
              </w:rPr>
              <w:t>$</w:t>
            </w:r>
            <w:r w:rsidRPr="000A46A6" w:rsidR="005E4F56">
              <w:rPr>
                <w:sz w:val="20"/>
                <w:szCs w:val="20"/>
              </w:rPr>
              <w:t>45.13</w:t>
            </w:r>
          </w:p>
        </w:tc>
        <w:tc>
          <w:tcPr>
            <w:tcW w:w="1292" w:type="dxa"/>
            <w:vAlign w:val="center"/>
          </w:tcPr>
          <w:p w:rsidR="00C348CB" w:rsidRPr="000A46A6" w:rsidP="00140E48" w14:paraId="032AA08B" w14:textId="5B0F1F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0A46A6">
              <w:rPr>
                <w:sz w:val="20"/>
                <w:szCs w:val="20"/>
              </w:rPr>
              <w:t xml:space="preserve">  </w:t>
            </w:r>
            <w:r w:rsidRPr="000A46A6">
              <w:rPr>
                <w:sz w:val="20"/>
                <w:szCs w:val="20"/>
              </w:rPr>
              <w:t>$</w:t>
            </w:r>
            <w:r w:rsidRPr="000A46A6" w:rsidR="005E4F56">
              <w:rPr>
                <w:sz w:val="20"/>
                <w:szCs w:val="20"/>
              </w:rPr>
              <w:t>90.26</w:t>
            </w:r>
          </w:p>
        </w:tc>
      </w:tr>
      <w:bookmarkEnd w:id="11"/>
    </w:tbl>
    <w:p w:rsidR="00FE2076" w:rsidRPr="00140E48" w:rsidP="00140E48" w14:paraId="46E4B768" w14:textId="77777777">
      <w:pPr>
        <w:pStyle w:val="BodyText"/>
        <w:kinsoku w:val="0"/>
        <w:overflowPunct w:val="0"/>
        <w:ind w:left="0"/>
        <w:rPr>
          <w:b/>
          <w:bCs/>
        </w:rPr>
      </w:pPr>
    </w:p>
    <w:p w:rsidR="00EE335B" w:rsidRPr="00140E48" w:rsidP="00140E48" w14:paraId="4F5CD903" w14:textId="79CC9464">
      <w:pPr>
        <w:pStyle w:val="BodyText"/>
        <w:kinsoku w:val="0"/>
        <w:overflowPunct w:val="0"/>
        <w:ind w:left="0"/>
      </w:pPr>
      <w:r>
        <w:t>Adjusted hourly</w:t>
      </w:r>
      <w:r w:rsidRPr="00140E48">
        <w:t xml:space="preserve"> </w:t>
      </w:r>
      <w:r w:rsidRPr="00140E48" w:rsidR="00504B72">
        <w:t>labor costs (</w:t>
      </w:r>
      <w:r w:rsidRPr="00140E48" w:rsidR="00D90AA9">
        <w:t xml:space="preserve">which </w:t>
      </w:r>
      <w:r w:rsidRPr="00140E48" w:rsidR="00504B72">
        <w:t xml:space="preserve">include </w:t>
      </w:r>
      <w:r w:rsidRPr="00140E48" w:rsidR="000D5D1A">
        <w:t>a 100 percent increase</w:t>
      </w:r>
      <w:r w:rsidRPr="00140E48" w:rsidR="00B6269C">
        <w:t xml:space="preserve"> of the </w:t>
      </w:r>
      <w:r w:rsidR="00C367E8">
        <w:t>median</w:t>
      </w:r>
      <w:r w:rsidRPr="00140E48" w:rsidR="00B6269C">
        <w:t xml:space="preserve"> hourly wage rate to account</w:t>
      </w:r>
      <w:r w:rsidRPr="00140E48" w:rsidR="000D5D1A">
        <w:t xml:space="preserve"> for </w:t>
      </w:r>
      <w:r w:rsidRPr="00140E48" w:rsidR="00D90AA9">
        <w:t xml:space="preserve">the cost of </w:t>
      </w:r>
      <w:r w:rsidRPr="00140E48" w:rsidR="00504B72">
        <w:t xml:space="preserve">fringe benefits and </w:t>
      </w:r>
      <w:r w:rsidRPr="00140E48" w:rsidR="00D90AA9">
        <w:t>other indirect costs</w:t>
      </w:r>
      <w:r w:rsidRPr="00140E48" w:rsidR="00504B72">
        <w:t>) are calculated using data available from the Bureau of Labor Statistics.</w:t>
      </w:r>
      <w:r>
        <w:rPr>
          <w:rStyle w:val="FootnoteReference"/>
        </w:rPr>
        <w:footnoteReference w:id="5"/>
      </w:r>
      <w:r w:rsidRPr="00140E48" w:rsidR="00504B72">
        <w:t xml:space="preserve"> </w:t>
      </w:r>
      <w:r w:rsidRPr="00140E48" w:rsidR="007B70C5">
        <w:t xml:space="preserve"> </w:t>
      </w:r>
    </w:p>
    <w:p w:rsidR="006E3191" w:rsidRPr="00140E48" w:rsidP="00140E48" w14:paraId="37FE25D3" w14:textId="77777777">
      <w:pPr>
        <w:pStyle w:val="BodyText"/>
        <w:kinsoku w:val="0"/>
        <w:overflowPunct w:val="0"/>
        <w:ind w:left="0"/>
        <w:rPr>
          <w:b/>
          <w:bCs/>
        </w:rPr>
      </w:pPr>
    </w:p>
    <w:p w:rsidR="00FE2076" w:rsidRPr="00140E48" w:rsidP="00140E48" w14:paraId="2BFDF2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40E48">
        <w:rPr>
          <w:b/>
        </w:rPr>
        <w:t xml:space="preserve">Submission of </w:t>
      </w:r>
      <w:r w:rsidRPr="00140E48" w:rsidR="00B927CA">
        <w:rPr>
          <w:b/>
        </w:rPr>
        <w:t>Unified Rate Review Template</w:t>
      </w:r>
      <w:r w:rsidRPr="00140E48" w:rsidR="00E020AB">
        <w:rPr>
          <w:b/>
        </w:rPr>
        <w:t>s</w:t>
      </w:r>
      <w:r w:rsidRPr="00140E48" w:rsidR="00B927CA">
        <w:rPr>
          <w:b/>
        </w:rPr>
        <w:t xml:space="preserve"> (URRT</w:t>
      </w:r>
      <w:r w:rsidRPr="00140E48" w:rsidR="00E020AB">
        <w:rPr>
          <w:b/>
        </w:rPr>
        <w:t>s</w:t>
      </w:r>
      <w:r w:rsidRPr="00140E48" w:rsidR="00B927CA">
        <w:rPr>
          <w:b/>
        </w:rPr>
        <w:t>)</w:t>
      </w:r>
      <w:r w:rsidRPr="00140E48" w:rsidR="009912FD">
        <w:rPr>
          <w:b/>
        </w:rPr>
        <w:t xml:space="preserve"> (Part I of Rate Filing Justification)</w:t>
      </w:r>
    </w:p>
    <w:p w:rsidR="00FE2076" w:rsidRPr="00140E48" w:rsidP="00140E48" w14:paraId="4849690E" w14:textId="77777777">
      <w:pPr>
        <w:pStyle w:val="BodyText"/>
        <w:kinsoku w:val="0"/>
        <w:overflowPunct w:val="0"/>
        <w:ind w:left="0"/>
      </w:pPr>
    </w:p>
    <w:p w:rsidR="009D104D" w:rsidRPr="00140E48" w:rsidP="00140E48" w14:paraId="43501FCB" w14:textId="127C437A">
      <w:pPr>
        <w:pStyle w:val="BodyText"/>
        <w:kinsoku w:val="0"/>
        <w:overflowPunct w:val="0"/>
        <w:ind w:left="0" w:right="40"/>
      </w:pPr>
      <w:bookmarkStart w:id="12" w:name="_Hlk92283544"/>
      <w:r w:rsidRPr="00140E48">
        <w:t xml:space="preserve">Based on </w:t>
      </w:r>
      <w:r w:rsidR="004F4031">
        <w:t>recent experience</w:t>
      </w:r>
      <w:r w:rsidR="003114A5">
        <w:t>,</w:t>
      </w:r>
      <w:r w:rsidR="004F4031">
        <w:t xml:space="preserve"> we </w:t>
      </w:r>
      <w:r w:rsidRPr="00140E48" w:rsidR="00FE2076">
        <w:t>expect</w:t>
      </w:r>
      <w:r w:rsidRPr="00140E48">
        <w:t xml:space="preserve"> to receive</w:t>
      </w:r>
      <w:r w:rsidR="00EE335B">
        <w:t xml:space="preserve"> a total of</w:t>
      </w:r>
      <w:r w:rsidRPr="00140E48" w:rsidR="00FE2076">
        <w:t xml:space="preserve"> </w:t>
      </w:r>
      <w:r w:rsidRPr="00140E48" w:rsidR="008F1396">
        <w:t>approximately</w:t>
      </w:r>
      <w:r w:rsidRPr="00140E48" w:rsidR="00E020AB">
        <w:t xml:space="preserve"> </w:t>
      </w:r>
      <w:r w:rsidRPr="00CE02CE" w:rsidR="000C0130">
        <w:t>8</w:t>
      </w:r>
      <w:r w:rsidRPr="00CE02CE" w:rsidR="00AF59AF">
        <w:t>03</w:t>
      </w:r>
      <w:r w:rsidRPr="00CE02CE" w:rsidR="000C0130">
        <w:t xml:space="preserve"> URRT</w:t>
      </w:r>
      <w:r w:rsidRPr="00CE02CE" w:rsidR="00E020AB">
        <w:t xml:space="preserve"> </w:t>
      </w:r>
      <w:r w:rsidRPr="00CE02CE" w:rsidR="0024767F">
        <w:t>submissions</w:t>
      </w:r>
      <w:r w:rsidRPr="00CE02CE" w:rsidR="006E00BB">
        <w:t xml:space="preserve"> per year</w:t>
      </w:r>
      <w:r w:rsidRPr="00CE02CE" w:rsidR="00A96E76">
        <w:t xml:space="preserve"> from approximately </w:t>
      </w:r>
      <w:r w:rsidRPr="00CE02CE" w:rsidR="0060115A">
        <w:t xml:space="preserve">573 </w:t>
      </w:r>
      <w:r w:rsidRPr="00CE02CE" w:rsidR="00A96E76">
        <w:t>issuers</w:t>
      </w:r>
      <w:r w:rsidRPr="00CE02CE" w:rsidR="006E00BB">
        <w:t>.</w:t>
      </w:r>
      <w:r w:rsidRPr="00CE02CE" w:rsidR="00FE2076">
        <w:t xml:space="preserve"> </w:t>
      </w:r>
      <w:r w:rsidRPr="00CE02CE">
        <w:t xml:space="preserve">We expect </w:t>
      </w:r>
      <w:r w:rsidRPr="00CE02CE" w:rsidR="000C0130">
        <w:t>7</w:t>
      </w:r>
      <w:r w:rsidRPr="00CE02CE" w:rsidR="00FB1407">
        <w:t>43</w:t>
      </w:r>
      <w:r w:rsidRPr="00CE02CE" w:rsidR="00E566CB">
        <w:t xml:space="preserve"> </w:t>
      </w:r>
      <w:r w:rsidRPr="00CE02CE">
        <w:t xml:space="preserve">of those to be submitted </w:t>
      </w:r>
      <w:r w:rsidRPr="00CE02CE" w:rsidR="00A87073">
        <w:t xml:space="preserve">by issuers </w:t>
      </w:r>
      <w:r w:rsidRPr="00CE02CE">
        <w:t xml:space="preserve">in </w:t>
      </w:r>
      <w:r w:rsidR="00870947">
        <w:t>S</w:t>
      </w:r>
      <w:r w:rsidRPr="00CE02CE">
        <w:t xml:space="preserve">tates that have an Effective Rate Review Program </w:t>
      </w:r>
      <w:r w:rsidRPr="00CE02CE" w:rsidR="00A20CA7">
        <w:t xml:space="preserve">and </w:t>
      </w:r>
      <w:r w:rsidRPr="00CE02CE">
        <w:t xml:space="preserve">use SERFF. We expect </w:t>
      </w:r>
      <w:r w:rsidRPr="00CE02CE" w:rsidR="00AF59AF">
        <w:t>60</w:t>
      </w:r>
      <w:r w:rsidRPr="00CE02CE" w:rsidR="009F56A1">
        <w:t xml:space="preserve"> </w:t>
      </w:r>
      <w:r w:rsidRPr="00CE02CE">
        <w:t>of</w:t>
      </w:r>
      <w:r w:rsidRPr="00140E48">
        <w:t xml:space="preserve"> those to be submitted</w:t>
      </w:r>
      <w:r w:rsidRPr="00140E48" w:rsidR="005D1820">
        <w:t>,</w:t>
      </w:r>
      <w:r w:rsidRPr="00140E48">
        <w:t xml:space="preserve"> </w:t>
      </w:r>
      <w:r w:rsidRPr="00140E48" w:rsidR="005D1820">
        <w:t xml:space="preserve">via HIOS, </w:t>
      </w:r>
      <w:r w:rsidRPr="00140E48" w:rsidR="00A87073">
        <w:t xml:space="preserve">by issuers </w:t>
      </w:r>
      <w:r w:rsidRPr="00140E48" w:rsidR="00E020AB">
        <w:t xml:space="preserve">in </w:t>
      </w:r>
      <w:r w:rsidR="00870947">
        <w:t>S</w:t>
      </w:r>
      <w:r w:rsidRPr="00140E48">
        <w:t xml:space="preserve">tates without an Effective Rate Review Program </w:t>
      </w:r>
      <w:r w:rsidRPr="00140E48">
        <w:t>or that do not use SERFF.</w:t>
      </w:r>
      <w:r>
        <w:rPr>
          <w:rStyle w:val="FootnoteReference"/>
        </w:rPr>
        <w:footnoteReference w:id="6"/>
      </w:r>
      <w:r w:rsidRPr="00140E48">
        <w:t xml:space="preserve"> </w:t>
      </w:r>
    </w:p>
    <w:p w:rsidR="009D104D" w:rsidRPr="00140E48" w:rsidP="00140E48" w14:paraId="73E08330" w14:textId="77777777">
      <w:pPr>
        <w:pStyle w:val="BodyText"/>
        <w:kinsoku w:val="0"/>
        <w:overflowPunct w:val="0"/>
        <w:ind w:left="0" w:right="40"/>
      </w:pPr>
    </w:p>
    <w:p w:rsidR="00BC203E" w:rsidRPr="0062224C" w:rsidP="00140E48" w14:paraId="0715BD7B" w14:textId="623185A3">
      <w:pPr>
        <w:pStyle w:val="BodyText"/>
        <w:kinsoku w:val="0"/>
        <w:overflowPunct w:val="0"/>
        <w:ind w:left="0" w:right="40"/>
      </w:pPr>
      <w:r w:rsidRPr="00140E48">
        <w:t xml:space="preserve">When </w:t>
      </w:r>
      <w:r w:rsidRPr="00140E48" w:rsidR="000C0130">
        <w:t>the URRT is</w:t>
      </w:r>
      <w:r w:rsidRPr="00140E48" w:rsidR="009D104D">
        <w:t xml:space="preserve"> submitted into SERFF, the data and files will automatically transfer to HIOS, reducing</w:t>
      </w:r>
      <w:r w:rsidRPr="00140E48" w:rsidR="00E72B31">
        <w:t xml:space="preserve"> the burden of</w:t>
      </w:r>
      <w:r w:rsidRPr="00140E48" w:rsidR="009D104D">
        <w:t xml:space="preserve"> duplicative manual</w:t>
      </w:r>
      <w:r w:rsidRPr="00140E48" w:rsidR="009912FD">
        <w:t xml:space="preserve"> </w:t>
      </w:r>
      <w:r w:rsidRPr="00140E48" w:rsidR="009D104D">
        <w:t>entry</w:t>
      </w:r>
      <w:r w:rsidRPr="00140E48" w:rsidR="00E72B31">
        <w:t xml:space="preserve"> of rate filings</w:t>
      </w:r>
      <w:r w:rsidRPr="00140E48" w:rsidR="009D104D">
        <w:t xml:space="preserve">. </w:t>
      </w:r>
      <w:bookmarkEnd w:id="12"/>
      <w:r w:rsidRPr="00140E48" w:rsidR="006E00BB">
        <w:t xml:space="preserve">Due to the </w:t>
      </w:r>
      <w:r w:rsidRPr="00140E48" w:rsidR="00D3284D">
        <w:t>system connection between SERFF and HIOS, w</w:t>
      </w:r>
      <w:r w:rsidRPr="00140E48" w:rsidR="001003CE">
        <w:t xml:space="preserve">e estimate that </w:t>
      </w:r>
      <w:r w:rsidRPr="00140E48" w:rsidR="009D104D">
        <w:t>i</w:t>
      </w:r>
      <w:r w:rsidRPr="00140E48" w:rsidR="001003CE">
        <w:t>ssuer</w:t>
      </w:r>
      <w:r w:rsidRPr="00140E48" w:rsidR="009D104D">
        <w:t xml:space="preserve">s in </w:t>
      </w:r>
      <w:r w:rsidR="00870947">
        <w:t>S</w:t>
      </w:r>
      <w:r w:rsidRPr="00140E48" w:rsidR="009D104D">
        <w:t xml:space="preserve">tates that have an Effective Rate Review Program </w:t>
      </w:r>
      <w:r w:rsidRPr="00140E48" w:rsidR="00A20CA7">
        <w:t xml:space="preserve">and </w:t>
      </w:r>
      <w:r w:rsidRPr="00140E48" w:rsidR="009D104D">
        <w:t xml:space="preserve">use SERFF </w:t>
      </w:r>
      <w:r w:rsidRPr="00140E48" w:rsidR="001003CE">
        <w:t xml:space="preserve">will </w:t>
      </w:r>
      <w:r w:rsidRPr="00140E48" w:rsidR="00A20CA7">
        <w:t xml:space="preserve">experience </w:t>
      </w:r>
      <w:r w:rsidRPr="00140E48" w:rsidR="001003CE">
        <w:t>a</w:t>
      </w:r>
      <w:r w:rsidRPr="00140E48" w:rsidR="00D3284D">
        <w:t xml:space="preserve"> </w:t>
      </w:r>
      <w:r w:rsidRPr="00140E48" w:rsidR="007466DF">
        <w:t>1-hour</w:t>
      </w:r>
      <w:r w:rsidRPr="00140E48" w:rsidR="00836C2E">
        <w:t xml:space="preserve"> </w:t>
      </w:r>
      <w:r w:rsidRPr="00140E48" w:rsidR="00A20CA7">
        <w:t xml:space="preserve">reduction </w:t>
      </w:r>
      <w:r w:rsidRPr="00140E48" w:rsidR="00836C2E">
        <w:t>in</w:t>
      </w:r>
      <w:r w:rsidRPr="00140E48" w:rsidR="001003CE">
        <w:t xml:space="preserve"> burden</w:t>
      </w:r>
      <w:r w:rsidRPr="00140E48" w:rsidR="00BD30CA">
        <w:t xml:space="preserve"> for each URRT submission</w:t>
      </w:r>
      <w:r w:rsidRPr="00140E48" w:rsidR="00D91DA1">
        <w:t xml:space="preserve">. </w:t>
      </w:r>
      <w:r w:rsidRPr="00140E48">
        <w:t>Therefore, w</w:t>
      </w:r>
      <w:r w:rsidRPr="00140E48" w:rsidR="00D91DA1">
        <w:t>e estimate that</w:t>
      </w:r>
      <w:r w:rsidRPr="00140E48" w:rsidR="00F227F0">
        <w:t xml:space="preserve"> it will take an actuary </w:t>
      </w:r>
      <w:r w:rsidRPr="00140E48" w:rsidR="004817FE">
        <w:t>8 hours</w:t>
      </w:r>
      <w:r>
        <w:rPr>
          <w:rStyle w:val="FootnoteReference"/>
        </w:rPr>
        <w:footnoteReference w:id="7"/>
      </w:r>
      <w:r w:rsidRPr="00140E48" w:rsidR="00DF2343">
        <w:t xml:space="preserve"> </w:t>
      </w:r>
      <w:r w:rsidRPr="00140E48">
        <w:t>(at an hourly rate of $1</w:t>
      </w:r>
      <w:r w:rsidR="003E57FB">
        <w:t>15.38</w:t>
      </w:r>
      <w:r w:rsidRPr="00140E48">
        <w:t xml:space="preserve">) to prepare </w:t>
      </w:r>
      <w:r w:rsidRPr="00140E48" w:rsidR="00A20CA7">
        <w:t xml:space="preserve">and submit </w:t>
      </w:r>
      <w:r w:rsidRPr="00140E48">
        <w:t xml:space="preserve">the URRT, </w:t>
      </w:r>
      <w:r w:rsidRPr="00140E48" w:rsidR="004817FE">
        <w:t xml:space="preserve">with an associated </w:t>
      </w:r>
      <w:r w:rsidRPr="00140E48" w:rsidR="00A03EED">
        <w:t xml:space="preserve">annual </w:t>
      </w:r>
      <w:r w:rsidRPr="00140E48" w:rsidR="004817FE">
        <w:t xml:space="preserve">cost of </w:t>
      </w:r>
      <w:r w:rsidRPr="00140E48" w:rsidR="0092058A">
        <w:t xml:space="preserve">approximately </w:t>
      </w:r>
      <w:r w:rsidRPr="00140E48" w:rsidR="004817FE">
        <w:t>$</w:t>
      </w:r>
      <w:r w:rsidR="003E57FB">
        <w:t>923</w:t>
      </w:r>
      <w:r w:rsidRPr="00140E48" w:rsidR="004817FE">
        <w:t>.</w:t>
      </w:r>
      <w:r w:rsidRPr="00140E48" w:rsidR="00CE3FAB">
        <w:t xml:space="preserve"> </w:t>
      </w:r>
      <w:r w:rsidRPr="00140E48" w:rsidR="00C41BD4">
        <w:t>Therefore, we estimate t</w:t>
      </w:r>
      <w:r w:rsidRPr="00140E48" w:rsidR="006E00BB">
        <w:t>he total</w:t>
      </w:r>
      <w:r w:rsidRPr="00140E48" w:rsidR="006E00BB">
        <w:rPr>
          <w:spacing w:val="-13"/>
        </w:rPr>
        <w:t xml:space="preserve"> </w:t>
      </w:r>
      <w:r w:rsidRPr="00140E48" w:rsidR="006E00BB">
        <w:t xml:space="preserve">annual burden for </w:t>
      </w:r>
      <w:r w:rsidRPr="00140E48" w:rsidR="004817FE">
        <w:t xml:space="preserve">all </w:t>
      </w:r>
      <w:r w:rsidRPr="00140E48">
        <w:t xml:space="preserve">issuers in those </w:t>
      </w:r>
      <w:r w:rsidR="00870947">
        <w:t>S</w:t>
      </w:r>
      <w:r w:rsidRPr="00140E48">
        <w:t>tates</w:t>
      </w:r>
      <w:r w:rsidRPr="00140E48" w:rsidR="001E4E5B">
        <w:t xml:space="preserve"> to </w:t>
      </w:r>
      <w:r w:rsidRPr="00140E48" w:rsidR="00C41BD4">
        <w:t xml:space="preserve">be </w:t>
      </w:r>
      <w:r w:rsidRPr="0062224C" w:rsidR="00C41BD4">
        <w:t>approximately</w:t>
      </w:r>
      <w:r w:rsidRPr="0062224C" w:rsidR="009F56A1">
        <w:t xml:space="preserve"> </w:t>
      </w:r>
      <w:r w:rsidRPr="0062224C" w:rsidR="007466DF">
        <w:t>5,994</w:t>
      </w:r>
      <w:r w:rsidRPr="0062224C" w:rsidR="00884E88">
        <w:t xml:space="preserve"> </w:t>
      </w:r>
      <w:r w:rsidRPr="0062224C" w:rsidR="006E00BB">
        <w:t xml:space="preserve">hours </w:t>
      </w:r>
      <w:r w:rsidRPr="0062224C" w:rsidR="00C41BD4">
        <w:t xml:space="preserve">with an associated </w:t>
      </w:r>
      <w:r w:rsidRPr="0062224C" w:rsidR="00A03EED">
        <w:t xml:space="preserve">annual </w:t>
      </w:r>
      <w:r w:rsidRPr="0062224C" w:rsidR="00C41BD4">
        <w:t xml:space="preserve">cost of </w:t>
      </w:r>
      <w:r w:rsidRPr="0062224C" w:rsidR="0092058A">
        <w:t xml:space="preserve">approximately </w:t>
      </w:r>
      <w:r w:rsidRPr="0062224C" w:rsidR="006E00BB">
        <w:t>$</w:t>
      </w:r>
      <w:r w:rsidRPr="00A67742" w:rsidR="007466DF">
        <w:t>6</w:t>
      </w:r>
      <w:r w:rsidR="003E57FB">
        <w:t>85,819</w:t>
      </w:r>
      <w:bookmarkStart w:id="13" w:name="_Hlk105413226"/>
      <w:r w:rsidRPr="0062224C" w:rsidR="00F041D3">
        <w:t>.</w:t>
      </w:r>
      <w:r w:rsidRPr="0062224C" w:rsidR="007B70C5">
        <w:t xml:space="preserve"> </w:t>
      </w:r>
      <w:bookmarkEnd w:id="13"/>
    </w:p>
    <w:p w:rsidR="00BC203E" w:rsidRPr="0062224C" w:rsidP="00140E48" w14:paraId="6812C0AB" w14:textId="77777777">
      <w:pPr>
        <w:pStyle w:val="BodyText"/>
        <w:kinsoku w:val="0"/>
        <w:overflowPunct w:val="0"/>
        <w:ind w:left="0" w:right="40"/>
      </w:pPr>
    </w:p>
    <w:p w:rsidR="00F227F0" w:rsidRPr="0062224C" w:rsidP="00140E48" w14:paraId="327647AC" w14:textId="28450CCD">
      <w:pPr>
        <w:pStyle w:val="BodyText"/>
        <w:kinsoku w:val="0"/>
        <w:overflowPunct w:val="0"/>
        <w:ind w:left="0" w:right="40"/>
      </w:pPr>
      <w:r w:rsidRPr="0062224C">
        <w:t xml:space="preserve">For issuers that </w:t>
      </w:r>
      <w:r w:rsidRPr="0062224C" w:rsidR="00C52CC7">
        <w:t>must</w:t>
      </w:r>
      <w:r w:rsidRPr="0062224C">
        <w:t xml:space="preserve"> submit the URRT </w:t>
      </w:r>
      <w:r w:rsidRPr="0062224C" w:rsidR="00DB46F4">
        <w:t xml:space="preserve">into SERFF </w:t>
      </w:r>
      <w:r w:rsidRPr="0062224C" w:rsidR="00DB46F4">
        <w:t>and also</w:t>
      </w:r>
      <w:r w:rsidRPr="0062224C" w:rsidR="00DB46F4">
        <w:t xml:space="preserve"> submit </w:t>
      </w:r>
      <w:r w:rsidRPr="0062224C" w:rsidR="0067554A">
        <w:t xml:space="preserve">directly </w:t>
      </w:r>
      <w:r w:rsidRPr="0062224C" w:rsidR="0009260F">
        <w:t>in</w:t>
      </w:r>
      <w:r w:rsidRPr="0062224C" w:rsidR="00393A15">
        <w:t>to</w:t>
      </w:r>
      <w:r w:rsidRPr="0062224C">
        <w:t xml:space="preserve"> HIOS, it will take an actuary 9 hours (at an hourly rate of $</w:t>
      </w:r>
      <w:r w:rsidRPr="0062224C" w:rsidR="00B64F5E">
        <w:t>1</w:t>
      </w:r>
      <w:r w:rsidR="003E57FB">
        <w:t>15.38</w:t>
      </w:r>
      <w:r w:rsidRPr="0062224C">
        <w:t xml:space="preserve">) to prepare </w:t>
      </w:r>
      <w:r w:rsidRPr="0062224C" w:rsidR="00674B02">
        <w:t>and submit each</w:t>
      </w:r>
      <w:r w:rsidRPr="0062224C">
        <w:t xml:space="preserve"> URRT, with an associated cost of approximately $</w:t>
      </w:r>
      <w:r w:rsidR="003E57FB">
        <w:t>1,038</w:t>
      </w:r>
      <w:r w:rsidRPr="0062224C">
        <w:t xml:space="preserve">. The total annual burden for all issuers submitting </w:t>
      </w:r>
      <w:r w:rsidRPr="0062224C" w:rsidR="0067554A">
        <w:t xml:space="preserve">directly </w:t>
      </w:r>
      <w:r w:rsidRPr="0062224C">
        <w:t>in</w:t>
      </w:r>
      <w:r w:rsidRPr="0062224C" w:rsidR="00140E48">
        <w:t>to</w:t>
      </w:r>
      <w:r w:rsidRPr="0062224C">
        <w:t xml:space="preserve"> HIOS will be </w:t>
      </w:r>
      <w:r w:rsidRPr="0062224C" w:rsidR="009014E5">
        <w:t xml:space="preserve">540 </w:t>
      </w:r>
      <w:r w:rsidRPr="0062224C">
        <w:t xml:space="preserve">hours, with an associated annual cost of </w:t>
      </w:r>
      <w:r w:rsidRPr="0062224C" w:rsidR="00BC203E">
        <w:t>approximately $</w:t>
      </w:r>
      <w:r w:rsidR="003E57FB">
        <w:t>62,305</w:t>
      </w:r>
      <w:r w:rsidRPr="0062224C" w:rsidR="00BC203E">
        <w:t>.</w:t>
      </w:r>
    </w:p>
    <w:p w:rsidR="009F1B7E" w:rsidRPr="0062224C" w:rsidP="00140E48" w14:paraId="7EA86C5E" w14:textId="77777777">
      <w:pPr>
        <w:pStyle w:val="BodyText"/>
        <w:kinsoku w:val="0"/>
        <w:overflowPunct w:val="0"/>
        <w:ind w:left="0" w:right="40"/>
      </w:pPr>
    </w:p>
    <w:p w:rsidR="009F1B7E" w:rsidP="00140E48" w14:paraId="1E525F04" w14:textId="28F43398">
      <w:pPr>
        <w:pStyle w:val="BodyText"/>
        <w:kinsoku w:val="0"/>
        <w:overflowPunct w:val="0"/>
        <w:ind w:left="0" w:right="40"/>
      </w:pPr>
      <w:r w:rsidRPr="003433ED">
        <w:t xml:space="preserve">The total annual burden for all issuers </w:t>
      </w:r>
      <w:r w:rsidRPr="003433ED" w:rsidR="0087171D">
        <w:t xml:space="preserve">to prepare and submit URRTs </w:t>
      </w:r>
      <w:r w:rsidRPr="003433ED">
        <w:t xml:space="preserve">will be </w:t>
      </w:r>
      <w:r w:rsidRPr="003433ED" w:rsidR="005963E0">
        <w:t>6,</w:t>
      </w:r>
      <w:r w:rsidRPr="003433ED" w:rsidR="0061109B">
        <w:t>484</w:t>
      </w:r>
      <w:r w:rsidRPr="003433ED" w:rsidR="005963E0">
        <w:t xml:space="preserve"> hours with an associated total cost of approximately $</w:t>
      </w:r>
      <w:r w:rsidR="003E57FB">
        <w:t>748,124</w:t>
      </w:r>
      <w:r w:rsidRPr="003433ED" w:rsidR="005963E0">
        <w:t>.</w:t>
      </w:r>
    </w:p>
    <w:p w:rsidR="00021E16" w:rsidP="00140E48" w14:paraId="61C360A9" w14:textId="77777777">
      <w:pPr>
        <w:pStyle w:val="BodyText"/>
        <w:kinsoku w:val="0"/>
        <w:overflowPunct w:val="0"/>
        <w:ind w:left="0" w:right="40"/>
      </w:pPr>
    </w:p>
    <w:p w:rsidR="00021E16" w:rsidRPr="00140E48" w:rsidP="00021E16" w14:paraId="0B0BEA27" w14:textId="7EDBA3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40E48">
        <w:rPr>
          <w:u w:val="single"/>
        </w:rPr>
        <w:t>Table 12.</w:t>
      </w:r>
      <w:r w:rsidR="000848BE">
        <w:rPr>
          <w:u w:val="single"/>
        </w:rPr>
        <w:t>2</w:t>
      </w:r>
      <w:r w:rsidRPr="00140E48">
        <w:rPr>
          <w:u w:val="single"/>
        </w:rPr>
        <w:t xml:space="preserve"> – Estimated Annualized Burden Hours and Costs for </w:t>
      </w:r>
      <w:r>
        <w:rPr>
          <w:u w:val="single"/>
        </w:rPr>
        <w:t>Submission of UR</w:t>
      </w:r>
      <w:r w:rsidR="000848BE">
        <w:rPr>
          <w:u w:val="single"/>
        </w:rPr>
        <w:t>R</w:t>
      </w:r>
      <w:r>
        <w:rPr>
          <w:u w:val="single"/>
        </w:rPr>
        <w:t>T</w:t>
      </w:r>
      <w:r w:rsidR="003114A5">
        <w:rPr>
          <w:u w:val="single"/>
        </w:rPr>
        <w:t>s</w:t>
      </w:r>
    </w:p>
    <w:p w:rsidR="00021E16" w:rsidRPr="00140E48" w:rsidP="00021E16" w14:paraId="63228972" w14:textId="77777777">
      <w:pPr>
        <w:pStyle w:val="BodyText"/>
        <w:kinsoku w:val="0"/>
        <w:overflowPunct w:val="0"/>
        <w:ind w:left="0"/>
      </w:pP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900"/>
        <w:gridCol w:w="1080"/>
        <w:gridCol w:w="1170"/>
        <w:gridCol w:w="1080"/>
        <w:gridCol w:w="1170"/>
        <w:gridCol w:w="1080"/>
      </w:tblGrid>
      <w:tr w14:paraId="74D38B7E" w14:textId="77777777" w:rsidTr="005E5EC6">
        <w:tblPrEx>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32"/>
          <w:tblHeader/>
          <w:jc w:val="center"/>
        </w:trPr>
        <w:tc>
          <w:tcPr>
            <w:tcW w:w="900" w:type="dxa"/>
            <w:vAlign w:val="bottom"/>
            <w:hideMark/>
          </w:tcPr>
          <w:p w:rsidR="00B85A58" w:rsidRPr="00FC7E1F" w:rsidP="00790B0C" w14:paraId="3EFFCBDB" w14:textId="77777777">
            <w:pPr>
              <w:widowControl/>
              <w:autoSpaceDE/>
              <w:autoSpaceDN/>
              <w:adjustRightInd/>
              <w:jc w:val="center"/>
              <w:rPr>
                <w:rFonts w:eastAsia="Calibri"/>
                <w:b/>
                <w:bCs/>
                <w:sz w:val="18"/>
                <w:szCs w:val="18"/>
              </w:rPr>
            </w:pPr>
          </w:p>
        </w:tc>
        <w:tc>
          <w:tcPr>
            <w:tcW w:w="900" w:type="dxa"/>
            <w:vAlign w:val="center"/>
            <w:hideMark/>
          </w:tcPr>
          <w:p w:rsidR="00B85A58" w:rsidRPr="00FC7E1F" w:rsidP="009051C4" w14:paraId="763C6A8B" w14:textId="77777777">
            <w:pPr>
              <w:widowControl/>
              <w:autoSpaceDE/>
              <w:autoSpaceDN/>
              <w:adjustRightInd/>
              <w:jc w:val="center"/>
              <w:rPr>
                <w:rFonts w:eastAsia="Calibri"/>
                <w:b/>
                <w:bCs/>
                <w:sz w:val="18"/>
                <w:szCs w:val="18"/>
              </w:rPr>
            </w:pPr>
            <w:r w:rsidRPr="00FC7E1F">
              <w:rPr>
                <w:rFonts w:eastAsia="Calibri"/>
                <w:b/>
                <w:bCs/>
                <w:sz w:val="18"/>
                <w:szCs w:val="18"/>
              </w:rPr>
              <w:t>Number of URRTs</w:t>
            </w:r>
          </w:p>
        </w:tc>
        <w:tc>
          <w:tcPr>
            <w:tcW w:w="1080" w:type="dxa"/>
            <w:vAlign w:val="center"/>
          </w:tcPr>
          <w:p w:rsidR="00B85A58" w:rsidRPr="00FC7E1F" w:rsidP="009051C4" w14:paraId="06D05C79" w14:textId="09E4C8E5">
            <w:pPr>
              <w:widowControl/>
              <w:autoSpaceDE/>
              <w:autoSpaceDN/>
              <w:adjustRightInd/>
              <w:jc w:val="center"/>
              <w:rPr>
                <w:rFonts w:eastAsia="Calibri"/>
                <w:b/>
                <w:bCs/>
                <w:sz w:val="18"/>
                <w:szCs w:val="18"/>
              </w:rPr>
            </w:pPr>
            <w:r>
              <w:rPr>
                <w:rFonts w:eastAsia="Calibri"/>
                <w:b/>
                <w:bCs/>
                <w:sz w:val="18"/>
                <w:szCs w:val="18"/>
              </w:rPr>
              <w:t>Burden per URRT</w:t>
            </w:r>
          </w:p>
        </w:tc>
        <w:tc>
          <w:tcPr>
            <w:tcW w:w="1170" w:type="dxa"/>
            <w:vAlign w:val="center"/>
          </w:tcPr>
          <w:p w:rsidR="00B85A58" w:rsidRPr="00FC7E1F" w:rsidP="009051C4" w14:paraId="027838BF" w14:textId="1F07A607">
            <w:pPr>
              <w:widowControl/>
              <w:autoSpaceDE/>
              <w:autoSpaceDN/>
              <w:adjustRightInd/>
              <w:jc w:val="center"/>
              <w:rPr>
                <w:rFonts w:eastAsia="Calibri"/>
                <w:b/>
                <w:bCs/>
                <w:sz w:val="18"/>
                <w:szCs w:val="18"/>
              </w:rPr>
            </w:pPr>
            <w:r>
              <w:rPr>
                <w:rFonts w:eastAsia="Calibri"/>
                <w:b/>
                <w:bCs/>
                <w:sz w:val="18"/>
                <w:szCs w:val="18"/>
              </w:rPr>
              <w:t>Cost per Hour</w:t>
            </w:r>
          </w:p>
        </w:tc>
        <w:tc>
          <w:tcPr>
            <w:tcW w:w="1080" w:type="dxa"/>
            <w:vAlign w:val="center"/>
          </w:tcPr>
          <w:p w:rsidR="00B85A58" w:rsidRPr="00FC7E1F" w:rsidP="009051C4" w14:paraId="59259FFF" w14:textId="7BB1ABDF">
            <w:pPr>
              <w:widowControl/>
              <w:autoSpaceDE/>
              <w:autoSpaceDN/>
              <w:adjustRightInd/>
              <w:jc w:val="center"/>
              <w:rPr>
                <w:rFonts w:eastAsia="Calibri"/>
                <w:b/>
                <w:bCs/>
                <w:sz w:val="18"/>
                <w:szCs w:val="18"/>
              </w:rPr>
            </w:pPr>
            <w:r>
              <w:rPr>
                <w:rFonts w:eastAsia="Calibri"/>
                <w:b/>
                <w:bCs/>
                <w:sz w:val="18"/>
                <w:szCs w:val="18"/>
              </w:rPr>
              <w:t>Cost per URRT</w:t>
            </w:r>
          </w:p>
        </w:tc>
        <w:tc>
          <w:tcPr>
            <w:tcW w:w="1170" w:type="dxa"/>
            <w:vAlign w:val="center"/>
          </w:tcPr>
          <w:p w:rsidR="00B85A58" w:rsidRPr="00FC7E1F" w:rsidP="005E5EC6" w14:paraId="1377E4B7" w14:textId="7E841823">
            <w:pPr>
              <w:widowControl/>
              <w:autoSpaceDE/>
              <w:autoSpaceDN/>
              <w:adjustRightInd/>
              <w:jc w:val="center"/>
              <w:rPr>
                <w:rFonts w:eastAsia="Calibri"/>
                <w:b/>
                <w:bCs/>
                <w:sz w:val="18"/>
                <w:szCs w:val="18"/>
              </w:rPr>
            </w:pPr>
            <w:r>
              <w:rPr>
                <w:rFonts w:eastAsia="Calibri"/>
                <w:b/>
                <w:bCs/>
                <w:sz w:val="18"/>
                <w:szCs w:val="18"/>
              </w:rPr>
              <w:t>Total Burden</w:t>
            </w:r>
          </w:p>
        </w:tc>
        <w:tc>
          <w:tcPr>
            <w:tcW w:w="1080" w:type="dxa"/>
            <w:vAlign w:val="center"/>
          </w:tcPr>
          <w:p w:rsidR="00B85A58" w:rsidRPr="00FC7E1F" w:rsidP="009051C4" w14:paraId="798DFA3F" w14:textId="254DE567">
            <w:pPr>
              <w:widowControl/>
              <w:autoSpaceDE/>
              <w:autoSpaceDN/>
              <w:adjustRightInd/>
              <w:jc w:val="center"/>
              <w:rPr>
                <w:rFonts w:eastAsia="Calibri"/>
                <w:b/>
                <w:bCs/>
                <w:sz w:val="18"/>
                <w:szCs w:val="18"/>
              </w:rPr>
            </w:pPr>
            <w:r>
              <w:rPr>
                <w:rFonts w:eastAsia="Calibri"/>
                <w:b/>
                <w:bCs/>
                <w:sz w:val="18"/>
                <w:szCs w:val="18"/>
              </w:rPr>
              <w:t>Total Cost</w:t>
            </w:r>
          </w:p>
        </w:tc>
      </w:tr>
      <w:tr w14:paraId="561A17F2" w14:textId="77777777" w:rsidTr="005E5EC6">
        <w:tblPrEx>
          <w:tblW w:w="7380" w:type="dxa"/>
          <w:jc w:val="center"/>
          <w:tblLayout w:type="fixed"/>
          <w:tblLook w:val="04A0"/>
        </w:tblPrEx>
        <w:trPr>
          <w:trHeight w:val="797"/>
          <w:jc w:val="center"/>
        </w:trPr>
        <w:tc>
          <w:tcPr>
            <w:tcW w:w="900" w:type="dxa"/>
            <w:noWrap/>
            <w:vAlign w:val="center"/>
          </w:tcPr>
          <w:p w:rsidR="00B85A58" w:rsidRPr="00FC7E1F" w:rsidP="009051C4" w14:paraId="729B4F5D" w14:textId="28605380">
            <w:pPr>
              <w:widowControl/>
              <w:autoSpaceDE/>
              <w:autoSpaceDN/>
              <w:adjustRightInd/>
              <w:rPr>
                <w:rFonts w:eastAsia="Calibri"/>
                <w:b/>
                <w:bCs/>
                <w:sz w:val="20"/>
                <w:szCs w:val="20"/>
              </w:rPr>
            </w:pPr>
            <w:r w:rsidRPr="00074E3D">
              <w:rPr>
                <w:rFonts w:eastAsia="Calibri"/>
                <w:b/>
                <w:bCs/>
                <w:sz w:val="20"/>
                <w:szCs w:val="20"/>
              </w:rPr>
              <w:t>SERFF only</w:t>
            </w:r>
          </w:p>
        </w:tc>
        <w:tc>
          <w:tcPr>
            <w:tcW w:w="900" w:type="dxa"/>
            <w:noWrap/>
            <w:vAlign w:val="center"/>
          </w:tcPr>
          <w:p w:rsidR="00B85A58" w:rsidRPr="00FC7E1F" w:rsidP="00790B0C" w14:paraId="4B40A6E2" w14:textId="63A86060">
            <w:pPr>
              <w:widowControl/>
              <w:autoSpaceDE/>
              <w:autoSpaceDN/>
              <w:adjustRightInd/>
              <w:jc w:val="center"/>
              <w:rPr>
                <w:rFonts w:eastAsia="Calibri"/>
                <w:sz w:val="20"/>
                <w:szCs w:val="20"/>
              </w:rPr>
            </w:pPr>
            <w:r>
              <w:rPr>
                <w:rFonts w:eastAsia="Calibri"/>
                <w:sz w:val="20"/>
                <w:szCs w:val="20"/>
              </w:rPr>
              <w:t>743</w:t>
            </w:r>
          </w:p>
        </w:tc>
        <w:tc>
          <w:tcPr>
            <w:tcW w:w="1080" w:type="dxa"/>
            <w:vAlign w:val="center"/>
          </w:tcPr>
          <w:p w:rsidR="00B85A58" w:rsidRPr="00FC7E1F" w:rsidP="00790B0C" w14:paraId="0A4F0EF0" w14:textId="29DC1D6A">
            <w:pPr>
              <w:widowControl/>
              <w:autoSpaceDE/>
              <w:autoSpaceDN/>
              <w:adjustRightInd/>
              <w:jc w:val="center"/>
              <w:rPr>
                <w:rFonts w:eastAsia="Calibri"/>
                <w:sz w:val="20"/>
                <w:szCs w:val="20"/>
              </w:rPr>
            </w:pPr>
            <w:r>
              <w:rPr>
                <w:rFonts w:eastAsia="Calibri"/>
                <w:sz w:val="20"/>
                <w:szCs w:val="20"/>
              </w:rPr>
              <w:t>8</w:t>
            </w:r>
          </w:p>
        </w:tc>
        <w:tc>
          <w:tcPr>
            <w:tcW w:w="1170" w:type="dxa"/>
            <w:vAlign w:val="center"/>
          </w:tcPr>
          <w:p w:rsidR="00B85A58" w:rsidRPr="00FC7E1F" w:rsidP="00790B0C" w14:paraId="15FCB0B5" w14:textId="5A5DC954">
            <w:pPr>
              <w:widowControl/>
              <w:autoSpaceDE/>
              <w:autoSpaceDN/>
              <w:adjustRightInd/>
              <w:jc w:val="center"/>
              <w:rPr>
                <w:rFonts w:eastAsia="Calibri"/>
                <w:sz w:val="20"/>
                <w:szCs w:val="20"/>
              </w:rPr>
            </w:pPr>
            <w:r>
              <w:rPr>
                <w:rFonts w:eastAsia="Calibri"/>
                <w:sz w:val="20"/>
                <w:szCs w:val="20"/>
              </w:rPr>
              <w:t>$115.38</w:t>
            </w:r>
          </w:p>
        </w:tc>
        <w:tc>
          <w:tcPr>
            <w:tcW w:w="1080" w:type="dxa"/>
            <w:noWrap/>
            <w:vAlign w:val="center"/>
          </w:tcPr>
          <w:p w:rsidR="00B85A58" w:rsidRPr="00FC7E1F" w:rsidP="00790B0C" w14:paraId="1A13C6FB" w14:textId="2742DBDE">
            <w:pPr>
              <w:widowControl/>
              <w:autoSpaceDE/>
              <w:autoSpaceDN/>
              <w:adjustRightInd/>
              <w:jc w:val="center"/>
              <w:rPr>
                <w:rFonts w:eastAsia="Calibri"/>
                <w:sz w:val="20"/>
                <w:szCs w:val="20"/>
              </w:rPr>
            </w:pPr>
            <w:r>
              <w:rPr>
                <w:rFonts w:eastAsia="Calibri"/>
                <w:sz w:val="20"/>
                <w:szCs w:val="20"/>
              </w:rPr>
              <w:t>$923</w:t>
            </w:r>
          </w:p>
        </w:tc>
        <w:tc>
          <w:tcPr>
            <w:tcW w:w="1170" w:type="dxa"/>
            <w:vAlign w:val="center"/>
          </w:tcPr>
          <w:p w:rsidR="00B85A58" w:rsidRPr="00FC7E1F" w:rsidP="00790B0C" w14:paraId="03C539A5" w14:textId="3C80555B">
            <w:pPr>
              <w:widowControl/>
              <w:autoSpaceDE/>
              <w:autoSpaceDN/>
              <w:adjustRightInd/>
              <w:jc w:val="center"/>
              <w:rPr>
                <w:rFonts w:eastAsia="Calibri"/>
                <w:sz w:val="20"/>
                <w:szCs w:val="20"/>
              </w:rPr>
            </w:pPr>
            <w:r>
              <w:rPr>
                <w:rFonts w:eastAsia="Calibri"/>
                <w:sz w:val="20"/>
                <w:szCs w:val="20"/>
              </w:rPr>
              <w:t>5,944</w:t>
            </w:r>
          </w:p>
        </w:tc>
        <w:tc>
          <w:tcPr>
            <w:tcW w:w="1080" w:type="dxa"/>
            <w:vAlign w:val="center"/>
          </w:tcPr>
          <w:p w:rsidR="00B85A58" w:rsidRPr="00FC7E1F" w:rsidP="00790B0C" w14:paraId="404113BB" w14:textId="63E0D3C6">
            <w:pPr>
              <w:widowControl/>
              <w:autoSpaceDE/>
              <w:autoSpaceDN/>
              <w:adjustRightInd/>
              <w:jc w:val="center"/>
              <w:rPr>
                <w:rFonts w:eastAsia="Calibri"/>
                <w:sz w:val="20"/>
                <w:szCs w:val="20"/>
              </w:rPr>
            </w:pPr>
            <w:r>
              <w:rPr>
                <w:rFonts w:eastAsia="Calibri"/>
                <w:sz w:val="20"/>
                <w:szCs w:val="20"/>
              </w:rPr>
              <w:t>$685,819</w:t>
            </w:r>
          </w:p>
        </w:tc>
      </w:tr>
      <w:tr w14:paraId="3F177B0C" w14:textId="77777777" w:rsidTr="005E5EC6">
        <w:tblPrEx>
          <w:tblW w:w="7380" w:type="dxa"/>
          <w:jc w:val="center"/>
          <w:tblLayout w:type="fixed"/>
          <w:tblLook w:val="04A0"/>
        </w:tblPrEx>
        <w:trPr>
          <w:trHeight w:val="282"/>
          <w:jc w:val="center"/>
        </w:trPr>
        <w:tc>
          <w:tcPr>
            <w:tcW w:w="900" w:type="dxa"/>
            <w:noWrap/>
            <w:vAlign w:val="center"/>
          </w:tcPr>
          <w:p w:rsidR="00B85A58" w:rsidRPr="00FC7E1F" w:rsidP="009051C4" w14:paraId="421590BB" w14:textId="4CB6C62A">
            <w:pPr>
              <w:widowControl/>
              <w:autoSpaceDE/>
              <w:autoSpaceDN/>
              <w:adjustRightInd/>
              <w:rPr>
                <w:rFonts w:eastAsia="Calibri"/>
                <w:b/>
                <w:bCs/>
                <w:sz w:val="20"/>
                <w:szCs w:val="20"/>
              </w:rPr>
            </w:pPr>
            <w:r w:rsidRPr="00074E3D">
              <w:rPr>
                <w:rFonts w:eastAsia="Calibri"/>
                <w:b/>
                <w:bCs/>
                <w:sz w:val="20"/>
                <w:szCs w:val="20"/>
              </w:rPr>
              <w:t>State + HIOS</w:t>
            </w:r>
          </w:p>
        </w:tc>
        <w:tc>
          <w:tcPr>
            <w:tcW w:w="900" w:type="dxa"/>
            <w:noWrap/>
            <w:vAlign w:val="center"/>
          </w:tcPr>
          <w:p w:rsidR="00B85A58" w:rsidRPr="00FC7E1F" w:rsidP="00790B0C" w14:paraId="505E2C66" w14:textId="1EEFE0D4">
            <w:pPr>
              <w:widowControl/>
              <w:autoSpaceDE/>
              <w:autoSpaceDN/>
              <w:adjustRightInd/>
              <w:jc w:val="center"/>
              <w:rPr>
                <w:rFonts w:eastAsia="Calibri"/>
                <w:sz w:val="20"/>
                <w:szCs w:val="20"/>
              </w:rPr>
            </w:pPr>
            <w:r>
              <w:rPr>
                <w:rFonts w:eastAsia="Calibri"/>
                <w:sz w:val="20"/>
                <w:szCs w:val="20"/>
              </w:rPr>
              <w:t>60</w:t>
            </w:r>
          </w:p>
        </w:tc>
        <w:tc>
          <w:tcPr>
            <w:tcW w:w="1080" w:type="dxa"/>
            <w:vAlign w:val="center"/>
          </w:tcPr>
          <w:p w:rsidR="00B85A58" w:rsidRPr="00FC7E1F" w:rsidP="00790B0C" w14:paraId="47DA366C" w14:textId="15549EBE">
            <w:pPr>
              <w:widowControl/>
              <w:autoSpaceDE/>
              <w:autoSpaceDN/>
              <w:adjustRightInd/>
              <w:jc w:val="center"/>
              <w:rPr>
                <w:rFonts w:eastAsia="Calibri"/>
                <w:sz w:val="20"/>
                <w:szCs w:val="20"/>
              </w:rPr>
            </w:pPr>
            <w:r>
              <w:rPr>
                <w:rFonts w:eastAsia="Calibri"/>
                <w:sz w:val="20"/>
                <w:szCs w:val="20"/>
              </w:rPr>
              <w:t>9</w:t>
            </w:r>
          </w:p>
        </w:tc>
        <w:tc>
          <w:tcPr>
            <w:tcW w:w="1170" w:type="dxa"/>
            <w:vAlign w:val="center"/>
          </w:tcPr>
          <w:p w:rsidR="00B85A58" w:rsidRPr="00FC7E1F" w:rsidP="00790B0C" w14:paraId="1966A042" w14:textId="60BBE623">
            <w:pPr>
              <w:widowControl/>
              <w:autoSpaceDE/>
              <w:autoSpaceDN/>
              <w:adjustRightInd/>
              <w:jc w:val="center"/>
              <w:rPr>
                <w:rFonts w:eastAsia="Calibri"/>
                <w:sz w:val="20"/>
                <w:szCs w:val="20"/>
              </w:rPr>
            </w:pPr>
            <w:r>
              <w:rPr>
                <w:rFonts w:eastAsia="Calibri"/>
                <w:sz w:val="20"/>
                <w:szCs w:val="20"/>
              </w:rPr>
              <w:t>$115.38</w:t>
            </w:r>
          </w:p>
        </w:tc>
        <w:tc>
          <w:tcPr>
            <w:tcW w:w="1080" w:type="dxa"/>
            <w:noWrap/>
            <w:vAlign w:val="center"/>
          </w:tcPr>
          <w:p w:rsidR="00B85A58" w:rsidRPr="00FC7E1F" w:rsidP="00790B0C" w14:paraId="111EC159" w14:textId="7B3C86F7">
            <w:pPr>
              <w:widowControl/>
              <w:autoSpaceDE/>
              <w:autoSpaceDN/>
              <w:adjustRightInd/>
              <w:jc w:val="center"/>
              <w:rPr>
                <w:rFonts w:eastAsia="Calibri"/>
                <w:sz w:val="20"/>
                <w:szCs w:val="20"/>
              </w:rPr>
            </w:pPr>
            <w:r>
              <w:rPr>
                <w:rFonts w:eastAsia="Calibri"/>
                <w:sz w:val="20"/>
                <w:szCs w:val="20"/>
              </w:rPr>
              <w:t>$1,038</w:t>
            </w:r>
          </w:p>
        </w:tc>
        <w:tc>
          <w:tcPr>
            <w:tcW w:w="1170" w:type="dxa"/>
            <w:vAlign w:val="center"/>
          </w:tcPr>
          <w:p w:rsidR="00B85A58" w:rsidRPr="00FC7E1F" w:rsidP="00790B0C" w14:paraId="63EC1DBD" w14:textId="204BBD7D">
            <w:pPr>
              <w:widowControl/>
              <w:autoSpaceDE/>
              <w:autoSpaceDN/>
              <w:adjustRightInd/>
              <w:jc w:val="center"/>
              <w:rPr>
                <w:rFonts w:eastAsia="Calibri"/>
                <w:sz w:val="20"/>
                <w:szCs w:val="20"/>
              </w:rPr>
            </w:pPr>
            <w:r>
              <w:rPr>
                <w:rFonts w:eastAsia="Calibri"/>
                <w:sz w:val="20"/>
                <w:szCs w:val="20"/>
              </w:rPr>
              <w:t>540</w:t>
            </w:r>
          </w:p>
        </w:tc>
        <w:tc>
          <w:tcPr>
            <w:tcW w:w="1080" w:type="dxa"/>
            <w:vAlign w:val="center"/>
          </w:tcPr>
          <w:p w:rsidR="00B85A58" w:rsidRPr="00FC7E1F" w:rsidP="00790B0C" w14:paraId="743DD484" w14:textId="56777B5F">
            <w:pPr>
              <w:widowControl/>
              <w:autoSpaceDE/>
              <w:autoSpaceDN/>
              <w:adjustRightInd/>
              <w:jc w:val="center"/>
              <w:rPr>
                <w:rFonts w:eastAsia="Calibri"/>
                <w:sz w:val="20"/>
                <w:szCs w:val="20"/>
              </w:rPr>
            </w:pPr>
            <w:r>
              <w:rPr>
                <w:rFonts w:eastAsia="Calibri"/>
                <w:sz w:val="20"/>
                <w:szCs w:val="20"/>
              </w:rPr>
              <w:t>$62,305</w:t>
            </w:r>
          </w:p>
        </w:tc>
      </w:tr>
      <w:tr w14:paraId="6C1E199E" w14:textId="77777777" w:rsidTr="005E5EC6">
        <w:tblPrEx>
          <w:tblW w:w="7380" w:type="dxa"/>
          <w:jc w:val="center"/>
          <w:tblLayout w:type="fixed"/>
          <w:tblLook w:val="04A0"/>
        </w:tblPrEx>
        <w:trPr>
          <w:trHeight w:val="377"/>
          <w:jc w:val="center"/>
        </w:trPr>
        <w:tc>
          <w:tcPr>
            <w:tcW w:w="900" w:type="dxa"/>
            <w:noWrap/>
            <w:vAlign w:val="center"/>
          </w:tcPr>
          <w:p w:rsidR="00B85A58" w:rsidRPr="00FC7E1F" w:rsidP="009051C4" w14:paraId="02D85DF8" w14:textId="77777777">
            <w:pPr>
              <w:widowControl/>
              <w:autoSpaceDE/>
              <w:autoSpaceDN/>
              <w:adjustRightInd/>
              <w:rPr>
                <w:rFonts w:eastAsia="Calibri"/>
                <w:b/>
                <w:bCs/>
                <w:sz w:val="20"/>
                <w:szCs w:val="20"/>
              </w:rPr>
            </w:pPr>
            <w:r w:rsidRPr="00FC7E1F">
              <w:rPr>
                <w:rFonts w:eastAsia="Calibri"/>
                <w:b/>
                <w:bCs/>
                <w:sz w:val="20"/>
                <w:szCs w:val="20"/>
              </w:rPr>
              <w:t>Total</w:t>
            </w:r>
          </w:p>
        </w:tc>
        <w:tc>
          <w:tcPr>
            <w:tcW w:w="900" w:type="dxa"/>
            <w:noWrap/>
            <w:vAlign w:val="center"/>
          </w:tcPr>
          <w:p w:rsidR="00B85A58" w:rsidRPr="00872666" w:rsidP="00790B0C" w14:paraId="4199A811" w14:textId="25FC427C">
            <w:pPr>
              <w:widowControl/>
              <w:autoSpaceDE/>
              <w:autoSpaceDN/>
              <w:adjustRightInd/>
              <w:jc w:val="center"/>
              <w:rPr>
                <w:rFonts w:eastAsia="Calibri"/>
                <w:sz w:val="20"/>
                <w:szCs w:val="20"/>
              </w:rPr>
            </w:pPr>
            <w:r>
              <w:rPr>
                <w:rFonts w:eastAsia="Calibri"/>
                <w:sz w:val="20"/>
                <w:szCs w:val="20"/>
              </w:rPr>
              <w:t>803</w:t>
            </w:r>
          </w:p>
        </w:tc>
        <w:tc>
          <w:tcPr>
            <w:tcW w:w="1080" w:type="dxa"/>
            <w:vAlign w:val="center"/>
          </w:tcPr>
          <w:p w:rsidR="00B85A58" w:rsidRPr="00872666" w:rsidP="00790B0C" w14:paraId="3ED17E21" w14:textId="527DEB57">
            <w:pPr>
              <w:widowControl/>
              <w:autoSpaceDE/>
              <w:autoSpaceDN/>
              <w:adjustRightInd/>
              <w:jc w:val="center"/>
              <w:rPr>
                <w:rFonts w:eastAsia="Calibri"/>
                <w:sz w:val="20"/>
                <w:szCs w:val="20"/>
              </w:rPr>
            </w:pPr>
          </w:p>
        </w:tc>
        <w:tc>
          <w:tcPr>
            <w:tcW w:w="1170" w:type="dxa"/>
            <w:vAlign w:val="center"/>
          </w:tcPr>
          <w:p w:rsidR="00B85A58" w:rsidRPr="00872666" w:rsidP="00790B0C" w14:paraId="05E07C54" w14:textId="188886DC">
            <w:pPr>
              <w:widowControl/>
              <w:autoSpaceDE/>
              <w:autoSpaceDN/>
              <w:adjustRightInd/>
              <w:jc w:val="center"/>
              <w:rPr>
                <w:rFonts w:eastAsia="Calibri"/>
                <w:sz w:val="20"/>
                <w:szCs w:val="20"/>
              </w:rPr>
            </w:pPr>
          </w:p>
        </w:tc>
        <w:tc>
          <w:tcPr>
            <w:tcW w:w="1080" w:type="dxa"/>
            <w:noWrap/>
            <w:vAlign w:val="center"/>
          </w:tcPr>
          <w:p w:rsidR="00B85A58" w:rsidRPr="00872666" w:rsidP="00790B0C" w14:paraId="100E48CF" w14:textId="6ED5BB8A">
            <w:pPr>
              <w:widowControl/>
              <w:autoSpaceDE/>
              <w:autoSpaceDN/>
              <w:adjustRightInd/>
              <w:jc w:val="center"/>
              <w:rPr>
                <w:rFonts w:eastAsia="Calibri"/>
                <w:sz w:val="20"/>
                <w:szCs w:val="20"/>
              </w:rPr>
            </w:pPr>
          </w:p>
        </w:tc>
        <w:tc>
          <w:tcPr>
            <w:tcW w:w="1170" w:type="dxa"/>
            <w:vAlign w:val="center"/>
          </w:tcPr>
          <w:p w:rsidR="00B85A58" w:rsidRPr="00872666" w:rsidP="00790B0C" w14:paraId="0F0BD9B6" w14:textId="4DD8165B">
            <w:pPr>
              <w:widowControl/>
              <w:autoSpaceDE/>
              <w:autoSpaceDN/>
              <w:adjustRightInd/>
              <w:jc w:val="center"/>
              <w:rPr>
                <w:rFonts w:eastAsia="Calibri"/>
                <w:sz w:val="20"/>
                <w:szCs w:val="20"/>
              </w:rPr>
            </w:pPr>
            <w:r>
              <w:rPr>
                <w:rFonts w:eastAsia="Calibri"/>
                <w:sz w:val="20"/>
                <w:szCs w:val="20"/>
              </w:rPr>
              <w:t>6,484</w:t>
            </w:r>
          </w:p>
        </w:tc>
        <w:tc>
          <w:tcPr>
            <w:tcW w:w="1080" w:type="dxa"/>
            <w:vAlign w:val="center"/>
          </w:tcPr>
          <w:p w:rsidR="00B85A58" w:rsidRPr="00FC7E1F" w:rsidP="00790B0C" w14:paraId="54ABCA8C" w14:textId="787843B8">
            <w:pPr>
              <w:widowControl/>
              <w:autoSpaceDE/>
              <w:autoSpaceDN/>
              <w:adjustRightInd/>
              <w:jc w:val="center"/>
              <w:rPr>
                <w:rFonts w:eastAsia="Calibri"/>
                <w:sz w:val="20"/>
                <w:szCs w:val="20"/>
              </w:rPr>
            </w:pPr>
            <w:r>
              <w:rPr>
                <w:rFonts w:eastAsia="Calibri"/>
                <w:sz w:val="20"/>
                <w:szCs w:val="20"/>
              </w:rPr>
              <w:t>$748,124</w:t>
            </w:r>
          </w:p>
        </w:tc>
      </w:tr>
    </w:tbl>
    <w:p w:rsidR="00021E16" w:rsidRPr="00140E48" w:rsidP="00140E48" w14:paraId="44088124" w14:textId="77777777">
      <w:pPr>
        <w:pStyle w:val="BodyText"/>
        <w:kinsoku w:val="0"/>
        <w:overflowPunct w:val="0"/>
        <w:ind w:left="0" w:right="40"/>
      </w:pPr>
    </w:p>
    <w:p w:rsidR="0099799E" w:rsidRPr="00140E48" w:rsidP="00140E48" w14:paraId="5913E283" w14:textId="77777777">
      <w:pPr>
        <w:pStyle w:val="BodyText"/>
        <w:kinsoku w:val="0"/>
        <w:overflowPunct w:val="0"/>
        <w:ind w:left="0" w:right="40"/>
      </w:pPr>
    </w:p>
    <w:p w:rsidR="0099799E" w:rsidRPr="00140E48" w:rsidP="00140E48" w14:paraId="6AE58F0F" w14:textId="77777777">
      <w:pPr>
        <w:pStyle w:val="BodyText"/>
        <w:kinsoku w:val="0"/>
        <w:overflowPunct w:val="0"/>
        <w:ind w:left="0" w:right="40"/>
        <w:rPr>
          <w:b/>
          <w:bCs/>
        </w:rPr>
      </w:pPr>
      <w:r w:rsidRPr="00140E48">
        <w:rPr>
          <w:b/>
          <w:bCs/>
        </w:rPr>
        <w:t xml:space="preserve">Submission of </w:t>
      </w:r>
      <w:r w:rsidRPr="00140E48" w:rsidR="009912FD">
        <w:rPr>
          <w:b/>
          <w:bCs/>
        </w:rPr>
        <w:t xml:space="preserve">Consumer Justification Narrative </w:t>
      </w:r>
      <w:r w:rsidRPr="00140E48">
        <w:rPr>
          <w:b/>
          <w:bCs/>
        </w:rPr>
        <w:t>(Part II of Rate Filing Justification)</w:t>
      </w:r>
    </w:p>
    <w:p w:rsidR="0099799E" w:rsidRPr="00140E48" w:rsidP="00140E48" w14:paraId="03AE19A1" w14:textId="77777777">
      <w:pPr>
        <w:pStyle w:val="BodyText"/>
        <w:kinsoku w:val="0"/>
        <w:overflowPunct w:val="0"/>
        <w:ind w:left="0" w:right="40"/>
      </w:pPr>
    </w:p>
    <w:p w:rsidR="0038253B" w:rsidRPr="006E768B" w:rsidP="00140E48" w14:paraId="4919ED9C" w14:textId="72BCC329">
      <w:pPr>
        <w:pStyle w:val="BodyText"/>
        <w:kinsoku w:val="0"/>
        <w:overflowPunct w:val="0"/>
        <w:ind w:left="0" w:right="40"/>
      </w:pPr>
      <w:r w:rsidRPr="00140E48">
        <w:t xml:space="preserve">Based on </w:t>
      </w:r>
      <w:r w:rsidR="00162120">
        <w:t xml:space="preserve">recent </w:t>
      </w:r>
      <w:r w:rsidR="00D2080B">
        <w:t>experience,</w:t>
      </w:r>
      <w:r w:rsidRPr="00140E48" w:rsidR="00D2080B">
        <w:t xml:space="preserve"> we </w:t>
      </w:r>
      <w:r w:rsidRPr="00140E48">
        <w:t xml:space="preserve">estimate that the number of </w:t>
      </w:r>
      <w:r w:rsidRPr="00140E48" w:rsidR="009912FD">
        <w:t>narratives</w:t>
      </w:r>
      <w:r w:rsidRPr="00140E48">
        <w:t xml:space="preserve"> submitted </w:t>
      </w:r>
      <w:r w:rsidRPr="00140E48" w:rsidR="00BE1F27">
        <w:t xml:space="preserve">annually </w:t>
      </w:r>
      <w:r w:rsidRPr="00140E48">
        <w:t xml:space="preserve">will be </w:t>
      </w:r>
      <w:r w:rsidRPr="003433ED" w:rsidR="00A945FD">
        <w:t>174</w:t>
      </w:r>
      <w:r w:rsidRPr="003433ED">
        <w:t xml:space="preserve">. </w:t>
      </w:r>
      <w:r w:rsidRPr="003433ED" w:rsidR="002875EA">
        <w:t>We</w:t>
      </w:r>
      <w:r w:rsidRPr="00140E48" w:rsidR="002875EA">
        <w:t xml:space="preserve"> expect </w:t>
      </w:r>
      <w:r w:rsidR="00A945FD">
        <w:t>165</w:t>
      </w:r>
      <w:r w:rsidRPr="00140E48" w:rsidR="002875EA">
        <w:t xml:space="preserve"> of those to be submitted in </w:t>
      </w:r>
      <w:r w:rsidR="00870947">
        <w:t>S</w:t>
      </w:r>
      <w:r w:rsidRPr="00140E48" w:rsidR="002875EA">
        <w:t xml:space="preserve">tates that have an Effective Rate Review Program </w:t>
      </w:r>
      <w:r w:rsidRPr="00140E48" w:rsidR="00A20CA7">
        <w:t>and</w:t>
      </w:r>
      <w:r w:rsidRPr="00140E48" w:rsidR="002875EA">
        <w:t xml:space="preserve"> use</w:t>
      </w:r>
      <w:r w:rsidRPr="00140E48" w:rsidR="009912FD">
        <w:t xml:space="preserve"> </w:t>
      </w:r>
      <w:r w:rsidRPr="00140E48" w:rsidR="002875EA">
        <w:t xml:space="preserve">SERFF. We expect </w:t>
      </w:r>
      <w:r w:rsidR="006C7474">
        <w:t>9</w:t>
      </w:r>
      <w:r w:rsidRPr="00140E48" w:rsidR="002875EA">
        <w:t xml:space="preserve"> of those to be submitted</w:t>
      </w:r>
      <w:r w:rsidRPr="00140E48" w:rsidR="00A03EED">
        <w:t>, via HIOS,</w:t>
      </w:r>
      <w:r w:rsidRPr="00140E48" w:rsidR="002875EA">
        <w:t xml:space="preserve"> by </w:t>
      </w:r>
      <w:r w:rsidRPr="00140E48" w:rsidR="00EB0667">
        <w:t xml:space="preserve">issuers in </w:t>
      </w:r>
      <w:r w:rsidR="00870947">
        <w:t>S</w:t>
      </w:r>
      <w:r w:rsidRPr="00140E48" w:rsidR="002875EA">
        <w:t xml:space="preserve">tates without an Effective Rate Review Program or </w:t>
      </w:r>
      <w:r w:rsidRPr="00140E48" w:rsidR="00EB0667">
        <w:t xml:space="preserve">in </w:t>
      </w:r>
      <w:r w:rsidR="00870947">
        <w:t>S</w:t>
      </w:r>
      <w:r w:rsidRPr="00140E48" w:rsidR="002875EA">
        <w:t xml:space="preserve">tates that do not use SERFF. </w:t>
      </w:r>
      <w:r w:rsidRPr="00140E48" w:rsidR="00FD7D66">
        <w:t>Issuers that no longer need to submit in</w:t>
      </w:r>
      <w:r w:rsidR="00140E48">
        <w:t>to</w:t>
      </w:r>
      <w:r w:rsidRPr="00140E48" w:rsidR="00FD7D66">
        <w:t xml:space="preserve"> HIOS</w:t>
      </w:r>
      <w:r w:rsidRPr="00140E48" w:rsidR="00393A15">
        <w:t xml:space="preserve"> and only submit into SERFF</w:t>
      </w:r>
      <w:r w:rsidRPr="00140E48" w:rsidR="00FD7D66">
        <w:t xml:space="preserve"> will experience a reduction in </w:t>
      </w:r>
      <w:r w:rsidRPr="006E768B" w:rsidR="00FD7D66">
        <w:t xml:space="preserve">burden of </w:t>
      </w:r>
      <w:r w:rsidRPr="005E5EC6" w:rsidR="00FD7D66">
        <w:t>0.5 hours for each narrative</w:t>
      </w:r>
      <w:r w:rsidRPr="006E768B" w:rsidR="00FD7D66">
        <w:t>.</w:t>
      </w:r>
    </w:p>
    <w:p w:rsidR="0038253B" w:rsidRPr="006E768B" w:rsidP="00140E48" w14:paraId="02BD5563" w14:textId="77777777">
      <w:pPr>
        <w:pStyle w:val="BodyText"/>
        <w:kinsoku w:val="0"/>
        <w:overflowPunct w:val="0"/>
        <w:ind w:left="0" w:right="40"/>
      </w:pPr>
    </w:p>
    <w:p w:rsidR="0038253B" w:rsidRPr="006E768B" w:rsidP="00140E48" w14:paraId="34817708" w14:textId="09926FE1">
      <w:pPr>
        <w:pStyle w:val="BodyText"/>
        <w:kinsoku w:val="0"/>
        <w:overflowPunct w:val="0"/>
        <w:ind w:left="0" w:right="40"/>
      </w:pPr>
      <w:r w:rsidRPr="006E768B">
        <w:t xml:space="preserve">For </w:t>
      </w:r>
      <w:r w:rsidRPr="006E768B" w:rsidR="00393A15">
        <w:t xml:space="preserve">those </w:t>
      </w:r>
      <w:r w:rsidRPr="006E768B">
        <w:t>issuers that will submit only in</w:t>
      </w:r>
      <w:r w:rsidRPr="006E768B" w:rsidR="00393A15">
        <w:t>to</w:t>
      </w:r>
      <w:r w:rsidRPr="006E768B">
        <w:t xml:space="preserve"> SERFF, w</w:t>
      </w:r>
      <w:r w:rsidRPr="006E768B" w:rsidR="0099799E">
        <w:t xml:space="preserve">e estimate that </w:t>
      </w:r>
      <w:r w:rsidRPr="006E768B" w:rsidR="003100E4">
        <w:t xml:space="preserve">it will take an actuary </w:t>
      </w:r>
      <w:r w:rsidRPr="005E5EC6" w:rsidR="0099799E">
        <w:t>1 hour</w:t>
      </w:r>
      <w:r w:rsidRPr="006E768B" w:rsidR="0099799E">
        <w:t xml:space="preserve"> </w:t>
      </w:r>
      <w:r w:rsidRPr="006E768B" w:rsidR="00FD5073">
        <w:t>(at an hourly rate of $1</w:t>
      </w:r>
      <w:r w:rsidRPr="006E768B" w:rsidR="002E4749">
        <w:t>15.38</w:t>
      </w:r>
      <w:r w:rsidRPr="006E768B" w:rsidR="00FD5073">
        <w:t xml:space="preserve">) </w:t>
      </w:r>
      <w:r w:rsidRPr="006E768B" w:rsidR="0099799E">
        <w:t xml:space="preserve">to prepare and </w:t>
      </w:r>
      <w:r w:rsidRPr="006E768B" w:rsidR="00FD7D66">
        <w:t>submit</w:t>
      </w:r>
      <w:r w:rsidRPr="006E768B" w:rsidR="00674B02">
        <w:t xml:space="preserve"> each</w:t>
      </w:r>
      <w:r w:rsidRPr="006E768B" w:rsidR="00D16992">
        <w:t xml:space="preserve"> narrative</w:t>
      </w:r>
      <w:r w:rsidRPr="006E768B" w:rsidR="00A03EED">
        <w:t xml:space="preserve">, with an associated cost of </w:t>
      </w:r>
      <w:r w:rsidRPr="006E768B" w:rsidR="00B41664">
        <w:t xml:space="preserve">approximately </w:t>
      </w:r>
      <w:r w:rsidRPr="006E768B" w:rsidR="00A03EED">
        <w:t>$1</w:t>
      </w:r>
      <w:r w:rsidRPr="006E768B" w:rsidR="002E4749">
        <w:t>15</w:t>
      </w:r>
      <w:r w:rsidRPr="006E768B" w:rsidR="0099799E">
        <w:t xml:space="preserve">. </w:t>
      </w:r>
      <w:r w:rsidRPr="006E768B" w:rsidR="009E55B8">
        <w:t>Therefore, w</w:t>
      </w:r>
      <w:r w:rsidRPr="006E768B" w:rsidR="0099799E">
        <w:t xml:space="preserve">e estimate a total annual burden </w:t>
      </w:r>
      <w:r w:rsidRPr="006E768B" w:rsidR="002875EA">
        <w:t>for</w:t>
      </w:r>
      <w:r w:rsidRPr="006E768B" w:rsidR="00A03EED">
        <w:t xml:space="preserve"> all</w:t>
      </w:r>
      <w:r w:rsidRPr="006E768B" w:rsidR="002875EA">
        <w:t xml:space="preserve"> </w:t>
      </w:r>
      <w:r w:rsidRPr="006E768B" w:rsidR="00971C09">
        <w:t xml:space="preserve">issuers in </w:t>
      </w:r>
      <w:r w:rsidRPr="006E768B" w:rsidR="00870947">
        <w:t>S</w:t>
      </w:r>
      <w:r w:rsidRPr="006E768B" w:rsidR="00971C09">
        <w:t xml:space="preserve">tates </w:t>
      </w:r>
      <w:r w:rsidRPr="006E768B" w:rsidR="009E55B8">
        <w:t xml:space="preserve">that have an Effective Rate Review Program </w:t>
      </w:r>
      <w:r w:rsidRPr="006E768B" w:rsidR="00A20CA7">
        <w:t>and</w:t>
      </w:r>
      <w:r w:rsidRPr="006E768B" w:rsidR="009E55B8">
        <w:t xml:space="preserve"> use SERFF </w:t>
      </w:r>
      <w:r w:rsidRPr="006E768B" w:rsidR="0099799E">
        <w:t xml:space="preserve">to be approximately </w:t>
      </w:r>
      <w:r w:rsidRPr="006E768B" w:rsidR="00A945FD">
        <w:t>165</w:t>
      </w:r>
      <w:r w:rsidRPr="006E768B" w:rsidR="0099799E">
        <w:t xml:space="preserve"> hours with an associated annual cost of approximately</w:t>
      </w:r>
      <w:r w:rsidRPr="006E768B" w:rsidR="009E55B8">
        <w:t xml:space="preserve"> </w:t>
      </w:r>
      <w:r w:rsidRPr="006E768B" w:rsidR="0099799E">
        <w:t>$</w:t>
      </w:r>
      <w:r w:rsidRPr="006E768B" w:rsidR="002875EA">
        <w:t>1</w:t>
      </w:r>
      <w:r w:rsidRPr="006E768B" w:rsidR="002E4749">
        <w:t>9,038</w:t>
      </w:r>
      <w:r w:rsidRPr="006E768B" w:rsidR="002875EA">
        <w:t>.</w:t>
      </w:r>
      <w:bookmarkStart w:id="14" w:name="_Hlk105413400"/>
    </w:p>
    <w:bookmarkEnd w:id="14"/>
    <w:p w:rsidR="0038253B" w:rsidRPr="006E768B" w:rsidP="00140E48" w14:paraId="65C02CFF" w14:textId="77777777">
      <w:pPr>
        <w:pStyle w:val="BodyText"/>
        <w:kinsoku w:val="0"/>
        <w:overflowPunct w:val="0"/>
        <w:ind w:left="0" w:right="40"/>
      </w:pPr>
    </w:p>
    <w:p w:rsidR="0099799E" w:rsidRPr="00140E48" w:rsidP="00140E48" w14:paraId="188B213C" w14:textId="78D677D8">
      <w:pPr>
        <w:pStyle w:val="BodyText"/>
        <w:kinsoku w:val="0"/>
        <w:overflowPunct w:val="0"/>
        <w:ind w:left="0" w:right="40"/>
      </w:pPr>
      <w:r w:rsidRPr="006E768B">
        <w:t xml:space="preserve">For </w:t>
      </w:r>
      <w:r w:rsidRPr="006E768B" w:rsidR="00C83714">
        <w:t xml:space="preserve">issuers that </w:t>
      </w:r>
      <w:r w:rsidRPr="006E768B" w:rsidR="00DB46F4">
        <w:t>must</w:t>
      </w:r>
      <w:r w:rsidRPr="006E768B" w:rsidR="00C83714">
        <w:t xml:space="preserve"> submit </w:t>
      </w:r>
      <w:r w:rsidRPr="006E768B" w:rsidR="00393A15">
        <w:t>the narr</w:t>
      </w:r>
      <w:r w:rsidRPr="006E768B" w:rsidR="00805C0B">
        <w:t>at</w:t>
      </w:r>
      <w:r w:rsidRPr="006E768B" w:rsidR="00DD2728">
        <w:t>i</w:t>
      </w:r>
      <w:r w:rsidRPr="006E768B" w:rsidR="00393A15">
        <w:t>ve</w:t>
      </w:r>
      <w:r w:rsidRPr="006E768B" w:rsidR="00DB46F4">
        <w:t xml:space="preserve"> both to SERFF and</w:t>
      </w:r>
      <w:r w:rsidRPr="006E768B" w:rsidR="00393A15">
        <w:t xml:space="preserve"> </w:t>
      </w:r>
      <w:r w:rsidRPr="006E768B" w:rsidR="0067554A">
        <w:t xml:space="preserve">directly </w:t>
      </w:r>
      <w:r w:rsidRPr="006E768B" w:rsidR="00C83714">
        <w:t>in</w:t>
      </w:r>
      <w:r w:rsidRPr="006E768B" w:rsidR="00393A15">
        <w:t>to</w:t>
      </w:r>
      <w:r w:rsidRPr="006E768B" w:rsidR="00C83714">
        <w:t xml:space="preserve"> HIOS</w:t>
      </w:r>
      <w:r w:rsidRPr="006E768B">
        <w:t xml:space="preserve">, we estimate that an actuary </w:t>
      </w:r>
      <w:r w:rsidRPr="006E768B" w:rsidR="00FD7D66">
        <w:t xml:space="preserve">will </w:t>
      </w:r>
      <w:r w:rsidRPr="006E768B" w:rsidR="00674B02">
        <w:t>require</w:t>
      </w:r>
      <w:r w:rsidRPr="006E768B" w:rsidR="00FD7D66">
        <w:t xml:space="preserve"> </w:t>
      </w:r>
      <w:r w:rsidRPr="005E5EC6" w:rsidR="00FD7D66">
        <w:t>1.5 hours</w:t>
      </w:r>
      <w:r w:rsidRPr="00140E48" w:rsidR="00FD7D66">
        <w:t xml:space="preserve"> </w:t>
      </w:r>
      <w:r w:rsidRPr="00140E48">
        <w:t>(at an hourly rate of $1</w:t>
      </w:r>
      <w:r w:rsidR="002E4749">
        <w:t>15.38</w:t>
      </w:r>
      <w:r w:rsidRPr="00140E48">
        <w:t xml:space="preserve">) to prepare </w:t>
      </w:r>
      <w:r w:rsidRPr="00140E48" w:rsidR="00674B02">
        <w:t>and submit each</w:t>
      </w:r>
      <w:r w:rsidRPr="00140E48" w:rsidR="00D16992">
        <w:t xml:space="preserve"> narrative</w:t>
      </w:r>
      <w:r w:rsidRPr="00140E48">
        <w:t>, with an associated cost of approximately $1</w:t>
      </w:r>
      <w:r w:rsidR="002E4749">
        <w:t>73</w:t>
      </w:r>
      <w:r w:rsidRPr="00140E48">
        <w:t>.</w:t>
      </w:r>
      <w:r w:rsidR="00113F89">
        <w:t xml:space="preserve"> </w:t>
      </w:r>
      <w:r w:rsidRPr="00140E48">
        <w:t xml:space="preserve">The total </w:t>
      </w:r>
      <w:r w:rsidRPr="00140E48" w:rsidR="00A20CA7">
        <w:t xml:space="preserve">annual </w:t>
      </w:r>
      <w:r w:rsidRPr="00140E48">
        <w:t xml:space="preserve">burden for all issuers that will submit the </w:t>
      </w:r>
      <w:r w:rsidRPr="00140E48" w:rsidR="00D16992">
        <w:t xml:space="preserve">narrative </w:t>
      </w:r>
      <w:r w:rsidR="0067554A">
        <w:t xml:space="preserve">directly </w:t>
      </w:r>
      <w:r w:rsidRPr="00140E48">
        <w:t>in</w:t>
      </w:r>
      <w:r w:rsidRPr="00140E48" w:rsidR="00393A15">
        <w:t>to</w:t>
      </w:r>
      <w:r w:rsidRPr="00140E48">
        <w:t xml:space="preserve"> HIOS will be </w:t>
      </w:r>
      <w:r w:rsidR="00A945FD">
        <w:t>13.5</w:t>
      </w:r>
      <w:r w:rsidRPr="00140E48">
        <w:t xml:space="preserve"> hours with an associated </w:t>
      </w:r>
      <w:r w:rsidRPr="00140E48" w:rsidR="00A20CA7">
        <w:t xml:space="preserve">annual </w:t>
      </w:r>
      <w:r w:rsidRPr="00140E48">
        <w:t>cost of approximately $</w:t>
      </w:r>
      <w:r w:rsidR="00A945FD">
        <w:t>1,</w:t>
      </w:r>
      <w:r w:rsidR="002E4749">
        <w:t>558</w:t>
      </w:r>
      <w:r w:rsidRPr="00140E48">
        <w:t>.</w:t>
      </w:r>
    </w:p>
    <w:p w:rsidR="0087171D" w:rsidRPr="00140E48" w:rsidP="00140E48" w14:paraId="2C86B22C" w14:textId="77777777">
      <w:pPr>
        <w:pStyle w:val="BodyText"/>
        <w:kinsoku w:val="0"/>
        <w:overflowPunct w:val="0"/>
        <w:ind w:left="0" w:right="40"/>
      </w:pPr>
    </w:p>
    <w:p w:rsidR="0087171D" w:rsidRPr="00140E48" w:rsidP="00140E48" w14:paraId="466DFE60" w14:textId="0AD6CCD6">
      <w:pPr>
        <w:pStyle w:val="BodyText"/>
        <w:kinsoku w:val="0"/>
        <w:overflowPunct w:val="0"/>
        <w:ind w:left="0" w:right="40"/>
      </w:pPr>
      <w:r w:rsidRPr="00140E48">
        <w:t xml:space="preserve">The total annual burden for all issuers to prepare and submit </w:t>
      </w:r>
      <w:r w:rsidRPr="00140E48" w:rsidR="00D16992">
        <w:t xml:space="preserve">consumer </w:t>
      </w:r>
      <w:r w:rsidRPr="00140E48">
        <w:t>justification</w:t>
      </w:r>
      <w:r w:rsidRPr="00140E48" w:rsidR="00D16992">
        <w:t xml:space="preserve"> narratives</w:t>
      </w:r>
      <w:r w:rsidRPr="00140E48">
        <w:t xml:space="preserve"> will be </w:t>
      </w:r>
      <w:r w:rsidR="004808B7">
        <w:t>178.5</w:t>
      </w:r>
      <w:r w:rsidRPr="00140E48">
        <w:t xml:space="preserve"> hours with an associated total cost of approximately $</w:t>
      </w:r>
      <w:r w:rsidR="002E4749">
        <w:t>20,595</w:t>
      </w:r>
      <w:r w:rsidRPr="00140E48">
        <w:t>.</w:t>
      </w:r>
    </w:p>
    <w:p w:rsidR="00FE2076" w:rsidP="00140E48" w14:paraId="04C49227" w14:textId="77777777">
      <w:pPr>
        <w:pStyle w:val="BodyText"/>
        <w:kinsoku w:val="0"/>
        <w:overflowPunct w:val="0"/>
        <w:ind w:left="0" w:right="40"/>
      </w:pPr>
      <w:bookmarkStart w:id="15" w:name="bookmark0"/>
      <w:bookmarkEnd w:id="15"/>
    </w:p>
    <w:p w:rsidR="00B85A58" w:rsidRPr="00140E48" w:rsidP="00B85A58" w14:paraId="12F10E30" w14:textId="6A3B48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40E48">
        <w:rPr>
          <w:u w:val="single"/>
        </w:rPr>
        <w:t>Table 12.</w:t>
      </w:r>
      <w:r w:rsidR="009051C4">
        <w:rPr>
          <w:u w:val="single"/>
        </w:rPr>
        <w:t>3</w:t>
      </w:r>
      <w:r w:rsidRPr="00140E48">
        <w:rPr>
          <w:u w:val="single"/>
        </w:rPr>
        <w:t xml:space="preserve"> – Estimated Annualized Burden Hours and Costs for </w:t>
      </w:r>
      <w:r>
        <w:rPr>
          <w:u w:val="single"/>
        </w:rPr>
        <w:t>Submission of Consumer Justification Narrative</w:t>
      </w:r>
      <w:r w:rsidR="009051C4">
        <w:rPr>
          <w:u w:val="single"/>
        </w:rPr>
        <w:t>s</w:t>
      </w:r>
    </w:p>
    <w:p w:rsidR="00B85A58" w:rsidRPr="00140E48" w:rsidP="00B85A58" w14:paraId="44B9F8BE" w14:textId="77777777">
      <w:pPr>
        <w:pStyle w:val="BodyText"/>
        <w:kinsoku w:val="0"/>
        <w:overflowPunct w:val="0"/>
        <w:ind w:left="0"/>
      </w:pPr>
    </w:p>
    <w:tbl>
      <w:tblPr>
        <w:tblW w:w="7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1090"/>
        <w:gridCol w:w="1080"/>
        <w:gridCol w:w="1170"/>
        <w:gridCol w:w="1080"/>
        <w:gridCol w:w="1170"/>
        <w:gridCol w:w="1080"/>
      </w:tblGrid>
      <w:tr w14:paraId="618AF973" w14:textId="77777777" w:rsidTr="000A46A6">
        <w:tblPrEx>
          <w:tblW w:w="7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32"/>
          <w:tblHeader/>
          <w:jc w:val="center"/>
        </w:trPr>
        <w:tc>
          <w:tcPr>
            <w:tcW w:w="1075" w:type="dxa"/>
            <w:vAlign w:val="bottom"/>
            <w:hideMark/>
          </w:tcPr>
          <w:p w:rsidR="00B85A58" w:rsidRPr="00FC7E1F" w:rsidP="00790B0C" w14:paraId="2D88586E" w14:textId="77777777">
            <w:pPr>
              <w:widowControl/>
              <w:autoSpaceDE/>
              <w:autoSpaceDN/>
              <w:adjustRightInd/>
              <w:jc w:val="center"/>
              <w:rPr>
                <w:rFonts w:eastAsia="Calibri"/>
                <w:b/>
                <w:bCs/>
                <w:sz w:val="18"/>
                <w:szCs w:val="18"/>
              </w:rPr>
            </w:pPr>
          </w:p>
        </w:tc>
        <w:tc>
          <w:tcPr>
            <w:tcW w:w="1090" w:type="dxa"/>
            <w:vAlign w:val="center"/>
            <w:hideMark/>
          </w:tcPr>
          <w:p w:rsidR="00B85A58" w:rsidRPr="00FC7E1F" w:rsidP="009051C4" w14:paraId="62B551C5" w14:textId="5B0461AA">
            <w:pPr>
              <w:widowControl/>
              <w:autoSpaceDE/>
              <w:autoSpaceDN/>
              <w:adjustRightInd/>
              <w:jc w:val="center"/>
              <w:rPr>
                <w:rFonts w:eastAsia="Calibri"/>
                <w:b/>
                <w:bCs/>
                <w:sz w:val="18"/>
                <w:szCs w:val="18"/>
              </w:rPr>
            </w:pPr>
            <w:r w:rsidRPr="00FC7E1F">
              <w:rPr>
                <w:rFonts w:eastAsia="Calibri"/>
                <w:b/>
                <w:bCs/>
                <w:sz w:val="18"/>
                <w:szCs w:val="18"/>
              </w:rPr>
              <w:t xml:space="preserve">Number of </w:t>
            </w:r>
            <w:r w:rsidR="009051C4">
              <w:rPr>
                <w:rFonts w:eastAsia="Calibri"/>
                <w:b/>
                <w:bCs/>
                <w:sz w:val="18"/>
                <w:szCs w:val="18"/>
              </w:rPr>
              <w:t>Narratives</w:t>
            </w:r>
          </w:p>
        </w:tc>
        <w:tc>
          <w:tcPr>
            <w:tcW w:w="1080" w:type="dxa"/>
            <w:vAlign w:val="center"/>
          </w:tcPr>
          <w:p w:rsidR="00B85A58" w:rsidRPr="00FC7E1F" w:rsidP="009051C4" w14:paraId="610EDC4A" w14:textId="34A2F8C5">
            <w:pPr>
              <w:widowControl/>
              <w:autoSpaceDE/>
              <w:autoSpaceDN/>
              <w:adjustRightInd/>
              <w:jc w:val="center"/>
              <w:rPr>
                <w:rFonts w:eastAsia="Calibri"/>
                <w:b/>
                <w:bCs/>
                <w:sz w:val="18"/>
                <w:szCs w:val="18"/>
              </w:rPr>
            </w:pPr>
            <w:r>
              <w:rPr>
                <w:rFonts w:eastAsia="Calibri"/>
                <w:b/>
                <w:bCs/>
                <w:sz w:val="18"/>
                <w:szCs w:val="18"/>
              </w:rPr>
              <w:t xml:space="preserve">Burden per </w:t>
            </w:r>
            <w:r w:rsidR="009051C4">
              <w:rPr>
                <w:rFonts w:eastAsia="Calibri"/>
                <w:b/>
                <w:bCs/>
                <w:sz w:val="18"/>
                <w:szCs w:val="18"/>
              </w:rPr>
              <w:t>Narrative</w:t>
            </w:r>
          </w:p>
        </w:tc>
        <w:tc>
          <w:tcPr>
            <w:tcW w:w="1170" w:type="dxa"/>
            <w:vAlign w:val="center"/>
          </w:tcPr>
          <w:p w:rsidR="00B85A58" w:rsidRPr="00FC7E1F" w:rsidP="009051C4" w14:paraId="1225E80A" w14:textId="77777777">
            <w:pPr>
              <w:widowControl/>
              <w:autoSpaceDE/>
              <w:autoSpaceDN/>
              <w:adjustRightInd/>
              <w:jc w:val="center"/>
              <w:rPr>
                <w:rFonts w:eastAsia="Calibri"/>
                <w:b/>
                <w:bCs/>
                <w:sz w:val="18"/>
                <w:szCs w:val="18"/>
              </w:rPr>
            </w:pPr>
            <w:r>
              <w:rPr>
                <w:rFonts w:eastAsia="Calibri"/>
                <w:b/>
                <w:bCs/>
                <w:sz w:val="18"/>
                <w:szCs w:val="18"/>
              </w:rPr>
              <w:t>Cost per Hour</w:t>
            </w:r>
          </w:p>
        </w:tc>
        <w:tc>
          <w:tcPr>
            <w:tcW w:w="1080" w:type="dxa"/>
            <w:vAlign w:val="center"/>
          </w:tcPr>
          <w:p w:rsidR="00B85A58" w:rsidRPr="00FC7E1F" w:rsidP="009051C4" w14:paraId="5343835A" w14:textId="142FD5FA">
            <w:pPr>
              <w:widowControl/>
              <w:autoSpaceDE/>
              <w:autoSpaceDN/>
              <w:adjustRightInd/>
              <w:jc w:val="center"/>
              <w:rPr>
                <w:rFonts w:eastAsia="Calibri"/>
                <w:b/>
                <w:bCs/>
                <w:sz w:val="18"/>
                <w:szCs w:val="18"/>
              </w:rPr>
            </w:pPr>
            <w:r>
              <w:rPr>
                <w:rFonts w:eastAsia="Calibri"/>
                <w:b/>
                <w:bCs/>
                <w:sz w:val="18"/>
                <w:szCs w:val="18"/>
              </w:rPr>
              <w:t xml:space="preserve">Cost per </w:t>
            </w:r>
            <w:r w:rsidR="009051C4">
              <w:rPr>
                <w:rFonts w:eastAsia="Calibri"/>
                <w:b/>
                <w:bCs/>
                <w:sz w:val="18"/>
                <w:szCs w:val="18"/>
              </w:rPr>
              <w:t>Narrative</w:t>
            </w:r>
          </w:p>
        </w:tc>
        <w:tc>
          <w:tcPr>
            <w:tcW w:w="1170" w:type="dxa"/>
            <w:vAlign w:val="center"/>
          </w:tcPr>
          <w:p w:rsidR="00B85A58" w:rsidRPr="00FC7E1F" w:rsidP="005E5EC6" w14:paraId="6012E49E" w14:textId="77777777">
            <w:pPr>
              <w:widowControl/>
              <w:autoSpaceDE/>
              <w:autoSpaceDN/>
              <w:adjustRightInd/>
              <w:jc w:val="center"/>
              <w:rPr>
                <w:rFonts w:eastAsia="Calibri"/>
                <w:b/>
                <w:bCs/>
                <w:sz w:val="18"/>
                <w:szCs w:val="18"/>
              </w:rPr>
            </w:pPr>
            <w:r>
              <w:rPr>
                <w:rFonts w:eastAsia="Calibri"/>
                <w:b/>
                <w:bCs/>
                <w:sz w:val="18"/>
                <w:szCs w:val="18"/>
              </w:rPr>
              <w:t>Total Burden</w:t>
            </w:r>
          </w:p>
        </w:tc>
        <w:tc>
          <w:tcPr>
            <w:tcW w:w="1080" w:type="dxa"/>
            <w:vAlign w:val="center"/>
          </w:tcPr>
          <w:p w:rsidR="00B85A58" w:rsidRPr="00FC7E1F" w:rsidP="009051C4" w14:paraId="4FD961D5" w14:textId="77777777">
            <w:pPr>
              <w:widowControl/>
              <w:autoSpaceDE/>
              <w:autoSpaceDN/>
              <w:adjustRightInd/>
              <w:jc w:val="center"/>
              <w:rPr>
                <w:rFonts w:eastAsia="Calibri"/>
                <w:b/>
                <w:bCs/>
                <w:sz w:val="18"/>
                <w:szCs w:val="18"/>
              </w:rPr>
            </w:pPr>
            <w:r>
              <w:rPr>
                <w:rFonts w:eastAsia="Calibri"/>
                <w:b/>
                <w:bCs/>
                <w:sz w:val="18"/>
                <w:szCs w:val="18"/>
              </w:rPr>
              <w:t>Total Cost</w:t>
            </w:r>
          </w:p>
        </w:tc>
      </w:tr>
      <w:tr w14:paraId="7B59634B" w14:textId="77777777" w:rsidTr="000A46A6">
        <w:tblPrEx>
          <w:tblW w:w="7745" w:type="dxa"/>
          <w:jc w:val="center"/>
          <w:tblLayout w:type="fixed"/>
          <w:tblLook w:val="04A0"/>
        </w:tblPrEx>
        <w:trPr>
          <w:trHeight w:val="797"/>
          <w:jc w:val="center"/>
        </w:trPr>
        <w:tc>
          <w:tcPr>
            <w:tcW w:w="1075" w:type="dxa"/>
            <w:noWrap/>
            <w:vAlign w:val="center"/>
          </w:tcPr>
          <w:p w:rsidR="00CE4300" w:rsidRPr="00FC7E1F" w:rsidP="009051C4" w14:paraId="2B909F26" w14:textId="41B6DDE1">
            <w:pPr>
              <w:widowControl/>
              <w:autoSpaceDE/>
              <w:autoSpaceDN/>
              <w:adjustRightInd/>
              <w:rPr>
                <w:rFonts w:eastAsia="Calibri"/>
                <w:b/>
                <w:bCs/>
                <w:sz w:val="20"/>
                <w:szCs w:val="20"/>
              </w:rPr>
            </w:pPr>
            <w:r w:rsidRPr="00074E3D">
              <w:rPr>
                <w:rFonts w:eastAsia="Calibri"/>
                <w:b/>
                <w:bCs/>
                <w:sz w:val="20"/>
                <w:szCs w:val="20"/>
              </w:rPr>
              <w:t>SERFF only</w:t>
            </w:r>
          </w:p>
        </w:tc>
        <w:tc>
          <w:tcPr>
            <w:tcW w:w="1090" w:type="dxa"/>
            <w:noWrap/>
            <w:vAlign w:val="center"/>
          </w:tcPr>
          <w:p w:rsidR="00CE4300" w:rsidRPr="00FC7E1F" w:rsidP="00CE4300" w14:paraId="66363DA2" w14:textId="185C7F95">
            <w:pPr>
              <w:widowControl/>
              <w:autoSpaceDE/>
              <w:autoSpaceDN/>
              <w:adjustRightInd/>
              <w:jc w:val="center"/>
              <w:rPr>
                <w:rFonts w:eastAsia="Calibri"/>
                <w:sz w:val="20"/>
                <w:szCs w:val="20"/>
              </w:rPr>
            </w:pPr>
            <w:r>
              <w:rPr>
                <w:rFonts w:eastAsia="Calibri"/>
                <w:sz w:val="20"/>
                <w:szCs w:val="20"/>
              </w:rPr>
              <w:t>165</w:t>
            </w:r>
          </w:p>
        </w:tc>
        <w:tc>
          <w:tcPr>
            <w:tcW w:w="1080" w:type="dxa"/>
            <w:vAlign w:val="center"/>
          </w:tcPr>
          <w:p w:rsidR="00CE4300" w:rsidRPr="005E5EC6" w:rsidP="00CE4300" w14:paraId="49E75EF8" w14:textId="4F330DCE">
            <w:pPr>
              <w:widowControl/>
              <w:autoSpaceDE/>
              <w:autoSpaceDN/>
              <w:adjustRightInd/>
              <w:jc w:val="center"/>
              <w:rPr>
                <w:rFonts w:eastAsia="Calibri"/>
                <w:sz w:val="20"/>
                <w:szCs w:val="20"/>
              </w:rPr>
            </w:pPr>
            <w:r w:rsidRPr="005E5EC6">
              <w:rPr>
                <w:rFonts w:eastAsia="Calibri"/>
                <w:sz w:val="20"/>
                <w:szCs w:val="20"/>
              </w:rPr>
              <w:t>1</w:t>
            </w:r>
          </w:p>
        </w:tc>
        <w:tc>
          <w:tcPr>
            <w:tcW w:w="1170" w:type="dxa"/>
            <w:vAlign w:val="center"/>
          </w:tcPr>
          <w:p w:rsidR="00CE4300" w:rsidRPr="00FC7E1F" w:rsidP="00CE4300" w14:paraId="4C33383E" w14:textId="7C9FCC37">
            <w:pPr>
              <w:widowControl/>
              <w:autoSpaceDE/>
              <w:autoSpaceDN/>
              <w:adjustRightInd/>
              <w:jc w:val="center"/>
              <w:rPr>
                <w:rFonts w:eastAsia="Calibri"/>
                <w:sz w:val="20"/>
                <w:szCs w:val="20"/>
              </w:rPr>
            </w:pPr>
            <w:r>
              <w:rPr>
                <w:rFonts w:eastAsia="Calibri"/>
                <w:sz w:val="20"/>
                <w:szCs w:val="20"/>
              </w:rPr>
              <w:t>$115.38</w:t>
            </w:r>
          </w:p>
        </w:tc>
        <w:tc>
          <w:tcPr>
            <w:tcW w:w="1080" w:type="dxa"/>
            <w:noWrap/>
            <w:vAlign w:val="center"/>
          </w:tcPr>
          <w:p w:rsidR="00CE4300" w:rsidRPr="00FC7E1F" w:rsidP="00CE4300" w14:paraId="64018ECB" w14:textId="56E2E30F">
            <w:pPr>
              <w:widowControl/>
              <w:autoSpaceDE/>
              <w:autoSpaceDN/>
              <w:adjustRightInd/>
              <w:jc w:val="center"/>
              <w:rPr>
                <w:rFonts w:eastAsia="Calibri"/>
                <w:sz w:val="20"/>
                <w:szCs w:val="20"/>
              </w:rPr>
            </w:pPr>
            <w:r>
              <w:rPr>
                <w:rFonts w:eastAsia="Calibri"/>
                <w:sz w:val="20"/>
                <w:szCs w:val="20"/>
              </w:rPr>
              <w:t>$115</w:t>
            </w:r>
          </w:p>
        </w:tc>
        <w:tc>
          <w:tcPr>
            <w:tcW w:w="1170" w:type="dxa"/>
            <w:vAlign w:val="center"/>
          </w:tcPr>
          <w:p w:rsidR="00CE4300" w:rsidRPr="00FC7E1F" w:rsidP="00CE4300" w14:paraId="2ACFEDA5" w14:textId="17DF394D">
            <w:pPr>
              <w:widowControl/>
              <w:autoSpaceDE/>
              <w:autoSpaceDN/>
              <w:adjustRightInd/>
              <w:jc w:val="center"/>
              <w:rPr>
                <w:rFonts w:eastAsia="Calibri"/>
                <w:sz w:val="20"/>
                <w:szCs w:val="20"/>
              </w:rPr>
            </w:pPr>
            <w:r>
              <w:rPr>
                <w:rFonts w:eastAsia="Calibri"/>
                <w:sz w:val="20"/>
                <w:szCs w:val="20"/>
              </w:rPr>
              <w:t>165</w:t>
            </w:r>
          </w:p>
        </w:tc>
        <w:tc>
          <w:tcPr>
            <w:tcW w:w="1080" w:type="dxa"/>
            <w:vAlign w:val="center"/>
          </w:tcPr>
          <w:p w:rsidR="00CE4300" w:rsidRPr="00FC7E1F" w:rsidP="00CE4300" w14:paraId="05DC9C00" w14:textId="24825782">
            <w:pPr>
              <w:widowControl/>
              <w:autoSpaceDE/>
              <w:autoSpaceDN/>
              <w:adjustRightInd/>
              <w:jc w:val="center"/>
              <w:rPr>
                <w:rFonts w:eastAsia="Calibri"/>
                <w:sz w:val="20"/>
                <w:szCs w:val="20"/>
              </w:rPr>
            </w:pPr>
            <w:r>
              <w:rPr>
                <w:rFonts w:eastAsia="Calibri"/>
                <w:sz w:val="20"/>
                <w:szCs w:val="20"/>
              </w:rPr>
              <w:t>$19,038</w:t>
            </w:r>
          </w:p>
        </w:tc>
      </w:tr>
      <w:tr w14:paraId="36D227DE" w14:textId="77777777" w:rsidTr="000A46A6">
        <w:tblPrEx>
          <w:tblW w:w="7745" w:type="dxa"/>
          <w:jc w:val="center"/>
          <w:tblLayout w:type="fixed"/>
          <w:tblLook w:val="04A0"/>
        </w:tblPrEx>
        <w:trPr>
          <w:trHeight w:val="282"/>
          <w:jc w:val="center"/>
        </w:trPr>
        <w:tc>
          <w:tcPr>
            <w:tcW w:w="1075" w:type="dxa"/>
            <w:noWrap/>
            <w:vAlign w:val="center"/>
          </w:tcPr>
          <w:p w:rsidR="00CE4300" w:rsidRPr="00FC7E1F" w:rsidP="009051C4" w14:paraId="2F433666" w14:textId="1F6AD1AA">
            <w:pPr>
              <w:widowControl/>
              <w:autoSpaceDE/>
              <w:autoSpaceDN/>
              <w:adjustRightInd/>
              <w:rPr>
                <w:rFonts w:eastAsia="Calibri"/>
                <w:b/>
                <w:bCs/>
                <w:sz w:val="20"/>
                <w:szCs w:val="20"/>
              </w:rPr>
            </w:pPr>
            <w:r w:rsidRPr="00074E3D">
              <w:rPr>
                <w:rFonts w:eastAsia="Calibri"/>
                <w:b/>
                <w:bCs/>
                <w:sz w:val="20"/>
                <w:szCs w:val="20"/>
              </w:rPr>
              <w:t>State + HIOS</w:t>
            </w:r>
          </w:p>
        </w:tc>
        <w:tc>
          <w:tcPr>
            <w:tcW w:w="1090" w:type="dxa"/>
            <w:noWrap/>
            <w:vAlign w:val="center"/>
          </w:tcPr>
          <w:p w:rsidR="00CE4300" w:rsidRPr="00FC7E1F" w:rsidP="00CE4300" w14:paraId="408AAE29" w14:textId="446BE074">
            <w:pPr>
              <w:widowControl/>
              <w:autoSpaceDE/>
              <w:autoSpaceDN/>
              <w:adjustRightInd/>
              <w:jc w:val="center"/>
              <w:rPr>
                <w:rFonts w:eastAsia="Calibri"/>
                <w:sz w:val="20"/>
                <w:szCs w:val="20"/>
              </w:rPr>
            </w:pPr>
            <w:r>
              <w:rPr>
                <w:rFonts w:eastAsia="Calibri"/>
                <w:sz w:val="20"/>
                <w:szCs w:val="20"/>
              </w:rPr>
              <w:t>9</w:t>
            </w:r>
          </w:p>
        </w:tc>
        <w:tc>
          <w:tcPr>
            <w:tcW w:w="1080" w:type="dxa"/>
            <w:vAlign w:val="center"/>
          </w:tcPr>
          <w:p w:rsidR="00CE4300" w:rsidRPr="005E5EC6" w:rsidP="00CE4300" w14:paraId="23484332" w14:textId="6CA9FA1D">
            <w:pPr>
              <w:widowControl/>
              <w:autoSpaceDE/>
              <w:autoSpaceDN/>
              <w:adjustRightInd/>
              <w:jc w:val="center"/>
              <w:rPr>
                <w:rFonts w:eastAsia="Calibri"/>
                <w:sz w:val="20"/>
                <w:szCs w:val="20"/>
              </w:rPr>
            </w:pPr>
            <w:r w:rsidRPr="005E5EC6">
              <w:rPr>
                <w:rFonts w:eastAsia="Calibri"/>
                <w:sz w:val="20"/>
                <w:szCs w:val="20"/>
              </w:rPr>
              <w:t>1.5</w:t>
            </w:r>
          </w:p>
        </w:tc>
        <w:tc>
          <w:tcPr>
            <w:tcW w:w="1170" w:type="dxa"/>
            <w:vAlign w:val="center"/>
          </w:tcPr>
          <w:p w:rsidR="00CE4300" w:rsidRPr="00FC7E1F" w:rsidP="00CE4300" w14:paraId="2646A903" w14:textId="196A6679">
            <w:pPr>
              <w:widowControl/>
              <w:autoSpaceDE/>
              <w:autoSpaceDN/>
              <w:adjustRightInd/>
              <w:jc w:val="center"/>
              <w:rPr>
                <w:rFonts w:eastAsia="Calibri"/>
                <w:sz w:val="20"/>
                <w:szCs w:val="20"/>
              </w:rPr>
            </w:pPr>
            <w:r>
              <w:rPr>
                <w:rFonts w:eastAsia="Calibri"/>
                <w:sz w:val="20"/>
                <w:szCs w:val="20"/>
              </w:rPr>
              <w:t>$115.38</w:t>
            </w:r>
          </w:p>
        </w:tc>
        <w:tc>
          <w:tcPr>
            <w:tcW w:w="1080" w:type="dxa"/>
            <w:noWrap/>
            <w:vAlign w:val="center"/>
          </w:tcPr>
          <w:p w:rsidR="00CE4300" w:rsidRPr="00FC7E1F" w:rsidP="00CE4300" w14:paraId="7FCE9561" w14:textId="2CB08137">
            <w:pPr>
              <w:widowControl/>
              <w:autoSpaceDE/>
              <w:autoSpaceDN/>
              <w:adjustRightInd/>
              <w:jc w:val="center"/>
              <w:rPr>
                <w:rFonts w:eastAsia="Calibri"/>
                <w:sz w:val="20"/>
                <w:szCs w:val="20"/>
              </w:rPr>
            </w:pPr>
            <w:r>
              <w:rPr>
                <w:rFonts w:eastAsia="Calibri"/>
                <w:sz w:val="20"/>
                <w:szCs w:val="20"/>
              </w:rPr>
              <w:t>$173</w:t>
            </w:r>
          </w:p>
        </w:tc>
        <w:tc>
          <w:tcPr>
            <w:tcW w:w="1170" w:type="dxa"/>
            <w:vAlign w:val="center"/>
          </w:tcPr>
          <w:p w:rsidR="00CE4300" w:rsidRPr="00FC7E1F" w:rsidP="00CE4300" w14:paraId="33459A68" w14:textId="02B8D64D">
            <w:pPr>
              <w:widowControl/>
              <w:autoSpaceDE/>
              <w:autoSpaceDN/>
              <w:adjustRightInd/>
              <w:jc w:val="center"/>
              <w:rPr>
                <w:rFonts w:eastAsia="Calibri"/>
                <w:sz w:val="20"/>
                <w:szCs w:val="20"/>
              </w:rPr>
            </w:pPr>
            <w:r>
              <w:rPr>
                <w:rFonts w:eastAsia="Calibri"/>
                <w:sz w:val="20"/>
                <w:szCs w:val="20"/>
              </w:rPr>
              <w:t>13.5</w:t>
            </w:r>
          </w:p>
        </w:tc>
        <w:tc>
          <w:tcPr>
            <w:tcW w:w="1080" w:type="dxa"/>
            <w:vAlign w:val="center"/>
          </w:tcPr>
          <w:p w:rsidR="00CE4300" w:rsidRPr="00FC7E1F" w:rsidP="00CE4300" w14:paraId="10415E7A" w14:textId="17CB987F">
            <w:pPr>
              <w:widowControl/>
              <w:autoSpaceDE/>
              <w:autoSpaceDN/>
              <w:adjustRightInd/>
              <w:jc w:val="center"/>
              <w:rPr>
                <w:rFonts w:eastAsia="Calibri"/>
                <w:sz w:val="20"/>
                <w:szCs w:val="20"/>
              </w:rPr>
            </w:pPr>
            <w:r>
              <w:rPr>
                <w:rFonts w:eastAsia="Calibri"/>
                <w:sz w:val="20"/>
                <w:szCs w:val="20"/>
              </w:rPr>
              <w:t>$1,558</w:t>
            </w:r>
          </w:p>
        </w:tc>
      </w:tr>
      <w:tr w14:paraId="5E06DB58" w14:textId="77777777" w:rsidTr="000A46A6">
        <w:tblPrEx>
          <w:tblW w:w="7745" w:type="dxa"/>
          <w:jc w:val="center"/>
          <w:tblLayout w:type="fixed"/>
          <w:tblLook w:val="04A0"/>
        </w:tblPrEx>
        <w:trPr>
          <w:trHeight w:val="377"/>
          <w:jc w:val="center"/>
        </w:trPr>
        <w:tc>
          <w:tcPr>
            <w:tcW w:w="1075" w:type="dxa"/>
            <w:noWrap/>
            <w:vAlign w:val="center"/>
          </w:tcPr>
          <w:p w:rsidR="00CE4300" w:rsidRPr="00FC7E1F" w:rsidP="009051C4" w14:paraId="3750364F" w14:textId="77777777">
            <w:pPr>
              <w:widowControl/>
              <w:autoSpaceDE/>
              <w:autoSpaceDN/>
              <w:adjustRightInd/>
              <w:rPr>
                <w:rFonts w:eastAsia="Calibri"/>
                <w:b/>
                <w:bCs/>
                <w:sz w:val="20"/>
                <w:szCs w:val="20"/>
              </w:rPr>
            </w:pPr>
            <w:r w:rsidRPr="00FC7E1F">
              <w:rPr>
                <w:rFonts w:eastAsia="Calibri"/>
                <w:b/>
                <w:bCs/>
                <w:sz w:val="20"/>
                <w:szCs w:val="20"/>
              </w:rPr>
              <w:t>Total</w:t>
            </w:r>
          </w:p>
        </w:tc>
        <w:tc>
          <w:tcPr>
            <w:tcW w:w="1090" w:type="dxa"/>
            <w:noWrap/>
            <w:vAlign w:val="center"/>
          </w:tcPr>
          <w:p w:rsidR="00CE4300" w:rsidRPr="00872666" w:rsidP="00CE4300" w14:paraId="1B403331" w14:textId="6792A870">
            <w:pPr>
              <w:widowControl/>
              <w:autoSpaceDE/>
              <w:autoSpaceDN/>
              <w:adjustRightInd/>
              <w:jc w:val="center"/>
              <w:rPr>
                <w:rFonts w:eastAsia="Calibri"/>
                <w:sz w:val="20"/>
                <w:szCs w:val="20"/>
              </w:rPr>
            </w:pPr>
            <w:r>
              <w:rPr>
                <w:rFonts w:eastAsia="Calibri"/>
                <w:sz w:val="20"/>
                <w:szCs w:val="20"/>
              </w:rPr>
              <w:t>174</w:t>
            </w:r>
          </w:p>
        </w:tc>
        <w:tc>
          <w:tcPr>
            <w:tcW w:w="1080" w:type="dxa"/>
            <w:vAlign w:val="center"/>
          </w:tcPr>
          <w:p w:rsidR="00CE4300" w:rsidRPr="00872666" w:rsidP="00CE4300" w14:paraId="08F8A503" w14:textId="77777777">
            <w:pPr>
              <w:widowControl/>
              <w:autoSpaceDE/>
              <w:autoSpaceDN/>
              <w:adjustRightInd/>
              <w:jc w:val="center"/>
              <w:rPr>
                <w:rFonts w:eastAsia="Calibri"/>
                <w:sz w:val="20"/>
                <w:szCs w:val="20"/>
              </w:rPr>
            </w:pPr>
          </w:p>
        </w:tc>
        <w:tc>
          <w:tcPr>
            <w:tcW w:w="1170" w:type="dxa"/>
            <w:vAlign w:val="center"/>
          </w:tcPr>
          <w:p w:rsidR="00CE4300" w:rsidRPr="00872666" w:rsidP="00CE4300" w14:paraId="45DF1F22" w14:textId="77777777">
            <w:pPr>
              <w:widowControl/>
              <w:autoSpaceDE/>
              <w:autoSpaceDN/>
              <w:adjustRightInd/>
              <w:jc w:val="center"/>
              <w:rPr>
                <w:rFonts w:eastAsia="Calibri"/>
                <w:sz w:val="20"/>
                <w:szCs w:val="20"/>
              </w:rPr>
            </w:pPr>
          </w:p>
        </w:tc>
        <w:tc>
          <w:tcPr>
            <w:tcW w:w="1080" w:type="dxa"/>
            <w:noWrap/>
            <w:vAlign w:val="center"/>
          </w:tcPr>
          <w:p w:rsidR="00CE4300" w:rsidRPr="00872666" w:rsidP="00CE4300" w14:paraId="1BBA3A4A" w14:textId="77777777">
            <w:pPr>
              <w:widowControl/>
              <w:autoSpaceDE/>
              <w:autoSpaceDN/>
              <w:adjustRightInd/>
              <w:jc w:val="center"/>
              <w:rPr>
                <w:rFonts w:eastAsia="Calibri"/>
                <w:sz w:val="20"/>
                <w:szCs w:val="20"/>
              </w:rPr>
            </w:pPr>
          </w:p>
        </w:tc>
        <w:tc>
          <w:tcPr>
            <w:tcW w:w="1170" w:type="dxa"/>
            <w:vAlign w:val="center"/>
          </w:tcPr>
          <w:p w:rsidR="00CE4300" w:rsidRPr="00872666" w:rsidP="00CE4300" w14:paraId="525AE1AD" w14:textId="025ABADA">
            <w:pPr>
              <w:widowControl/>
              <w:autoSpaceDE/>
              <w:autoSpaceDN/>
              <w:adjustRightInd/>
              <w:jc w:val="center"/>
              <w:rPr>
                <w:rFonts w:eastAsia="Calibri"/>
                <w:sz w:val="20"/>
                <w:szCs w:val="20"/>
              </w:rPr>
            </w:pPr>
            <w:r>
              <w:rPr>
                <w:rFonts w:eastAsia="Calibri"/>
                <w:sz w:val="20"/>
                <w:szCs w:val="20"/>
              </w:rPr>
              <w:t>178.5</w:t>
            </w:r>
          </w:p>
        </w:tc>
        <w:tc>
          <w:tcPr>
            <w:tcW w:w="1080" w:type="dxa"/>
            <w:vAlign w:val="center"/>
          </w:tcPr>
          <w:p w:rsidR="00CE4300" w:rsidRPr="00FC7E1F" w:rsidP="00CE4300" w14:paraId="03909DEA" w14:textId="69FA9241">
            <w:pPr>
              <w:widowControl/>
              <w:autoSpaceDE/>
              <w:autoSpaceDN/>
              <w:adjustRightInd/>
              <w:jc w:val="center"/>
              <w:rPr>
                <w:rFonts w:eastAsia="Calibri"/>
                <w:sz w:val="20"/>
                <w:szCs w:val="20"/>
              </w:rPr>
            </w:pPr>
            <w:r>
              <w:rPr>
                <w:rFonts w:eastAsia="Calibri"/>
                <w:sz w:val="20"/>
                <w:szCs w:val="20"/>
              </w:rPr>
              <w:t>$20,595</w:t>
            </w:r>
          </w:p>
        </w:tc>
      </w:tr>
    </w:tbl>
    <w:p w:rsidR="00B85A58" w:rsidP="00140E48" w14:paraId="0C76EE0E" w14:textId="77777777">
      <w:pPr>
        <w:pStyle w:val="BodyText"/>
        <w:kinsoku w:val="0"/>
        <w:overflowPunct w:val="0"/>
        <w:ind w:left="0" w:right="40"/>
      </w:pPr>
    </w:p>
    <w:p w:rsidR="00B85A58" w:rsidRPr="00140E48" w:rsidP="00140E48" w14:paraId="47A36ED2" w14:textId="77777777">
      <w:pPr>
        <w:pStyle w:val="BodyText"/>
        <w:kinsoku w:val="0"/>
        <w:overflowPunct w:val="0"/>
        <w:ind w:left="0" w:right="40"/>
      </w:pPr>
    </w:p>
    <w:p w:rsidR="009E55B8" w:rsidRPr="00140E48" w:rsidP="00140E48" w14:paraId="04279D84" w14:textId="77777777">
      <w:pPr>
        <w:pStyle w:val="BodyText"/>
        <w:kinsoku w:val="0"/>
        <w:overflowPunct w:val="0"/>
        <w:ind w:left="0" w:right="1563"/>
        <w:rPr>
          <w:b/>
          <w:bCs/>
        </w:rPr>
      </w:pPr>
      <w:r w:rsidRPr="00140E48">
        <w:rPr>
          <w:b/>
          <w:bCs/>
        </w:rPr>
        <w:t>Submission of Actuarial Memorandum (Part III of Rate Filing Justification)</w:t>
      </w:r>
    </w:p>
    <w:p w:rsidR="009E55B8" w:rsidRPr="00140E48" w:rsidP="00140E48" w14:paraId="7ED27F08" w14:textId="77777777">
      <w:pPr>
        <w:pStyle w:val="BodyText"/>
        <w:kinsoku w:val="0"/>
        <w:overflowPunct w:val="0"/>
        <w:ind w:left="0" w:right="1570"/>
        <w:rPr>
          <w:b/>
        </w:rPr>
      </w:pPr>
    </w:p>
    <w:p w:rsidR="003100E4" w:rsidRPr="00140E48" w:rsidP="00140E48" w14:paraId="6C604AF1" w14:textId="18A66963">
      <w:pPr>
        <w:pStyle w:val="BodyText"/>
        <w:kinsoku w:val="0"/>
        <w:overflowPunct w:val="0"/>
        <w:ind w:left="0"/>
      </w:pPr>
      <w:r w:rsidRPr="00140E48">
        <w:t xml:space="preserve">Based on </w:t>
      </w:r>
      <w:r w:rsidR="00247764">
        <w:t xml:space="preserve">recent </w:t>
      </w:r>
      <w:r w:rsidR="00D2080B">
        <w:t>experience,</w:t>
      </w:r>
      <w:r w:rsidRPr="00140E48" w:rsidR="00D2080B">
        <w:t xml:space="preserve"> we </w:t>
      </w:r>
      <w:r w:rsidRPr="00140E48">
        <w:t xml:space="preserve">estimate the number of actuarial memoranda submitted will be </w:t>
      </w:r>
      <w:r w:rsidRPr="00872666">
        <w:t>8</w:t>
      </w:r>
      <w:r w:rsidRPr="00872666" w:rsidR="006C7474">
        <w:t>03</w:t>
      </w:r>
      <w:r w:rsidRPr="00872666" w:rsidR="003A4422">
        <w:t xml:space="preserve"> annually</w:t>
      </w:r>
      <w:r w:rsidRPr="00872666">
        <w:t xml:space="preserve">. </w:t>
      </w:r>
      <w:r w:rsidRPr="00872666" w:rsidR="002875EA">
        <w:t>We expect 7</w:t>
      </w:r>
      <w:r w:rsidRPr="00872666" w:rsidR="00AA4710">
        <w:t>43</w:t>
      </w:r>
      <w:r w:rsidRPr="00872666" w:rsidR="002875EA">
        <w:t xml:space="preserve"> of those to be submitted in </w:t>
      </w:r>
      <w:r w:rsidR="005E5EC6">
        <w:t>S</w:t>
      </w:r>
      <w:r w:rsidRPr="00872666" w:rsidR="002875EA">
        <w:t xml:space="preserve">tates that have an Effective Rate Review Program </w:t>
      </w:r>
      <w:r w:rsidRPr="00872666">
        <w:t>and</w:t>
      </w:r>
      <w:r w:rsidRPr="00872666" w:rsidR="002875EA">
        <w:t xml:space="preserve"> use SERFF. We expect </w:t>
      </w:r>
      <w:r w:rsidRPr="00872666" w:rsidR="006C7474">
        <w:t>60</w:t>
      </w:r>
      <w:r w:rsidRPr="00872666" w:rsidR="002875EA">
        <w:t xml:space="preserve"> of</w:t>
      </w:r>
      <w:r w:rsidRPr="00140E48" w:rsidR="002875EA">
        <w:t xml:space="preserve"> those to be submitted by </w:t>
      </w:r>
      <w:r w:rsidRPr="00140E48" w:rsidR="00C74DBB">
        <w:t xml:space="preserve">issuers in </w:t>
      </w:r>
      <w:r w:rsidR="00870947">
        <w:t>S</w:t>
      </w:r>
      <w:r w:rsidRPr="00140E48" w:rsidR="002875EA">
        <w:t xml:space="preserve">tates without an Effective Rate Review Program or </w:t>
      </w:r>
      <w:r w:rsidR="00537E5F">
        <w:t>S</w:t>
      </w:r>
      <w:r w:rsidRPr="00140E48" w:rsidR="002875EA">
        <w:t xml:space="preserve">tates that do not use SERFF. </w:t>
      </w:r>
      <w:r w:rsidRPr="00140E48" w:rsidR="00FD7D66">
        <w:t>Issuers that no longer need to submit in</w:t>
      </w:r>
      <w:r w:rsidRPr="00140E48" w:rsidR="00393A15">
        <w:t>to</w:t>
      </w:r>
      <w:r w:rsidRPr="00140E48" w:rsidR="00FD7D66">
        <w:t xml:space="preserve"> HIOS</w:t>
      </w:r>
      <w:r w:rsidRPr="00140E48" w:rsidR="00393A15">
        <w:t xml:space="preserve"> and only submit into SERFF</w:t>
      </w:r>
      <w:r w:rsidRPr="00140E48" w:rsidR="00FD7D66">
        <w:t xml:space="preserve"> will experience a reduction in burden </w:t>
      </w:r>
      <w:r w:rsidRPr="006E768B" w:rsidR="00FD7D66">
        <w:t xml:space="preserve">of </w:t>
      </w:r>
      <w:r w:rsidRPr="005E5EC6" w:rsidR="00FD7D66">
        <w:t>0.5 hours for each actuarial memorandum</w:t>
      </w:r>
      <w:r w:rsidRPr="006E768B" w:rsidR="00FD7D66">
        <w:t>.</w:t>
      </w:r>
    </w:p>
    <w:p w:rsidR="003100E4" w:rsidRPr="00140E48" w:rsidP="009458BD" w14:paraId="4527F543" w14:textId="77777777">
      <w:pPr>
        <w:pStyle w:val="BodyText"/>
        <w:kinsoku w:val="0"/>
        <w:overflowPunct w:val="0"/>
        <w:ind w:left="0"/>
      </w:pPr>
    </w:p>
    <w:p w:rsidR="005E0646" w:rsidRPr="00140E48" w:rsidP="00140E48" w14:paraId="28F8F2F8" w14:textId="772152DA">
      <w:pPr>
        <w:pStyle w:val="BodyText"/>
        <w:kinsoku w:val="0"/>
        <w:overflowPunct w:val="0"/>
        <w:ind w:left="0"/>
      </w:pPr>
      <w:r w:rsidRPr="00140E48">
        <w:t>For issuers that submit only i</w:t>
      </w:r>
      <w:r w:rsidRPr="00140E48" w:rsidR="00C23FC4">
        <w:t>n</w:t>
      </w:r>
      <w:r w:rsidRPr="00140E48" w:rsidR="00393A15">
        <w:t>to</w:t>
      </w:r>
      <w:r w:rsidRPr="00140E48">
        <w:t xml:space="preserve"> SERFF, w</w:t>
      </w:r>
      <w:r w:rsidRPr="00140E48" w:rsidR="002875EA">
        <w:t xml:space="preserve">e estimate that an actuary </w:t>
      </w:r>
      <w:r w:rsidRPr="00140E48">
        <w:t xml:space="preserve">will </w:t>
      </w:r>
      <w:r w:rsidRPr="006E768B">
        <w:t xml:space="preserve">require </w:t>
      </w:r>
      <w:r w:rsidRPr="005E5EC6">
        <w:t>13.5 hours</w:t>
      </w:r>
      <w:r w:rsidRPr="00140E48">
        <w:t xml:space="preserve"> </w:t>
      </w:r>
      <w:r w:rsidRPr="00140E48" w:rsidR="00FD5073">
        <w:t>(at an hourly rate of $1</w:t>
      </w:r>
      <w:r w:rsidR="000931FE">
        <w:t>1</w:t>
      </w:r>
      <w:r w:rsidR="00870947">
        <w:t>5</w:t>
      </w:r>
      <w:r w:rsidR="000931FE">
        <w:t>.38</w:t>
      </w:r>
      <w:r w:rsidRPr="00140E48" w:rsidR="00FD5073">
        <w:t xml:space="preserve">) </w:t>
      </w:r>
      <w:r w:rsidRPr="00140E48" w:rsidR="002875EA">
        <w:t xml:space="preserve">to prepare </w:t>
      </w:r>
      <w:r w:rsidRPr="00140E48">
        <w:t>and submit each actuarial memorandum</w:t>
      </w:r>
      <w:r w:rsidRPr="00140E48" w:rsidR="00FD5073">
        <w:t xml:space="preserve">, with </w:t>
      </w:r>
      <w:r w:rsidRPr="00140E48">
        <w:t xml:space="preserve">an associated </w:t>
      </w:r>
      <w:r w:rsidRPr="00140E48" w:rsidR="00FD5073">
        <w:t xml:space="preserve">annual cost of approximately </w:t>
      </w:r>
      <w:r w:rsidRPr="00140E48" w:rsidR="00887455">
        <w:t>$1,</w:t>
      </w:r>
      <w:r w:rsidR="000931FE">
        <w:t>558</w:t>
      </w:r>
      <w:r w:rsidRPr="00140E48" w:rsidR="00FD5073">
        <w:t xml:space="preserve">. Therefore, </w:t>
      </w:r>
      <w:r w:rsidRPr="00140E48" w:rsidR="00131E4C">
        <w:t>the</w:t>
      </w:r>
      <w:r w:rsidRPr="00140E48" w:rsidR="00887455">
        <w:t xml:space="preserve"> </w:t>
      </w:r>
      <w:r w:rsidRPr="00140E48" w:rsidR="002875EA">
        <w:t xml:space="preserve">total annual burden for </w:t>
      </w:r>
      <w:r w:rsidRPr="00140E48" w:rsidR="00FD5073">
        <w:t xml:space="preserve">all </w:t>
      </w:r>
      <w:r w:rsidRPr="00140E48" w:rsidR="00971C09">
        <w:t xml:space="preserve">issuers in </w:t>
      </w:r>
      <w:r w:rsidR="00537E5F">
        <w:t>S</w:t>
      </w:r>
      <w:r w:rsidRPr="00140E48" w:rsidR="00971C09">
        <w:t>tates</w:t>
      </w:r>
      <w:r w:rsidRPr="00140E48" w:rsidR="002875EA">
        <w:t xml:space="preserve"> that have an Effective Rate Review Program </w:t>
      </w:r>
      <w:r w:rsidRPr="00140E48" w:rsidR="00131E4C">
        <w:t>and</w:t>
      </w:r>
      <w:r w:rsidRPr="00140E48" w:rsidR="002875EA">
        <w:t xml:space="preserve"> use SERFF </w:t>
      </w:r>
      <w:r w:rsidRPr="00140E48" w:rsidR="00131E4C">
        <w:t xml:space="preserve">will be </w:t>
      </w:r>
      <w:r w:rsidRPr="00AA4710" w:rsidR="00131E4C">
        <w:t>approximately 10,</w:t>
      </w:r>
      <w:r w:rsidRPr="00A67742" w:rsidR="00AA4710">
        <w:t>031</w:t>
      </w:r>
      <w:r w:rsidRPr="00AA4710" w:rsidR="00131E4C">
        <w:t xml:space="preserve"> hours with an associated annual cost of approximately </w:t>
      </w:r>
      <w:r w:rsidRPr="00AA4710" w:rsidR="002875EA">
        <w:t>$</w:t>
      </w:r>
      <w:r w:rsidRPr="00AA4710" w:rsidR="00887455">
        <w:t>1,</w:t>
      </w:r>
      <w:r w:rsidR="000931FE">
        <w:t>157,319</w:t>
      </w:r>
      <w:r w:rsidRPr="00AA4710" w:rsidR="002875EA">
        <w:t>.</w:t>
      </w:r>
      <w:r w:rsidRPr="00140E48" w:rsidR="002875EA">
        <w:t xml:space="preserve">  </w:t>
      </w:r>
      <w:bookmarkStart w:id="16" w:name="_Hlk105413573"/>
    </w:p>
    <w:p w:rsidR="00393A15" w:rsidRPr="00140E48" w:rsidP="00140E48" w14:paraId="718DCF96" w14:textId="77777777">
      <w:pPr>
        <w:pStyle w:val="BodyText"/>
        <w:kinsoku w:val="0"/>
        <w:overflowPunct w:val="0"/>
        <w:ind w:left="0"/>
      </w:pPr>
    </w:p>
    <w:bookmarkEnd w:id="16"/>
    <w:p w:rsidR="009E55B8" w:rsidRPr="00140E48" w:rsidP="00140E48" w14:paraId="68618FDF" w14:textId="3DEDD203">
      <w:pPr>
        <w:pStyle w:val="BodyText"/>
        <w:kinsoku w:val="0"/>
        <w:overflowPunct w:val="0"/>
        <w:ind w:left="0" w:right="40"/>
      </w:pPr>
      <w:r w:rsidRPr="00140E48">
        <w:t xml:space="preserve">For issuers that </w:t>
      </w:r>
      <w:r w:rsidR="00DB46F4">
        <w:t>must</w:t>
      </w:r>
      <w:r w:rsidRPr="00140E48">
        <w:t xml:space="preserve"> submit </w:t>
      </w:r>
      <w:r w:rsidR="00DB46F4">
        <w:t xml:space="preserve">both into SERFF </w:t>
      </w:r>
      <w:r w:rsidRPr="00AA4710" w:rsidR="00DB46F4">
        <w:t xml:space="preserve">and </w:t>
      </w:r>
      <w:r w:rsidRPr="00AA4710" w:rsidR="0067554A">
        <w:t xml:space="preserve">directly </w:t>
      </w:r>
      <w:r w:rsidRPr="00AA4710">
        <w:t>in</w:t>
      </w:r>
      <w:r w:rsidRPr="00AA4710" w:rsidR="00393A15">
        <w:t>to</w:t>
      </w:r>
      <w:r w:rsidRPr="00AA4710">
        <w:t xml:space="preserve"> HIOS, we estimate that an actuary </w:t>
      </w:r>
      <w:r w:rsidRPr="00AA4710">
        <w:t xml:space="preserve">will </w:t>
      </w:r>
      <w:r w:rsidRPr="006E768B">
        <w:t xml:space="preserve">require </w:t>
      </w:r>
      <w:r w:rsidRPr="005E5EC6">
        <w:t>14 hours</w:t>
      </w:r>
      <w:r w:rsidRPr="006E768B">
        <w:t xml:space="preserve"> (at an</w:t>
      </w:r>
      <w:r w:rsidRPr="00AA4710">
        <w:t xml:space="preserve"> hourly rate of $1</w:t>
      </w:r>
      <w:r w:rsidR="000931FE">
        <w:t>1</w:t>
      </w:r>
      <w:r w:rsidR="00382924">
        <w:t>5</w:t>
      </w:r>
      <w:r w:rsidR="000931FE">
        <w:t>.38</w:t>
      </w:r>
      <w:r w:rsidRPr="00AA4710">
        <w:t>) to prepare and submit each actuarial memorandum, with an associated cost of $</w:t>
      </w:r>
      <w:r w:rsidRPr="00AA4710" w:rsidR="005E0E77">
        <w:t>1,</w:t>
      </w:r>
      <w:r w:rsidR="000931FE">
        <w:t>615</w:t>
      </w:r>
      <w:r w:rsidRPr="00AA4710">
        <w:t xml:space="preserve">. </w:t>
      </w:r>
      <w:r w:rsidRPr="00AA4710" w:rsidR="00D16992">
        <w:t>T</w:t>
      </w:r>
      <w:r w:rsidRPr="00AA4710">
        <w:t xml:space="preserve">he total annual burden will be </w:t>
      </w:r>
      <w:r w:rsidRPr="00A67742" w:rsidR="00AA4710">
        <w:t>840</w:t>
      </w:r>
      <w:r w:rsidRPr="00AA4710" w:rsidR="005E0E77">
        <w:t xml:space="preserve"> </w:t>
      </w:r>
      <w:r w:rsidRPr="00AA4710">
        <w:t xml:space="preserve">hours with an associated annual cost of </w:t>
      </w:r>
      <w:r w:rsidRPr="00AA4710" w:rsidR="005E0E77">
        <w:t xml:space="preserve">approximately </w:t>
      </w:r>
      <w:r w:rsidRPr="00AA4710">
        <w:t>$</w:t>
      </w:r>
      <w:r w:rsidRPr="00A67742" w:rsidR="00AA4710">
        <w:t>9</w:t>
      </w:r>
      <w:r w:rsidR="000931FE">
        <w:t>6,919</w:t>
      </w:r>
      <w:r w:rsidRPr="00AA4710" w:rsidR="005E0E77">
        <w:t>.</w:t>
      </w:r>
    </w:p>
    <w:p w:rsidR="00A65DDD" w:rsidRPr="00140E48" w:rsidP="00140E48" w14:paraId="01D94AE3" w14:textId="77777777">
      <w:pPr>
        <w:pStyle w:val="BodyText"/>
        <w:kinsoku w:val="0"/>
        <w:overflowPunct w:val="0"/>
        <w:ind w:left="0" w:right="40"/>
      </w:pPr>
    </w:p>
    <w:p w:rsidR="00A65DDD" w:rsidP="00140E48" w14:paraId="081A9706" w14:textId="62DD6863">
      <w:pPr>
        <w:pStyle w:val="BodyText"/>
        <w:kinsoku w:val="0"/>
        <w:overflowPunct w:val="0"/>
        <w:ind w:left="0" w:right="40"/>
      </w:pPr>
      <w:r w:rsidRPr="00AA4710">
        <w:t xml:space="preserve">The total annual burden for all issuers to prepare and submit the actuarial memoranda will be </w:t>
      </w:r>
      <w:r w:rsidRPr="00A67742" w:rsidR="00AA4710">
        <w:t>10,870.5</w:t>
      </w:r>
      <w:r w:rsidRPr="00AA4710">
        <w:t xml:space="preserve"> hours with an associated total cost of approximately $1,</w:t>
      </w:r>
      <w:r w:rsidR="000931FE">
        <w:t>254,238</w:t>
      </w:r>
      <w:r w:rsidRPr="00AA4710">
        <w:t>.</w:t>
      </w:r>
    </w:p>
    <w:p w:rsidR="00B85A58" w:rsidP="00140E48" w14:paraId="154D3B4C" w14:textId="77777777">
      <w:pPr>
        <w:pStyle w:val="BodyText"/>
        <w:kinsoku w:val="0"/>
        <w:overflowPunct w:val="0"/>
        <w:ind w:left="0" w:right="40"/>
      </w:pPr>
    </w:p>
    <w:p w:rsidR="00B85A58" w:rsidRPr="00140E48" w:rsidP="00B85A58" w14:paraId="4A869EE2" w14:textId="10727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40E48">
        <w:rPr>
          <w:u w:val="single"/>
        </w:rPr>
        <w:t>Table 12.</w:t>
      </w:r>
      <w:r w:rsidR="009051C4">
        <w:rPr>
          <w:u w:val="single"/>
        </w:rPr>
        <w:t>4</w:t>
      </w:r>
      <w:r w:rsidRPr="00140E48">
        <w:rPr>
          <w:u w:val="single"/>
        </w:rPr>
        <w:t xml:space="preserve"> – Estimated Annualized Burden Hours and Costs for </w:t>
      </w:r>
      <w:r>
        <w:rPr>
          <w:u w:val="single"/>
        </w:rPr>
        <w:t xml:space="preserve">Submission of Actuarial </w:t>
      </w:r>
      <w:r w:rsidR="009051C4">
        <w:rPr>
          <w:u w:val="single"/>
        </w:rPr>
        <w:t>M</w:t>
      </w:r>
      <w:r>
        <w:rPr>
          <w:u w:val="single"/>
        </w:rPr>
        <w:t>emorand</w:t>
      </w:r>
      <w:r w:rsidR="009051C4">
        <w:rPr>
          <w:u w:val="single"/>
        </w:rPr>
        <w:t>a</w:t>
      </w:r>
    </w:p>
    <w:p w:rsidR="00B85A58" w:rsidRPr="00140E48" w:rsidP="00B85A58" w14:paraId="298A30E6" w14:textId="77777777">
      <w:pPr>
        <w:pStyle w:val="BodyText"/>
        <w:kinsoku w:val="0"/>
        <w:overflowPunct w:val="0"/>
        <w:ind w:left="0"/>
      </w:pP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900"/>
        <w:gridCol w:w="1080"/>
        <w:gridCol w:w="1170"/>
        <w:gridCol w:w="1080"/>
        <w:gridCol w:w="1170"/>
        <w:gridCol w:w="1260"/>
      </w:tblGrid>
      <w:tr w14:paraId="4963E336" w14:textId="77777777" w:rsidTr="005E5EC6">
        <w:tblPrEx>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32"/>
          <w:tblHeader/>
          <w:jc w:val="center"/>
        </w:trPr>
        <w:tc>
          <w:tcPr>
            <w:tcW w:w="900" w:type="dxa"/>
            <w:vAlign w:val="bottom"/>
            <w:hideMark/>
          </w:tcPr>
          <w:p w:rsidR="00B85A58" w:rsidRPr="00FC7E1F" w:rsidP="00790B0C" w14:paraId="3582B781" w14:textId="77777777">
            <w:pPr>
              <w:widowControl/>
              <w:autoSpaceDE/>
              <w:autoSpaceDN/>
              <w:adjustRightInd/>
              <w:jc w:val="center"/>
              <w:rPr>
                <w:rFonts w:eastAsia="Calibri"/>
                <w:b/>
                <w:bCs/>
                <w:sz w:val="18"/>
                <w:szCs w:val="18"/>
              </w:rPr>
            </w:pPr>
          </w:p>
        </w:tc>
        <w:tc>
          <w:tcPr>
            <w:tcW w:w="900" w:type="dxa"/>
            <w:vAlign w:val="center"/>
            <w:hideMark/>
          </w:tcPr>
          <w:p w:rsidR="00B85A58" w:rsidRPr="00FC7E1F" w:rsidP="009051C4" w14:paraId="72C6A26E" w14:textId="40AC9639">
            <w:pPr>
              <w:widowControl/>
              <w:autoSpaceDE/>
              <w:autoSpaceDN/>
              <w:adjustRightInd/>
              <w:jc w:val="center"/>
              <w:rPr>
                <w:rFonts w:eastAsia="Calibri"/>
                <w:b/>
                <w:bCs/>
                <w:sz w:val="18"/>
                <w:szCs w:val="18"/>
              </w:rPr>
            </w:pPr>
            <w:r w:rsidRPr="00FC7E1F">
              <w:rPr>
                <w:rFonts w:eastAsia="Calibri"/>
                <w:b/>
                <w:bCs/>
                <w:sz w:val="18"/>
                <w:szCs w:val="18"/>
              </w:rPr>
              <w:t xml:space="preserve">Number of </w:t>
            </w:r>
            <w:r w:rsidR="009051C4">
              <w:rPr>
                <w:rFonts w:eastAsia="Calibri"/>
                <w:b/>
                <w:bCs/>
                <w:sz w:val="18"/>
                <w:szCs w:val="18"/>
              </w:rPr>
              <w:t>Memos</w:t>
            </w:r>
          </w:p>
        </w:tc>
        <w:tc>
          <w:tcPr>
            <w:tcW w:w="1080" w:type="dxa"/>
            <w:vAlign w:val="center"/>
          </w:tcPr>
          <w:p w:rsidR="00B85A58" w:rsidRPr="00FC7E1F" w:rsidP="009051C4" w14:paraId="49525C9B" w14:textId="568C56C3">
            <w:pPr>
              <w:widowControl/>
              <w:autoSpaceDE/>
              <w:autoSpaceDN/>
              <w:adjustRightInd/>
              <w:jc w:val="center"/>
              <w:rPr>
                <w:rFonts w:eastAsia="Calibri"/>
                <w:b/>
                <w:bCs/>
                <w:sz w:val="18"/>
                <w:szCs w:val="18"/>
              </w:rPr>
            </w:pPr>
            <w:r>
              <w:rPr>
                <w:rFonts w:eastAsia="Calibri"/>
                <w:b/>
                <w:bCs/>
                <w:sz w:val="18"/>
                <w:szCs w:val="18"/>
              </w:rPr>
              <w:t xml:space="preserve">Burden per </w:t>
            </w:r>
            <w:r w:rsidR="009051C4">
              <w:rPr>
                <w:rFonts w:eastAsia="Calibri"/>
                <w:b/>
                <w:bCs/>
                <w:sz w:val="18"/>
                <w:szCs w:val="18"/>
              </w:rPr>
              <w:t>Memo</w:t>
            </w:r>
          </w:p>
        </w:tc>
        <w:tc>
          <w:tcPr>
            <w:tcW w:w="1170" w:type="dxa"/>
            <w:vAlign w:val="center"/>
          </w:tcPr>
          <w:p w:rsidR="00B85A58" w:rsidRPr="00FC7E1F" w:rsidP="009051C4" w14:paraId="77B78FE1" w14:textId="77777777">
            <w:pPr>
              <w:widowControl/>
              <w:autoSpaceDE/>
              <w:autoSpaceDN/>
              <w:adjustRightInd/>
              <w:jc w:val="center"/>
              <w:rPr>
                <w:rFonts w:eastAsia="Calibri"/>
                <w:b/>
                <w:bCs/>
                <w:sz w:val="18"/>
                <w:szCs w:val="18"/>
              </w:rPr>
            </w:pPr>
            <w:r>
              <w:rPr>
                <w:rFonts w:eastAsia="Calibri"/>
                <w:b/>
                <w:bCs/>
                <w:sz w:val="18"/>
                <w:szCs w:val="18"/>
              </w:rPr>
              <w:t>Cost per Hour</w:t>
            </w:r>
          </w:p>
        </w:tc>
        <w:tc>
          <w:tcPr>
            <w:tcW w:w="1080" w:type="dxa"/>
            <w:vAlign w:val="center"/>
          </w:tcPr>
          <w:p w:rsidR="00B85A58" w:rsidRPr="00FC7E1F" w:rsidP="009051C4" w14:paraId="5817A851" w14:textId="60E94896">
            <w:pPr>
              <w:widowControl/>
              <w:autoSpaceDE/>
              <w:autoSpaceDN/>
              <w:adjustRightInd/>
              <w:jc w:val="center"/>
              <w:rPr>
                <w:rFonts w:eastAsia="Calibri"/>
                <w:b/>
                <w:bCs/>
                <w:sz w:val="18"/>
                <w:szCs w:val="18"/>
              </w:rPr>
            </w:pPr>
            <w:r>
              <w:rPr>
                <w:rFonts w:eastAsia="Calibri"/>
                <w:b/>
                <w:bCs/>
                <w:sz w:val="18"/>
                <w:szCs w:val="18"/>
              </w:rPr>
              <w:t xml:space="preserve">Cost per </w:t>
            </w:r>
            <w:r w:rsidR="009051C4">
              <w:rPr>
                <w:rFonts w:eastAsia="Calibri"/>
                <w:b/>
                <w:bCs/>
                <w:sz w:val="18"/>
                <w:szCs w:val="18"/>
              </w:rPr>
              <w:t>Memo</w:t>
            </w:r>
          </w:p>
        </w:tc>
        <w:tc>
          <w:tcPr>
            <w:tcW w:w="1170" w:type="dxa"/>
            <w:vAlign w:val="center"/>
          </w:tcPr>
          <w:p w:rsidR="00B85A58" w:rsidRPr="00FC7E1F" w:rsidP="005E5EC6" w14:paraId="1EA115C0" w14:textId="77777777">
            <w:pPr>
              <w:widowControl/>
              <w:autoSpaceDE/>
              <w:autoSpaceDN/>
              <w:adjustRightInd/>
              <w:jc w:val="center"/>
              <w:rPr>
                <w:rFonts w:eastAsia="Calibri"/>
                <w:b/>
                <w:bCs/>
                <w:sz w:val="18"/>
                <w:szCs w:val="18"/>
              </w:rPr>
            </w:pPr>
            <w:r>
              <w:rPr>
                <w:rFonts w:eastAsia="Calibri"/>
                <w:b/>
                <w:bCs/>
                <w:sz w:val="18"/>
                <w:szCs w:val="18"/>
              </w:rPr>
              <w:t>Total Burden</w:t>
            </w:r>
          </w:p>
        </w:tc>
        <w:tc>
          <w:tcPr>
            <w:tcW w:w="1260" w:type="dxa"/>
            <w:vAlign w:val="center"/>
          </w:tcPr>
          <w:p w:rsidR="00B85A58" w:rsidRPr="00FC7E1F" w:rsidP="009051C4" w14:paraId="24CC36ED" w14:textId="77777777">
            <w:pPr>
              <w:widowControl/>
              <w:autoSpaceDE/>
              <w:autoSpaceDN/>
              <w:adjustRightInd/>
              <w:jc w:val="center"/>
              <w:rPr>
                <w:rFonts w:eastAsia="Calibri"/>
                <w:b/>
                <w:bCs/>
                <w:sz w:val="18"/>
                <w:szCs w:val="18"/>
              </w:rPr>
            </w:pPr>
            <w:r>
              <w:rPr>
                <w:rFonts w:eastAsia="Calibri"/>
                <w:b/>
                <w:bCs/>
                <w:sz w:val="18"/>
                <w:szCs w:val="18"/>
              </w:rPr>
              <w:t>Total Cost</w:t>
            </w:r>
          </w:p>
        </w:tc>
      </w:tr>
      <w:tr w14:paraId="312E7D14" w14:textId="77777777" w:rsidTr="005E5EC6">
        <w:tblPrEx>
          <w:tblW w:w="7560" w:type="dxa"/>
          <w:jc w:val="center"/>
          <w:tblLayout w:type="fixed"/>
          <w:tblLook w:val="04A0"/>
        </w:tblPrEx>
        <w:trPr>
          <w:trHeight w:val="797"/>
          <w:jc w:val="center"/>
        </w:trPr>
        <w:tc>
          <w:tcPr>
            <w:tcW w:w="900" w:type="dxa"/>
            <w:noWrap/>
            <w:vAlign w:val="center"/>
          </w:tcPr>
          <w:p w:rsidR="00CE4300" w:rsidRPr="005E5EC6" w:rsidP="009051C4" w14:paraId="1810628A" w14:textId="06B60332">
            <w:pPr>
              <w:widowControl/>
              <w:autoSpaceDE/>
              <w:autoSpaceDN/>
              <w:adjustRightInd/>
              <w:rPr>
                <w:rFonts w:eastAsia="Calibri"/>
                <w:b/>
                <w:bCs/>
                <w:sz w:val="18"/>
                <w:szCs w:val="18"/>
              </w:rPr>
            </w:pPr>
            <w:r w:rsidRPr="005E5EC6">
              <w:rPr>
                <w:b/>
                <w:bCs/>
                <w:color w:val="000000"/>
                <w:sz w:val="18"/>
                <w:szCs w:val="18"/>
              </w:rPr>
              <w:t>SERFF only</w:t>
            </w:r>
          </w:p>
        </w:tc>
        <w:tc>
          <w:tcPr>
            <w:tcW w:w="900" w:type="dxa"/>
            <w:noWrap/>
            <w:vAlign w:val="center"/>
          </w:tcPr>
          <w:p w:rsidR="00CE4300" w:rsidRPr="00FC7E1F" w:rsidP="00CE4300" w14:paraId="47A10C64" w14:textId="6409F592">
            <w:pPr>
              <w:widowControl/>
              <w:autoSpaceDE/>
              <w:autoSpaceDN/>
              <w:adjustRightInd/>
              <w:jc w:val="center"/>
              <w:rPr>
                <w:rFonts w:eastAsia="Calibri"/>
                <w:sz w:val="20"/>
                <w:szCs w:val="20"/>
              </w:rPr>
            </w:pPr>
            <w:r>
              <w:rPr>
                <w:rFonts w:eastAsia="Calibri"/>
                <w:sz w:val="20"/>
                <w:szCs w:val="20"/>
              </w:rPr>
              <w:t>743</w:t>
            </w:r>
          </w:p>
        </w:tc>
        <w:tc>
          <w:tcPr>
            <w:tcW w:w="1080" w:type="dxa"/>
            <w:vAlign w:val="center"/>
          </w:tcPr>
          <w:p w:rsidR="00CE4300" w:rsidRPr="00FC7E1F" w:rsidP="00CE4300" w14:paraId="08654461" w14:textId="7197C441">
            <w:pPr>
              <w:widowControl/>
              <w:autoSpaceDE/>
              <w:autoSpaceDN/>
              <w:adjustRightInd/>
              <w:jc w:val="center"/>
              <w:rPr>
                <w:rFonts w:eastAsia="Calibri"/>
                <w:sz w:val="20"/>
                <w:szCs w:val="20"/>
              </w:rPr>
            </w:pPr>
            <w:r>
              <w:rPr>
                <w:rFonts w:eastAsia="Calibri"/>
                <w:sz w:val="20"/>
                <w:szCs w:val="20"/>
              </w:rPr>
              <w:t>13.5</w:t>
            </w:r>
          </w:p>
        </w:tc>
        <w:tc>
          <w:tcPr>
            <w:tcW w:w="1170" w:type="dxa"/>
            <w:vAlign w:val="center"/>
          </w:tcPr>
          <w:p w:rsidR="00CE4300" w:rsidRPr="00FC7E1F" w:rsidP="00CE4300" w14:paraId="2FFCEDDE" w14:textId="4AF4D3E6">
            <w:pPr>
              <w:widowControl/>
              <w:autoSpaceDE/>
              <w:autoSpaceDN/>
              <w:adjustRightInd/>
              <w:jc w:val="center"/>
              <w:rPr>
                <w:rFonts w:eastAsia="Calibri"/>
                <w:sz w:val="20"/>
                <w:szCs w:val="20"/>
              </w:rPr>
            </w:pPr>
            <w:r>
              <w:rPr>
                <w:rFonts w:eastAsia="Calibri"/>
                <w:sz w:val="20"/>
                <w:szCs w:val="20"/>
              </w:rPr>
              <w:t>$115.38</w:t>
            </w:r>
          </w:p>
        </w:tc>
        <w:tc>
          <w:tcPr>
            <w:tcW w:w="1080" w:type="dxa"/>
            <w:noWrap/>
            <w:vAlign w:val="center"/>
          </w:tcPr>
          <w:p w:rsidR="00CE4300" w:rsidRPr="00FC7E1F" w:rsidP="00CE4300" w14:paraId="153E3312" w14:textId="34574859">
            <w:pPr>
              <w:widowControl/>
              <w:autoSpaceDE/>
              <w:autoSpaceDN/>
              <w:adjustRightInd/>
              <w:jc w:val="center"/>
              <w:rPr>
                <w:rFonts w:eastAsia="Calibri"/>
                <w:sz w:val="20"/>
                <w:szCs w:val="20"/>
              </w:rPr>
            </w:pPr>
            <w:r>
              <w:rPr>
                <w:rFonts w:eastAsia="Calibri"/>
                <w:sz w:val="20"/>
                <w:szCs w:val="20"/>
              </w:rPr>
              <w:t>$1,558</w:t>
            </w:r>
          </w:p>
        </w:tc>
        <w:tc>
          <w:tcPr>
            <w:tcW w:w="1170" w:type="dxa"/>
            <w:vAlign w:val="center"/>
          </w:tcPr>
          <w:p w:rsidR="00CE4300" w:rsidRPr="00FC7E1F" w:rsidP="00CE4300" w14:paraId="0E39EFB7" w14:textId="3F64828F">
            <w:pPr>
              <w:widowControl/>
              <w:autoSpaceDE/>
              <w:autoSpaceDN/>
              <w:adjustRightInd/>
              <w:jc w:val="center"/>
              <w:rPr>
                <w:rFonts w:eastAsia="Calibri"/>
                <w:sz w:val="20"/>
                <w:szCs w:val="20"/>
              </w:rPr>
            </w:pPr>
            <w:r>
              <w:rPr>
                <w:rFonts w:eastAsia="Calibri"/>
                <w:sz w:val="20"/>
                <w:szCs w:val="20"/>
              </w:rPr>
              <w:t>10,031</w:t>
            </w:r>
          </w:p>
        </w:tc>
        <w:tc>
          <w:tcPr>
            <w:tcW w:w="1260" w:type="dxa"/>
            <w:vAlign w:val="center"/>
          </w:tcPr>
          <w:p w:rsidR="00CE4300" w:rsidRPr="00FC7E1F" w:rsidP="00CE4300" w14:paraId="5FADFF78" w14:textId="71AD7007">
            <w:pPr>
              <w:widowControl/>
              <w:autoSpaceDE/>
              <w:autoSpaceDN/>
              <w:adjustRightInd/>
              <w:jc w:val="center"/>
              <w:rPr>
                <w:rFonts w:eastAsia="Calibri"/>
                <w:sz w:val="20"/>
                <w:szCs w:val="20"/>
              </w:rPr>
            </w:pPr>
            <w:r>
              <w:rPr>
                <w:rFonts w:eastAsia="Calibri"/>
                <w:sz w:val="20"/>
                <w:szCs w:val="20"/>
              </w:rPr>
              <w:t>$1,157,319</w:t>
            </w:r>
          </w:p>
        </w:tc>
      </w:tr>
      <w:tr w14:paraId="553A806F" w14:textId="77777777" w:rsidTr="005E5EC6">
        <w:tblPrEx>
          <w:tblW w:w="7560" w:type="dxa"/>
          <w:jc w:val="center"/>
          <w:tblLayout w:type="fixed"/>
          <w:tblLook w:val="04A0"/>
        </w:tblPrEx>
        <w:trPr>
          <w:trHeight w:val="282"/>
          <w:jc w:val="center"/>
        </w:trPr>
        <w:tc>
          <w:tcPr>
            <w:tcW w:w="900" w:type="dxa"/>
            <w:noWrap/>
            <w:vAlign w:val="center"/>
          </w:tcPr>
          <w:p w:rsidR="00CE4300" w:rsidRPr="005E5EC6" w:rsidP="009051C4" w14:paraId="5F8143FA" w14:textId="0FA5486B">
            <w:pPr>
              <w:widowControl/>
              <w:autoSpaceDE/>
              <w:autoSpaceDN/>
              <w:adjustRightInd/>
              <w:rPr>
                <w:rFonts w:eastAsia="Calibri"/>
                <w:b/>
                <w:bCs/>
                <w:sz w:val="18"/>
                <w:szCs w:val="18"/>
              </w:rPr>
            </w:pPr>
            <w:r w:rsidRPr="005E5EC6">
              <w:rPr>
                <w:b/>
                <w:bCs/>
                <w:color w:val="000000"/>
                <w:sz w:val="18"/>
                <w:szCs w:val="18"/>
              </w:rPr>
              <w:t>State + HIOS</w:t>
            </w:r>
          </w:p>
        </w:tc>
        <w:tc>
          <w:tcPr>
            <w:tcW w:w="900" w:type="dxa"/>
            <w:noWrap/>
            <w:vAlign w:val="center"/>
          </w:tcPr>
          <w:p w:rsidR="00CE4300" w:rsidRPr="00FC7E1F" w:rsidP="00CE4300" w14:paraId="7D19B43E" w14:textId="596AB18E">
            <w:pPr>
              <w:widowControl/>
              <w:autoSpaceDE/>
              <w:autoSpaceDN/>
              <w:adjustRightInd/>
              <w:jc w:val="center"/>
              <w:rPr>
                <w:rFonts w:eastAsia="Calibri"/>
                <w:sz w:val="20"/>
                <w:szCs w:val="20"/>
              </w:rPr>
            </w:pPr>
            <w:r>
              <w:rPr>
                <w:rFonts w:eastAsia="Calibri"/>
                <w:sz w:val="20"/>
                <w:szCs w:val="20"/>
              </w:rPr>
              <w:t>60</w:t>
            </w:r>
          </w:p>
        </w:tc>
        <w:tc>
          <w:tcPr>
            <w:tcW w:w="1080" w:type="dxa"/>
            <w:vAlign w:val="center"/>
          </w:tcPr>
          <w:p w:rsidR="00CE4300" w:rsidRPr="00FC7E1F" w:rsidP="00CE4300" w14:paraId="5E24BA57" w14:textId="5FDC3F2F">
            <w:pPr>
              <w:widowControl/>
              <w:autoSpaceDE/>
              <w:autoSpaceDN/>
              <w:adjustRightInd/>
              <w:jc w:val="center"/>
              <w:rPr>
                <w:rFonts w:eastAsia="Calibri"/>
                <w:sz w:val="20"/>
                <w:szCs w:val="20"/>
              </w:rPr>
            </w:pPr>
            <w:r>
              <w:rPr>
                <w:rFonts w:eastAsia="Calibri"/>
                <w:sz w:val="20"/>
                <w:szCs w:val="20"/>
              </w:rPr>
              <w:t>14</w:t>
            </w:r>
          </w:p>
        </w:tc>
        <w:tc>
          <w:tcPr>
            <w:tcW w:w="1170" w:type="dxa"/>
            <w:vAlign w:val="center"/>
          </w:tcPr>
          <w:p w:rsidR="00CE4300" w:rsidRPr="00FC7E1F" w:rsidP="00CE4300" w14:paraId="420D7359" w14:textId="2D71EE94">
            <w:pPr>
              <w:widowControl/>
              <w:autoSpaceDE/>
              <w:autoSpaceDN/>
              <w:adjustRightInd/>
              <w:jc w:val="center"/>
              <w:rPr>
                <w:rFonts w:eastAsia="Calibri"/>
                <w:sz w:val="20"/>
                <w:szCs w:val="20"/>
              </w:rPr>
            </w:pPr>
            <w:r>
              <w:rPr>
                <w:rFonts w:eastAsia="Calibri"/>
                <w:sz w:val="20"/>
                <w:szCs w:val="20"/>
              </w:rPr>
              <w:t>$115.38</w:t>
            </w:r>
          </w:p>
        </w:tc>
        <w:tc>
          <w:tcPr>
            <w:tcW w:w="1080" w:type="dxa"/>
            <w:noWrap/>
            <w:vAlign w:val="center"/>
          </w:tcPr>
          <w:p w:rsidR="00CE4300" w:rsidRPr="00FC7E1F" w:rsidP="00CE4300" w14:paraId="190EEBB6" w14:textId="2D033382">
            <w:pPr>
              <w:widowControl/>
              <w:autoSpaceDE/>
              <w:autoSpaceDN/>
              <w:adjustRightInd/>
              <w:jc w:val="center"/>
              <w:rPr>
                <w:rFonts w:eastAsia="Calibri"/>
                <w:sz w:val="20"/>
                <w:szCs w:val="20"/>
              </w:rPr>
            </w:pPr>
            <w:r>
              <w:rPr>
                <w:rFonts w:eastAsia="Calibri"/>
                <w:sz w:val="20"/>
                <w:szCs w:val="20"/>
              </w:rPr>
              <w:t>$1,615</w:t>
            </w:r>
          </w:p>
        </w:tc>
        <w:tc>
          <w:tcPr>
            <w:tcW w:w="1170" w:type="dxa"/>
            <w:vAlign w:val="center"/>
          </w:tcPr>
          <w:p w:rsidR="00CE4300" w:rsidRPr="00FC7E1F" w:rsidP="00CE4300" w14:paraId="6C755871" w14:textId="2EBAAE01">
            <w:pPr>
              <w:widowControl/>
              <w:autoSpaceDE/>
              <w:autoSpaceDN/>
              <w:adjustRightInd/>
              <w:jc w:val="center"/>
              <w:rPr>
                <w:rFonts w:eastAsia="Calibri"/>
                <w:sz w:val="20"/>
                <w:szCs w:val="20"/>
              </w:rPr>
            </w:pPr>
            <w:r>
              <w:rPr>
                <w:rFonts w:eastAsia="Calibri"/>
                <w:sz w:val="20"/>
                <w:szCs w:val="20"/>
              </w:rPr>
              <w:t>840</w:t>
            </w:r>
          </w:p>
        </w:tc>
        <w:tc>
          <w:tcPr>
            <w:tcW w:w="1260" w:type="dxa"/>
            <w:vAlign w:val="center"/>
          </w:tcPr>
          <w:p w:rsidR="00CE4300" w:rsidRPr="00FC7E1F" w:rsidP="00CE4300" w14:paraId="6CCED126" w14:textId="473C63C7">
            <w:pPr>
              <w:widowControl/>
              <w:autoSpaceDE/>
              <w:autoSpaceDN/>
              <w:adjustRightInd/>
              <w:jc w:val="center"/>
              <w:rPr>
                <w:rFonts w:eastAsia="Calibri"/>
                <w:sz w:val="20"/>
                <w:szCs w:val="20"/>
              </w:rPr>
            </w:pPr>
            <w:r>
              <w:rPr>
                <w:rFonts w:eastAsia="Calibri"/>
                <w:sz w:val="20"/>
                <w:szCs w:val="20"/>
              </w:rPr>
              <w:t>$96,919</w:t>
            </w:r>
          </w:p>
        </w:tc>
      </w:tr>
      <w:tr w14:paraId="0166BB77" w14:textId="77777777" w:rsidTr="005E5EC6">
        <w:tblPrEx>
          <w:tblW w:w="7560" w:type="dxa"/>
          <w:jc w:val="center"/>
          <w:tblLayout w:type="fixed"/>
          <w:tblLook w:val="04A0"/>
        </w:tblPrEx>
        <w:trPr>
          <w:trHeight w:val="377"/>
          <w:jc w:val="center"/>
        </w:trPr>
        <w:tc>
          <w:tcPr>
            <w:tcW w:w="900" w:type="dxa"/>
            <w:noWrap/>
            <w:vAlign w:val="center"/>
          </w:tcPr>
          <w:p w:rsidR="00CE4300" w:rsidRPr="00FC7E1F" w:rsidP="009051C4" w14:paraId="405E163D" w14:textId="77777777">
            <w:pPr>
              <w:widowControl/>
              <w:autoSpaceDE/>
              <w:autoSpaceDN/>
              <w:adjustRightInd/>
              <w:rPr>
                <w:rFonts w:eastAsia="Calibri"/>
                <w:b/>
                <w:bCs/>
                <w:sz w:val="20"/>
                <w:szCs w:val="20"/>
              </w:rPr>
            </w:pPr>
            <w:r w:rsidRPr="00FC7E1F">
              <w:rPr>
                <w:rFonts w:eastAsia="Calibri"/>
                <w:b/>
                <w:bCs/>
                <w:sz w:val="20"/>
                <w:szCs w:val="20"/>
              </w:rPr>
              <w:t>Total</w:t>
            </w:r>
          </w:p>
        </w:tc>
        <w:tc>
          <w:tcPr>
            <w:tcW w:w="900" w:type="dxa"/>
            <w:noWrap/>
            <w:vAlign w:val="center"/>
          </w:tcPr>
          <w:p w:rsidR="00CE4300" w:rsidRPr="00872666" w:rsidP="00CE4300" w14:paraId="7487FBEC" w14:textId="17A09036">
            <w:pPr>
              <w:widowControl/>
              <w:autoSpaceDE/>
              <w:autoSpaceDN/>
              <w:adjustRightInd/>
              <w:jc w:val="center"/>
              <w:rPr>
                <w:rFonts w:eastAsia="Calibri"/>
                <w:sz w:val="20"/>
                <w:szCs w:val="20"/>
              </w:rPr>
            </w:pPr>
            <w:r>
              <w:rPr>
                <w:rFonts w:eastAsia="Calibri"/>
                <w:sz w:val="20"/>
                <w:szCs w:val="20"/>
              </w:rPr>
              <w:t>803</w:t>
            </w:r>
          </w:p>
        </w:tc>
        <w:tc>
          <w:tcPr>
            <w:tcW w:w="1080" w:type="dxa"/>
            <w:vAlign w:val="center"/>
          </w:tcPr>
          <w:p w:rsidR="00CE4300" w:rsidRPr="00872666" w:rsidP="00CE4300" w14:paraId="1FD87DCE" w14:textId="77777777">
            <w:pPr>
              <w:widowControl/>
              <w:autoSpaceDE/>
              <w:autoSpaceDN/>
              <w:adjustRightInd/>
              <w:jc w:val="center"/>
              <w:rPr>
                <w:rFonts w:eastAsia="Calibri"/>
                <w:sz w:val="20"/>
                <w:szCs w:val="20"/>
              </w:rPr>
            </w:pPr>
          </w:p>
        </w:tc>
        <w:tc>
          <w:tcPr>
            <w:tcW w:w="1170" w:type="dxa"/>
            <w:vAlign w:val="center"/>
          </w:tcPr>
          <w:p w:rsidR="00CE4300" w:rsidRPr="00872666" w:rsidP="00CE4300" w14:paraId="4F5EFF0F" w14:textId="77777777">
            <w:pPr>
              <w:widowControl/>
              <w:autoSpaceDE/>
              <w:autoSpaceDN/>
              <w:adjustRightInd/>
              <w:jc w:val="center"/>
              <w:rPr>
                <w:rFonts w:eastAsia="Calibri"/>
                <w:sz w:val="20"/>
                <w:szCs w:val="20"/>
              </w:rPr>
            </w:pPr>
          </w:p>
        </w:tc>
        <w:tc>
          <w:tcPr>
            <w:tcW w:w="1080" w:type="dxa"/>
            <w:noWrap/>
            <w:vAlign w:val="center"/>
          </w:tcPr>
          <w:p w:rsidR="00CE4300" w:rsidRPr="00872666" w:rsidP="00CE4300" w14:paraId="0A6BB746" w14:textId="77777777">
            <w:pPr>
              <w:widowControl/>
              <w:autoSpaceDE/>
              <w:autoSpaceDN/>
              <w:adjustRightInd/>
              <w:jc w:val="center"/>
              <w:rPr>
                <w:rFonts w:eastAsia="Calibri"/>
                <w:sz w:val="20"/>
                <w:szCs w:val="20"/>
              </w:rPr>
            </w:pPr>
          </w:p>
        </w:tc>
        <w:tc>
          <w:tcPr>
            <w:tcW w:w="1170" w:type="dxa"/>
            <w:vAlign w:val="center"/>
          </w:tcPr>
          <w:p w:rsidR="00CE4300" w:rsidRPr="00872666" w:rsidP="00CE4300" w14:paraId="61629D38" w14:textId="7A215A73">
            <w:pPr>
              <w:widowControl/>
              <w:autoSpaceDE/>
              <w:autoSpaceDN/>
              <w:adjustRightInd/>
              <w:jc w:val="center"/>
              <w:rPr>
                <w:rFonts w:eastAsia="Calibri"/>
                <w:sz w:val="20"/>
                <w:szCs w:val="20"/>
              </w:rPr>
            </w:pPr>
            <w:r>
              <w:rPr>
                <w:rFonts w:eastAsia="Calibri"/>
                <w:sz w:val="20"/>
                <w:szCs w:val="20"/>
              </w:rPr>
              <w:t>10,871</w:t>
            </w:r>
          </w:p>
        </w:tc>
        <w:tc>
          <w:tcPr>
            <w:tcW w:w="1260" w:type="dxa"/>
            <w:vAlign w:val="center"/>
          </w:tcPr>
          <w:p w:rsidR="00CE4300" w:rsidRPr="00FC7E1F" w:rsidP="00CE4300" w14:paraId="1F364E4E" w14:textId="11B5E20C">
            <w:pPr>
              <w:widowControl/>
              <w:autoSpaceDE/>
              <w:autoSpaceDN/>
              <w:adjustRightInd/>
              <w:jc w:val="center"/>
              <w:rPr>
                <w:rFonts w:eastAsia="Calibri"/>
                <w:sz w:val="20"/>
                <w:szCs w:val="20"/>
              </w:rPr>
            </w:pPr>
            <w:r>
              <w:rPr>
                <w:rFonts w:eastAsia="Calibri"/>
                <w:sz w:val="20"/>
                <w:szCs w:val="20"/>
              </w:rPr>
              <w:t>$1,254,238</w:t>
            </w:r>
          </w:p>
        </w:tc>
      </w:tr>
    </w:tbl>
    <w:p w:rsidR="00B85A58" w:rsidRPr="00140E48" w:rsidP="00140E48" w14:paraId="505AA5EC" w14:textId="77777777">
      <w:pPr>
        <w:pStyle w:val="BodyText"/>
        <w:kinsoku w:val="0"/>
        <w:overflowPunct w:val="0"/>
        <w:ind w:left="0" w:right="40"/>
      </w:pPr>
    </w:p>
    <w:p w:rsidR="00C83714" w:rsidP="00140E48" w14:paraId="7F206944" w14:textId="53D6BB65">
      <w:pPr>
        <w:pStyle w:val="BodyText"/>
        <w:kinsoku w:val="0"/>
        <w:overflowPunct w:val="0"/>
        <w:ind w:left="0" w:right="1563"/>
      </w:pPr>
      <w:r>
        <w:t xml:space="preserve">The table below includes a summary of burden to issuers related to </w:t>
      </w:r>
      <w:r w:rsidR="00221E40">
        <w:t>submission of all</w:t>
      </w:r>
      <w:r>
        <w:t xml:space="preserve"> parts of the </w:t>
      </w:r>
      <w:r w:rsidRPr="00BD4E8C">
        <w:t>Rate Filing Justification</w:t>
      </w:r>
      <w:r>
        <w:t>.</w:t>
      </w:r>
    </w:p>
    <w:p w:rsidR="00BD4E8C" w:rsidRPr="00140E48" w:rsidP="00140E48" w14:paraId="540AD33B" w14:textId="77777777">
      <w:pPr>
        <w:pStyle w:val="BodyText"/>
        <w:kinsoku w:val="0"/>
        <w:overflowPunct w:val="0"/>
        <w:ind w:left="0" w:right="1563"/>
      </w:pPr>
    </w:p>
    <w:p w:rsidR="00FE2076" w:rsidRPr="00140E48" w:rsidP="00140E48" w14:paraId="19734D5B" w14:textId="2FCB5F6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40E48">
        <w:rPr>
          <w:u w:val="single"/>
        </w:rPr>
        <w:t>Table 12</w:t>
      </w:r>
      <w:r w:rsidRPr="00140E48" w:rsidR="009D104D">
        <w:rPr>
          <w:u w:val="single"/>
        </w:rPr>
        <w:t>.</w:t>
      </w:r>
      <w:r w:rsidR="007F18EA">
        <w:rPr>
          <w:u w:val="single"/>
        </w:rPr>
        <w:t>5</w:t>
      </w:r>
      <w:r w:rsidRPr="00140E48" w:rsidR="009D104D">
        <w:rPr>
          <w:u w:val="single"/>
        </w:rPr>
        <w:t xml:space="preserve"> – </w:t>
      </w:r>
      <w:r w:rsidRPr="00140E48">
        <w:rPr>
          <w:u w:val="single"/>
        </w:rPr>
        <w:t>Estimated Annualized Burden Hours and Costs for Rate Filing</w:t>
      </w:r>
      <w:r w:rsidRPr="00140E48">
        <w:rPr>
          <w:spacing w:val="-19"/>
          <w:u w:val="single"/>
        </w:rPr>
        <w:t xml:space="preserve"> </w:t>
      </w:r>
      <w:r w:rsidRPr="00140E48">
        <w:rPr>
          <w:u w:val="single"/>
        </w:rPr>
        <w:t>Justification</w:t>
      </w:r>
      <w:r w:rsidRPr="00140E48" w:rsidR="003B0AB6">
        <w:rPr>
          <w:u w:val="single"/>
        </w:rPr>
        <w:t xml:space="preserve"> </w:t>
      </w:r>
      <w:r w:rsidRPr="00140E48" w:rsidR="009D104D">
        <w:rPr>
          <w:u w:val="single"/>
        </w:rPr>
        <w:t>for Issuers</w:t>
      </w:r>
    </w:p>
    <w:p w:rsidR="00676239" w:rsidRPr="00140E48" w:rsidP="00140E48" w14:paraId="776B69C2" w14:textId="77777777">
      <w:pPr>
        <w:pStyle w:val="BodyText"/>
        <w:kinsoku w:val="0"/>
        <w:overflowPunct w:val="0"/>
        <w:ind w:left="0"/>
      </w:pPr>
    </w:p>
    <w:tbl>
      <w:tblPr>
        <w:tblW w:w="100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170"/>
        <w:gridCol w:w="1170"/>
        <w:gridCol w:w="1170"/>
        <w:gridCol w:w="1080"/>
        <w:gridCol w:w="1170"/>
        <w:gridCol w:w="1080"/>
        <w:gridCol w:w="1080"/>
        <w:gridCol w:w="1170"/>
      </w:tblGrid>
      <w:tr w14:paraId="6548180F" w14:textId="77777777" w:rsidTr="000A46A6">
        <w:tblPrEx>
          <w:tblW w:w="100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32"/>
          <w:tblHeader/>
        </w:trPr>
        <w:tc>
          <w:tcPr>
            <w:tcW w:w="990" w:type="dxa"/>
            <w:vAlign w:val="bottom"/>
            <w:hideMark/>
          </w:tcPr>
          <w:p w:rsidR="000E64AB" w:rsidRPr="00FC7E1F" w:rsidP="00140E48" w14:paraId="6EC51F2D" w14:textId="77777777">
            <w:pPr>
              <w:widowControl/>
              <w:autoSpaceDE/>
              <w:autoSpaceDN/>
              <w:adjustRightInd/>
              <w:jc w:val="center"/>
              <w:rPr>
                <w:rFonts w:eastAsia="Calibri"/>
                <w:b/>
                <w:bCs/>
                <w:sz w:val="18"/>
                <w:szCs w:val="18"/>
              </w:rPr>
            </w:pPr>
          </w:p>
        </w:tc>
        <w:tc>
          <w:tcPr>
            <w:tcW w:w="1170" w:type="dxa"/>
            <w:vAlign w:val="center"/>
            <w:hideMark/>
          </w:tcPr>
          <w:p w:rsidR="000E64AB" w:rsidRPr="00FC7E1F" w:rsidP="007F18EA" w14:paraId="1B49EA2D" w14:textId="46ABF611">
            <w:pPr>
              <w:widowControl/>
              <w:autoSpaceDE/>
              <w:autoSpaceDN/>
              <w:adjustRightInd/>
              <w:jc w:val="center"/>
              <w:rPr>
                <w:rFonts w:eastAsia="Calibri"/>
                <w:b/>
                <w:bCs/>
                <w:sz w:val="18"/>
                <w:szCs w:val="18"/>
              </w:rPr>
            </w:pPr>
            <w:r w:rsidRPr="00FC7E1F">
              <w:rPr>
                <w:rFonts w:eastAsia="Calibri"/>
                <w:b/>
                <w:bCs/>
                <w:sz w:val="18"/>
                <w:szCs w:val="18"/>
              </w:rPr>
              <w:t>Number of URRT</w:t>
            </w:r>
            <w:r w:rsidR="007F18EA">
              <w:rPr>
                <w:rFonts w:eastAsia="Calibri"/>
                <w:b/>
                <w:bCs/>
                <w:sz w:val="18"/>
                <w:szCs w:val="18"/>
              </w:rPr>
              <w:t xml:space="preserve"> Submissions</w:t>
            </w:r>
          </w:p>
        </w:tc>
        <w:tc>
          <w:tcPr>
            <w:tcW w:w="1170" w:type="dxa"/>
            <w:vAlign w:val="center"/>
          </w:tcPr>
          <w:p w:rsidR="000E64AB" w:rsidRPr="00FC7E1F" w:rsidP="007F18EA" w14:paraId="7DA97851" w14:textId="25196C2E">
            <w:pPr>
              <w:widowControl/>
              <w:autoSpaceDE/>
              <w:autoSpaceDN/>
              <w:adjustRightInd/>
              <w:jc w:val="center"/>
              <w:rPr>
                <w:rFonts w:eastAsia="Calibri"/>
                <w:b/>
                <w:bCs/>
                <w:sz w:val="18"/>
                <w:szCs w:val="18"/>
              </w:rPr>
            </w:pPr>
            <w:r w:rsidRPr="00FC7E1F">
              <w:rPr>
                <w:rFonts w:eastAsia="Calibri"/>
                <w:b/>
                <w:bCs/>
                <w:sz w:val="18"/>
                <w:szCs w:val="18"/>
              </w:rPr>
              <w:t xml:space="preserve">Estimated Total </w:t>
            </w:r>
            <w:r w:rsidRPr="00FC7E1F">
              <w:rPr>
                <w:rFonts w:eastAsia="Calibri"/>
                <w:b/>
                <w:bCs/>
                <w:sz w:val="18"/>
                <w:szCs w:val="18"/>
              </w:rPr>
              <w:t>Burden Hours for URRT</w:t>
            </w:r>
            <w:r w:rsidR="007F18EA">
              <w:rPr>
                <w:rFonts w:eastAsia="Calibri"/>
                <w:b/>
                <w:bCs/>
                <w:sz w:val="18"/>
                <w:szCs w:val="18"/>
              </w:rPr>
              <w:t xml:space="preserve"> Submissions</w:t>
            </w:r>
          </w:p>
        </w:tc>
        <w:tc>
          <w:tcPr>
            <w:tcW w:w="1170" w:type="dxa"/>
            <w:vAlign w:val="center"/>
          </w:tcPr>
          <w:p w:rsidR="000E64AB" w:rsidRPr="00FC7E1F" w:rsidP="007F18EA" w14:paraId="6979AF90" w14:textId="53C224D1">
            <w:pPr>
              <w:widowControl/>
              <w:autoSpaceDE/>
              <w:autoSpaceDN/>
              <w:adjustRightInd/>
              <w:jc w:val="center"/>
              <w:rPr>
                <w:rFonts w:eastAsia="Calibri"/>
                <w:b/>
                <w:bCs/>
                <w:sz w:val="18"/>
                <w:szCs w:val="18"/>
              </w:rPr>
            </w:pPr>
            <w:r w:rsidRPr="00FC7E1F">
              <w:rPr>
                <w:rFonts w:eastAsia="Calibri"/>
                <w:b/>
                <w:bCs/>
                <w:sz w:val="18"/>
                <w:szCs w:val="18"/>
              </w:rPr>
              <w:t xml:space="preserve">Number of </w:t>
            </w:r>
            <w:r w:rsidR="0035052C">
              <w:rPr>
                <w:rFonts w:eastAsia="Calibri"/>
                <w:b/>
                <w:bCs/>
                <w:sz w:val="18"/>
                <w:szCs w:val="18"/>
              </w:rPr>
              <w:t>C</w:t>
            </w:r>
            <w:r w:rsidRPr="00FC7E1F" w:rsidR="0035052C">
              <w:rPr>
                <w:rFonts w:eastAsia="Calibri"/>
                <w:b/>
                <w:bCs/>
                <w:sz w:val="18"/>
                <w:szCs w:val="18"/>
              </w:rPr>
              <w:t xml:space="preserve">onsumer </w:t>
            </w:r>
            <w:r w:rsidR="0035052C">
              <w:rPr>
                <w:rFonts w:eastAsia="Calibri"/>
                <w:b/>
                <w:bCs/>
                <w:sz w:val="18"/>
                <w:szCs w:val="18"/>
              </w:rPr>
              <w:t>J</w:t>
            </w:r>
            <w:r w:rsidRPr="00FC7E1F" w:rsidR="0035052C">
              <w:rPr>
                <w:rFonts w:eastAsia="Calibri"/>
                <w:b/>
                <w:bCs/>
                <w:sz w:val="18"/>
                <w:szCs w:val="18"/>
              </w:rPr>
              <w:t xml:space="preserve">ustification </w:t>
            </w:r>
            <w:r w:rsidR="0035052C">
              <w:rPr>
                <w:rFonts w:eastAsia="Calibri"/>
                <w:b/>
                <w:bCs/>
                <w:sz w:val="18"/>
                <w:szCs w:val="18"/>
              </w:rPr>
              <w:t>N</w:t>
            </w:r>
            <w:r w:rsidRPr="00FC7E1F" w:rsidR="0035052C">
              <w:rPr>
                <w:rFonts w:eastAsia="Calibri"/>
                <w:b/>
                <w:bCs/>
                <w:sz w:val="18"/>
                <w:szCs w:val="18"/>
              </w:rPr>
              <w:t>arratives</w:t>
            </w:r>
          </w:p>
        </w:tc>
        <w:tc>
          <w:tcPr>
            <w:tcW w:w="1080" w:type="dxa"/>
            <w:vAlign w:val="center"/>
            <w:hideMark/>
          </w:tcPr>
          <w:p w:rsidR="000E64AB" w:rsidRPr="00FC7E1F" w:rsidP="007F18EA" w14:paraId="7C511621" w14:textId="1B428A65">
            <w:pPr>
              <w:widowControl/>
              <w:autoSpaceDE/>
              <w:autoSpaceDN/>
              <w:adjustRightInd/>
              <w:jc w:val="center"/>
              <w:rPr>
                <w:rFonts w:eastAsia="Calibri"/>
                <w:b/>
                <w:bCs/>
                <w:sz w:val="18"/>
                <w:szCs w:val="18"/>
              </w:rPr>
            </w:pPr>
            <w:r w:rsidRPr="00FC7E1F">
              <w:rPr>
                <w:rFonts w:eastAsia="Calibri"/>
                <w:b/>
                <w:bCs/>
                <w:sz w:val="18"/>
                <w:szCs w:val="18"/>
              </w:rPr>
              <w:t xml:space="preserve">Estimated Total </w:t>
            </w:r>
            <w:r w:rsidRPr="00FC7E1F">
              <w:rPr>
                <w:rFonts w:eastAsia="Calibri"/>
                <w:b/>
                <w:bCs/>
                <w:sz w:val="18"/>
                <w:szCs w:val="18"/>
              </w:rPr>
              <w:t xml:space="preserve">Burden Hours for </w:t>
            </w:r>
            <w:r w:rsidR="007F18EA">
              <w:rPr>
                <w:rFonts w:eastAsia="Calibri"/>
                <w:b/>
                <w:bCs/>
                <w:sz w:val="18"/>
                <w:szCs w:val="18"/>
              </w:rPr>
              <w:t>N</w:t>
            </w:r>
            <w:r w:rsidRPr="00FC7E1F" w:rsidR="007F18EA">
              <w:rPr>
                <w:rFonts w:eastAsia="Calibri"/>
                <w:b/>
                <w:bCs/>
                <w:sz w:val="18"/>
                <w:szCs w:val="18"/>
              </w:rPr>
              <w:t>arratives</w:t>
            </w:r>
          </w:p>
        </w:tc>
        <w:tc>
          <w:tcPr>
            <w:tcW w:w="1170" w:type="dxa"/>
            <w:vAlign w:val="center"/>
          </w:tcPr>
          <w:p w:rsidR="000E64AB" w:rsidRPr="00FC7E1F" w:rsidP="005E5EC6" w14:paraId="567262B1" w14:textId="5AE6840B">
            <w:pPr>
              <w:widowControl/>
              <w:autoSpaceDE/>
              <w:autoSpaceDN/>
              <w:adjustRightInd/>
              <w:jc w:val="center"/>
              <w:rPr>
                <w:rFonts w:eastAsia="Calibri"/>
                <w:b/>
                <w:bCs/>
                <w:sz w:val="18"/>
                <w:szCs w:val="18"/>
              </w:rPr>
            </w:pPr>
            <w:r w:rsidRPr="00FC7E1F">
              <w:rPr>
                <w:rFonts w:eastAsia="Calibri"/>
                <w:b/>
                <w:bCs/>
                <w:sz w:val="18"/>
                <w:szCs w:val="18"/>
              </w:rPr>
              <w:t xml:space="preserve">Number of </w:t>
            </w:r>
            <w:r w:rsidR="0035052C">
              <w:rPr>
                <w:rFonts w:eastAsia="Calibri"/>
                <w:b/>
                <w:bCs/>
                <w:sz w:val="18"/>
                <w:szCs w:val="18"/>
              </w:rPr>
              <w:t>A</w:t>
            </w:r>
            <w:r w:rsidRPr="00FC7E1F" w:rsidR="0035052C">
              <w:rPr>
                <w:rFonts w:eastAsia="Calibri"/>
                <w:b/>
                <w:bCs/>
                <w:sz w:val="18"/>
                <w:szCs w:val="18"/>
              </w:rPr>
              <w:t xml:space="preserve">ctuarial </w:t>
            </w:r>
            <w:r w:rsidR="0035052C">
              <w:rPr>
                <w:rFonts w:eastAsia="Calibri"/>
                <w:b/>
                <w:bCs/>
                <w:sz w:val="18"/>
                <w:szCs w:val="18"/>
              </w:rPr>
              <w:t>M</w:t>
            </w:r>
            <w:r w:rsidRPr="00FC7E1F" w:rsidR="0035052C">
              <w:rPr>
                <w:rFonts w:eastAsia="Calibri"/>
                <w:b/>
                <w:bCs/>
                <w:sz w:val="18"/>
                <w:szCs w:val="18"/>
              </w:rPr>
              <w:t>emoranda</w:t>
            </w:r>
          </w:p>
        </w:tc>
        <w:tc>
          <w:tcPr>
            <w:tcW w:w="1080" w:type="dxa"/>
            <w:vAlign w:val="center"/>
          </w:tcPr>
          <w:p w:rsidR="000E64AB" w:rsidRPr="00FC7E1F" w:rsidP="007F18EA" w14:paraId="793C68DC" w14:textId="77777777">
            <w:pPr>
              <w:widowControl/>
              <w:autoSpaceDE/>
              <w:autoSpaceDN/>
              <w:adjustRightInd/>
              <w:jc w:val="center"/>
              <w:rPr>
                <w:rFonts w:eastAsia="Calibri"/>
                <w:b/>
                <w:bCs/>
                <w:sz w:val="18"/>
                <w:szCs w:val="18"/>
              </w:rPr>
            </w:pPr>
            <w:r w:rsidRPr="00FC7E1F">
              <w:rPr>
                <w:rFonts w:eastAsia="Calibri"/>
                <w:b/>
                <w:bCs/>
                <w:sz w:val="18"/>
                <w:szCs w:val="18"/>
              </w:rPr>
              <w:t xml:space="preserve">Estimated Total </w:t>
            </w:r>
            <w:r w:rsidRPr="00FC7E1F">
              <w:rPr>
                <w:rFonts w:eastAsia="Calibri"/>
                <w:b/>
                <w:bCs/>
                <w:sz w:val="18"/>
                <w:szCs w:val="18"/>
              </w:rPr>
              <w:t>Burden Hours for Actuarial Memos</w:t>
            </w:r>
          </w:p>
        </w:tc>
        <w:tc>
          <w:tcPr>
            <w:tcW w:w="1080" w:type="dxa"/>
            <w:vAlign w:val="center"/>
          </w:tcPr>
          <w:p w:rsidR="001870F8" w:rsidRPr="00FC7E1F" w:rsidP="007F18EA" w14:paraId="1D8FB15E" w14:textId="77777777">
            <w:pPr>
              <w:widowControl/>
              <w:autoSpaceDE/>
              <w:autoSpaceDN/>
              <w:adjustRightInd/>
              <w:jc w:val="center"/>
              <w:rPr>
                <w:rFonts w:eastAsia="Calibri"/>
                <w:b/>
                <w:bCs/>
                <w:sz w:val="18"/>
                <w:szCs w:val="18"/>
              </w:rPr>
            </w:pPr>
          </w:p>
          <w:p w:rsidR="000E64AB" w:rsidRPr="00FC7E1F" w:rsidP="007F18EA" w14:paraId="2C9416ED" w14:textId="7468B175">
            <w:pPr>
              <w:widowControl/>
              <w:autoSpaceDE/>
              <w:autoSpaceDN/>
              <w:adjustRightInd/>
              <w:jc w:val="center"/>
              <w:rPr>
                <w:rFonts w:eastAsia="Calibri"/>
                <w:b/>
                <w:bCs/>
                <w:sz w:val="18"/>
                <w:szCs w:val="18"/>
              </w:rPr>
            </w:pPr>
            <w:r w:rsidRPr="00FC7E1F">
              <w:rPr>
                <w:rFonts w:eastAsia="Calibri"/>
                <w:b/>
                <w:bCs/>
                <w:sz w:val="18"/>
                <w:szCs w:val="18"/>
              </w:rPr>
              <w:t xml:space="preserve">Estimated Total </w:t>
            </w:r>
            <w:r w:rsidRPr="00FC7E1F" w:rsidR="009C7E50">
              <w:rPr>
                <w:rFonts w:eastAsia="Calibri"/>
                <w:b/>
                <w:bCs/>
                <w:sz w:val="18"/>
                <w:szCs w:val="18"/>
              </w:rPr>
              <w:t xml:space="preserve">Burden Hours for </w:t>
            </w:r>
            <w:r w:rsidR="007F18EA">
              <w:rPr>
                <w:rFonts w:eastAsia="Calibri"/>
                <w:b/>
                <w:bCs/>
                <w:sz w:val="18"/>
                <w:szCs w:val="18"/>
              </w:rPr>
              <w:t>A</w:t>
            </w:r>
            <w:r w:rsidRPr="00FC7E1F" w:rsidR="007F18EA">
              <w:rPr>
                <w:rFonts w:eastAsia="Calibri"/>
                <w:b/>
                <w:bCs/>
                <w:sz w:val="18"/>
                <w:szCs w:val="18"/>
              </w:rPr>
              <w:t xml:space="preserve">ll </w:t>
            </w:r>
            <w:r w:rsidRPr="00FC7E1F" w:rsidR="009C7E50">
              <w:rPr>
                <w:rFonts w:eastAsia="Calibri"/>
                <w:b/>
                <w:bCs/>
                <w:sz w:val="18"/>
                <w:szCs w:val="18"/>
              </w:rPr>
              <w:t xml:space="preserve">3 </w:t>
            </w:r>
            <w:r w:rsidR="00044AEC">
              <w:rPr>
                <w:rFonts w:eastAsia="Calibri"/>
                <w:b/>
                <w:bCs/>
                <w:sz w:val="18"/>
                <w:szCs w:val="18"/>
              </w:rPr>
              <w:t>P</w:t>
            </w:r>
            <w:r w:rsidRPr="00FC7E1F" w:rsidR="00044AEC">
              <w:rPr>
                <w:rFonts w:eastAsia="Calibri"/>
                <w:b/>
                <w:bCs/>
                <w:sz w:val="18"/>
                <w:szCs w:val="18"/>
              </w:rPr>
              <w:t xml:space="preserve">arts </w:t>
            </w:r>
            <w:r w:rsidRPr="00FC7E1F" w:rsidR="009C7E50">
              <w:rPr>
                <w:rFonts w:eastAsia="Calibri"/>
                <w:b/>
                <w:bCs/>
                <w:sz w:val="18"/>
                <w:szCs w:val="18"/>
              </w:rPr>
              <w:t>of Rate Filing</w:t>
            </w:r>
          </w:p>
        </w:tc>
        <w:tc>
          <w:tcPr>
            <w:tcW w:w="1170" w:type="dxa"/>
            <w:vAlign w:val="center"/>
            <w:hideMark/>
          </w:tcPr>
          <w:p w:rsidR="000E64AB" w:rsidRPr="00FC7E1F" w:rsidP="007F18EA" w14:paraId="48404948" w14:textId="7576932F">
            <w:pPr>
              <w:widowControl/>
              <w:autoSpaceDE/>
              <w:autoSpaceDN/>
              <w:adjustRightInd/>
              <w:jc w:val="center"/>
              <w:rPr>
                <w:rFonts w:eastAsia="Calibri"/>
                <w:b/>
                <w:bCs/>
                <w:sz w:val="18"/>
                <w:szCs w:val="18"/>
              </w:rPr>
            </w:pPr>
            <w:r w:rsidRPr="00FC7E1F">
              <w:rPr>
                <w:rFonts w:eastAsia="Calibri"/>
                <w:b/>
                <w:bCs/>
                <w:sz w:val="18"/>
                <w:szCs w:val="18"/>
              </w:rPr>
              <w:t xml:space="preserve">Estimated </w:t>
            </w:r>
            <w:r w:rsidRPr="00FC7E1F">
              <w:rPr>
                <w:rFonts w:eastAsia="Calibri"/>
                <w:b/>
                <w:bCs/>
                <w:sz w:val="18"/>
                <w:szCs w:val="18"/>
              </w:rPr>
              <w:t>Total Cost</w:t>
            </w:r>
            <w:r w:rsidRPr="00FC7E1F">
              <w:rPr>
                <w:rFonts w:eastAsia="Calibri"/>
                <w:b/>
                <w:bCs/>
                <w:sz w:val="18"/>
                <w:szCs w:val="18"/>
              </w:rPr>
              <w:t xml:space="preserve"> for</w:t>
            </w:r>
            <w:r w:rsidR="007F18EA">
              <w:rPr>
                <w:rFonts w:eastAsia="Calibri"/>
                <w:b/>
                <w:bCs/>
                <w:sz w:val="18"/>
                <w:szCs w:val="18"/>
              </w:rPr>
              <w:t xml:space="preserve"> All</w:t>
            </w:r>
            <w:r w:rsidRPr="00FC7E1F">
              <w:rPr>
                <w:rFonts w:eastAsia="Calibri"/>
                <w:b/>
                <w:bCs/>
                <w:sz w:val="18"/>
                <w:szCs w:val="18"/>
              </w:rPr>
              <w:t xml:space="preserve"> 3 </w:t>
            </w:r>
            <w:r w:rsidR="007F18EA">
              <w:rPr>
                <w:rFonts w:eastAsia="Calibri"/>
                <w:b/>
                <w:bCs/>
                <w:sz w:val="18"/>
                <w:szCs w:val="18"/>
              </w:rPr>
              <w:t>P</w:t>
            </w:r>
            <w:r w:rsidRPr="00FC7E1F" w:rsidR="007F18EA">
              <w:rPr>
                <w:rFonts w:eastAsia="Calibri"/>
                <w:b/>
                <w:bCs/>
                <w:sz w:val="18"/>
                <w:szCs w:val="18"/>
              </w:rPr>
              <w:t xml:space="preserve">arts </w:t>
            </w:r>
            <w:r w:rsidRPr="00FC7E1F">
              <w:rPr>
                <w:rFonts w:eastAsia="Calibri"/>
                <w:b/>
                <w:bCs/>
                <w:sz w:val="18"/>
                <w:szCs w:val="18"/>
              </w:rPr>
              <w:t>of Rate Filing</w:t>
            </w:r>
          </w:p>
        </w:tc>
      </w:tr>
      <w:tr w14:paraId="6B39A36C" w14:textId="77777777" w:rsidTr="000A46A6">
        <w:tblPrEx>
          <w:tblW w:w="10080" w:type="dxa"/>
          <w:tblInd w:w="85" w:type="dxa"/>
          <w:tblLayout w:type="fixed"/>
          <w:tblLook w:val="04A0"/>
        </w:tblPrEx>
        <w:trPr>
          <w:trHeight w:val="797"/>
        </w:trPr>
        <w:tc>
          <w:tcPr>
            <w:tcW w:w="990" w:type="dxa"/>
            <w:noWrap/>
            <w:vAlign w:val="center"/>
          </w:tcPr>
          <w:p w:rsidR="000E64AB" w:rsidRPr="00FC7E1F" w:rsidP="007F18EA" w14:paraId="19CFED8A" w14:textId="16385AFA">
            <w:pPr>
              <w:widowControl/>
              <w:autoSpaceDE/>
              <w:autoSpaceDN/>
              <w:adjustRightInd/>
              <w:rPr>
                <w:rFonts w:eastAsia="Calibri"/>
                <w:b/>
                <w:bCs/>
                <w:sz w:val="20"/>
                <w:szCs w:val="20"/>
              </w:rPr>
            </w:pPr>
            <w:r w:rsidRPr="00FC7E1F">
              <w:rPr>
                <w:rFonts w:eastAsia="Calibri"/>
                <w:b/>
                <w:bCs/>
                <w:sz w:val="20"/>
                <w:szCs w:val="20"/>
              </w:rPr>
              <w:t xml:space="preserve">Issuers in </w:t>
            </w:r>
            <w:r w:rsidRPr="00FC7E1F" w:rsidR="00E3741B">
              <w:rPr>
                <w:rFonts w:eastAsia="Calibri"/>
                <w:b/>
                <w:bCs/>
                <w:sz w:val="20"/>
                <w:szCs w:val="20"/>
              </w:rPr>
              <w:t>OK,</w:t>
            </w:r>
            <w:r w:rsidR="00E3741B">
              <w:rPr>
                <w:rFonts w:eastAsia="Calibri"/>
                <w:b/>
                <w:bCs/>
                <w:sz w:val="20"/>
                <w:szCs w:val="20"/>
              </w:rPr>
              <w:t xml:space="preserve"> TN,</w:t>
            </w:r>
            <w:r w:rsidRPr="00FC7E1F" w:rsidR="00E3741B">
              <w:rPr>
                <w:rFonts w:eastAsia="Calibri"/>
                <w:b/>
                <w:bCs/>
                <w:sz w:val="20"/>
                <w:szCs w:val="20"/>
              </w:rPr>
              <w:t xml:space="preserve"> WY</w:t>
            </w:r>
            <w:r w:rsidR="00E3741B">
              <w:rPr>
                <w:rFonts w:eastAsia="Calibri"/>
                <w:b/>
                <w:bCs/>
                <w:sz w:val="20"/>
                <w:szCs w:val="20"/>
              </w:rPr>
              <w:t>,</w:t>
            </w:r>
            <w:r w:rsidRPr="00FC7E1F" w:rsidR="00E3741B">
              <w:rPr>
                <w:rFonts w:eastAsia="Calibri"/>
                <w:b/>
                <w:bCs/>
                <w:sz w:val="20"/>
                <w:szCs w:val="20"/>
              </w:rPr>
              <w:t xml:space="preserve"> and </w:t>
            </w:r>
            <w:r w:rsidRPr="00FC7E1F">
              <w:rPr>
                <w:rFonts w:eastAsia="Calibri"/>
                <w:b/>
                <w:bCs/>
                <w:sz w:val="20"/>
                <w:szCs w:val="20"/>
              </w:rPr>
              <w:t>FL</w:t>
            </w:r>
            <w:r>
              <w:rPr>
                <w:rStyle w:val="FootnoteReference"/>
                <w:rFonts w:eastAsia="Calibri"/>
                <w:b/>
                <w:bCs/>
                <w:sz w:val="20"/>
                <w:szCs w:val="20"/>
              </w:rPr>
              <w:footnoteReference w:id="8"/>
            </w:r>
          </w:p>
        </w:tc>
        <w:tc>
          <w:tcPr>
            <w:tcW w:w="1170" w:type="dxa"/>
            <w:noWrap/>
            <w:vAlign w:val="center"/>
          </w:tcPr>
          <w:p w:rsidR="000E64AB" w:rsidRPr="00FC7E1F" w:rsidP="00C63E6B" w14:paraId="58D884CC" w14:textId="424F198F">
            <w:pPr>
              <w:widowControl/>
              <w:autoSpaceDE/>
              <w:autoSpaceDN/>
              <w:adjustRightInd/>
              <w:jc w:val="center"/>
              <w:rPr>
                <w:rFonts w:eastAsia="Calibri"/>
                <w:sz w:val="20"/>
                <w:szCs w:val="20"/>
              </w:rPr>
            </w:pPr>
            <w:r>
              <w:rPr>
                <w:rFonts w:eastAsia="Calibri"/>
                <w:sz w:val="20"/>
                <w:szCs w:val="20"/>
              </w:rPr>
              <w:t>60</w:t>
            </w:r>
          </w:p>
        </w:tc>
        <w:tc>
          <w:tcPr>
            <w:tcW w:w="1170" w:type="dxa"/>
            <w:vAlign w:val="center"/>
          </w:tcPr>
          <w:p w:rsidR="000E64AB" w:rsidRPr="00FC7E1F" w:rsidP="00C63E6B" w14:paraId="056B72C2" w14:textId="7B99AF07">
            <w:pPr>
              <w:widowControl/>
              <w:autoSpaceDE/>
              <w:autoSpaceDN/>
              <w:adjustRightInd/>
              <w:jc w:val="center"/>
              <w:rPr>
                <w:rFonts w:eastAsia="Calibri"/>
                <w:sz w:val="20"/>
                <w:szCs w:val="20"/>
              </w:rPr>
            </w:pPr>
            <w:r>
              <w:rPr>
                <w:rFonts w:eastAsia="Calibri"/>
                <w:sz w:val="20"/>
                <w:szCs w:val="20"/>
              </w:rPr>
              <w:t>540</w:t>
            </w:r>
          </w:p>
        </w:tc>
        <w:tc>
          <w:tcPr>
            <w:tcW w:w="1170" w:type="dxa"/>
            <w:vAlign w:val="center"/>
          </w:tcPr>
          <w:p w:rsidR="000E64AB" w:rsidRPr="00FC7E1F" w:rsidP="00C63E6B" w14:paraId="061E3E7E" w14:textId="0AA84A7D">
            <w:pPr>
              <w:widowControl/>
              <w:autoSpaceDE/>
              <w:autoSpaceDN/>
              <w:adjustRightInd/>
              <w:jc w:val="center"/>
              <w:rPr>
                <w:rFonts w:eastAsia="Calibri"/>
                <w:sz w:val="20"/>
                <w:szCs w:val="20"/>
              </w:rPr>
            </w:pPr>
            <w:r>
              <w:rPr>
                <w:rFonts w:eastAsia="Calibri"/>
                <w:sz w:val="20"/>
                <w:szCs w:val="20"/>
              </w:rPr>
              <w:t>9</w:t>
            </w:r>
          </w:p>
        </w:tc>
        <w:tc>
          <w:tcPr>
            <w:tcW w:w="1080" w:type="dxa"/>
            <w:noWrap/>
            <w:vAlign w:val="center"/>
          </w:tcPr>
          <w:p w:rsidR="000E64AB" w:rsidRPr="00FC7E1F" w:rsidP="00C63E6B" w14:paraId="51501C39" w14:textId="732304CD">
            <w:pPr>
              <w:widowControl/>
              <w:autoSpaceDE/>
              <w:autoSpaceDN/>
              <w:adjustRightInd/>
              <w:jc w:val="center"/>
              <w:rPr>
                <w:rFonts w:eastAsia="Calibri"/>
                <w:sz w:val="20"/>
                <w:szCs w:val="20"/>
              </w:rPr>
            </w:pPr>
            <w:r>
              <w:rPr>
                <w:rFonts w:eastAsia="Calibri"/>
                <w:sz w:val="20"/>
                <w:szCs w:val="20"/>
              </w:rPr>
              <w:t>13.5</w:t>
            </w:r>
          </w:p>
        </w:tc>
        <w:tc>
          <w:tcPr>
            <w:tcW w:w="1170" w:type="dxa"/>
            <w:vAlign w:val="center"/>
          </w:tcPr>
          <w:p w:rsidR="000E64AB" w:rsidRPr="00FC7E1F" w:rsidP="00C63E6B" w14:paraId="0957963F" w14:textId="296FD064">
            <w:pPr>
              <w:widowControl/>
              <w:autoSpaceDE/>
              <w:autoSpaceDN/>
              <w:adjustRightInd/>
              <w:jc w:val="center"/>
              <w:rPr>
                <w:rFonts w:eastAsia="Calibri"/>
                <w:sz w:val="20"/>
                <w:szCs w:val="20"/>
              </w:rPr>
            </w:pPr>
            <w:r>
              <w:rPr>
                <w:rFonts w:eastAsia="Calibri"/>
                <w:sz w:val="20"/>
                <w:szCs w:val="20"/>
              </w:rPr>
              <w:t>60</w:t>
            </w:r>
          </w:p>
        </w:tc>
        <w:tc>
          <w:tcPr>
            <w:tcW w:w="1080" w:type="dxa"/>
            <w:vAlign w:val="center"/>
          </w:tcPr>
          <w:p w:rsidR="000E64AB" w:rsidRPr="00FC7E1F" w:rsidP="00C63E6B" w14:paraId="002B92B5" w14:textId="0E231134">
            <w:pPr>
              <w:widowControl/>
              <w:autoSpaceDE/>
              <w:autoSpaceDN/>
              <w:adjustRightInd/>
              <w:jc w:val="center"/>
              <w:rPr>
                <w:rFonts w:eastAsia="Calibri"/>
                <w:sz w:val="20"/>
                <w:szCs w:val="20"/>
              </w:rPr>
            </w:pPr>
            <w:r>
              <w:rPr>
                <w:rFonts w:eastAsia="Calibri"/>
                <w:sz w:val="20"/>
                <w:szCs w:val="20"/>
              </w:rPr>
              <w:t>840</w:t>
            </w:r>
          </w:p>
        </w:tc>
        <w:tc>
          <w:tcPr>
            <w:tcW w:w="1080" w:type="dxa"/>
            <w:vAlign w:val="center"/>
          </w:tcPr>
          <w:p w:rsidR="000E64AB" w:rsidRPr="00FC7E1F" w:rsidP="00C63E6B" w14:paraId="22A7D67D" w14:textId="631BC759">
            <w:pPr>
              <w:widowControl/>
              <w:autoSpaceDE/>
              <w:autoSpaceDN/>
              <w:adjustRightInd/>
              <w:jc w:val="center"/>
              <w:rPr>
                <w:rFonts w:eastAsia="Calibri"/>
                <w:sz w:val="20"/>
                <w:szCs w:val="20"/>
              </w:rPr>
            </w:pPr>
            <w:r>
              <w:rPr>
                <w:rFonts w:eastAsia="Calibri"/>
                <w:sz w:val="20"/>
                <w:szCs w:val="20"/>
              </w:rPr>
              <w:t>1,39</w:t>
            </w:r>
            <w:r w:rsidR="00971208">
              <w:rPr>
                <w:rFonts w:eastAsia="Calibri"/>
                <w:sz w:val="20"/>
                <w:szCs w:val="20"/>
              </w:rPr>
              <w:t>4</w:t>
            </w:r>
          </w:p>
        </w:tc>
        <w:tc>
          <w:tcPr>
            <w:tcW w:w="1170" w:type="dxa"/>
            <w:noWrap/>
            <w:vAlign w:val="center"/>
          </w:tcPr>
          <w:p w:rsidR="000E64AB" w:rsidRPr="00FC7E1F" w:rsidP="00C63E6B" w14:paraId="1BDC3DC0" w14:textId="5FBA99FF">
            <w:pPr>
              <w:widowControl/>
              <w:autoSpaceDE/>
              <w:autoSpaceDN/>
              <w:adjustRightInd/>
              <w:jc w:val="center"/>
              <w:rPr>
                <w:rFonts w:eastAsia="Calibri"/>
                <w:sz w:val="20"/>
                <w:szCs w:val="20"/>
              </w:rPr>
            </w:pPr>
            <w:r w:rsidRPr="00FC7E1F">
              <w:rPr>
                <w:rFonts w:eastAsia="Calibri"/>
                <w:sz w:val="20"/>
                <w:szCs w:val="20"/>
              </w:rPr>
              <w:t>$</w:t>
            </w:r>
            <w:r w:rsidRPr="00FC7E1F" w:rsidR="00014D49">
              <w:rPr>
                <w:rFonts w:eastAsia="Calibri"/>
                <w:sz w:val="20"/>
                <w:szCs w:val="20"/>
              </w:rPr>
              <w:t>1</w:t>
            </w:r>
            <w:r w:rsidR="000931FE">
              <w:rPr>
                <w:rFonts w:eastAsia="Calibri"/>
                <w:sz w:val="20"/>
                <w:szCs w:val="20"/>
              </w:rPr>
              <w:t>60,782</w:t>
            </w:r>
          </w:p>
        </w:tc>
      </w:tr>
      <w:tr w14:paraId="7BEF8E85" w14:textId="77777777" w:rsidTr="000A46A6">
        <w:tblPrEx>
          <w:tblW w:w="10080" w:type="dxa"/>
          <w:tblInd w:w="85" w:type="dxa"/>
          <w:tblLayout w:type="fixed"/>
          <w:tblLook w:val="04A0"/>
        </w:tblPrEx>
        <w:trPr>
          <w:trHeight w:val="282"/>
        </w:trPr>
        <w:tc>
          <w:tcPr>
            <w:tcW w:w="990" w:type="dxa"/>
            <w:noWrap/>
            <w:vAlign w:val="center"/>
          </w:tcPr>
          <w:p w:rsidR="000E64AB" w:rsidRPr="00FC7E1F" w:rsidP="007F18EA" w14:paraId="1D3F5AAD" w14:textId="42700743">
            <w:pPr>
              <w:widowControl/>
              <w:autoSpaceDE/>
              <w:autoSpaceDN/>
              <w:adjustRightInd/>
              <w:rPr>
                <w:rFonts w:eastAsia="Calibri"/>
                <w:b/>
                <w:bCs/>
                <w:sz w:val="20"/>
                <w:szCs w:val="20"/>
              </w:rPr>
            </w:pPr>
            <w:r w:rsidRPr="00FC7E1F">
              <w:rPr>
                <w:rFonts w:eastAsia="Calibri"/>
                <w:b/>
                <w:bCs/>
                <w:sz w:val="20"/>
                <w:szCs w:val="20"/>
              </w:rPr>
              <w:t xml:space="preserve">Issuers in all other </w:t>
            </w:r>
            <w:r w:rsidR="00537E5F">
              <w:rPr>
                <w:rFonts w:eastAsia="Calibri"/>
                <w:b/>
                <w:bCs/>
                <w:sz w:val="20"/>
                <w:szCs w:val="20"/>
              </w:rPr>
              <w:t>S</w:t>
            </w:r>
            <w:r w:rsidRPr="00FC7E1F">
              <w:rPr>
                <w:rFonts w:eastAsia="Calibri"/>
                <w:b/>
                <w:bCs/>
                <w:sz w:val="20"/>
                <w:szCs w:val="20"/>
              </w:rPr>
              <w:t>tates</w:t>
            </w:r>
          </w:p>
        </w:tc>
        <w:tc>
          <w:tcPr>
            <w:tcW w:w="1170" w:type="dxa"/>
            <w:noWrap/>
            <w:vAlign w:val="center"/>
          </w:tcPr>
          <w:p w:rsidR="000E64AB" w:rsidRPr="00FC7E1F" w:rsidP="00C63E6B" w14:paraId="22865CD1" w14:textId="0D8EA901">
            <w:pPr>
              <w:widowControl/>
              <w:autoSpaceDE/>
              <w:autoSpaceDN/>
              <w:adjustRightInd/>
              <w:jc w:val="center"/>
              <w:rPr>
                <w:rFonts w:eastAsia="Calibri"/>
                <w:sz w:val="20"/>
                <w:szCs w:val="20"/>
              </w:rPr>
            </w:pPr>
            <w:r>
              <w:rPr>
                <w:rFonts w:eastAsia="Calibri"/>
                <w:sz w:val="20"/>
                <w:szCs w:val="20"/>
              </w:rPr>
              <w:t>743</w:t>
            </w:r>
          </w:p>
        </w:tc>
        <w:tc>
          <w:tcPr>
            <w:tcW w:w="1170" w:type="dxa"/>
            <w:vAlign w:val="center"/>
          </w:tcPr>
          <w:p w:rsidR="000E64AB" w:rsidRPr="00FC7E1F" w:rsidP="00C63E6B" w14:paraId="17A379B9" w14:textId="563D1CD4">
            <w:pPr>
              <w:widowControl/>
              <w:autoSpaceDE/>
              <w:autoSpaceDN/>
              <w:adjustRightInd/>
              <w:jc w:val="center"/>
              <w:rPr>
                <w:rFonts w:eastAsia="Calibri"/>
                <w:sz w:val="20"/>
                <w:szCs w:val="20"/>
              </w:rPr>
            </w:pPr>
            <w:r>
              <w:rPr>
                <w:rFonts w:eastAsia="Calibri"/>
                <w:sz w:val="20"/>
                <w:szCs w:val="20"/>
              </w:rPr>
              <w:t>5,944</w:t>
            </w:r>
          </w:p>
        </w:tc>
        <w:tc>
          <w:tcPr>
            <w:tcW w:w="1170" w:type="dxa"/>
            <w:vAlign w:val="center"/>
          </w:tcPr>
          <w:p w:rsidR="000E64AB" w:rsidRPr="00FC7E1F" w:rsidP="00C63E6B" w14:paraId="75815FBB" w14:textId="32EE8490">
            <w:pPr>
              <w:widowControl/>
              <w:autoSpaceDE/>
              <w:autoSpaceDN/>
              <w:adjustRightInd/>
              <w:jc w:val="center"/>
              <w:rPr>
                <w:rFonts w:eastAsia="Calibri"/>
                <w:sz w:val="20"/>
                <w:szCs w:val="20"/>
              </w:rPr>
            </w:pPr>
            <w:r>
              <w:rPr>
                <w:rFonts w:eastAsia="Calibri"/>
                <w:sz w:val="20"/>
                <w:szCs w:val="20"/>
              </w:rPr>
              <w:t>165</w:t>
            </w:r>
          </w:p>
        </w:tc>
        <w:tc>
          <w:tcPr>
            <w:tcW w:w="1080" w:type="dxa"/>
            <w:noWrap/>
            <w:vAlign w:val="center"/>
          </w:tcPr>
          <w:p w:rsidR="000E64AB" w:rsidRPr="00FC7E1F" w:rsidP="00C63E6B" w14:paraId="7F428B9B" w14:textId="58712BC9">
            <w:pPr>
              <w:widowControl/>
              <w:autoSpaceDE/>
              <w:autoSpaceDN/>
              <w:adjustRightInd/>
              <w:jc w:val="center"/>
              <w:rPr>
                <w:rFonts w:eastAsia="Calibri"/>
                <w:sz w:val="20"/>
                <w:szCs w:val="20"/>
              </w:rPr>
            </w:pPr>
            <w:r>
              <w:rPr>
                <w:rFonts w:eastAsia="Calibri"/>
                <w:sz w:val="20"/>
                <w:szCs w:val="20"/>
              </w:rPr>
              <w:t>165</w:t>
            </w:r>
          </w:p>
        </w:tc>
        <w:tc>
          <w:tcPr>
            <w:tcW w:w="1170" w:type="dxa"/>
            <w:vAlign w:val="center"/>
          </w:tcPr>
          <w:p w:rsidR="000E64AB" w:rsidRPr="00FC7E1F" w:rsidP="00C63E6B" w14:paraId="36F2B11F" w14:textId="4DF6CEB0">
            <w:pPr>
              <w:widowControl/>
              <w:autoSpaceDE/>
              <w:autoSpaceDN/>
              <w:adjustRightInd/>
              <w:jc w:val="center"/>
              <w:rPr>
                <w:rFonts w:eastAsia="Calibri"/>
                <w:sz w:val="20"/>
                <w:szCs w:val="20"/>
              </w:rPr>
            </w:pPr>
            <w:r>
              <w:rPr>
                <w:rFonts w:eastAsia="Calibri"/>
                <w:sz w:val="20"/>
                <w:szCs w:val="20"/>
              </w:rPr>
              <w:t>743</w:t>
            </w:r>
          </w:p>
        </w:tc>
        <w:tc>
          <w:tcPr>
            <w:tcW w:w="1080" w:type="dxa"/>
            <w:vAlign w:val="center"/>
          </w:tcPr>
          <w:p w:rsidR="000E64AB" w:rsidRPr="00FC7E1F" w:rsidP="00C63E6B" w14:paraId="1781B6D3" w14:textId="6C4878B5">
            <w:pPr>
              <w:widowControl/>
              <w:autoSpaceDE/>
              <w:autoSpaceDN/>
              <w:adjustRightInd/>
              <w:jc w:val="center"/>
              <w:rPr>
                <w:rFonts w:eastAsia="Calibri"/>
                <w:sz w:val="20"/>
                <w:szCs w:val="20"/>
              </w:rPr>
            </w:pPr>
            <w:r w:rsidRPr="00FC7E1F">
              <w:rPr>
                <w:rFonts w:eastAsia="Calibri"/>
                <w:sz w:val="20"/>
                <w:szCs w:val="20"/>
              </w:rPr>
              <w:t>10,</w:t>
            </w:r>
            <w:r w:rsidR="00AA4710">
              <w:rPr>
                <w:rFonts w:eastAsia="Calibri"/>
                <w:sz w:val="20"/>
                <w:szCs w:val="20"/>
              </w:rPr>
              <w:t>031</w:t>
            </w:r>
          </w:p>
        </w:tc>
        <w:tc>
          <w:tcPr>
            <w:tcW w:w="1080" w:type="dxa"/>
            <w:vAlign w:val="center"/>
          </w:tcPr>
          <w:p w:rsidR="000E64AB" w:rsidRPr="00FC7E1F" w:rsidP="00C63E6B" w14:paraId="664F77D8" w14:textId="4DC6C7FE">
            <w:pPr>
              <w:widowControl/>
              <w:autoSpaceDE/>
              <w:autoSpaceDN/>
              <w:adjustRightInd/>
              <w:jc w:val="center"/>
              <w:rPr>
                <w:rFonts w:eastAsia="Calibri"/>
                <w:sz w:val="20"/>
                <w:szCs w:val="20"/>
              </w:rPr>
            </w:pPr>
            <w:r w:rsidRPr="00FC7E1F">
              <w:rPr>
                <w:rFonts w:eastAsia="Calibri"/>
                <w:sz w:val="20"/>
                <w:szCs w:val="20"/>
              </w:rPr>
              <w:t>16,</w:t>
            </w:r>
            <w:r w:rsidR="00AA4710">
              <w:rPr>
                <w:rFonts w:eastAsia="Calibri"/>
                <w:sz w:val="20"/>
                <w:szCs w:val="20"/>
              </w:rPr>
              <w:t>1</w:t>
            </w:r>
            <w:r w:rsidR="00971208">
              <w:rPr>
                <w:rFonts w:eastAsia="Calibri"/>
                <w:sz w:val="20"/>
                <w:szCs w:val="20"/>
              </w:rPr>
              <w:t>40</w:t>
            </w:r>
          </w:p>
        </w:tc>
        <w:tc>
          <w:tcPr>
            <w:tcW w:w="1170" w:type="dxa"/>
            <w:noWrap/>
            <w:vAlign w:val="center"/>
          </w:tcPr>
          <w:p w:rsidR="000E64AB" w:rsidRPr="00FC7E1F" w:rsidP="00C63E6B" w14:paraId="11B58658" w14:textId="4ACF1F2D">
            <w:pPr>
              <w:widowControl/>
              <w:autoSpaceDE/>
              <w:autoSpaceDN/>
              <w:adjustRightInd/>
              <w:jc w:val="center"/>
              <w:rPr>
                <w:rFonts w:eastAsia="Calibri"/>
                <w:sz w:val="20"/>
                <w:szCs w:val="20"/>
              </w:rPr>
            </w:pPr>
            <w:r w:rsidRPr="00FC7E1F">
              <w:rPr>
                <w:rFonts w:eastAsia="Calibri"/>
                <w:sz w:val="20"/>
                <w:szCs w:val="20"/>
              </w:rPr>
              <w:t>$</w:t>
            </w:r>
            <w:r w:rsidR="00971208">
              <w:rPr>
                <w:rFonts w:eastAsia="Calibri"/>
                <w:sz w:val="20"/>
                <w:szCs w:val="20"/>
              </w:rPr>
              <w:t>1,</w:t>
            </w:r>
            <w:r w:rsidR="000931FE">
              <w:rPr>
                <w:rFonts w:eastAsia="Calibri"/>
                <w:sz w:val="20"/>
                <w:szCs w:val="20"/>
              </w:rPr>
              <w:t>862,176</w:t>
            </w:r>
          </w:p>
        </w:tc>
      </w:tr>
      <w:tr w14:paraId="0858FF77" w14:textId="77777777" w:rsidTr="000A46A6">
        <w:tblPrEx>
          <w:tblW w:w="10080" w:type="dxa"/>
          <w:tblInd w:w="85" w:type="dxa"/>
          <w:tblLayout w:type="fixed"/>
          <w:tblLook w:val="04A0"/>
        </w:tblPrEx>
        <w:trPr>
          <w:trHeight w:val="377"/>
        </w:trPr>
        <w:tc>
          <w:tcPr>
            <w:tcW w:w="990" w:type="dxa"/>
            <w:noWrap/>
            <w:vAlign w:val="center"/>
          </w:tcPr>
          <w:p w:rsidR="000E64AB" w:rsidRPr="00FC7E1F" w:rsidP="007F18EA" w14:paraId="303B7922" w14:textId="77777777">
            <w:pPr>
              <w:widowControl/>
              <w:autoSpaceDE/>
              <w:autoSpaceDN/>
              <w:adjustRightInd/>
              <w:rPr>
                <w:rFonts w:eastAsia="Calibri"/>
                <w:b/>
                <w:bCs/>
                <w:sz w:val="20"/>
                <w:szCs w:val="20"/>
              </w:rPr>
            </w:pPr>
            <w:r w:rsidRPr="00FC7E1F">
              <w:rPr>
                <w:rFonts w:eastAsia="Calibri"/>
                <w:b/>
                <w:bCs/>
                <w:sz w:val="20"/>
                <w:szCs w:val="20"/>
              </w:rPr>
              <w:t>Total</w:t>
            </w:r>
          </w:p>
        </w:tc>
        <w:tc>
          <w:tcPr>
            <w:tcW w:w="1170" w:type="dxa"/>
            <w:noWrap/>
            <w:vAlign w:val="center"/>
          </w:tcPr>
          <w:p w:rsidR="000E64AB" w:rsidRPr="00872666" w:rsidP="00C63E6B" w14:paraId="74A2C7B8" w14:textId="65DFF2DE">
            <w:pPr>
              <w:widowControl/>
              <w:autoSpaceDE/>
              <w:autoSpaceDN/>
              <w:adjustRightInd/>
              <w:jc w:val="center"/>
              <w:rPr>
                <w:rFonts w:eastAsia="Calibri"/>
                <w:sz w:val="20"/>
                <w:szCs w:val="20"/>
              </w:rPr>
            </w:pPr>
            <w:r w:rsidRPr="00872666">
              <w:rPr>
                <w:rFonts w:eastAsia="Calibri"/>
                <w:sz w:val="20"/>
                <w:szCs w:val="20"/>
              </w:rPr>
              <w:t>803</w:t>
            </w:r>
          </w:p>
        </w:tc>
        <w:tc>
          <w:tcPr>
            <w:tcW w:w="1170" w:type="dxa"/>
            <w:vAlign w:val="center"/>
          </w:tcPr>
          <w:p w:rsidR="000E64AB" w:rsidRPr="00872666" w:rsidP="00C63E6B" w14:paraId="23D4CACB" w14:textId="3D578063">
            <w:pPr>
              <w:widowControl/>
              <w:autoSpaceDE/>
              <w:autoSpaceDN/>
              <w:adjustRightInd/>
              <w:jc w:val="center"/>
              <w:rPr>
                <w:rFonts w:eastAsia="Calibri"/>
                <w:sz w:val="20"/>
                <w:szCs w:val="20"/>
              </w:rPr>
            </w:pPr>
            <w:r w:rsidRPr="00872666">
              <w:rPr>
                <w:rFonts w:eastAsia="Calibri"/>
                <w:sz w:val="20"/>
                <w:szCs w:val="20"/>
              </w:rPr>
              <w:t>6</w:t>
            </w:r>
            <w:r w:rsidRPr="00872666" w:rsidR="001D68FF">
              <w:rPr>
                <w:rFonts w:eastAsia="Calibri"/>
                <w:sz w:val="20"/>
                <w:szCs w:val="20"/>
              </w:rPr>
              <w:t>,</w:t>
            </w:r>
            <w:r w:rsidRPr="00872666" w:rsidR="00AA4710">
              <w:rPr>
                <w:rFonts w:eastAsia="Calibri"/>
                <w:sz w:val="20"/>
                <w:szCs w:val="20"/>
              </w:rPr>
              <w:t>484</w:t>
            </w:r>
          </w:p>
        </w:tc>
        <w:tc>
          <w:tcPr>
            <w:tcW w:w="1170" w:type="dxa"/>
            <w:vAlign w:val="center"/>
          </w:tcPr>
          <w:p w:rsidR="000E64AB" w:rsidRPr="00872666" w:rsidP="00C63E6B" w14:paraId="3574856B" w14:textId="1446E855">
            <w:pPr>
              <w:widowControl/>
              <w:autoSpaceDE/>
              <w:autoSpaceDN/>
              <w:adjustRightInd/>
              <w:jc w:val="center"/>
              <w:rPr>
                <w:rFonts w:eastAsia="Calibri"/>
                <w:sz w:val="20"/>
                <w:szCs w:val="20"/>
              </w:rPr>
            </w:pPr>
            <w:r w:rsidRPr="00872666">
              <w:rPr>
                <w:rFonts w:eastAsia="Calibri"/>
                <w:sz w:val="20"/>
                <w:szCs w:val="20"/>
              </w:rPr>
              <w:t>174</w:t>
            </w:r>
          </w:p>
        </w:tc>
        <w:tc>
          <w:tcPr>
            <w:tcW w:w="1080" w:type="dxa"/>
            <w:noWrap/>
            <w:vAlign w:val="center"/>
          </w:tcPr>
          <w:p w:rsidR="000E64AB" w:rsidRPr="00872666" w:rsidP="00C63E6B" w14:paraId="522F3223" w14:textId="31DC08F7">
            <w:pPr>
              <w:widowControl/>
              <w:autoSpaceDE/>
              <w:autoSpaceDN/>
              <w:adjustRightInd/>
              <w:jc w:val="center"/>
              <w:rPr>
                <w:rFonts w:eastAsia="Calibri"/>
                <w:sz w:val="20"/>
                <w:szCs w:val="20"/>
              </w:rPr>
            </w:pPr>
            <w:r w:rsidRPr="00872666">
              <w:rPr>
                <w:rFonts w:eastAsia="Calibri"/>
                <w:sz w:val="20"/>
                <w:szCs w:val="20"/>
              </w:rPr>
              <w:t>178.5</w:t>
            </w:r>
          </w:p>
        </w:tc>
        <w:tc>
          <w:tcPr>
            <w:tcW w:w="1170" w:type="dxa"/>
            <w:vAlign w:val="center"/>
          </w:tcPr>
          <w:p w:rsidR="000E64AB" w:rsidRPr="00872666" w:rsidP="00C63E6B" w14:paraId="77A34180" w14:textId="7E8790D9">
            <w:pPr>
              <w:widowControl/>
              <w:autoSpaceDE/>
              <w:autoSpaceDN/>
              <w:adjustRightInd/>
              <w:jc w:val="center"/>
              <w:rPr>
                <w:rFonts w:eastAsia="Calibri"/>
                <w:sz w:val="20"/>
                <w:szCs w:val="20"/>
              </w:rPr>
            </w:pPr>
            <w:r w:rsidRPr="00872666">
              <w:rPr>
                <w:rFonts w:eastAsia="Calibri"/>
                <w:sz w:val="20"/>
                <w:szCs w:val="20"/>
              </w:rPr>
              <w:t>803</w:t>
            </w:r>
          </w:p>
        </w:tc>
        <w:tc>
          <w:tcPr>
            <w:tcW w:w="1080" w:type="dxa"/>
            <w:vAlign w:val="center"/>
          </w:tcPr>
          <w:p w:rsidR="000E64AB" w:rsidRPr="00FC7E1F" w:rsidP="00C63E6B" w14:paraId="4D14D511" w14:textId="04CA0B95">
            <w:pPr>
              <w:widowControl/>
              <w:autoSpaceDE/>
              <w:autoSpaceDN/>
              <w:adjustRightInd/>
              <w:jc w:val="center"/>
              <w:rPr>
                <w:rFonts w:eastAsia="Calibri"/>
                <w:sz w:val="20"/>
                <w:szCs w:val="20"/>
              </w:rPr>
            </w:pPr>
            <w:r w:rsidRPr="00FC7E1F">
              <w:rPr>
                <w:rFonts w:eastAsia="Calibri"/>
                <w:sz w:val="20"/>
                <w:szCs w:val="20"/>
              </w:rPr>
              <w:t>1</w:t>
            </w:r>
            <w:r w:rsidR="00AA4710">
              <w:rPr>
                <w:rFonts w:eastAsia="Calibri"/>
                <w:sz w:val="20"/>
                <w:szCs w:val="20"/>
              </w:rPr>
              <w:t>0,871</w:t>
            </w:r>
          </w:p>
        </w:tc>
        <w:tc>
          <w:tcPr>
            <w:tcW w:w="1080" w:type="dxa"/>
            <w:vAlign w:val="center"/>
          </w:tcPr>
          <w:p w:rsidR="000E64AB" w:rsidRPr="00FC7E1F" w:rsidP="00C63E6B" w14:paraId="333ED9E6" w14:textId="12343C5D">
            <w:pPr>
              <w:widowControl/>
              <w:autoSpaceDE/>
              <w:autoSpaceDN/>
              <w:adjustRightInd/>
              <w:jc w:val="center"/>
              <w:rPr>
                <w:rFonts w:eastAsia="Calibri"/>
                <w:sz w:val="20"/>
                <w:szCs w:val="20"/>
              </w:rPr>
            </w:pPr>
            <w:r w:rsidRPr="00FC7E1F">
              <w:rPr>
                <w:rFonts w:eastAsia="Calibri"/>
                <w:sz w:val="20"/>
                <w:szCs w:val="20"/>
              </w:rPr>
              <w:t>17,</w:t>
            </w:r>
            <w:r w:rsidR="00971208">
              <w:rPr>
                <w:rFonts w:eastAsia="Calibri"/>
                <w:sz w:val="20"/>
                <w:szCs w:val="20"/>
              </w:rPr>
              <w:t>533</w:t>
            </w:r>
          </w:p>
        </w:tc>
        <w:tc>
          <w:tcPr>
            <w:tcW w:w="1170" w:type="dxa"/>
            <w:noWrap/>
            <w:vAlign w:val="center"/>
          </w:tcPr>
          <w:p w:rsidR="000E64AB" w:rsidRPr="00FC7E1F" w:rsidP="00C63E6B" w14:paraId="0D3A158A" w14:textId="76451950">
            <w:pPr>
              <w:widowControl/>
              <w:autoSpaceDE/>
              <w:autoSpaceDN/>
              <w:adjustRightInd/>
              <w:jc w:val="center"/>
              <w:rPr>
                <w:rFonts w:eastAsia="Calibri"/>
                <w:sz w:val="20"/>
                <w:szCs w:val="20"/>
              </w:rPr>
            </w:pPr>
            <w:r w:rsidRPr="00FC7E1F">
              <w:rPr>
                <w:rFonts w:eastAsia="Calibri"/>
                <w:sz w:val="20"/>
                <w:szCs w:val="20"/>
              </w:rPr>
              <w:t>$</w:t>
            </w:r>
            <w:r w:rsidR="000931FE">
              <w:rPr>
                <w:rFonts w:eastAsia="Calibri"/>
                <w:sz w:val="20"/>
                <w:szCs w:val="20"/>
              </w:rPr>
              <w:t>2,022,958</w:t>
            </w:r>
          </w:p>
        </w:tc>
      </w:tr>
    </w:tbl>
    <w:p w:rsidR="009D104D" w:rsidRPr="00140E48" w:rsidP="00140E48" w14:paraId="594D31C6" w14:textId="77777777">
      <w:pPr>
        <w:pStyle w:val="BodyText"/>
        <w:kinsoku w:val="0"/>
        <w:overflowPunct w:val="0"/>
        <w:ind w:right="1563"/>
      </w:pPr>
    </w:p>
    <w:p w:rsidR="00F76D3E" w:rsidRPr="00140E48" w:rsidP="00F76D3E" w14:paraId="12B74731" w14:textId="77777777">
      <w:pPr>
        <w:pStyle w:val="BodyText"/>
        <w:kinsoku w:val="0"/>
        <w:overflowPunct w:val="0"/>
        <w:ind w:left="0" w:right="1563"/>
        <w:rPr>
          <w:b/>
          <w:bCs/>
        </w:rPr>
      </w:pPr>
      <w:r w:rsidRPr="00140E48">
        <w:rPr>
          <w:b/>
          <w:bCs/>
        </w:rPr>
        <w:t>Review of Rate Filing Justifications by State Reviewers</w:t>
      </w:r>
    </w:p>
    <w:p w:rsidR="00F76D3E" w:rsidP="00F76D3E" w14:paraId="1C32CC9D" w14:textId="21D18B00">
      <w:pPr>
        <w:pStyle w:val="BodyText"/>
        <w:kinsoku w:val="0"/>
        <w:overflowPunct w:val="0"/>
        <w:ind w:right="1563"/>
      </w:pPr>
    </w:p>
    <w:p w:rsidR="00F76D3E" w:rsidP="008C51A0" w14:paraId="7ECE4235" w14:textId="6AC44C50">
      <w:pPr>
        <w:pStyle w:val="BodyText"/>
        <w:kinsoku w:val="0"/>
        <w:overflowPunct w:val="0"/>
        <w:ind w:left="0"/>
      </w:pPr>
      <w:r>
        <w:t>Previously, in the Supporting Statement published on January 24, 2019,</w:t>
      </w:r>
      <w:r>
        <w:rPr>
          <w:rStyle w:val="FootnoteReference"/>
        </w:rPr>
        <w:footnoteReference w:id="9"/>
      </w:r>
      <w:r>
        <w:t xml:space="preserve"> CMS erroneously accounted for the burden to review the consumer justification narrative, providing an estimate of 38.5 hours</w:t>
      </w:r>
      <w:r w:rsidRPr="00140E48">
        <w:t>.</w:t>
      </w:r>
      <w:r>
        <w:t xml:space="preserve"> That estimate was the approximate number of hours for </w:t>
      </w:r>
      <w:r w:rsidR="00382924">
        <w:t>S</w:t>
      </w:r>
      <w:r>
        <w:t xml:space="preserve">tate personnel to review the entire rate filing, not just the consumer justification narrative.  </w:t>
      </w:r>
    </w:p>
    <w:p w:rsidR="00F76D3E" w:rsidRPr="00140E48" w:rsidP="00F76D3E" w14:paraId="6A85E0B5" w14:textId="77777777">
      <w:pPr>
        <w:pStyle w:val="BodyText"/>
        <w:kinsoku w:val="0"/>
        <w:overflowPunct w:val="0"/>
        <w:ind w:left="0" w:right="1563"/>
      </w:pPr>
    </w:p>
    <w:p w:rsidR="00F76D3E" w:rsidRPr="00140E48" w:rsidP="00F76D3E" w14:paraId="63E06425" w14:textId="268C1967">
      <w:pPr>
        <w:pStyle w:val="BodyText"/>
        <w:kinsoku w:val="0"/>
        <w:overflowPunct w:val="0"/>
        <w:ind w:left="0"/>
      </w:pPr>
      <w:r w:rsidRPr="007519B0">
        <w:t>We estimate</w:t>
      </w:r>
      <w:r w:rsidRPr="00140E48">
        <w:t xml:space="preserve"> the total annual burden and costs for </w:t>
      </w:r>
      <w:r w:rsidR="00382924">
        <w:t>S</w:t>
      </w:r>
      <w:r w:rsidRPr="00140E48">
        <w:t xml:space="preserve">tate reviewers in </w:t>
      </w:r>
      <w:r w:rsidR="00382924">
        <w:t>S</w:t>
      </w:r>
      <w:r w:rsidRPr="00140E48">
        <w:t xml:space="preserve">tates that have an Effective Rate Review Program and use SERFF to decrease by 1.5 hours, since those reviewers </w:t>
      </w:r>
      <w:r w:rsidR="00552C7B">
        <w:t>need to</w:t>
      </w:r>
      <w:r w:rsidRPr="00140E48" w:rsidR="00552C7B">
        <w:t xml:space="preserve"> </w:t>
      </w:r>
      <w:r w:rsidRPr="00140E48">
        <w:t xml:space="preserve">record their rate </w:t>
      </w:r>
      <w:r w:rsidRPr="00265A9A">
        <w:t xml:space="preserve">review determination into only one system. We estimate, for each of those </w:t>
      </w:r>
      <w:r w:rsidR="00382924">
        <w:t>S</w:t>
      </w:r>
      <w:r w:rsidRPr="00265A9A">
        <w:t>tates, an actuary will require approximately 37 hours (at an hourly rate of $</w:t>
      </w:r>
      <w:r w:rsidR="00807B65">
        <w:t>90.26</w:t>
      </w:r>
      <w:r w:rsidRPr="00265A9A">
        <w:t>) to review the issuers’ filings and to prepare and submit their determination, with an associated cost of approximately $3,</w:t>
      </w:r>
      <w:r w:rsidR="00807B65">
        <w:t>340</w:t>
      </w:r>
      <w:r w:rsidRPr="00265A9A">
        <w:t>. Therefore, we estimate a total annual burden of 2</w:t>
      </w:r>
      <w:r w:rsidRPr="00A67742" w:rsidR="00265A9A">
        <w:t>7,491</w:t>
      </w:r>
      <w:r w:rsidRPr="00265A9A">
        <w:t>, with an associated annual cost of $2</w:t>
      </w:r>
      <w:r w:rsidRPr="00265A9A" w:rsidR="00007F1D">
        <w:t>2,</w:t>
      </w:r>
      <w:r w:rsidR="00007F1D">
        <w:t>481,338</w:t>
      </w:r>
      <w:r w:rsidRPr="00265A9A">
        <w:t>.</w:t>
      </w:r>
      <w:r w:rsidRPr="00140E48">
        <w:t xml:space="preserve">  </w:t>
      </w:r>
    </w:p>
    <w:p w:rsidR="00F76D3E" w:rsidRPr="00140E48" w:rsidP="00F76D3E" w14:paraId="326ED9BA" w14:textId="77777777">
      <w:pPr>
        <w:pStyle w:val="BodyText"/>
        <w:kinsoku w:val="0"/>
        <w:overflowPunct w:val="0"/>
        <w:ind w:left="115"/>
      </w:pPr>
    </w:p>
    <w:p w:rsidR="00F76D3E" w:rsidRPr="00140E48" w:rsidP="00F76D3E" w14:paraId="61A378D4" w14:textId="0D88A70C">
      <w:pPr>
        <w:pStyle w:val="BodyText"/>
        <w:kinsoku w:val="0"/>
        <w:overflowPunct w:val="0"/>
        <w:ind w:left="0"/>
      </w:pPr>
      <w:r w:rsidRPr="00265A9A">
        <w:t xml:space="preserve">We estimate that in Florida, </w:t>
      </w:r>
      <w:r w:rsidR="007F18EA">
        <w:t>S</w:t>
      </w:r>
      <w:r w:rsidRPr="00265A9A" w:rsidR="007F18EA">
        <w:t xml:space="preserve">tate </w:t>
      </w:r>
      <w:r w:rsidRPr="00265A9A">
        <w:t xml:space="preserve">reviewers will review </w:t>
      </w:r>
      <w:r w:rsidRPr="00A67742" w:rsidR="000C7765">
        <w:t>28</w:t>
      </w:r>
      <w:r w:rsidRPr="00265A9A">
        <w:t xml:space="preserve"> Rate Filing Justifications and that an actuary will require 38.5 hours (at an hourly rate of $</w:t>
      </w:r>
      <w:r w:rsidR="00807B65">
        <w:t>90.26</w:t>
      </w:r>
      <w:r w:rsidRPr="00265A9A">
        <w:t>) to review each justification</w:t>
      </w:r>
      <w:r w:rsidR="00681F6D">
        <w:t xml:space="preserve"> and record the rate review determination in the </w:t>
      </w:r>
      <w:r w:rsidR="007F18EA">
        <w:t xml:space="preserve">State </w:t>
      </w:r>
      <w:r w:rsidR="00681F6D">
        <w:t>system and in HIOS</w:t>
      </w:r>
      <w:r w:rsidRPr="00265A9A">
        <w:t>, with an associated cost of $3,</w:t>
      </w:r>
      <w:r w:rsidR="00807B65">
        <w:t>475</w:t>
      </w:r>
      <w:r w:rsidRPr="00140E48">
        <w:t xml:space="preserve"> The total annual burden to review all Rate Filing Justifications in </w:t>
      </w:r>
      <w:r w:rsidRPr="00265A9A">
        <w:t xml:space="preserve">Florida will be approximately </w:t>
      </w:r>
      <w:r w:rsidRPr="00265A9A" w:rsidR="00265A9A">
        <w:t>1,078</w:t>
      </w:r>
      <w:r w:rsidRPr="00265A9A">
        <w:t xml:space="preserve"> hours, with an associated annual cost of approximately $</w:t>
      </w:r>
      <w:r w:rsidR="00807B65">
        <w:t>97,300</w:t>
      </w:r>
      <w:r w:rsidRPr="00265A9A">
        <w:t>.</w:t>
      </w:r>
    </w:p>
    <w:p w:rsidR="00F76D3E" w:rsidRPr="00140E48" w:rsidP="00F76D3E" w14:paraId="575F4910" w14:textId="77777777">
      <w:pPr>
        <w:pStyle w:val="BodyText"/>
        <w:kinsoku w:val="0"/>
        <w:overflowPunct w:val="0"/>
      </w:pPr>
    </w:p>
    <w:p w:rsidR="00F76D3E" w:rsidP="00F76D3E" w14:paraId="7D82C1CD" w14:textId="54D5C510">
      <w:pPr>
        <w:pStyle w:val="BodyText"/>
        <w:kinsoku w:val="0"/>
        <w:overflowPunct w:val="0"/>
        <w:ind w:left="0"/>
      </w:pPr>
      <w:r w:rsidRPr="00734055">
        <w:t>For all states that have an Effective Rate Review Program, the total annual burden to review all Rate Filing Justifications will be 2</w:t>
      </w:r>
      <w:r w:rsidRPr="00A67742" w:rsidR="00734055">
        <w:t>8,569</w:t>
      </w:r>
      <w:r w:rsidRPr="00734055">
        <w:t xml:space="preserve"> hours with an associated annual cost of approximately $</w:t>
      </w:r>
      <w:r w:rsidR="00382924">
        <w:t>2,</w:t>
      </w:r>
      <w:r w:rsidR="00807B65">
        <w:t>578,638</w:t>
      </w:r>
      <w:r w:rsidRPr="00734055">
        <w:t>.</w:t>
      </w:r>
    </w:p>
    <w:p w:rsidR="00F76D3E" w:rsidP="00140E48" w14:paraId="5D72A881" w14:textId="3BF9C063">
      <w:pPr>
        <w:pStyle w:val="BodyText"/>
        <w:kinsoku w:val="0"/>
        <w:overflowPunct w:val="0"/>
        <w:ind w:left="0" w:right="1563"/>
        <w:rPr>
          <w:b/>
          <w:bCs/>
        </w:rPr>
      </w:pPr>
    </w:p>
    <w:p w:rsidR="00F76D3E" w:rsidRPr="00140E48" w:rsidP="00F76D3E" w14:paraId="7583E9A8" w14:textId="0E865C8E">
      <w:pPr>
        <w:pStyle w:val="BodyText"/>
        <w:kinsoku w:val="0"/>
        <w:overflowPunct w:val="0"/>
        <w:ind w:right="1563"/>
        <w:rPr>
          <w:u w:val="single"/>
        </w:rPr>
      </w:pPr>
      <w:r w:rsidRPr="00140E48">
        <w:rPr>
          <w:u w:val="single"/>
        </w:rPr>
        <w:t>Table 12.</w:t>
      </w:r>
      <w:r w:rsidR="007F18EA">
        <w:rPr>
          <w:u w:val="single"/>
        </w:rPr>
        <w:t>6</w:t>
      </w:r>
      <w:r w:rsidRPr="00140E48">
        <w:rPr>
          <w:u w:val="single"/>
        </w:rPr>
        <w:t xml:space="preserve"> – Estimated Annualized Burden Hours and Costs for Review of Rate Filing</w:t>
      </w:r>
      <w:r w:rsidRPr="00140E48">
        <w:rPr>
          <w:spacing w:val="-19"/>
          <w:u w:val="single"/>
        </w:rPr>
        <w:t xml:space="preserve"> </w:t>
      </w:r>
      <w:r w:rsidRPr="00140E48">
        <w:rPr>
          <w:u w:val="single"/>
        </w:rPr>
        <w:t>Justification</w:t>
      </w:r>
      <w:r w:rsidR="007F18EA">
        <w:rPr>
          <w:u w:val="single"/>
        </w:rPr>
        <w:t>s</w:t>
      </w:r>
      <w:r w:rsidRPr="00140E48">
        <w:rPr>
          <w:u w:val="single"/>
        </w:rPr>
        <w:t xml:space="preserve"> by State Reviewers</w:t>
      </w:r>
      <w:r>
        <w:rPr>
          <w:rStyle w:val="FootnoteReference"/>
          <w:u w:val="single"/>
        </w:rPr>
        <w:footnoteReference w:id="10"/>
      </w:r>
    </w:p>
    <w:p w:rsidR="00F76D3E" w:rsidRPr="00140E48" w:rsidP="00F76D3E" w14:paraId="60A7CA24" w14:textId="77777777">
      <w:pPr>
        <w:pStyle w:val="BodyText"/>
        <w:kinsoku w:val="0"/>
        <w:overflowPunct w:val="0"/>
        <w:ind w:right="1563"/>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6"/>
        <w:gridCol w:w="1614"/>
        <w:gridCol w:w="1530"/>
        <w:gridCol w:w="1440"/>
        <w:gridCol w:w="1170"/>
        <w:gridCol w:w="1530"/>
      </w:tblGrid>
      <w:tr w14:paraId="1C0CBCCA" w14:textId="77777777" w:rsidTr="000A46A6">
        <w:tblPrEx>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7"/>
          <w:tblHeader/>
        </w:trPr>
        <w:tc>
          <w:tcPr>
            <w:tcW w:w="1986" w:type="dxa"/>
            <w:vAlign w:val="bottom"/>
            <w:hideMark/>
          </w:tcPr>
          <w:p w:rsidR="00F76D3E" w:rsidRPr="00140E48" w:rsidP="00846FB5" w14:paraId="2002A783" w14:textId="77777777">
            <w:pPr>
              <w:widowControl/>
              <w:autoSpaceDE/>
              <w:autoSpaceDN/>
              <w:adjustRightInd/>
              <w:jc w:val="center"/>
              <w:rPr>
                <w:rFonts w:eastAsia="Calibri"/>
                <w:b/>
                <w:bCs/>
              </w:rPr>
            </w:pPr>
          </w:p>
        </w:tc>
        <w:tc>
          <w:tcPr>
            <w:tcW w:w="1614" w:type="dxa"/>
            <w:vAlign w:val="center"/>
            <w:hideMark/>
          </w:tcPr>
          <w:p w:rsidR="00F76D3E" w:rsidRPr="000A46A6" w:rsidP="00614677" w14:paraId="20E11DAA" w14:textId="77777777">
            <w:pPr>
              <w:widowControl/>
              <w:autoSpaceDE/>
              <w:autoSpaceDN/>
              <w:adjustRightInd/>
              <w:jc w:val="center"/>
              <w:rPr>
                <w:rFonts w:eastAsia="Calibri"/>
                <w:b/>
                <w:bCs/>
                <w:sz w:val="18"/>
                <w:szCs w:val="18"/>
              </w:rPr>
            </w:pPr>
            <w:r w:rsidRPr="000A46A6">
              <w:rPr>
                <w:rFonts w:eastAsia="Calibri"/>
                <w:b/>
                <w:bCs/>
                <w:sz w:val="18"/>
                <w:szCs w:val="18"/>
              </w:rPr>
              <w:t>Total Number of Submissions</w:t>
            </w:r>
          </w:p>
        </w:tc>
        <w:tc>
          <w:tcPr>
            <w:tcW w:w="1530" w:type="dxa"/>
            <w:vAlign w:val="center"/>
          </w:tcPr>
          <w:p w:rsidR="00F76D3E" w:rsidRPr="000A46A6" w:rsidP="00614677" w14:paraId="773BCAC3" w14:textId="77777777">
            <w:pPr>
              <w:widowControl/>
              <w:autoSpaceDE/>
              <w:autoSpaceDN/>
              <w:adjustRightInd/>
              <w:jc w:val="center"/>
              <w:rPr>
                <w:rFonts w:eastAsia="Calibri"/>
                <w:b/>
                <w:bCs/>
                <w:sz w:val="18"/>
                <w:szCs w:val="18"/>
              </w:rPr>
            </w:pPr>
            <w:r w:rsidRPr="000A46A6">
              <w:rPr>
                <w:rFonts w:eastAsia="Calibri"/>
                <w:b/>
                <w:bCs/>
                <w:sz w:val="18"/>
                <w:szCs w:val="18"/>
              </w:rPr>
              <w:t>Burden Hours per Submission</w:t>
            </w:r>
          </w:p>
        </w:tc>
        <w:tc>
          <w:tcPr>
            <w:tcW w:w="1440" w:type="dxa"/>
            <w:vAlign w:val="center"/>
          </w:tcPr>
          <w:p w:rsidR="00F76D3E" w:rsidRPr="000A46A6" w:rsidP="00614677" w14:paraId="4BDE8A08" w14:textId="77777777">
            <w:pPr>
              <w:widowControl/>
              <w:autoSpaceDE/>
              <w:autoSpaceDN/>
              <w:adjustRightInd/>
              <w:jc w:val="center"/>
              <w:rPr>
                <w:rFonts w:eastAsia="Calibri"/>
                <w:b/>
                <w:bCs/>
                <w:sz w:val="18"/>
                <w:szCs w:val="18"/>
              </w:rPr>
            </w:pPr>
            <w:r w:rsidRPr="000A46A6">
              <w:rPr>
                <w:rFonts w:eastAsia="Calibri"/>
                <w:b/>
                <w:bCs/>
                <w:sz w:val="18"/>
                <w:szCs w:val="18"/>
              </w:rPr>
              <w:t>Cost per Submission</w:t>
            </w:r>
          </w:p>
        </w:tc>
        <w:tc>
          <w:tcPr>
            <w:tcW w:w="1170" w:type="dxa"/>
            <w:vAlign w:val="center"/>
            <w:hideMark/>
          </w:tcPr>
          <w:p w:rsidR="00F76D3E" w:rsidRPr="000A46A6" w:rsidP="00614677" w14:paraId="33624407" w14:textId="77777777">
            <w:pPr>
              <w:widowControl/>
              <w:autoSpaceDE/>
              <w:autoSpaceDN/>
              <w:adjustRightInd/>
              <w:jc w:val="center"/>
              <w:rPr>
                <w:rFonts w:eastAsia="Calibri"/>
                <w:b/>
                <w:bCs/>
                <w:sz w:val="18"/>
                <w:szCs w:val="18"/>
              </w:rPr>
            </w:pPr>
            <w:r w:rsidRPr="000A46A6">
              <w:rPr>
                <w:rFonts w:eastAsia="Calibri"/>
                <w:b/>
                <w:bCs/>
                <w:sz w:val="18"/>
                <w:szCs w:val="18"/>
              </w:rPr>
              <w:t>Total Burden Hours</w:t>
            </w:r>
          </w:p>
        </w:tc>
        <w:tc>
          <w:tcPr>
            <w:tcW w:w="1530" w:type="dxa"/>
            <w:vAlign w:val="center"/>
            <w:hideMark/>
          </w:tcPr>
          <w:p w:rsidR="00F76D3E" w:rsidRPr="000A46A6" w:rsidP="00614677" w14:paraId="5BD88254" w14:textId="77777777">
            <w:pPr>
              <w:widowControl/>
              <w:autoSpaceDE/>
              <w:autoSpaceDN/>
              <w:adjustRightInd/>
              <w:jc w:val="center"/>
              <w:rPr>
                <w:rFonts w:eastAsia="Calibri"/>
                <w:b/>
                <w:bCs/>
                <w:sz w:val="18"/>
                <w:szCs w:val="18"/>
              </w:rPr>
            </w:pPr>
            <w:r w:rsidRPr="000A46A6">
              <w:rPr>
                <w:rFonts w:eastAsia="Calibri"/>
                <w:b/>
                <w:bCs/>
                <w:sz w:val="18"/>
                <w:szCs w:val="18"/>
              </w:rPr>
              <w:t>Total Cost</w:t>
            </w:r>
          </w:p>
        </w:tc>
      </w:tr>
      <w:tr w14:paraId="711C66F4" w14:textId="77777777" w:rsidTr="00C63E6B">
        <w:tblPrEx>
          <w:tblW w:w="9270" w:type="dxa"/>
          <w:tblInd w:w="-5" w:type="dxa"/>
          <w:tblLayout w:type="fixed"/>
          <w:tblLook w:val="04A0"/>
        </w:tblPrEx>
        <w:trPr>
          <w:trHeight w:val="377"/>
        </w:trPr>
        <w:tc>
          <w:tcPr>
            <w:tcW w:w="1986" w:type="dxa"/>
            <w:noWrap/>
          </w:tcPr>
          <w:p w:rsidR="00F76D3E" w:rsidRPr="000A46A6" w:rsidP="00846FB5" w14:paraId="2FB356EB" w14:textId="77777777">
            <w:pPr>
              <w:widowControl/>
              <w:autoSpaceDE/>
              <w:autoSpaceDN/>
              <w:adjustRightInd/>
              <w:rPr>
                <w:rFonts w:eastAsia="Calibri"/>
                <w:b/>
                <w:bCs/>
                <w:sz w:val="20"/>
                <w:szCs w:val="20"/>
              </w:rPr>
            </w:pPr>
            <w:r w:rsidRPr="000A46A6">
              <w:rPr>
                <w:rFonts w:eastAsia="Calibri"/>
                <w:b/>
                <w:bCs/>
                <w:sz w:val="20"/>
                <w:szCs w:val="20"/>
              </w:rPr>
              <w:t>State reviewers in FL</w:t>
            </w:r>
            <w:r>
              <w:rPr>
                <w:rStyle w:val="FootnoteReference"/>
                <w:rFonts w:eastAsia="Calibri"/>
                <w:b/>
                <w:bCs/>
                <w:sz w:val="20"/>
                <w:szCs w:val="20"/>
              </w:rPr>
              <w:footnoteReference w:id="11"/>
            </w:r>
          </w:p>
        </w:tc>
        <w:tc>
          <w:tcPr>
            <w:tcW w:w="1614" w:type="dxa"/>
            <w:noWrap/>
            <w:vAlign w:val="center"/>
          </w:tcPr>
          <w:p w:rsidR="00F76D3E" w:rsidRPr="000A46A6" w:rsidP="00C63E6B" w14:paraId="0E1A3E6E" w14:textId="7578C7C1">
            <w:pPr>
              <w:widowControl/>
              <w:autoSpaceDE/>
              <w:autoSpaceDN/>
              <w:adjustRightInd/>
              <w:jc w:val="center"/>
              <w:rPr>
                <w:rFonts w:eastAsia="Calibri"/>
                <w:sz w:val="20"/>
                <w:szCs w:val="20"/>
              </w:rPr>
            </w:pPr>
            <w:r w:rsidRPr="000A46A6">
              <w:rPr>
                <w:rFonts w:eastAsia="Calibri"/>
                <w:sz w:val="20"/>
                <w:szCs w:val="20"/>
              </w:rPr>
              <w:t>28</w:t>
            </w:r>
          </w:p>
        </w:tc>
        <w:tc>
          <w:tcPr>
            <w:tcW w:w="1530" w:type="dxa"/>
            <w:vAlign w:val="center"/>
          </w:tcPr>
          <w:p w:rsidR="00F76D3E" w:rsidRPr="000A46A6" w:rsidP="00C63E6B" w14:paraId="1FD9B943" w14:textId="77777777">
            <w:pPr>
              <w:widowControl/>
              <w:autoSpaceDE/>
              <w:autoSpaceDN/>
              <w:adjustRightInd/>
              <w:jc w:val="center"/>
              <w:rPr>
                <w:rFonts w:eastAsia="Calibri"/>
                <w:sz w:val="20"/>
                <w:szCs w:val="20"/>
              </w:rPr>
            </w:pPr>
            <w:r w:rsidRPr="000A46A6">
              <w:rPr>
                <w:rFonts w:eastAsia="Calibri"/>
                <w:sz w:val="20"/>
                <w:szCs w:val="20"/>
              </w:rPr>
              <w:t>38.5</w:t>
            </w:r>
          </w:p>
        </w:tc>
        <w:tc>
          <w:tcPr>
            <w:tcW w:w="1440" w:type="dxa"/>
            <w:vAlign w:val="center"/>
          </w:tcPr>
          <w:p w:rsidR="00F76D3E" w:rsidRPr="000A46A6" w:rsidP="00C63E6B" w14:paraId="7EA4F4C3" w14:textId="74986364">
            <w:pPr>
              <w:widowControl/>
              <w:autoSpaceDE/>
              <w:autoSpaceDN/>
              <w:adjustRightInd/>
              <w:jc w:val="center"/>
              <w:rPr>
                <w:rFonts w:eastAsia="Calibri"/>
                <w:sz w:val="20"/>
                <w:szCs w:val="20"/>
              </w:rPr>
            </w:pPr>
            <w:r w:rsidRPr="000A46A6">
              <w:rPr>
                <w:rFonts w:eastAsia="Calibri"/>
                <w:sz w:val="20"/>
                <w:szCs w:val="20"/>
              </w:rPr>
              <w:t>$3,</w:t>
            </w:r>
            <w:r w:rsidRPr="000A46A6" w:rsidR="00FB29DE">
              <w:rPr>
                <w:rFonts w:eastAsia="Calibri"/>
                <w:sz w:val="20"/>
                <w:szCs w:val="20"/>
              </w:rPr>
              <w:t>475</w:t>
            </w:r>
          </w:p>
        </w:tc>
        <w:tc>
          <w:tcPr>
            <w:tcW w:w="1170" w:type="dxa"/>
            <w:noWrap/>
            <w:vAlign w:val="center"/>
          </w:tcPr>
          <w:p w:rsidR="00F76D3E" w:rsidRPr="000A46A6" w:rsidP="00C63E6B" w14:paraId="194ECA3D" w14:textId="08676987">
            <w:pPr>
              <w:widowControl/>
              <w:autoSpaceDE/>
              <w:autoSpaceDN/>
              <w:adjustRightInd/>
              <w:jc w:val="center"/>
              <w:rPr>
                <w:rFonts w:eastAsia="Calibri"/>
                <w:sz w:val="20"/>
                <w:szCs w:val="20"/>
              </w:rPr>
            </w:pPr>
            <w:r w:rsidRPr="000A46A6">
              <w:rPr>
                <w:rFonts w:eastAsia="Calibri"/>
                <w:sz w:val="20"/>
                <w:szCs w:val="20"/>
              </w:rPr>
              <w:t>1,078</w:t>
            </w:r>
          </w:p>
        </w:tc>
        <w:tc>
          <w:tcPr>
            <w:tcW w:w="1530" w:type="dxa"/>
            <w:noWrap/>
            <w:vAlign w:val="center"/>
          </w:tcPr>
          <w:p w:rsidR="00F76D3E" w:rsidRPr="000A46A6" w:rsidP="00C63E6B" w14:paraId="7EB14120" w14:textId="474B6103">
            <w:pPr>
              <w:widowControl/>
              <w:autoSpaceDE/>
              <w:autoSpaceDN/>
              <w:adjustRightInd/>
              <w:jc w:val="center"/>
              <w:rPr>
                <w:rFonts w:eastAsia="Calibri"/>
                <w:sz w:val="20"/>
                <w:szCs w:val="20"/>
              </w:rPr>
            </w:pPr>
            <w:r w:rsidRPr="000A46A6">
              <w:rPr>
                <w:rFonts w:eastAsia="Calibri"/>
                <w:sz w:val="20"/>
                <w:szCs w:val="20"/>
              </w:rPr>
              <w:t>$</w:t>
            </w:r>
            <w:r w:rsidRPr="000A46A6" w:rsidR="00FB29DE">
              <w:rPr>
                <w:rFonts w:eastAsia="Calibri"/>
                <w:sz w:val="20"/>
                <w:szCs w:val="20"/>
              </w:rPr>
              <w:t>97,300</w:t>
            </w:r>
          </w:p>
        </w:tc>
      </w:tr>
      <w:tr w14:paraId="2DA612F0" w14:textId="77777777" w:rsidTr="00C63E6B">
        <w:tblPrEx>
          <w:tblW w:w="9270" w:type="dxa"/>
          <w:tblInd w:w="-5" w:type="dxa"/>
          <w:tblLayout w:type="fixed"/>
          <w:tblLook w:val="04A0"/>
        </w:tblPrEx>
        <w:trPr>
          <w:trHeight w:val="377"/>
        </w:trPr>
        <w:tc>
          <w:tcPr>
            <w:tcW w:w="1986" w:type="dxa"/>
            <w:noWrap/>
          </w:tcPr>
          <w:p w:rsidR="00F76D3E" w:rsidRPr="000A46A6" w:rsidP="00846FB5" w14:paraId="69A68211" w14:textId="1FA8162B">
            <w:pPr>
              <w:widowControl/>
              <w:autoSpaceDE/>
              <w:autoSpaceDN/>
              <w:adjustRightInd/>
              <w:rPr>
                <w:rFonts w:eastAsia="Calibri"/>
                <w:b/>
                <w:bCs/>
                <w:sz w:val="20"/>
                <w:szCs w:val="20"/>
              </w:rPr>
            </w:pPr>
            <w:r w:rsidRPr="000A46A6">
              <w:rPr>
                <w:rFonts w:eastAsia="Calibri"/>
                <w:b/>
                <w:bCs/>
                <w:sz w:val="20"/>
                <w:szCs w:val="20"/>
              </w:rPr>
              <w:t xml:space="preserve">State reviewers excluding OK, </w:t>
            </w:r>
            <w:r w:rsidRPr="000A46A6" w:rsidR="000C7765">
              <w:rPr>
                <w:rFonts w:eastAsia="Calibri"/>
                <w:b/>
                <w:bCs/>
                <w:sz w:val="20"/>
                <w:szCs w:val="20"/>
              </w:rPr>
              <w:t xml:space="preserve">TN, </w:t>
            </w:r>
            <w:r w:rsidRPr="000A46A6">
              <w:rPr>
                <w:rFonts w:eastAsia="Calibri"/>
                <w:b/>
                <w:bCs/>
                <w:sz w:val="20"/>
                <w:szCs w:val="20"/>
              </w:rPr>
              <w:t>WY and FL</w:t>
            </w:r>
          </w:p>
        </w:tc>
        <w:tc>
          <w:tcPr>
            <w:tcW w:w="1614" w:type="dxa"/>
            <w:noWrap/>
            <w:vAlign w:val="center"/>
          </w:tcPr>
          <w:p w:rsidR="00F76D3E" w:rsidRPr="000A46A6" w:rsidP="00C63E6B" w14:paraId="33D8C7E1" w14:textId="383D2913">
            <w:pPr>
              <w:widowControl/>
              <w:autoSpaceDE/>
              <w:autoSpaceDN/>
              <w:adjustRightInd/>
              <w:jc w:val="center"/>
              <w:rPr>
                <w:rFonts w:eastAsia="Calibri"/>
                <w:sz w:val="20"/>
                <w:szCs w:val="20"/>
              </w:rPr>
            </w:pPr>
            <w:r w:rsidRPr="000A46A6">
              <w:rPr>
                <w:rFonts w:eastAsia="Calibri"/>
                <w:sz w:val="20"/>
                <w:szCs w:val="20"/>
              </w:rPr>
              <w:t>743</w:t>
            </w:r>
          </w:p>
        </w:tc>
        <w:tc>
          <w:tcPr>
            <w:tcW w:w="1530" w:type="dxa"/>
            <w:vAlign w:val="center"/>
          </w:tcPr>
          <w:p w:rsidR="00F76D3E" w:rsidRPr="000A46A6" w:rsidP="00C63E6B" w14:paraId="1E78C653" w14:textId="77777777">
            <w:pPr>
              <w:widowControl/>
              <w:autoSpaceDE/>
              <w:autoSpaceDN/>
              <w:adjustRightInd/>
              <w:jc w:val="center"/>
              <w:rPr>
                <w:rFonts w:eastAsia="Calibri"/>
                <w:sz w:val="20"/>
                <w:szCs w:val="20"/>
              </w:rPr>
            </w:pPr>
            <w:r w:rsidRPr="000A46A6">
              <w:rPr>
                <w:rFonts w:eastAsia="Calibri"/>
                <w:sz w:val="20"/>
                <w:szCs w:val="20"/>
              </w:rPr>
              <w:t>37</w:t>
            </w:r>
          </w:p>
        </w:tc>
        <w:tc>
          <w:tcPr>
            <w:tcW w:w="1440" w:type="dxa"/>
            <w:vAlign w:val="center"/>
          </w:tcPr>
          <w:p w:rsidR="00F76D3E" w:rsidRPr="000A46A6" w:rsidP="00C63E6B" w14:paraId="1A5D31DA" w14:textId="2015958E">
            <w:pPr>
              <w:widowControl/>
              <w:autoSpaceDE/>
              <w:autoSpaceDN/>
              <w:adjustRightInd/>
              <w:jc w:val="center"/>
              <w:rPr>
                <w:rFonts w:eastAsia="Calibri"/>
                <w:sz w:val="20"/>
                <w:szCs w:val="20"/>
              </w:rPr>
            </w:pPr>
            <w:r w:rsidRPr="000A46A6">
              <w:rPr>
                <w:rFonts w:eastAsia="Calibri"/>
                <w:sz w:val="20"/>
                <w:szCs w:val="20"/>
              </w:rPr>
              <w:t>$3,</w:t>
            </w:r>
            <w:r w:rsidRPr="000A46A6" w:rsidR="00FB29DE">
              <w:rPr>
                <w:rFonts w:eastAsia="Calibri"/>
                <w:sz w:val="20"/>
                <w:szCs w:val="20"/>
              </w:rPr>
              <w:t>340</w:t>
            </w:r>
          </w:p>
        </w:tc>
        <w:tc>
          <w:tcPr>
            <w:tcW w:w="1170" w:type="dxa"/>
            <w:noWrap/>
            <w:vAlign w:val="center"/>
          </w:tcPr>
          <w:p w:rsidR="00F76D3E" w:rsidRPr="000A46A6" w:rsidP="005F7B14" w14:paraId="044E278E" w14:textId="33DF0D82">
            <w:pPr>
              <w:widowControl/>
              <w:autoSpaceDE/>
              <w:autoSpaceDN/>
              <w:adjustRightInd/>
              <w:jc w:val="center"/>
              <w:rPr>
                <w:rFonts w:eastAsia="Calibri"/>
                <w:sz w:val="20"/>
                <w:szCs w:val="20"/>
              </w:rPr>
            </w:pPr>
            <w:r w:rsidRPr="000A46A6">
              <w:rPr>
                <w:rFonts w:eastAsia="Calibri"/>
                <w:sz w:val="20"/>
                <w:szCs w:val="20"/>
              </w:rPr>
              <w:t>2</w:t>
            </w:r>
            <w:r w:rsidRPr="000A46A6" w:rsidR="00A80719">
              <w:rPr>
                <w:rFonts w:eastAsia="Calibri"/>
                <w:sz w:val="20"/>
                <w:szCs w:val="20"/>
              </w:rPr>
              <w:t>7,491</w:t>
            </w:r>
          </w:p>
        </w:tc>
        <w:tc>
          <w:tcPr>
            <w:tcW w:w="1530" w:type="dxa"/>
            <w:noWrap/>
            <w:vAlign w:val="center"/>
          </w:tcPr>
          <w:p w:rsidR="00F76D3E" w:rsidRPr="000A46A6" w:rsidP="00C63E6B" w14:paraId="45501E45" w14:textId="46F643F0">
            <w:pPr>
              <w:widowControl/>
              <w:autoSpaceDE/>
              <w:autoSpaceDN/>
              <w:adjustRightInd/>
              <w:jc w:val="center"/>
              <w:rPr>
                <w:rFonts w:eastAsia="Calibri"/>
                <w:sz w:val="20"/>
                <w:szCs w:val="20"/>
              </w:rPr>
            </w:pPr>
            <w:r w:rsidRPr="000A46A6">
              <w:rPr>
                <w:rFonts w:eastAsia="Calibri"/>
                <w:sz w:val="20"/>
                <w:szCs w:val="20"/>
              </w:rPr>
              <w:t>$2,</w:t>
            </w:r>
            <w:r w:rsidRPr="000A46A6" w:rsidR="00FB29DE">
              <w:rPr>
                <w:rFonts w:eastAsia="Calibri"/>
                <w:sz w:val="20"/>
                <w:szCs w:val="20"/>
              </w:rPr>
              <w:t>481,338</w:t>
            </w:r>
          </w:p>
        </w:tc>
      </w:tr>
      <w:tr w14:paraId="6B62D983" w14:textId="77777777" w:rsidTr="000A46A6">
        <w:tblPrEx>
          <w:tblW w:w="9270" w:type="dxa"/>
          <w:tblInd w:w="-5" w:type="dxa"/>
          <w:tblLayout w:type="fixed"/>
          <w:tblLook w:val="04A0"/>
        </w:tblPrEx>
        <w:trPr>
          <w:trHeight w:val="377"/>
        </w:trPr>
        <w:tc>
          <w:tcPr>
            <w:tcW w:w="1986" w:type="dxa"/>
            <w:noWrap/>
            <w:vAlign w:val="center"/>
          </w:tcPr>
          <w:p w:rsidR="00F76D3E" w:rsidRPr="000A46A6" w:rsidP="00614677" w14:paraId="57313ACE" w14:textId="77777777">
            <w:pPr>
              <w:widowControl/>
              <w:autoSpaceDE/>
              <w:autoSpaceDN/>
              <w:adjustRightInd/>
              <w:rPr>
                <w:rFonts w:eastAsia="Calibri"/>
                <w:b/>
                <w:bCs/>
                <w:sz w:val="20"/>
                <w:szCs w:val="20"/>
              </w:rPr>
            </w:pPr>
            <w:r w:rsidRPr="000A46A6">
              <w:rPr>
                <w:rFonts w:eastAsia="Calibri"/>
                <w:b/>
                <w:bCs/>
                <w:sz w:val="20"/>
                <w:szCs w:val="20"/>
              </w:rPr>
              <w:t>Total</w:t>
            </w:r>
          </w:p>
        </w:tc>
        <w:tc>
          <w:tcPr>
            <w:tcW w:w="1614" w:type="dxa"/>
            <w:noWrap/>
            <w:vAlign w:val="center"/>
          </w:tcPr>
          <w:p w:rsidR="00F76D3E" w:rsidRPr="000A46A6" w:rsidP="00C63E6B" w14:paraId="16A9E4D4" w14:textId="4B202160">
            <w:pPr>
              <w:widowControl/>
              <w:autoSpaceDE/>
              <w:autoSpaceDN/>
              <w:adjustRightInd/>
              <w:jc w:val="center"/>
              <w:rPr>
                <w:rFonts w:eastAsia="Calibri"/>
                <w:sz w:val="20"/>
                <w:szCs w:val="20"/>
              </w:rPr>
            </w:pPr>
            <w:r w:rsidRPr="000A46A6">
              <w:rPr>
                <w:rFonts w:eastAsia="Calibri"/>
                <w:sz w:val="20"/>
                <w:szCs w:val="20"/>
              </w:rPr>
              <w:t>771</w:t>
            </w:r>
          </w:p>
        </w:tc>
        <w:tc>
          <w:tcPr>
            <w:tcW w:w="1530" w:type="dxa"/>
            <w:vAlign w:val="center"/>
          </w:tcPr>
          <w:p w:rsidR="00F76D3E" w:rsidRPr="000A46A6" w:rsidP="00C63E6B" w14:paraId="0EBC5363" w14:textId="77777777">
            <w:pPr>
              <w:widowControl/>
              <w:autoSpaceDE/>
              <w:autoSpaceDN/>
              <w:adjustRightInd/>
              <w:jc w:val="center"/>
              <w:rPr>
                <w:rFonts w:eastAsia="Calibri"/>
                <w:sz w:val="20"/>
                <w:szCs w:val="20"/>
              </w:rPr>
            </w:pPr>
          </w:p>
        </w:tc>
        <w:tc>
          <w:tcPr>
            <w:tcW w:w="1440" w:type="dxa"/>
            <w:vAlign w:val="center"/>
          </w:tcPr>
          <w:p w:rsidR="00F76D3E" w:rsidRPr="000A46A6" w:rsidP="00C63E6B" w14:paraId="69D7C38C" w14:textId="77777777">
            <w:pPr>
              <w:widowControl/>
              <w:autoSpaceDE/>
              <w:autoSpaceDN/>
              <w:adjustRightInd/>
              <w:jc w:val="center"/>
              <w:rPr>
                <w:rFonts w:eastAsia="Calibri"/>
                <w:sz w:val="20"/>
                <w:szCs w:val="20"/>
              </w:rPr>
            </w:pPr>
          </w:p>
        </w:tc>
        <w:tc>
          <w:tcPr>
            <w:tcW w:w="1170" w:type="dxa"/>
            <w:noWrap/>
            <w:vAlign w:val="center"/>
          </w:tcPr>
          <w:p w:rsidR="00F76D3E" w:rsidRPr="000A46A6" w:rsidP="005F7B14" w14:paraId="1575AFBF" w14:textId="7082D5D1">
            <w:pPr>
              <w:widowControl/>
              <w:autoSpaceDE/>
              <w:autoSpaceDN/>
              <w:adjustRightInd/>
              <w:jc w:val="center"/>
              <w:rPr>
                <w:rFonts w:eastAsia="Calibri"/>
                <w:sz w:val="20"/>
                <w:szCs w:val="20"/>
              </w:rPr>
            </w:pPr>
            <w:r w:rsidRPr="000A46A6">
              <w:rPr>
                <w:rFonts w:eastAsia="Calibri"/>
                <w:sz w:val="20"/>
                <w:szCs w:val="20"/>
              </w:rPr>
              <w:t>2</w:t>
            </w:r>
            <w:r w:rsidRPr="000A46A6" w:rsidR="00265A9A">
              <w:rPr>
                <w:rFonts w:eastAsia="Calibri"/>
                <w:sz w:val="20"/>
                <w:szCs w:val="20"/>
              </w:rPr>
              <w:t>8,569</w:t>
            </w:r>
          </w:p>
        </w:tc>
        <w:tc>
          <w:tcPr>
            <w:tcW w:w="1530" w:type="dxa"/>
            <w:noWrap/>
            <w:vAlign w:val="center"/>
          </w:tcPr>
          <w:p w:rsidR="00F76D3E" w:rsidRPr="000A46A6" w:rsidP="00C63E6B" w14:paraId="5EE3FCB7" w14:textId="4B6377F6">
            <w:pPr>
              <w:widowControl/>
              <w:autoSpaceDE/>
              <w:autoSpaceDN/>
              <w:adjustRightInd/>
              <w:jc w:val="center"/>
              <w:rPr>
                <w:rFonts w:eastAsia="Calibri"/>
                <w:sz w:val="20"/>
                <w:szCs w:val="20"/>
              </w:rPr>
            </w:pPr>
            <w:r w:rsidRPr="000A46A6">
              <w:rPr>
                <w:rFonts w:eastAsia="Calibri"/>
                <w:sz w:val="20"/>
                <w:szCs w:val="20"/>
              </w:rPr>
              <w:t>$2,</w:t>
            </w:r>
            <w:r w:rsidRPr="000A46A6" w:rsidR="00FB29DE">
              <w:rPr>
                <w:rFonts w:eastAsia="Calibri"/>
                <w:sz w:val="20"/>
                <w:szCs w:val="20"/>
              </w:rPr>
              <w:t>578,638</w:t>
            </w:r>
          </w:p>
        </w:tc>
      </w:tr>
    </w:tbl>
    <w:p w:rsidR="00F76D3E" w:rsidP="00140E48" w14:paraId="7D565EE8" w14:textId="77777777">
      <w:pPr>
        <w:pStyle w:val="BodyText"/>
        <w:kinsoku w:val="0"/>
        <w:overflowPunct w:val="0"/>
        <w:ind w:left="0" w:right="1563"/>
        <w:rPr>
          <w:b/>
          <w:bCs/>
        </w:rPr>
      </w:pPr>
    </w:p>
    <w:p w:rsidR="00BD4E8C" w:rsidRPr="00BD4E8C" w:rsidP="00BD4E8C" w14:paraId="55BC193E" w14:textId="0C944246">
      <w:pPr>
        <w:kinsoku w:val="0"/>
        <w:overflowPunct w:val="0"/>
        <w:ind w:right="1563"/>
      </w:pPr>
      <w:r w:rsidRPr="00BD4E8C">
        <w:t xml:space="preserve">The table below includes a summary of burden to issuers </w:t>
      </w:r>
      <w:r>
        <w:t xml:space="preserve">and </w:t>
      </w:r>
      <w:r w:rsidR="00537E5F">
        <w:t>S</w:t>
      </w:r>
      <w:r>
        <w:t xml:space="preserve">tates </w:t>
      </w:r>
      <w:r w:rsidRPr="00BD4E8C">
        <w:t xml:space="preserve">related to </w:t>
      </w:r>
      <w:r>
        <w:t xml:space="preserve">submission and review of </w:t>
      </w:r>
      <w:r w:rsidRPr="00BD4E8C">
        <w:t>Rate Filing Justification</w:t>
      </w:r>
      <w:r w:rsidR="00FE17B6">
        <w:t>s</w:t>
      </w:r>
      <w:r w:rsidRPr="00BD4E8C">
        <w:t>.</w:t>
      </w:r>
    </w:p>
    <w:p w:rsidR="00232FD5" w:rsidP="00140E48" w14:paraId="5FC92667" w14:textId="77777777">
      <w:pPr>
        <w:pStyle w:val="BodyText"/>
        <w:kinsoku w:val="0"/>
        <w:overflowPunct w:val="0"/>
        <w:ind w:left="0" w:right="1563"/>
        <w:rPr>
          <w:b/>
          <w:bCs/>
        </w:rPr>
      </w:pPr>
    </w:p>
    <w:p w:rsidR="00232FD5" w:rsidP="00232FD5" w14:paraId="578E8E10" w14:textId="1EFFCEBF">
      <w:pPr>
        <w:pStyle w:val="BodyText"/>
        <w:kinsoku w:val="0"/>
        <w:overflowPunct w:val="0"/>
        <w:ind w:right="1563"/>
        <w:rPr>
          <w:u w:val="single"/>
        </w:rPr>
      </w:pPr>
      <w:r w:rsidRPr="00140E48">
        <w:rPr>
          <w:u w:val="single"/>
        </w:rPr>
        <w:t>Table 12.</w:t>
      </w:r>
      <w:r w:rsidR="007F18EA">
        <w:rPr>
          <w:u w:val="single"/>
        </w:rPr>
        <w:t>7</w:t>
      </w:r>
      <w:r w:rsidRPr="00140E48">
        <w:rPr>
          <w:u w:val="single"/>
        </w:rPr>
        <w:t xml:space="preserve">– </w:t>
      </w:r>
      <w:r w:rsidRPr="00140E48" w:rsidR="00BA5ABF">
        <w:rPr>
          <w:u w:val="single"/>
        </w:rPr>
        <w:t xml:space="preserve">Estimated </w:t>
      </w:r>
      <w:r w:rsidR="00BA5ABF">
        <w:rPr>
          <w:u w:val="single"/>
        </w:rPr>
        <w:t xml:space="preserve">Total </w:t>
      </w:r>
      <w:r w:rsidRPr="00140E48" w:rsidR="00BA5ABF">
        <w:rPr>
          <w:u w:val="single"/>
        </w:rPr>
        <w:t>Annualized Burden Hours and Costs for Rate Filing</w:t>
      </w:r>
      <w:r w:rsidRPr="00140E48" w:rsidR="00BA5ABF">
        <w:rPr>
          <w:spacing w:val="-19"/>
          <w:u w:val="single"/>
        </w:rPr>
        <w:t xml:space="preserve"> </w:t>
      </w:r>
      <w:r w:rsidRPr="00140E48" w:rsidR="00BA5ABF">
        <w:rPr>
          <w:u w:val="single"/>
        </w:rPr>
        <w:t>Justification</w:t>
      </w:r>
      <w:r w:rsidR="007F18EA">
        <w:rPr>
          <w:u w:val="single"/>
        </w:rPr>
        <w:t>s</w:t>
      </w:r>
      <w:r w:rsidRPr="00140E48" w:rsidR="00BA5ABF">
        <w:rPr>
          <w:u w:val="single"/>
        </w:rPr>
        <w:t xml:space="preserve"> by </w:t>
      </w:r>
      <w:r w:rsidR="00BA5ABF">
        <w:rPr>
          <w:u w:val="single"/>
        </w:rPr>
        <w:t xml:space="preserve">Issuers and </w:t>
      </w:r>
      <w:r w:rsidR="00F0056A">
        <w:rPr>
          <w:u w:val="single"/>
        </w:rPr>
        <w:t>R</w:t>
      </w:r>
      <w:r w:rsidR="00BA5ABF">
        <w:rPr>
          <w:u w:val="single"/>
        </w:rPr>
        <w:t xml:space="preserve">eview by </w:t>
      </w:r>
      <w:r w:rsidRPr="00140E48" w:rsidR="00BA5ABF">
        <w:rPr>
          <w:u w:val="single"/>
        </w:rPr>
        <w:t>State Reviewers</w:t>
      </w:r>
    </w:p>
    <w:p w:rsidR="00BA5ABF" w:rsidP="00232FD5" w14:paraId="4470CE8E" w14:textId="77777777">
      <w:pPr>
        <w:pStyle w:val="BodyText"/>
        <w:kinsoku w:val="0"/>
        <w:overflowPunct w:val="0"/>
        <w:ind w:right="1563"/>
        <w:rPr>
          <w:u w:val="single"/>
        </w:rPr>
      </w:pPr>
    </w:p>
    <w:tbl>
      <w:tblPr>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396"/>
        <w:gridCol w:w="1396"/>
        <w:gridCol w:w="1570"/>
        <w:gridCol w:w="1745"/>
        <w:gridCol w:w="1784"/>
      </w:tblGrid>
      <w:tr w14:paraId="6879C644" w14:textId="77777777" w:rsidTr="005E5EC6">
        <w:tblPrEx>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68"/>
          <w:tblHeader/>
        </w:trPr>
        <w:tc>
          <w:tcPr>
            <w:tcW w:w="1919" w:type="dxa"/>
            <w:vAlign w:val="center"/>
            <w:hideMark/>
          </w:tcPr>
          <w:p w:rsidR="00C62F8E" w:rsidRPr="00FC7E1F" w:rsidP="00D926F8" w14:paraId="01202C68" w14:textId="77777777">
            <w:pPr>
              <w:widowControl/>
              <w:autoSpaceDE/>
              <w:autoSpaceDN/>
              <w:adjustRightInd/>
              <w:jc w:val="center"/>
              <w:rPr>
                <w:rFonts w:eastAsia="Calibri"/>
                <w:b/>
                <w:bCs/>
                <w:sz w:val="18"/>
                <w:szCs w:val="18"/>
              </w:rPr>
            </w:pPr>
          </w:p>
        </w:tc>
        <w:tc>
          <w:tcPr>
            <w:tcW w:w="1396" w:type="dxa"/>
            <w:vAlign w:val="center"/>
          </w:tcPr>
          <w:p w:rsidR="00C62F8E" w:rsidP="00D926F8" w14:paraId="06F3114F" w14:textId="0972258C">
            <w:pPr>
              <w:widowControl/>
              <w:autoSpaceDE/>
              <w:autoSpaceDN/>
              <w:adjustRightInd/>
              <w:jc w:val="center"/>
              <w:rPr>
                <w:b/>
                <w:bCs/>
                <w:sz w:val="18"/>
                <w:szCs w:val="18"/>
              </w:rPr>
            </w:pPr>
            <w:r>
              <w:rPr>
                <w:b/>
                <w:bCs/>
                <w:sz w:val="18"/>
                <w:szCs w:val="18"/>
              </w:rPr>
              <w:t xml:space="preserve">Total </w:t>
            </w:r>
            <w:r w:rsidR="008E4679">
              <w:rPr>
                <w:b/>
                <w:bCs/>
                <w:sz w:val="18"/>
                <w:szCs w:val="18"/>
              </w:rPr>
              <w:t>N</w:t>
            </w:r>
            <w:r>
              <w:rPr>
                <w:b/>
                <w:bCs/>
                <w:sz w:val="18"/>
                <w:szCs w:val="18"/>
              </w:rPr>
              <w:t>umber of Respondents</w:t>
            </w:r>
          </w:p>
        </w:tc>
        <w:tc>
          <w:tcPr>
            <w:tcW w:w="1396" w:type="dxa"/>
            <w:vAlign w:val="center"/>
            <w:hideMark/>
          </w:tcPr>
          <w:p w:rsidR="00C62F8E" w:rsidRPr="00FC7E1F" w:rsidP="00D926F8" w14:paraId="4A543419" w14:textId="5B37CE52">
            <w:pPr>
              <w:widowControl/>
              <w:autoSpaceDE/>
              <w:autoSpaceDN/>
              <w:adjustRightInd/>
              <w:jc w:val="center"/>
              <w:rPr>
                <w:rFonts w:eastAsia="Calibri"/>
                <w:b/>
                <w:bCs/>
                <w:sz w:val="18"/>
                <w:szCs w:val="18"/>
              </w:rPr>
            </w:pPr>
            <w:r>
              <w:rPr>
                <w:b/>
                <w:bCs/>
                <w:sz w:val="18"/>
                <w:szCs w:val="18"/>
              </w:rPr>
              <w:t>Total Number of Responses</w:t>
            </w:r>
          </w:p>
        </w:tc>
        <w:tc>
          <w:tcPr>
            <w:tcW w:w="1570" w:type="dxa"/>
            <w:vAlign w:val="center"/>
          </w:tcPr>
          <w:p w:rsidR="00C62F8E" w:rsidRPr="00FC7E1F" w:rsidP="00D926F8" w14:paraId="1A3AA08F" w14:textId="37B1265B">
            <w:pPr>
              <w:widowControl/>
              <w:autoSpaceDE/>
              <w:autoSpaceDN/>
              <w:adjustRightInd/>
              <w:jc w:val="center"/>
              <w:rPr>
                <w:rFonts w:eastAsia="Calibri"/>
                <w:b/>
                <w:bCs/>
                <w:sz w:val="18"/>
                <w:szCs w:val="18"/>
              </w:rPr>
            </w:pPr>
            <w:r>
              <w:rPr>
                <w:b/>
                <w:bCs/>
                <w:sz w:val="18"/>
                <w:szCs w:val="18"/>
              </w:rPr>
              <w:t>Estimated Average Burden per Response (hours)</w:t>
            </w:r>
          </w:p>
        </w:tc>
        <w:tc>
          <w:tcPr>
            <w:tcW w:w="1745" w:type="dxa"/>
            <w:vAlign w:val="center"/>
          </w:tcPr>
          <w:p w:rsidR="00C62F8E" w:rsidRPr="00FC7E1F" w:rsidP="00D926F8" w14:paraId="562E3FC7" w14:textId="77777777">
            <w:pPr>
              <w:widowControl/>
              <w:autoSpaceDE/>
              <w:autoSpaceDN/>
              <w:adjustRightInd/>
              <w:jc w:val="center"/>
              <w:rPr>
                <w:rFonts w:eastAsia="Calibri"/>
                <w:b/>
                <w:bCs/>
                <w:sz w:val="18"/>
                <w:szCs w:val="18"/>
              </w:rPr>
            </w:pPr>
          </w:p>
          <w:p w:rsidR="00C62F8E" w:rsidRPr="00FC7E1F" w:rsidP="00D926F8" w14:paraId="4751871D" w14:textId="126254BE">
            <w:pPr>
              <w:widowControl/>
              <w:autoSpaceDE/>
              <w:autoSpaceDN/>
              <w:adjustRightInd/>
              <w:jc w:val="center"/>
              <w:rPr>
                <w:rFonts w:eastAsia="Calibri"/>
                <w:b/>
                <w:bCs/>
                <w:sz w:val="18"/>
                <w:szCs w:val="18"/>
              </w:rPr>
            </w:pPr>
            <w:r w:rsidRPr="00FC7E1F">
              <w:rPr>
                <w:rFonts w:eastAsia="Calibri"/>
                <w:b/>
                <w:bCs/>
                <w:sz w:val="18"/>
                <w:szCs w:val="18"/>
              </w:rPr>
              <w:t xml:space="preserve">Estimated Total Burden Hours for </w:t>
            </w:r>
            <w:r w:rsidR="00304B3F">
              <w:rPr>
                <w:rFonts w:eastAsia="Calibri"/>
                <w:b/>
                <w:bCs/>
                <w:sz w:val="18"/>
                <w:szCs w:val="18"/>
              </w:rPr>
              <w:t>A</w:t>
            </w:r>
            <w:r w:rsidRPr="00FC7E1F">
              <w:rPr>
                <w:rFonts w:eastAsia="Calibri"/>
                <w:b/>
                <w:bCs/>
                <w:sz w:val="18"/>
                <w:szCs w:val="18"/>
              </w:rPr>
              <w:t xml:space="preserve">ll </w:t>
            </w:r>
            <w:r w:rsidR="00304B3F">
              <w:rPr>
                <w:rFonts w:eastAsia="Calibri"/>
                <w:b/>
                <w:bCs/>
                <w:sz w:val="18"/>
                <w:szCs w:val="18"/>
              </w:rPr>
              <w:t>P</w:t>
            </w:r>
            <w:r w:rsidRPr="00FC7E1F">
              <w:rPr>
                <w:rFonts w:eastAsia="Calibri"/>
                <w:b/>
                <w:bCs/>
                <w:sz w:val="18"/>
                <w:szCs w:val="18"/>
              </w:rPr>
              <w:t>arts of Rate Filing</w:t>
            </w:r>
            <w:r>
              <w:rPr>
                <w:rFonts w:eastAsia="Calibri"/>
                <w:b/>
                <w:bCs/>
                <w:sz w:val="18"/>
                <w:szCs w:val="18"/>
              </w:rPr>
              <w:t xml:space="preserve"> Justification (hours)</w:t>
            </w:r>
          </w:p>
        </w:tc>
        <w:tc>
          <w:tcPr>
            <w:tcW w:w="1784" w:type="dxa"/>
            <w:vAlign w:val="center"/>
            <w:hideMark/>
          </w:tcPr>
          <w:p w:rsidR="00C62F8E" w:rsidRPr="00FC7E1F" w:rsidP="00D926F8" w14:paraId="1DB94ADD" w14:textId="624BACDE">
            <w:pPr>
              <w:widowControl/>
              <w:autoSpaceDE/>
              <w:autoSpaceDN/>
              <w:adjustRightInd/>
              <w:jc w:val="center"/>
              <w:rPr>
                <w:rFonts w:eastAsia="Calibri"/>
                <w:b/>
                <w:bCs/>
                <w:sz w:val="18"/>
                <w:szCs w:val="18"/>
              </w:rPr>
            </w:pPr>
            <w:r w:rsidRPr="00FC7E1F">
              <w:rPr>
                <w:rFonts w:eastAsia="Calibri"/>
                <w:b/>
                <w:bCs/>
                <w:sz w:val="18"/>
                <w:szCs w:val="18"/>
              </w:rPr>
              <w:t xml:space="preserve">Estimated Total Cost for </w:t>
            </w:r>
            <w:r w:rsidR="001F76E2">
              <w:rPr>
                <w:rFonts w:eastAsia="Calibri"/>
                <w:b/>
                <w:bCs/>
                <w:sz w:val="18"/>
                <w:szCs w:val="18"/>
              </w:rPr>
              <w:t>All</w:t>
            </w:r>
            <w:r w:rsidRPr="00FC7E1F">
              <w:rPr>
                <w:rFonts w:eastAsia="Calibri"/>
                <w:b/>
                <w:bCs/>
                <w:sz w:val="18"/>
                <w:szCs w:val="18"/>
              </w:rPr>
              <w:t xml:space="preserve"> </w:t>
            </w:r>
            <w:r w:rsidR="00304B3F">
              <w:rPr>
                <w:rFonts w:eastAsia="Calibri"/>
                <w:b/>
                <w:bCs/>
                <w:sz w:val="18"/>
                <w:szCs w:val="18"/>
              </w:rPr>
              <w:t>P</w:t>
            </w:r>
            <w:r w:rsidRPr="00FC7E1F">
              <w:rPr>
                <w:rFonts w:eastAsia="Calibri"/>
                <w:b/>
                <w:bCs/>
                <w:sz w:val="18"/>
                <w:szCs w:val="18"/>
              </w:rPr>
              <w:t>arts of Rate Filing</w:t>
            </w:r>
          </w:p>
        </w:tc>
      </w:tr>
      <w:tr w14:paraId="03D8BE1A" w14:textId="77777777" w:rsidTr="005E5EC6">
        <w:tblPrEx>
          <w:tblW w:w="9810" w:type="dxa"/>
          <w:tblInd w:w="85" w:type="dxa"/>
          <w:tblLayout w:type="fixed"/>
          <w:tblLook w:val="04A0"/>
        </w:tblPrEx>
        <w:trPr>
          <w:trHeight w:val="389"/>
        </w:trPr>
        <w:tc>
          <w:tcPr>
            <w:tcW w:w="1919" w:type="dxa"/>
            <w:noWrap/>
            <w:vAlign w:val="center"/>
          </w:tcPr>
          <w:p w:rsidR="00C62F8E" w:rsidRPr="00FC7E1F" w:rsidP="00D926F8" w14:paraId="20564FB8" w14:textId="07703897">
            <w:pPr>
              <w:widowControl/>
              <w:autoSpaceDE/>
              <w:autoSpaceDN/>
              <w:adjustRightInd/>
              <w:rPr>
                <w:rFonts w:eastAsia="Calibri"/>
                <w:b/>
                <w:bCs/>
                <w:sz w:val="20"/>
                <w:szCs w:val="20"/>
              </w:rPr>
            </w:pPr>
            <w:r>
              <w:rPr>
                <w:b/>
                <w:bCs/>
                <w:sz w:val="20"/>
                <w:szCs w:val="20"/>
              </w:rPr>
              <w:t>Rate Filing Justification Submissions by Issuers</w:t>
            </w:r>
          </w:p>
        </w:tc>
        <w:tc>
          <w:tcPr>
            <w:tcW w:w="1396" w:type="dxa"/>
            <w:vAlign w:val="center"/>
          </w:tcPr>
          <w:p w:rsidR="00C62F8E" w:rsidP="00D926F8" w14:paraId="2FF01EBC" w14:textId="24AA0C2D">
            <w:pPr>
              <w:widowControl/>
              <w:autoSpaceDE/>
              <w:autoSpaceDN/>
              <w:adjustRightInd/>
              <w:jc w:val="center"/>
              <w:rPr>
                <w:rFonts w:eastAsia="Calibri"/>
                <w:sz w:val="20"/>
                <w:szCs w:val="20"/>
              </w:rPr>
            </w:pPr>
            <w:r>
              <w:rPr>
                <w:rFonts w:eastAsia="Calibri"/>
                <w:sz w:val="20"/>
                <w:szCs w:val="20"/>
              </w:rPr>
              <w:t>573</w:t>
            </w:r>
          </w:p>
        </w:tc>
        <w:tc>
          <w:tcPr>
            <w:tcW w:w="1396" w:type="dxa"/>
            <w:noWrap/>
            <w:vAlign w:val="center"/>
          </w:tcPr>
          <w:p w:rsidR="00C62F8E" w:rsidRPr="00872666" w:rsidP="00D926F8" w14:paraId="2A3CFFEA" w14:textId="35EBBE4B">
            <w:pPr>
              <w:widowControl/>
              <w:autoSpaceDE/>
              <w:autoSpaceDN/>
              <w:adjustRightInd/>
              <w:jc w:val="center"/>
              <w:rPr>
                <w:rFonts w:eastAsia="Calibri"/>
                <w:sz w:val="20"/>
                <w:szCs w:val="20"/>
              </w:rPr>
            </w:pPr>
            <w:r>
              <w:rPr>
                <w:rFonts w:eastAsia="Calibri"/>
                <w:sz w:val="20"/>
                <w:szCs w:val="20"/>
              </w:rPr>
              <w:t>1,780</w:t>
            </w:r>
          </w:p>
        </w:tc>
        <w:tc>
          <w:tcPr>
            <w:tcW w:w="1570" w:type="dxa"/>
            <w:vAlign w:val="center"/>
          </w:tcPr>
          <w:p w:rsidR="00C62F8E" w:rsidRPr="00FC7E1F" w:rsidP="00D926F8" w14:paraId="6B8339DE" w14:textId="2E5C55A7">
            <w:pPr>
              <w:widowControl/>
              <w:autoSpaceDE/>
              <w:autoSpaceDN/>
              <w:adjustRightInd/>
              <w:jc w:val="center"/>
              <w:rPr>
                <w:rFonts w:eastAsia="Calibri"/>
                <w:sz w:val="20"/>
                <w:szCs w:val="20"/>
              </w:rPr>
            </w:pPr>
            <w:r>
              <w:rPr>
                <w:rFonts w:eastAsia="Calibri"/>
                <w:sz w:val="20"/>
                <w:szCs w:val="20"/>
              </w:rPr>
              <w:t>9.85</w:t>
            </w:r>
          </w:p>
        </w:tc>
        <w:tc>
          <w:tcPr>
            <w:tcW w:w="1745" w:type="dxa"/>
            <w:vAlign w:val="center"/>
          </w:tcPr>
          <w:p w:rsidR="00C62F8E" w:rsidRPr="00FC7E1F" w:rsidP="00D926F8" w14:paraId="244FFD26" w14:textId="77777777">
            <w:pPr>
              <w:widowControl/>
              <w:autoSpaceDE/>
              <w:autoSpaceDN/>
              <w:adjustRightInd/>
              <w:jc w:val="center"/>
              <w:rPr>
                <w:rFonts w:eastAsia="Calibri"/>
                <w:sz w:val="20"/>
                <w:szCs w:val="20"/>
              </w:rPr>
            </w:pPr>
            <w:r w:rsidRPr="00FC7E1F">
              <w:rPr>
                <w:rFonts w:eastAsia="Calibri"/>
                <w:sz w:val="20"/>
                <w:szCs w:val="20"/>
              </w:rPr>
              <w:t>17,</w:t>
            </w:r>
            <w:r>
              <w:rPr>
                <w:rFonts w:eastAsia="Calibri"/>
                <w:sz w:val="20"/>
                <w:szCs w:val="20"/>
              </w:rPr>
              <w:t>533</w:t>
            </w:r>
          </w:p>
        </w:tc>
        <w:tc>
          <w:tcPr>
            <w:tcW w:w="1784" w:type="dxa"/>
            <w:noWrap/>
            <w:vAlign w:val="center"/>
          </w:tcPr>
          <w:p w:rsidR="00C62F8E" w:rsidRPr="00FC7E1F" w:rsidP="00D926F8" w14:paraId="2BAF6C41" w14:textId="77777777">
            <w:pPr>
              <w:widowControl/>
              <w:autoSpaceDE/>
              <w:autoSpaceDN/>
              <w:adjustRightInd/>
              <w:jc w:val="center"/>
              <w:rPr>
                <w:rFonts w:eastAsia="Calibri"/>
                <w:sz w:val="20"/>
                <w:szCs w:val="20"/>
              </w:rPr>
            </w:pPr>
            <w:r w:rsidRPr="00FC7E1F">
              <w:rPr>
                <w:rFonts w:eastAsia="Calibri"/>
                <w:sz w:val="20"/>
                <w:szCs w:val="20"/>
              </w:rPr>
              <w:t>$</w:t>
            </w:r>
            <w:r>
              <w:rPr>
                <w:rFonts w:eastAsia="Calibri"/>
                <w:sz w:val="20"/>
                <w:szCs w:val="20"/>
              </w:rPr>
              <w:t>2,022,958</w:t>
            </w:r>
          </w:p>
        </w:tc>
      </w:tr>
      <w:tr w14:paraId="052F5D3B" w14:textId="77777777" w:rsidTr="005E5EC6">
        <w:tblPrEx>
          <w:tblW w:w="9810" w:type="dxa"/>
          <w:tblInd w:w="85" w:type="dxa"/>
          <w:tblLayout w:type="fixed"/>
          <w:tblLook w:val="04A0"/>
        </w:tblPrEx>
        <w:trPr>
          <w:trHeight w:val="389"/>
        </w:trPr>
        <w:tc>
          <w:tcPr>
            <w:tcW w:w="1919" w:type="dxa"/>
            <w:noWrap/>
            <w:vAlign w:val="center"/>
          </w:tcPr>
          <w:p w:rsidR="00C62F8E" w:rsidRPr="00FC7E1F" w:rsidP="00D926F8" w14:paraId="5DB6C245" w14:textId="37CBBC20">
            <w:pPr>
              <w:widowControl/>
              <w:autoSpaceDE/>
              <w:autoSpaceDN/>
              <w:adjustRightInd/>
              <w:rPr>
                <w:rFonts w:eastAsia="Calibri"/>
                <w:b/>
                <w:bCs/>
                <w:sz w:val="20"/>
                <w:szCs w:val="20"/>
              </w:rPr>
            </w:pPr>
            <w:r>
              <w:rPr>
                <w:b/>
                <w:bCs/>
                <w:sz w:val="20"/>
                <w:szCs w:val="20"/>
              </w:rPr>
              <w:t>Review of Rate Filing Justification</w:t>
            </w:r>
            <w:r w:rsidR="008E4679">
              <w:rPr>
                <w:b/>
                <w:bCs/>
                <w:sz w:val="20"/>
                <w:szCs w:val="20"/>
              </w:rPr>
              <w:t>s</w:t>
            </w:r>
            <w:r>
              <w:rPr>
                <w:b/>
                <w:bCs/>
                <w:sz w:val="20"/>
                <w:szCs w:val="20"/>
              </w:rPr>
              <w:t xml:space="preserve"> by State Reviewers</w:t>
            </w:r>
          </w:p>
        </w:tc>
        <w:tc>
          <w:tcPr>
            <w:tcW w:w="1396" w:type="dxa"/>
            <w:vAlign w:val="center"/>
          </w:tcPr>
          <w:p w:rsidR="00C62F8E" w:rsidP="00D926F8" w14:paraId="5A4BBABE" w14:textId="7BAA50DC">
            <w:pPr>
              <w:widowControl/>
              <w:autoSpaceDE/>
              <w:autoSpaceDN/>
              <w:adjustRightInd/>
              <w:jc w:val="center"/>
              <w:rPr>
                <w:rFonts w:eastAsia="Calibri"/>
                <w:sz w:val="20"/>
                <w:szCs w:val="20"/>
              </w:rPr>
            </w:pPr>
            <w:r>
              <w:rPr>
                <w:rFonts w:eastAsia="Calibri"/>
                <w:sz w:val="20"/>
                <w:szCs w:val="20"/>
              </w:rPr>
              <w:t>47</w:t>
            </w:r>
          </w:p>
        </w:tc>
        <w:tc>
          <w:tcPr>
            <w:tcW w:w="1396" w:type="dxa"/>
            <w:noWrap/>
            <w:vAlign w:val="center"/>
          </w:tcPr>
          <w:p w:rsidR="00C62F8E" w:rsidRPr="00872666" w:rsidP="00D926F8" w14:paraId="4747BC70" w14:textId="29D7E3D2">
            <w:pPr>
              <w:widowControl/>
              <w:autoSpaceDE/>
              <w:autoSpaceDN/>
              <w:adjustRightInd/>
              <w:jc w:val="center"/>
              <w:rPr>
                <w:rFonts w:eastAsia="Calibri"/>
                <w:sz w:val="20"/>
                <w:szCs w:val="20"/>
              </w:rPr>
            </w:pPr>
            <w:r>
              <w:rPr>
                <w:rFonts w:eastAsia="Calibri"/>
                <w:sz w:val="20"/>
                <w:szCs w:val="20"/>
              </w:rPr>
              <w:t>771</w:t>
            </w:r>
          </w:p>
        </w:tc>
        <w:tc>
          <w:tcPr>
            <w:tcW w:w="1570" w:type="dxa"/>
            <w:vAlign w:val="center"/>
          </w:tcPr>
          <w:p w:rsidR="00C62F8E" w:rsidRPr="00FC7E1F" w:rsidP="00D926F8" w14:paraId="3B60B5F8" w14:textId="3D8AFCB3">
            <w:pPr>
              <w:widowControl/>
              <w:autoSpaceDE/>
              <w:autoSpaceDN/>
              <w:adjustRightInd/>
              <w:jc w:val="center"/>
              <w:rPr>
                <w:rFonts w:eastAsia="Calibri"/>
                <w:sz w:val="20"/>
                <w:szCs w:val="20"/>
              </w:rPr>
            </w:pPr>
            <w:r>
              <w:rPr>
                <w:rFonts w:eastAsia="Calibri"/>
                <w:sz w:val="20"/>
                <w:szCs w:val="20"/>
              </w:rPr>
              <w:t>37.05</w:t>
            </w:r>
          </w:p>
        </w:tc>
        <w:tc>
          <w:tcPr>
            <w:tcW w:w="1745" w:type="dxa"/>
            <w:vAlign w:val="center"/>
          </w:tcPr>
          <w:p w:rsidR="00C62F8E" w:rsidRPr="00F45DBF" w:rsidP="00D926F8" w14:paraId="0831BCEB" w14:textId="60A18673">
            <w:pPr>
              <w:widowControl/>
              <w:autoSpaceDE/>
              <w:autoSpaceDN/>
              <w:adjustRightInd/>
              <w:jc w:val="center"/>
              <w:rPr>
                <w:rFonts w:eastAsia="Calibri"/>
                <w:sz w:val="20"/>
                <w:szCs w:val="20"/>
              </w:rPr>
            </w:pPr>
            <w:r w:rsidRPr="005E5EC6">
              <w:rPr>
                <w:rFonts w:eastAsia="Calibri"/>
                <w:sz w:val="20"/>
                <w:szCs w:val="20"/>
              </w:rPr>
              <w:t>28,569</w:t>
            </w:r>
          </w:p>
        </w:tc>
        <w:tc>
          <w:tcPr>
            <w:tcW w:w="1784" w:type="dxa"/>
            <w:noWrap/>
            <w:vAlign w:val="center"/>
          </w:tcPr>
          <w:p w:rsidR="00C62F8E" w:rsidRPr="00FC7E1F" w:rsidP="00D926F8" w14:paraId="77294455" w14:textId="5C3B2D6A">
            <w:pPr>
              <w:widowControl/>
              <w:autoSpaceDE/>
              <w:autoSpaceDN/>
              <w:adjustRightInd/>
              <w:jc w:val="center"/>
              <w:rPr>
                <w:rFonts w:eastAsia="Calibri"/>
                <w:sz w:val="20"/>
                <w:szCs w:val="20"/>
              </w:rPr>
            </w:pPr>
            <w:r>
              <w:rPr>
                <w:rFonts w:eastAsia="Calibri"/>
                <w:sz w:val="20"/>
                <w:szCs w:val="20"/>
              </w:rPr>
              <w:t>$2,</w:t>
            </w:r>
            <w:r w:rsidR="00A80D46">
              <w:rPr>
                <w:rFonts w:eastAsia="Calibri"/>
                <w:sz w:val="20"/>
                <w:szCs w:val="20"/>
              </w:rPr>
              <w:t>578,638</w:t>
            </w:r>
          </w:p>
        </w:tc>
      </w:tr>
      <w:tr w14:paraId="497D7513" w14:textId="77777777" w:rsidTr="005E5EC6">
        <w:tblPrEx>
          <w:tblW w:w="9810" w:type="dxa"/>
          <w:tblInd w:w="85" w:type="dxa"/>
          <w:tblLayout w:type="fixed"/>
          <w:tblLook w:val="04A0"/>
        </w:tblPrEx>
        <w:trPr>
          <w:trHeight w:val="389"/>
        </w:trPr>
        <w:tc>
          <w:tcPr>
            <w:tcW w:w="1919" w:type="dxa"/>
            <w:noWrap/>
            <w:vAlign w:val="center"/>
          </w:tcPr>
          <w:p w:rsidR="00C62F8E" w:rsidRPr="00FC7E1F" w:rsidP="00D926F8" w14:paraId="06049850" w14:textId="5FBEBC93">
            <w:pPr>
              <w:widowControl/>
              <w:autoSpaceDE/>
              <w:autoSpaceDN/>
              <w:adjustRightInd/>
              <w:rPr>
                <w:rFonts w:eastAsia="Calibri"/>
                <w:b/>
                <w:bCs/>
                <w:sz w:val="20"/>
                <w:szCs w:val="20"/>
              </w:rPr>
            </w:pPr>
            <w:r>
              <w:rPr>
                <w:b/>
                <w:bCs/>
                <w:sz w:val="20"/>
                <w:szCs w:val="20"/>
              </w:rPr>
              <w:t>Total</w:t>
            </w:r>
          </w:p>
        </w:tc>
        <w:tc>
          <w:tcPr>
            <w:tcW w:w="1396" w:type="dxa"/>
            <w:vAlign w:val="center"/>
          </w:tcPr>
          <w:p w:rsidR="00C62F8E" w:rsidRPr="00872666" w:rsidP="00D926F8" w14:paraId="2EA269C7" w14:textId="0BF6C0B0">
            <w:pPr>
              <w:widowControl/>
              <w:autoSpaceDE/>
              <w:autoSpaceDN/>
              <w:adjustRightInd/>
              <w:jc w:val="center"/>
              <w:rPr>
                <w:rFonts w:eastAsia="Calibri"/>
                <w:sz w:val="20"/>
                <w:szCs w:val="20"/>
              </w:rPr>
            </w:pPr>
            <w:r>
              <w:rPr>
                <w:rFonts w:eastAsia="Calibri"/>
                <w:sz w:val="20"/>
                <w:szCs w:val="20"/>
              </w:rPr>
              <w:t>620</w:t>
            </w:r>
          </w:p>
        </w:tc>
        <w:tc>
          <w:tcPr>
            <w:tcW w:w="1396" w:type="dxa"/>
            <w:noWrap/>
            <w:vAlign w:val="center"/>
          </w:tcPr>
          <w:p w:rsidR="00C62F8E" w:rsidRPr="00872666" w:rsidP="00D926F8" w14:paraId="7953F679" w14:textId="18BE4522">
            <w:pPr>
              <w:widowControl/>
              <w:autoSpaceDE/>
              <w:autoSpaceDN/>
              <w:adjustRightInd/>
              <w:jc w:val="center"/>
              <w:rPr>
                <w:rFonts w:eastAsia="Calibri"/>
                <w:sz w:val="20"/>
                <w:szCs w:val="20"/>
              </w:rPr>
            </w:pPr>
            <w:r>
              <w:rPr>
                <w:rFonts w:eastAsia="Calibri"/>
                <w:sz w:val="20"/>
                <w:szCs w:val="20"/>
              </w:rPr>
              <w:t>2,551</w:t>
            </w:r>
          </w:p>
        </w:tc>
        <w:tc>
          <w:tcPr>
            <w:tcW w:w="1570" w:type="dxa"/>
            <w:vAlign w:val="center"/>
          </w:tcPr>
          <w:p w:rsidR="00C62F8E" w:rsidRPr="00FC7E1F" w:rsidP="00D926F8" w14:paraId="00E8315D" w14:textId="77777777">
            <w:pPr>
              <w:widowControl/>
              <w:autoSpaceDE/>
              <w:autoSpaceDN/>
              <w:adjustRightInd/>
              <w:jc w:val="center"/>
              <w:rPr>
                <w:rFonts w:eastAsia="Calibri"/>
                <w:sz w:val="20"/>
                <w:szCs w:val="20"/>
              </w:rPr>
            </w:pPr>
          </w:p>
        </w:tc>
        <w:tc>
          <w:tcPr>
            <w:tcW w:w="1745" w:type="dxa"/>
            <w:vAlign w:val="center"/>
          </w:tcPr>
          <w:p w:rsidR="00C62F8E" w:rsidRPr="00FC7E1F" w:rsidP="00D926F8" w14:paraId="66BA7A73" w14:textId="333E4288">
            <w:pPr>
              <w:widowControl/>
              <w:autoSpaceDE/>
              <w:autoSpaceDN/>
              <w:adjustRightInd/>
              <w:jc w:val="center"/>
              <w:rPr>
                <w:rFonts w:eastAsia="Calibri"/>
                <w:sz w:val="20"/>
                <w:szCs w:val="20"/>
              </w:rPr>
            </w:pPr>
            <w:r>
              <w:rPr>
                <w:rFonts w:eastAsia="Calibri"/>
                <w:sz w:val="20"/>
                <w:szCs w:val="20"/>
              </w:rPr>
              <w:t>46,102</w:t>
            </w:r>
          </w:p>
        </w:tc>
        <w:tc>
          <w:tcPr>
            <w:tcW w:w="1784" w:type="dxa"/>
            <w:noWrap/>
            <w:vAlign w:val="center"/>
          </w:tcPr>
          <w:p w:rsidR="00C62F8E" w:rsidRPr="00FC7E1F" w:rsidP="00D926F8" w14:paraId="1AF87A6D" w14:textId="34739476">
            <w:pPr>
              <w:widowControl/>
              <w:autoSpaceDE/>
              <w:autoSpaceDN/>
              <w:adjustRightInd/>
              <w:jc w:val="center"/>
              <w:rPr>
                <w:rFonts w:eastAsia="Calibri"/>
                <w:sz w:val="20"/>
                <w:szCs w:val="20"/>
              </w:rPr>
            </w:pPr>
            <w:r>
              <w:rPr>
                <w:rFonts w:eastAsia="Calibri"/>
                <w:sz w:val="20"/>
                <w:szCs w:val="20"/>
              </w:rPr>
              <w:t>$4,601,595</w:t>
            </w:r>
          </w:p>
        </w:tc>
      </w:tr>
    </w:tbl>
    <w:p w:rsidR="00BA5ABF" w:rsidRPr="00140E48" w:rsidP="00232FD5" w14:paraId="6BADCB25" w14:textId="77777777">
      <w:pPr>
        <w:pStyle w:val="BodyText"/>
        <w:kinsoku w:val="0"/>
        <w:overflowPunct w:val="0"/>
        <w:ind w:right="1563"/>
        <w:rPr>
          <w:u w:val="single"/>
        </w:rPr>
      </w:pPr>
    </w:p>
    <w:p w:rsidR="00232FD5" w:rsidP="00140E48" w14:paraId="59160837" w14:textId="77777777">
      <w:pPr>
        <w:pStyle w:val="BodyText"/>
        <w:kinsoku w:val="0"/>
        <w:overflowPunct w:val="0"/>
        <w:ind w:left="0" w:right="1563"/>
        <w:rPr>
          <w:b/>
          <w:bCs/>
        </w:rPr>
      </w:pPr>
    </w:p>
    <w:p w:rsidR="00FE2076" w:rsidRPr="007A03D8" w:rsidP="00140E48" w14:paraId="7A9D503D" w14:textId="77777777">
      <w:pPr>
        <w:pStyle w:val="Heading1"/>
        <w:numPr>
          <w:ilvl w:val="0"/>
          <w:numId w:val="1"/>
        </w:numPr>
        <w:tabs>
          <w:tab w:val="left" w:pos="360"/>
        </w:tabs>
        <w:kinsoku w:val="0"/>
        <w:overflowPunct w:val="0"/>
        <w:ind w:left="360" w:hanging="360"/>
        <w:rPr>
          <w:b w:val="0"/>
          <w:bCs w:val="0"/>
          <w:u w:val="none"/>
        </w:rPr>
      </w:pPr>
      <w:r w:rsidRPr="005E5EC6">
        <w:rPr>
          <w:u w:val="none"/>
        </w:rPr>
        <w:t>Capital</w:t>
      </w:r>
      <w:r w:rsidRPr="005E5EC6">
        <w:rPr>
          <w:spacing w:val="-1"/>
          <w:u w:val="none"/>
        </w:rPr>
        <w:t xml:space="preserve"> </w:t>
      </w:r>
      <w:r w:rsidRPr="005E5EC6">
        <w:rPr>
          <w:u w:val="none"/>
        </w:rPr>
        <w:t>Costs</w:t>
      </w:r>
    </w:p>
    <w:p w:rsidR="00FE2076" w:rsidRPr="00140E48" w:rsidP="00140E48" w14:paraId="001C21DC" w14:textId="77777777">
      <w:pPr>
        <w:pStyle w:val="BodyText"/>
        <w:kinsoku w:val="0"/>
        <w:overflowPunct w:val="0"/>
        <w:ind w:left="0"/>
        <w:rPr>
          <w:b/>
          <w:bCs/>
        </w:rPr>
      </w:pPr>
    </w:p>
    <w:p w:rsidR="00FE2076" w:rsidRPr="00140E48" w:rsidP="00140E48" w14:paraId="524BA566" w14:textId="754CE3B8">
      <w:pPr>
        <w:pStyle w:val="BodyText"/>
        <w:kinsoku w:val="0"/>
        <w:overflowPunct w:val="0"/>
        <w:ind w:left="0" w:right="40"/>
      </w:pPr>
      <w:r w:rsidRPr="00140E48">
        <w:t>Issuers</w:t>
      </w:r>
      <w:r w:rsidRPr="00140E48">
        <w:t xml:space="preserve"> and </w:t>
      </w:r>
      <w:r w:rsidR="0074058A">
        <w:t>S</w:t>
      </w:r>
      <w:r w:rsidRPr="00140E48">
        <w:t xml:space="preserve">tates </w:t>
      </w:r>
      <w:r w:rsidRPr="00140E48" w:rsidR="00147758">
        <w:t>will not</w:t>
      </w:r>
      <w:r w:rsidRPr="00140E48">
        <w:t xml:space="preserve"> incur capital costs to fulfill these</w:t>
      </w:r>
      <w:r w:rsidRPr="00140E48">
        <w:rPr>
          <w:spacing w:val="-22"/>
        </w:rPr>
        <w:t xml:space="preserve"> </w:t>
      </w:r>
      <w:r w:rsidRPr="00140E48">
        <w:t>requirements.</w:t>
      </w:r>
    </w:p>
    <w:p w:rsidR="00FE2076" w:rsidRPr="00140E48" w:rsidP="00140E48" w14:paraId="3B1527E7" w14:textId="77777777">
      <w:pPr>
        <w:pStyle w:val="BodyText"/>
        <w:kinsoku w:val="0"/>
        <w:overflowPunct w:val="0"/>
        <w:ind w:left="0"/>
      </w:pPr>
    </w:p>
    <w:p w:rsidR="00FE2076" w:rsidRPr="007A03D8" w:rsidP="00140E48" w14:paraId="35A895B8" w14:textId="77777777">
      <w:pPr>
        <w:pStyle w:val="Heading1"/>
        <w:numPr>
          <w:ilvl w:val="0"/>
          <w:numId w:val="1"/>
        </w:numPr>
        <w:tabs>
          <w:tab w:val="left" w:pos="360"/>
        </w:tabs>
        <w:kinsoku w:val="0"/>
        <w:overflowPunct w:val="0"/>
        <w:ind w:left="360" w:right="1007" w:hanging="360"/>
        <w:rPr>
          <w:b w:val="0"/>
          <w:bCs w:val="0"/>
          <w:u w:val="none"/>
        </w:rPr>
      </w:pPr>
      <w:r w:rsidRPr="005E5EC6">
        <w:rPr>
          <w:u w:val="none"/>
        </w:rPr>
        <w:t>Cost to Federal Government</w:t>
      </w:r>
    </w:p>
    <w:p w:rsidR="00FE2076" w:rsidRPr="00140E48" w:rsidP="00140E48" w14:paraId="1F8494A7" w14:textId="77777777">
      <w:pPr>
        <w:pStyle w:val="BodyText"/>
        <w:kinsoku w:val="0"/>
        <w:overflowPunct w:val="0"/>
        <w:ind w:left="0"/>
        <w:rPr>
          <w:b/>
          <w:bCs/>
        </w:rPr>
      </w:pPr>
    </w:p>
    <w:p w:rsidR="002F1FEB" w:rsidP="00140E48" w14:paraId="67C6A961" w14:textId="247A888E">
      <w:pPr>
        <w:pStyle w:val="BodyText"/>
        <w:kinsoku w:val="0"/>
        <w:overflowPunct w:val="0"/>
        <w:ind w:left="0" w:right="40"/>
      </w:pPr>
      <w:bookmarkStart w:id="17" w:name="_Hlk102568431"/>
      <w:r w:rsidRPr="00715400">
        <w:t xml:space="preserve">CMS reviews all </w:t>
      </w:r>
      <w:r w:rsidRPr="00715400" w:rsidR="00F31978">
        <w:t xml:space="preserve">rate </w:t>
      </w:r>
      <w:r w:rsidR="00F31978">
        <w:t>changes</w:t>
      </w:r>
      <w:r w:rsidRPr="00715400" w:rsidR="00F31978">
        <w:t xml:space="preserve"> for compliance </w:t>
      </w:r>
      <w:r w:rsidR="00F31978">
        <w:t xml:space="preserve">and </w:t>
      </w:r>
      <w:r w:rsidRPr="00715400" w:rsidR="00F31978">
        <w:t xml:space="preserve">all </w:t>
      </w:r>
      <w:r w:rsidRPr="00715400">
        <w:t>rate increases that meet the 15</w:t>
      </w:r>
      <w:r w:rsidR="007A03D8">
        <w:t xml:space="preserve"> percent</w:t>
      </w:r>
      <w:r w:rsidRPr="00715400" w:rsidR="007A03D8">
        <w:t xml:space="preserve"> </w:t>
      </w:r>
      <w:r w:rsidR="00F31978">
        <w:t>Federal</w:t>
      </w:r>
      <w:r w:rsidRPr="00715400" w:rsidR="00F31978">
        <w:t xml:space="preserve"> threshold</w:t>
      </w:r>
      <w:r w:rsidRPr="00715400">
        <w:t xml:space="preserve"> for reasonableness in a </w:t>
      </w:r>
      <w:r w:rsidR="0074058A">
        <w:t>S</w:t>
      </w:r>
      <w:r w:rsidRPr="00715400">
        <w:t>tate that does not have an Effective Rate Review Program.</w:t>
      </w:r>
      <w:r>
        <w:rPr>
          <w:rStyle w:val="FootnoteReference"/>
        </w:rPr>
        <w:footnoteReference w:id="12"/>
      </w:r>
      <w:r>
        <w:t xml:space="preserve"> </w:t>
      </w:r>
      <w:r w:rsidRPr="00140E48" w:rsidR="00FE2076">
        <w:t xml:space="preserve">This activity </w:t>
      </w:r>
      <w:r w:rsidRPr="00140E48" w:rsidR="00DB083F">
        <w:t>is</w:t>
      </w:r>
      <w:r w:rsidRPr="00140E48" w:rsidR="00FE2076">
        <w:t xml:space="preserve"> conducted with the use of contracted services. </w:t>
      </w:r>
      <w:r w:rsidR="00EB479D">
        <w:t>T</w:t>
      </w:r>
      <w:r w:rsidR="00EA2F33">
        <w:t>he cost to the Federal Government will be $</w:t>
      </w:r>
      <w:r w:rsidR="008F7E0F">
        <w:t>41</w:t>
      </w:r>
      <w:r w:rsidR="001830A2">
        <w:t>5</w:t>
      </w:r>
      <w:r w:rsidR="008F7E0F">
        <w:t>,213</w:t>
      </w:r>
      <w:bookmarkEnd w:id="17"/>
      <w:r w:rsidR="00E0056F">
        <w:t xml:space="preserve"> annually.</w:t>
      </w:r>
    </w:p>
    <w:p w:rsidR="0040388D" w:rsidP="00140E48" w14:paraId="67014927" w14:textId="77777777">
      <w:pPr>
        <w:pStyle w:val="BodyText"/>
        <w:kinsoku w:val="0"/>
        <w:overflowPunct w:val="0"/>
        <w:ind w:left="0" w:right="40"/>
      </w:pPr>
    </w:p>
    <w:p w:rsidR="0040388D" w:rsidP="00140E48" w14:paraId="3B64EBDF" w14:textId="77777777">
      <w:pPr>
        <w:pStyle w:val="BodyText"/>
        <w:kinsoku w:val="0"/>
        <w:overflowPunct w:val="0"/>
        <w:ind w:left="0" w:right="40"/>
      </w:pPr>
    </w:p>
    <w:p w:rsidR="00EE736B" w:rsidRPr="006D06E1" w:rsidP="00EE736B" w14:paraId="553201D4" w14:textId="4E042B36">
      <w:pPr>
        <w:ind w:right="531"/>
        <w:rPr>
          <w:u w:val="single"/>
        </w:rPr>
      </w:pPr>
      <w:r w:rsidRPr="006D06E1">
        <w:rPr>
          <w:u w:val="single"/>
        </w:rPr>
        <w:t>Table 14.</w:t>
      </w:r>
      <w:r w:rsidR="002C5393">
        <w:rPr>
          <w:u w:val="single"/>
        </w:rPr>
        <w:t>1</w:t>
      </w:r>
      <w:r w:rsidRPr="006D06E1">
        <w:rPr>
          <w:u w:val="single"/>
        </w:rPr>
        <w:t xml:space="preserve"> – Estimated Annualized Cost to the Federal Government</w:t>
      </w:r>
    </w:p>
    <w:p w:rsidR="00EE736B" w:rsidRPr="00140E48" w:rsidP="00140E48" w14:paraId="00EC7076" w14:textId="77777777">
      <w:pPr>
        <w:pStyle w:val="BodyText"/>
        <w:kinsoku w:val="0"/>
        <w:overflowPunct w:val="0"/>
        <w:ind w:left="0" w:right="40"/>
      </w:pPr>
    </w:p>
    <w:tbl>
      <w:tblPr>
        <w:tblStyle w:val="TableGrid"/>
        <w:tblW w:w="0" w:type="auto"/>
        <w:jc w:val="center"/>
        <w:tblLook w:val="04A0"/>
      </w:tblPr>
      <w:tblGrid>
        <w:gridCol w:w="2961"/>
        <w:gridCol w:w="2079"/>
      </w:tblGrid>
      <w:tr w14:paraId="333D7CDF" w14:textId="77777777" w:rsidTr="00756C2B">
        <w:tblPrEx>
          <w:tblW w:w="0" w:type="auto"/>
          <w:jc w:val="center"/>
          <w:tblLook w:val="04A0"/>
        </w:tblPrEx>
        <w:trPr>
          <w:trHeight w:val="576"/>
          <w:jc w:val="center"/>
        </w:trPr>
        <w:tc>
          <w:tcPr>
            <w:tcW w:w="2961" w:type="dxa"/>
            <w:vAlign w:val="center"/>
          </w:tcPr>
          <w:p w:rsidR="00590A56" w:rsidRPr="000A46A6" w:rsidP="006D06E1" w14:paraId="34E8B0BC" w14:textId="3E9C4106">
            <w:pPr>
              <w:ind w:right="12"/>
              <w:jc w:val="center"/>
              <w:rPr>
                <w:b/>
                <w:bCs/>
                <w:sz w:val="20"/>
                <w:szCs w:val="20"/>
              </w:rPr>
            </w:pPr>
            <w:r w:rsidRPr="000A46A6">
              <w:rPr>
                <w:b/>
                <w:bCs/>
                <w:sz w:val="20"/>
                <w:szCs w:val="20"/>
              </w:rPr>
              <w:t>Type of Cost</w:t>
            </w:r>
          </w:p>
        </w:tc>
        <w:tc>
          <w:tcPr>
            <w:tcW w:w="2079" w:type="dxa"/>
            <w:vAlign w:val="center"/>
          </w:tcPr>
          <w:p w:rsidR="00590A56" w:rsidRPr="000A46A6" w:rsidP="006D06E1" w14:paraId="5DD0EDBE" w14:textId="7FCC8D8C">
            <w:pPr>
              <w:jc w:val="center"/>
              <w:rPr>
                <w:b/>
                <w:bCs/>
                <w:sz w:val="20"/>
                <w:szCs w:val="20"/>
              </w:rPr>
            </w:pPr>
            <w:r w:rsidRPr="000A46A6">
              <w:rPr>
                <w:b/>
                <w:bCs/>
                <w:sz w:val="20"/>
                <w:szCs w:val="20"/>
              </w:rPr>
              <w:t>Estimated Annual Cost</w:t>
            </w:r>
          </w:p>
        </w:tc>
      </w:tr>
      <w:tr w14:paraId="482EBED8" w14:textId="77777777" w:rsidTr="00756C2B">
        <w:tblPrEx>
          <w:tblW w:w="0" w:type="auto"/>
          <w:jc w:val="center"/>
          <w:tblLook w:val="04A0"/>
        </w:tblPrEx>
        <w:trPr>
          <w:trHeight w:val="576"/>
          <w:jc w:val="center"/>
        </w:trPr>
        <w:tc>
          <w:tcPr>
            <w:tcW w:w="2961" w:type="dxa"/>
            <w:vAlign w:val="center"/>
          </w:tcPr>
          <w:p w:rsidR="00590A56" w:rsidRPr="004336B8" w:rsidP="006D06E1" w14:paraId="7D5EDFD8" w14:textId="06401CE9">
            <w:pPr>
              <w:ind w:right="12"/>
              <w:jc w:val="center"/>
              <w:rPr>
                <w:sz w:val="20"/>
                <w:szCs w:val="20"/>
              </w:rPr>
            </w:pPr>
            <w:r>
              <w:rPr>
                <w:sz w:val="20"/>
                <w:szCs w:val="20"/>
              </w:rPr>
              <w:t xml:space="preserve">Total </w:t>
            </w:r>
            <w:r>
              <w:rPr>
                <w:sz w:val="20"/>
                <w:szCs w:val="20"/>
              </w:rPr>
              <w:t>Costs</w:t>
            </w:r>
            <w:r w:rsidR="00766DB0">
              <w:rPr>
                <w:sz w:val="20"/>
                <w:szCs w:val="20"/>
              </w:rPr>
              <w:t xml:space="preserve"> Related to Rate Review</w:t>
            </w:r>
          </w:p>
        </w:tc>
        <w:tc>
          <w:tcPr>
            <w:tcW w:w="2079" w:type="dxa"/>
            <w:vAlign w:val="center"/>
          </w:tcPr>
          <w:p w:rsidR="00590A56" w:rsidP="006D06E1" w14:paraId="27677CE2" w14:textId="7E24BB69">
            <w:pPr>
              <w:jc w:val="center"/>
              <w:rPr>
                <w:sz w:val="20"/>
                <w:szCs w:val="20"/>
              </w:rPr>
            </w:pPr>
            <w:r>
              <w:rPr>
                <w:sz w:val="20"/>
                <w:szCs w:val="20"/>
              </w:rPr>
              <w:t>$</w:t>
            </w:r>
            <w:r w:rsidR="008F7E0F">
              <w:rPr>
                <w:sz w:val="20"/>
                <w:szCs w:val="20"/>
              </w:rPr>
              <w:t>415,213</w:t>
            </w:r>
          </w:p>
        </w:tc>
      </w:tr>
    </w:tbl>
    <w:p w:rsidR="00FE2076" w:rsidP="00140E48" w14:paraId="21A7761C" w14:textId="77777777">
      <w:pPr>
        <w:pStyle w:val="BodyText"/>
        <w:kinsoku w:val="0"/>
        <w:overflowPunct w:val="0"/>
        <w:ind w:left="0"/>
      </w:pPr>
    </w:p>
    <w:p w:rsidR="00EE736B" w:rsidRPr="00140E48" w:rsidP="00140E48" w14:paraId="0D636234" w14:textId="77777777">
      <w:pPr>
        <w:pStyle w:val="BodyText"/>
        <w:kinsoku w:val="0"/>
        <w:overflowPunct w:val="0"/>
        <w:ind w:left="0"/>
      </w:pPr>
    </w:p>
    <w:p w:rsidR="00FE2076" w:rsidRPr="007A03D8" w:rsidP="00140E48" w14:paraId="306ADAE0" w14:textId="77777777">
      <w:pPr>
        <w:pStyle w:val="Heading1"/>
        <w:numPr>
          <w:ilvl w:val="0"/>
          <w:numId w:val="1"/>
        </w:numPr>
        <w:tabs>
          <w:tab w:val="left" w:pos="360"/>
        </w:tabs>
        <w:kinsoku w:val="0"/>
        <w:overflowPunct w:val="0"/>
        <w:ind w:left="360" w:right="91" w:hanging="360"/>
        <w:rPr>
          <w:b w:val="0"/>
          <w:bCs w:val="0"/>
          <w:u w:val="none"/>
        </w:rPr>
      </w:pPr>
      <w:r w:rsidRPr="005E5EC6">
        <w:rPr>
          <w:u w:val="thick"/>
        </w:rPr>
        <w:t>Changes to</w:t>
      </w:r>
      <w:r w:rsidRPr="005E5EC6">
        <w:rPr>
          <w:spacing w:val="-1"/>
          <w:u w:val="thick"/>
        </w:rPr>
        <w:t xml:space="preserve"> </w:t>
      </w:r>
      <w:r w:rsidRPr="005E5EC6">
        <w:rPr>
          <w:u w:val="thick"/>
        </w:rPr>
        <w:t>Burden</w:t>
      </w:r>
    </w:p>
    <w:p w:rsidR="00FE2076" w:rsidRPr="00140E48" w:rsidP="00140E48" w14:paraId="0E5BA0E4" w14:textId="77777777">
      <w:pPr>
        <w:pStyle w:val="BodyText"/>
        <w:kinsoku w:val="0"/>
        <w:overflowPunct w:val="0"/>
        <w:ind w:left="0"/>
        <w:rPr>
          <w:b/>
          <w:bCs/>
        </w:rPr>
      </w:pPr>
    </w:p>
    <w:p w:rsidR="00A9782F" w:rsidRPr="00140E48" w:rsidP="00140E48" w14:paraId="6C37F250" w14:textId="40BDAAEE">
      <w:pPr>
        <w:pStyle w:val="BodyText"/>
        <w:kinsoku w:val="0"/>
        <w:overflowPunct w:val="0"/>
        <w:ind w:left="0" w:right="40"/>
      </w:pPr>
      <w:r w:rsidRPr="00140E48">
        <w:t xml:space="preserve">There is an overall </w:t>
      </w:r>
      <w:r w:rsidR="00D54BA7">
        <w:t>in</w:t>
      </w:r>
      <w:r w:rsidRPr="00140E48">
        <w:t>crease in burden hours associated with this information collection</w:t>
      </w:r>
      <w:r w:rsidRPr="00140E48">
        <w:t>.</w:t>
      </w:r>
    </w:p>
    <w:p w:rsidR="00A063B9" w:rsidRPr="00140E48" w:rsidP="00140E48" w14:paraId="3957DCB3" w14:textId="77777777">
      <w:pPr>
        <w:pStyle w:val="BodyText"/>
        <w:kinsoku w:val="0"/>
        <w:overflowPunct w:val="0"/>
        <w:ind w:left="0" w:right="40"/>
      </w:pPr>
    </w:p>
    <w:p w:rsidR="00C372D4" w:rsidP="00140E48" w14:paraId="3AEC7B1D" w14:textId="04286AAF">
      <w:pPr>
        <w:pStyle w:val="BodyText"/>
        <w:kinsoku w:val="0"/>
        <w:overflowPunct w:val="0"/>
        <w:ind w:left="0" w:right="40"/>
      </w:pPr>
      <w:r w:rsidRPr="00140E48">
        <w:t xml:space="preserve">As a result of </w:t>
      </w:r>
      <w:r w:rsidRPr="00140E48" w:rsidR="001E4E5B">
        <w:t xml:space="preserve">the </w:t>
      </w:r>
      <w:r w:rsidRPr="00140E48" w:rsidR="00076926">
        <w:t xml:space="preserve">new system </w:t>
      </w:r>
      <w:r w:rsidRPr="00140E48" w:rsidR="001E4E5B">
        <w:t xml:space="preserve">connection between SERFF and HIOS, </w:t>
      </w:r>
      <w:r w:rsidRPr="00140E48" w:rsidR="00076926">
        <w:t xml:space="preserve">issuers in 47 </w:t>
      </w:r>
      <w:r w:rsidR="005E5EC6">
        <w:t>S</w:t>
      </w:r>
      <w:r w:rsidRPr="00140E48" w:rsidR="00076926">
        <w:t xml:space="preserve">tates and the District of Columbia will only have to </w:t>
      </w:r>
      <w:r w:rsidRPr="00140E48" w:rsidR="00434C90">
        <w:t xml:space="preserve">submit </w:t>
      </w:r>
      <w:r w:rsidRPr="00140E48" w:rsidR="00F041D3">
        <w:t>R</w:t>
      </w:r>
      <w:r w:rsidRPr="00140E48" w:rsidR="00434C90">
        <w:t xml:space="preserve">ate </w:t>
      </w:r>
      <w:r w:rsidRPr="00140E48" w:rsidR="00F041D3">
        <w:t>F</w:t>
      </w:r>
      <w:r w:rsidRPr="00140E48" w:rsidR="00434C90">
        <w:t>iling</w:t>
      </w:r>
      <w:r w:rsidRPr="00140E48" w:rsidR="00F041D3">
        <w:t xml:space="preserve"> Justifications</w:t>
      </w:r>
      <w:r w:rsidRPr="00140E48" w:rsidR="00434C90">
        <w:t xml:space="preserve"> </w:t>
      </w:r>
      <w:r w:rsidRPr="00140E48" w:rsidR="00076926">
        <w:t>in</w:t>
      </w:r>
      <w:r w:rsidRPr="00140E48" w:rsidR="00393A15">
        <w:t>to</w:t>
      </w:r>
      <w:r w:rsidRPr="00140E48" w:rsidR="00076926">
        <w:t xml:space="preserve"> SERFF and no longer duplicate efforts by </w:t>
      </w:r>
      <w:r w:rsidRPr="00140E48" w:rsidR="00393A15">
        <w:t>submitting the same information</w:t>
      </w:r>
      <w:r w:rsidRPr="00140E48" w:rsidR="00076926">
        <w:t xml:space="preserve"> in</w:t>
      </w:r>
      <w:r w:rsidRPr="00140E48" w:rsidR="00393A15">
        <w:t>to</w:t>
      </w:r>
      <w:r w:rsidRPr="00140E48" w:rsidR="00076926">
        <w:t xml:space="preserve"> HIOS as well.</w:t>
      </w:r>
      <w:r w:rsidRPr="00140E48" w:rsidR="00383EFC">
        <w:t xml:space="preserve"> </w:t>
      </w:r>
      <w:r w:rsidR="00021430">
        <w:t>A</w:t>
      </w:r>
      <w:r>
        <w:t xml:space="preserve">s a result of the system connection between </w:t>
      </w:r>
      <w:r w:rsidR="00D2080B">
        <w:t xml:space="preserve">SERFF and HIOS </w:t>
      </w:r>
      <w:r w:rsidR="00986928">
        <w:t xml:space="preserve">and a reduction of 16 issuers (from 589 to 573) </w:t>
      </w:r>
      <w:r>
        <w:t xml:space="preserve">there is an </w:t>
      </w:r>
      <w:r>
        <w:t>overall decrease of 602 (from 2,382 to 1,780) rate filling justification</w:t>
      </w:r>
      <w:r w:rsidRPr="00C372D4">
        <w:t xml:space="preserve"> </w:t>
      </w:r>
      <w:r>
        <w:t xml:space="preserve">submissions, resulting in a total decrease in the burden to issuers of 2,726 hours (from 20,259 to 17,533). </w:t>
      </w:r>
    </w:p>
    <w:p w:rsidR="00C372D4" w:rsidP="00140E48" w14:paraId="635B7B38" w14:textId="77777777">
      <w:pPr>
        <w:pStyle w:val="BodyText"/>
        <w:kinsoku w:val="0"/>
        <w:overflowPunct w:val="0"/>
        <w:ind w:left="0" w:right="40"/>
      </w:pPr>
    </w:p>
    <w:p w:rsidR="00C372D4" w:rsidP="00140E48" w14:paraId="57408FA6" w14:textId="1B92F969">
      <w:pPr>
        <w:pStyle w:val="BodyText"/>
        <w:kinsoku w:val="0"/>
        <w:overflowPunct w:val="0"/>
        <w:ind w:left="0" w:right="40"/>
      </w:pPr>
      <w:r>
        <w:t xml:space="preserve">Due to an increase of 152 (from 619 to 771) reviews carried out by </w:t>
      </w:r>
      <w:r w:rsidR="00021E16">
        <w:t>S</w:t>
      </w:r>
      <w:r>
        <w:t xml:space="preserve">tate reviewers, </w:t>
      </w:r>
      <w:r w:rsidR="007A03D8">
        <w:t xml:space="preserve">States </w:t>
      </w:r>
      <w:r>
        <w:t xml:space="preserve">will incur a total increase in burden of 4,533 hours (from 24,036 hours to 28,569 hours). </w:t>
      </w:r>
    </w:p>
    <w:p w:rsidR="00C372D4" w:rsidP="00140E48" w14:paraId="3643740C" w14:textId="77777777">
      <w:pPr>
        <w:pStyle w:val="BodyText"/>
        <w:kinsoku w:val="0"/>
        <w:overflowPunct w:val="0"/>
        <w:ind w:left="0" w:right="40"/>
      </w:pPr>
    </w:p>
    <w:p w:rsidR="006E7168" w:rsidRPr="00140E48" w:rsidP="00140E48" w14:paraId="0B229DA3" w14:textId="43B4D903">
      <w:pPr>
        <w:pStyle w:val="BodyText"/>
        <w:kinsoku w:val="0"/>
        <w:overflowPunct w:val="0"/>
        <w:ind w:left="0" w:right="40"/>
      </w:pPr>
      <w:r w:rsidRPr="00C372D4">
        <w:t xml:space="preserve">As a result of these changes, there is an overall increase in burden of </w:t>
      </w:r>
      <w:r w:rsidRPr="00756C2B" w:rsidR="00C372D4">
        <w:t>1,808</w:t>
      </w:r>
      <w:r w:rsidRPr="00C372D4">
        <w:t xml:space="preserve"> hours.</w:t>
      </w:r>
      <w:r>
        <w:t xml:space="preserve"> </w:t>
      </w:r>
    </w:p>
    <w:p w:rsidR="00672254" w:rsidRPr="00140E48" w:rsidP="00140E48" w14:paraId="648FC26C" w14:textId="77777777">
      <w:pPr>
        <w:pStyle w:val="BodyText"/>
        <w:kinsoku w:val="0"/>
        <w:overflowPunct w:val="0"/>
        <w:ind w:left="0" w:right="40"/>
      </w:pPr>
    </w:p>
    <w:p w:rsidR="00FE2076" w:rsidRPr="007A03D8" w:rsidP="00140E48" w14:paraId="7F46A7D1" w14:textId="77777777">
      <w:pPr>
        <w:pStyle w:val="Heading1"/>
        <w:numPr>
          <w:ilvl w:val="0"/>
          <w:numId w:val="1"/>
        </w:numPr>
        <w:tabs>
          <w:tab w:val="left" w:pos="360"/>
        </w:tabs>
        <w:kinsoku w:val="0"/>
        <w:overflowPunct w:val="0"/>
        <w:ind w:left="360" w:hanging="360"/>
        <w:rPr>
          <w:b w:val="0"/>
          <w:bCs w:val="0"/>
          <w:u w:val="none"/>
        </w:rPr>
      </w:pPr>
      <w:r w:rsidRPr="005E5EC6">
        <w:rPr>
          <w:u w:val="none"/>
        </w:rPr>
        <w:t>Publication and Tabulation</w:t>
      </w:r>
      <w:r w:rsidRPr="005E5EC6">
        <w:rPr>
          <w:spacing w:val="-1"/>
          <w:u w:val="none"/>
        </w:rPr>
        <w:t xml:space="preserve"> </w:t>
      </w:r>
      <w:r w:rsidRPr="005E5EC6">
        <w:rPr>
          <w:u w:val="none"/>
        </w:rPr>
        <w:t>Dates</w:t>
      </w:r>
    </w:p>
    <w:p w:rsidR="00FE2076" w:rsidRPr="00140E48" w:rsidP="00140E48" w14:paraId="54A0EE11" w14:textId="77777777">
      <w:pPr>
        <w:pStyle w:val="BodyText"/>
        <w:kinsoku w:val="0"/>
        <w:overflowPunct w:val="0"/>
        <w:ind w:left="0"/>
        <w:rPr>
          <w:b/>
          <w:bCs/>
        </w:rPr>
      </w:pPr>
    </w:p>
    <w:p w:rsidR="00FE2076" w:rsidRPr="00140E48" w:rsidP="00140E48" w14:paraId="3CD9E6CE" w14:textId="5718E53C">
      <w:pPr>
        <w:pStyle w:val="BodyText"/>
        <w:kinsoku w:val="0"/>
        <w:overflowPunct w:val="0"/>
        <w:ind w:left="0" w:right="40"/>
      </w:pPr>
      <w:r w:rsidRPr="00140E48">
        <w:t xml:space="preserve">As part of consumer transparency and </w:t>
      </w:r>
      <w:r w:rsidRPr="00140E48" w:rsidR="004F2BE3">
        <w:t xml:space="preserve">disclosure, </w:t>
      </w:r>
      <w:r w:rsidR="004F2BE3">
        <w:t xml:space="preserve">certain </w:t>
      </w:r>
      <w:r w:rsidRPr="00140E48" w:rsidR="004F2BE3">
        <w:t xml:space="preserve">information </w:t>
      </w:r>
      <w:r w:rsidRPr="00140E48" w:rsidR="006F029E">
        <w:t xml:space="preserve">from </w:t>
      </w:r>
      <w:r w:rsidRPr="00140E48">
        <w:t>the Rate Filing Justification</w:t>
      </w:r>
      <w:r w:rsidRPr="00140E48" w:rsidR="006F029E">
        <w:t>s</w:t>
      </w:r>
      <w:r w:rsidRPr="00140E48">
        <w:t xml:space="preserve"> will be posted by</w:t>
      </w:r>
      <w:r w:rsidRPr="00140E48">
        <w:rPr>
          <w:spacing w:val="-21"/>
        </w:rPr>
        <w:t xml:space="preserve"> </w:t>
      </w:r>
      <w:r w:rsidRPr="00140E48">
        <w:t>HHS for all proposed rate increases and for all final rate</w:t>
      </w:r>
      <w:r w:rsidRPr="00140E48" w:rsidR="006F029E">
        <w:t xml:space="preserve"> change</w:t>
      </w:r>
      <w:r w:rsidRPr="00140E48">
        <w:t>s. A final disposition of the rate review</w:t>
      </w:r>
      <w:r w:rsidRPr="00140E48">
        <w:rPr>
          <w:spacing w:val="-18"/>
        </w:rPr>
        <w:t xml:space="preserve"> </w:t>
      </w:r>
      <w:r w:rsidRPr="00140E48">
        <w:t xml:space="preserve">will also be posted and, if the rate </w:t>
      </w:r>
      <w:r w:rsidRPr="00140E48" w:rsidR="000925D4">
        <w:t xml:space="preserve">change </w:t>
      </w:r>
      <w:r w:rsidRPr="00140E48">
        <w:t>is identified as unreasonable and implemented by the issuer,</w:t>
      </w:r>
      <w:r w:rsidRPr="00140E48">
        <w:rPr>
          <w:spacing w:val="-16"/>
        </w:rPr>
        <w:t xml:space="preserve"> </w:t>
      </w:r>
      <w:r w:rsidRPr="00140E48">
        <w:t>the issuer must also post a final justification as defined in regulation</w:t>
      </w:r>
      <w:r w:rsidRPr="00140E48" w:rsidR="000925D4">
        <w:t>s</w:t>
      </w:r>
      <w:r w:rsidRPr="00140E48">
        <w:t xml:space="preserve"> within 10</w:t>
      </w:r>
      <w:r w:rsidRPr="00140E48">
        <w:rPr>
          <w:spacing w:val="-12"/>
        </w:rPr>
        <w:t xml:space="preserve"> </w:t>
      </w:r>
      <w:r w:rsidRPr="00140E48">
        <w:t>business days.</w:t>
      </w:r>
      <w:r>
        <w:rPr>
          <w:rStyle w:val="FootnoteReference"/>
        </w:rPr>
        <w:footnoteReference w:id="13"/>
      </w:r>
    </w:p>
    <w:p w:rsidR="00FE2076" w:rsidRPr="00140E48" w:rsidP="00140E48" w14:paraId="0E784481" w14:textId="77777777">
      <w:pPr>
        <w:pStyle w:val="BodyText"/>
        <w:kinsoku w:val="0"/>
        <w:overflowPunct w:val="0"/>
        <w:ind w:left="0"/>
      </w:pPr>
    </w:p>
    <w:p w:rsidR="00FE2076" w:rsidRPr="006B5236" w:rsidP="00140E48" w14:paraId="36E8D045" w14:textId="77777777">
      <w:pPr>
        <w:pStyle w:val="Heading1"/>
        <w:numPr>
          <w:ilvl w:val="0"/>
          <w:numId w:val="1"/>
        </w:numPr>
        <w:tabs>
          <w:tab w:val="left" w:pos="360"/>
        </w:tabs>
        <w:kinsoku w:val="0"/>
        <w:overflowPunct w:val="0"/>
        <w:ind w:left="360" w:right="86" w:hanging="360"/>
        <w:rPr>
          <w:b w:val="0"/>
          <w:bCs w:val="0"/>
          <w:u w:val="none"/>
        </w:rPr>
      </w:pPr>
      <w:bookmarkStart w:id="18" w:name="17._Expiration_Date"/>
      <w:bookmarkEnd w:id="18"/>
      <w:r w:rsidRPr="005E5EC6">
        <w:rPr>
          <w:u w:val="none"/>
        </w:rPr>
        <w:t>Expiration</w:t>
      </w:r>
      <w:r w:rsidRPr="005E5EC6">
        <w:rPr>
          <w:spacing w:val="-1"/>
          <w:u w:val="none"/>
        </w:rPr>
        <w:t xml:space="preserve"> </w:t>
      </w:r>
      <w:r w:rsidRPr="005E5EC6">
        <w:rPr>
          <w:u w:val="none"/>
        </w:rPr>
        <w:t>Date</w:t>
      </w:r>
    </w:p>
    <w:p w:rsidR="00FE2076" w:rsidRPr="00140E48" w:rsidP="00140E48" w14:paraId="1C8AC4E1" w14:textId="77777777">
      <w:pPr>
        <w:pStyle w:val="BodyText"/>
        <w:kinsoku w:val="0"/>
        <w:overflowPunct w:val="0"/>
        <w:ind w:left="0"/>
        <w:rPr>
          <w:b/>
          <w:bCs/>
        </w:rPr>
      </w:pPr>
    </w:p>
    <w:p w:rsidR="00A9782F" w:rsidRPr="00140E48" w:rsidP="00140E48" w14:paraId="12AFAF1A" w14:textId="77777777">
      <w:pPr>
        <w:pStyle w:val="BodyText"/>
        <w:ind w:left="0"/>
      </w:pPr>
      <w:bookmarkStart w:id="19" w:name="18._Certification_Statement"/>
      <w:bookmarkEnd w:id="19"/>
      <w:r w:rsidRPr="00140E48">
        <w:t xml:space="preserve">The expiration date will be displayed on </w:t>
      </w:r>
      <w:r w:rsidRPr="00140E48" w:rsidR="00CF33F5">
        <w:t>the first page of each instrument (top, right-hand corner)</w:t>
      </w:r>
      <w:r w:rsidRPr="00140E48">
        <w:t>.</w:t>
      </w:r>
    </w:p>
    <w:sectPr w:rsidSect="001900D1">
      <w:footerReference w:type="default" r:id="rId10"/>
      <w:pgSz w:w="12240" w:h="15840"/>
      <w:pgMar w:top="1440" w:right="1440" w:bottom="1440" w:left="1440" w:header="0" w:footer="896" w:gutter="0"/>
      <w:cols w:space="720" w:equalWidth="0">
        <w:col w:w="9460"/>
      </w:cols>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5C94" w14:paraId="027D7758" w14:textId="77777777">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3829050</wp:posOffset>
              </wp:positionH>
              <wp:positionV relativeFrom="page">
                <wp:posOffset>9349740</wp:posOffset>
              </wp:positionV>
              <wp:extent cx="114300" cy="1524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15C94" w14:textId="77777777">
                          <w:pPr>
                            <w:pStyle w:val="BodyText"/>
                            <w:kinsoku w:val="0"/>
                            <w:overflowPunct w:val="0"/>
                            <w:spacing w:line="224" w:lineRule="exact"/>
                            <w:ind w:left="40"/>
                            <w:rPr>
                              <w:sz w:val="20"/>
                              <w:szCs w:val="20"/>
                            </w:rPr>
                          </w:pPr>
                          <w:r>
                            <w:rPr>
                              <w:w w:val="99"/>
                              <w:sz w:val="20"/>
                              <w:szCs w:val="20"/>
                            </w:rPr>
                            <w:fldChar w:fldCharType="begin"/>
                          </w:r>
                          <w:r>
                            <w:rPr>
                              <w:w w:val="99"/>
                              <w:sz w:val="20"/>
                              <w:szCs w:val="20"/>
                            </w:rPr>
                            <w:instrText xml:space="preserve"> PAGE </w:instrText>
                          </w:r>
                          <w:r>
                            <w:rPr>
                              <w:w w:val="99"/>
                              <w:sz w:val="20"/>
                              <w:szCs w:val="20"/>
                            </w:rPr>
                            <w:fldChar w:fldCharType="separate"/>
                          </w:r>
                          <w:r>
                            <w:rPr>
                              <w:noProof/>
                              <w:w w:val="99"/>
                              <w:sz w:val="20"/>
                              <w:szCs w:val="20"/>
                            </w:rPr>
                            <w:t>1</w:t>
                          </w:r>
                          <w:r>
                            <w:rPr>
                              <w:w w:val="99"/>
                              <w:sz w:val="20"/>
                              <w:szCs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9pt;height:12pt;margin-top:736.2pt;margin-left:30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215C94" w14:paraId="18963C3C" w14:textId="77777777">
                    <w:pPr>
                      <w:pStyle w:val="BodyText"/>
                      <w:kinsoku w:val="0"/>
                      <w:overflowPunct w:val="0"/>
                      <w:spacing w:line="224" w:lineRule="exact"/>
                      <w:ind w:left="40"/>
                      <w:rPr>
                        <w:sz w:val="20"/>
                        <w:szCs w:val="20"/>
                      </w:rPr>
                    </w:pPr>
                    <w:r>
                      <w:rPr>
                        <w:w w:val="99"/>
                        <w:sz w:val="20"/>
                        <w:szCs w:val="20"/>
                      </w:rPr>
                      <w:fldChar w:fldCharType="begin"/>
                    </w:r>
                    <w:r>
                      <w:rPr>
                        <w:w w:val="99"/>
                        <w:sz w:val="20"/>
                        <w:szCs w:val="20"/>
                      </w:rPr>
                      <w:instrText xml:space="preserve"> PAGE </w:instrText>
                    </w:r>
                    <w:r>
                      <w:rPr>
                        <w:w w:val="99"/>
                        <w:sz w:val="20"/>
                        <w:szCs w:val="20"/>
                      </w:rPr>
                      <w:fldChar w:fldCharType="separate"/>
                    </w:r>
                    <w:r>
                      <w:rPr>
                        <w:noProof/>
                        <w:w w:val="99"/>
                        <w:sz w:val="20"/>
                        <w:szCs w:val="20"/>
                      </w:rPr>
                      <w:t>1</w:t>
                    </w:r>
                    <w:r>
                      <w:rPr>
                        <w:w w:val="99"/>
                        <w:sz w:val="20"/>
                        <w:szCs w:val="2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900D1" w14:paraId="10D772B6" w14:textId="77777777">
      <w:r>
        <w:separator/>
      </w:r>
    </w:p>
  </w:footnote>
  <w:footnote w:type="continuationSeparator" w:id="1">
    <w:p w:rsidR="001900D1" w14:paraId="414D14B9" w14:textId="77777777">
      <w:r>
        <w:continuationSeparator/>
      </w:r>
    </w:p>
  </w:footnote>
  <w:footnote w:type="continuationNotice" w:id="2">
    <w:p w:rsidR="001900D1" w14:paraId="19581861" w14:textId="77777777"/>
  </w:footnote>
  <w:footnote w:id="3">
    <w:p w:rsidR="00215C94" w14:paraId="6220E40A" w14:textId="77777777">
      <w:pPr>
        <w:pStyle w:val="FootnoteText"/>
      </w:pPr>
      <w:r>
        <w:rPr>
          <w:rStyle w:val="FootnoteReference"/>
        </w:rPr>
        <w:footnoteRef/>
      </w:r>
      <w:r>
        <w:t xml:space="preserve"> CMS will make available to the public on its website the information contained in Parts I and III of each Rate Filing Justification that is not a trade secret or confidential commercial or financial information as defined in HHS's Freedom of Information Act regulations, </w:t>
      </w:r>
      <w:r>
        <w:rPr>
          <w:rStyle w:val="cfr"/>
        </w:rPr>
        <w:t>45 CFR 5.31(d)</w:t>
      </w:r>
      <w:r>
        <w:t>.</w:t>
      </w:r>
    </w:p>
  </w:footnote>
  <w:footnote w:id="4">
    <w:p w:rsidR="00215C94" w14:paraId="22D94D8B" w14:textId="77777777">
      <w:pPr>
        <w:pStyle w:val="FootnoteText"/>
      </w:pPr>
      <w:r>
        <w:rPr>
          <w:rStyle w:val="FootnoteReference"/>
        </w:rPr>
        <w:footnoteRef/>
      </w:r>
      <w:r>
        <w:t xml:space="preserve"> A</w:t>
      </w:r>
      <w:r w:rsidRPr="00002EBC">
        <w:t>dditional</w:t>
      </w:r>
      <w:r w:rsidRPr="00002EBC">
        <w:rPr>
          <w:spacing w:val="-20"/>
        </w:rPr>
        <w:t xml:space="preserve"> </w:t>
      </w:r>
      <w:r w:rsidRPr="00002EBC">
        <w:t>PRA-related</w:t>
      </w:r>
      <w:r w:rsidRPr="00002EBC">
        <w:rPr>
          <w:spacing w:val="-1"/>
        </w:rPr>
        <w:t xml:space="preserve"> </w:t>
      </w:r>
      <w:r w:rsidRPr="00002EBC">
        <w:t>information regarding HIOS is provided in the Web Portal PRA package (</w:t>
      </w:r>
      <w:r w:rsidRPr="00EC74DF">
        <w:t>Health Care Reform Insurance Web Portal Requirements 45 CFR part 159</w:t>
      </w:r>
      <w:r>
        <w:t xml:space="preserve">, OMB control number </w:t>
      </w:r>
      <w:r w:rsidRPr="00002EBC">
        <w:t>0938-1086</w:t>
      </w:r>
      <w:r>
        <w:t>).</w:t>
      </w:r>
    </w:p>
  </w:footnote>
  <w:footnote w:id="5">
    <w:p w:rsidR="00215C94" w:rsidP="00504B72" w14:paraId="05809548" w14:textId="400AAAED">
      <w:pPr>
        <w:pStyle w:val="FootnoteText"/>
      </w:pPr>
      <w:r w:rsidRPr="00230632">
        <w:rPr>
          <w:rStyle w:val="FootnoteReference"/>
        </w:rPr>
        <w:footnoteRef/>
      </w:r>
      <w:r w:rsidRPr="00230632">
        <w:rPr>
          <w:vertAlign w:val="superscript"/>
        </w:rPr>
        <w:t xml:space="preserve"> </w:t>
      </w:r>
      <w:r w:rsidRPr="00CF7FB6">
        <w:t>May 20</w:t>
      </w:r>
      <w:r>
        <w:t>2</w:t>
      </w:r>
      <w:r w:rsidR="006C3A6C">
        <w:t>3</w:t>
      </w:r>
      <w:r w:rsidRPr="00CF7FB6">
        <w:t xml:space="preserve"> Occupational Employment Statistics found at </w:t>
      </w:r>
      <w:hyperlink r:id="rId1" w:history="1">
        <w:r w:rsidRPr="00365D22">
          <w:rPr>
            <w:rStyle w:val="Hyperlink"/>
          </w:rPr>
          <w:t>https://www.bls.gov/oes/current/oes_nat.htm</w:t>
        </w:r>
      </w:hyperlink>
      <w:r>
        <w:t xml:space="preserve"> and </w:t>
      </w:r>
      <w:hyperlink r:id="rId2" w:history="1">
        <w:r w:rsidRPr="00365D22">
          <w:rPr>
            <w:rStyle w:val="Hyperlink"/>
          </w:rPr>
          <w:t>https://www.bls.gov/oes/current/naics4_999200.htm</w:t>
        </w:r>
      </w:hyperlink>
      <w:r w:rsidRPr="00CF7FB6">
        <w:t xml:space="preserve">).  </w:t>
      </w:r>
    </w:p>
  </w:footnote>
  <w:footnote w:id="6">
    <w:p w:rsidR="00215C94" w14:paraId="30EB9F15" w14:textId="7916D91A">
      <w:pPr>
        <w:pStyle w:val="FootnoteText"/>
      </w:pPr>
      <w:r>
        <w:rPr>
          <w:rStyle w:val="FootnoteReference"/>
        </w:rPr>
        <w:footnoteRef/>
      </w:r>
      <w:r>
        <w:t xml:space="preserve"> As previously noted, </w:t>
      </w:r>
      <w:r w:rsidR="00552A5F">
        <w:t xml:space="preserve">Oklahoma, Tennessee, and Wyoming do not have an Effective Rate Review Program, and </w:t>
      </w:r>
      <w:r>
        <w:t>Florida does not use SERFF.</w:t>
      </w:r>
    </w:p>
  </w:footnote>
  <w:footnote w:id="7">
    <w:p w:rsidR="00B36760" w14:paraId="30FC09B0" w14:textId="742FB677">
      <w:pPr>
        <w:pStyle w:val="FootnoteText"/>
      </w:pPr>
      <w:r>
        <w:rPr>
          <w:rStyle w:val="FootnoteReference"/>
        </w:rPr>
        <w:footnoteRef/>
      </w:r>
      <w:r>
        <w:t xml:space="preserve"> All burden estimates are c</w:t>
      </w:r>
      <w:r w:rsidRPr="00B36760">
        <w:t>onsistent with estimates included in previous PRA packages that the public had opportunity to provide input on.</w:t>
      </w:r>
    </w:p>
  </w:footnote>
  <w:footnote w:id="8">
    <w:p w:rsidR="00215C94" w14:paraId="5A42BDBF" w14:textId="632C5668">
      <w:pPr>
        <w:pStyle w:val="FootnoteText"/>
      </w:pPr>
      <w:r>
        <w:rPr>
          <w:rStyle w:val="FootnoteReference"/>
        </w:rPr>
        <w:footnoteRef/>
      </w:r>
      <w:r>
        <w:t xml:space="preserve"> </w:t>
      </w:r>
      <w:r w:rsidR="00681F6D">
        <w:t>Issuers in t</w:t>
      </w:r>
      <w:r>
        <w:t xml:space="preserve">hese </w:t>
      </w:r>
      <w:r w:rsidR="00382924">
        <w:t>S</w:t>
      </w:r>
      <w:r>
        <w:t xml:space="preserve">tates will continue to submit filings into the HIOS system rather than using SERFF, so their burden estimate is higher than other </w:t>
      </w:r>
      <w:r w:rsidR="00382924">
        <w:t>S</w:t>
      </w:r>
      <w:r>
        <w:t xml:space="preserve">tates’ burden estimates. </w:t>
      </w:r>
    </w:p>
  </w:footnote>
  <w:footnote w:id="9">
    <w:p w:rsidR="00F76D3E" w:rsidP="00F76D3E" w14:paraId="6ECB5290" w14:textId="0C984B7D">
      <w:pPr>
        <w:pStyle w:val="FootnoteText"/>
      </w:pPr>
      <w:r>
        <w:rPr>
          <w:rStyle w:val="FootnoteReference"/>
        </w:rPr>
        <w:footnoteRef/>
      </w:r>
      <w:r>
        <w:t xml:space="preserve"> 84 Fed. Reg. 358 (Jan. 24, 2019)</w:t>
      </w:r>
      <w:r w:rsidR="00382924">
        <w:t xml:space="preserve"> available at:</w:t>
      </w:r>
      <w:r>
        <w:t xml:space="preserve"> </w:t>
      </w:r>
      <w:r w:rsidRPr="006135FD">
        <w:t>https://www.regulations.gov/document/CMS-2019-0012-0001</w:t>
      </w:r>
      <w:r w:rsidR="00382924">
        <w:t>.</w:t>
      </w:r>
    </w:p>
  </w:footnote>
  <w:footnote w:id="10">
    <w:p w:rsidR="00F76D3E" w:rsidP="00F76D3E" w14:paraId="7B47EEE8" w14:textId="51D3ACA1">
      <w:pPr>
        <w:pStyle w:val="FootnoteText"/>
      </w:pPr>
      <w:r>
        <w:rPr>
          <w:rStyle w:val="FootnoteReference"/>
        </w:rPr>
        <w:footnoteRef/>
      </w:r>
      <w:r>
        <w:t xml:space="preserve"> There is no burden estimate for </w:t>
      </w:r>
      <w:r w:rsidR="00537E5F">
        <w:t>S</w:t>
      </w:r>
      <w:r>
        <w:t>ate review in Oklahoma</w:t>
      </w:r>
      <w:r w:rsidR="00ED19C5">
        <w:t>, Tennessee</w:t>
      </w:r>
      <w:r>
        <w:t xml:space="preserve"> and Wyoming because they do not have an Effective Rate Review Program (CMS reviews rate filings in those states). </w:t>
      </w:r>
    </w:p>
  </w:footnote>
  <w:footnote w:id="11">
    <w:p w:rsidR="00F76D3E" w:rsidP="00F76D3E" w14:paraId="11A53A69" w14:textId="222B1BF6">
      <w:pPr>
        <w:pStyle w:val="FootnoteText"/>
      </w:pPr>
      <w:r>
        <w:rPr>
          <w:rStyle w:val="FootnoteReference"/>
        </w:rPr>
        <w:footnoteRef/>
      </w:r>
      <w:r>
        <w:t xml:space="preserve"> Florida does not utilize SERFF so the burden estimate accounts for hours spent reviewing a filing and submitting a </w:t>
      </w:r>
      <w:r w:rsidR="00537E5F">
        <w:t>S</w:t>
      </w:r>
      <w:r>
        <w:t xml:space="preserve">tate determination into HIOS. </w:t>
      </w:r>
    </w:p>
  </w:footnote>
  <w:footnote w:id="12">
    <w:p w:rsidR="00EB479D" w14:paraId="3C260FAC" w14:textId="185726C3">
      <w:pPr>
        <w:pStyle w:val="FootnoteText"/>
      </w:pPr>
      <w:r>
        <w:rPr>
          <w:rStyle w:val="FootnoteReference"/>
        </w:rPr>
        <w:footnoteRef/>
      </w:r>
      <w:r>
        <w:t xml:space="preserve"> </w:t>
      </w:r>
      <w:r w:rsidRPr="00EB479D">
        <w:t>In light of</w:t>
      </w:r>
      <w:r w:rsidRPr="00EB479D">
        <w:t xml:space="preserve"> new State legislation and regulations, CMS determined that Texas now has an Effective Rate Review Program and can review their own issuer’s submissions beginning with all plans with an effective date on or after 1/1/2023. Additionally, CMS has determined that Tennessee will no longer have an Effective Rate Review Program as of January 1, 2024.  </w:t>
      </w:r>
    </w:p>
  </w:footnote>
  <w:footnote w:id="13">
    <w:p w:rsidR="00215C94" w14:paraId="567E5A6B" w14:textId="5EFD46E4">
      <w:pPr>
        <w:pStyle w:val="FootnoteText"/>
      </w:pPr>
      <w:r>
        <w:rPr>
          <w:rStyle w:val="FootnoteReference"/>
        </w:rPr>
        <w:footnoteRef/>
      </w:r>
      <w:r>
        <w:t xml:space="preserve"> See 45 CFR 154.230. The Final Justification must be posted on the issuer’s website and will be </w:t>
      </w:r>
      <w:r w:rsidR="0074058A">
        <w:t xml:space="preserve">available </w:t>
      </w:r>
      <w:r>
        <w:t xml:space="preserve">at </w:t>
      </w:r>
      <w:r w:rsidRPr="00414C93">
        <w:t>https://ratereview.healthcare.gov/</w:t>
      </w:r>
      <w:r w:rsidR="0074058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E6DADD68"/>
    <w:lvl w:ilvl="0">
      <w:start w:val="1"/>
      <w:numFmt w:val="upperLetter"/>
      <w:lvlText w:val="%1."/>
      <w:lvlJc w:val="left"/>
      <w:pPr>
        <w:ind w:left="412" w:hanging="293"/>
      </w:pPr>
      <w:rPr>
        <w:rFonts w:ascii="Times New Roman" w:hAnsi="Times New Roman" w:cs="Times New Roman"/>
        <w:b/>
        <w:bCs/>
        <w:spacing w:val="-1"/>
        <w:w w:val="100"/>
        <w:sz w:val="24"/>
        <w:szCs w:val="24"/>
      </w:rPr>
    </w:lvl>
    <w:lvl w:ilvl="1">
      <w:start w:val="1"/>
      <w:numFmt w:val="decimal"/>
      <w:lvlText w:val="%2."/>
      <w:lvlJc w:val="left"/>
      <w:pPr>
        <w:ind w:left="360" w:hanging="240"/>
      </w:pPr>
      <w:rPr>
        <w:rFonts w:cs="Times New Roman"/>
        <w:b/>
        <w:bCs/>
        <w:u w:val="none"/>
      </w:rPr>
    </w:lvl>
    <w:lvl w:ilvl="2">
      <w:start w:val="0"/>
      <w:numFmt w:val="bullet"/>
      <w:lvlText w:val="•"/>
      <w:lvlJc w:val="left"/>
      <w:pPr>
        <w:ind w:left="1437" w:hanging="240"/>
      </w:pPr>
    </w:lvl>
    <w:lvl w:ilvl="3">
      <w:start w:val="0"/>
      <w:numFmt w:val="bullet"/>
      <w:lvlText w:val="•"/>
      <w:lvlJc w:val="left"/>
      <w:pPr>
        <w:ind w:left="2455" w:hanging="240"/>
      </w:pPr>
    </w:lvl>
    <w:lvl w:ilvl="4">
      <w:start w:val="0"/>
      <w:numFmt w:val="bullet"/>
      <w:lvlText w:val="•"/>
      <w:lvlJc w:val="left"/>
      <w:pPr>
        <w:ind w:left="3473" w:hanging="240"/>
      </w:pPr>
    </w:lvl>
    <w:lvl w:ilvl="5">
      <w:start w:val="0"/>
      <w:numFmt w:val="bullet"/>
      <w:lvlText w:val="•"/>
      <w:lvlJc w:val="left"/>
      <w:pPr>
        <w:ind w:left="4491" w:hanging="240"/>
      </w:pPr>
    </w:lvl>
    <w:lvl w:ilvl="6">
      <w:start w:val="0"/>
      <w:numFmt w:val="bullet"/>
      <w:lvlText w:val="•"/>
      <w:lvlJc w:val="left"/>
      <w:pPr>
        <w:ind w:left="5508" w:hanging="240"/>
      </w:pPr>
    </w:lvl>
    <w:lvl w:ilvl="7">
      <w:start w:val="0"/>
      <w:numFmt w:val="bullet"/>
      <w:lvlText w:val="•"/>
      <w:lvlJc w:val="left"/>
      <w:pPr>
        <w:ind w:left="6526" w:hanging="240"/>
      </w:pPr>
    </w:lvl>
    <w:lvl w:ilvl="8">
      <w:start w:val="0"/>
      <w:numFmt w:val="bullet"/>
      <w:lvlText w:val="•"/>
      <w:lvlJc w:val="left"/>
      <w:pPr>
        <w:ind w:left="7544" w:hanging="240"/>
      </w:pPr>
    </w:lvl>
  </w:abstractNum>
  <w:abstractNum w:abstractNumId="1">
    <w:nsid w:val="00000403"/>
    <w:multiLevelType w:val="multilevel"/>
    <w:tmpl w:val="FBAEFC4E"/>
    <w:lvl w:ilvl="0">
      <w:start w:val="9"/>
      <w:numFmt w:val="decimal"/>
      <w:lvlText w:val="%1."/>
      <w:lvlJc w:val="left"/>
      <w:pPr>
        <w:ind w:left="240" w:hanging="240"/>
      </w:pPr>
      <w:rPr>
        <w:rFonts w:cs="Times New Roman"/>
        <w:b/>
        <w:bCs/>
        <w:u w:val="none"/>
      </w:rPr>
    </w:lvl>
    <w:lvl w:ilvl="1">
      <w:start w:val="0"/>
      <w:numFmt w:val="bullet"/>
      <w:lvlText w:val="•"/>
      <w:lvlJc w:val="left"/>
      <w:pPr>
        <w:ind w:left="1282" w:hanging="240"/>
      </w:pPr>
    </w:lvl>
    <w:lvl w:ilvl="2">
      <w:start w:val="0"/>
      <w:numFmt w:val="bullet"/>
      <w:lvlText w:val="•"/>
      <w:lvlJc w:val="left"/>
      <w:pPr>
        <w:ind w:left="2204" w:hanging="240"/>
      </w:pPr>
    </w:lvl>
    <w:lvl w:ilvl="3">
      <w:start w:val="0"/>
      <w:numFmt w:val="bullet"/>
      <w:lvlText w:val="•"/>
      <w:lvlJc w:val="left"/>
      <w:pPr>
        <w:ind w:left="3126" w:hanging="240"/>
      </w:pPr>
    </w:lvl>
    <w:lvl w:ilvl="4">
      <w:start w:val="0"/>
      <w:numFmt w:val="bullet"/>
      <w:lvlText w:val="•"/>
      <w:lvlJc w:val="left"/>
      <w:pPr>
        <w:ind w:left="4048" w:hanging="240"/>
      </w:pPr>
    </w:lvl>
    <w:lvl w:ilvl="5">
      <w:start w:val="0"/>
      <w:numFmt w:val="bullet"/>
      <w:lvlText w:val="•"/>
      <w:lvlJc w:val="left"/>
      <w:pPr>
        <w:ind w:left="4970" w:hanging="240"/>
      </w:pPr>
    </w:lvl>
    <w:lvl w:ilvl="6">
      <w:start w:val="0"/>
      <w:numFmt w:val="bullet"/>
      <w:lvlText w:val="•"/>
      <w:lvlJc w:val="left"/>
      <w:pPr>
        <w:ind w:left="5892" w:hanging="240"/>
      </w:pPr>
    </w:lvl>
    <w:lvl w:ilvl="7">
      <w:start w:val="0"/>
      <w:numFmt w:val="bullet"/>
      <w:lvlText w:val="•"/>
      <w:lvlJc w:val="left"/>
      <w:pPr>
        <w:ind w:left="6814" w:hanging="240"/>
      </w:pPr>
    </w:lvl>
    <w:lvl w:ilvl="8">
      <w:start w:val="0"/>
      <w:numFmt w:val="bullet"/>
      <w:lvlText w:val="•"/>
      <w:lvlJc w:val="left"/>
      <w:pPr>
        <w:ind w:left="7736" w:hanging="240"/>
      </w:pPr>
    </w:lvl>
  </w:abstractNum>
  <w:num w:numId="1" w16cid:durableId="974870853">
    <w:abstractNumId w:val="1"/>
  </w:num>
  <w:num w:numId="2" w16cid:durableId="99518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 w:id="2"/>
  </w:foot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4EA"/>
    <w:rsid w:val="00002EBC"/>
    <w:rsid w:val="00003ABE"/>
    <w:rsid w:val="0000750C"/>
    <w:rsid w:val="00007F1D"/>
    <w:rsid w:val="000118EE"/>
    <w:rsid w:val="00013ACC"/>
    <w:rsid w:val="00014D49"/>
    <w:rsid w:val="00016F50"/>
    <w:rsid w:val="00020F0F"/>
    <w:rsid w:val="00021430"/>
    <w:rsid w:val="00021E16"/>
    <w:rsid w:val="0002239B"/>
    <w:rsid w:val="00023920"/>
    <w:rsid w:val="00024002"/>
    <w:rsid w:val="0002699A"/>
    <w:rsid w:val="00042613"/>
    <w:rsid w:val="00044AEC"/>
    <w:rsid w:val="00044BF1"/>
    <w:rsid w:val="000456E1"/>
    <w:rsid w:val="00047C4A"/>
    <w:rsid w:val="00051324"/>
    <w:rsid w:val="0005493F"/>
    <w:rsid w:val="00055ACD"/>
    <w:rsid w:val="00056B66"/>
    <w:rsid w:val="00060F19"/>
    <w:rsid w:val="00063230"/>
    <w:rsid w:val="00064D29"/>
    <w:rsid w:val="000656EF"/>
    <w:rsid w:val="000701B0"/>
    <w:rsid w:val="00074E3D"/>
    <w:rsid w:val="00075DFC"/>
    <w:rsid w:val="00076926"/>
    <w:rsid w:val="00077E40"/>
    <w:rsid w:val="000848BE"/>
    <w:rsid w:val="000925D4"/>
    <w:rsid w:val="0009260F"/>
    <w:rsid w:val="000931FE"/>
    <w:rsid w:val="00094ABF"/>
    <w:rsid w:val="000956DB"/>
    <w:rsid w:val="00096294"/>
    <w:rsid w:val="000A2D8C"/>
    <w:rsid w:val="000A46A6"/>
    <w:rsid w:val="000A632D"/>
    <w:rsid w:val="000B130F"/>
    <w:rsid w:val="000B27AC"/>
    <w:rsid w:val="000B5DF4"/>
    <w:rsid w:val="000B699C"/>
    <w:rsid w:val="000C0130"/>
    <w:rsid w:val="000C0A9D"/>
    <w:rsid w:val="000C2BFE"/>
    <w:rsid w:val="000C7765"/>
    <w:rsid w:val="000D018A"/>
    <w:rsid w:val="000D1675"/>
    <w:rsid w:val="000D2DFB"/>
    <w:rsid w:val="000D5ACC"/>
    <w:rsid w:val="000D5D1A"/>
    <w:rsid w:val="000D7BB7"/>
    <w:rsid w:val="000E2F0D"/>
    <w:rsid w:val="000E64AB"/>
    <w:rsid w:val="001003CE"/>
    <w:rsid w:val="001007AC"/>
    <w:rsid w:val="0010128A"/>
    <w:rsid w:val="0010395F"/>
    <w:rsid w:val="00105F12"/>
    <w:rsid w:val="00113F89"/>
    <w:rsid w:val="00122CE5"/>
    <w:rsid w:val="00122F57"/>
    <w:rsid w:val="0012686F"/>
    <w:rsid w:val="00126B80"/>
    <w:rsid w:val="00126EA1"/>
    <w:rsid w:val="00131D59"/>
    <w:rsid w:val="00131E4C"/>
    <w:rsid w:val="00133B14"/>
    <w:rsid w:val="00135EA0"/>
    <w:rsid w:val="00137661"/>
    <w:rsid w:val="00140E48"/>
    <w:rsid w:val="00147758"/>
    <w:rsid w:val="00156875"/>
    <w:rsid w:val="00156D34"/>
    <w:rsid w:val="00162120"/>
    <w:rsid w:val="00165F6B"/>
    <w:rsid w:val="00170631"/>
    <w:rsid w:val="00172424"/>
    <w:rsid w:val="0017409D"/>
    <w:rsid w:val="00175975"/>
    <w:rsid w:val="00180C5F"/>
    <w:rsid w:val="001830A2"/>
    <w:rsid w:val="00183739"/>
    <w:rsid w:val="001870F8"/>
    <w:rsid w:val="001900D1"/>
    <w:rsid w:val="00191DC1"/>
    <w:rsid w:val="001957D5"/>
    <w:rsid w:val="00195AFC"/>
    <w:rsid w:val="001B27BE"/>
    <w:rsid w:val="001C68AC"/>
    <w:rsid w:val="001D3AD7"/>
    <w:rsid w:val="001D43FE"/>
    <w:rsid w:val="001D6137"/>
    <w:rsid w:val="001D68FF"/>
    <w:rsid w:val="001E4E5B"/>
    <w:rsid w:val="001E6E85"/>
    <w:rsid w:val="001F42F5"/>
    <w:rsid w:val="001F4D30"/>
    <w:rsid w:val="001F76E2"/>
    <w:rsid w:val="00206BEB"/>
    <w:rsid w:val="00213B02"/>
    <w:rsid w:val="00215C94"/>
    <w:rsid w:val="00217EA3"/>
    <w:rsid w:val="00221E40"/>
    <w:rsid w:val="00230632"/>
    <w:rsid w:val="00232FD5"/>
    <w:rsid w:val="002402A8"/>
    <w:rsid w:val="00240F8F"/>
    <w:rsid w:val="00242460"/>
    <w:rsid w:val="002424CA"/>
    <w:rsid w:val="0024767F"/>
    <w:rsid w:val="00247764"/>
    <w:rsid w:val="0025050D"/>
    <w:rsid w:val="00250F76"/>
    <w:rsid w:val="00252DD9"/>
    <w:rsid w:val="002532B6"/>
    <w:rsid w:val="0026006D"/>
    <w:rsid w:val="002647C8"/>
    <w:rsid w:val="00265A9A"/>
    <w:rsid w:val="002706B9"/>
    <w:rsid w:val="00271D20"/>
    <w:rsid w:val="00276BA3"/>
    <w:rsid w:val="0027793B"/>
    <w:rsid w:val="00281C3F"/>
    <w:rsid w:val="002833CA"/>
    <w:rsid w:val="00283766"/>
    <w:rsid w:val="002857B0"/>
    <w:rsid w:val="002875EA"/>
    <w:rsid w:val="002879A4"/>
    <w:rsid w:val="002926BF"/>
    <w:rsid w:val="00293D1C"/>
    <w:rsid w:val="00296FE8"/>
    <w:rsid w:val="002A1A55"/>
    <w:rsid w:val="002B0616"/>
    <w:rsid w:val="002B0E04"/>
    <w:rsid w:val="002B3DF3"/>
    <w:rsid w:val="002B62DF"/>
    <w:rsid w:val="002B63FD"/>
    <w:rsid w:val="002C1A74"/>
    <w:rsid w:val="002C1C11"/>
    <w:rsid w:val="002C5393"/>
    <w:rsid w:val="002D5ECD"/>
    <w:rsid w:val="002E3549"/>
    <w:rsid w:val="002E4749"/>
    <w:rsid w:val="002E61BD"/>
    <w:rsid w:val="002E7B09"/>
    <w:rsid w:val="002F1FEB"/>
    <w:rsid w:val="002F69D6"/>
    <w:rsid w:val="002F6B89"/>
    <w:rsid w:val="00300075"/>
    <w:rsid w:val="0030056F"/>
    <w:rsid w:val="00304B3F"/>
    <w:rsid w:val="003100E4"/>
    <w:rsid w:val="00310F29"/>
    <w:rsid w:val="003114A5"/>
    <w:rsid w:val="003203DB"/>
    <w:rsid w:val="0032403E"/>
    <w:rsid w:val="00334C1C"/>
    <w:rsid w:val="00334E24"/>
    <w:rsid w:val="003362A2"/>
    <w:rsid w:val="003364FC"/>
    <w:rsid w:val="003433ED"/>
    <w:rsid w:val="00345CB8"/>
    <w:rsid w:val="0035052C"/>
    <w:rsid w:val="00357811"/>
    <w:rsid w:val="00360129"/>
    <w:rsid w:val="003623B9"/>
    <w:rsid w:val="00365D22"/>
    <w:rsid w:val="0036686F"/>
    <w:rsid w:val="00373A1E"/>
    <w:rsid w:val="003746A9"/>
    <w:rsid w:val="0038253B"/>
    <w:rsid w:val="00382924"/>
    <w:rsid w:val="00383EFC"/>
    <w:rsid w:val="003866AB"/>
    <w:rsid w:val="00386F55"/>
    <w:rsid w:val="00393A15"/>
    <w:rsid w:val="0039585C"/>
    <w:rsid w:val="00395DE0"/>
    <w:rsid w:val="003A4422"/>
    <w:rsid w:val="003A6285"/>
    <w:rsid w:val="003B0AB6"/>
    <w:rsid w:val="003C0741"/>
    <w:rsid w:val="003C079F"/>
    <w:rsid w:val="003C75BD"/>
    <w:rsid w:val="003D4AF4"/>
    <w:rsid w:val="003D53CC"/>
    <w:rsid w:val="003D6A8F"/>
    <w:rsid w:val="003E36E7"/>
    <w:rsid w:val="003E57FB"/>
    <w:rsid w:val="003E7614"/>
    <w:rsid w:val="003F24E4"/>
    <w:rsid w:val="003F765A"/>
    <w:rsid w:val="0040388D"/>
    <w:rsid w:val="00404D5A"/>
    <w:rsid w:val="00413B50"/>
    <w:rsid w:val="00414C93"/>
    <w:rsid w:val="0042489D"/>
    <w:rsid w:val="00430A3C"/>
    <w:rsid w:val="004336B8"/>
    <w:rsid w:val="00434C90"/>
    <w:rsid w:val="00435C0B"/>
    <w:rsid w:val="00436916"/>
    <w:rsid w:val="0044440C"/>
    <w:rsid w:val="00455075"/>
    <w:rsid w:val="004562D9"/>
    <w:rsid w:val="00471978"/>
    <w:rsid w:val="004729CB"/>
    <w:rsid w:val="00475386"/>
    <w:rsid w:val="0048088C"/>
    <w:rsid w:val="004808B7"/>
    <w:rsid w:val="004817FE"/>
    <w:rsid w:val="004856AD"/>
    <w:rsid w:val="00485F11"/>
    <w:rsid w:val="004939BB"/>
    <w:rsid w:val="004945D6"/>
    <w:rsid w:val="004A0642"/>
    <w:rsid w:val="004A12F9"/>
    <w:rsid w:val="004A289B"/>
    <w:rsid w:val="004A4688"/>
    <w:rsid w:val="004A65BC"/>
    <w:rsid w:val="004C2301"/>
    <w:rsid w:val="004C599D"/>
    <w:rsid w:val="004D29F0"/>
    <w:rsid w:val="004E409C"/>
    <w:rsid w:val="004F2BE3"/>
    <w:rsid w:val="004F4031"/>
    <w:rsid w:val="004F6B78"/>
    <w:rsid w:val="00500599"/>
    <w:rsid w:val="00504B72"/>
    <w:rsid w:val="00507E16"/>
    <w:rsid w:val="00512C65"/>
    <w:rsid w:val="0052026A"/>
    <w:rsid w:val="00521731"/>
    <w:rsid w:val="00521DE3"/>
    <w:rsid w:val="005225C7"/>
    <w:rsid w:val="00524871"/>
    <w:rsid w:val="0052626B"/>
    <w:rsid w:val="00526660"/>
    <w:rsid w:val="00531A3F"/>
    <w:rsid w:val="005328B0"/>
    <w:rsid w:val="00533A09"/>
    <w:rsid w:val="00534F16"/>
    <w:rsid w:val="00535106"/>
    <w:rsid w:val="00537E5F"/>
    <w:rsid w:val="005448BF"/>
    <w:rsid w:val="0054518C"/>
    <w:rsid w:val="00546186"/>
    <w:rsid w:val="00551BA6"/>
    <w:rsid w:val="00552A5F"/>
    <w:rsid w:val="00552C7B"/>
    <w:rsid w:val="00554295"/>
    <w:rsid w:val="005555D5"/>
    <w:rsid w:val="00556096"/>
    <w:rsid w:val="0056568E"/>
    <w:rsid w:val="005667E4"/>
    <w:rsid w:val="0057218C"/>
    <w:rsid w:val="00574B0D"/>
    <w:rsid w:val="00574F94"/>
    <w:rsid w:val="00575E87"/>
    <w:rsid w:val="00581507"/>
    <w:rsid w:val="005831C0"/>
    <w:rsid w:val="0058643E"/>
    <w:rsid w:val="0058663D"/>
    <w:rsid w:val="00590A56"/>
    <w:rsid w:val="005910F7"/>
    <w:rsid w:val="00591B61"/>
    <w:rsid w:val="00595D8A"/>
    <w:rsid w:val="00596340"/>
    <w:rsid w:val="005963E0"/>
    <w:rsid w:val="005A15B9"/>
    <w:rsid w:val="005A6F74"/>
    <w:rsid w:val="005B0726"/>
    <w:rsid w:val="005B3147"/>
    <w:rsid w:val="005C1460"/>
    <w:rsid w:val="005C1A26"/>
    <w:rsid w:val="005C204F"/>
    <w:rsid w:val="005C2DCD"/>
    <w:rsid w:val="005C309A"/>
    <w:rsid w:val="005C3FE4"/>
    <w:rsid w:val="005C4722"/>
    <w:rsid w:val="005C6A73"/>
    <w:rsid w:val="005D070E"/>
    <w:rsid w:val="005D1820"/>
    <w:rsid w:val="005E0646"/>
    <w:rsid w:val="005E0E77"/>
    <w:rsid w:val="005E15A1"/>
    <w:rsid w:val="005E4F56"/>
    <w:rsid w:val="005E5EC6"/>
    <w:rsid w:val="005E77D7"/>
    <w:rsid w:val="005F0B45"/>
    <w:rsid w:val="005F6B5D"/>
    <w:rsid w:val="005F7B14"/>
    <w:rsid w:val="0060115A"/>
    <w:rsid w:val="00607475"/>
    <w:rsid w:val="0061109B"/>
    <w:rsid w:val="006135FD"/>
    <w:rsid w:val="00614677"/>
    <w:rsid w:val="0061478E"/>
    <w:rsid w:val="00614B49"/>
    <w:rsid w:val="0062087D"/>
    <w:rsid w:val="0062224C"/>
    <w:rsid w:val="006228CA"/>
    <w:rsid w:val="00623746"/>
    <w:rsid w:val="00625977"/>
    <w:rsid w:val="00632640"/>
    <w:rsid w:val="0063650A"/>
    <w:rsid w:val="00647A0D"/>
    <w:rsid w:val="006552E3"/>
    <w:rsid w:val="00664C72"/>
    <w:rsid w:val="00670C90"/>
    <w:rsid w:val="00672254"/>
    <w:rsid w:val="00672304"/>
    <w:rsid w:val="0067253E"/>
    <w:rsid w:val="00674B02"/>
    <w:rsid w:val="0067554A"/>
    <w:rsid w:val="0067577B"/>
    <w:rsid w:val="00676239"/>
    <w:rsid w:val="00681F6D"/>
    <w:rsid w:val="00687F49"/>
    <w:rsid w:val="0069247F"/>
    <w:rsid w:val="006934A9"/>
    <w:rsid w:val="006959AA"/>
    <w:rsid w:val="0069628C"/>
    <w:rsid w:val="0069663C"/>
    <w:rsid w:val="00696646"/>
    <w:rsid w:val="006A0398"/>
    <w:rsid w:val="006A097E"/>
    <w:rsid w:val="006A1B99"/>
    <w:rsid w:val="006A4AEB"/>
    <w:rsid w:val="006A4AFF"/>
    <w:rsid w:val="006A4FF8"/>
    <w:rsid w:val="006A6E85"/>
    <w:rsid w:val="006B0391"/>
    <w:rsid w:val="006B1499"/>
    <w:rsid w:val="006B3532"/>
    <w:rsid w:val="006B4360"/>
    <w:rsid w:val="006B5188"/>
    <w:rsid w:val="006B5236"/>
    <w:rsid w:val="006B688E"/>
    <w:rsid w:val="006C298D"/>
    <w:rsid w:val="006C3057"/>
    <w:rsid w:val="006C3A6C"/>
    <w:rsid w:val="006C5B95"/>
    <w:rsid w:val="006C6199"/>
    <w:rsid w:val="006C7474"/>
    <w:rsid w:val="006C7EBC"/>
    <w:rsid w:val="006D06E1"/>
    <w:rsid w:val="006D4D3A"/>
    <w:rsid w:val="006D600E"/>
    <w:rsid w:val="006E00BB"/>
    <w:rsid w:val="006E3191"/>
    <w:rsid w:val="006E6CF9"/>
    <w:rsid w:val="006E7168"/>
    <w:rsid w:val="006E7423"/>
    <w:rsid w:val="006E768B"/>
    <w:rsid w:val="006F029E"/>
    <w:rsid w:val="006F31E8"/>
    <w:rsid w:val="00701993"/>
    <w:rsid w:val="007050D3"/>
    <w:rsid w:val="00705F7C"/>
    <w:rsid w:val="0071461E"/>
    <w:rsid w:val="00715018"/>
    <w:rsid w:val="00715400"/>
    <w:rsid w:val="00716066"/>
    <w:rsid w:val="00720FF3"/>
    <w:rsid w:val="00730E94"/>
    <w:rsid w:val="00731E84"/>
    <w:rsid w:val="007327F6"/>
    <w:rsid w:val="00732D48"/>
    <w:rsid w:val="007331A9"/>
    <w:rsid w:val="00734055"/>
    <w:rsid w:val="00734FF7"/>
    <w:rsid w:val="007364BD"/>
    <w:rsid w:val="0074058A"/>
    <w:rsid w:val="00741A75"/>
    <w:rsid w:val="00741FB4"/>
    <w:rsid w:val="00744175"/>
    <w:rsid w:val="007466DF"/>
    <w:rsid w:val="00750C0C"/>
    <w:rsid w:val="007519B0"/>
    <w:rsid w:val="00756C2B"/>
    <w:rsid w:val="00761C93"/>
    <w:rsid w:val="00763D3D"/>
    <w:rsid w:val="00765D62"/>
    <w:rsid w:val="007667DB"/>
    <w:rsid w:val="00766DB0"/>
    <w:rsid w:val="007803BB"/>
    <w:rsid w:val="0078650B"/>
    <w:rsid w:val="00790B0C"/>
    <w:rsid w:val="007A03D8"/>
    <w:rsid w:val="007A1767"/>
    <w:rsid w:val="007B2249"/>
    <w:rsid w:val="007B70C5"/>
    <w:rsid w:val="007C3E03"/>
    <w:rsid w:val="007C61F2"/>
    <w:rsid w:val="007D2E79"/>
    <w:rsid w:val="007D3695"/>
    <w:rsid w:val="007D4B30"/>
    <w:rsid w:val="007E4FA4"/>
    <w:rsid w:val="007E7A28"/>
    <w:rsid w:val="007F18EA"/>
    <w:rsid w:val="00805C0B"/>
    <w:rsid w:val="00807B65"/>
    <w:rsid w:val="00814CDF"/>
    <w:rsid w:val="008178F8"/>
    <w:rsid w:val="008221CE"/>
    <w:rsid w:val="0082362F"/>
    <w:rsid w:val="008278EC"/>
    <w:rsid w:val="0083217A"/>
    <w:rsid w:val="0083283D"/>
    <w:rsid w:val="00836C2E"/>
    <w:rsid w:val="00836D87"/>
    <w:rsid w:val="008371CA"/>
    <w:rsid w:val="00844144"/>
    <w:rsid w:val="00844A26"/>
    <w:rsid w:val="00846F56"/>
    <w:rsid w:val="00846FB5"/>
    <w:rsid w:val="00857F10"/>
    <w:rsid w:val="008623A7"/>
    <w:rsid w:val="00865590"/>
    <w:rsid w:val="00866DC1"/>
    <w:rsid w:val="00870947"/>
    <w:rsid w:val="0087171D"/>
    <w:rsid w:val="00872666"/>
    <w:rsid w:val="00874049"/>
    <w:rsid w:val="008755C0"/>
    <w:rsid w:val="00884E88"/>
    <w:rsid w:val="0088546C"/>
    <w:rsid w:val="00887455"/>
    <w:rsid w:val="00887612"/>
    <w:rsid w:val="00887D83"/>
    <w:rsid w:val="0089387A"/>
    <w:rsid w:val="008A0CB5"/>
    <w:rsid w:val="008A2852"/>
    <w:rsid w:val="008B510A"/>
    <w:rsid w:val="008B51EA"/>
    <w:rsid w:val="008B6DBD"/>
    <w:rsid w:val="008B6FA9"/>
    <w:rsid w:val="008C3301"/>
    <w:rsid w:val="008C51A0"/>
    <w:rsid w:val="008C5EE4"/>
    <w:rsid w:val="008C69EC"/>
    <w:rsid w:val="008C7834"/>
    <w:rsid w:val="008D27A2"/>
    <w:rsid w:val="008D4F1E"/>
    <w:rsid w:val="008D7EA2"/>
    <w:rsid w:val="008E4679"/>
    <w:rsid w:val="008E53A7"/>
    <w:rsid w:val="008E7123"/>
    <w:rsid w:val="008F1396"/>
    <w:rsid w:val="008F2AFD"/>
    <w:rsid w:val="008F5DB1"/>
    <w:rsid w:val="008F7E0F"/>
    <w:rsid w:val="009010B4"/>
    <w:rsid w:val="009014E5"/>
    <w:rsid w:val="009040F6"/>
    <w:rsid w:val="00904604"/>
    <w:rsid w:val="009051C4"/>
    <w:rsid w:val="00910062"/>
    <w:rsid w:val="009124AE"/>
    <w:rsid w:val="00914CF3"/>
    <w:rsid w:val="00914FF4"/>
    <w:rsid w:val="009162F0"/>
    <w:rsid w:val="00916D5B"/>
    <w:rsid w:val="0092058A"/>
    <w:rsid w:val="00921D71"/>
    <w:rsid w:val="00927B99"/>
    <w:rsid w:val="009307ED"/>
    <w:rsid w:val="00930B7C"/>
    <w:rsid w:val="00930D5C"/>
    <w:rsid w:val="00934092"/>
    <w:rsid w:val="00937EFD"/>
    <w:rsid w:val="00940A40"/>
    <w:rsid w:val="0094234D"/>
    <w:rsid w:val="0094413D"/>
    <w:rsid w:val="00944886"/>
    <w:rsid w:val="009458BD"/>
    <w:rsid w:val="009613BC"/>
    <w:rsid w:val="00964205"/>
    <w:rsid w:val="00971208"/>
    <w:rsid w:val="00971C09"/>
    <w:rsid w:val="009736DA"/>
    <w:rsid w:val="00976463"/>
    <w:rsid w:val="00976599"/>
    <w:rsid w:val="0098359B"/>
    <w:rsid w:val="00986928"/>
    <w:rsid w:val="009912FD"/>
    <w:rsid w:val="009913C8"/>
    <w:rsid w:val="00995E06"/>
    <w:rsid w:val="0099799E"/>
    <w:rsid w:val="009A3B27"/>
    <w:rsid w:val="009B20AD"/>
    <w:rsid w:val="009C0133"/>
    <w:rsid w:val="009C1C20"/>
    <w:rsid w:val="009C5DF3"/>
    <w:rsid w:val="009C7672"/>
    <w:rsid w:val="009C7E50"/>
    <w:rsid w:val="009D09A8"/>
    <w:rsid w:val="009D104D"/>
    <w:rsid w:val="009D30E9"/>
    <w:rsid w:val="009E55B8"/>
    <w:rsid w:val="009E6972"/>
    <w:rsid w:val="009E7470"/>
    <w:rsid w:val="009F04C0"/>
    <w:rsid w:val="009F1B7E"/>
    <w:rsid w:val="009F44EA"/>
    <w:rsid w:val="009F56A1"/>
    <w:rsid w:val="009F6A29"/>
    <w:rsid w:val="00A02810"/>
    <w:rsid w:val="00A03EED"/>
    <w:rsid w:val="00A046EA"/>
    <w:rsid w:val="00A063B9"/>
    <w:rsid w:val="00A0697A"/>
    <w:rsid w:val="00A20C56"/>
    <w:rsid w:val="00A20CA7"/>
    <w:rsid w:val="00A210F8"/>
    <w:rsid w:val="00A2231D"/>
    <w:rsid w:val="00A25997"/>
    <w:rsid w:val="00A25CA4"/>
    <w:rsid w:val="00A3271D"/>
    <w:rsid w:val="00A33CDA"/>
    <w:rsid w:val="00A35A8F"/>
    <w:rsid w:val="00A403EB"/>
    <w:rsid w:val="00A41C2C"/>
    <w:rsid w:val="00A42B88"/>
    <w:rsid w:val="00A4730B"/>
    <w:rsid w:val="00A57D28"/>
    <w:rsid w:val="00A62D4F"/>
    <w:rsid w:val="00A65DDD"/>
    <w:rsid w:val="00A67742"/>
    <w:rsid w:val="00A7089D"/>
    <w:rsid w:val="00A709FE"/>
    <w:rsid w:val="00A723EE"/>
    <w:rsid w:val="00A72A14"/>
    <w:rsid w:val="00A74D2B"/>
    <w:rsid w:val="00A80719"/>
    <w:rsid w:val="00A80D46"/>
    <w:rsid w:val="00A81470"/>
    <w:rsid w:val="00A81AD3"/>
    <w:rsid w:val="00A84179"/>
    <w:rsid w:val="00A87073"/>
    <w:rsid w:val="00A87DF8"/>
    <w:rsid w:val="00A945FD"/>
    <w:rsid w:val="00A94D66"/>
    <w:rsid w:val="00A96B7F"/>
    <w:rsid w:val="00A96E76"/>
    <w:rsid w:val="00A9782F"/>
    <w:rsid w:val="00AA4710"/>
    <w:rsid w:val="00AB309A"/>
    <w:rsid w:val="00AB6377"/>
    <w:rsid w:val="00AC0CA7"/>
    <w:rsid w:val="00AC0DE1"/>
    <w:rsid w:val="00AC7BC7"/>
    <w:rsid w:val="00AD2972"/>
    <w:rsid w:val="00AD420C"/>
    <w:rsid w:val="00AE3B20"/>
    <w:rsid w:val="00AE7E84"/>
    <w:rsid w:val="00AF19BF"/>
    <w:rsid w:val="00AF42B1"/>
    <w:rsid w:val="00AF59AF"/>
    <w:rsid w:val="00B0182D"/>
    <w:rsid w:val="00B15824"/>
    <w:rsid w:val="00B16141"/>
    <w:rsid w:val="00B17A81"/>
    <w:rsid w:val="00B20695"/>
    <w:rsid w:val="00B24A52"/>
    <w:rsid w:val="00B31694"/>
    <w:rsid w:val="00B32D27"/>
    <w:rsid w:val="00B34A6B"/>
    <w:rsid w:val="00B36760"/>
    <w:rsid w:val="00B41664"/>
    <w:rsid w:val="00B427DB"/>
    <w:rsid w:val="00B46F49"/>
    <w:rsid w:val="00B47299"/>
    <w:rsid w:val="00B611B8"/>
    <w:rsid w:val="00B6269C"/>
    <w:rsid w:val="00B64F5E"/>
    <w:rsid w:val="00B65763"/>
    <w:rsid w:val="00B65D96"/>
    <w:rsid w:val="00B773CC"/>
    <w:rsid w:val="00B803F4"/>
    <w:rsid w:val="00B85987"/>
    <w:rsid w:val="00B85A58"/>
    <w:rsid w:val="00B86BB2"/>
    <w:rsid w:val="00B927CA"/>
    <w:rsid w:val="00B978C5"/>
    <w:rsid w:val="00BA09BB"/>
    <w:rsid w:val="00BA3DA5"/>
    <w:rsid w:val="00BA5ABF"/>
    <w:rsid w:val="00BA751A"/>
    <w:rsid w:val="00BA7FB2"/>
    <w:rsid w:val="00BB0C40"/>
    <w:rsid w:val="00BB413C"/>
    <w:rsid w:val="00BB5070"/>
    <w:rsid w:val="00BB5872"/>
    <w:rsid w:val="00BC0FD4"/>
    <w:rsid w:val="00BC203E"/>
    <w:rsid w:val="00BC29C7"/>
    <w:rsid w:val="00BD30CA"/>
    <w:rsid w:val="00BD372E"/>
    <w:rsid w:val="00BD4E8C"/>
    <w:rsid w:val="00BD7818"/>
    <w:rsid w:val="00BE1F27"/>
    <w:rsid w:val="00BF0117"/>
    <w:rsid w:val="00BF0DC5"/>
    <w:rsid w:val="00C01BD5"/>
    <w:rsid w:val="00C02557"/>
    <w:rsid w:val="00C037A0"/>
    <w:rsid w:val="00C117A3"/>
    <w:rsid w:val="00C17151"/>
    <w:rsid w:val="00C174ED"/>
    <w:rsid w:val="00C23FC4"/>
    <w:rsid w:val="00C348CB"/>
    <w:rsid w:val="00C367E8"/>
    <w:rsid w:val="00C36A83"/>
    <w:rsid w:val="00C372D4"/>
    <w:rsid w:val="00C41BD4"/>
    <w:rsid w:val="00C4379F"/>
    <w:rsid w:val="00C44426"/>
    <w:rsid w:val="00C46352"/>
    <w:rsid w:val="00C502FE"/>
    <w:rsid w:val="00C52CC7"/>
    <w:rsid w:val="00C54505"/>
    <w:rsid w:val="00C56DF8"/>
    <w:rsid w:val="00C62F8E"/>
    <w:rsid w:val="00C63E6B"/>
    <w:rsid w:val="00C73B45"/>
    <w:rsid w:val="00C74DBB"/>
    <w:rsid w:val="00C76910"/>
    <w:rsid w:val="00C81137"/>
    <w:rsid w:val="00C83714"/>
    <w:rsid w:val="00C85294"/>
    <w:rsid w:val="00C859CA"/>
    <w:rsid w:val="00C86161"/>
    <w:rsid w:val="00C920E7"/>
    <w:rsid w:val="00C94915"/>
    <w:rsid w:val="00CA03DD"/>
    <w:rsid w:val="00CA39E7"/>
    <w:rsid w:val="00CA7E98"/>
    <w:rsid w:val="00CB04D3"/>
    <w:rsid w:val="00CB38DE"/>
    <w:rsid w:val="00CB6FED"/>
    <w:rsid w:val="00CC10B0"/>
    <w:rsid w:val="00CC2795"/>
    <w:rsid w:val="00CC2CF5"/>
    <w:rsid w:val="00CC4468"/>
    <w:rsid w:val="00CC4F6E"/>
    <w:rsid w:val="00CC4F97"/>
    <w:rsid w:val="00CD43C6"/>
    <w:rsid w:val="00CD7C5E"/>
    <w:rsid w:val="00CE02CE"/>
    <w:rsid w:val="00CE2C4A"/>
    <w:rsid w:val="00CE3FAB"/>
    <w:rsid w:val="00CE4300"/>
    <w:rsid w:val="00CE5782"/>
    <w:rsid w:val="00CE578C"/>
    <w:rsid w:val="00CE745D"/>
    <w:rsid w:val="00CF1661"/>
    <w:rsid w:val="00CF33F5"/>
    <w:rsid w:val="00CF389B"/>
    <w:rsid w:val="00CF62A9"/>
    <w:rsid w:val="00CF7FB6"/>
    <w:rsid w:val="00D00D86"/>
    <w:rsid w:val="00D028D0"/>
    <w:rsid w:val="00D123D4"/>
    <w:rsid w:val="00D14571"/>
    <w:rsid w:val="00D14D1B"/>
    <w:rsid w:val="00D16992"/>
    <w:rsid w:val="00D2080B"/>
    <w:rsid w:val="00D20F95"/>
    <w:rsid w:val="00D20FDB"/>
    <w:rsid w:val="00D24C6F"/>
    <w:rsid w:val="00D27487"/>
    <w:rsid w:val="00D3284D"/>
    <w:rsid w:val="00D34FB5"/>
    <w:rsid w:val="00D365F9"/>
    <w:rsid w:val="00D37529"/>
    <w:rsid w:val="00D40D5F"/>
    <w:rsid w:val="00D43B8A"/>
    <w:rsid w:val="00D4582F"/>
    <w:rsid w:val="00D53869"/>
    <w:rsid w:val="00D547AC"/>
    <w:rsid w:val="00D54BA7"/>
    <w:rsid w:val="00D60770"/>
    <w:rsid w:val="00D62E47"/>
    <w:rsid w:val="00D65B2D"/>
    <w:rsid w:val="00D708C1"/>
    <w:rsid w:val="00D752FA"/>
    <w:rsid w:val="00D7556B"/>
    <w:rsid w:val="00D76A5B"/>
    <w:rsid w:val="00D84CA5"/>
    <w:rsid w:val="00D87B81"/>
    <w:rsid w:val="00D90AA9"/>
    <w:rsid w:val="00D91DA1"/>
    <w:rsid w:val="00D926F8"/>
    <w:rsid w:val="00D94B9A"/>
    <w:rsid w:val="00D959CE"/>
    <w:rsid w:val="00DA2C76"/>
    <w:rsid w:val="00DB083F"/>
    <w:rsid w:val="00DB3756"/>
    <w:rsid w:val="00DB46F4"/>
    <w:rsid w:val="00DB6C0F"/>
    <w:rsid w:val="00DD2728"/>
    <w:rsid w:val="00DD28E6"/>
    <w:rsid w:val="00DE42AB"/>
    <w:rsid w:val="00DE584A"/>
    <w:rsid w:val="00DF2343"/>
    <w:rsid w:val="00DF5ECA"/>
    <w:rsid w:val="00E0056F"/>
    <w:rsid w:val="00E020AB"/>
    <w:rsid w:val="00E03D6D"/>
    <w:rsid w:val="00E055D6"/>
    <w:rsid w:val="00E105EE"/>
    <w:rsid w:val="00E106C1"/>
    <w:rsid w:val="00E13EBF"/>
    <w:rsid w:val="00E164B1"/>
    <w:rsid w:val="00E17BD9"/>
    <w:rsid w:val="00E23EC1"/>
    <w:rsid w:val="00E300FC"/>
    <w:rsid w:val="00E3741B"/>
    <w:rsid w:val="00E46519"/>
    <w:rsid w:val="00E50DF1"/>
    <w:rsid w:val="00E515FB"/>
    <w:rsid w:val="00E51EFF"/>
    <w:rsid w:val="00E52085"/>
    <w:rsid w:val="00E5381D"/>
    <w:rsid w:val="00E5485B"/>
    <w:rsid w:val="00E566CB"/>
    <w:rsid w:val="00E601DF"/>
    <w:rsid w:val="00E60AE5"/>
    <w:rsid w:val="00E72B31"/>
    <w:rsid w:val="00E82711"/>
    <w:rsid w:val="00E831B5"/>
    <w:rsid w:val="00E84156"/>
    <w:rsid w:val="00E8485C"/>
    <w:rsid w:val="00E953C6"/>
    <w:rsid w:val="00E96E1C"/>
    <w:rsid w:val="00E974AB"/>
    <w:rsid w:val="00EA050C"/>
    <w:rsid w:val="00EA0930"/>
    <w:rsid w:val="00EA2F33"/>
    <w:rsid w:val="00EA3D2D"/>
    <w:rsid w:val="00EA6024"/>
    <w:rsid w:val="00EA79CC"/>
    <w:rsid w:val="00EB0667"/>
    <w:rsid w:val="00EB1123"/>
    <w:rsid w:val="00EB479D"/>
    <w:rsid w:val="00EB5389"/>
    <w:rsid w:val="00EB6036"/>
    <w:rsid w:val="00EC1304"/>
    <w:rsid w:val="00EC13BE"/>
    <w:rsid w:val="00EC261C"/>
    <w:rsid w:val="00EC6766"/>
    <w:rsid w:val="00EC6CFF"/>
    <w:rsid w:val="00EC726C"/>
    <w:rsid w:val="00EC74DF"/>
    <w:rsid w:val="00ED19C5"/>
    <w:rsid w:val="00ED2226"/>
    <w:rsid w:val="00ED4CCF"/>
    <w:rsid w:val="00ED6132"/>
    <w:rsid w:val="00ED6B83"/>
    <w:rsid w:val="00ED78E3"/>
    <w:rsid w:val="00EE068B"/>
    <w:rsid w:val="00EE0813"/>
    <w:rsid w:val="00EE335B"/>
    <w:rsid w:val="00EE413E"/>
    <w:rsid w:val="00EE6515"/>
    <w:rsid w:val="00EE736B"/>
    <w:rsid w:val="00EF11C9"/>
    <w:rsid w:val="00EF6E8C"/>
    <w:rsid w:val="00F00307"/>
    <w:rsid w:val="00F0056A"/>
    <w:rsid w:val="00F032D8"/>
    <w:rsid w:val="00F038E1"/>
    <w:rsid w:val="00F041D3"/>
    <w:rsid w:val="00F0550C"/>
    <w:rsid w:val="00F067B4"/>
    <w:rsid w:val="00F07A3F"/>
    <w:rsid w:val="00F12F87"/>
    <w:rsid w:val="00F221F2"/>
    <w:rsid w:val="00F227F0"/>
    <w:rsid w:val="00F267EF"/>
    <w:rsid w:val="00F31978"/>
    <w:rsid w:val="00F353F5"/>
    <w:rsid w:val="00F40677"/>
    <w:rsid w:val="00F40A80"/>
    <w:rsid w:val="00F42EB5"/>
    <w:rsid w:val="00F45DBF"/>
    <w:rsid w:val="00F50EF2"/>
    <w:rsid w:val="00F51DE4"/>
    <w:rsid w:val="00F572E8"/>
    <w:rsid w:val="00F64904"/>
    <w:rsid w:val="00F72356"/>
    <w:rsid w:val="00F72A01"/>
    <w:rsid w:val="00F73577"/>
    <w:rsid w:val="00F744B0"/>
    <w:rsid w:val="00F7510D"/>
    <w:rsid w:val="00F76D3E"/>
    <w:rsid w:val="00F80954"/>
    <w:rsid w:val="00F80A45"/>
    <w:rsid w:val="00F86A96"/>
    <w:rsid w:val="00F92B6E"/>
    <w:rsid w:val="00FA2DD4"/>
    <w:rsid w:val="00FB1407"/>
    <w:rsid w:val="00FB1C30"/>
    <w:rsid w:val="00FB29DE"/>
    <w:rsid w:val="00FB6342"/>
    <w:rsid w:val="00FC0C93"/>
    <w:rsid w:val="00FC40DF"/>
    <w:rsid w:val="00FC7E1F"/>
    <w:rsid w:val="00FD2E80"/>
    <w:rsid w:val="00FD5073"/>
    <w:rsid w:val="00FD69F0"/>
    <w:rsid w:val="00FD7D66"/>
    <w:rsid w:val="00FE17B6"/>
    <w:rsid w:val="00FE2076"/>
    <w:rsid w:val="00FE27F5"/>
    <w:rsid w:val="00FE5744"/>
    <w:rsid w:val="00FF4C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4A21B50"/>
  <w15:docId w15:val="{E3C0F61C-65CF-4291-9305-A57BD2F8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D4E8C"/>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360" w:hanging="240"/>
      <w:outlineLvl w:val="0"/>
    </w:pPr>
    <w:rPr>
      <w:b/>
      <w:bCs/>
      <w:u w:val="single"/>
    </w:rPr>
  </w:style>
  <w:style w:type="paragraph" w:styleId="Heading3">
    <w:name w:val="heading 3"/>
    <w:basedOn w:val="Normal"/>
    <w:next w:val="Normal"/>
    <w:link w:val="Heading3Char"/>
    <w:uiPriority w:val="9"/>
    <w:semiHidden/>
    <w:unhideWhenUsed/>
    <w:qFormat/>
    <w:rsid w:val="00A9782F"/>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pPr>
      <w:ind w:left="120"/>
    </w:p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qFormat/>
    <w:rsid w:val="006A4AEB"/>
    <w:rPr>
      <w:sz w:val="20"/>
    </w:rPr>
  </w:style>
  <w:style w:type="character" w:customStyle="1" w:styleId="FootnoteTextChar">
    <w:name w:val="Footnote Text Char"/>
    <w:link w:val="FootnoteText"/>
    <w:uiPriority w:val="99"/>
    <w:rsid w:val="006A4AEB"/>
    <w:rPr>
      <w:rFonts w:ascii="Times New Roman" w:eastAsia="Times New Roman" w:hAnsi="Times New Roman"/>
      <w:sz w:val="20"/>
      <w:szCs w:val="24"/>
    </w:rPr>
  </w:style>
  <w:style w:type="character" w:styleId="FootnoteReference">
    <w:name w:val="footnote reference"/>
    <w:uiPriority w:val="99"/>
    <w:rsid w:val="006A4AEB"/>
    <w:rPr>
      <w:vertAlign w:val="superscript"/>
    </w:rPr>
  </w:style>
  <w:style w:type="paragraph" w:styleId="NormalWeb">
    <w:name w:val="Normal (Web)"/>
    <w:basedOn w:val="Normal"/>
    <w:uiPriority w:val="99"/>
    <w:unhideWhenUsed/>
    <w:rsid w:val="006A4AEB"/>
    <w:pPr>
      <w:widowControl/>
      <w:autoSpaceDE/>
      <w:autoSpaceDN/>
      <w:adjustRightInd/>
      <w:spacing w:before="100" w:beforeAutospacing="1" w:after="100" w:afterAutospacing="1" w:line="480" w:lineRule="auto"/>
      <w:ind w:firstLine="480"/>
    </w:pPr>
  </w:style>
  <w:style w:type="paragraph" w:styleId="BalloonText">
    <w:name w:val="Balloon Text"/>
    <w:basedOn w:val="Normal"/>
    <w:link w:val="BalloonTextChar"/>
    <w:uiPriority w:val="99"/>
    <w:semiHidden/>
    <w:unhideWhenUsed/>
    <w:rsid w:val="006A4AEB"/>
    <w:rPr>
      <w:rFonts w:ascii="Segoe UI" w:hAnsi="Segoe UI" w:cs="Segoe UI"/>
      <w:sz w:val="18"/>
      <w:szCs w:val="18"/>
    </w:rPr>
  </w:style>
  <w:style w:type="character" w:customStyle="1" w:styleId="BalloonTextChar">
    <w:name w:val="Balloon Text Char"/>
    <w:link w:val="BalloonText"/>
    <w:uiPriority w:val="99"/>
    <w:semiHidden/>
    <w:rsid w:val="006A4AEB"/>
    <w:rPr>
      <w:rFonts w:ascii="Segoe UI" w:hAnsi="Segoe UI" w:cs="Segoe UI"/>
      <w:sz w:val="18"/>
      <w:szCs w:val="18"/>
    </w:rPr>
  </w:style>
  <w:style w:type="table" w:styleId="TableGrid">
    <w:name w:val="Table Grid"/>
    <w:basedOn w:val="TableNormal"/>
    <w:uiPriority w:val="39"/>
    <w:rsid w:val="00EE0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E0813"/>
    <w:rPr>
      <w:color w:val="0000FF"/>
      <w:u w:val="single"/>
    </w:rPr>
  </w:style>
  <w:style w:type="character" w:styleId="EndnoteReference">
    <w:name w:val="endnote reference"/>
    <w:semiHidden/>
    <w:rsid w:val="00A9782F"/>
    <w:rPr>
      <w:vertAlign w:val="superscript"/>
    </w:rPr>
  </w:style>
  <w:style w:type="paragraph" w:styleId="CommentText">
    <w:name w:val="annotation text"/>
    <w:basedOn w:val="Normal"/>
    <w:link w:val="CommentTextChar"/>
    <w:uiPriority w:val="99"/>
    <w:qFormat/>
    <w:rsid w:val="00A9782F"/>
    <w:rPr>
      <w:sz w:val="20"/>
      <w:szCs w:val="20"/>
    </w:rPr>
  </w:style>
  <w:style w:type="character" w:customStyle="1" w:styleId="CommentTextChar">
    <w:name w:val="Comment Text Char"/>
    <w:basedOn w:val="DefaultParagraphFont"/>
    <w:link w:val="CommentText"/>
    <w:uiPriority w:val="99"/>
    <w:rsid w:val="00A9782F"/>
    <w:rPr>
      <w:rFonts w:ascii="Times New Roman" w:hAnsi="Times New Roman"/>
    </w:rPr>
  </w:style>
  <w:style w:type="character" w:customStyle="1" w:styleId="Heading3Char">
    <w:name w:val="Heading 3 Char"/>
    <w:basedOn w:val="DefaultParagraphFont"/>
    <w:link w:val="Heading3"/>
    <w:uiPriority w:val="9"/>
    <w:semiHidden/>
    <w:rsid w:val="00A9782F"/>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D84CA5"/>
    <w:rPr>
      <w:sz w:val="16"/>
      <w:szCs w:val="16"/>
    </w:rPr>
  </w:style>
  <w:style w:type="paragraph" w:styleId="CommentSubject">
    <w:name w:val="annotation subject"/>
    <w:basedOn w:val="CommentText"/>
    <w:next w:val="CommentText"/>
    <w:link w:val="CommentSubjectChar"/>
    <w:uiPriority w:val="99"/>
    <w:semiHidden/>
    <w:unhideWhenUsed/>
    <w:rsid w:val="00D84CA5"/>
    <w:rPr>
      <w:b/>
      <w:bCs/>
    </w:rPr>
  </w:style>
  <w:style w:type="character" w:customStyle="1" w:styleId="CommentSubjectChar">
    <w:name w:val="Comment Subject Char"/>
    <w:basedOn w:val="CommentTextChar"/>
    <w:link w:val="CommentSubject"/>
    <w:uiPriority w:val="99"/>
    <w:semiHidden/>
    <w:rsid w:val="00D84CA5"/>
    <w:rPr>
      <w:rFonts w:ascii="Times New Roman" w:hAnsi="Times New Roman"/>
      <w:b/>
      <w:bCs/>
    </w:rPr>
  </w:style>
  <w:style w:type="paragraph" w:styleId="Revision">
    <w:name w:val="Revision"/>
    <w:hidden/>
    <w:uiPriority w:val="99"/>
    <w:semiHidden/>
    <w:rsid w:val="00D84CA5"/>
    <w:rPr>
      <w:rFonts w:ascii="Times New Roman" w:hAnsi="Times New Roman"/>
      <w:sz w:val="24"/>
      <w:szCs w:val="24"/>
    </w:rPr>
  </w:style>
  <w:style w:type="paragraph" w:styleId="Header">
    <w:name w:val="header"/>
    <w:basedOn w:val="Normal"/>
    <w:link w:val="HeaderChar"/>
    <w:uiPriority w:val="99"/>
    <w:unhideWhenUsed/>
    <w:rsid w:val="007803BB"/>
    <w:pPr>
      <w:tabs>
        <w:tab w:val="center" w:pos="4680"/>
        <w:tab w:val="right" w:pos="9360"/>
      </w:tabs>
    </w:pPr>
  </w:style>
  <w:style w:type="character" w:customStyle="1" w:styleId="HeaderChar">
    <w:name w:val="Header Char"/>
    <w:basedOn w:val="DefaultParagraphFont"/>
    <w:link w:val="Header"/>
    <w:uiPriority w:val="99"/>
    <w:rsid w:val="007803BB"/>
    <w:rPr>
      <w:rFonts w:ascii="Times New Roman" w:hAnsi="Times New Roman"/>
      <w:sz w:val="24"/>
      <w:szCs w:val="24"/>
    </w:rPr>
  </w:style>
  <w:style w:type="paragraph" w:styleId="Footer">
    <w:name w:val="footer"/>
    <w:basedOn w:val="Normal"/>
    <w:link w:val="FooterChar"/>
    <w:uiPriority w:val="99"/>
    <w:unhideWhenUsed/>
    <w:rsid w:val="007803BB"/>
    <w:pPr>
      <w:tabs>
        <w:tab w:val="center" w:pos="4680"/>
        <w:tab w:val="right" w:pos="9360"/>
      </w:tabs>
    </w:pPr>
  </w:style>
  <w:style w:type="character" w:customStyle="1" w:styleId="FooterChar">
    <w:name w:val="Footer Char"/>
    <w:basedOn w:val="DefaultParagraphFont"/>
    <w:link w:val="Footer"/>
    <w:uiPriority w:val="99"/>
    <w:rsid w:val="007803BB"/>
    <w:rPr>
      <w:rFonts w:ascii="Times New Roman" w:hAnsi="Times New Roman"/>
      <w:sz w:val="24"/>
      <w:szCs w:val="24"/>
    </w:rPr>
  </w:style>
  <w:style w:type="character" w:styleId="UnresolvedMention">
    <w:name w:val="Unresolved Mention"/>
    <w:basedOn w:val="DefaultParagraphFont"/>
    <w:uiPriority w:val="99"/>
    <w:semiHidden/>
    <w:unhideWhenUsed/>
    <w:rsid w:val="00CE3FAB"/>
    <w:rPr>
      <w:color w:val="605E5C"/>
      <w:shd w:val="clear" w:color="auto" w:fill="E1DFDD"/>
    </w:rPr>
  </w:style>
  <w:style w:type="character" w:styleId="FollowedHyperlink">
    <w:name w:val="FollowedHyperlink"/>
    <w:basedOn w:val="DefaultParagraphFont"/>
    <w:uiPriority w:val="99"/>
    <w:semiHidden/>
    <w:unhideWhenUsed/>
    <w:rsid w:val="00574B0D"/>
    <w:rPr>
      <w:color w:val="954F72" w:themeColor="followedHyperlink"/>
      <w:u w:val="single"/>
    </w:rPr>
  </w:style>
  <w:style w:type="character" w:customStyle="1" w:styleId="cfr">
    <w:name w:val="cfr"/>
    <w:basedOn w:val="DefaultParagraphFont"/>
    <w:rsid w:val="003866AB"/>
  </w:style>
  <w:style w:type="paragraph" w:customStyle="1" w:styleId="Default">
    <w:name w:val="Default"/>
    <w:rsid w:val="002402A8"/>
    <w:pPr>
      <w:autoSpaceDE w:val="0"/>
      <w:autoSpaceDN w:val="0"/>
      <w:adjustRightInd w:val="0"/>
    </w:pPr>
    <w:rPr>
      <w:rFonts w:ascii="Times New Roman" w:hAnsi="Times New Roman"/>
      <w:color w:val="000000"/>
      <w:sz w:val="24"/>
      <w:szCs w:val="24"/>
    </w:rPr>
  </w:style>
  <w:style w:type="paragraph" w:styleId="EndnoteText">
    <w:name w:val="endnote text"/>
    <w:basedOn w:val="Normal"/>
    <w:link w:val="EndnoteTextChar"/>
    <w:uiPriority w:val="99"/>
    <w:semiHidden/>
    <w:unhideWhenUsed/>
    <w:rsid w:val="00EB479D"/>
    <w:rPr>
      <w:sz w:val="20"/>
      <w:szCs w:val="20"/>
    </w:rPr>
  </w:style>
  <w:style w:type="character" w:customStyle="1" w:styleId="EndnoteTextChar">
    <w:name w:val="Endnote Text Char"/>
    <w:basedOn w:val="DefaultParagraphFont"/>
    <w:link w:val="EndnoteText"/>
    <w:uiPriority w:val="99"/>
    <w:semiHidden/>
    <w:rsid w:val="00EB479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oes/current/naics4_9992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FDC99577B0D943BFB28498748FA39B" ma:contentTypeVersion="3" ma:contentTypeDescription="Create a new document." ma:contentTypeScope="" ma:versionID="290c9d2b07413badcdee2917b717da05">
  <xsd:schema xmlns:xsd="http://www.w3.org/2001/XMLSchema" xmlns:xs="http://www.w3.org/2001/XMLSchema" xmlns:p="http://schemas.microsoft.com/office/2006/metadata/properties" xmlns:ns2="43853452-9e67-45dc-9886-71352b2fd01a" targetNamespace="http://schemas.microsoft.com/office/2006/metadata/properties" ma:root="true" ma:fieldsID="2aa98daac5bc85489b8cbe7467d1ce00" ns2:_="">
    <xsd:import namespace="43853452-9e67-45dc-9886-71352b2fd01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3853452-9e67-45dc-9886-71352b2fd01a">QSXZK4DW25JC-919253750-163</_dlc_DocId>
    <_dlc_DocIdUrl xmlns="43853452-9e67-45dc-9886-71352b2fd01a">
      <Url>https://share.cms.gov/center/cciio/Oversight/MR/_layouts/15/DocIdRedir.aspx?ID=QSXZK4DW25JC-919253750-163</Url>
      <Description>QSXZK4DW25JC-919253750-163</Description>
    </_dlc_DocIdUrl>
  </documentManagement>
</p:properties>
</file>

<file path=customXml/itemProps1.xml><?xml version="1.0" encoding="utf-8"?>
<ds:datastoreItem xmlns:ds="http://schemas.openxmlformats.org/officeDocument/2006/customXml" ds:itemID="{5D436F70-11E7-42C3-955B-B56C17137260}">
  <ds:schemaRefs>
    <ds:schemaRef ds:uri="http://schemas.microsoft.com/sharepoint/v3/contenttype/forms"/>
  </ds:schemaRefs>
</ds:datastoreItem>
</file>

<file path=customXml/itemProps2.xml><?xml version="1.0" encoding="utf-8"?>
<ds:datastoreItem xmlns:ds="http://schemas.openxmlformats.org/officeDocument/2006/customXml" ds:itemID="{7E4EA003-86B1-459F-B784-784BDCFF5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3452-9e67-45dc-9886-71352b2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1F2A5-149A-4B0A-9615-EF1564C7DD00}">
  <ds:schemaRefs>
    <ds:schemaRef ds:uri="http://schemas.microsoft.com/sharepoint/events"/>
  </ds:schemaRefs>
</ds:datastoreItem>
</file>

<file path=customXml/itemProps4.xml><?xml version="1.0" encoding="utf-8"?>
<ds:datastoreItem xmlns:ds="http://schemas.openxmlformats.org/officeDocument/2006/customXml" ds:itemID="{1C2AEDAB-602C-4E0F-9690-7DBBAC07112E}">
  <ds:schemaRefs>
    <ds:schemaRef ds:uri="http://schemas.openxmlformats.org/officeDocument/2006/bibliography"/>
  </ds:schemaRefs>
</ds:datastoreItem>
</file>

<file path=customXml/itemProps5.xml><?xml version="1.0" encoding="utf-8"?>
<ds:datastoreItem xmlns:ds="http://schemas.openxmlformats.org/officeDocument/2006/customXml" ds:itemID="{82E41ABA-2C60-4AD9-B6FA-036E0686FED3}">
  <ds:schemaRefs>
    <ds:schemaRef ds:uri="http://schemas.microsoft.com/office/2006/metadata/properties"/>
    <ds:schemaRef ds:uri="http://schemas.microsoft.com/office/infopath/2007/PartnerControls"/>
    <ds:schemaRef ds:uri="43853452-9e67-45dc-9886-71352b2fd01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3359</Words>
  <Characters>17905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Oversight</dc:subject>
  <dc:creator>CMS CCIIO</dc:creator>
  <cp:lastModifiedBy>Hill, Jamaa (CMS/OSORA)</cp:lastModifiedBy>
  <cp:revision>2</cp:revision>
  <cp:lastPrinted>2018-11-06T21:49:00Z</cp:lastPrinted>
  <dcterms:created xsi:type="dcterms:W3CDTF">2024-08-24T00:19:00Z</dcterms:created>
  <dcterms:modified xsi:type="dcterms:W3CDTF">2024-08-24T00:19:00Z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0x010100A8FDC99577B0D943BFB28498748FA39B</vt:lpwstr>
  </property>
  <property fmtid="{D5CDD505-2E9C-101B-9397-08002B2CF9AE}" pid="3" name="Creator">
    <vt:lpwstr>Acrobat PDFMaker 15 for Word</vt:lpwstr>
  </property>
  <property fmtid="{D5CDD505-2E9C-101B-9397-08002B2CF9AE}" pid="4" name="_dlc_DocIdItemGuid">
    <vt:lpwstr>0d600471-1f48-4560-81fe-ba914bd86560</vt:lpwstr>
  </property>
  <property fmtid="{D5CDD505-2E9C-101B-9397-08002B2CF9AE}" pid="5" name="_NewReviewCycle">
    <vt:lpwstr/>
  </property>
</Properties>
</file>